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EC7C0" w14:textId="77777777" w:rsidR="00A81934" w:rsidRDefault="00A81934" w:rsidP="00EF6C4C">
      <w:pPr>
        <w:pStyle w:val="berschrift1"/>
      </w:pPr>
      <w:r>
        <w:t>Title</w:t>
      </w:r>
    </w:p>
    <w:p w14:paraId="3371D66F" w14:textId="523795BA" w:rsidR="00A81934" w:rsidRDefault="00A81934" w:rsidP="001F4C86">
      <w:pPr>
        <w:pStyle w:val="xmsonormal"/>
      </w:pPr>
      <w:bookmarkStart w:id="0" w:name="_GoBack"/>
      <w:r>
        <w:rPr>
          <w:rFonts w:ascii="Calibri" w:hAnsi="Calibri"/>
          <w:b/>
          <w:bCs/>
          <w:sz w:val="22"/>
          <w:szCs w:val="22"/>
        </w:rPr>
        <w:t xml:space="preserve">New genetic signals for lung function highlight </w:t>
      </w:r>
      <w:bookmarkEnd w:id="0"/>
      <w:r>
        <w:rPr>
          <w:rFonts w:ascii="Calibri" w:hAnsi="Calibri"/>
          <w:b/>
          <w:bCs/>
          <w:sz w:val="22"/>
          <w:szCs w:val="22"/>
        </w:rPr>
        <w:t>pathways and chronic obstructive pulmonary disease associations across multiple ancestries.</w:t>
      </w:r>
    </w:p>
    <w:p w14:paraId="313C3751" w14:textId="3977F0BD" w:rsidR="00A81934" w:rsidRDefault="00A81934" w:rsidP="00C24EB6">
      <w:pPr>
        <w:pStyle w:val="berschrift1"/>
      </w:pPr>
      <w:r>
        <w:t>Authors</w:t>
      </w:r>
    </w:p>
    <w:p w14:paraId="6E22F3D7" w14:textId="3E070FD7" w:rsidR="00A81934" w:rsidRDefault="00A81934" w:rsidP="00EF6C4C">
      <w:r>
        <w:t>Nick Shrine†</w:t>
      </w:r>
      <w:r w:rsidRPr="009422FE">
        <w:rPr>
          <w:vertAlign w:val="superscript"/>
        </w:rPr>
        <w:t>1</w:t>
      </w:r>
      <w:r>
        <w:t>; Anna L Guyatt†</w:t>
      </w:r>
      <w:r w:rsidRPr="009422FE">
        <w:rPr>
          <w:vertAlign w:val="superscript"/>
        </w:rPr>
        <w:t>1</w:t>
      </w:r>
      <w:r>
        <w:t>; A Mesut Erzurumluoglu†</w:t>
      </w:r>
      <w:r w:rsidRPr="009422FE">
        <w:rPr>
          <w:vertAlign w:val="superscript"/>
        </w:rPr>
        <w:t>1</w:t>
      </w:r>
      <w:r>
        <w:t>; Victoria E Jackson</w:t>
      </w:r>
      <w:r w:rsidRPr="009422FE">
        <w:rPr>
          <w:vertAlign w:val="superscript"/>
        </w:rPr>
        <w:t>1,2,3</w:t>
      </w:r>
      <w:r>
        <w:t>; Brian D Hobbs</w:t>
      </w:r>
      <w:r w:rsidRPr="009422FE">
        <w:rPr>
          <w:vertAlign w:val="superscript"/>
        </w:rPr>
        <w:t>4,5</w:t>
      </w:r>
      <w:r>
        <w:t>; Carl A Melbourne</w:t>
      </w:r>
      <w:r w:rsidRPr="009422FE">
        <w:rPr>
          <w:vertAlign w:val="superscript"/>
        </w:rPr>
        <w:t>1</w:t>
      </w:r>
      <w:r>
        <w:t>; Chiara Batini</w:t>
      </w:r>
      <w:r w:rsidRPr="009422FE">
        <w:rPr>
          <w:vertAlign w:val="superscript"/>
        </w:rPr>
        <w:t>1</w:t>
      </w:r>
      <w:r>
        <w:t>; Katherine A Fawcett</w:t>
      </w:r>
      <w:r w:rsidRPr="009422FE">
        <w:rPr>
          <w:vertAlign w:val="superscript"/>
        </w:rPr>
        <w:t>1</w:t>
      </w:r>
      <w:r>
        <w:t>; Kijoung Song</w:t>
      </w:r>
      <w:r w:rsidRPr="009422FE">
        <w:rPr>
          <w:vertAlign w:val="superscript"/>
        </w:rPr>
        <w:t>6</w:t>
      </w:r>
      <w:r>
        <w:t>; Phuwanat Sakornsakolpat</w:t>
      </w:r>
      <w:r w:rsidRPr="009422FE">
        <w:rPr>
          <w:vertAlign w:val="superscript"/>
        </w:rPr>
        <w:t>4,7</w:t>
      </w:r>
      <w:r>
        <w:t>; Xingnan Li</w:t>
      </w:r>
      <w:r w:rsidRPr="009422FE">
        <w:rPr>
          <w:vertAlign w:val="superscript"/>
        </w:rPr>
        <w:t>8</w:t>
      </w:r>
      <w:r>
        <w:t>; Ruth Boxall</w:t>
      </w:r>
      <w:r w:rsidRPr="009422FE">
        <w:rPr>
          <w:vertAlign w:val="superscript"/>
        </w:rPr>
        <w:t>9,10</w:t>
      </w:r>
      <w:r>
        <w:t>; Nicola F Reeve</w:t>
      </w:r>
      <w:r w:rsidRPr="009422FE">
        <w:rPr>
          <w:vertAlign w:val="superscript"/>
        </w:rPr>
        <w:t>1</w:t>
      </w:r>
      <w:r>
        <w:t>; Ma'en Obeidat</w:t>
      </w:r>
      <w:r w:rsidRPr="009422FE">
        <w:rPr>
          <w:vertAlign w:val="superscript"/>
        </w:rPr>
        <w:t>11</w:t>
      </w:r>
      <w:r>
        <w:t>; Jing Hua Zhao</w:t>
      </w:r>
      <w:r w:rsidRPr="009422FE">
        <w:rPr>
          <w:vertAlign w:val="superscript"/>
        </w:rPr>
        <w:t>12</w:t>
      </w:r>
      <w:r>
        <w:t>; Matthias Wielscher</w:t>
      </w:r>
      <w:r w:rsidRPr="009422FE">
        <w:rPr>
          <w:vertAlign w:val="superscript"/>
        </w:rPr>
        <w:t>13</w:t>
      </w:r>
      <w:r>
        <w:t>; Understanding Society Scientific Group</w:t>
      </w:r>
      <w:r w:rsidRPr="009422FE">
        <w:rPr>
          <w:vertAlign w:val="superscript"/>
        </w:rPr>
        <w:t>14</w:t>
      </w:r>
      <w:r>
        <w:t>; Stefan Weiss</w:t>
      </w:r>
      <w:r w:rsidRPr="009422FE">
        <w:rPr>
          <w:vertAlign w:val="superscript"/>
        </w:rPr>
        <w:t>15</w:t>
      </w:r>
      <w:r>
        <w:t>; Katherine A Kentistou</w:t>
      </w:r>
      <w:r w:rsidRPr="009422FE">
        <w:rPr>
          <w:vertAlign w:val="superscript"/>
        </w:rPr>
        <w:t>16,17</w:t>
      </w:r>
      <w:r>
        <w:t>; James P Cook</w:t>
      </w:r>
      <w:r w:rsidRPr="009422FE">
        <w:rPr>
          <w:vertAlign w:val="superscript"/>
        </w:rPr>
        <w:t>18</w:t>
      </w:r>
      <w:r>
        <w:t>; Benjamin B Sun</w:t>
      </w:r>
      <w:r w:rsidRPr="009422FE">
        <w:rPr>
          <w:vertAlign w:val="superscript"/>
        </w:rPr>
        <w:t>19</w:t>
      </w:r>
      <w:r>
        <w:t>; Jian Zhou</w:t>
      </w:r>
      <w:r w:rsidRPr="009422FE">
        <w:rPr>
          <w:vertAlign w:val="superscript"/>
        </w:rPr>
        <w:t>20</w:t>
      </w:r>
      <w:r>
        <w:t>; Jennie Hui</w:t>
      </w:r>
      <w:r w:rsidRPr="009422FE">
        <w:rPr>
          <w:vertAlign w:val="superscript"/>
        </w:rPr>
        <w:t>21,22,23,24</w:t>
      </w:r>
      <w:r>
        <w:t>; Stefan Karrasch</w:t>
      </w:r>
      <w:r w:rsidRPr="009422FE">
        <w:rPr>
          <w:vertAlign w:val="superscript"/>
        </w:rPr>
        <w:t>25,26,27</w:t>
      </w:r>
      <w:r>
        <w:t>; Medea Imboden</w:t>
      </w:r>
      <w:r w:rsidRPr="009422FE">
        <w:rPr>
          <w:vertAlign w:val="superscript"/>
        </w:rPr>
        <w:t>28,29</w:t>
      </w:r>
      <w:r>
        <w:t>; Sarah E Harris</w:t>
      </w:r>
      <w:r w:rsidRPr="009422FE">
        <w:rPr>
          <w:vertAlign w:val="superscript"/>
        </w:rPr>
        <w:t>30,31</w:t>
      </w:r>
      <w:r>
        <w:t>; Jonathan Marten</w:t>
      </w:r>
      <w:r w:rsidRPr="009422FE">
        <w:rPr>
          <w:vertAlign w:val="superscript"/>
        </w:rPr>
        <w:t>32</w:t>
      </w:r>
      <w:r>
        <w:t>; Stefan Enroth</w:t>
      </w:r>
      <w:r w:rsidRPr="009422FE">
        <w:rPr>
          <w:vertAlign w:val="superscript"/>
        </w:rPr>
        <w:t>33</w:t>
      </w:r>
      <w:r>
        <w:t>; Shona M Kerr</w:t>
      </w:r>
      <w:r w:rsidRPr="009422FE">
        <w:rPr>
          <w:vertAlign w:val="superscript"/>
        </w:rPr>
        <w:t>32</w:t>
      </w:r>
      <w:r>
        <w:t>; Ida Surakka</w:t>
      </w:r>
      <w:r w:rsidRPr="009422FE">
        <w:rPr>
          <w:vertAlign w:val="superscript"/>
        </w:rPr>
        <w:t>34,35</w:t>
      </w:r>
      <w:r>
        <w:t>; Veronique Vitart</w:t>
      </w:r>
      <w:r w:rsidRPr="009422FE">
        <w:rPr>
          <w:vertAlign w:val="superscript"/>
        </w:rPr>
        <w:t>32</w:t>
      </w:r>
      <w:r>
        <w:t>; Terho Lehtimäki</w:t>
      </w:r>
      <w:r w:rsidRPr="009422FE">
        <w:rPr>
          <w:vertAlign w:val="superscript"/>
        </w:rPr>
        <w:t>36</w:t>
      </w:r>
      <w:r>
        <w:t>; Richard J Allen</w:t>
      </w:r>
      <w:r w:rsidRPr="009422FE">
        <w:rPr>
          <w:vertAlign w:val="superscript"/>
        </w:rPr>
        <w:t>1</w:t>
      </w:r>
      <w:r>
        <w:t>; Per S Bakke</w:t>
      </w:r>
      <w:r w:rsidRPr="009422FE">
        <w:rPr>
          <w:vertAlign w:val="superscript"/>
        </w:rPr>
        <w:t>37</w:t>
      </w:r>
      <w:r>
        <w:t>; Terri H Beaty</w:t>
      </w:r>
      <w:r w:rsidRPr="009422FE">
        <w:rPr>
          <w:vertAlign w:val="superscript"/>
        </w:rPr>
        <w:t>38</w:t>
      </w:r>
      <w:r>
        <w:t>; Eugene R Bleecker</w:t>
      </w:r>
      <w:r w:rsidRPr="009422FE">
        <w:rPr>
          <w:vertAlign w:val="superscript"/>
        </w:rPr>
        <w:t>8</w:t>
      </w:r>
      <w:r>
        <w:t>; Yohan Bossé</w:t>
      </w:r>
      <w:r w:rsidRPr="009422FE">
        <w:rPr>
          <w:vertAlign w:val="superscript"/>
        </w:rPr>
        <w:t>39,40</w:t>
      </w:r>
      <w:r>
        <w:t>; Corry-Anke Brandsma</w:t>
      </w:r>
      <w:r w:rsidRPr="009422FE">
        <w:rPr>
          <w:vertAlign w:val="superscript"/>
        </w:rPr>
        <w:t>41</w:t>
      </w:r>
      <w:r>
        <w:t>; Zhengming Chen</w:t>
      </w:r>
      <w:r w:rsidRPr="009422FE">
        <w:rPr>
          <w:vertAlign w:val="superscript"/>
        </w:rPr>
        <w:t>9</w:t>
      </w:r>
      <w:r>
        <w:t>; James D Crapo</w:t>
      </w:r>
      <w:r w:rsidRPr="009422FE">
        <w:rPr>
          <w:vertAlign w:val="superscript"/>
        </w:rPr>
        <w:t>42,43</w:t>
      </w:r>
      <w:r>
        <w:t>; John Danesh</w:t>
      </w:r>
      <w:r w:rsidRPr="009422FE">
        <w:rPr>
          <w:vertAlign w:val="superscript"/>
        </w:rPr>
        <w:t>19,44,45,46</w:t>
      </w:r>
      <w:r>
        <w:t>; Dawn L DeMeo</w:t>
      </w:r>
      <w:r w:rsidRPr="009422FE">
        <w:rPr>
          <w:vertAlign w:val="superscript"/>
        </w:rPr>
        <w:t>4,5</w:t>
      </w:r>
      <w:r>
        <w:t>; Frank Dudbridge</w:t>
      </w:r>
      <w:r w:rsidRPr="009422FE">
        <w:rPr>
          <w:vertAlign w:val="superscript"/>
        </w:rPr>
        <w:t>1</w:t>
      </w:r>
      <w:r>
        <w:t>; Ralf Ewert</w:t>
      </w:r>
      <w:r w:rsidRPr="009422FE">
        <w:rPr>
          <w:vertAlign w:val="superscript"/>
        </w:rPr>
        <w:t>47</w:t>
      </w:r>
      <w:r>
        <w:t>; Christian Gieger</w:t>
      </w:r>
      <w:r w:rsidRPr="009422FE">
        <w:rPr>
          <w:vertAlign w:val="superscript"/>
        </w:rPr>
        <w:t>48</w:t>
      </w:r>
      <w:r>
        <w:t>; Amund Gulsvik</w:t>
      </w:r>
      <w:r w:rsidRPr="009422FE">
        <w:rPr>
          <w:vertAlign w:val="superscript"/>
        </w:rPr>
        <w:t>37</w:t>
      </w:r>
      <w:r>
        <w:t>; Anna L Hansell</w:t>
      </w:r>
      <w:r w:rsidRPr="009422FE">
        <w:rPr>
          <w:vertAlign w:val="superscript"/>
        </w:rPr>
        <w:t>49,50,51</w:t>
      </w:r>
      <w:r>
        <w:t>; Ke Hao</w:t>
      </w:r>
      <w:r w:rsidRPr="009422FE">
        <w:rPr>
          <w:vertAlign w:val="superscript"/>
        </w:rPr>
        <w:t>52</w:t>
      </w:r>
      <w:r>
        <w:t>; Joshua D Hoffman</w:t>
      </w:r>
      <w:r w:rsidRPr="009422FE">
        <w:rPr>
          <w:vertAlign w:val="superscript"/>
        </w:rPr>
        <w:t>6</w:t>
      </w:r>
      <w:r>
        <w:t>; John E Hokanson</w:t>
      </w:r>
      <w:r w:rsidRPr="009422FE">
        <w:rPr>
          <w:vertAlign w:val="superscript"/>
        </w:rPr>
        <w:t>53</w:t>
      </w:r>
      <w:r>
        <w:t>; Georg Homuth</w:t>
      </w:r>
      <w:r w:rsidRPr="009422FE">
        <w:rPr>
          <w:vertAlign w:val="superscript"/>
        </w:rPr>
        <w:t>15</w:t>
      </w:r>
      <w:r>
        <w:t>; Peter K Joshi</w:t>
      </w:r>
      <w:r w:rsidRPr="009422FE">
        <w:rPr>
          <w:vertAlign w:val="superscript"/>
        </w:rPr>
        <w:t>16</w:t>
      </w:r>
      <w:r>
        <w:t>; Philippe Joubert</w:t>
      </w:r>
      <w:r w:rsidRPr="009422FE">
        <w:rPr>
          <w:vertAlign w:val="superscript"/>
        </w:rPr>
        <w:t>40,54</w:t>
      </w:r>
      <w:r>
        <w:t>; Claudia Langenberg</w:t>
      </w:r>
      <w:r w:rsidRPr="009422FE">
        <w:rPr>
          <w:vertAlign w:val="superscript"/>
        </w:rPr>
        <w:t>55</w:t>
      </w:r>
      <w:r>
        <w:t>; Xuan Li</w:t>
      </w:r>
      <w:r w:rsidRPr="009422FE">
        <w:rPr>
          <w:vertAlign w:val="superscript"/>
        </w:rPr>
        <w:t>11</w:t>
      </w:r>
      <w:r>
        <w:t>; Liming Li</w:t>
      </w:r>
      <w:r w:rsidRPr="009422FE">
        <w:rPr>
          <w:vertAlign w:val="superscript"/>
        </w:rPr>
        <w:t>56</w:t>
      </w:r>
      <w:r>
        <w:t>; Kuang Lin</w:t>
      </w:r>
      <w:r w:rsidRPr="009422FE">
        <w:rPr>
          <w:vertAlign w:val="superscript"/>
        </w:rPr>
        <w:t>9</w:t>
      </w:r>
      <w:r>
        <w:t>; Lars Lind</w:t>
      </w:r>
      <w:r w:rsidRPr="009422FE">
        <w:rPr>
          <w:vertAlign w:val="superscript"/>
        </w:rPr>
        <w:t>57</w:t>
      </w:r>
      <w:r>
        <w:t>; Nicholas Locantore</w:t>
      </w:r>
      <w:r w:rsidRPr="009422FE">
        <w:rPr>
          <w:vertAlign w:val="superscript"/>
        </w:rPr>
        <w:t>58</w:t>
      </w:r>
      <w:r>
        <w:t>; Jian'an Luan</w:t>
      </w:r>
      <w:r w:rsidRPr="009422FE">
        <w:rPr>
          <w:vertAlign w:val="superscript"/>
        </w:rPr>
        <w:t>55</w:t>
      </w:r>
      <w:r>
        <w:t>; Anubha Mahajan</w:t>
      </w:r>
      <w:r w:rsidRPr="009422FE">
        <w:rPr>
          <w:vertAlign w:val="superscript"/>
        </w:rPr>
        <w:t>59</w:t>
      </w:r>
      <w:r>
        <w:t>; Joseph C Maranville</w:t>
      </w:r>
      <w:r w:rsidRPr="009422FE">
        <w:rPr>
          <w:vertAlign w:val="superscript"/>
        </w:rPr>
        <w:t>60</w:t>
      </w:r>
      <w:r>
        <w:t>; Alison Murray</w:t>
      </w:r>
      <w:r w:rsidRPr="009422FE">
        <w:rPr>
          <w:vertAlign w:val="superscript"/>
        </w:rPr>
        <w:t>61</w:t>
      </w:r>
      <w:r>
        <w:t>; David C Nickle</w:t>
      </w:r>
      <w:r w:rsidRPr="009422FE">
        <w:rPr>
          <w:vertAlign w:val="superscript"/>
        </w:rPr>
        <w:t>60,62</w:t>
      </w:r>
      <w:r>
        <w:t>; Richard Packer</w:t>
      </w:r>
      <w:r w:rsidRPr="009422FE">
        <w:rPr>
          <w:vertAlign w:val="superscript"/>
        </w:rPr>
        <w:t>1</w:t>
      </w:r>
      <w:r>
        <w:t>; Margaret M Parker</w:t>
      </w:r>
      <w:r w:rsidRPr="009422FE">
        <w:rPr>
          <w:vertAlign w:val="superscript"/>
        </w:rPr>
        <w:t>4</w:t>
      </w:r>
      <w:r>
        <w:t>; Megan L Paynton</w:t>
      </w:r>
      <w:r w:rsidRPr="009422FE">
        <w:rPr>
          <w:vertAlign w:val="superscript"/>
        </w:rPr>
        <w:t>1</w:t>
      </w:r>
      <w:r>
        <w:t>; David J Porteous</w:t>
      </w:r>
      <w:r w:rsidRPr="009422FE">
        <w:rPr>
          <w:vertAlign w:val="superscript"/>
        </w:rPr>
        <w:t>30,31</w:t>
      </w:r>
      <w:r>
        <w:t>; Dmitry Prokopenko</w:t>
      </w:r>
      <w:r w:rsidRPr="009422FE">
        <w:rPr>
          <w:vertAlign w:val="superscript"/>
        </w:rPr>
        <w:t>4</w:t>
      </w:r>
      <w:r>
        <w:t>; Dandi Qiao</w:t>
      </w:r>
      <w:r w:rsidRPr="009422FE">
        <w:rPr>
          <w:vertAlign w:val="superscript"/>
        </w:rPr>
        <w:t>4</w:t>
      </w:r>
      <w:r>
        <w:t>; Rajesh Rawal</w:t>
      </w:r>
      <w:r w:rsidRPr="009422FE">
        <w:rPr>
          <w:vertAlign w:val="superscript"/>
        </w:rPr>
        <w:t>48</w:t>
      </w:r>
      <w:r>
        <w:t>; Heiko Runz</w:t>
      </w:r>
      <w:r w:rsidRPr="009422FE">
        <w:rPr>
          <w:vertAlign w:val="superscript"/>
        </w:rPr>
        <w:t>60</w:t>
      </w:r>
      <w:r>
        <w:t>; Ian Sayers</w:t>
      </w:r>
      <w:r w:rsidRPr="009422FE">
        <w:rPr>
          <w:vertAlign w:val="superscript"/>
        </w:rPr>
        <w:t>63</w:t>
      </w:r>
      <w:r>
        <w:t>; Don D Sin</w:t>
      </w:r>
      <w:r w:rsidRPr="009422FE">
        <w:rPr>
          <w:vertAlign w:val="superscript"/>
        </w:rPr>
        <w:t>11,64</w:t>
      </w:r>
      <w:r>
        <w:t>; Blair H Smith</w:t>
      </w:r>
      <w:r w:rsidRPr="009422FE">
        <w:rPr>
          <w:vertAlign w:val="superscript"/>
        </w:rPr>
        <w:t>65</w:t>
      </w:r>
      <w:r>
        <w:t>; María Soler Artigas</w:t>
      </w:r>
      <w:r w:rsidRPr="009422FE">
        <w:rPr>
          <w:vertAlign w:val="superscript"/>
        </w:rPr>
        <w:t>66,67,68</w:t>
      </w:r>
      <w:r>
        <w:t>; David Sparrow</w:t>
      </w:r>
      <w:r w:rsidRPr="009422FE">
        <w:rPr>
          <w:vertAlign w:val="superscript"/>
        </w:rPr>
        <w:t>69,70</w:t>
      </w:r>
      <w:r>
        <w:t>; Ruth Tal-Singer</w:t>
      </w:r>
      <w:r w:rsidRPr="009422FE">
        <w:rPr>
          <w:vertAlign w:val="superscript"/>
        </w:rPr>
        <w:t>58</w:t>
      </w:r>
      <w:r>
        <w:t>; Paul RHJ Timmers</w:t>
      </w:r>
      <w:r w:rsidRPr="009422FE">
        <w:rPr>
          <w:vertAlign w:val="superscript"/>
        </w:rPr>
        <w:t>16</w:t>
      </w:r>
      <w:r>
        <w:t>; Maarten Van den Berge</w:t>
      </w:r>
      <w:r w:rsidRPr="009422FE">
        <w:rPr>
          <w:vertAlign w:val="superscript"/>
        </w:rPr>
        <w:t>71</w:t>
      </w:r>
      <w:r>
        <w:t xml:space="preserve">; </w:t>
      </w:r>
      <w:r w:rsidRPr="00FB4EFD">
        <w:t>John C Whittaker</w:t>
      </w:r>
      <w:r w:rsidRPr="00FB4EFD">
        <w:rPr>
          <w:vertAlign w:val="superscript"/>
        </w:rPr>
        <w:t>72</w:t>
      </w:r>
      <w:r>
        <w:t>; Prescott G Woodruff</w:t>
      </w:r>
      <w:r w:rsidRPr="009422FE">
        <w:rPr>
          <w:vertAlign w:val="superscript"/>
        </w:rPr>
        <w:t>73</w:t>
      </w:r>
      <w:r>
        <w:t>; Laura M Yerges-Armstrong</w:t>
      </w:r>
      <w:r w:rsidRPr="009422FE">
        <w:rPr>
          <w:vertAlign w:val="superscript"/>
        </w:rPr>
        <w:t>6</w:t>
      </w:r>
      <w:r>
        <w:t>; Olga G Troyanskaya</w:t>
      </w:r>
      <w:r w:rsidRPr="009422FE">
        <w:rPr>
          <w:vertAlign w:val="superscript"/>
        </w:rPr>
        <w:t>74,75</w:t>
      </w:r>
      <w:r>
        <w:t>; Olli T Raitakari</w:t>
      </w:r>
      <w:r w:rsidRPr="009422FE">
        <w:rPr>
          <w:vertAlign w:val="superscript"/>
        </w:rPr>
        <w:t>76,77</w:t>
      </w:r>
      <w:r>
        <w:t>; Mika Kähönen</w:t>
      </w:r>
      <w:r w:rsidRPr="009422FE">
        <w:rPr>
          <w:vertAlign w:val="superscript"/>
        </w:rPr>
        <w:t>78</w:t>
      </w:r>
      <w:r>
        <w:t>; Ozren Polasek</w:t>
      </w:r>
      <w:r w:rsidRPr="009422FE">
        <w:rPr>
          <w:vertAlign w:val="superscript"/>
        </w:rPr>
        <w:t>79,16</w:t>
      </w:r>
      <w:r>
        <w:t>; Ulf Gyllensten</w:t>
      </w:r>
      <w:r w:rsidRPr="009422FE">
        <w:rPr>
          <w:vertAlign w:val="superscript"/>
        </w:rPr>
        <w:t>33</w:t>
      </w:r>
      <w:r>
        <w:t>; Igor Rudan</w:t>
      </w:r>
      <w:r w:rsidRPr="009422FE">
        <w:rPr>
          <w:vertAlign w:val="superscript"/>
        </w:rPr>
        <w:t>16</w:t>
      </w:r>
      <w:r>
        <w:t>; Ian J Deary</w:t>
      </w:r>
      <w:r w:rsidRPr="009422FE">
        <w:rPr>
          <w:vertAlign w:val="superscript"/>
        </w:rPr>
        <w:t>30,80</w:t>
      </w:r>
      <w:r>
        <w:t>; Nicole M Probst-Hensch</w:t>
      </w:r>
      <w:r w:rsidRPr="009422FE">
        <w:rPr>
          <w:vertAlign w:val="superscript"/>
        </w:rPr>
        <w:t>28,29</w:t>
      </w:r>
      <w:r>
        <w:t>; Holger Schulz</w:t>
      </w:r>
      <w:r w:rsidRPr="009422FE">
        <w:rPr>
          <w:vertAlign w:val="superscript"/>
        </w:rPr>
        <w:t>25,27</w:t>
      </w:r>
      <w:r>
        <w:t>; Alan L James</w:t>
      </w:r>
      <w:r w:rsidRPr="009422FE">
        <w:rPr>
          <w:vertAlign w:val="superscript"/>
        </w:rPr>
        <w:t>21,81,82</w:t>
      </w:r>
      <w:r>
        <w:t>; James F Wilson</w:t>
      </w:r>
      <w:r w:rsidRPr="009422FE">
        <w:rPr>
          <w:vertAlign w:val="superscript"/>
        </w:rPr>
        <w:t>16,32</w:t>
      </w:r>
      <w:r>
        <w:t>; Beate Stubbe</w:t>
      </w:r>
      <w:r w:rsidRPr="009422FE">
        <w:rPr>
          <w:vertAlign w:val="superscript"/>
        </w:rPr>
        <w:t>47</w:t>
      </w:r>
      <w:r>
        <w:t>; Eleftheria Zeggini</w:t>
      </w:r>
      <w:r w:rsidRPr="009422FE">
        <w:rPr>
          <w:vertAlign w:val="superscript"/>
        </w:rPr>
        <w:t>83,84</w:t>
      </w:r>
      <w:r>
        <w:t>; Marjo-Riitta Jarvelin</w:t>
      </w:r>
      <w:r w:rsidRPr="009422FE">
        <w:rPr>
          <w:vertAlign w:val="superscript"/>
        </w:rPr>
        <w:t>85,86,87,13,88</w:t>
      </w:r>
      <w:r>
        <w:t>; Nick Wareham</w:t>
      </w:r>
      <w:r w:rsidRPr="009422FE">
        <w:rPr>
          <w:vertAlign w:val="superscript"/>
        </w:rPr>
        <w:t>55</w:t>
      </w:r>
      <w:r>
        <w:t>; Edwin K Silverman</w:t>
      </w:r>
      <w:r w:rsidRPr="009422FE">
        <w:rPr>
          <w:vertAlign w:val="superscript"/>
        </w:rPr>
        <w:t>4,5</w:t>
      </w:r>
      <w:r>
        <w:t>; Caroline Hayward</w:t>
      </w:r>
      <w:r w:rsidRPr="009422FE">
        <w:rPr>
          <w:vertAlign w:val="superscript"/>
        </w:rPr>
        <w:t>32</w:t>
      </w:r>
      <w:r>
        <w:t>; Andrew P Morris</w:t>
      </w:r>
      <w:r w:rsidRPr="009422FE">
        <w:rPr>
          <w:vertAlign w:val="superscript"/>
        </w:rPr>
        <w:t>18,59</w:t>
      </w:r>
      <w:r>
        <w:t>; Adam S Butterworth</w:t>
      </w:r>
      <w:r w:rsidRPr="009422FE">
        <w:rPr>
          <w:vertAlign w:val="superscript"/>
        </w:rPr>
        <w:t>19,46</w:t>
      </w:r>
      <w:r>
        <w:t>; Robert A Scott</w:t>
      </w:r>
      <w:r w:rsidRPr="009422FE">
        <w:rPr>
          <w:vertAlign w:val="superscript"/>
        </w:rPr>
        <w:t>72</w:t>
      </w:r>
      <w:r>
        <w:t>; Robin G Walters</w:t>
      </w:r>
      <w:r w:rsidRPr="009422FE">
        <w:rPr>
          <w:vertAlign w:val="superscript"/>
        </w:rPr>
        <w:t>9</w:t>
      </w:r>
      <w:r>
        <w:t>; Deborah A Meyers</w:t>
      </w:r>
      <w:r w:rsidRPr="009422FE">
        <w:rPr>
          <w:vertAlign w:val="superscript"/>
        </w:rPr>
        <w:t>8</w:t>
      </w:r>
      <w:r>
        <w:t>; Michael H Cho</w:t>
      </w:r>
      <w:r w:rsidRPr="009422FE">
        <w:rPr>
          <w:vertAlign w:val="superscript"/>
        </w:rPr>
        <w:t>4,5</w:t>
      </w:r>
      <w:r>
        <w:t>; David P Strachan</w:t>
      </w:r>
      <w:r w:rsidRPr="009422FE">
        <w:rPr>
          <w:vertAlign w:val="superscript"/>
        </w:rPr>
        <w:t>89</w:t>
      </w:r>
      <w:r>
        <w:t>; Ian P Hall†</w:t>
      </w:r>
      <w:r w:rsidRPr="009422FE">
        <w:rPr>
          <w:vertAlign w:val="superscript"/>
        </w:rPr>
        <w:t>63</w:t>
      </w:r>
      <w:r>
        <w:t>; Martin D Tobin†*</w:t>
      </w:r>
      <w:r w:rsidRPr="009422FE">
        <w:rPr>
          <w:vertAlign w:val="superscript"/>
        </w:rPr>
        <w:t>1,90</w:t>
      </w:r>
      <w:r>
        <w:t>; Louise V Wain†*</w:t>
      </w:r>
      <w:r w:rsidRPr="009422FE">
        <w:rPr>
          <w:vertAlign w:val="superscript"/>
        </w:rPr>
        <w:t>1,90</w:t>
      </w:r>
      <w:r>
        <w:t xml:space="preserve">; </w:t>
      </w:r>
    </w:p>
    <w:p w14:paraId="4DF18201" w14:textId="77777777" w:rsidR="00A81934" w:rsidRPr="00C24EB6" w:rsidRDefault="00A81934" w:rsidP="00B86DB1">
      <w:pPr>
        <w:pStyle w:val="berschrift1"/>
      </w:pPr>
      <w:r>
        <w:t>Affiliations</w:t>
      </w:r>
    </w:p>
    <w:p w14:paraId="451546CA" w14:textId="77777777" w:rsidR="00A81934" w:rsidRPr="00B82D56" w:rsidRDefault="00A81934" w:rsidP="00EF6C4C">
      <w:r w:rsidRPr="00B82D56">
        <w:t>1.   Department of Health Sciences, University of Leicester, Leicester, LE1 7RH, UK</w:t>
      </w:r>
    </w:p>
    <w:p w14:paraId="5C4998D6" w14:textId="6A25B51B" w:rsidR="00A81934" w:rsidRPr="00B82D56" w:rsidRDefault="00A81934" w:rsidP="00EF6C4C">
      <w:r w:rsidRPr="00B82D56">
        <w:t xml:space="preserve">2.   Population Health and Immunity Division, The Walter and Eliza Hall Institute of Medical Research, Parkville, </w:t>
      </w:r>
      <w:r>
        <w:t xml:space="preserve">Victoria, </w:t>
      </w:r>
      <w:r w:rsidRPr="00B82D56">
        <w:t>Australia</w:t>
      </w:r>
    </w:p>
    <w:p w14:paraId="0E792156" w14:textId="43A1B94E" w:rsidR="00A81934" w:rsidRPr="00B82D56" w:rsidRDefault="00A81934" w:rsidP="00EF6C4C">
      <w:r w:rsidRPr="00B82D56">
        <w:t xml:space="preserve">3.   Department of Medical Biology, University of Melbourne, Parkville, </w:t>
      </w:r>
      <w:r>
        <w:t xml:space="preserve">Victoria, </w:t>
      </w:r>
      <w:r w:rsidRPr="00B82D56">
        <w:t>Australia</w:t>
      </w:r>
    </w:p>
    <w:p w14:paraId="5800A0AE" w14:textId="2E4EBFC7" w:rsidR="00A81934" w:rsidRPr="00B82D56" w:rsidRDefault="00A81934" w:rsidP="00EF6C4C">
      <w:r w:rsidRPr="00B82D56">
        <w:t xml:space="preserve">4.   Channing Division of Network Medicine, Brigham </w:t>
      </w:r>
      <w:r>
        <w:t>and Women's Hospital, Boston, Massachussetts</w:t>
      </w:r>
      <w:r w:rsidRPr="00B82D56">
        <w:t>, USA</w:t>
      </w:r>
    </w:p>
    <w:p w14:paraId="2B211525" w14:textId="1E1FF1FD" w:rsidR="00A81934" w:rsidRPr="00B82D56" w:rsidRDefault="00A81934" w:rsidP="00EF6C4C">
      <w:r w:rsidRPr="00B82D56">
        <w:t xml:space="preserve">5.   Division of Pulmonary and Critical Care Medicine, Brigham and Women's Hospital, Boston, </w:t>
      </w:r>
      <w:r>
        <w:t>Massachussetts</w:t>
      </w:r>
      <w:r w:rsidRPr="00B82D56">
        <w:t>, USA</w:t>
      </w:r>
    </w:p>
    <w:p w14:paraId="2F34EF6E" w14:textId="4A932F55" w:rsidR="00A81934" w:rsidRPr="00B82D56" w:rsidRDefault="00A81934" w:rsidP="00EF6C4C">
      <w:r w:rsidRPr="00B82D56">
        <w:t>6.   Target Sciences, G</w:t>
      </w:r>
      <w:r>
        <w:t>laxoSmithKline, Collegeville, Pennsylvania</w:t>
      </w:r>
      <w:r w:rsidRPr="00B82D56">
        <w:t>, US</w:t>
      </w:r>
      <w:r>
        <w:t>A</w:t>
      </w:r>
    </w:p>
    <w:p w14:paraId="1CD21146" w14:textId="77777777" w:rsidR="00A81934" w:rsidRPr="00B82D56" w:rsidRDefault="00A81934" w:rsidP="00EF6C4C">
      <w:r w:rsidRPr="00B82D56">
        <w:t>7.   Department of Medicine, Faculty of Medicine Siriraj Hospital, Mahidol University, Bangkok, Thailand</w:t>
      </w:r>
    </w:p>
    <w:p w14:paraId="41ED7AC1" w14:textId="0B8BA11B" w:rsidR="00A81934" w:rsidRPr="00B82D56" w:rsidRDefault="00A81934" w:rsidP="00EF6C4C">
      <w:r w:rsidRPr="00B82D56">
        <w:t xml:space="preserve">8.   Division of Genetics, Genomics and Precision Medicine, Department of Medicine, University of Arizona, </w:t>
      </w:r>
      <w:r>
        <w:t>Tucson</w:t>
      </w:r>
      <w:r w:rsidRPr="00B82D56">
        <w:t xml:space="preserve">, </w:t>
      </w:r>
      <w:r>
        <w:t xml:space="preserve">Arizona, </w:t>
      </w:r>
      <w:r w:rsidRPr="00B82D56">
        <w:t>USA</w:t>
      </w:r>
    </w:p>
    <w:p w14:paraId="4E8B0D29" w14:textId="06B03864" w:rsidR="00A81934" w:rsidRPr="00B82D56" w:rsidRDefault="00A81934" w:rsidP="00EF6C4C">
      <w:r w:rsidRPr="00B82D56">
        <w:t>9.   Nuffield Department of Population Health, University of Oxford, Oxford, UK</w:t>
      </w:r>
    </w:p>
    <w:p w14:paraId="4784CFEF" w14:textId="317014EB" w:rsidR="00A81934" w:rsidRPr="00B82D56" w:rsidRDefault="00A81934" w:rsidP="00EF6C4C">
      <w:r w:rsidRPr="00B82D56">
        <w:t>10.   Medical Research Council Population Health Research Unit, Univers</w:t>
      </w:r>
      <w:r>
        <w:t xml:space="preserve">ity of Oxford, Oxford, </w:t>
      </w:r>
      <w:r w:rsidRPr="00B82D56">
        <w:t>UK</w:t>
      </w:r>
    </w:p>
    <w:p w14:paraId="4D29EF32" w14:textId="33DF44E0" w:rsidR="00A81934" w:rsidRPr="00B82D56" w:rsidRDefault="00A81934" w:rsidP="00EF6C4C">
      <w:r w:rsidRPr="00B82D56">
        <w:lastRenderedPageBreak/>
        <w:t>11.   The University of British Columbia Centre for Heart Lung Innovation, St Paul’s H</w:t>
      </w:r>
      <w:r>
        <w:t>ospital, Vancouver, British Columbia</w:t>
      </w:r>
      <w:r w:rsidRPr="00B82D56">
        <w:t>, Canada</w:t>
      </w:r>
    </w:p>
    <w:p w14:paraId="5CCA362A" w14:textId="48A1C974" w:rsidR="00A81934" w:rsidRPr="00B82D56" w:rsidRDefault="00A81934" w:rsidP="00EF6C4C">
      <w:r w:rsidRPr="00B82D56">
        <w:t>12.   Cardiovascular Epidemiology Unit, Department of Public Health and Primary Care, University of Cambridge, Cambridge, UK</w:t>
      </w:r>
    </w:p>
    <w:p w14:paraId="548CE3C4" w14:textId="01BA3359" w:rsidR="00A81934" w:rsidRPr="00B82D56" w:rsidRDefault="00A81934" w:rsidP="00EF6C4C">
      <w:r w:rsidRPr="00B82D56">
        <w:t xml:space="preserve">13.   Department of Epidemiology and Biostatistics, MRC–PHE Centre for Environment &amp; Health, School of Public Health, Imperial </w:t>
      </w:r>
      <w:r>
        <w:t xml:space="preserve">College London, London, </w:t>
      </w:r>
      <w:r w:rsidRPr="00B82D56">
        <w:t>UK</w:t>
      </w:r>
    </w:p>
    <w:p w14:paraId="3C0AAF5E" w14:textId="550DE0E8" w:rsidR="00A81934" w:rsidRPr="00B82D56" w:rsidRDefault="00A81934" w:rsidP="00EF6C4C">
      <w:r w:rsidRPr="00B82D56">
        <w:t xml:space="preserve">14.   A list of contributors can be found in the Supplementary </w:t>
      </w:r>
      <w:r w:rsidR="00243CB7">
        <w:t>Note</w:t>
      </w:r>
    </w:p>
    <w:p w14:paraId="00F688D6" w14:textId="5F508664" w:rsidR="00A81934" w:rsidRPr="00B82D56" w:rsidRDefault="00A81934" w:rsidP="00EF6C4C">
      <w:r w:rsidRPr="00B82D56">
        <w:t xml:space="preserve">15.   Interfaculty Institute for Genetics and Functional Genomics, Department of Functional Genomics, University Medicine </w:t>
      </w:r>
      <w:r>
        <w:t xml:space="preserve">Greifswald, </w:t>
      </w:r>
      <w:r w:rsidRPr="00B82D56">
        <w:t>Greifswald, Germany</w:t>
      </w:r>
    </w:p>
    <w:p w14:paraId="0CEC2B7F" w14:textId="2F4098DA" w:rsidR="00A81934" w:rsidRPr="00B82D56" w:rsidRDefault="00A81934" w:rsidP="00EF6C4C">
      <w:r w:rsidRPr="00B82D56">
        <w:t>16.   Centre for Global Health Research, Usher Institute for Population Health Sciences and Informatics, University of</w:t>
      </w:r>
      <w:r>
        <w:t xml:space="preserve"> Edinburgh, Edinburgh, </w:t>
      </w:r>
      <w:r w:rsidRPr="00B82D56">
        <w:t>UK</w:t>
      </w:r>
    </w:p>
    <w:p w14:paraId="5B4D71FD" w14:textId="5C34AA9A" w:rsidR="00A81934" w:rsidRPr="00B82D56" w:rsidRDefault="00A81934" w:rsidP="00EF6C4C">
      <w:r w:rsidRPr="00B82D56">
        <w:t xml:space="preserve">17.   Centre for Cardiovascular Sciences, Queen’s Medical Research Institute, University of </w:t>
      </w:r>
      <w:r>
        <w:t xml:space="preserve">Edinburgh, Edinburgh, </w:t>
      </w:r>
      <w:r w:rsidRPr="00B82D56">
        <w:t>UK</w:t>
      </w:r>
    </w:p>
    <w:p w14:paraId="451AEDDC" w14:textId="6B81B3C1" w:rsidR="00A81934" w:rsidRPr="00B82D56" w:rsidRDefault="00A81934" w:rsidP="00EF6C4C">
      <w:r w:rsidRPr="00B82D56">
        <w:t>18.   Department of Biostatistics, University</w:t>
      </w:r>
      <w:r>
        <w:t xml:space="preserve"> of Liverpool, Liverpool</w:t>
      </w:r>
      <w:r w:rsidRPr="00B82D56">
        <w:t>, UK</w:t>
      </w:r>
    </w:p>
    <w:p w14:paraId="3523E524" w14:textId="69D9DCD6" w:rsidR="00A81934" w:rsidRPr="00B82D56" w:rsidRDefault="00A81934" w:rsidP="00EF6C4C">
      <w:r w:rsidRPr="00B82D56">
        <w:t xml:space="preserve">19.   MRC/BHF Cardiovascular Epidemiology Unit, Department of Public Health and Primary Care, University of </w:t>
      </w:r>
      <w:r>
        <w:t xml:space="preserve">Cambridge, Cambridge, </w:t>
      </w:r>
      <w:r w:rsidRPr="00B82D56">
        <w:t>UK</w:t>
      </w:r>
    </w:p>
    <w:p w14:paraId="3D1A7636" w14:textId="77777777" w:rsidR="00A81934" w:rsidRPr="00B82D56" w:rsidRDefault="00A81934" w:rsidP="00EF6C4C">
      <w:r w:rsidRPr="00B82D56">
        <w:t>20.   Flatiron Institute, Simons Foundation, New York, New York, USA</w:t>
      </w:r>
    </w:p>
    <w:p w14:paraId="3B35D12E" w14:textId="65F9E2F8" w:rsidR="00A81934" w:rsidRPr="00B82D56" w:rsidRDefault="00A81934" w:rsidP="00EF6C4C">
      <w:r w:rsidRPr="00B82D56">
        <w:t>21.   Busselton Population Medical Research Institute, Sir Charles Gairdner Hospital, Nedlands</w:t>
      </w:r>
      <w:r>
        <w:t>, Western Australia,</w:t>
      </w:r>
      <w:r w:rsidRPr="00B82D56">
        <w:t xml:space="preserve"> Australia</w:t>
      </w:r>
    </w:p>
    <w:p w14:paraId="1AA6AA34" w14:textId="3E852D25" w:rsidR="00A81934" w:rsidRPr="00B82D56" w:rsidRDefault="00A81934" w:rsidP="00EF6C4C">
      <w:r w:rsidRPr="00B82D56">
        <w:t>22.   School of Population Health, The University of Western Australia, Crawley,</w:t>
      </w:r>
      <w:r>
        <w:t xml:space="preserve"> Western Australia</w:t>
      </w:r>
      <w:r w:rsidRPr="00B82D56">
        <w:t xml:space="preserve"> Australia</w:t>
      </w:r>
    </w:p>
    <w:p w14:paraId="06DC543A" w14:textId="1621B13F" w:rsidR="00A81934" w:rsidRPr="00B82D56" w:rsidRDefault="00A81934" w:rsidP="00EF6C4C">
      <w:r w:rsidRPr="00B82D56">
        <w:t>23.   PathWest Laboratory Medicine of WA, Sir Charles Gairdner Hospital, Crawley,</w:t>
      </w:r>
      <w:r>
        <w:t xml:space="preserve"> Western Australia,</w:t>
      </w:r>
      <w:r w:rsidRPr="00B82D56">
        <w:t xml:space="preserve"> Australia</w:t>
      </w:r>
    </w:p>
    <w:p w14:paraId="4D97E58C" w14:textId="25997855" w:rsidR="00A81934" w:rsidRPr="00B82D56" w:rsidRDefault="00A81934" w:rsidP="00EF6C4C">
      <w:r w:rsidRPr="00B82D56">
        <w:t>24.   School of Pathology and Laboratory Medicine, The University</w:t>
      </w:r>
      <w:r>
        <w:t xml:space="preserve"> of Western Australia, Crawley</w:t>
      </w:r>
      <w:r w:rsidRPr="00B82D56">
        <w:t>,</w:t>
      </w:r>
      <w:r>
        <w:t xml:space="preserve"> Western Australia,</w:t>
      </w:r>
      <w:r w:rsidRPr="00B82D56">
        <w:t xml:space="preserve"> Australia</w:t>
      </w:r>
    </w:p>
    <w:p w14:paraId="574E19B4" w14:textId="77777777" w:rsidR="00A81934" w:rsidRPr="00B82D56" w:rsidRDefault="00A81934" w:rsidP="00EF6C4C">
      <w:r w:rsidRPr="00B82D56">
        <w:t>25.   Institute of Epidemiology, Helmholtz Zentrum Muenchen – German Research Center for Environmental Health, Neuherberg, Germany</w:t>
      </w:r>
    </w:p>
    <w:p w14:paraId="6A3CF32B" w14:textId="77777777" w:rsidR="00A81934" w:rsidRPr="00B82D56" w:rsidRDefault="00A81934" w:rsidP="00EF6C4C">
      <w:r w:rsidRPr="00B82D56">
        <w:t>26.   Institute and Outpatient Clinic for Occupational, Social and Environmental Medicine, Ludwig-Maximilians-Universität, Munich, Germany</w:t>
      </w:r>
    </w:p>
    <w:p w14:paraId="3F499E39" w14:textId="0BAA226F" w:rsidR="00A81934" w:rsidRPr="00B82D56" w:rsidRDefault="00A81934" w:rsidP="00EF6C4C">
      <w:r w:rsidRPr="00B82D56">
        <w:t>27.   Comprehensive Pneumology Center Munich (CPC-M), Member of the German Center for Lung Research (DZL), Munich, Germany</w:t>
      </w:r>
    </w:p>
    <w:p w14:paraId="0647D63D" w14:textId="77777777" w:rsidR="00A81934" w:rsidRPr="00B82D56" w:rsidRDefault="00A81934" w:rsidP="00EF6C4C">
      <w:r w:rsidRPr="00B82D56">
        <w:t>28.   Swiss Tropical and Public Health Institute, Basel, Switzerland</w:t>
      </w:r>
    </w:p>
    <w:p w14:paraId="0CF29A5C" w14:textId="77777777" w:rsidR="00A81934" w:rsidRPr="00B82D56" w:rsidRDefault="00A81934" w:rsidP="00EF6C4C">
      <w:r w:rsidRPr="00B82D56">
        <w:t xml:space="preserve">29.   University of Basel, </w:t>
      </w:r>
      <w:r>
        <w:t xml:space="preserve">Basel, </w:t>
      </w:r>
      <w:r w:rsidRPr="00B82D56">
        <w:t>Switzerland</w:t>
      </w:r>
    </w:p>
    <w:p w14:paraId="521877BD" w14:textId="18F7AFBA" w:rsidR="00A81934" w:rsidRPr="00B82D56" w:rsidRDefault="00A81934" w:rsidP="00EF6C4C">
      <w:r w:rsidRPr="00B82D56">
        <w:t>30.   Centre for Cognitive Ageing and Cognitive Epidemiology, University</w:t>
      </w:r>
      <w:r>
        <w:t xml:space="preserve"> of Edinburgh, Edinburgh</w:t>
      </w:r>
      <w:r w:rsidRPr="00B82D56">
        <w:t>, UK</w:t>
      </w:r>
    </w:p>
    <w:p w14:paraId="0FB66FF8" w14:textId="09C483F2" w:rsidR="00A81934" w:rsidRPr="00B82D56" w:rsidRDefault="00A81934" w:rsidP="00EF6C4C">
      <w:r w:rsidRPr="00B82D56">
        <w:t>31.   Centre for Genomic and Experimental Medicine, Institute of Genetics &amp; Molecular Medicine, University o</w:t>
      </w:r>
      <w:r>
        <w:t>f Edinburgh, Edinburgh</w:t>
      </w:r>
      <w:r w:rsidRPr="00B82D56">
        <w:t>, UK</w:t>
      </w:r>
    </w:p>
    <w:p w14:paraId="64F23C8E" w14:textId="53068267" w:rsidR="00A81934" w:rsidRPr="00B82D56" w:rsidRDefault="00A81934" w:rsidP="00EF6C4C">
      <w:r w:rsidRPr="00B82D56">
        <w:t>32.   Medical Research Council Human Genetics Unit, Institute of Genetics and Molecular Medicine, University</w:t>
      </w:r>
      <w:r>
        <w:t xml:space="preserve"> of Edinburgh, Edinburgh</w:t>
      </w:r>
      <w:r w:rsidRPr="00B82D56">
        <w:t>, UK</w:t>
      </w:r>
    </w:p>
    <w:p w14:paraId="3C0A0E05" w14:textId="1146031D" w:rsidR="00A81934" w:rsidRPr="00B82D56" w:rsidRDefault="00A81934" w:rsidP="00EF6C4C">
      <w:r w:rsidRPr="00B82D56">
        <w:t xml:space="preserve">33.   Department of Immunology, Genetics and Pathology, </w:t>
      </w:r>
      <w:r>
        <w:t xml:space="preserve">Science for Life Laboratory, </w:t>
      </w:r>
      <w:r w:rsidRPr="00B82D56">
        <w:t>Uppsala Universit</w:t>
      </w:r>
      <w:r>
        <w:t>et, Uppsala</w:t>
      </w:r>
      <w:r w:rsidRPr="00B82D56">
        <w:t>, Sweden</w:t>
      </w:r>
    </w:p>
    <w:p w14:paraId="68C8A803" w14:textId="77777777" w:rsidR="00A81934" w:rsidRPr="00B82D56" w:rsidRDefault="00A81934" w:rsidP="00EF6C4C">
      <w:r w:rsidRPr="00B82D56">
        <w:t>34.   Institute for Molecular Medicine Finland (FIMM), University of Helsinki, Helsinki, Finland</w:t>
      </w:r>
    </w:p>
    <w:p w14:paraId="74E25EE4" w14:textId="45F22F4D" w:rsidR="00A81934" w:rsidRPr="00B82D56" w:rsidRDefault="00A81934" w:rsidP="00EF6C4C">
      <w:r w:rsidRPr="00B82D56">
        <w:t>35.   The National Institute for Healt</w:t>
      </w:r>
      <w:r>
        <w:t xml:space="preserve">h and Welfare (THL), Helsinki, </w:t>
      </w:r>
      <w:r w:rsidRPr="00B82D56">
        <w:t>Finland</w:t>
      </w:r>
    </w:p>
    <w:p w14:paraId="2B5F4EEF" w14:textId="770D668D" w:rsidR="00A81934" w:rsidRPr="00B82D56" w:rsidRDefault="00A81934" w:rsidP="00EF6C4C">
      <w:r w:rsidRPr="00B82D56">
        <w:t>36.   Department of Clinical Chemistry, Fimlab Laboratories, and Finnish Cardiovascular Research Center - Tampere, Faculty of Medicine and Life Sciences, Univ</w:t>
      </w:r>
      <w:r>
        <w:t>ersity of Tampere, Tampere</w:t>
      </w:r>
      <w:r w:rsidRPr="00B82D56">
        <w:t>, Finland</w:t>
      </w:r>
    </w:p>
    <w:p w14:paraId="0263F547" w14:textId="77777777" w:rsidR="00A81934" w:rsidRPr="00B82D56" w:rsidRDefault="00A81934" w:rsidP="00EF6C4C">
      <w:r w:rsidRPr="00B82D56">
        <w:t xml:space="preserve">37.   Department of Clinical Science, University of Bergen, </w:t>
      </w:r>
      <w:r>
        <w:t xml:space="preserve">Bergen, </w:t>
      </w:r>
      <w:r w:rsidRPr="00B82D56">
        <w:t>Norway</w:t>
      </w:r>
    </w:p>
    <w:p w14:paraId="4FC55F16" w14:textId="7B9EA3FC" w:rsidR="00A81934" w:rsidRPr="00B82D56" w:rsidRDefault="00A81934" w:rsidP="00EF6C4C">
      <w:r w:rsidRPr="00B82D56">
        <w:t xml:space="preserve">38.   Department of Epidemiology, Johns Hopkins University School of Public Health, Baltimore, </w:t>
      </w:r>
      <w:r>
        <w:t>Maryland,</w:t>
      </w:r>
      <w:r w:rsidRPr="00B82D56">
        <w:t xml:space="preserve"> USA</w:t>
      </w:r>
    </w:p>
    <w:p w14:paraId="61DDB4F8" w14:textId="77777777" w:rsidR="00A81934" w:rsidRPr="00B82D56" w:rsidRDefault="00A81934" w:rsidP="00EF6C4C">
      <w:r w:rsidRPr="00B82D56">
        <w:lastRenderedPageBreak/>
        <w:t>39.   Department of Molecular Medicine, Laval University, Québec, Canada</w:t>
      </w:r>
    </w:p>
    <w:p w14:paraId="1174871B" w14:textId="77777777" w:rsidR="00A81934" w:rsidRPr="00B82D56" w:rsidRDefault="00A81934" w:rsidP="00EF6C4C">
      <w:r w:rsidRPr="00B82D56">
        <w:t>40.   Institut Universitaire de Cardiologie et de Pneumologie de Québec, Laval University, Québec, Canada</w:t>
      </w:r>
    </w:p>
    <w:p w14:paraId="3E6FD7B2" w14:textId="77777777" w:rsidR="00A81934" w:rsidRPr="00B82D56" w:rsidRDefault="00A81934" w:rsidP="00EF6C4C">
      <w:r w:rsidRPr="00B82D56">
        <w:t>41.   University of Groningen, University Medical Center Groningen, Department of Pathology and Medical Biology, GRIAC Research Institute, University of Groningen, Groningen, The Netherlands</w:t>
      </w:r>
    </w:p>
    <w:p w14:paraId="63B2AD0A" w14:textId="1005F189" w:rsidR="00A81934" w:rsidRPr="00B82D56" w:rsidRDefault="00A81934" w:rsidP="00EF6C4C">
      <w:r w:rsidRPr="00B82D56">
        <w:t>42.   Na</w:t>
      </w:r>
      <w:r>
        <w:t>tional Jewish Health, Denver, Colorado</w:t>
      </w:r>
      <w:r w:rsidRPr="00B82D56">
        <w:t>, USA</w:t>
      </w:r>
    </w:p>
    <w:p w14:paraId="58A54F9E" w14:textId="4F0FD954" w:rsidR="00A81934" w:rsidRPr="00B82D56" w:rsidRDefault="00A81934" w:rsidP="00EF6C4C">
      <w:r w:rsidRPr="00B82D56">
        <w:t>43.   Division of Pulmonary, Critical Care and Sleep Medicine, Nation</w:t>
      </w:r>
      <w:r>
        <w:t>al Jewish Health, Denver, Colorado</w:t>
      </w:r>
      <w:r w:rsidRPr="00B82D56">
        <w:t>, USA</w:t>
      </w:r>
    </w:p>
    <w:p w14:paraId="58EC4B52" w14:textId="68C69868" w:rsidR="00A81934" w:rsidRPr="00B82D56" w:rsidRDefault="00A81934" w:rsidP="00EF6C4C">
      <w:r w:rsidRPr="00B82D56">
        <w:t>44.   British Heart Foundation Cambridge Centre of Excellence, Division of Cardiovascular Medicine, Addenbroo</w:t>
      </w:r>
      <w:r>
        <w:t>ke’s Hospital, Cambridge</w:t>
      </w:r>
      <w:r w:rsidRPr="00B82D56">
        <w:t>, UK</w:t>
      </w:r>
    </w:p>
    <w:p w14:paraId="7C126A58" w14:textId="7C67F342" w:rsidR="00A81934" w:rsidRPr="00B82D56" w:rsidRDefault="00A81934" w:rsidP="00EF6C4C">
      <w:r w:rsidRPr="00B82D56">
        <w:t>45.   Department of Human Genetics, Wellcome</w:t>
      </w:r>
      <w:r>
        <w:t xml:space="preserve"> Trust Sanger Institute, </w:t>
      </w:r>
      <w:r w:rsidRPr="00B82D56">
        <w:t>Cambridge</w:t>
      </w:r>
      <w:r>
        <w:t>,</w:t>
      </w:r>
      <w:r w:rsidRPr="00B82D56">
        <w:t xml:space="preserve"> UK</w:t>
      </w:r>
    </w:p>
    <w:p w14:paraId="69869ED6" w14:textId="3AEC31FF" w:rsidR="00A81934" w:rsidRPr="00B82D56" w:rsidRDefault="00A81934" w:rsidP="00EF6C4C">
      <w:r w:rsidRPr="00B82D56">
        <w:t>46.   NIHR Blood and Transplant Research Unit in Donor Health and Genomics, Department of Public Health and Primary Care, University of Cambridge, Cambridge, UK</w:t>
      </w:r>
    </w:p>
    <w:p w14:paraId="6C887518" w14:textId="1246E9C4" w:rsidR="00A81934" w:rsidRPr="00B82D56" w:rsidRDefault="00A81934" w:rsidP="00EF6C4C">
      <w:r w:rsidRPr="00B82D56">
        <w:t>47.   Department of Internal Medicine B - Cardiology, Intensive Care, Pulmonary Medicine and Infectious Diseases, University Medicine Greifswald, Greifswald, Germany</w:t>
      </w:r>
    </w:p>
    <w:p w14:paraId="4A011580" w14:textId="461D59BB" w:rsidR="00A81934" w:rsidRPr="00B82D56" w:rsidRDefault="00A81934" w:rsidP="00EF6C4C">
      <w:r w:rsidRPr="00B82D56">
        <w:t>48.   Research Unit of Molecular Epidemiology, Institute of Epidemiology, Helmholtz Zentrum Muenchen – German Research Center for Environmental Health, Neuherberg, Germany</w:t>
      </w:r>
    </w:p>
    <w:p w14:paraId="26A2AC0A" w14:textId="6F08403C" w:rsidR="00A81934" w:rsidRPr="00B82D56" w:rsidRDefault="00A81934" w:rsidP="00EF6C4C">
      <w:r w:rsidRPr="00B82D56">
        <w:t xml:space="preserve">49.   Centre for Environmental Health &amp; Sustainability, University </w:t>
      </w:r>
      <w:r>
        <w:t>of Leicester, Leicester</w:t>
      </w:r>
      <w:r w:rsidRPr="00B82D56">
        <w:t>, UK</w:t>
      </w:r>
    </w:p>
    <w:p w14:paraId="49AEBB9F" w14:textId="77777777" w:rsidR="00A81934" w:rsidRPr="00B82D56" w:rsidRDefault="00A81934" w:rsidP="00EF6C4C">
      <w:r w:rsidRPr="00B82D56">
        <w:t>50.   UK Small Area Health Statistics Unit, MRC-PHE Centre for Environment and Health, School of Public Health, Imperial College London, London, UK</w:t>
      </w:r>
    </w:p>
    <w:p w14:paraId="4F60A13F" w14:textId="2A952DD1" w:rsidR="00A81934" w:rsidRPr="00B82D56" w:rsidRDefault="00A81934" w:rsidP="00EF6C4C">
      <w:r w:rsidRPr="00B82D56">
        <w:t>51.   Imperial College Healthcare NHS Trust, St Mary’s Hospital, London, UK</w:t>
      </w:r>
    </w:p>
    <w:p w14:paraId="4916C999" w14:textId="7766BE94" w:rsidR="00A81934" w:rsidRPr="00B82D56" w:rsidRDefault="00A81934" w:rsidP="00EF6C4C">
      <w:r w:rsidRPr="00B82D56">
        <w:t>52.   Department of Genetics and Genomic Sciences, Icahn School of Medicine at Mount Sinai, New York, N</w:t>
      </w:r>
      <w:r>
        <w:t>ew York</w:t>
      </w:r>
      <w:r w:rsidRPr="00B82D56">
        <w:t>, USA</w:t>
      </w:r>
    </w:p>
    <w:p w14:paraId="0A40D903" w14:textId="77777777" w:rsidR="00A81934" w:rsidRPr="00B82D56" w:rsidRDefault="00A81934" w:rsidP="00EF6C4C">
      <w:r w:rsidRPr="00B82D56">
        <w:t>53.   Department of Epidemiology, University of Colorado Anschutz Medical Campus, Aurora, Colorado, USA</w:t>
      </w:r>
    </w:p>
    <w:p w14:paraId="74D2072D" w14:textId="77777777" w:rsidR="00A81934" w:rsidRPr="00B82D56" w:rsidRDefault="00A81934" w:rsidP="00EF6C4C">
      <w:r w:rsidRPr="00B82D56">
        <w:t>54.   Department of Molecular Biology, Medical Biochemistry, and Pathology, Laval University, Québec, Canada</w:t>
      </w:r>
    </w:p>
    <w:p w14:paraId="386A474E" w14:textId="6CEA4AC1" w:rsidR="00A81934" w:rsidRPr="00B82D56" w:rsidRDefault="00A81934" w:rsidP="00EF6C4C">
      <w:r w:rsidRPr="00B82D56">
        <w:t>55.   MRC Epidemiology Unit, University of Cambridge School of Clinical Medicine, Cambridge, UK</w:t>
      </w:r>
    </w:p>
    <w:p w14:paraId="603E3BD9" w14:textId="7342CD90" w:rsidR="00A81934" w:rsidRPr="00B82D56" w:rsidRDefault="00A81934" w:rsidP="00EF6C4C">
      <w:r w:rsidRPr="00B82D56">
        <w:t>56.   Department of Epidemiology &amp; Biostatistics, Peking University Healt</w:t>
      </w:r>
      <w:r>
        <w:t>h Science Center, Beijing</w:t>
      </w:r>
      <w:r w:rsidRPr="00B82D56">
        <w:t>, China</w:t>
      </w:r>
    </w:p>
    <w:p w14:paraId="4E8ADCBB" w14:textId="64D50C77" w:rsidR="00A81934" w:rsidRPr="00B82D56" w:rsidRDefault="00A81934" w:rsidP="00EF6C4C">
      <w:r w:rsidRPr="00B82D56">
        <w:t xml:space="preserve">57.   Department of Medical Sciences, Cardiovascular Epidemiology, Uppsala University, </w:t>
      </w:r>
      <w:r>
        <w:t>Uppsala</w:t>
      </w:r>
      <w:r w:rsidRPr="00B82D56">
        <w:t>, Sweden</w:t>
      </w:r>
    </w:p>
    <w:p w14:paraId="4042D729" w14:textId="6DBBB2EA" w:rsidR="00A81934" w:rsidRPr="00B82D56" w:rsidRDefault="00A81934" w:rsidP="00EF6C4C">
      <w:r>
        <w:t>58.   GSK R&amp;D, Collegeville, Pennsylvania</w:t>
      </w:r>
      <w:r w:rsidRPr="00B82D56">
        <w:t>, US</w:t>
      </w:r>
    </w:p>
    <w:p w14:paraId="5F4528F1" w14:textId="23B4FC94" w:rsidR="00A81934" w:rsidRPr="00B82D56" w:rsidRDefault="00A81934" w:rsidP="00EF6C4C">
      <w:r w:rsidRPr="00B82D56">
        <w:t>59.   Wellcome Trust Centre for Human Genetics, Univ</w:t>
      </w:r>
      <w:r>
        <w:t>ersity of Oxford, Oxford</w:t>
      </w:r>
      <w:r w:rsidRPr="00B82D56">
        <w:t>, UK</w:t>
      </w:r>
    </w:p>
    <w:p w14:paraId="7B4098B6" w14:textId="714A76C1" w:rsidR="00A81934" w:rsidRPr="00B82D56" w:rsidRDefault="00A81934" w:rsidP="00EF6C4C">
      <w:r w:rsidRPr="00B82D56">
        <w:t>60.   MRL, Merck &amp; Co., Inc., Kenilworth, New Jersey, USA</w:t>
      </w:r>
    </w:p>
    <w:p w14:paraId="782F8549" w14:textId="281BA0BF" w:rsidR="00A81934" w:rsidRPr="00B82D56" w:rsidRDefault="00A81934" w:rsidP="00EF6C4C">
      <w:r w:rsidRPr="00B82D56">
        <w:t>61.   The Institute of Medical Sciences, Aberdeen Biomedical Imaging Centre, Universit</w:t>
      </w:r>
      <w:r>
        <w:t>y of Aberdeen, Aberdeen</w:t>
      </w:r>
      <w:r w:rsidRPr="00B82D56">
        <w:t>, UK</w:t>
      </w:r>
    </w:p>
    <w:p w14:paraId="5219356F" w14:textId="5EDCB211" w:rsidR="00A81934" w:rsidRPr="00B82D56" w:rsidRDefault="00A81934" w:rsidP="00EF6C4C">
      <w:r w:rsidRPr="00B82D56">
        <w:t>6</w:t>
      </w:r>
      <w:r>
        <w:t>2.   Gossamer Bio, San Diego, California</w:t>
      </w:r>
      <w:r w:rsidRPr="00B82D56">
        <w:t>, USA</w:t>
      </w:r>
    </w:p>
    <w:p w14:paraId="2C23BD2A" w14:textId="77777777" w:rsidR="00A81934" w:rsidRPr="00B82D56" w:rsidRDefault="00A81934" w:rsidP="00EF6C4C">
      <w:r w:rsidRPr="00B82D56">
        <w:t>63.   Division of Respiratory Medicine and NIHR-Nottingham Biomedical Research Centre, University of Nottingham</w:t>
      </w:r>
      <w:r>
        <w:t>, Nottingham, UK</w:t>
      </w:r>
    </w:p>
    <w:p w14:paraId="721CC5ED" w14:textId="73FC3E48" w:rsidR="00A81934" w:rsidRPr="00B82D56" w:rsidRDefault="00A81934" w:rsidP="00EF6C4C">
      <w:r w:rsidRPr="00B82D56">
        <w:t>64.   Respiratory Division, Department of Medicine, University of</w:t>
      </w:r>
      <w:r>
        <w:t xml:space="preserve"> British Columbia, Vancouver, British Columbia</w:t>
      </w:r>
      <w:r w:rsidRPr="00B82D56">
        <w:t>, Canada</w:t>
      </w:r>
    </w:p>
    <w:p w14:paraId="54E214D9" w14:textId="33969940" w:rsidR="00A81934" w:rsidRPr="00B82D56" w:rsidRDefault="00A81934" w:rsidP="00EF6C4C">
      <w:r w:rsidRPr="00B82D56">
        <w:t>65.   Division of Population Health and Genomics, Ninewells Hospital and Medical School, Univ</w:t>
      </w:r>
      <w:r>
        <w:t>ersity of Dundee, Dundee</w:t>
      </w:r>
      <w:r w:rsidRPr="00B82D56">
        <w:t>, UK</w:t>
      </w:r>
    </w:p>
    <w:p w14:paraId="0046BD80" w14:textId="338200D8" w:rsidR="00A81934" w:rsidRPr="00B82D56" w:rsidRDefault="00A81934" w:rsidP="00EF6C4C">
      <w:r w:rsidRPr="00B82D56">
        <w:t>66.   Psychiatric Genetics Unit, Group of Psychiatry, Mental Health and Addiction, Vall d'Hebron Research Institute (VHIR), Universitat Autònoma de Barcelona, Barcelona, Spain</w:t>
      </w:r>
    </w:p>
    <w:p w14:paraId="34E083DC" w14:textId="1D673B15" w:rsidR="00A81934" w:rsidRPr="00B82D56" w:rsidRDefault="00A81934" w:rsidP="00EF6C4C">
      <w:r w:rsidRPr="00B82D56">
        <w:lastRenderedPageBreak/>
        <w:t>67.   Department of Psychiatry, Hospital Universitari Vall d'Hebron, Barcelona, Spain</w:t>
      </w:r>
    </w:p>
    <w:p w14:paraId="242F56C8" w14:textId="1C525B97" w:rsidR="00A81934" w:rsidRPr="00B82D56" w:rsidRDefault="00A81934" w:rsidP="00EF6C4C">
      <w:r w:rsidRPr="00B82D56">
        <w:t>68.   Biomedical Network Research Centre on Mental Health (CIBERSAM), Instituto de Salud Carlos III, Barcelona, Spain</w:t>
      </w:r>
    </w:p>
    <w:p w14:paraId="4720FFF0" w14:textId="2453A4A6" w:rsidR="00A81934" w:rsidRPr="00B82D56" w:rsidRDefault="00A81934" w:rsidP="00EF6C4C">
      <w:r w:rsidRPr="00B82D56">
        <w:t>69.   VA Bost</w:t>
      </w:r>
      <w:r>
        <w:t xml:space="preserve">on Healthcare System, Boston, </w:t>
      </w:r>
      <w:r w:rsidRPr="008B69B4">
        <w:t>Massachusetts</w:t>
      </w:r>
      <w:r w:rsidRPr="00B82D56">
        <w:t>, USA</w:t>
      </w:r>
    </w:p>
    <w:p w14:paraId="58076663" w14:textId="2EBEC5AE" w:rsidR="00A81934" w:rsidRPr="00B82D56" w:rsidRDefault="00A81934" w:rsidP="00EF6C4C">
      <w:r w:rsidRPr="00B82D56">
        <w:t xml:space="preserve">70.   Department of Medicine, Boston University School of Medicine, Boston, </w:t>
      </w:r>
      <w:r w:rsidRPr="008B69B4">
        <w:t>Massachusetts</w:t>
      </w:r>
      <w:r>
        <w:t>,</w:t>
      </w:r>
      <w:r w:rsidRPr="00B82D56">
        <w:t xml:space="preserve"> USA</w:t>
      </w:r>
    </w:p>
    <w:p w14:paraId="2EEFD9C1" w14:textId="67B27DAC" w:rsidR="00A81934" w:rsidRPr="00B82D56" w:rsidRDefault="00A81934" w:rsidP="00EF6C4C">
      <w:r w:rsidRPr="00B82D56">
        <w:t>71.   University of Groningen, University Medical Center Groningen, Department of Pulmonology, GRIAC Research Institute, University of Groningen, Groningen, The Netherlands</w:t>
      </w:r>
    </w:p>
    <w:p w14:paraId="42818945" w14:textId="3F5D48D7" w:rsidR="00A81934" w:rsidRPr="00B82D56" w:rsidRDefault="00A81934" w:rsidP="00EF6C4C">
      <w:r w:rsidRPr="00B82D56">
        <w:t>72.   Target Sciences - R&amp;D, GSK Medicines Research Centre, Stevenage, UK</w:t>
      </w:r>
    </w:p>
    <w:p w14:paraId="7E7BF2D4" w14:textId="78C03D77" w:rsidR="00A81934" w:rsidRPr="00B82D56" w:rsidRDefault="00A81934" w:rsidP="00EF6C4C">
      <w:r w:rsidRPr="00B82D56">
        <w:t xml:space="preserve">73.   UCSF Pulmonary, Critical Care, Allergy and Sleep Medicine, University of California San Francisco, </w:t>
      </w:r>
      <w:r>
        <w:t xml:space="preserve">California, </w:t>
      </w:r>
      <w:r w:rsidRPr="00B82D56">
        <w:t>USA</w:t>
      </w:r>
    </w:p>
    <w:p w14:paraId="741FBC41" w14:textId="0202E483" w:rsidR="00A81934" w:rsidRPr="00B82D56" w:rsidRDefault="00A81934" w:rsidP="00EF6C4C">
      <w:r w:rsidRPr="00B82D56">
        <w:t>74.   Department of Computer Science, Princeton University, Princeton, New Jersey, USA</w:t>
      </w:r>
    </w:p>
    <w:p w14:paraId="0085F298" w14:textId="440526D1" w:rsidR="00A81934" w:rsidRPr="00B82D56" w:rsidRDefault="00A81934" w:rsidP="00EF6C4C">
      <w:r w:rsidRPr="00B82D56">
        <w:t>75.   Lewis-Sigler Institute for Integrative Genomics, Princeton University, Princeton, New Jersey, USA</w:t>
      </w:r>
    </w:p>
    <w:p w14:paraId="2DB850C4" w14:textId="19A20682" w:rsidR="00A81934" w:rsidRPr="00B82D56" w:rsidRDefault="00A81934" w:rsidP="00EF6C4C">
      <w:r w:rsidRPr="00B82D56">
        <w:t xml:space="preserve">76.   Department of Clinical Physiology and Nuclear Medicine, Turku </w:t>
      </w:r>
      <w:r>
        <w:t>University Hospital, Turku</w:t>
      </w:r>
      <w:r w:rsidRPr="00B82D56">
        <w:t>, Finland</w:t>
      </w:r>
    </w:p>
    <w:p w14:paraId="12FF34BE" w14:textId="76486BF0" w:rsidR="00A81934" w:rsidRPr="00B82D56" w:rsidRDefault="00A81934" w:rsidP="00EF6C4C">
      <w:r w:rsidRPr="00B82D56">
        <w:t xml:space="preserve">77.   Research Centre of Applied and Preventive Cardiovascular Medicine, </w:t>
      </w:r>
      <w:r>
        <w:t>University of Turku, Turku</w:t>
      </w:r>
      <w:r w:rsidRPr="00B82D56">
        <w:t>, Finland</w:t>
      </w:r>
    </w:p>
    <w:p w14:paraId="63970B37" w14:textId="69FA9CA0" w:rsidR="00A81934" w:rsidRPr="00B82D56" w:rsidRDefault="00A81934" w:rsidP="00EF6C4C">
      <w:r w:rsidRPr="00B82D56">
        <w:t>78.   Department of Clinical Physiology, Tampere University Hospital, and Finnish Cardiovascular Research Center - Tampere, Faculty of Medicine and Life Sciences, Univ</w:t>
      </w:r>
      <w:r>
        <w:t>ersity of Tampere, Tampere</w:t>
      </w:r>
      <w:r w:rsidRPr="00B82D56">
        <w:t>, Finland</w:t>
      </w:r>
    </w:p>
    <w:p w14:paraId="3496294A" w14:textId="4E57A341" w:rsidR="00A81934" w:rsidRPr="00B82D56" w:rsidRDefault="00A81934" w:rsidP="00EF6C4C">
      <w:r w:rsidRPr="00B82D56">
        <w:t>79.   University of Split School of Medicine, Split, Croatia</w:t>
      </w:r>
    </w:p>
    <w:p w14:paraId="7FBAD80B" w14:textId="21D73350" w:rsidR="00A81934" w:rsidRPr="00B82D56" w:rsidRDefault="00A81934" w:rsidP="00EF6C4C">
      <w:r w:rsidRPr="00B82D56">
        <w:t>80.   Department of Psychology, University of</w:t>
      </w:r>
      <w:r>
        <w:t xml:space="preserve"> Edinburgh, Edinburgh, </w:t>
      </w:r>
      <w:r w:rsidRPr="00B82D56">
        <w:t>UK</w:t>
      </w:r>
    </w:p>
    <w:p w14:paraId="3DFF07DF" w14:textId="1E8C6726" w:rsidR="00A81934" w:rsidRPr="00B82D56" w:rsidRDefault="00A81934" w:rsidP="00EF6C4C">
      <w:r w:rsidRPr="00B82D56">
        <w:t>81.   Department of Pulmonary Physiology and Sleep Medicine, Sir Charles Gairdner Hospital, Nedlands</w:t>
      </w:r>
      <w:r>
        <w:t>, Western Australia</w:t>
      </w:r>
      <w:r w:rsidRPr="00B82D56">
        <w:t>, Australia</w:t>
      </w:r>
    </w:p>
    <w:p w14:paraId="7BDDC2CF" w14:textId="2CD7C01E" w:rsidR="00A81934" w:rsidRPr="00B82D56" w:rsidRDefault="00A81934" w:rsidP="00EF6C4C">
      <w:r w:rsidRPr="00B82D56">
        <w:t>82.   School of Medicine and Pharmacology, The Universit</w:t>
      </w:r>
      <w:r>
        <w:t>y of Western Australia, Crawley</w:t>
      </w:r>
      <w:r w:rsidRPr="00B82D56">
        <w:t>,</w:t>
      </w:r>
      <w:r>
        <w:t xml:space="preserve"> Western Australia,</w:t>
      </w:r>
      <w:r w:rsidRPr="00B82D56">
        <w:t xml:space="preserve"> Australia</w:t>
      </w:r>
    </w:p>
    <w:p w14:paraId="05878660" w14:textId="5414AC59" w:rsidR="00A81934" w:rsidRPr="00B82D56" w:rsidRDefault="00A81934" w:rsidP="00EF6C4C">
      <w:r w:rsidRPr="00B82D56">
        <w:t>83.   Wellcome San</w:t>
      </w:r>
      <w:r>
        <w:t>ger Institute, Hinxton</w:t>
      </w:r>
      <w:r w:rsidRPr="00B82D56">
        <w:t>, UK</w:t>
      </w:r>
    </w:p>
    <w:p w14:paraId="3B3AB810" w14:textId="3824BDC8" w:rsidR="00A81934" w:rsidRPr="00B82D56" w:rsidRDefault="00A81934" w:rsidP="00EF6C4C">
      <w:r w:rsidRPr="00B82D56">
        <w:t>84.   Institute of Translational Genomics, Helmholtz Zentrum Muenchen – German Research Center for Environmental Health, Neuherberg, Germany</w:t>
      </w:r>
    </w:p>
    <w:p w14:paraId="56B41793" w14:textId="09336BBB" w:rsidR="00A81934" w:rsidRPr="00B82D56" w:rsidRDefault="00A81934" w:rsidP="00EF6C4C">
      <w:r w:rsidRPr="00B82D56">
        <w:t xml:space="preserve">85.   Center for Life Course Health Research, Faculty of Medicine, </w:t>
      </w:r>
      <w:r>
        <w:t>University of Oulu, Oulu</w:t>
      </w:r>
      <w:r w:rsidRPr="00B82D56">
        <w:t>, Finland</w:t>
      </w:r>
    </w:p>
    <w:p w14:paraId="55F95378" w14:textId="7233FCD6" w:rsidR="00A81934" w:rsidRPr="00B82D56" w:rsidRDefault="00A81934" w:rsidP="00EF6C4C">
      <w:r w:rsidRPr="00B82D56">
        <w:t>86.   Biocenter Oulu, Univer</w:t>
      </w:r>
      <w:r>
        <w:t xml:space="preserve">sity of Oulu, </w:t>
      </w:r>
      <w:r w:rsidRPr="00B82D56">
        <w:t>Oulu, Finland</w:t>
      </w:r>
    </w:p>
    <w:p w14:paraId="5904001A" w14:textId="4F779DF2" w:rsidR="00A81934" w:rsidRPr="00B82D56" w:rsidRDefault="00A81934" w:rsidP="00EF6C4C">
      <w:r w:rsidRPr="00B82D56">
        <w:t xml:space="preserve">87.   Unit of Primary Health Care, Oulu University Hospital, </w:t>
      </w:r>
      <w:r>
        <w:t>Ou</w:t>
      </w:r>
      <w:r w:rsidRPr="00B82D56">
        <w:t>lu, Finland</w:t>
      </w:r>
    </w:p>
    <w:p w14:paraId="0984D9AA" w14:textId="4BA4CB38" w:rsidR="00A81934" w:rsidRPr="00B82D56" w:rsidRDefault="00A81934" w:rsidP="00EF6C4C">
      <w:r w:rsidRPr="00B82D56">
        <w:t>88.   Department of Life Sciences, College of Health and Life Sciences, Brun</w:t>
      </w:r>
      <w:r>
        <w:t>el University London, Uxbridge</w:t>
      </w:r>
      <w:r w:rsidRPr="00B82D56">
        <w:t>, UK</w:t>
      </w:r>
    </w:p>
    <w:p w14:paraId="489EF7AB" w14:textId="1A33BD6A" w:rsidR="00A81934" w:rsidRPr="00B82D56" w:rsidRDefault="00A81934" w:rsidP="00EF6C4C">
      <w:r w:rsidRPr="00B82D56">
        <w:t>89.   Population Health Research Institute, St George's, Unive</w:t>
      </w:r>
      <w:r>
        <w:t>rsity of London, London</w:t>
      </w:r>
      <w:r w:rsidRPr="00B82D56">
        <w:t>, UK</w:t>
      </w:r>
    </w:p>
    <w:p w14:paraId="15903BB5" w14:textId="57BAF68B" w:rsidR="00A81934" w:rsidRDefault="00A81934" w:rsidP="00EF6C4C">
      <w:r w:rsidRPr="00B82D56">
        <w:t>90.   National Institute for Health Research, Leicester Respiratory Biomedical Research Centre, Glenfie</w:t>
      </w:r>
      <w:r>
        <w:t>ld Hospital, Leicester,</w:t>
      </w:r>
      <w:r w:rsidRPr="00B82D56">
        <w:t xml:space="preserve"> UK</w:t>
      </w:r>
    </w:p>
    <w:p w14:paraId="594F4766" w14:textId="77777777" w:rsidR="00A81934" w:rsidRDefault="00A81934" w:rsidP="00EF6C4C">
      <w:pPr>
        <w:pStyle w:val="berschrift2"/>
      </w:pPr>
      <w:r>
        <w:t>Equal contributions statement</w:t>
      </w:r>
    </w:p>
    <w:p w14:paraId="5172FA2E" w14:textId="77777777" w:rsidR="00A81934" w:rsidRDefault="00A81934" w:rsidP="00EF6C4C">
      <w:r>
        <w:t>† = Contributed equally to this work.</w:t>
      </w:r>
    </w:p>
    <w:p w14:paraId="42F4A6A7" w14:textId="77777777" w:rsidR="00A81934" w:rsidRDefault="00A81934" w:rsidP="00EF6C4C">
      <w:pPr>
        <w:pStyle w:val="berschrift2"/>
      </w:pPr>
      <w:r>
        <w:t>Corresponding author statement</w:t>
      </w:r>
    </w:p>
    <w:p w14:paraId="3EAA3CBE" w14:textId="77777777" w:rsidR="00A81934" w:rsidRDefault="00A81934" w:rsidP="00EF6C4C">
      <w:r>
        <w:t>* = Corresponding Authors.</w:t>
      </w:r>
    </w:p>
    <w:p w14:paraId="23E92A54" w14:textId="77777777" w:rsidR="00A81934" w:rsidRDefault="00A81934" w:rsidP="00EF6C4C">
      <w:pPr>
        <w:sectPr w:rsidR="00A81934" w:rsidSect="00EF6C4C">
          <w:footerReference w:type="default" r:id="rId9"/>
          <w:pgSz w:w="11906" w:h="16838"/>
          <w:pgMar w:top="1440" w:right="1440" w:bottom="1440" w:left="1440" w:header="708" w:footer="708" w:gutter="0"/>
          <w:cols w:space="708"/>
          <w:docGrid w:linePitch="360"/>
        </w:sectPr>
      </w:pPr>
      <w:r>
        <w:t xml:space="preserve">Corresponding author emails: </w:t>
      </w:r>
      <w:hyperlink r:id="rId10" w:history="1">
        <w:r w:rsidRPr="0082713D">
          <w:rPr>
            <w:rStyle w:val="Hyperlink"/>
          </w:rPr>
          <w:t>lvw1@leicester.ac.uk</w:t>
        </w:r>
      </w:hyperlink>
      <w:r>
        <w:t xml:space="preserve"> (Louise V Wain), </w:t>
      </w:r>
      <w:hyperlink r:id="rId11" w:history="1">
        <w:r w:rsidRPr="00F05F26">
          <w:rPr>
            <w:rStyle w:val="Hyperlink"/>
          </w:rPr>
          <w:t>mt47@leicester.ac.uk</w:t>
        </w:r>
      </w:hyperlink>
      <w:r>
        <w:t xml:space="preserve"> (Martin D Tobin)</w:t>
      </w:r>
    </w:p>
    <w:p w14:paraId="4309A22C" w14:textId="77777777" w:rsidR="00A81934" w:rsidRDefault="00A81934" w:rsidP="00C24EB6">
      <w:pPr>
        <w:pStyle w:val="berschrift1"/>
      </w:pPr>
      <w:r w:rsidRPr="00260C8A">
        <w:lastRenderedPageBreak/>
        <w:t>Abstract</w:t>
      </w:r>
    </w:p>
    <w:p w14:paraId="639F3AAA" w14:textId="344D2EF8" w:rsidR="00A81934" w:rsidRDefault="00A81934" w:rsidP="00260C8A">
      <w:r>
        <w:t>Reduced lung function predicts mortality and is key to the diagnosis of</w:t>
      </w:r>
      <w:r w:rsidR="003D6CC3">
        <w:t xml:space="preserve"> chronic obstructive pulmonary disease</w:t>
      </w:r>
      <w:r>
        <w:t xml:space="preserve"> </w:t>
      </w:r>
      <w:r w:rsidR="003D6CC3">
        <w:t>(</w:t>
      </w:r>
      <w:r>
        <w:t>COPD</w:t>
      </w:r>
      <w:r w:rsidR="003D6CC3">
        <w:t>)</w:t>
      </w:r>
      <w:r>
        <w:t>. In a genome-wide association study in 400,102 individuals of European ancestry, we define 279 lung function signals, 139 of which are new. In combination, these variants strongly predict COPD in independent patient populations. Furthermore, the combined effect of these variants showed generali</w:t>
      </w:r>
      <w:r w:rsidR="003D6CC3">
        <w:t>z</w:t>
      </w:r>
      <w:r>
        <w:t>ability across smokers and never-smokers, and across ancestral groups. We highlight biological pathways, known and potential drug targets for COPD and, in phenome-wide association studies, autoimmune-related and other pleiotropic effects of lung function associated variants. This new genetic evidence has potential to improve future preventive and therapeutic strategies for COPD.</w:t>
      </w:r>
    </w:p>
    <w:p w14:paraId="6E9A6CF0" w14:textId="77777777" w:rsidR="00A81934" w:rsidRDefault="00A81934" w:rsidP="00A57B8D">
      <w:pPr>
        <w:pStyle w:val="berschrift1"/>
      </w:pPr>
      <w:bookmarkStart w:id="1" w:name="_Toc509405298"/>
      <w:r w:rsidRPr="00771928">
        <w:t>Introduction</w:t>
      </w:r>
      <w:bookmarkEnd w:id="1"/>
    </w:p>
    <w:p w14:paraId="35522395" w14:textId="100FA269" w:rsidR="00A81934" w:rsidRDefault="00A81934" w:rsidP="002C79E3">
      <w:r>
        <w:t>Impaired lung function is predictive of mortality</w:t>
      </w:r>
      <w:r w:rsidRPr="00DB0E91">
        <w:rPr>
          <w:noProof/>
          <w:vertAlign w:val="superscript"/>
        </w:rPr>
        <w:t>1</w:t>
      </w:r>
      <w:r>
        <w:t xml:space="preserve"> and is the key diagnostic criterion for c</w:t>
      </w:r>
      <w:r w:rsidRPr="001A781D">
        <w:t xml:space="preserve">hronic </w:t>
      </w:r>
      <w:r w:rsidRPr="007E3D1A">
        <w:t>obstructive</w:t>
      </w:r>
      <w:r w:rsidRPr="001A781D">
        <w:t xml:space="preserve"> pulmonary disease (COPD)</w:t>
      </w:r>
      <w:r>
        <w:t xml:space="preserve">. Globally, COPD accounted for 2.9 million deaths in </w:t>
      </w:r>
      <w:r w:rsidRPr="00A37B6B">
        <w:t>2016</w:t>
      </w:r>
      <w:r w:rsidRPr="00DB0E91">
        <w:rPr>
          <w:noProof/>
          <w:vertAlign w:val="superscript"/>
        </w:rPr>
        <w:t>2</w:t>
      </w:r>
      <w:r>
        <w:t>, being one of the key causes of both Years of Life Lost and Years Lived with Disability worldwide</w:t>
      </w:r>
      <w:r w:rsidRPr="00DB0E91">
        <w:rPr>
          <w:noProof/>
          <w:vertAlign w:val="superscript"/>
        </w:rPr>
        <w:t>3</w:t>
      </w:r>
      <w:r>
        <w:t>. Determinants of maximally attained lung function and of lung function decline can influence the risk of developing COPD. Tobacco s</w:t>
      </w:r>
      <w:r w:rsidRPr="00305E4A">
        <w:rPr>
          <w:rFonts w:cs="Trebuchet MS"/>
        </w:rPr>
        <w:t>moking is the single largest risk factor</w:t>
      </w:r>
      <w:r>
        <w:rPr>
          <w:rFonts w:cs="Trebuchet MS"/>
        </w:rPr>
        <w:t xml:space="preserve"> for COPD</w:t>
      </w:r>
      <w:r w:rsidRPr="00305E4A">
        <w:rPr>
          <w:rFonts w:cs="Trebuchet MS"/>
        </w:rPr>
        <w:t>, although other environmental exposures and genetic makeup are important</w:t>
      </w:r>
      <w:r w:rsidRPr="00DB0E91">
        <w:rPr>
          <w:rFonts w:cs="Trebuchet MS"/>
          <w:noProof/>
          <w:vertAlign w:val="superscript"/>
        </w:rPr>
        <w:t>4,5</w:t>
      </w:r>
      <w:hyperlink w:anchor="_ENREF_1" w:tooltip="Salvi, 2009 #892" w:history="1"/>
      <w:r>
        <w:t>. Genetic variants associated with lung function and COPD susceptibility can provide etiological insights, assisting with risk prediction, as well as drug target identification and validation</w:t>
      </w:r>
      <w:r w:rsidRPr="00DB0E91">
        <w:rPr>
          <w:noProof/>
          <w:vertAlign w:val="superscript"/>
        </w:rPr>
        <w:t>6</w:t>
      </w:r>
      <w:r>
        <w:t>. Whilst there has been considerable progress in identifying genetic markers associated with lung function and risk of COPD</w:t>
      </w:r>
      <w:r w:rsidRPr="00DB0E91">
        <w:rPr>
          <w:noProof/>
          <w:vertAlign w:val="superscript"/>
        </w:rPr>
        <w:t>4,7-19</w:t>
      </w:r>
      <w:r>
        <w:t xml:space="preserve"> seeking a high yield of associated genetic variants is key to progressing knowledge because: (i) implication of multiple molecules in each pathway will be needed to build an accurate picture of the pathways underpinning development of COPD; (ii) not all proteins identified will be druggable and; (iii) combining information across multiple variants can improve prediction of disease susceptibility.</w:t>
      </w:r>
    </w:p>
    <w:p w14:paraId="2B2BD04A" w14:textId="58213599" w:rsidR="00A81934" w:rsidRDefault="00A81934">
      <w:pPr>
        <w:rPr>
          <w:rFonts w:cs="Trebuchet MS"/>
        </w:rPr>
      </w:pPr>
      <w:r>
        <w:t xml:space="preserve">Through new detailed quality control and analyses of spirometric measures of lung function in UK Biobank and expansion of the SpiroMeta Consortium, we undertook </w:t>
      </w:r>
      <w:r w:rsidR="00005622">
        <w:t xml:space="preserve">a </w:t>
      </w:r>
      <w:r>
        <w:t>large genome-wide association study of lung function. Our study entailed a near seven-fold increase in sample size over previous studies of similar ancestry to address the following aims: (i) to generate a high yield of genetic markers associated with lung function; (ii) to confirm and fine-map previously reported lung function signals; (iii) to investigate the putative causal genes and biological pathways through which lung function associated variants act, and their wider pleiotropic effects on other traits; and (iv) to generate a weighted genetic risk score for lung function and test its association with COPD susceptibility in individuals of European and other ancestries</w:t>
      </w:r>
      <w:r w:rsidRPr="00F71CEB">
        <w:rPr>
          <w:rFonts w:cs="Trebuchet MS"/>
          <w:noProof/>
        </w:rPr>
        <w:t>.</w:t>
      </w:r>
    </w:p>
    <w:p w14:paraId="4AE27376" w14:textId="77777777" w:rsidR="00A81934" w:rsidRDefault="00A81934" w:rsidP="001D0484">
      <w:pPr>
        <w:pStyle w:val="berschrift1"/>
      </w:pPr>
      <w:bookmarkStart w:id="2" w:name="_Toc509405299"/>
      <w:r w:rsidRPr="005E5F37">
        <w:t>Results</w:t>
      </w:r>
      <w:bookmarkEnd w:id="2"/>
    </w:p>
    <w:p w14:paraId="6C7441C4" w14:textId="77777777" w:rsidR="00A81934" w:rsidRPr="001D0484" w:rsidRDefault="00A81934" w:rsidP="00C7056E">
      <w:pPr>
        <w:pStyle w:val="berschrift2"/>
      </w:pPr>
      <w:bookmarkStart w:id="3" w:name="_Toc509405300"/>
      <w:r w:rsidRPr="001D0484">
        <w:t xml:space="preserve">139 new signals </w:t>
      </w:r>
      <w:r>
        <w:t>for</w:t>
      </w:r>
      <w:r w:rsidRPr="001D0484">
        <w:t xml:space="preserve"> lung function</w:t>
      </w:r>
      <w:bookmarkEnd w:id="3"/>
    </w:p>
    <w:p w14:paraId="430BFC7B" w14:textId="0A7A8AA6" w:rsidR="00A81934" w:rsidRDefault="00A81934" w:rsidP="002C79E3">
      <w:r>
        <w:t>W</w:t>
      </w:r>
      <w:r w:rsidRPr="00665217">
        <w:t xml:space="preserve">e increased the sample size available for the study of </w:t>
      </w:r>
      <w:r>
        <w:t xml:space="preserve">quantitative measures of </w:t>
      </w:r>
      <w:r w:rsidRPr="00665217">
        <w:t xml:space="preserve">lung function in UK Biobank by refining the quality control of spirometry </w:t>
      </w:r>
      <w:r>
        <w:t xml:space="preserve">based on </w:t>
      </w:r>
      <w:r w:rsidRPr="00665217">
        <w:t xml:space="preserve">recommendations </w:t>
      </w:r>
      <w:r>
        <w:t xml:space="preserve">of </w:t>
      </w:r>
      <w:r w:rsidRPr="00665217">
        <w:t>the UK Biobank Outcomes Adjudication Working Group (</w:t>
      </w:r>
      <w:r>
        <w:rPr>
          <w:b/>
        </w:rPr>
        <w:t>S</w:t>
      </w:r>
      <w:r w:rsidRPr="00665217">
        <w:rPr>
          <w:b/>
        </w:rPr>
        <w:t xml:space="preserve">upplementary </w:t>
      </w:r>
      <w:r>
        <w:rPr>
          <w:b/>
        </w:rPr>
        <w:t>Note</w:t>
      </w:r>
      <w:r w:rsidRPr="00665217">
        <w:t xml:space="preserve">). </w:t>
      </w:r>
      <w:r w:rsidRPr="00353EFF">
        <w:t>Genome</w:t>
      </w:r>
      <w:r>
        <w:t>-wide association analyses of forced expired volume in 1 second (FEV</w:t>
      </w:r>
      <w:r w:rsidRPr="005E5F37">
        <w:rPr>
          <w:vertAlign w:val="subscript"/>
        </w:rPr>
        <w:t>1</w:t>
      </w:r>
      <w:r w:rsidRPr="005E5F37">
        <w:t>)</w:t>
      </w:r>
      <w:r>
        <w:t>, forced vital capacity (FVC) and FEV</w:t>
      </w:r>
      <w:r w:rsidRPr="005E5F37">
        <w:rPr>
          <w:vertAlign w:val="subscript"/>
        </w:rPr>
        <w:t>1</w:t>
      </w:r>
      <w:r>
        <w:t>/FVC were undertaken in 321,047 individuals in UK Biobank (</w:t>
      </w:r>
      <w:r w:rsidRPr="002C58D7">
        <w:rPr>
          <w:b/>
        </w:rPr>
        <w:t>Supplementary Table 1</w:t>
      </w:r>
      <w:r>
        <w:t xml:space="preserve">) </w:t>
      </w:r>
      <w:r w:rsidRPr="00353EFF">
        <w:t xml:space="preserve">and </w:t>
      </w:r>
      <w:r w:rsidRPr="004767F7">
        <w:t xml:space="preserve">in </w:t>
      </w:r>
      <w:r>
        <w:t>79,055</w:t>
      </w:r>
      <w:r w:rsidRPr="004767F7">
        <w:t xml:space="preserve"> individuals</w:t>
      </w:r>
      <w:r>
        <w:t xml:space="preserve"> from the SpiroMeta Consortium (</w:t>
      </w:r>
      <w:r w:rsidRPr="002C58D7">
        <w:rPr>
          <w:b/>
        </w:rPr>
        <w:t xml:space="preserve">Supplementary Tables 2 </w:t>
      </w:r>
      <w:r w:rsidRPr="00841A79">
        <w:t xml:space="preserve">and </w:t>
      </w:r>
      <w:r w:rsidRPr="002C58D7">
        <w:rPr>
          <w:b/>
        </w:rPr>
        <w:t>3</w:t>
      </w:r>
      <w:r w:rsidRPr="00353EFF">
        <w:t xml:space="preserve">). </w:t>
      </w:r>
      <w:r>
        <w:t>A linear mixed model</w:t>
      </w:r>
      <w:r w:rsidRPr="00665217">
        <w:t xml:space="preserve"> implemented in BOLT-LMM</w:t>
      </w:r>
      <w:r w:rsidRPr="008D1A20">
        <w:rPr>
          <w:noProof/>
          <w:vertAlign w:val="superscript"/>
        </w:rPr>
        <w:t>20</w:t>
      </w:r>
      <w:r w:rsidRPr="00665217">
        <w:t xml:space="preserve"> was used for UK Biobank to account for relatedness and fine-</w:t>
      </w:r>
      <w:r w:rsidRPr="00665217">
        <w:lastRenderedPageBreak/>
        <w:t>scale population structure</w:t>
      </w:r>
      <w:r>
        <w:t xml:space="preserve"> (</w:t>
      </w:r>
      <w:r>
        <w:rPr>
          <w:b/>
        </w:rPr>
        <w:t>Online Methods</w:t>
      </w:r>
      <w:r>
        <w:t>)</w:t>
      </w:r>
      <w:r w:rsidRPr="00665217">
        <w:t>.</w:t>
      </w:r>
      <w:r>
        <w:t xml:space="preserve"> A total of 19,819,130 autosomal variants imputed in both UK Biobank and SpiroMeta were analy</w:t>
      </w:r>
      <w:r w:rsidR="005552AB">
        <w:t>z</w:t>
      </w:r>
      <w:r>
        <w:t>ed. Peak expiratory flow (PEF) was also analy</w:t>
      </w:r>
      <w:r w:rsidR="005552AB">
        <w:t>z</w:t>
      </w:r>
      <w:r>
        <w:t>ed genome-wide in UK Biobank and up to 24,218 samples from SpiroMeta. GWAS results in UK Biobank were adjusted for the intercept of LD score regression</w:t>
      </w:r>
      <w:r w:rsidRPr="00C5156F">
        <w:rPr>
          <w:noProof/>
          <w:vertAlign w:val="superscript"/>
        </w:rPr>
        <w:t>21</w:t>
      </w:r>
      <w:r>
        <w:t>, but SpiroMeta and the meta-analysis were not</w:t>
      </w:r>
      <w:r w:rsidRPr="0022638B">
        <w:t>,</w:t>
      </w:r>
      <w:r>
        <w:t xml:space="preserve"> as intercepts were close to 1.00 (</w:t>
      </w:r>
      <w:r w:rsidRPr="0060575F">
        <w:rPr>
          <w:b/>
        </w:rPr>
        <w:t>Online Methods</w:t>
      </w:r>
      <w:r>
        <w:t>). All individuals included in the genome-wide analyses were of European ancestry (</w:t>
      </w:r>
      <w:r w:rsidRPr="002C58D7">
        <w:rPr>
          <w:b/>
        </w:rPr>
        <w:t xml:space="preserve">Supplementary Figure 1 </w:t>
      </w:r>
      <w:r w:rsidRPr="002C58D7">
        <w:t>and</w:t>
      </w:r>
      <w:r w:rsidRPr="002C58D7">
        <w:rPr>
          <w:b/>
        </w:rPr>
        <w:t xml:space="preserve"> Supplementary </w:t>
      </w:r>
      <w:r>
        <w:rPr>
          <w:b/>
        </w:rPr>
        <w:t>Note</w:t>
      </w:r>
      <w:r>
        <w:t>).</w:t>
      </w:r>
    </w:p>
    <w:p w14:paraId="3DE1D353" w14:textId="7FF57F36" w:rsidR="00A81934" w:rsidRPr="00893DA8" w:rsidRDefault="00A81934" w:rsidP="00A57B8D">
      <w:r w:rsidRPr="00C85289">
        <w:t>To maximi</w:t>
      </w:r>
      <w:r w:rsidR="00721324">
        <w:t>z</w:t>
      </w:r>
      <w:r w:rsidRPr="00C85289">
        <w:t>e statistical power for discovery of new</w:t>
      </w:r>
      <w:r>
        <w:t xml:space="preserve"> </w:t>
      </w:r>
      <w:r w:rsidRPr="00C85289">
        <w:t>signals, whilst maintaining stringent significance threshold</w:t>
      </w:r>
      <w:r>
        <w:t>s</w:t>
      </w:r>
      <w:r w:rsidRPr="00C85289">
        <w:t xml:space="preserve"> to minimi</w:t>
      </w:r>
      <w:r w:rsidR="00721324">
        <w:t>z</w:t>
      </w:r>
      <w:r w:rsidRPr="00C85289">
        <w:t>e reporting of false positives, we adopted a study design incorporat</w:t>
      </w:r>
      <w:r>
        <w:t>ing</w:t>
      </w:r>
      <w:r w:rsidRPr="00C85289">
        <w:t xml:space="preserve"> both </w:t>
      </w:r>
      <w:r>
        <w:t>two-</w:t>
      </w:r>
      <w:r w:rsidRPr="00C85289">
        <w:t xml:space="preserve">stage and </w:t>
      </w:r>
      <w:r>
        <w:t>one-</w:t>
      </w:r>
      <w:r w:rsidRPr="00C85289">
        <w:t>stage approaches</w:t>
      </w:r>
      <w:r>
        <w:t xml:space="preserve"> (</w:t>
      </w:r>
      <w:r>
        <w:rPr>
          <w:b/>
        </w:rPr>
        <w:t>Figure 1</w:t>
      </w:r>
      <w:r>
        <w:t>)</w:t>
      </w:r>
      <w:r w:rsidRPr="00C85289">
        <w:t>.</w:t>
      </w:r>
      <w:r>
        <w:t xml:space="preserve"> In the two-stage analysis, 99 new distinct signals, defined using conditional analyses</w:t>
      </w:r>
      <w:r w:rsidRPr="00C5156F">
        <w:rPr>
          <w:noProof/>
          <w:vertAlign w:val="superscript"/>
        </w:rPr>
        <w:t>22</w:t>
      </w:r>
      <w:r>
        <w:t>, were associated with one or more traits at P&lt;5×10</w:t>
      </w:r>
      <w:r w:rsidRPr="005E5F37">
        <w:rPr>
          <w:vertAlign w:val="superscript"/>
        </w:rPr>
        <w:t>-9</w:t>
      </w:r>
      <w:r w:rsidRPr="00196C24">
        <w:rPr>
          <w:vertAlign w:val="superscript"/>
        </w:rPr>
        <w:t xml:space="preserve"> </w:t>
      </w:r>
      <w:r>
        <w:rPr>
          <w:vertAlign w:val="superscript"/>
        </w:rPr>
        <w:t>(</w:t>
      </w:r>
      <w:r>
        <w:rPr>
          <w:noProof/>
          <w:vertAlign w:val="superscript"/>
        </w:rPr>
        <w:t>23</w:t>
      </w:r>
      <w:r>
        <w:rPr>
          <w:vertAlign w:val="superscript"/>
        </w:rPr>
        <w:t>)</w:t>
      </w:r>
      <w:hyperlink w:anchor="_ENREF_23" w:tooltip="Pulit, 2017 #48" w:history="1"/>
      <w:r>
        <w:t xml:space="preserve"> in UK Biobank and showed association (P&lt;10</w:t>
      </w:r>
      <w:r w:rsidRPr="00194959">
        <w:rPr>
          <w:vertAlign w:val="superscript"/>
        </w:rPr>
        <w:t>-3</w:t>
      </w:r>
      <w:r>
        <w:t>)</w:t>
      </w:r>
      <w:r>
        <w:rPr>
          <w:vertAlign w:val="superscript"/>
        </w:rPr>
        <w:t xml:space="preserve"> </w:t>
      </w:r>
      <w:r>
        <w:t xml:space="preserve">with a consistent direction of effect in SpiroMeta (“Tier 1” signals, </w:t>
      </w:r>
      <w:r w:rsidRPr="002C58D7">
        <w:rPr>
          <w:b/>
        </w:rPr>
        <w:t>Supplementary Figure 2; Supplementary Table 4</w:t>
      </w:r>
      <w:r>
        <w:t>). In the one-stage analysis, we meta-analy</w:t>
      </w:r>
      <w:r w:rsidR="008B1251">
        <w:t>z</w:t>
      </w:r>
      <w:r>
        <w:t>ed UK Biobank and SpiroMeta (up to 400,102 individuals) and 40 additional new distinct signals associated with one or more lung function traits reaching P&lt;5×10</w:t>
      </w:r>
      <w:r w:rsidRPr="005E5F37">
        <w:rPr>
          <w:vertAlign w:val="superscript"/>
        </w:rPr>
        <w:t>-9</w:t>
      </w:r>
      <w:r>
        <w:t xml:space="preserve"> were identified (</w:t>
      </w:r>
      <w:r w:rsidRPr="002C58D7">
        <w:rPr>
          <w:b/>
        </w:rPr>
        <w:t>Supplementary Figure 2, Supplementary Table 4</w:t>
      </w:r>
      <w:r>
        <w:t>) that were also associated with P&lt;10</w:t>
      </w:r>
      <w:r w:rsidRPr="00154FB7">
        <w:rPr>
          <w:vertAlign w:val="superscript"/>
        </w:rPr>
        <w:t>-3</w:t>
      </w:r>
      <w:r>
        <w:rPr>
          <w:vertAlign w:val="subscript"/>
        </w:rPr>
        <w:t xml:space="preserve"> </w:t>
      </w:r>
      <w:r>
        <w:t xml:space="preserve">separately in UK Biobank </w:t>
      </w:r>
      <w:r w:rsidRPr="00154FB7">
        <w:t xml:space="preserve">and </w:t>
      </w:r>
      <w:r>
        <w:t xml:space="preserve">in </w:t>
      </w:r>
      <w:r w:rsidRPr="00154FB7">
        <w:t>SpiroMeta</w:t>
      </w:r>
      <w:r>
        <w:t>, with consistent direction of effect (“Tie</w:t>
      </w:r>
      <w:r w:rsidRPr="002A26D7">
        <w:t xml:space="preserve">r 2” signals). An additional </w:t>
      </w:r>
      <w:r w:rsidRPr="00820E13">
        <w:t>323</w:t>
      </w:r>
      <w:r w:rsidRPr="002A26D7">
        <w:t xml:space="preserve"> </w:t>
      </w:r>
      <w:r>
        <w:t xml:space="preserve">autosomal </w:t>
      </w:r>
      <w:r w:rsidRPr="002A26D7">
        <w:t xml:space="preserve">signals were significantly associated with one or more lung function traits in the meta-analysis of UK Biobank and SpiroMeta </w:t>
      </w:r>
      <w:r>
        <w:t>(P&lt;5×10</w:t>
      </w:r>
      <w:r w:rsidRPr="00026220">
        <w:rPr>
          <w:vertAlign w:val="superscript"/>
        </w:rPr>
        <w:t>-9</w:t>
      </w:r>
      <w:r>
        <w:t>) and</w:t>
      </w:r>
      <w:r w:rsidRPr="002A26D7">
        <w:t xml:space="preserve"> reach</w:t>
      </w:r>
      <w:r>
        <w:t>ed</w:t>
      </w:r>
      <w:r w:rsidRPr="002A26D7">
        <w:t xml:space="preserve"> P&lt;10</w:t>
      </w:r>
      <w:r w:rsidRPr="002A26D7">
        <w:rPr>
          <w:vertAlign w:val="superscript"/>
        </w:rPr>
        <w:noBreakHyphen/>
        <w:t>3</w:t>
      </w:r>
      <w:r w:rsidRPr="002A26D7">
        <w:t xml:space="preserve"> for association in </w:t>
      </w:r>
      <w:r>
        <w:t xml:space="preserve">only one of UK Biobank or </w:t>
      </w:r>
      <w:r w:rsidRPr="002A26D7">
        <w:t>SpiroMeta (“Tier 3” signals</w:t>
      </w:r>
      <w:r>
        <w:t xml:space="preserve">, </w:t>
      </w:r>
      <w:r w:rsidRPr="002C58D7">
        <w:rPr>
          <w:b/>
        </w:rPr>
        <w:t>Supplementary Table 5</w:t>
      </w:r>
      <w:r>
        <w:t>).</w:t>
      </w:r>
      <w:r w:rsidRPr="00154FB7">
        <w:t xml:space="preserve"> </w:t>
      </w:r>
      <w:r>
        <w:t xml:space="preserve">Analysis of chromosome X variants in </w:t>
      </w:r>
      <w:r w:rsidRPr="009A6594">
        <w:t>359</w:t>
      </w:r>
      <w:r>
        <w:t>,</w:t>
      </w:r>
      <w:r w:rsidRPr="009A6594">
        <w:t>226</w:t>
      </w:r>
      <w:r>
        <w:t xml:space="preserve"> individuals (321,027 UK Biobank and 38,199 SpiroMeta</w:t>
      </w:r>
      <w:r w:rsidRPr="005437F7">
        <w:rPr>
          <w:noProof/>
          <w:vertAlign w:val="superscript"/>
        </w:rPr>
        <w:t>15</w:t>
      </w:r>
      <w:r>
        <w:t xml:space="preserve">) gave an additional five Tier 3 signals. Only the 139 signals meeting Tier 1 and Tier 2 criteria were followed up further. The strength and direction of association of the sentinel variant (the variant in each signal with the lowest P value) for these 139 new signals across all 4 lung function traits are shown in </w:t>
      </w:r>
      <w:r w:rsidRPr="002D484C">
        <w:rPr>
          <w:b/>
        </w:rPr>
        <w:t>Figure 2</w:t>
      </w:r>
      <w:r w:rsidRPr="002C58D7">
        <w:t>.</w:t>
      </w:r>
      <w:r>
        <w:t xml:space="preserve"> </w:t>
      </w:r>
      <w:r w:rsidDel="004D15D0">
        <w:t xml:space="preserve">Of the </w:t>
      </w:r>
      <w:r>
        <w:t>139</w:t>
      </w:r>
      <w:r w:rsidDel="004D15D0">
        <w:t xml:space="preserve"> signals, </w:t>
      </w:r>
      <w:r>
        <w:t>131</w:t>
      </w:r>
      <w:r w:rsidRPr="001C456A" w:rsidDel="004D15D0">
        <w:t xml:space="preserve"> were associated with at least two lung function t</w:t>
      </w:r>
      <w:r w:rsidDel="004D15D0">
        <w:t>raits at P&lt;</w:t>
      </w:r>
      <w:r w:rsidRPr="001C456A" w:rsidDel="004D15D0">
        <w:t>10</w:t>
      </w:r>
      <w:r w:rsidRPr="001C456A" w:rsidDel="004D15D0">
        <w:rPr>
          <w:vertAlign w:val="superscript"/>
        </w:rPr>
        <w:t>-3</w:t>
      </w:r>
      <w:r w:rsidDel="004D15D0">
        <w:t xml:space="preserve">, </w:t>
      </w:r>
      <w:r>
        <w:t>eight</w:t>
      </w:r>
      <w:r w:rsidDel="004D15D0">
        <w:t xml:space="preserve"> signals were unique to FEV</w:t>
      </w:r>
      <w:r w:rsidRPr="00893DA8" w:rsidDel="004D15D0">
        <w:rPr>
          <w:vertAlign w:val="subscript"/>
        </w:rPr>
        <w:t>1</w:t>
      </w:r>
      <w:r w:rsidDel="004D15D0">
        <w:t>/FVC and no signals were unique to FEV</w:t>
      </w:r>
      <w:r w:rsidRPr="00893DA8" w:rsidDel="004D15D0">
        <w:rPr>
          <w:vertAlign w:val="subscript"/>
        </w:rPr>
        <w:t>1</w:t>
      </w:r>
      <w:r w:rsidDel="004D15D0">
        <w:t>, FVC or PEF at this threshold.</w:t>
      </w:r>
    </w:p>
    <w:p w14:paraId="1B74EC6C" w14:textId="0A813EF0" w:rsidR="00A81934" w:rsidRDefault="00A81934" w:rsidP="00A57B8D">
      <w:r>
        <w:t>We assessed whether any of these 139 signals associated with lung function could be driven via an underlying association with smoking behavior (</w:t>
      </w:r>
      <w:r>
        <w:rPr>
          <w:b/>
        </w:rPr>
        <w:t>Online Methods</w:t>
      </w:r>
      <w:r>
        <w:t>).</w:t>
      </w:r>
      <w:r w:rsidRPr="00CF4A03">
        <w:t xml:space="preserve"> </w:t>
      </w:r>
      <w:r>
        <w:t xml:space="preserve">Only </w:t>
      </w:r>
      <w:r w:rsidRPr="000C657A">
        <w:t>rs193686</w:t>
      </w:r>
      <w:r>
        <w:t xml:space="preserve"> (</w:t>
      </w:r>
      <w:r w:rsidRPr="00D31DBB">
        <w:rPr>
          <w:b/>
        </w:rPr>
        <w:t>Supplementary Table 6</w:t>
      </w:r>
      <w:r>
        <w:t xml:space="preserve">) was associated with smoking behavior. Whilst </w:t>
      </w:r>
      <w:r w:rsidRPr="000C657A">
        <w:t>rs193686</w:t>
      </w:r>
      <w:r>
        <w:t xml:space="preserve"> was associated with smoking initiation (P=9.18×10</w:t>
      </w:r>
      <w:r w:rsidRPr="005C2ADA">
        <w:rPr>
          <w:vertAlign w:val="superscript"/>
        </w:rPr>
        <w:t>-6</w:t>
      </w:r>
      <w:r>
        <w:t>),</w:t>
      </w:r>
      <w:r w:rsidRPr="00731952">
        <w:t xml:space="preserve"> </w:t>
      </w:r>
      <w:r>
        <w:t>the allele associated with smoking initiation was associated with increased lung function in never smokers (</w:t>
      </w:r>
      <w:r w:rsidRPr="00BA12C4">
        <w:t>FEV</w:t>
      </w:r>
      <w:r>
        <w:rPr>
          <w:vertAlign w:val="subscript"/>
        </w:rPr>
        <w:t>1</w:t>
      </w:r>
      <w:r>
        <w:t xml:space="preserve">/FVC </w:t>
      </w:r>
      <w:r w:rsidRPr="00BA12C4">
        <w:t>P</w:t>
      </w:r>
      <w:r>
        <w:t>=5.28×10</w:t>
      </w:r>
      <w:r w:rsidRPr="008F3B6B">
        <w:rPr>
          <w:vertAlign w:val="superscript"/>
        </w:rPr>
        <w:t>-10</w:t>
      </w:r>
      <w:r>
        <w:t xml:space="preserve">, </w:t>
      </w:r>
      <w:r w:rsidRPr="006409A5">
        <w:rPr>
          <w:b/>
        </w:rPr>
        <w:t>Supplementary Table 7</w:t>
      </w:r>
      <w:r w:rsidRPr="006409A5">
        <w:t>).</w:t>
      </w:r>
      <w:r>
        <w:t xml:space="preserve"> Therefore, this signal was retained for further analysis.</w:t>
      </w:r>
    </w:p>
    <w:p w14:paraId="6F9EB9D5" w14:textId="77777777" w:rsidR="00A81934" w:rsidRPr="00350E2C" w:rsidRDefault="00A81934" w:rsidP="00350E2C">
      <w:pPr>
        <w:pStyle w:val="berschrift2"/>
      </w:pPr>
      <w:r>
        <w:t>A total of 279 signals of association for lung function</w:t>
      </w:r>
    </w:p>
    <w:p w14:paraId="374C0EF9" w14:textId="3AB70240" w:rsidR="00A81934" w:rsidRDefault="00A81934" w:rsidP="008137E8">
      <w:r>
        <w:t xml:space="preserve">Of 157 previously </w:t>
      </w:r>
      <w:r w:rsidRPr="00680D9A">
        <w:t>published autosomal</w:t>
      </w:r>
      <w:r>
        <w:t xml:space="preserve"> signals of association with lung function and COPD</w:t>
      </w:r>
      <w:hyperlink w:anchor="_ENREF_3" w:tooltip="Hobbs, 2017 #3" w:history="1">
        <w:r w:rsidRPr="00F71CEB">
          <w:rPr>
            <w:noProof/>
            <w:vertAlign w:val="superscript"/>
          </w:rPr>
          <w:t>3</w:t>
        </w:r>
      </w:hyperlink>
      <w:r w:rsidRPr="00F71CEB">
        <w:rPr>
          <w:noProof/>
          <w:vertAlign w:val="superscript"/>
        </w:rPr>
        <w:t>,</w:t>
      </w:r>
      <w:hyperlink w:anchor="_ENREF_6" w:tooltip="Wilk, 2009 #23" w:history="1">
        <w:r w:rsidRPr="00F71CEB">
          <w:rPr>
            <w:noProof/>
            <w:vertAlign w:val="superscript"/>
          </w:rPr>
          <w:t>6-18</w:t>
        </w:r>
      </w:hyperlink>
      <w:r>
        <w:rPr>
          <w:noProof/>
          <w:vertAlign w:val="subscript"/>
        </w:rPr>
        <w:t>,</w:t>
      </w:r>
      <w:r>
        <w:t xml:space="preserve"> 142 were associated at P&lt;10</w:t>
      </w:r>
      <w:r>
        <w:rPr>
          <w:vertAlign w:val="superscript"/>
        </w:rPr>
        <w:noBreakHyphen/>
        <w:t xml:space="preserve">5 </w:t>
      </w:r>
      <w:r>
        <w:t>in UK Biobank (</w:t>
      </w:r>
      <w:r w:rsidRPr="00F051E7">
        <w:rPr>
          <w:b/>
        </w:rPr>
        <w:t xml:space="preserve">Online </w:t>
      </w:r>
      <w:r>
        <w:rPr>
          <w:b/>
        </w:rPr>
        <w:t>M</w:t>
      </w:r>
      <w:r w:rsidRPr="00F051E7">
        <w:rPr>
          <w:b/>
        </w:rPr>
        <w:t>ethods</w:t>
      </w:r>
      <w:r>
        <w:rPr>
          <w:b/>
        </w:rPr>
        <w:t>,</w:t>
      </w:r>
      <w:r>
        <w:t xml:space="preserve"> </w:t>
      </w:r>
      <w:r w:rsidRPr="006409A5">
        <w:rPr>
          <w:b/>
        </w:rPr>
        <w:t>Supplementary Figure 3</w:t>
      </w:r>
      <w:r>
        <w:t xml:space="preserve">, </w:t>
      </w:r>
      <w:r w:rsidRPr="006409A5">
        <w:rPr>
          <w:b/>
        </w:rPr>
        <w:t>Supplementary Table 8</w:t>
      </w:r>
      <w:r>
        <w:t>). Two sentinel variants (</w:t>
      </w:r>
      <w:r w:rsidRPr="000C657A">
        <w:t>rs1689510</w:t>
      </w:r>
      <w:r>
        <w:t xml:space="preserve"> and </w:t>
      </w:r>
      <w:r w:rsidRPr="00213FFE">
        <w:t>r</w:t>
      </w:r>
      <w:r w:rsidRPr="000C657A">
        <w:t>s11134789</w:t>
      </w:r>
      <w:r>
        <w:t>) were associated with smoking initiation (</w:t>
      </w:r>
      <w:r w:rsidRPr="006409A5">
        <w:rPr>
          <w:b/>
        </w:rPr>
        <w:t>Supplementary Table 6</w:t>
      </w:r>
      <w:r>
        <w:t>), but were also associated with lung function in never smokers (</w:t>
      </w:r>
      <w:r w:rsidRPr="006409A5">
        <w:rPr>
          <w:b/>
        </w:rPr>
        <w:t>Supplementary Table 7</w:t>
      </w:r>
      <w:r>
        <w:t>).</w:t>
      </w:r>
      <w:r w:rsidRPr="00787723">
        <w:t xml:space="preserve"> </w:t>
      </w:r>
      <w:r>
        <w:t xml:space="preserve">SNP </w:t>
      </w:r>
      <w:r w:rsidRPr="00C532EB">
        <w:t xml:space="preserve">rs17486278 </w:t>
      </w:r>
      <w:r>
        <w:t xml:space="preserve">at </w:t>
      </w:r>
      <w:r>
        <w:rPr>
          <w:i/>
        </w:rPr>
        <w:t xml:space="preserve">CHRNA5 </w:t>
      </w:r>
      <w:r>
        <w:t xml:space="preserve">and </w:t>
      </w:r>
      <w:r w:rsidRPr="00C532EB">
        <w:t xml:space="preserve">rs11667314 </w:t>
      </w:r>
      <w:r>
        <w:t xml:space="preserve">near </w:t>
      </w:r>
      <w:r w:rsidRPr="00754FDB">
        <w:rPr>
          <w:i/>
        </w:rPr>
        <w:t>CYP2A6</w:t>
      </w:r>
      <w:r>
        <w:t xml:space="preserve"> were each associated with cigarettes per day (</w:t>
      </w:r>
      <w:r w:rsidRPr="006409A5">
        <w:rPr>
          <w:b/>
        </w:rPr>
        <w:t>Supplementary Table 6</w:t>
      </w:r>
      <w:r>
        <w:t xml:space="preserve">); neither were significantly associated with lung function among never </w:t>
      </w:r>
      <w:r w:rsidRPr="004F655C">
        <w:t>smokers</w:t>
      </w:r>
      <w:r>
        <w:t xml:space="preserve"> and so were excluded from further analysis. This brings the total number of distinct signals of association with lung function to 279 (</w:t>
      </w:r>
      <w:r w:rsidRPr="006409A5">
        <w:rPr>
          <w:b/>
        </w:rPr>
        <w:t>Supplementary Table 9</w:t>
      </w:r>
      <w:r>
        <w:t>).</w:t>
      </w:r>
      <w:r w:rsidRPr="003F3733">
        <w:t xml:space="preserve"> </w:t>
      </w:r>
      <w:r>
        <w:t>None of these variants showed interaction with ever-smoking status (P&gt;1.8×10</w:t>
      </w:r>
      <w:r w:rsidRPr="00363E47">
        <w:rPr>
          <w:vertAlign w:val="superscript"/>
        </w:rPr>
        <w:t>-4</w:t>
      </w:r>
      <w:r>
        <w:t xml:space="preserve">, </w:t>
      </w:r>
      <w:r w:rsidRPr="00974562">
        <w:rPr>
          <w:b/>
        </w:rPr>
        <w:t>Online Methods</w:t>
      </w:r>
      <w:r w:rsidRPr="006409A5">
        <w:rPr>
          <w:b/>
        </w:rPr>
        <w:t>, Supplementary Table 7</w:t>
      </w:r>
      <w:r w:rsidRPr="006409A5">
        <w:t>)</w:t>
      </w:r>
      <w:r w:rsidRPr="00C90204">
        <w:t>.</w:t>
      </w:r>
      <w:r>
        <w:t xml:space="preserve"> Using the effect estimates, allele frequencies and assuming a total heritability of 40%</w:t>
      </w:r>
      <w:r w:rsidRPr="00450747">
        <w:rPr>
          <w:noProof/>
          <w:vertAlign w:val="superscript"/>
        </w:rPr>
        <w:t>24,25</w:t>
      </w:r>
      <w:r>
        <w:t xml:space="preserve"> (</w:t>
      </w:r>
      <w:r w:rsidRPr="00F051E7">
        <w:rPr>
          <w:b/>
        </w:rPr>
        <w:t>O</w:t>
      </w:r>
      <w:r>
        <w:rPr>
          <w:b/>
        </w:rPr>
        <w:t>nline M</w:t>
      </w:r>
      <w:r w:rsidRPr="00F051E7">
        <w:rPr>
          <w:b/>
        </w:rPr>
        <w:t>ethods</w:t>
      </w:r>
      <w:r>
        <w:t>), we calculated that the 140 previously reported lung function signals showing association in this study (UK Biobank P&lt;10</w:t>
      </w:r>
      <w:r>
        <w:rPr>
          <w:vertAlign w:val="superscript"/>
        </w:rPr>
        <w:t>-5</w:t>
      </w:r>
      <w:r>
        <w:t>) explained 5.0%, 3.4%, 9.2% and 4.5% of the estimated heritability of FEV</w:t>
      </w:r>
      <w:r w:rsidRPr="00C46FEB">
        <w:rPr>
          <w:vertAlign w:val="subscript"/>
        </w:rPr>
        <w:t>1</w:t>
      </w:r>
      <w:r>
        <w:t>, FVC, FEV</w:t>
      </w:r>
      <w:r w:rsidRPr="00C46FEB">
        <w:rPr>
          <w:vertAlign w:val="subscript"/>
        </w:rPr>
        <w:t>1</w:t>
      </w:r>
      <w:r>
        <w:t xml:space="preserve">/FVC and PEF, respectively. The </w:t>
      </w:r>
      <w:r>
        <w:lastRenderedPageBreak/>
        <w:t>139 new signals reported here, explain an additional 4.3%, 3.3%, 3.9% and 3.3% of the estimated heritability, respectively.</w:t>
      </w:r>
    </w:p>
    <w:p w14:paraId="7BE74430" w14:textId="77777777" w:rsidR="00A81934" w:rsidRPr="00887B7F" w:rsidRDefault="00A81934" w:rsidP="00887B7F">
      <w:pPr>
        <w:pStyle w:val="berschrift2"/>
      </w:pPr>
      <w:r w:rsidRPr="00887B7F">
        <w:t xml:space="preserve">Identification of </w:t>
      </w:r>
      <w:r>
        <w:t>putative</w:t>
      </w:r>
      <w:r w:rsidRPr="00887B7F">
        <w:t xml:space="preserve"> causal genes</w:t>
      </w:r>
    </w:p>
    <w:p w14:paraId="722FEE8E" w14:textId="1B584246" w:rsidR="00A81934" w:rsidRDefault="00A81934" w:rsidP="00A57B8D">
      <w:r>
        <w:t>Bayesian refinement was undertaken for each signal, using the</w:t>
      </w:r>
      <w:r w:rsidRPr="00445A67">
        <w:t xml:space="preserve"> </w:t>
      </w:r>
      <w:r>
        <w:t xml:space="preserve">meta-analysis of UK Biobank and SpiroMeta, to identify </w:t>
      </w:r>
      <w:r w:rsidRPr="009C4A51">
        <w:t>the set of variants that were 9</w:t>
      </w:r>
      <w:r>
        <w:t>9</w:t>
      </w:r>
      <w:r w:rsidRPr="009C4A51">
        <w:t xml:space="preserve">% likely to contain </w:t>
      </w:r>
      <w:r>
        <w:t>the</w:t>
      </w:r>
      <w:r w:rsidRPr="009C4A51">
        <w:t xml:space="preserve"> underlying causal variant (assuming the causal variant has been analy</w:t>
      </w:r>
      <w:r w:rsidR="008B1251">
        <w:t>z</w:t>
      </w:r>
      <w:r w:rsidRPr="009C4A51">
        <w:t>ed</w:t>
      </w:r>
      <w:r>
        <w:t xml:space="preserve">, </w:t>
      </w:r>
      <w:r w:rsidRPr="00E958D2">
        <w:rPr>
          <w:b/>
        </w:rPr>
        <w:t xml:space="preserve">Online </w:t>
      </w:r>
      <w:r>
        <w:rPr>
          <w:b/>
        </w:rPr>
        <w:t>M</w:t>
      </w:r>
      <w:r w:rsidRPr="00E958D2">
        <w:rPr>
          <w:b/>
        </w:rPr>
        <w:t>ethods</w:t>
      </w:r>
      <w:r>
        <w:t xml:space="preserve">, </w:t>
      </w:r>
      <w:r w:rsidRPr="006409A5">
        <w:rPr>
          <w:b/>
        </w:rPr>
        <w:t xml:space="preserve">Supplementary Table </w:t>
      </w:r>
      <w:r>
        <w:rPr>
          <w:b/>
        </w:rPr>
        <w:t xml:space="preserve">10, </w:t>
      </w:r>
      <w:r w:rsidRPr="00A06F5C">
        <w:rPr>
          <w:b/>
        </w:rPr>
        <w:t xml:space="preserve">Supplementary </w:t>
      </w:r>
      <w:r>
        <w:rPr>
          <w:b/>
        </w:rPr>
        <w:t xml:space="preserve">Data 1 </w:t>
      </w:r>
      <w:r w:rsidRPr="00841A79">
        <w:t>and</w:t>
      </w:r>
      <w:r>
        <w:rPr>
          <w:b/>
        </w:rPr>
        <w:t xml:space="preserve"> Supplementary Data 2</w:t>
      </w:r>
      <w:r w:rsidRPr="00F83F0E">
        <w:t>)</w:t>
      </w:r>
      <w:r>
        <w:t>.</w:t>
      </w:r>
    </w:p>
    <w:p w14:paraId="33DFA703" w14:textId="15D4722B" w:rsidR="00A81934" w:rsidRDefault="00A81934" w:rsidP="00F266E2">
      <w:r>
        <w:t>To identify putative causal genes for each signal, we identified deleterious variants and variants associated with gene expression (</w:t>
      </w:r>
      <w:r w:rsidR="008B1251">
        <w:t>expression quantitative trait loci (</w:t>
      </w:r>
      <w:r>
        <w:t>eQTLs</w:t>
      </w:r>
      <w:r w:rsidR="008B1251">
        <w:t>)</w:t>
      </w:r>
      <w:r>
        <w:t>) or protein levels (</w:t>
      </w:r>
      <w:r w:rsidR="008B1251">
        <w:t>protein quantitative trait loci (</w:t>
      </w:r>
      <w:r>
        <w:t>pQTLs</w:t>
      </w:r>
      <w:r w:rsidR="008B1251">
        <w:t>)</w:t>
      </w:r>
      <w:r>
        <w:t>) within each 99% credible set for all new and previously reported signals outside the HLA region (</w:t>
      </w:r>
      <w:r>
        <w:rPr>
          <w:b/>
        </w:rPr>
        <w:t>Online M</w:t>
      </w:r>
      <w:r w:rsidRPr="004B7287">
        <w:rPr>
          <w:b/>
        </w:rPr>
        <w:t>ethods</w:t>
      </w:r>
      <w:r>
        <w:t>).</w:t>
      </w:r>
    </w:p>
    <w:p w14:paraId="2616E772" w14:textId="61484C6D" w:rsidR="00A81934" w:rsidRDefault="00A81934" w:rsidP="00F266E2">
      <w:pPr>
        <w:rPr>
          <w:rFonts w:cs="Arial"/>
        </w:rPr>
      </w:pPr>
      <w:r>
        <w:t xml:space="preserve">There were </w:t>
      </w:r>
      <w:r w:rsidRPr="0010231C">
        <w:t>2</w:t>
      </w:r>
      <w:r>
        <w:t>5</w:t>
      </w:r>
      <w:r w:rsidRPr="0010231C">
        <w:t xml:space="preserve"> SNPs</w:t>
      </w:r>
      <w:r>
        <w:t>, located in 22 unique genes, which were annotated as potentially deleterious (</w:t>
      </w:r>
      <w:r w:rsidRPr="00381733">
        <w:rPr>
          <w:b/>
        </w:rPr>
        <w:t>Online Methods</w:t>
      </w:r>
      <w:r>
        <w:t xml:space="preserve">, </w:t>
      </w:r>
      <w:r w:rsidRPr="006409A5">
        <w:rPr>
          <w:b/>
        </w:rPr>
        <w:t>Supplementary Table 11</w:t>
      </w:r>
      <w:r>
        <w:t xml:space="preserve">). </w:t>
      </w:r>
      <w:r w:rsidRPr="00C009AE">
        <w:rPr>
          <w:rFonts w:cs="Arial"/>
        </w:rPr>
        <w:t xml:space="preserve">Amongst our new signals, </w:t>
      </w:r>
      <w:r>
        <w:rPr>
          <w:rFonts w:cs="Arial"/>
        </w:rPr>
        <w:t>there were 10</w:t>
      </w:r>
      <w:r w:rsidRPr="00C009AE">
        <w:rPr>
          <w:rFonts w:cs="Arial"/>
        </w:rPr>
        <w:t xml:space="preserve"> variants</w:t>
      </w:r>
      <w:r>
        <w:rPr>
          <w:rFonts w:cs="Arial"/>
        </w:rPr>
        <w:t xml:space="preserve"> annotated as deleterious</w:t>
      </w:r>
      <w:r w:rsidRPr="00C009AE">
        <w:rPr>
          <w:rFonts w:cs="Arial"/>
        </w:rPr>
        <w:t xml:space="preserve"> in </w:t>
      </w:r>
      <w:r>
        <w:rPr>
          <w:rFonts w:cs="Arial"/>
        </w:rPr>
        <w:t>9</w:t>
      </w:r>
      <w:r w:rsidRPr="00C009AE">
        <w:rPr>
          <w:rFonts w:cs="Arial"/>
        </w:rPr>
        <w:t xml:space="preserve"> different genes</w:t>
      </w:r>
      <w:r>
        <w:rPr>
          <w:rFonts w:cs="Arial"/>
        </w:rPr>
        <w:t xml:space="preserve">: </w:t>
      </w:r>
      <w:r w:rsidRPr="00363E72">
        <w:rPr>
          <w:rFonts w:cs="Arial"/>
          <w:i/>
        </w:rPr>
        <w:t>DOCK9</w:t>
      </w:r>
      <w:r>
        <w:rPr>
          <w:rFonts w:cs="Arial"/>
        </w:rPr>
        <w:t xml:space="preserve"> (</w:t>
      </w:r>
      <w:r w:rsidRPr="00363E72">
        <w:rPr>
          <w:rFonts w:cs="Arial"/>
        </w:rPr>
        <w:t>rs117633128</w:t>
      </w:r>
      <w:r>
        <w:rPr>
          <w:rFonts w:cs="Arial"/>
        </w:rPr>
        <w:t xml:space="preserve">), </w:t>
      </w:r>
      <w:r w:rsidRPr="00363E47">
        <w:rPr>
          <w:rFonts w:cs="Arial"/>
          <w:i/>
        </w:rPr>
        <w:t>CEP72</w:t>
      </w:r>
      <w:r>
        <w:rPr>
          <w:rFonts w:cs="Arial"/>
          <w:i/>
        </w:rPr>
        <w:t xml:space="preserve"> </w:t>
      </w:r>
      <w:r>
        <w:rPr>
          <w:rFonts w:cs="Arial"/>
        </w:rPr>
        <w:t>(</w:t>
      </w:r>
      <w:r w:rsidRPr="001543DF">
        <w:rPr>
          <w:rFonts w:cs="Arial"/>
        </w:rPr>
        <w:t>rs12522955</w:t>
      </w:r>
      <w:r>
        <w:rPr>
          <w:rFonts w:cs="Arial"/>
        </w:rPr>
        <w:t>)</w:t>
      </w:r>
      <w:r w:rsidRPr="00C009AE">
        <w:rPr>
          <w:rFonts w:cs="Arial"/>
        </w:rPr>
        <w:t xml:space="preserve">, </w:t>
      </w:r>
      <w:r w:rsidRPr="00363E47">
        <w:rPr>
          <w:rFonts w:cs="Arial"/>
          <w:i/>
        </w:rPr>
        <w:t>BCHE</w:t>
      </w:r>
      <w:r>
        <w:rPr>
          <w:rFonts w:cs="Arial"/>
          <w:i/>
        </w:rPr>
        <w:t xml:space="preserve"> </w:t>
      </w:r>
      <w:r>
        <w:rPr>
          <w:rFonts w:cs="Arial"/>
        </w:rPr>
        <w:t>(</w:t>
      </w:r>
      <w:r w:rsidRPr="001543DF">
        <w:rPr>
          <w:rFonts w:cs="Arial"/>
        </w:rPr>
        <w:t>rs1799807</w:t>
      </w:r>
      <w:r>
        <w:rPr>
          <w:rFonts w:cs="Arial"/>
        </w:rPr>
        <w:t>)</w:t>
      </w:r>
      <w:r w:rsidRPr="00C009AE">
        <w:rPr>
          <w:rFonts w:cs="Arial"/>
        </w:rPr>
        <w:t xml:space="preserve">, </w:t>
      </w:r>
      <w:r w:rsidRPr="00363E47">
        <w:rPr>
          <w:rFonts w:cs="Arial"/>
          <w:i/>
        </w:rPr>
        <w:t>DST</w:t>
      </w:r>
      <w:r>
        <w:rPr>
          <w:rFonts w:cs="Arial"/>
          <w:i/>
        </w:rPr>
        <w:t xml:space="preserve"> </w:t>
      </w:r>
      <w:r>
        <w:rPr>
          <w:rFonts w:cs="Arial"/>
        </w:rPr>
        <w:t>(</w:t>
      </w:r>
      <w:r w:rsidRPr="00EE61CD">
        <w:rPr>
          <w:rFonts w:cs="Arial"/>
        </w:rPr>
        <w:t>rs11756977</w:t>
      </w:r>
      <w:r>
        <w:rPr>
          <w:rFonts w:cs="Arial"/>
        </w:rPr>
        <w:t>)</w:t>
      </w:r>
      <w:r w:rsidRPr="00C009AE">
        <w:rPr>
          <w:rFonts w:cs="Arial"/>
        </w:rPr>
        <w:t xml:space="preserve">, </w:t>
      </w:r>
      <w:r w:rsidRPr="00363E47">
        <w:rPr>
          <w:rFonts w:cs="Arial"/>
          <w:i/>
        </w:rPr>
        <w:t>KIAA0753</w:t>
      </w:r>
      <w:r>
        <w:rPr>
          <w:rFonts w:cs="Arial"/>
          <w:i/>
        </w:rPr>
        <w:t xml:space="preserve"> </w:t>
      </w:r>
      <w:r>
        <w:rPr>
          <w:rFonts w:cs="Arial"/>
        </w:rPr>
        <w:t>(</w:t>
      </w:r>
      <w:r w:rsidRPr="00EE61CD">
        <w:rPr>
          <w:rFonts w:cs="Arial"/>
        </w:rPr>
        <w:t>rs2304977</w:t>
      </w:r>
      <w:r>
        <w:rPr>
          <w:rFonts w:cs="Arial"/>
        </w:rPr>
        <w:t>,</w:t>
      </w:r>
      <w:r w:rsidRPr="00E958D2">
        <w:rPr>
          <w:rFonts w:cs="Arial"/>
        </w:rPr>
        <w:t xml:space="preserve"> rs9889363), </w:t>
      </w:r>
      <w:r w:rsidRPr="00E958D2">
        <w:rPr>
          <w:rFonts w:cs="Arial"/>
          <w:i/>
        </w:rPr>
        <w:t>LRRC45</w:t>
      </w:r>
      <w:r>
        <w:rPr>
          <w:rFonts w:cs="Arial"/>
          <w:i/>
        </w:rPr>
        <w:t xml:space="preserve"> </w:t>
      </w:r>
      <w:r>
        <w:rPr>
          <w:rFonts w:cs="Arial"/>
        </w:rPr>
        <w:t>(</w:t>
      </w:r>
      <w:r w:rsidRPr="004A09A8">
        <w:rPr>
          <w:rFonts w:cs="Arial"/>
        </w:rPr>
        <w:t>rs72861736</w:t>
      </w:r>
      <w:r>
        <w:rPr>
          <w:rFonts w:cs="Arial"/>
        </w:rPr>
        <w:t>)</w:t>
      </w:r>
      <w:r w:rsidRPr="00C009AE">
        <w:rPr>
          <w:rFonts w:cs="Arial"/>
        </w:rPr>
        <w:t xml:space="preserve">, </w:t>
      </w:r>
      <w:r w:rsidRPr="00363E47">
        <w:rPr>
          <w:rFonts w:cs="Arial"/>
          <w:i/>
        </w:rPr>
        <w:t>BTC</w:t>
      </w:r>
      <w:r>
        <w:rPr>
          <w:rFonts w:cs="Arial"/>
          <w:i/>
        </w:rPr>
        <w:t xml:space="preserve"> </w:t>
      </w:r>
      <w:r>
        <w:rPr>
          <w:rFonts w:cs="Arial"/>
        </w:rPr>
        <w:t>(</w:t>
      </w:r>
      <w:r w:rsidRPr="004A09A8">
        <w:rPr>
          <w:rFonts w:cs="Arial"/>
        </w:rPr>
        <w:t>rs11938093</w:t>
      </w:r>
      <w:r>
        <w:rPr>
          <w:rFonts w:cs="Arial"/>
        </w:rPr>
        <w:t>)</w:t>
      </w:r>
      <w:r w:rsidRPr="00C009AE">
        <w:rPr>
          <w:rFonts w:cs="Arial"/>
        </w:rPr>
        <w:t xml:space="preserve">, </w:t>
      </w:r>
      <w:r w:rsidRPr="00363E47">
        <w:rPr>
          <w:rFonts w:cs="Arial"/>
          <w:i/>
        </w:rPr>
        <w:t>C2orf54</w:t>
      </w:r>
      <w:r>
        <w:rPr>
          <w:rFonts w:cs="Arial"/>
          <w:i/>
        </w:rPr>
        <w:t xml:space="preserve"> </w:t>
      </w:r>
      <w:r>
        <w:rPr>
          <w:rFonts w:cs="Arial"/>
        </w:rPr>
        <w:t>(</w:t>
      </w:r>
      <w:r w:rsidRPr="004A09A8">
        <w:rPr>
          <w:rFonts w:cs="Arial"/>
        </w:rPr>
        <w:t>rs6709469</w:t>
      </w:r>
      <w:r>
        <w:rPr>
          <w:rFonts w:cs="Arial"/>
        </w:rPr>
        <w:t>)</w:t>
      </w:r>
      <w:r w:rsidRPr="00C009AE">
        <w:rPr>
          <w:rFonts w:cs="Arial"/>
        </w:rPr>
        <w:t xml:space="preserve"> and </w:t>
      </w:r>
      <w:r w:rsidRPr="00363E47">
        <w:rPr>
          <w:rFonts w:cs="Arial"/>
          <w:i/>
        </w:rPr>
        <w:t>IER5L</w:t>
      </w:r>
      <w:r>
        <w:rPr>
          <w:rFonts w:cs="Arial"/>
          <w:i/>
        </w:rPr>
        <w:t xml:space="preserve"> </w:t>
      </w:r>
      <w:r>
        <w:rPr>
          <w:rFonts w:cs="Arial"/>
        </w:rPr>
        <w:t>(</w:t>
      </w:r>
      <w:r w:rsidRPr="004A09A8">
        <w:rPr>
          <w:rFonts w:cs="Arial"/>
        </w:rPr>
        <w:t>rs184457</w:t>
      </w:r>
      <w:r>
        <w:rPr>
          <w:rFonts w:cs="Arial"/>
        </w:rPr>
        <w:t>)</w:t>
      </w:r>
      <w:r w:rsidRPr="00C009AE">
        <w:rPr>
          <w:rFonts w:cs="Arial"/>
        </w:rPr>
        <w:t xml:space="preserve">. </w:t>
      </w:r>
      <w:r>
        <w:rPr>
          <w:rFonts w:cs="Arial"/>
        </w:rPr>
        <w:t>Of these, t</w:t>
      </w:r>
      <w:r w:rsidRPr="00C009AE">
        <w:rPr>
          <w:rFonts w:cs="Arial"/>
        </w:rPr>
        <w:t xml:space="preserve">he missense variant in </w:t>
      </w:r>
      <w:r w:rsidRPr="00363E47">
        <w:rPr>
          <w:rFonts w:cs="Arial"/>
          <w:i/>
        </w:rPr>
        <w:t>BCHE</w:t>
      </w:r>
      <w:r w:rsidRPr="00C009AE">
        <w:rPr>
          <w:rFonts w:cs="Arial"/>
        </w:rPr>
        <w:t xml:space="preserve"> </w:t>
      </w:r>
      <w:r>
        <w:rPr>
          <w:rFonts w:cs="Arial"/>
        </w:rPr>
        <w:t>(</w:t>
      </w:r>
      <w:r w:rsidRPr="00C009AE">
        <w:rPr>
          <w:rFonts w:cs="Arial"/>
        </w:rPr>
        <w:t>rs1799807</w:t>
      </w:r>
      <w:r>
        <w:rPr>
          <w:rFonts w:cs="Arial"/>
        </w:rPr>
        <w:t>)</w:t>
      </w:r>
      <w:r w:rsidRPr="00C009AE">
        <w:rPr>
          <w:rFonts w:cs="Arial"/>
        </w:rPr>
        <w:t xml:space="preserve"> </w:t>
      </w:r>
      <w:r>
        <w:rPr>
          <w:rFonts w:cs="Arial"/>
        </w:rPr>
        <w:t>had the highest posterior probability</w:t>
      </w:r>
      <w:r w:rsidRPr="00C009AE">
        <w:rPr>
          <w:rFonts w:cs="Arial"/>
        </w:rPr>
        <w:t xml:space="preserve"> </w:t>
      </w:r>
      <w:r>
        <w:rPr>
          <w:rFonts w:cs="Arial"/>
        </w:rPr>
        <w:t>(0.996) in its respective credible set, wa</w:t>
      </w:r>
      <w:r w:rsidRPr="00C009AE">
        <w:rPr>
          <w:rFonts w:cs="Arial"/>
        </w:rPr>
        <w:t xml:space="preserve">s </w:t>
      </w:r>
      <w:r w:rsidRPr="00C009AE">
        <w:t>low frequency (</w:t>
      </w:r>
      <w:r w:rsidR="008B1251">
        <w:t>minor allele frequency (</w:t>
      </w:r>
      <w:r w:rsidRPr="00C009AE">
        <w:t>MAF</w:t>
      </w:r>
      <w:r w:rsidR="008B1251">
        <w:t>)</w:t>
      </w:r>
      <w:r>
        <w:t>=1.95</w:t>
      </w:r>
      <w:r w:rsidRPr="00C009AE">
        <w:t xml:space="preserve">%) </w:t>
      </w:r>
      <w:r>
        <w:t>and</w:t>
      </w:r>
      <w:r w:rsidRPr="00C009AE">
        <w:t xml:space="preserve"> result</w:t>
      </w:r>
      <w:r>
        <w:t>s</w:t>
      </w:r>
      <w:r w:rsidRPr="00C009AE">
        <w:t xml:space="preserve"> in an amino acid change from aspartic acid (D) to glycine (G)</w:t>
      </w:r>
      <w:r>
        <w:t>,</w:t>
      </w:r>
      <w:r w:rsidRPr="00C009AE">
        <w:t xml:space="preserve"> known to affect the function of the encoded butyrylcholinesterase enzyme </w:t>
      </w:r>
      <w:r>
        <w:t>by altering</w:t>
      </w:r>
      <w:r w:rsidRPr="00C009AE">
        <w:t xml:space="preserve"> substrate binding</w:t>
      </w:r>
      <w:r w:rsidRPr="00450747">
        <w:rPr>
          <w:noProof/>
          <w:vertAlign w:val="superscript"/>
        </w:rPr>
        <w:t>26</w:t>
      </w:r>
      <w:r>
        <w:t>.</w:t>
      </w:r>
      <w:r w:rsidRPr="00C009AE">
        <w:t xml:space="preserve"> </w:t>
      </w:r>
      <w:r>
        <w:t xml:space="preserve">The </w:t>
      </w:r>
      <w:r>
        <w:rPr>
          <w:rFonts w:cs="Arial"/>
        </w:rPr>
        <w:t>t</w:t>
      </w:r>
      <w:r w:rsidRPr="00C009AE">
        <w:rPr>
          <w:rFonts w:cs="Arial"/>
        </w:rPr>
        <w:t xml:space="preserve">wo common missense variants in </w:t>
      </w:r>
      <w:r w:rsidRPr="00790738">
        <w:rPr>
          <w:rFonts w:cs="Arial"/>
          <w:i/>
        </w:rPr>
        <w:t>KIAA0753</w:t>
      </w:r>
      <w:r w:rsidRPr="00C009AE">
        <w:rPr>
          <w:rFonts w:cs="Arial"/>
        </w:rPr>
        <w:t xml:space="preserve"> were within the credible set of new signal rs4796334. </w:t>
      </w:r>
      <w:r w:rsidRPr="00A957E8">
        <w:rPr>
          <w:rFonts w:cs="Arial"/>
          <w:i/>
        </w:rPr>
        <w:t>KIAA0753</w:t>
      </w:r>
      <w:r>
        <w:rPr>
          <w:rFonts w:cs="Arial"/>
        </w:rPr>
        <w:t xml:space="preserve">, </w:t>
      </w:r>
      <w:r w:rsidRPr="00A957E8">
        <w:rPr>
          <w:rFonts w:cs="Arial"/>
          <w:i/>
        </w:rPr>
        <w:t>CEP72</w:t>
      </w:r>
      <w:r>
        <w:rPr>
          <w:rFonts w:cs="Arial"/>
        </w:rPr>
        <w:t xml:space="preserve"> and </w:t>
      </w:r>
      <w:r w:rsidRPr="00A957E8">
        <w:rPr>
          <w:rFonts w:cs="Arial"/>
          <w:i/>
        </w:rPr>
        <w:t>LRRC45</w:t>
      </w:r>
      <w:r>
        <w:rPr>
          <w:rFonts w:cs="Arial"/>
        </w:rPr>
        <w:t xml:space="preserve"> all encode</w:t>
      </w:r>
      <w:r w:rsidRPr="00C009AE">
        <w:rPr>
          <w:rFonts w:cs="Arial"/>
        </w:rPr>
        <w:t xml:space="preserve"> protein</w:t>
      </w:r>
      <w:r>
        <w:rPr>
          <w:rFonts w:cs="Arial"/>
        </w:rPr>
        <w:t>s</w:t>
      </w:r>
      <w:r w:rsidRPr="00C009AE">
        <w:rPr>
          <w:rFonts w:cs="Arial"/>
        </w:rPr>
        <w:t xml:space="preserve"> with a role in ciliogenesis </w:t>
      </w:r>
      <w:r>
        <w:rPr>
          <w:rFonts w:cs="Arial"/>
        </w:rPr>
        <w:t>or</w:t>
      </w:r>
      <w:r w:rsidRPr="00C009AE">
        <w:rPr>
          <w:rFonts w:cs="Arial"/>
        </w:rPr>
        <w:t xml:space="preserve"> cilia maintenance</w:t>
      </w:r>
      <w:r w:rsidRPr="00450747">
        <w:rPr>
          <w:rFonts w:cs="Arial"/>
          <w:noProof/>
          <w:vertAlign w:val="superscript"/>
        </w:rPr>
        <w:t>27-31</w:t>
      </w:r>
      <w:r>
        <w:rPr>
          <w:rFonts w:cs="Arial"/>
        </w:rPr>
        <w:t>, and all are highly expressed in the airway epithelium</w:t>
      </w:r>
      <w:r w:rsidRPr="00450747">
        <w:rPr>
          <w:rFonts w:cs="Arial"/>
          <w:noProof/>
          <w:vertAlign w:val="superscript"/>
        </w:rPr>
        <w:t>32</w:t>
      </w:r>
      <w:r w:rsidRPr="00C009AE">
        <w:rPr>
          <w:rFonts w:cs="Arial"/>
        </w:rPr>
        <w:t xml:space="preserve">. </w:t>
      </w:r>
    </w:p>
    <w:p w14:paraId="57B9D395" w14:textId="284C5286" w:rsidR="00A81934" w:rsidRDefault="00A81934" w:rsidP="008C7BD4">
      <w:r>
        <w:t>Variants in the 99% credible sets were queried in three eQTL resources to identify associations with gene expression in lung</w:t>
      </w:r>
      <w:r w:rsidRPr="00450747">
        <w:rPr>
          <w:noProof/>
          <w:vertAlign w:val="superscript"/>
        </w:rPr>
        <w:t>33-35</w:t>
      </w:r>
      <w:r>
        <w:t xml:space="preserve"> (n=</w:t>
      </w:r>
      <w:r w:rsidRPr="00217B7F">
        <w:t>1,111</w:t>
      </w:r>
      <w:r>
        <w:t xml:space="preserve">; </w:t>
      </w:r>
      <w:r w:rsidRPr="006409A5">
        <w:rPr>
          <w:b/>
        </w:rPr>
        <w:t>Supplementary Table 12</w:t>
      </w:r>
      <w:r>
        <w:t>), blood</w:t>
      </w:r>
      <w:r w:rsidRPr="00450747">
        <w:rPr>
          <w:noProof/>
          <w:vertAlign w:val="superscript"/>
        </w:rPr>
        <w:t>36</w:t>
      </w:r>
      <w:r>
        <w:t xml:space="preserve"> (n=</w:t>
      </w:r>
      <w:r w:rsidRPr="00217B7F">
        <w:t>4,896</w:t>
      </w:r>
      <w:r>
        <w:t xml:space="preserve">) and a subset of </w:t>
      </w:r>
      <w:r w:rsidR="008B1251">
        <w:t>Genotype-tissue Expression (</w:t>
      </w:r>
      <w:r>
        <w:t>GTEx</w:t>
      </w:r>
      <w:r w:rsidR="008B1251">
        <w:t>)</w:t>
      </w:r>
      <w:r w:rsidRPr="00450747">
        <w:rPr>
          <w:noProof/>
          <w:vertAlign w:val="superscript"/>
        </w:rPr>
        <w:t>37</w:t>
      </w:r>
      <w:hyperlink w:anchor="_ENREF_29" w:tooltip="Consortium, 2015 #42" w:history="1"/>
      <w:r>
        <w:t xml:space="preserve"> tissues (max n=388, </w:t>
      </w:r>
      <w:r w:rsidRPr="00584F87">
        <w:rPr>
          <w:b/>
        </w:rPr>
        <w:t xml:space="preserve">Online </w:t>
      </w:r>
      <w:r>
        <w:rPr>
          <w:b/>
        </w:rPr>
        <w:t>M</w:t>
      </w:r>
      <w:r w:rsidRPr="00584F87">
        <w:rPr>
          <w:b/>
        </w:rPr>
        <w:t>ethods</w:t>
      </w:r>
      <w:r>
        <w:t>). The tissues included from GTEx were lung and blood, plus nine tissues containing smooth muscle (</w:t>
      </w:r>
      <w:r>
        <w:rPr>
          <w:b/>
        </w:rPr>
        <w:t>Online M</w:t>
      </w:r>
      <w:r w:rsidRPr="00F97F51">
        <w:rPr>
          <w:b/>
        </w:rPr>
        <w:t>ethods</w:t>
      </w:r>
      <w:r>
        <w:t>). The latter were chosen based on previous reports of enrichment of lung function GWAS signals in smooth muscle-containing tissues</w:t>
      </w:r>
      <w:r w:rsidRPr="00450747">
        <w:rPr>
          <w:noProof/>
          <w:vertAlign w:val="superscript"/>
        </w:rPr>
        <w:t>18,38</w:t>
      </w:r>
      <w:r>
        <w:t>. We identified 88 genes, implicated by 58 of the 279 signals, for which the most significant SNP associated with expression of that gene in the respective eQTL resource was within one of the 99% credible sets (</w:t>
      </w:r>
      <w:r w:rsidRPr="00767683">
        <w:rPr>
          <w:b/>
        </w:rPr>
        <w:t>Supplementary Table 13</w:t>
      </w:r>
      <w:r w:rsidRPr="00767683">
        <w:t>).</w:t>
      </w:r>
    </w:p>
    <w:p w14:paraId="0EF6ECCC" w14:textId="23F33D0A" w:rsidR="00A81934" w:rsidRPr="001B13A8" w:rsidRDefault="00A81934" w:rsidP="00CB494F">
      <w:r>
        <w:t>We checked credible set variants for association with protein levels in a pQTL study</w:t>
      </w:r>
      <w:r w:rsidRPr="00450747">
        <w:rPr>
          <w:noProof/>
          <w:vertAlign w:val="superscript"/>
        </w:rPr>
        <w:t>39</w:t>
      </w:r>
      <w:r>
        <w:t xml:space="preserve"> comprising SNP associations for 3,600 plasma proteins (</w:t>
      </w:r>
      <w:r w:rsidRPr="00690554">
        <w:rPr>
          <w:b/>
        </w:rPr>
        <w:t>Online Methods</w:t>
      </w:r>
      <w:r>
        <w:t>). W</w:t>
      </w:r>
      <w:r w:rsidRPr="00E26BC3">
        <w:t xml:space="preserve">e found </w:t>
      </w:r>
      <w:r w:rsidR="008B1251">
        <w:t>five</w:t>
      </w:r>
      <w:r w:rsidR="008B1251" w:rsidRPr="00E26BC3">
        <w:t xml:space="preserve"> </w:t>
      </w:r>
      <w:r w:rsidRPr="00E26BC3">
        <w:t>proteins with a sentinel pQTL contained within our lung function credible set</w:t>
      </w:r>
      <w:r>
        <w:t xml:space="preserve">: </w:t>
      </w:r>
      <w:r w:rsidRPr="00707E59">
        <w:t>ECM1</w:t>
      </w:r>
      <w:r>
        <w:t>, THBS4, NPNT, C1QTNF5 and SCARF2 (</w:t>
      </w:r>
      <w:r w:rsidRPr="00EF6F82">
        <w:rPr>
          <w:b/>
        </w:rPr>
        <w:t>Supplementary Table 14</w:t>
      </w:r>
      <w:r>
        <w:t>).</w:t>
      </w:r>
    </w:p>
    <w:p w14:paraId="31E716A4" w14:textId="2820D80B" w:rsidR="00A81934" w:rsidRDefault="00A81934" w:rsidP="008C7BD4">
      <w:r>
        <w:t xml:space="preserve">In total, </w:t>
      </w:r>
      <w:r w:rsidRPr="00EF6F82">
        <w:t>107 putative causal genes</w:t>
      </w:r>
      <w:r>
        <w:t xml:space="preserve"> were identified (</w:t>
      </w:r>
      <w:r w:rsidRPr="00EF6F82">
        <w:rPr>
          <w:b/>
        </w:rPr>
        <w:t>Table 1</w:t>
      </w:r>
      <w:r>
        <w:t>), amongst which, we highlight 75 for the first time as putative causal genes for lung function (43 implicated by a new signal and 32 newly implicated by a previous signal</w:t>
      </w:r>
      <w:r w:rsidRPr="00DB0E91">
        <w:rPr>
          <w:noProof/>
          <w:vertAlign w:val="superscript"/>
        </w:rPr>
        <w:t>18</w:t>
      </w:r>
      <w:r>
        <w:t>).</w:t>
      </w:r>
    </w:p>
    <w:p w14:paraId="095C64D4" w14:textId="77777777" w:rsidR="00A81934" w:rsidRDefault="00A81934" w:rsidP="00654D16">
      <w:pPr>
        <w:pStyle w:val="berschrift2"/>
      </w:pPr>
      <w:bookmarkStart w:id="4" w:name="_Toc509405306"/>
      <w:r>
        <w:t>Pathway analysis</w:t>
      </w:r>
      <w:bookmarkEnd w:id="4"/>
    </w:p>
    <w:p w14:paraId="3894C4ED" w14:textId="5ECE2333" w:rsidR="00A81934" w:rsidRPr="00811DDC" w:rsidRDefault="00A81934">
      <w:pPr>
        <w:rPr>
          <w:rFonts w:ascii="Calibri" w:hAnsi="Calibri" w:cs="Calibri"/>
          <w:color w:val="000000"/>
          <w:highlight w:val="yellow"/>
        </w:rPr>
      </w:pPr>
      <w:r>
        <w:t xml:space="preserve">We tested whether these </w:t>
      </w:r>
      <w:r w:rsidRPr="00EF6F82">
        <w:t>107 putative causal genes</w:t>
      </w:r>
      <w:r>
        <w:t xml:space="preserve"> were enriched in gene sets and biological pathways (</w:t>
      </w:r>
      <w:r>
        <w:rPr>
          <w:b/>
        </w:rPr>
        <w:t>Online M</w:t>
      </w:r>
      <w:r w:rsidRPr="00A957E8">
        <w:rPr>
          <w:b/>
        </w:rPr>
        <w:t>ethods</w:t>
      </w:r>
      <w:r>
        <w:t>), finding an enrichment of genes in elastic fib</w:t>
      </w:r>
      <w:r w:rsidR="00CA3BA1">
        <w:t>er</w:t>
      </w:r>
      <w:r>
        <w:t xml:space="preserve"> and extracellular matrix organi</w:t>
      </w:r>
      <w:r w:rsidR="00CA3BA1">
        <w:t>z</w:t>
      </w:r>
      <w:r>
        <w:t>ation pathways, and a number of gene ontologies including gene sets relating to the cytoskeleton and processes involved in ciliogenesis (</w:t>
      </w:r>
      <w:r w:rsidRPr="00767683">
        <w:rPr>
          <w:b/>
        </w:rPr>
        <w:t>Supplementary Table 15</w:t>
      </w:r>
      <w:r>
        <w:t>). Whilst the enrichment in elastic fib</w:t>
      </w:r>
      <w:r w:rsidR="00CA3BA1">
        <w:t>er</w:t>
      </w:r>
      <w:r>
        <w:t>-related pathways is consistent with our previous study</w:t>
      </w:r>
      <w:r w:rsidRPr="00DB0E91">
        <w:rPr>
          <w:noProof/>
          <w:vertAlign w:val="superscript"/>
        </w:rPr>
        <w:t>18</w:t>
      </w:r>
      <w:r>
        <w:t>, enrichment in these pathways was further supported in this analysis by two</w:t>
      </w:r>
      <w:r>
        <w:rPr>
          <w:rFonts w:ascii="Calibri" w:hAnsi="Calibri" w:cs="Calibri"/>
          <w:color w:val="000000"/>
        </w:rPr>
        <w:t xml:space="preserve"> new genes, </w:t>
      </w:r>
      <w:r w:rsidRPr="00F10AC8">
        <w:rPr>
          <w:rFonts w:ascii="Calibri" w:hAnsi="Calibri" w:cs="Calibri"/>
          <w:i/>
          <w:color w:val="000000"/>
        </w:rPr>
        <w:t>ITGAV</w:t>
      </w:r>
      <w:r>
        <w:rPr>
          <w:rFonts w:ascii="Calibri" w:hAnsi="Calibri" w:cs="Calibri"/>
          <w:i/>
          <w:color w:val="000000"/>
        </w:rPr>
        <w:t xml:space="preserve"> </w:t>
      </w:r>
      <w:r>
        <w:rPr>
          <w:rFonts w:ascii="Calibri" w:hAnsi="Calibri" w:cs="Calibri"/>
          <w:color w:val="000000"/>
        </w:rPr>
        <w:t xml:space="preserve">(at a new signal) </w:t>
      </w:r>
      <w:r w:rsidRPr="003D005F">
        <w:rPr>
          <w:rFonts w:ascii="Calibri" w:hAnsi="Calibri" w:cs="Calibri"/>
          <w:color w:val="000000"/>
        </w:rPr>
        <w:t>and</w:t>
      </w:r>
      <w:r>
        <w:rPr>
          <w:rFonts w:ascii="Calibri" w:hAnsi="Calibri" w:cs="Calibri"/>
          <w:i/>
          <w:color w:val="000000"/>
        </w:rPr>
        <w:t xml:space="preserve"> </w:t>
      </w:r>
      <w:r w:rsidRPr="004957A4">
        <w:rPr>
          <w:rFonts w:ascii="Calibri" w:hAnsi="Calibri" w:cs="Calibri"/>
          <w:i/>
          <w:color w:val="000000"/>
        </w:rPr>
        <w:t>GDF5</w:t>
      </w:r>
      <w:r>
        <w:rPr>
          <w:rFonts w:ascii="Calibri" w:hAnsi="Calibri" w:cs="Calibri"/>
          <w:i/>
          <w:color w:val="000000"/>
        </w:rPr>
        <w:t xml:space="preserve"> </w:t>
      </w:r>
      <w:r>
        <w:rPr>
          <w:rFonts w:ascii="Calibri" w:hAnsi="Calibri" w:cs="Calibri"/>
          <w:color w:val="000000"/>
        </w:rPr>
        <w:t>(a newly implicated gene for a previously reported signal)</w:t>
      </w:r>
      <w:r>
        <w:rPr>
          <w:rFonts w:ascii="Calibri" w:hAnsi="Calibri" w:cs="Calibri"/>
          <w:i/>
          <w:color w:val="000000"/>
        </w:rPr>
        <w:t xml:space="preserve">, </w:t>
      </w:r>
      <w:r>
        <w:rPr>
          <w:rFonts w:ascii="Calibri" w:hAnsi="Calibri" w:cs="Calibri"/>
          <w:color w:val="000000"/>
        </w:rPr>
        <w:t xml:space="preserve">and by strengthened eQTL evidence for </w:t>
      </w:r>
      <w:r w:rsidRPr="00A957E8">
        <w:rPr>
          <w:rFonts w:ascii="Calibri" w:hAnsi="Calibri" w:cs="Calibri"/>
          <w:i/>
          <w:color w:val="000000"/>
        </w:rPr>
        <w:t>TGFB2</w:t>
      </w:r>
      <w:r>
        <w:rPr>
          <w:rFonts w:ascii="Calibri" w:hAnsi="Calibri" w:cs="Calibri"/>
          <w:color w:val="000000"/>
        </w:rPr>
        <w:t xml:space="preserve"> and </w:t>
      </w:r>
      <w:r w:rsidRPr="00A957E8">
        <w:rPr>
          <w:rFonts w:ascii="Calibri" w:hAnsi="Calibri" w:cs="Calibri"/>
          <w:i/>
          <w:color w:val="000000"/>
        </w:rPr>
        <w:t>MFAP2</w:t>
      </w:r>
      <w:r>
        <w:rPr>
          <w:rFonts w:ascii="Calibri" w:hAnsi="Calibri" w:cs="Calibri"/>
          <w:color w:val="000000"/>
        </w:rPr>
        <w:t xml:space="preserve"> at two previously </w:t>
      </w:r>
      <w:r>
        <w:rPr>
          <w:rFonts w:ascii="Calibri" w:hAnsi="Calibri" w:cs="Calibri"/>
          <w:color w:val="000000"/>
        </w:rPr>
        <w:lastRenderedPageBreak/>
        <w:t>reported signals</w:t>
      </w:r>
      <w:r>
        <w:rPr>
          <w:rFonts w:ascii="Calibri" w:hAnsi="Calibri" w:cs="Calibri"/>
          <w:i/>
          <w:color w:val="000000"/>
        </w:rPr>
        <w:t xml:space="preserve">.  </w:t>
      </w:r>
      <w:r>
        <w:rPr>
          <w:rFonts w:ascii="Calibri" w:hAnsi="Calibri" w:cs="Calibri"/>
          <w:color w:val="000000"/>
        </w:rPr>
        <w:t xml:space="preserve">The presence of </w:t>
      </w:r>
      <w:r w:rsidRPr="006D74C0">
        <w:rPr>
          <w:rFonts w:ascii="Calibri" w:hAnsi="Calibri" w:cs="Calibri"/>
          <w:i/>
          <w:color w:val="000000"/>
        </w:rPr>
        <w:t>TGFB2</w:t>
      </w:r>
      <w:r>
        <w:rPr>
          <w:rFonts w:ascii="Calibri" w:hAnsi="Calibri" w:cs="Calibri"/>
          <w:color w:val="000000"/>
        </w:rPr>
        <w:t xml:space="preserve">, </w:t>
      </w:r>
      <w:r w:rsidRPr="006D74C0">
        <w:rPr>
          <w:rFonts w:ascii="Calibri" w:hAnsi="Calibri" w:cs="Calibri"/>
          <w:i/>
          <w:color w:val="000000"/>
        </w:rPr>
        <w:t>GDF5</w:t>
      </w:r>
      <w:r>
        <w:rPr>
          <w:rFonts w:ascii="Calibri" w:hAnsi="Calibri" w:cs="Calibri"/>
          <w:color w:val="000000"/>
        </w:rPr>
        <w:t xml:space="preserve"> and </w:t>
      </w:r>
      <w:r w:rsidRPr="006D74C0">
        <w:rPr>
          <w:rFonts w:ascii="Calibri" w:hAnsi="Calibri" w:cs="Calibri"/>
          <w:i/>
          <w:color w:val="000000"/>
        </w:rPr>
        <w:t>SMAD3</w:t>
      </w:r>
      <w:r>
        <w:rPr>
          <w:rFonts w:ascii="Calibri" w:hAnsi="Calibri" w:cs="Calibri"/>
          <w:color w:val="000000"/>
        </w:rPr>
        <w:t xml:space="preserve"> in our list of 107 genes resulted in enrichment of a TGF-β superfamily signalling pathway (TGF-Core) and related gene ontology terms (</w:t>
      </w:r>
      <w:r w:rsidRPr="00767683">
        <w:rPr>
          <w:b/>
        </w:rPr>
        <w:t>Supplementary Table 15</w:t>
      </w:r>
      <w:r>
        <w:t>).</w:t>
      </w:r>
    </w:p>
    <w:p w14:paraId="3E537C82" w14:textId="77777777" w:rsidR="00A81934" w:rsidRDefault="00A81934" w:rsidP="00B32655">
      <w:pPr>
        <w:pStyle w:val="berschrift2"/>
      </w:pPr>
      <w:bookmarkStart w:id="5" w:name="_Toc509405307"/>
      <w:r>
        <w:t>Functional enrichment analyses</w:t>
      </w:r>
    </w:p>
    <w:p w14:paraId="23DC5AD9" w14:textId="67F1C1D3" w:rsidR="00A81934" w:rsidRDefault="00A81934" w:rsidP="00B32655">
      <w:pPr>
        <w:rPr>
          <w:b/>
        </w:rPr>
      </w:pPr>
      <w:r w:rsidRPr="00D11311">
        <w:t>Using stratified LD-score regression</w:t>
      </w:r>
      <w:r w:rsidRPr="00795126">
        <w:rPr>
          <w:noProof/>
          <w:vertAlign w:val="superscript"/>
        </w:rPr>
        <w:t>40</w:t>
      </w:r>
      <w:r w:rsidR="00EF6C4C" w:rsidRPr="00D11311">
        <w:t>,</w:t>
      </w:r>
      <w:r w:rsidRPr="00D11311">
        <w:t xml:space="preserve"> we </w:t>
      </w:r>
      <w:r w:rsidRPr="00D11311">
        <w:rPr>
          <w:shd w:val="clear" w:color="auto" w:fill="FFFFFF"/>
        </w:rPr>
        <w:t>showed that FEV</w:t>
      </w:r>
      <w:r w:rsidRPr="00D11311">
        <w:rPr>
          <w:shd w:val="clear" w:color="auto" w:fill="FFFFFF"/>
          <w:vertAlign w:val="subscript"/>
        </w:rPr>
        <w:t>1</w:t>
      </w:r>
      <w:r w:rsidRPr="00D11311">
        <w:rPr>
          <w:shd w:val="clear" w:color="auto" w:fill="FFFFFF"/>
        </w:rPr>
        <w:t>/FVC and FVC heritability is significantly enriched at variants overlapping histone marks that are specific to lung, fetal lung</w:t>
      </w:r>
      <w:r>
        <w:rPr>
          <w:shd w:val="clear" w:color="auto" w:fill="FFFFFF"/>
        </w:rPr>
        <w:t>, and smooth muscle-</w:t>
      </w:r>
      <w:r w:rsidRPr="00D11311">
        <w:rPr>
          <w:shd w:val="clear" w:color="auto" w:fill="FFFFFF"/>
        </w:rPr>
        <w:t xml:space="preserve">containing cell lines. </w:t>
      </w:r>
      <w:r>
        <w:rPr>
          <w:shd w:val="clear" w:color="auto" w:fill="FFFFFF"/>
        </w:rPr>
        <w:t>SNPs that overlap with H3K4me1</w:t>
      </w:r>
      <w:r w:rsidRPr="00D11311">
        <w:rPr>
          <w:shd w:val="clear" w:color="auto" w:fill="FFFFFF"/>
        </w:rPr>
        <w:t xml:space="preserve"> marks that are specific to </w:t>
      </w:r>
      <w:r>
        <w:rPr>
          <w:shd w:val="clear" w:color="auto" w:fill="FFFFFF"/>
        </w:rPr>
        <w:t>f</w:t>
      </w:r>
      <w:r w:rsidRPr="00D11311">
        <w:rPr>
          <w:shd w:val="clear" w:color="auto" w:fill="FFFFFF"/>
        </w:rPr>
        <w:t xml:space="preserve">etal </w:t>
      </w:r>
      <w:r>
        <w:rPr>
          <w:shd w:val="clear" w:color="auto" w:fill="FFFFFF"/>
        </w:rPr>
        <w:t>l</w:t>
      </w:r>
      <w:r w:rsidRPr="00D11311">
        <w:rPr>
          <w:shd w:val="clear" w:color="auto" w:fill="FFFFFF"/>
        </w:rPr>
        <w:t xml:space="preserve">ung correspond to </w:t>
      </w:r>
      <w:r>
        <w:rPr>
          <w:shd w:val="clear" w:color="auto" w:fill="FFFFFF"/>
        </w:rPr>
        <w:t>6.99</w:t>
      </w:r>
      <w:r w:rsidRPr="00D11311">
        <w:rPr>
          <w:shd w:val="clear" w:color="auto" w:fill="FFFFFF"/>
        </w:rPr>
        <w:t xml:space="preserve">% of the input SNPs </w:t>
      </w:r>
      <w:r>
        <w:rPr>
          <w:shd w:val="clear" w:color="auto" w:fill="FFFFFF"/>
        </w:rPr>
        <w:t>yet</w:t>
      </w:r>
      <w:r w:rsidRPr="00D11311">
        <w:rPr>
          <w:shd w:val="clear" w:color="auto" w:fill="FFFFFF"/>
        </w:rPr>
        <w:t xml:space="preserve"> explain </w:t>
      </w:r>
      <w:r>
        <w:rPr>
          <w:shd w:val="clear" w:color="auto" w:fill="FFFFFF"/>
        </w:rPr>
        <w:t>57.09% (P=2.85</w:t>
      </w:r>
      <w:r w:rsidR="00CA3BA1">
        <w:t>×</w:t>
      </w:r>
      <w:r>
        <w:rPr>
          <w:shd w:val="clear" w:color="auto" w:fill="FFFFFF"/>
        </w:rPr>
        <w:t>10</w:t>
      </w:r>
      <w:r w:rsidRPr="00567009">
        <w:rPr>
          <w:shd w:val="clear" w:color="auto" w:fill="FFFFFF"/>
          <w:vertAlign w:val="superscript"/>
        </w:rPr>
        <w:t>-25</w:t>
      </w:r>
      <w:r>
        <w:rPr>
          <w:shd w:val="clear" w:color="auto" w:fill="FFFFFF"/>
        </w:rPr>
        <w:t>) and 35.84% (P=4.19</w:t>
      </w:r>
      <w:r w:rsidR="00CA3BA1">
        <w:t>×</w:t>
      </w:r>
      <w:r>
        <w:rPr>
          <w:shd w:val="clear" w:color="auto" w:fill="FFFFFF"/>
        </w:rPr>
        <w:t>10</w:t>
      </w:r>
      <w:r w:rsidRPr="00567009">
        <w:rPr>
          <w:shd w:val="clear" w:color="auto" w:fill="FFFFFF"/>
          <w:vertAlign w:val="superscript"/>
        </w:rPr>
        <w:t>-21</w:t>
      </w:r>
      <w:r>
        <w:rPr>
          <w:shd w:val="clear" w:color="auto" w:fill="FFFFFF"/>
        </w:rPr>
        <w:t xml:space="preserve">) </w:t>
      </w:r>
      <w:r w:rsidRPr="00D11311">
        <w:rPr>
          <w:shd w:val="clear" w:color="auto" w:fill="FFFFFF"/>
        </w:rPr>
        <w:t>of the SNP-chip heritability for FEV</w:t>
      </w:r>
      <w:r w:rsidRPr="00D11311">
        <w:rPr>
          <w:shd w:val="clear" w:color="auto" w:fill="FFFFFF"/>
          <w:vertAlign w:val="subscript"/>
        </w:rPr>
        <w:t>1</w:t>
      </w:r>
      <w:r w:rsidRPr="00D11311">
        <w:rPr>
          <w:shd w:val="clear" w:color="auto" w:fill="FFFFFF"/>
        </w:rPr>
        <w:t>/FVC</w:t>
      </w:r>
      <w:r>
        <w:rPr>
          <w:shd w:val="clear" w:color="auto" w:fill="FFFFFF"/>
        </w:rPr>
        <w:t xml:space="preserve"> and FVC, respectively (</w:t>
      </w:r>
      <w:r w:rsidRPr="00DA4658">
        <w:rPr>
          <w:b/>
          <w:shd w:val="clear" w:color="auto" w:fill="FFFFFF"/>
        </w:rPr>
        <w:t>Supplementary Table</w:t>
      </w:r>
      <w:r>
        <w:rPr>
          <w:b/>
          <w:shd w:val="clear" w:color="auto" w:fill="FFFFFF"/>
        </w:rPr>
        <w:t xml:space="preserve"> 16</w:t>
      </w:r>
      <w:r>
        <w:rPr>
          <w:shd w:val="clear" w:color="auto" w:fill="FFFFFF"/>
        </w:rPr>
        <w:t>)</w:t>
      </w:r>
      <w:r w:rsidRPr="00D11311">
        <w:rPr>
          <w:shd w:val="clear" w:color="auto" w:fill="FFFFFF"/>
        </w:rPr>
        <w:t>.</w:t>
      </w:r>
      <w:r>
        <w:t xml:space="preserve"> </w:t>
      </w:r>
    </w:p>
    <w:p w14:paraId="57960595" w14:textId="19E41DAA" w:rsidR="00A81934" w:rsidRDefault="00A81934" w:rsidP="00B32655">
      <w:r>
        <w:t>We also tested enrichment of (i) FEV</w:t>
      </w:r>
      <w:r>
        <w:rPr>
          <w:vertAlign w:val="subscript"/>
        </w:rPr>
        <w:t>1</w:t>
      </w:r>
      <w:r>
        <w:t xml:space="preserve">/FVC and (ii) FVC SNPs at </w:t>
      </w:r>
      <w:r w:rsidRPr="00E562EE">
        <w:t>DNase I hypersensitive site</w:t>
      </w:r>
      <w:r>
        <w:t xml:space="preserve"> (DHS) hotspots using GARFIELD</w:t>
      </w:r>
      <w:r w:rsidRPr="0001668F">
        <w:rPr>
          <w:noProof/>
          <w:vertAlign w:val="superscript"/>
        </w:rPr>
        <w:t>41</w:t>
      </w:r>
      <w:r>
        <w:t xml:space="preserve"> (</w:t>
      </w:r>
      <w:r w:rsidRPr="00ED1B4E">
        <w:rPr>
          <w:b/>
        </w:rPr>
        <w:t xml:space="preserve">Online </w:t>
      </w:r>
      <w:r>
        <w:rPr>
          <w:b/>
        </w:rPr>
        <w:t>M</w:t>
      </w:r>
      <w:r w:rsidRPr="00ED1B4E">
        <w:rPr>
          <w:b/>
        </w:rPr>
        <w:t>ethods</w:t>
      </w:r>
      <w:r>
        <w:t>). For</w:t>
      </w:r>
      <w:r w:rsidRPr="003F57DC">
        <w:t xml:space="preserve"> FEV</w:t>
      </w:r>
      <w:r w:rsidRPr="003F57DC">
        <w:rPr>
          <w:vertAlign w:val="subscript"/>
        </w:rPr>
        <w:t>1</w:t>
      </w:r>
      <w:r w:rsidRPr="003F57DC">
        <w:t xml:space="preserve">/FVC results, we see </w:t>
      </w:r>
      <w:r>
        <w:t>significant</w:t>
      </w:r>
      <w:r w:rsidRPr="003F57DC">
        <w:t xml:space="preserve"> enrichment</w:t>
      </w:r>
      <w:r>
        <w:t xml:space="preserve"> across most cell lines with increased fold-enrichment in</w:t>
      </w:r>
      <w:r w:rsidRPr="003F57DC">
        <w:t xml:space="preserve"> fetal and adult lung, fetal muscle and fibroblasts</w:t>
      </w:r>
      <w:r>
        <w:t xml:space="preserve"> (</w:t>
      </w:r>
      <w:r w:rsidRPr="00ED1B4E">
        <w:rPr>
          <w:b/>
        </w:rPr>
        <w:t xml:space="preserve">Supplementary Figure </w:t>
      </w:r>
      <w:r>
        <w:rPr>
          <w:b/>
        </w:rPr>
        <w:t>4</w:t>
      </w:r>
      <w:r w:rsidR="00CA3BA1">
        <w:rPr>
          <w:b/>
        </w:rPr>
        <w:t>a</w:t>
      </w:r>
      <w:r>
        <w:t>)</w:t>
      </w:r>
      <w:r w:rsidRPr="003F57DC">
        <w:t xml:space="preserve">. </w:t>
      </w:r>
      <w:r>
        <w:t>For</w:t>
      </w:r>
      <w:r w:rsidRPr="003F57DC">
        <w:t xml:space="preserve"> FVC, we see</w:t>
      </w:r>
      <w:r>
        <w:t xml:space="preserve"> similar broad significant </w:t>
      </w:r>
      <w:r w:rsidRPr="003F57DC">
        <w:t xml:space="preserve">enrichment </w:t>
      </w:r>
      <w:r>
        <w:t>without evidence of increased enrichment in a subset of tissues (</w:t>
      </w:r>
      <w:r w:rsidRPr="00ED1B4E">
        <w:rPr>
          <w:b/>
        </w:rPr>
        <w:t xml:space="preserve">Supplementary Figure </w:t>
      </w:r>
      <w:r>
        <w:rPr>
          <w:b/>
        </w:rPr>
        <w:t>4</w:t>
      </w:r>
      <w:r w:rsidR="00CA3BA1">
        <w:rPr>
          <w:b/>
        </w:rPr>
        <w:t>b</w:t>
      </w:r>
      <w:r>
        <w:t>) suggesting that SNPs influencing FVC may act via more complex and broader developmental pathways.</w:t>
      </w:r>
    </w:p>
    <w:p w14:paraId="3160FB4C" w14:textId="56DE1878" w:rsidR="00A81934" w:rsidRPr="00F86E7C" w:rsidRDefault="00A81934" w:rsidP="00B32655">
      <w:r>
        <w:t>We used DeepSEA</w:t>
      </w:r>
      <w:r w:rsidRPr="00450747">
        <w:rPr>
          <w:noProof/>
          <w:vertAlign w:val="superscript"/>
        </w:rPr>
        <w:t>42</w:t>
      </w:r>
      <w:r w:rsidRPr="004D2FA7">
        <w:t xml:space="preserve"> to identify whether our signals were predicted to have a </w:t>
      </w:r>
      <w:r>
        <w:t>chromatin</w:t>
      </w:r>
      <w:r w:rsidRPr="004D2FA7">
        <w:t xml:space="preserve"> effect in lung</w:t>
      </w:r>
      <w:r>
        <w:t>-related</w:t>
      </w:r>
      <w:r w:rsidRPr="004D2FA7">
        <w:t xml:space="preserve"> cell lines. </w:t>
      </w:r>
      <w:r>
        <w:t xml:space="preserve"> We</w:t>
      </w:r>
      <w:r w:rsidRPr="00B76336">
        <w:t xml:space="preserve"> identified 10 signals (including 5 new signals) for which the SNP with the largest posterior probability </w:t>
      </w:r>
      <w:r>
        <w:t xml:space="preserve">of being causal also </w:t>
      </w:r>
      <w:r w:rsidRPr="00B76336">
        <w:t xml:space="preserve">had a significant predicted effect on a </w:t>
      </w:r>
      <w:r>
        <w:t>DHS in</w:t>
      </w:r>
      <w:r w:rsidRPr="00B76336">
        <w:t xml:space="preserve"> lung-related cells </w:t>
      </w:r>
      <w:r w:rsidRPr="001B69E8">
        <w:t>(</w:t>
      </w:r>
      <w:r w:rsidRPr="001B69E8">
        <w:rPr>
          <w:b/>
        </w:rPr>
        <w:t>Supplementary Table 1</w:t>
      </w:r>
      <w:r>
        <w:rPr>
          <w:b/>
        </w:rPr>
        <w:t>7</w:t>
      </w:r>
      <w:r w:rsidRPr="001B69E8">
        <w:t>).</w:t>
      </w:r>
      <w:r w:rsidRPr="00B76336">
        <w:t xml:space="preserve"> This</w:t>
      </w:r>
      <w:r>
        <w:t xml:space="preserve"> included a new signal near </w:t>
      </w:r>
      <w:r w:rsidRPr="00790F01">
        <w:rPr>
          <w:i/>
        </w:rPr>
        <w:t>SMURF2</w:t>
      </w:r>
      <w:r>
        <w:t xml:space="preserve"> (</w:t>
      </w:r>
      <w:r w:rsidRPr="00EB2EC2">
        <w:t>rs11653958</w:t>
      </w:r>
      <w:r>
        <w:t>).</w:t>
      </w:r>
    </w:p>
    <w:p w14:paraId="7095681A" w14:textId="77777777" w:rsidR="00A81934" w:rsidRDefault="00A81934" w:rsidP="007A4F84">
      <w:pPr>
        <w:pStyle w:val="berschrift2"/>
        <w:rPr>
          <w:lang w:eastAsia="en-GB"/>
        </w:rPr>
      </w:pPr>
      <w:r w:rsidRPr="007A4F84">
        <w:t>Drug targets</w:t>
      </w:r>
      <w:r w:rsidDel="0009210C">
        <w:t xml:space="preserve"> </w:t>
      </w:r>
      <w:bookmarkEnd w:id="5"/>
    </w:p>
    <w:p w14:paraId="2EC790F4" w14:textId="16FF8234" w:rsidR="00A81934" w:rsidRDefault="00A81934" w:rsidP="00DF3AED">
      <w:r>
        <w:rPr>
          <w:lang w:eastAsia="en-GB"/>
        </w:rPr>
        <w:t xml:space="preserve">All </w:t>
      </w:r>
      <w:r w:rsidRPr="008809FB">
        <w:rPr>
          <w:lang w:eastAsia="en-GB"/>
        </w:rPr>
        <w:t>107</w:t>
      </w:r>
      <w:r w:rsidRPr="000C5460">
        <w:rPr>
          <w:lang w:eastAsia="en-GB"/>
        </w:rPr>
        <w:t xml:space="preserve"> </w:t>
      </w:r>
      <w:r>
        <w:rPr>
          <w:lang w:eastAsia="en-GB"/>
        </w:rPr>
        <w:t>putative</w:t>
      </w:r>
      <w:r w:rsidRPr="000C5460">
        <w:rPr>
          <w:lang w:eastAsia="en-GB"/>
        </w:rPr>
        <w:t xml:space="preserve"> causal genes </w:t>
      </w:r>
      <w:r w:rsidRPr="000D06B1">
        <w:rPr>
          <w:lang w:eastAsia="en-GB"/>
        </w:rPr>
        <w:t xml:space="preserve">were </w:t>
      </w:r>
      <w:r>
        <w:rPr>
          <w:lang w:eastAsia="en-GB"/>
        </w:rPr>
        <w:t>investigated for known</w:t>
      </w:r>
      <w:r w:rsidRPr="000D06B1">
        <w:rPr>
          <w:lang w:eastAsia="en-GB"/>
        </w:rPr>
        <w:t xml:space="preserve"> gene-drug interactions</w:t>
      </w:r>
      <w:r w:rsidRPr="00450747">
        <w:rPr>
          <w:noProof/>
          <w:vertAlign w:val="superscript"/>
          <w:lang w:eastAsia="en-GB"/>
        </w:rPr>
        <w:t>43</w:t>
      </w:r>
      <w:r>
        <w:rPr>
          <w:lang w:eastAsia="en-GB"/>
        </w:rPr>
        <w:t xml:space="preserve"> </w:t>
      </w:r>
      <w:r>
        <w:t>(</w:t>
      </w:r>
      <w:r w:rsidRPr="008D0CC2">
        <w:rPr>
          <w:b/>
        </w:rPr>
        <w:t>Supplementary Table 1</w:t>
      </w:r>
      <w:r>
        <w:rPr>
          <w:b/>
        </w:rPr>
        <w:t>8</w:t>
      </w:r>
      <w:r>
        <w:t xml:space="preserve">). We highlight two examples of new genetic signals implicating targets for drugs in development for indications other than COPD. </w:t>
      </w:r>
      <w:r>
        <w:rPr>
          <w:rFonts w:ascii="Calibri" w:hAnsi="Calibri" w:cs="Calibri"/>
          <w:color w:val="000000"/>
        </w:rPr>
        <w:t xml:space="preserve">One of our new signals is an eQTL for </w:t>
      </w:r>
      <w:r w:rsidRPr="00654D16">
        <w:rPr>
          <w:rFonts w:ascii="Calibri" w:hAnsi="Calibri" w:cs="Calibri"/>
          <w:i/>
          <w:color w:val="000000"/>
        </w:rPr>
        <w:t>ITGAV</w:t>
      </w:r>
      <w:r>
        <w:rPr>
          <w:rFonts w:ascii="Calibri" w:hAnsi="Calibri" w:cs="Calibri"/>
          <w:color w:val="000000"/>
        </w:rPr>
        <w:t xml:space="preserve">. </w:t>
      </w:r>
      <w:r w:rsidRPr="00A6551E">
        <w:rPr>
          <w:rFonts w:ascii="Calibri" w:hAnsi="Calibri" w:cs="Calibri"/>
          <w:i/>
          <w:color w:val="000000"/>
        </w:rPr>
        <w:t>ITGAV</w:t>
      </w:r>
      <w:r>
        <w:rPr>
          <w:rFonts w:ascii="Calibri" w:hAnsi="Calibri" w:cs="Calibri"/>
          <w:color w:val="000000"/>
        </w:rPr>
        <w:t xml:space="preserve"> encodes a component of </w:t>
      </w:r>
      <w:r w:rsidRPr="006D74C0">
        <w:rPr>
          <w:rFonts w:cs="Calibri"/>
          <w:color w:val="000000"/>
        </w:rPr>
        <w:t xml:space="preserve">the </w:t>
      </w:r>
      <w:r>
        <w:rPr>
          <w:rFonts w:cs="Calibri"/>
          <w:color w:val="000000"/>
        </w:rPr>
        <w:t>α</w:t>
      </w:r>
      <w:r w:rsidRPr="006D74C0">
        <w:rPr>
          <w:rFonts w:cs="Calibri"/>
          <w:color w:val="000000"/>
        </w:rPr>
        <w:t>v</w:t>
      </w:r>
      <w:r>
        <w:rPr>
          <w:rFonts w:cs="Calibri"/>
          <w:color w:val="000000"/>
        </w:rPr>
        <w:t>β</w:t>
      </w:r>
      <w:r w:rsidRPr="006D74C0">
        <w:rPr>
          <w:rFonts w:cs="Calibri"/>
          <w:color w:val="000000"/>
        </w:rPr>
        <w:t>6 integrin heterodimer</w:t>
      </w:r>
      <w:r>
        <w:rPr>
          <w:rFonts w:cs="Calibri"/>
          <w:color w:val="000000"/>
        </w:rPr>
        <w:t>,</w:t>
      </w:r>
      <w:r w:rsidRPr="006D74C0">
        <w:rPr>
          <w:rFonts w:cs="Calibri"/>
          <w:color w:val="000000"/>
        </w:rPr>
        <w:t xml:space="preserve"> </w:t>
      </w:r>
      <w:r>
        <w:rPr>
          <w:color w:val="000000"/>
        </w:rPr>
        <w:t>which is inhibited by a monoclonal antibody in development for pulmonary fibrosis (NCT01371305) and for which the small molecule GSK3008348 (</w:t>
      </w:r>
      <w:r>
        <w:t>NCT03069989) is an antagonist</w:t>
      </w:r>
      <w:r w:rsidRPr="00450747">
        <w:rPr>
          <w:rFonts w:cs="Calibri"/>
          <w:noProof/>
          <w:color w:val="000000"/>
          <w:vertAlign w:val="superscript"/>
        </w:rPr>
        <w:t>44</w:t>
      </w:r>
      <w:r>
        <w:rPr>
          <w:rFonts w:cs="Calibri"/>
          <w:color w:val="000000"/>
        </w:rPr>
        <w:t xml:space="preserve">. </w:t>
      </w:r>
      <w:r w:rsidRPr="006D74C0">
        <w:rPr>
          <w:rFonts w:cs="Calibri"/>
          <w:color w:val="000000"/>
        </w:rPr>
        <w:t>Integrins have an emerging role as local activators of TGF</w:t>
      </w:r>
      <w:r>
        <w:rPr>
          <w:rFonts w:cs="Calibri"/>
          <w:color w:val="000000"/>
        </w:rPr>
        <w:t>β</w:t>
      </w:r>
      <w:r w:rsidRPr="006D74C0">
        <w:rPr>
          <w:rFonts w:cs="Calibri"/>
          <w:color w:val="000000"/>
        </w:rPr>
        <w:t xml:space="preserve"> and specifically the avb6 integrin heterodimer can activate latent</w:t>
      </w:r>
      <w:r>
        <w:rPr>
          <w:rFonts w:ascii="Calibri" w:hAnsi="Calibri" w:cs="Calibri"/>
          <w:color w:val="000000"/>
        </w:rPr>
        <w:t>-TGFβ</w:t>
      </w:r>
      <w:r w:rsidRPr="00450747">
        <w:rPr>
          <w:rFonts w:ascii="Calibri" w:hAnsi="Calibri" w:cs="Calibri"/>
          <w:noProof/>
          <w:color w:val="000000"/>
          <w:vertAlign w:val="superscript"/>
        </w:rPr>
        <w:t>45</w:t>
      </w:r>
      <w:r>
        <w:rPr>
          <w:rFonts w:ascii="Calibri" w:hAnsi="Calibri" w:cs="Calibri"/>
          <w:color w:val="000000"/>
        </w:rPr>
        <w:t xml:space="preserve">. </w:t>
      </w:r>
      <w:r>
        <w:rPr>
          <w:color w:val="000000"/>
        </w:rPr>
        <w:t xml:space="preserve">In our study, the allele associated with reduced expression of </w:t>
      </w:r>
      <w:r w:rsidRPr="007A4F84">
        <w:rPr>
          <w:i/>
          <w:color w:val="000000"/>
        </w:rPr>
        <w:t>ITGAV</w:t>
      </w:r>
      <w:r>
        <w:rPr>
          <w:i/>
          <w:iCs/>
          <w:color w:val="000000"/>
        </w:rPr>
        <w:t xml:space="preserve"> </w:t>
      </w:r>
      <w:r>
        <w:rPr>
          <w:color w:val="000000"/>
        </w:rPr>
        <w:t>(</w:t>
      </w:r>
      <w:r w:rsidRPr="008D0CC2">
        <w:rPr>
          <w:b/>
          <w:color w:val="000000"/>
        </w:rPr>
        <w:t>Supplementary Table 13</w:t>
      </w:r>
      <w:r>
        <w:rPr>
          <w:color w:val="000000"/>
        </w:rPr>
        <w:t>) was associated with increased lung function (</w:t>
      </w:r>
      <w:r w:rsidRPr="008D0CC2">
        <w:rPr>
          <w:b/>
          <w:color w:val="000000"/>
        </w:rPr>
        <w:t>Supplementary Table 9</w:t>
      </w:r>
      <w:r>
        <w:rPr>
          <w:color w:val="000000"/>
        </w:rPr>
        <w:t xml:space="preserve">) suggesting that inhibitors of </w:t>
      </w:r>
      <w:r>
        <w:rPr>
          <w:lang w:val="en"/>
        </w:rPr>
        <w:t>αvβ6 integrin might also have a beneficial effect in COPD</w:t>
      </w:r>
      <w:r>
        <w:rPr>
          <w:color w:val="000000"/>
        </w:rPr>
        <w:t xml:space="preserve">. Another new signal is associated with expression of </w:t>
      </w:r>
      <w:r w:rsidRPr="002A15BB">
        <w:rPr>
          <w:i/>
        </w:rPr>
        <w:t>TNFSF13</w:t>
      </w:r>
      <w:r>
        <w:t xml:space="preserve"> (synonym </w:t>
      </w:r>
      <w:r w:rsidRPr="002A15BB">
        <w:rPr>
          <w:i/>
        </w:rPr>
        <w:t>APRIL</w:t>
      </w:r>
      <w:r w:rsidRPr="009B247C">
        <w:t>)</w:t>
      </w:r>
      <w:r w:rsidRPr="009B247C">
        <w:rPr>
          <w:rStyle w:val="Kommentarzeichen"/>
          <w:sz w:val="22"/>
          <w:szCs w:val="22"/>
        </w:rPr>
        <w:t>, which encodes</w:t>
      </w:r>
      <w:r w:rsidRPr="00ED7E36">
        <w:rPr>
          <w:rStyle w:val="Kommentarzeichen"/>
        </w:rPr>
        <w:t xml:space="preserve"> </w:t>
      </w:r>
      <w:r>
        <w:t xml:space="preserve">a cytokine of the TNF ligand family. Atacicept blocks B cell stimulation by </w:t>
      </w:r>
      <w:r w:rsidRPr="00196C24">
        <w:t>TNFSF13</w:t>
      </w:r>
      <w:r>
        <w:t xml:space="preserve"> (as well as by BLyS) and reduced systemic lupus erythematosus disease activity in a recent Phase IIb trial</w:t>
      </w:r>
      <w:r w:rsidRPr="00450747">
        <w:rPr>
          <w:noProof/>
          <w:vertAlign w:val="superscript"/>
        </w:rPr>
        <w:t>46</w:t>
      </w:r>
      <w:r>
        <w:t>. In</w:t>
      </w:r>
      <w:r>
        <w:rPr>
          <w:color w:val="000000"/>
        </w:rPr>
        <w:t xml:space="preserve"> our study, the allele associated with decreased expression of </w:t>
      </w:r>
      <w:r w:rsidRPr="002A15BB">
        <w:rPr>
          <w:i/>
          <w:color w:val="000000"/>
        </w:rPr>
        <w:t>TNFSF13</w:t>
      </w:r>
      <w:r>
        <w:rPr>
          <w:color w:val="000000"/>
        </w:rPr>
        <w:t xml:space="preserve"> was associated with reduced </w:t>
      </w:r>
      <w:r w:rsidRPr="007A4F84">
        <w:rPr>
          <w:color w:val="000000"/>
        </w:rPr>
        <w:t>FEV</w:t>
      </w:r>
      <w:r>
        <w:rPr>
          <w:color w:val="000000"/>
          <w:vertAlign w:val="subscript"/>
        </w:rPr>
        <w:t>1</w:t>
      </w:r>
      <w:r>
        <w:rPr>
          <w:color w:val="000000"/>
        </w:rPr>
        <w:t>, indicating that vigilance for pulmonary consequences of atacicept may be warranted.</w:t>
      </w:r>
    </w:p>
    <w:p w14:paraId="39109C82" w14:textId="77777777" w:rsidR="00A81934" w:rsidRPr="00DF3AED" w:rsidRDefault="00A81934" w:rsidP="00996AAC">
      <w:pPr>
        <w:pStyle w:val="berschrift2"/>
      </w:pPr>
      <w:bookmarkStart w:id="6" w:name="_Toc509405308"/>
      <w:r>
        <w:t>A</w:t>
      </w:r>
      <w:r w:rsidRPr="00DF3AED">
        <w:t>ssociation with FEV</w:t>
      </w:r>
      <w:r w:rsidRPr="00DF3AED">
        <w:rPr>
          <w:vertAlign w:val="subscript"/>
        </w:rPr>
        <w:t>1</w:t>
      </w:r>
      <w:r w:rsidRPr="00DF3AED">
        <w:t>/FVC and COPD in multiple ancestries</w:t>
      </w:r>
    </w:p>
    <w:p w14:paraId="4D510616" w14:textId="77777777" w:rsidR="00A81934" w:rsidRDefault="00A81934" w:rsidP="0061467F">
      <w:pPr>
        <w:rPr>
          <w:b/>
          <w:highlight w:val="yellow"/>
        </w:rPr>
      </w:pPr>
      <w:r>
        <w:t>We constructed a genetic risk score (GRS) weighted by FEV</w:t>
      </w:r>
      <w:r>
        <w:rPr>
          <w:vertAlign w:val="subscript"/>
        </w:rPr>
        <w:t>1</w:t>
      </w:r>
      <w:r>
        <w:t>/FVC effect sizes comprising all 279 sentinel variants, and tested for association with FEV</w:t>
      </w:r>
      <w:r>
        <w:rPr>
          <w:vertAlign w:val="subscript"/>
        </w:rPr>
        <w:t>1</w:t>
      </w:r>
      <w:r>
        <w:t>/FVC and GOLD Stage 2-4 COPD (FEV</w:t>
      </w:r>
      <w:r>
        <w:rPr>
          <w:vertAlign w:val="subscript"/>
        </w:rPr>
        <w:t>1</w:t>
      </w:r>
      <w:r>
        <w:t>/FVC&lt;0.7 and FEV</w:t>
      </w:r>
      <w:r>
        <w:rPr>
          <w:vertAlign w:val="subscript"/>
        </w:rPr>
        <w:t>1</w:t>
      </w:r>
      <w:r>
        <w:t>&lt;80% predicted) in different ancestry groups in UK Biobank, and China Kadoorie Biobank (</w:t>
      </w:r>
      <w:r>
        <w:rPr>
          <w:b/>
          <w:bCs/>
        </w:rPr>
        <w:t>Online Methods</w:t>
      </w:r>
      <w:r>
        <w:t xml:space="preserve">, </w:t>
      </w:r>
      <w:r>
        <w:rPr>
          <w:b/>
          <w:bCs/>
        </w:rPr>
        <w:t>Supplementary Table 19</w:t>
      </w:r>
      <w:r>
        <w:t>). UK Biobank participants of non-European ancestry were not included in the discovery analyses. The GRS was associated with a significant decrease in lung function, and corresponding significant increase in COPD risk in each of the independent ancestry groups (</w:t>
      </w:r>
      <w:r>
        <w:rPr>
          <w:b/>
        </w:rPr>
        <w:t xml:space="preserve">Figure </w:t>
      </w:r>
      <w:r w:rsidRPr="000E5DBA">
        <w:rPr>
          <w:b/>
        </w:rPr>
        <w:t>3</w:t>
      </w:r>
      <w:r>
        <w:rPr>
          <w:b/>
        </w:rPr>
        <w:t>a</w:t>
      </w:r>
      <w:r>
        <w:t xml:space="preserve">). </w:t>
      </w:r>
    </w:p>
    <w:p w14:paraId="3863522F" w14:textId="09174BC3" w:rsidR="00A81934" w:rsidRDefault="00A81934" w:rsidP="00627ADC">
      <w:r>
        <w:lastRenderedPageBreak/>
        <w:t>We tested for a GRS interaction with smoking in European ancestry individuals in UK Biobank</w:t>
      </w:r>
      <w:r w:rsidRPr="00450747">
        <w:rPr>
          <w:noProof/>
          <w:vertAlign w:val="superscript"/>
        </w:rPr>
        <w:t>47</w:t>
      </w:r>
      <w:r>
        <w:t>. No statistical interaction was seen for FEV</w:t>
      </w:r>
      <w:r w:rsidRPr="00D93A71">
        <w:rPr>
          <w:vertAlign w:val="subscript"/>
        </w:rPr>
        <w:t>1</w:t>
      </w:r>
      <w:r>
        <w:t>/FVC (interaction term -0.002 per SD change in GRS, 95% CI: [0.009, 0.005], P=0.532), whilst the findings for COPD were consistent with a slightly smaller effect of the GRS in ever-smokers (</w:t>
      </w:r>
      <w:r w:rsidR="00CA3BA1">
        <w:t>odds ratio (</w:t>
      </w:r>
      <w:r>
        <w:t>OR</w:t>
      </w:r>
      <w:r w:rsidR="00CA3BA1">
        <w:t>)</w:t>
      </w:r>
      <w:r>
        <w:t xml:space="preserve"> for ever-smoking-GRS interaction term per SD change in GRS 0.96, </w:t>
      </w:r>
      <w:r w:rsidRPr="001E0F66">
        <w:t>95% CI</w:t>
      </w:r>
      <w:r>
        <w:t>:</w:t>
      </w:r>
      <w:r w:rsidRPr="001E0F66">
        <w:t xml:space="preserve"> </w:t>
      </w:r>
      <w:r>
        <w:t>[</w:t>
      </w:r>
      <w:r w:rsidRPr="001E0F66">
        <w:t>0.92</w:t>
      </w:r>
      <w:r>
        <w:t xml:space="preserve">, </w:t>
      </w:r>
      <w:r w:rsidRPr="001E0F66">
        <w:t>0.99</w:t>
      </w:r>
      <w:r>
        <w:t>]</w:t>
      </w:r>
      <w:r w:rsidRPr="001E0F66">
        <w:t>,</w:t>
      </w:r>
      <w:r>
        <w:rPr>
          <w:color w:val="1F497D"/>
        </w:rPr>
        <w:t xml:space="preserve"> </w:t>
      </w:r>
      <w:r>
        <w:t>P=0.015).</w:t>
      </w:r>
    </w:p>
    <w:p w14:paraId="5554A6E5" w14:textId="77777777" w:rsidR="00A81934" w:rsidRDefault="00A81934" w:rsidP="00627ADC">
      <w:r>
        <w:t>The association of the GRS with COPD susceptibility was additionally tested in five independent COPD case-control studies (</w:t>
      </w:r>
      <w:r w:rsidRPr="008D0CC2">
        <w:rPr>
          <w:b/>
        </w:rPr>
        <w:t xml:space="preserve">Supplementary Table </w:t>
      </w:r>
      <w:r>
        <w:rPr>
          <w:b/>
        </w:rPr>
        <w:t>20, Online Methods</w:t>
      </w:r>
      <w:r>
        <w:t>). Similar effect size estimates were seen across each of the 5 European ancestry studies (</w:t>
      </w:r>
      <w:r w:rsidRPr="00A13A4A">
        <w:rPr>
          <w:b/>
        </w:rPr>
        <w:t>Figure</w:t>
      </w:r>
      <w:r>
        <w:rPr>
          <w:b/>
        </w:rPr>
        <w:t xml:space="preserve"> </w:t>
      </w:r>
      <w:r w:rsidRPr="00A13A4A">
        <w:rPr>
          <w:b/>
        </w:rPr>
        <w:t>3</w:t>
      </w:r>
      <w:r>
        <w:rPr>
          <w:b/>
        </w:rPr>
        <w:t>b</w:t>
      </w:r>
      <w:r>
        <w:t>); in the meta-analysis of these studies (n=</w:t>
      </w:r>
      <w:r w:rsidRPr="00BB2853">
        <w:t>6</w:t>
      </w:r>
      <w:r>
        <w:t>,</w:t>
      </w:r>
      <w:r w:rsidRPr="00BB2853">
        <w:t>979 cases and 3</w:t>
      </w:r>
      <w:r>
        <w:t>,</w:t>
      </w:r>
      <w:r w:rsidRPr="00BB2853">
        <w:t>915 controls</w:t>
      </w:r>
      <w:r>
        <w:t>), the odds ratio for COPD per standard deviation of the weighted GRS was 1.55 (95% CI: [1.48, 1.62]), P=2.87×10</w:t>
      </w:r>
      <w:r>
        <w:rPr>
          <w:vertAlign w:val="superscript"/>
        </w:rPr>
        <w:noBreakHyphen/>
        <w:t>75</w:t>
      </w:r>
      <w:r>
        <w:t xml:space="preserve"> (</w:t>
      </w:r>
      <w:r w:rsidRPr="005605B6">
        <w:rPr>
          <w:b/>
        </w:rPr>
        <w:t xml:space="preserve">Supplementary Table </w:t>
      </w:r>
      <w:r>
        <w:rPr>
          <w:b/>
        </w:rPr>
        <w:t>21</w:t>
      </w:r>
      <w:r>
        <w:t xml:space="preserve">). The GRS was also associated with COPD in individuals of African-American ancestry in COPDGene </w:t>
      </w:r>
      <w:r w:rsidRPr="009514D2">
        <w:t>(P=8.36</w:t>
      </w:r>
      <w:r>
        <w:t>×10</w:t>
      </w:r>
      <w:r w:rsidRPr="009514D2">
        <w:rPr>
          <w:vertAlign w:val="superscript"/>
        </w:rPr>
        <w:t>-7</w:t>
      </w:r>
      <w:r w:rsidRPr="009514D2">
        <w:t>), albeit with a smaller effect size estimate, odds ratio</w:t>
      </w:r>
      <w:r>
        <w:t>=</w:t>
      </w:r>
      <w:r w:rsidRPr="009514D2">
        <w:t>1.26 (95% CI</w:t>
      </w:r>
      <w:r>
        <w:t xml:space="preserve">: [1.15, </w:t>
      </w:r>
      <w:r w:rsidRPr="009514D2">
        <w:t>1.37</w:t>
      </w:r>
      <w:r>
        <w:t>]</w:t>
      </w:r>
      <w:r w:rsidRPr="009514D2">
        <w:t>).</w:t>
      </w:r>
    </w:p>
    <w:p w14:paraId="2B938685" w14:textId="77777777" w:rsidR="00A81934" w:rsidRDefault="00A81934" w:rsidP="00627ADC">
      <w:r>
        <w:t>To aid clinical interpretation, we divided individuals in each of the five European ancestry COPD case-control studies into deciles, according to their value of the weighted GRS. The odds ratio for COPD in members of the highest GRS decile compared to the lowest GRS decile was 4.73 (95% CI: [3.79, 5.90]), P=3.00×10</w:t>
      </w:r>
      <w:r>
        <w:rPr>
          <w:vertAlign w:val="superscript"/>
        </w:rPr>
        <w:t>-</w:t>
      </w:r>
      <w:r w:rsidRPr="00501910">
        <w:rPr>
          <w:vertAlign w:val="superscript"/>
        </w:rPr>
        <w:t>43</w:t>
      </w:r>
      <w:r w:rsidRPr="00501910">
        <w:t xml:space="preserve"> (</w:t>
      </w:r>
      <w:r w:rsidRPr="00501910">
        <w:rPr>
          <w:b/>
        </w:rPr>
        <w:t>Figure 3</w:t>
      </w:r>
      <w:r>
        <w:rPr>
          <w:b/>
        </w:rPr>
        <w:t>c</w:t>
      </w:r>
      <w:r w:rsidRPr="00501910">
        <w:t xml:space="preserve">, </w:t>
      </w:r>
      <w:r w:rsidRPr="00501910">
        <w:rPr>
          <w:b/>
        </w:rPr>
        <w:t>Supplementary Table 2</w:t>
      </w:r>
      <w:r>
        <w:rPr>
          <w:b/>
        </w:rPr>
        <w:t>2</w:t>
      </w:r>
      <w:r w:rsidRPr="00501910">
        <w:t>).</w:t>
      </w:r>
      <w:r>
        <w:t xml:space="preserve"> We calculated the population attributable risk fraction (</w:t>
      </w:r>
      <w:r w:rsidRPr="006E53DF">
        <w:rPr>
          <w:b/>
        </w:rPr>
        <w:t>Supplementary Note</w:t>
      </w:r>
      <w:r>
        <w:t xml:space="preserve">) and </w:t>
      </w:r>
      <w:r w:rsidRPr="00C47F4D">
        <w:t xml:space="preserve">estimated </w:t>
      </w:r>
      <w:r>
        <w:t xml:space="preserve">that the </w:t>
      </w:r>
      <w:r w:rsidRPr="00C47F4D">
        <w:t xml:space="preserve">proportion of COPD cases attributable to risk scores above the first </w:t>
      </w:r>
      <w:r>
        <w:t xml:space="preserve">GRS </w:t>
      </w:r>
      <w:r w:rsidRPr="00C47F4D">
        <w:t>d</w:t>
      </w:r>
      <w:r w:rsidRPr="008612D8">
        <w:t xml:space="preserve">ecile was </w:t>
      </w:r>
      <w:r>
        <w:t>54.6% (95% CI: [50.6%, 58.4%])</w:t>
      </w:r>
      <w:r w:rsidRPr="008612D8">
        <w:t>.</w:t>
      </w:r>
      <w:r>
        <w:t xml:space="preserve"> </w:t>
      </w:r>
    </w:p>
    <w:p w14:paraId="559C624C" w14:textId="171BCEF6" w:rsidR="00A81934" w:rsidRDefault="00A81934" w:rsidP="004B27E8">
      <w:r w:rsidRPr="00E90AE2">
        <w:t xml:space="preserve">Incorporation of the GRS into a risk model already comprising available clinical information (age, sex, height and pack-years of smoking in COPDGene non-Hispanic Whites) </w:t>
      </w:r>
      <w:r>
        <w:t>led to a statistically significant (P=3.33×10</w:t>
      </w:r>
      <w:r>
        <w:rPr>
          <w:vertAlign w:val="superscript"/>
        </w:rPr>
        <w:t>-10</w:t>
      </w:r>
      <w:r>
        <w:t>), yet modest, increase in the area under the curve, from 0.751 to 0.771 (</w:t>
      </w:r>
      <w:r w:rsidRPr="00963331">
        <w:rPr>
          <w:b/>
        </w:rPr>
        <w:t>Supplementary Note</w:t>
      </w:r>
      <w:r>
        <w:t>). Based on our estimated GRS relative risk and absolute risk estimates of COPD</w:t>
      </w:r>
      <w:r w:rsidRPr="007C23F6">
        <w:rPr>
          <w:noProof/>
          <w:vertAlign w:val="superscript"/>
        </w:rPr>
        <w:t>48</w:t>
      </w:r>
      <w:r>
        <w:t>, one would expect the highest GRS risk decile group of smokers to have an absolute risk of developing COPD by approximately 70 years of age of 82.4%, versus 17.4% for the lowest GRS decile (</w:t>
      </w:r>
      <w:r w:rsidRPr="00963331">
        <w:rPr>
          <w:b/>
        </w:rPr>
        <w:t>Supplementary Note</w:t>
      </w:r>
      <w:r>
        <w:t>).</w:t>
      </w:r>
    </w:p>
    <w:p w14:paraId="6B73F079" w14:textId="77777777" w:rsidR="00A81934" w:rsidRDefault="00A81934" w:rsidP="00D70482">
      <w:pPr>
        <w:pStyle w:val="berschrift2"/>
      </w:pPr>
      <w:r>
        <w:t xml:space="preserve">Pleiotropy and phenome-wide association studies </w:t>
      </w:r>
    </w:p>
    <w:p w14:paraId="59DD3D41" w14:textId="7BB72319" w:rsidR="00A81934" w:rsidRDefault="00A81934" w:rsidP="00A742C2">
      <w:pPr>
        <w:rPr>
          <w:b/>
        </w:rPr>
      </w:pPr>
      <w:r>
        <w:t>As phenome-wide association studies (PheWAS) can provide</w:t>
      </w:r>
      <w:r w:rsidRPr="00900DEA">
        <w:t xml:space="preserve"> </w:t>
      </w:r>
      <w:r w:rsidRPr="00286A5B">
        <w:t xml:space="preserve">evidence </w:t>
      </w:r>
      <w:r>
        <w:t xml:space="preserve">mimicking </w:t>
      </w:r>
      <w:r w:rsidRPr="00286A5B">
        <w:t>pharmacological intervention</w:t>
      </w:r>
      <w:r>
        <w:t>s</w:t>
      </w:r>
      <w:r w:rsidRPr="00286A5B">
        <w:t xml:space="preserve"> </w:t>
      </w:r>
      <w:r>
        <w:t xml:space="preserve">of drug targets </w:t>
      </w:r>
      <w:r w:rsidRPr="00286A5B">
        <w:t>in humans</w:t>
      </w:r>
      <w:r>
        <w:t xml:space="preserve"> and informing drug </w:t>
      </w:r>
      <w:r w:rsidRPr="00BD0E31">
        <w:t>development</w:t>
      </w:r>
      <w:r w:rsidRPr="007C23F6">
        <w:rPr>
          <w:b/>
          <w:noProof/>
          <w:vertAlign w:val="superscript"/>
        </w:rPr>
        <w:t>49</w:t>
      </w:r>
      <w:r w:rsidRPr="00BD0E31">
        <w:t>, we</w:t>
      </w:r>
      <w:r>
        <w:t xml:space="preserve"> undertook a </w:t>
      </w:r>
      <w:r w:rsidRPr="00900DEA">
        <w:t xml:space="preserve">PheWAS </w:t>
      </w:r>
      <w:r>
        <w:t xml:space="preserve">of </w:t>
      </w:r>
      <w:r w:rsidRPr="00C22F25">
        <w:t>2</w:t>
      </w:r>
      <w:r>
        <w:t>,</w:t>
      </w:r>
      <w:r w:rsidRPr="00C22F25">
        <w:t>411</w:t>
      </w:r>
      <w:r w:rsidRPr="00996AAC">
        <w:t xml:space="preserve"> </w:t>
      </w:r>
      <w:r>
        <w:t xml:space="preserve">phenotypes </w:t>
      </w:r>
      <w:r w:rsidRPr="00900DEA">
        <w:t>in UK Biobank (</w:t>
      </w:r>
      <w:r w:rsidRPr="00DD161A">
        <w:rPr>
          <w:b/>
        </w:rPr>
        <w:t xml:space="preserve">Online Methods, </w:t>
      </w:r>
      <w:r>
        <w:rPr>
          <w:b/>
        </w:rPr>
        <w:t>Figure 4, Supplementary Table 23</w:t>
      </w:r>
      <w:r>
        <w:t xml:space="preserve">); </w:t>
      </w:r>
      <w:r w:rsidRPr="003C036E">
        <w:t>226</w:t>
      </w:r>
      <w:r w:rsidRPr="004A51C6">
        <w:t xml:space="preserve"> of the 279 </w:t>
      </w:r>
      <w:r>
        <w:t>sentinel variant</w:t>
      </w:r>
      <w:r w:rsidRPr="004A51C6">
        <w:t xml:space="preserve">s were associated </w:t>
      </w:r>
      <w:r>
        <w:t>(</w:t>
      </w:r>
      <w:r w:rsidR="00466C10">
        <w:t>false discovery rate (</w:t>
      </w:r>
      <w:r>
        <w:t>FDR</w:t>
      </w:r>
      <w:r w:rsidR="00466C10">
        <w:t>)</w:t>
      </w:r>
      <w:r>
        <w:t xml:space="preserve">&lt;1%) </w:t>
      </w:r>
      <w:r w:rsidRPr="004A51C6">
        <w:t>with one or more traits</w:t>
      </w:r>
      <w:r>
        <w:t xml:space="preserve"> and diseases</w:t>
      </w:r>
      <w:r w:rsidRPr="004A51C6">
        <w:t xml:space="preserve"> (excluding</w:t>
      </w:r>
      <w:r>
        <w:t xml:space="preserve"> </w:t>
      </w:r>
      <w:r w:rsidRPr="004A51C6">
        <w:t xml:space="preserve">quantitative lung function traits). </w:t>
      </w:r>
      <w:r>
        <w:t>Eighty-five of the</w:t>
      </w:r>
      <w:r w:rsidRPr="004A54D0">
        <w:t xml:space="preserve"> lung function signals</w:t>
      </w:r>
      <w:r>
        <w:t xml:space="preserve"> were associated with standing height.</w:t>
      </w:r>
      <w:r w:rsidRPr="004A54D0">
        <w:t xml:space="preserve"> </w:t>
      </w:r>
      <w:r>
        <w:t>In order to investigate whether the genetic association signals for lung function were driven by incomplete adjustment for height, w</w:t>
      </w:r>
      <w:r w:rsidRPr="004A54D0">
        <w:t xml:space="preserve">e tested for correlation of effects on lung function in UK Biobank and height in </w:t>
      </w:r>
      <w:r>
        <w:t xml:space="preserve">a meta-analysis of UK Biobank and </w:t>
      </w:r>
      <w:r w:rsidRPr="004A54D0">
        <w:t>the GIANT consortium for 24</w:t>
      </w:r>
      <w:r>
        <w:t>6</w:t>
      </w:r>
      <w:r w:rsidRPr="004A54D0">
        <w:t xml:space="preserve"> of </w:t>
      </w:r>
      <w:r>
        <w:t xml:space="preserve">the </w:t>
      </w:r>
      <w:r w:rsidRPr="004A54D0">
        <w:t xml:space="preserve">279 signals </w:t>
      </w:r>
      <w:r>
        <w:t>that had</w:t>
      </w:r>
      <w:r w:rsidRPr="004A54D0">
        <w:t xml:space="preserve"> a proxy </w:t>
      </w:r>
      <w:r>
        <w:t xml:space="preserve">variant </w:t>
      </w:r>
      <w:r w:rsidRPr="004A54D0">
        <w:t xml:space="preserve">in </w:t>
      </w:r>
      <w:r w:rsidRPr="00BD0E31">
        <w:t>GIANT</w:t>
      </w:r>
      <w:r w:rsidRPr="007C23F6">
        <w:rPr>
          <w:b/>
          <w:noProof/>
          <w:vertAlign w:val="superscript"/>
        </w:rPr>
        <w:t>50</w:t>
      </w:r>
      <w:r w:rsidRPr="00BD0E31">
        <w:t xml:space="preserve">; </w:t>
      </w:r>
      <w:r>
        <w:t>there was no significant correlation</w:t>
      </w:r>
      <w:r w:rsidRPr="004A54D0">
        <w:t xml:space="preserve"> (</w:t>
      </w:r>
      <w:r w:rsidRPr="00A742C2">
        <w:rPr>
          <w:b/>
        </w:rPr>
        <w:t xml:space="preserve">Supplementary Figure </w:t>
      </w:r>
      <w:r>
        <w:rPr>
          <w:b/>
        </w:rPr>
        <w:t>5</w:t>
      </w:r>
      <w:r w:rsidRPr="004A54D0">
        <w:t>).</w:t>
      </w:r>
      <w:r>
        <w:t xml:space="preserve"> Additionally, the PheWAS </w:t>
      </w:r>
      <w:r w:rsidR="00466C10">
        <w:t xml:space="preserve">identified </w:t>
      </w:r>
      <w:r>
        <w:t>associations with body composition measures such as fat free mass (</w:t>
      </w:r>
      <w:r w:rsidRPr="003C036E">
        <w:t>54 SNPs</w:t>
      </w:r>
      <w:r>
        <w:t>) and hip circumference (</w:t>
      </w:r>
      <w:r w:rsidRPr="003C036E">
        <w:t>40 SNPs</w:t>
      </w:r>
      <w:r>
        <w:t>), as well as muscle strength (</w:t>
      </w:r>
      <w:r w:rsidRPr="003C036E">
        <w:t>32 SNPs, grip strength</w:t>
      </w:r>
      <w:r>
        <w:t>). One hundred and fourteen of the 279 SNPs were associated with several quantitative measures of blood count, including eosinophil counts and percentages (</w:t>
      </w:r>
      <w:r w:rsidRPr="003C036E">
        <w:t>25 SNPs</w:t>
      </w:r>
      <w:r>
        <w:t xml:space="preserve">). </w:t>
      </w:r>
      <w:r w:rsidRPr="003C036E">
        <w:t>Twenty-</w:t>
      </w:r>
      <w:r>
        <w:t xml:space="preserve">five of our SNPs were also associated with asthma including </w:t>
      </w:r>
      <w:r w:rsidRPr="003C036E">
        <w:t>12 SNPs</w:t>
      </w:r>
      <w:r>
        <w:t xml:space="preserve"> associated both with asthma and eosinophil measures (</w:t>
      </w:r>
      <w:r>
        <w:rPr>
          <w:b/>
        </w:rPr>
        <w:t>Supplementary Table 24)</w:t>
      </w:r>
      <w:r>
        <w:t>. Eight of these</w:t>
      </w:r>
      <w:r w:rsidRPr="009D678A">
        <w:t xml:space="preserve"> SNPs</w:t>
      </w:r>
      <w:r>
        <w:t xml:space="preserve"> were in </w:t>
      </w:r>
      <w:r w:rsidR="00466C10">
        <w:t>linkage disequilibrium (</w:t>
      </w:r>
      <w:r>
        <w:t>LD</w:t>
      </w:r>
      <w:r w:rsidR="00466C10">
        <w:t xml:space="preserve">, </w:t>
      </w:r>
      <w:r w:rsidRPr="00DB43FF">
        <w:t>r</w:t>
      </w:r>
      <w:r>
        <w:rPr>
          <w:vertAlign w:val="superscript"/>
        </w:rPr>
        <w:t>2</w:t>
      </w:r>
      <w:r>
        <w:t>&gt;0.1) with a SNP reported for association with asthma in previously published genome-wide association studies.</w:t>
      </w:r>
      <w:r w:rsidRPr="003351C1">
        <w:t xml:space="preserve"> </w:t>
      </w:r>
      <w:r>
        <w:t xml:space="preserve">We compared our observed effect sizes with those estimated after exclusion of all self-reported asthma cases and observed similar estimates </w:t>
      </w:r>
      <w:r w:rsidRPr="00811AAE">
        <w:t>(</w:t>
      </w:r>
      <w:r w:rsidRPr="00DD161A">
        <w:rPr>
          <w:b/>
        </w:rPr>
        <w:t xml:space="preserve">Supplementary Figure </w:t>
      </w:r>
      <w:r>
        <w:rPr>
          <w:b/>
        </w:rPr>
        <w:t>6</w:t>
      </w:r>
      <w:r>
        <w:t>) suggesting that the lung function associations we report are not driven by asthma.</w:t>
      </w:r>
    </w:p>
    <w:p w14:paraId="1783C4A7" w14:textId="3BCA6128" w:rsidR="00A81934" w:rsidRDefault="00A81934" w:rsidP="00E44BE8">
      <w:r>
        <w:lastRenderedPageBreak/>
        <w:t xml:space="preserve">We examined the specificity of genetic associations, given the potential for this to predict specificity of drug target modification, and found that </w:t>
      </w:r>
      <w:r w:rsidRPr="003C036E">
        <w:t>53</w:t>
      </w:r>
      <w:r>
        <w:t xml:space="preserve"> of the 279 signals were associated only with lung function and COPD-related traits. In contrast, three of our 279 signals were associated with over 100 traits across multiple categories – </w:t>
      </w:r>
      <w:r w:rsidRPr="009D678A">
        <w:t>among these</w:t>
      </w:r>
      <w:r>
        <w:t xml:space="preserve"> </w:t>
      </w:r>
      <w:r w:rsidRPr="003C036E">
        <w:rPr>
          <w:rFonts w:ascii="Calibri" w:eastAsia="Times New Roman" w:hAnsi="Calibri" w:cs="Times New Roman"/>
          <w:color w:val="000000"/>
          <w:lang w:eastAsia="en-GB"/>
        </w:rPr>
        <w:t>rs3844313</w:t>
      </w:r>
      <w:r>
        <w:rPr>
          <w:rFonts w:ascii="Calibri" w:eastAsia="Times New Roman" w:hAnsi="Calibri" w:cs="Times New Roman"/>
          <w:color w:val="000000"/>
          <w:lang w:eastAsia="en-GB"/>
        </w:rPr>
        <w:t xml:space="preserve">, a known intergenic signal near </w:t>
      </w:r>
      <w:r w:rsidRPr="003D61AF">
        <w:rPr>
          <w:rFonts w:ascii="Calibri" w:eastAsia="Times New Roman" w:hAnsi="Calibri" w:cs="Times New Roman"/>
          <w:i/>
          <w:color w:val="000000"/>
          <w:lang w:eastAsia="en-GB"/>
        </w:rPr>
        <w:t>HLA-DQB1</w:t>
      </w:r>
      <w:r>
        <w:rPr>
          <w:rFonts w:ascii="Calibri" w:eastAsia="Times New Roman" w:hAnsi="Calibri" w:cs="Times New Roman"/>
          <w:color w:val="000000"/>
          <w:lang w:eastAsia="en-GB"/>
        </w:rPr>
        <w:t xml:space="preserve"> was associated with 163 traits,</w:t>
      </w:r>
      <w:r>
        <w:t xml:space="preserve"> and also had the strongest signal in the PheWAS, which was for association with intestinal malabsorption and celiac disease.</w:t>
      </w:r>
    </w:p>
    <w:p w14:paraId="351BEC92" w14:textId="77777777" w:rsidR="00A81934" w:rsidRDefault="00A81934" w:rsidP="00E44BE8"/>
    <w:p w14:paraId="0B4F75D5" w14:textId="75088BE4" w:rsidR="00A81934" w:rsidRDefault="00A81934" w:rsidP="00E44BE8">
      <w:r>
        <w:t xml:space="preserve">In our </w:t>
      </w:r>
      <w:r w:rsidRPr="005D1FA6">
        <w:t xml:space="preserve">279-variant weighted GRS </w:t>
      </w:r>
      <w:r>
        <w:t>PheWAS analysis (</w:t>
      </w:r>
      <w:r w:rsidRPr="005605B6">
        <w:rPr>
          <w:b/>
        </w:rPr>
        <w:t>Supplementary Table 2</w:t>
      </w:r>
      <w:r>
        <w:rPr>
          <w:b/>
        </w:rPr>
        <w:t>5</w:t>
      </w:r>
      <w:r w:rsidRPr="005605B6">
        <w:t>),</w:t>
      </w:r>
      <w:r>
        <w:t xml:space="preserve"> we found association</w:t>
      </w:r>
      <w:r w:rsidRPr="005D1FA6">
        <w:t xml:space="preserve"> with respiratory traits including</w:t>
      </w:r>
      <w:r w:rsidRPr="005D1FA6" w:rsidDel="005D1FA6">
        <w:t xml:space="preserve"> </w:t>
      </w:r>
      <w:r w:rsidRPr="00900DEA">
        <w:t xml:space="preserve">COPD, chronic bronchitis, emphysema, respiratory failure, corticosteroid use </w:t>
      </w:r>
      <w:r>
        <w:t xml:space="preserve">and both </w:t>
      </w:r>
      <w:r w:rsidRPr="00900DEA">
        <w:t xml:space="preserve">pediatric </w:t>
      </w:r>
      <w:r>
        <w:t xml:space="preserve">and adult-onset </w:t>
      </w:r>
      <w:r w:rsidRPr="00900DEA">
        <w:t>asthma (</w:t>
      </w:r>
      <w:r w:rsidRPr="004A2D54">
        <w:rPr>
          <w:b/>
        </w:rPr>
        <w:t xml:space="preserve">Figure </w:t>
      </w:r>
      <w:r>
        <w:rPr>
          <w:b/>
        </w:rPr>
        <w:t>5</w:t>
      </w:r>
      <w:r w:rsidRPr="00AB62FA">
        <w:rPr>
          <w:b/>
        </w:rPr>
        <w:t>a</w:t>
      </w:r>
      <w:r w:rsidRPr="00900DEA">
        <w:t>).</w:t>
      </w:r>
      <w:r>
        <w:t xml:space="preserve"> The GRS was also associated with non-respiratory traits including celiac disease, an intestinal autoimmune disorder (</w:t>
      </w:r>
      <w:r w:rsidRPr="00AB62FA">
        <w:rPr>
          <w:b/>
        </w:rPr>
        <w:t>Figure</w:t>
      </w:r>
      <w:r>
        <w:rPr>
          <w:b/>
        </w:rPr>
        <w:t xml:space="preserve"> 5</w:t>
      </w:r>
      <w:r w:rsidRPr="00AB62FA">
        <w:rPr>
          <w:b/>
        </w:rPr>
        <w:t>b</w:t>
      </w:r>
      <w:r>
        <w:t>).</w:t>
      </w:r>
      <w:r w:rsidRPr="00900DEA">
        <w:t xml:space="preserve"> </w:t>
      </w:r>
      <w:r>
        <w:t xml:space="preserve"> These pleiotropic effects on risk of autoimmune diseases was further confirmed by analysis of previously reported GWAS (</w:t>
      </w:r>
      <w:r w:rsidRPr="006D592E">
        <w:rPr>
          <w:b/>
        </w:rPr>
        <w:t>Online Methods</w:t>
      </w:r>
      <w:r>
        <w:rPr>
          <w:b/>
        </w:rPr>
        <w:t xml:space="preserve">, </w:t>
      </w:r>
      <w:r w:rsidRPr="005605B6">
        <w:rPr>
          <w:b/>
        </w:rPr>
        <w:t>Supplementary Table 2</w:t>
      </w:r>
      <w:r>
        <w:rPr>
          <w:b/>
        </w:rPr>
        <w:t>6</w:t>
      </w:r>
      <w:r>
        <w:t>) which showed overlapping single variant associations with Crohn’s disease, ulcerative colitis, psoriasis, systemic lupus erythematosus, IgA nephropathy, pediatric autoimmune disease and type 1 diabetes.</w:t>
      </w:r>
    </w:p>
    <w:p w14:paraId="0268293A" w14:textId="77777777" w:rsidR="00A81934" w:rsidRDefault="00A81934" w:rsidP="001F0CB9">
      <w:pPr>
        <w:pStyle w:val="berschrift1"/>
      </w:pPr>
      <w:bookmarkStart w:id="7" w:name="_Toc509405312"/>
      <w:bookmarkEnd w:id="6"/>
      <w:r w:rsidRPr="00133696">
        <w:t>Discussion</w:t>
      </w:r>
      <w:bookmarkEnd w:id="7"/>
    </w:p>
    <w:p w14:paraId="71023610" w14:textId="6BAD9AAC" w:rsidR="00A81934" w:rsidRDefault="00A81934" w:rsidP="001F0CB9">
      <w:r>
        <w:t>The large sample size of our study, achieved by our refinement of the spirometry in UK Biobank and inclusion of the substantially expanded SpiroMeta consortium data set, has doubled the yield of lung function signals to 279.  Fine-mapping of all new and previously reported signals, together with gene and protein expression analyses with improved tissue specificity and stringency, has implicated new genes and pathways, highlighting the importance of cilia development, TGF-β signalling via SMAD3, and elastic fib</w:t>
      </w:r>
      <w:r w:rsidR="00F328FC">
        <w:t>er</w:t>
      </w:r>
      <w:r>
        <w:t>s in the etiology of airflow obstruction. Many of the genes and pathways reported here contain druggable targets; we highlight examples where the genetic variants mimicking therapeutic modulation of targets may have opposing effects on lung function. We have developed and applied the first weighted GRS for lung function and tested it in independent COPD case-control studies. Our GRS shows stronger association and larger effect size estimates than a previous GRS in European ancestry populations</w:t>
      </w:r>
      <w:r w:rsidRPr="00DB0E91">
        <w:rPr>
          <w:noProof/>
          <w:vertAlign w:val="superscript"/>
        </w:rPr>
        <w:t>18</w:t>
      </w:r>
      <w:r>
        <w:t>, as well as generali</w:t>
      </w:r>
      <w:r w:rsidR="00F328FC">
        <w:t>z</w:t>
      </w:r>
      <w:r>
        <w:t>ability to other ancestry groups. We undertook the first comprehensive PheWAS for lung function signals, and report genetic variants with apparent specificity of effects and others with pleiotropic effects that might indicate shared biological pathways between different diseases.</w:t>
      </w:r>
    </w:p>
    <w:p w14:paraId="7CE0F328" w14:textId="1ABA19AB" w:rsidR="00A81934" w:rsidRPr="00260C8A" w:rsidRDefault="00A81934" w:rsidP="001F0CB9">
      <w:r w:rsidRPr="00260C8A">
        <w:t>For the first time in a GWAS of lung function, we report an enrichment of genes involved in ciliogenesis</w:t>
      </w:r>
      <w:r>
        <w:t xml:space="preserve"> (including </w:t>
      </w:r>
      <w:r w:rsidRPr="00452DF7">
        <w:rPr>
          <w:i/>
        </w:rPr>
        <w:t>KIAA0753</w:t>
      </w:r>
      <w:r>
        <w:t xml:space="preserve">, </w:t>
      </w:r>
      <w:r w:rsidRPr="00452DF7">
        <w:rPr>
          <w:i/>
        </w:rPr>
        <w:t>CDK2</w:t>
      </w:r>
      <w:r>
        <w:t xml:space="preserve"> and </w:t>
      </w:r>
      <w:r w:rsidRPr="00452DF7">
        <w:rPr>
          <w:i/>
        </w:rPr>
        <w:t>CEP72</w:t>
      </w:r>
      <w:r>
        <w:t>)</w:t>
      </w:r>
      <w:r w:rsidRPr="00260C8A">
        <w:t xml:space="preserve">. Defects in primary cilia as a result of highly deleterious mutations in essential genes result in ciliopathies </w:t>
      </w:r>
      <w:r>
        <w:t>known to affect</w:t>
      </w:r>
      <w:r w:rsidRPr="00260C8A">
        <w:t xml:space="preserve"> multiple organ systems. We found an enrichment of genes with a role in centriolar replication and duplication, core processes in primary and motile cilia formation. Mutations in </w:t>
      </w:r>
      <w:r w:rsidRPr="00260C8A">
        <w:rPr>
          <w:i/>
        </w:rPr>
        <w:t>KIAA0753</w:t>
      </w:r>
      <w:r w:rsidRPr="00260C8A">
        <w:t xml:space="preserve"> cause the ciliopathies Joubert Syndrome and Orofaciodigital Syndrome</w:t>
      </w:r>
      <w:r w:rsidRPr="00450747">
        <w:rPr>
          <w:noProof/>
          <w:vertAlign w:val="superscript"/>
        </w:rPr>
        <w:t>28</w:t>
      </w:r>
      <w:r w:rsidRPr="00F97F51">
        <w:t>.</w:t>
      </w:r>
      <w:r w:rsidRPr="00260C8A">
        <w:t xml:space="preserve"> Reduced airway motile cilia function impacting mucus clearance is a feature of COPD, but it has not been clear whether this is causal or the consequence of damage by external factors such as smoking or infection. Our findings suggest that impaired ciliary function might be a driver of the disease process. We have previously shown enrichment of rare variants in cilia-related genes in heavy smokers without airflow obstruction</w:t>
      </w:r>
      <w:r w:rsidRPr="007C23F6">
        <w:rPr>
          <w:noProof/>
          <w:vertAlign w:val="superscript"/>
        </w:rPr>
        <w:t>51</w:t>
      </w:r>
      <w:r>
        <w:t>.</w:t>
      </w:r>
    </w:p>
    <w:p w14:paraId="5CDD334D" w14:textId="7E743826" w:rsidR="00A81934" w:rsidRPr="00260C8A" w:rsidRDefault="00A81934" w:rsidP="001F0CB9">
      <w:r w:rsidRPr="00260C8A">
        <w:t xml:space="preserve">New signals, implicating </w:t>
      </w:r>
      <w:r w:rsidRPr="00260C8A">
        <w:rPr>
          <w:i/>
        </w:rPr>
        <w:t>ITGAV</w:t>
      </w:r>
      <w:r w:rsidRPr="00260C8A">
        <w:t xml:space="preserve"> and </w:t>
      </w:r>
      <w:r w:rsidRPr="00260C8A">
        <w:rPr>
          <w:i/>
        </w:rPr>
        <w:t>GDF5</w:t>
      </w:r>
      <w:r w:rsidRPr="00260C8A">
        <w:t xml:space="preserve">, as well as stronger support for </w:t>
      </w:r>
      <w:r w:rsidRPr="00260C8A">
        <w:rPr>
          <w:i/>
        </w:rPr>
        <w:t>TGFB2</w:t>
      </w:r>
      <w:r w:rsidRPr="00260C8A">
        <w:t xml:space="preserve"> and </w:t>
      </w:r>
      <w:r w:rsidRPr="00260C8A">
        <w:rPr>
          <w:i/>
        </w:rPr>
        <w:t>MFAP2</w:t>
      </w:r>
      <w:r w:rsidRPr="00260C8A">
        <w:t xml:space="preserve"> as likely causal genes, provide new genetic support for the importance of elastic fib</w:t>
      </w:r>
      <w:r w:rsidR="00F328FC">
        <w:t>er</w:t>
      </w:r>
      <w:r w:rsidRPr="00260C8A">
        <w:t xml:space="preserve"> pathways in lung function and COPD</w:t>
      </w:r>
      <w:r w:rsidRPr="00DB0E91">
        <w:rPr>
          <w:noProof/>
          <w:vertAlign w:val="superscript"/>
        </w:rPr>
        <w:t>18</w:t>
      </w:r>
      <w:r>
        <w:t>.</w:t>
      </w:r>
      <w:r w:rsidRPr="00260C8A">
        <w:t xml:space="preserve"> </w:t>
      </w:r>
      <w:r>
        <w:t>T</w:t>
      </w:r>
      <w:r w:rsidRPr="00260C8A">
        <w:t>he elastic fib</w:t>
      </w:r>
      <w:r w:rsidR="00F328FC">
        <w:t>er</w:t>
      </w:r>
      <w:r w:rsidRPr="00260C8A">
        <w:t xml:space="preserve">s of the </w:t>
      </w:r>
      <w:r>
        <w:t xml:space="preserve">extracellular matrix </w:t>
      </w:r>
      <w:r w:rsidRPr="00260C8A">
        <w:t>are known to be disrupted in COPD</w:t>
      </w:r>
      <w:r w:rsidRPr="007C23F6">
        <w:rPr>
          <w:noProof/>
          <w:vertAlign w:val="superscript"/>
        </w:rPr>
        <w:t>52</w:t>
      </w:r>
      <w:r w:rsidRPr="00260C8A">
        <w:t>. As the breakdown of elastic fib</w:t>
      </w:r>
      <w:r w:rsidR="00F328FC">
        <w:t>er</w:t>
      </w:r>
      <w:r w:rsidRPr="00260C8A">
        <w:t>s by neutrophil elastase leads to emphysema in individuals with alpha</w:t>
      </w:r>
      <w:r w:rsidRPr="00EE0D72">
        <w:rPr>
          <w:vertAlign w:val="subscript"/>
        </w:rPr>
        <w:t>1</w:t>
      </w:r>
      <w:r>
        <w:t>-</w:t>
      </w:r>
      <w:r w:rsidRPr="00260C8A">
        <w:t xml:space="preserve">antitrypsin deficiency, we also assessed the </w:t>
      </w:r>
      <w:r w:rsidRPr="00260C8A">
        <w:lastRenderedPageBreak/>
        <w:t xml:space="preserve">association with the </w:t>
      </w:r>
      <w:r w:rsidRPr="00260C8A">
        <w:rPr>
          <w:i/>
        </w:rPr>
        <w:t>SERPINA1</w:t>
      </w:r>
      <w:r w:rsidRPr="00260C8A">
        <w:t xml:space="preserve"> </w:t>
      </w:r>
      <w:r>
        <w:t xml:space="preserve">Z </w:t>
      </w:r>
      <w:r w:rsidRPr="00260C8A">
        <w:t>allele, which was not associated with FEV</w:t>
      </w:r>
      <w:r w:rsidRPr="00260C8A">
        <w:rPr>
          <w:vertAlign w:val="subscript"/>
        </w:rPr>
        <w:t>1</w:t>
      </w:r>
      <w:r w:rsidRPr="00260C8A">
        <w:t>/FVC in our study (rs28929474, P=0.1</w:t>
      </w:r>
      <w:r>
        <w:t>09</w:t>
      </w:r>
      <w:r w:rsidRPr="00260C8A">
        <w:t xml:space="preserve"> in UK Biobank). </w:t>
      </w:r>
    </w:p>
    <w:p w14:paraId="2D05EEDC" w14:textId="77777777" w:rsidR="00A81934" w:rsidRDefault="00A81934" w:rsidP="002F7E35">
      <w:r>
        <w:t>Smoking and genetic risk both have important effects on lung function and COPD. For lung function,</w:t>
      </w:r>
      <w:r w:rsidDel="00D973D9">
        <w:t xml:space="preserve"> </w:t>
      </w:r>
      <w:r>
        <w:t xml:space="preserve">we found no interaction between smoking and individual variants, and for </w:t>
      </w:r>
      <w:r w:rsidRPr="006D17EA">
        <w:t>FEV</w:t>
      </w:r>
      <w:r w:rsidRPr="006D17EA">
        <w:rPr>
          <w:vertAlign w:val="subscript"/>
        </w:rPr>
        <w:t>1</w:t>
      </w:r>
      <w:r w:rsidRPr="006D17EA">
        <w:t>/FVC</w:t>
      </w:r>
      <w:r>
        <w:t xml:space="preserve"> no interaction between smoking status and the weighted GRS. However, for COPD a weak smoking-GRS interaction was observed. </w:t>
      </w:r>
      <w:r w:rsidRPr="00E90AE2">
        <w:t>Whilst the weighted GRS showed a strong association with COPD susceptibility, and a high attributable risk, we do not claim that this would represent an appropriate method of screening for COPD risk. Importantly, our findings demonstrate the high absolute risk among genetically susceptible smokers</w:t>
      </w:r>
      <w:r>
        <w:t xml:space="preserve"> (82.4% by approximately 70 years of age).</w:t>
      </w:r>
    </w:p>
    <w:p w14:paraId="57A93840" w14:textId="4B9B08BC" w:rsidR="00A81934" w:rsidRPr="0030400F" w:rsidRDefault="00A81934" w:rsidP="001F0CB9">
      <w:pPr>
        <w:rPr>
          <w:i/>
          <w:shd w:val="clear" w:color="auto" w:fill="FFFFFF"/>
        </w:rPr>
      </w:pPr>
      <w:r>
        <w:t>We used two complementary study designs to maximi</w:t>
      </w:r>
      <w:r w:rsidR="00F328FC">
        <w:t>z</w:t>
      </w:r>
      <w:r>
        <w:t>e sample size for discovery and ensure robustness of findings by requiring independent support for association. Furthermore, through additional analysis of the spirometry data in UK Biobank and substantial expansion of the SpiroMeta consortium, we have markedly increased samples sizes to almost seven times those included in previous studies. As no lower MAF threshold was applied in our analyses, an overall threshold of P&lt;5×10</w:t>
      </w:r>
      <w:r w:rsidRPr="008B580E">
        <w:rPr>
          <w:vertAlign w:val="superscript"/>
        </w:rPr>
        <w:t>-9</w:t>
      </w:r>
      <w:r>
        <w:t xml:space="preserve">, as recommended for </w:t>
      </w:r>
      <w:r w:rsidRPr="00C85289">
        <w:t xml:space="preserve">re-sequencing analyses </w:t>
      </w:r>
      <w:r>
        <w:t>of European ancestry individuals</w:t>
      </w:r>
      <w:r w:rsidRPr="00C5156F">
        <w:rPr>
          <w:noProof/>
          <w:vertAlign w:val="superscript"/>
        </w:rPr>
        <w:t>23</w:t>
      </w:r>
      <w:r>
        <w:t>, was applied. We identified the largest number of new signals in our more stringent two-stage design (“Tier 1”, 99 new signals). Amongst the signals that we report as “Tier 3” (and did not include in further analyses), all reached P&lt;10</w:t>
      </w:r>
      <w:r w:rsidRPr="00DD150C">
        <w:rPr>
          <w:vertAlign w:val="superscript"/>
        </w:rPr>
        <w:t>-3</w:t>
      </w:r>
      <w:r>
        <w:t xml:space="preserve"> in UK Biobank and 183 met a less stringent threshold of P&lt;0.05 in SpiroMeta.</w:t>
      </w:r>
    </w:p>
    <w:p w14:paraId="11DFD049" w14:textId="15AAE2C0" w:rsidR="00A81934" w:rsidRDefault="00A81934" w:rsidP="001F0CB9">
      <w:r>
        <w:t>Our study is the first to investigate genome-wide associations with PEF. PEF is determined by various physiological factors including lung volume, large airway calib</w:t>
      </w:r>
      <w:r w:rsidR="00F328FC">
        <w:t>er</w:t>
      </w:r>
      <w:r>
        <w:t>, elasticity of the lung and expiratory muscle strength, is used for monitoring asthma,</w:t>
      </w:r>
      <w:r w:rsidRPr="00AB4289">
        <w:t xml:space="preserve"> </w:t>
      </w:r>
      <w:r>
        <w:t>and was incorporated in a recently evaluated clinical score for diagnosing COPD and predicting acute exacerbations of COPD</w:t>
      </w:r>
      <w:r w:rsidRPr="00957744">
        <w:rPr>
          <w:noProof/>
          <w:vertAlign w:val="superscript"/>
        </w:rPr>
        <w:t>53</w:t>
      </w:r>
      <w:r>
        <w:t>. Overall, 133 of the 279 signals were also associated with PEF (P&lt;10</w:t>
      </w:r>
      <w:r w:rsidRPr="00BD4E4D">
        <w:rPr>
          <w:vertAlign w:val="superscript"/>
        </w:rPr>
        <w:t>-5</w:t>
      </w:r>
      <w:r>
        <w:t xml:space="preserve">) and for 15 signals (including 4 new signals), PEF was the most significantly associated trait. Of note, a signal near </w:t>
      </w:r>
      <w:r w:rsidRPr="00734BBC">
        <w:rPr>
          <w:i/>
        </w:rPr>
        <w:t>SLC26A9</w:t>
      </w:r>
      <w:r w:rsidRPr="00734BBC">
        <w:t>, a known cystic fibrosis modifier gene</w:t>
      </w:r>
      <w:r w:rsidRPr="00957744">
        <w:rPr>
          <w:noProof/>
          <w:vertAlign w:val="superscript"/>
        </w:rPr>
        <w:t>54</w:t>
      </w:r>
      <w:r>
        <w:t xml:space="preserve">, </w:t>
      </w:r>
      <w:r w:rsidRPr="00734BBC">
        <w:t>was highly significantly associated with PEF in UK Biobank (P=3.97</w:t>
      </w:r>
      <w:r>
        <w:t>×10</w:t>
      </w:r>
      <w:r w:rsidRPr="00734BBC">
        <w:rPr>
          <w:vertAlign w:val="superscript"/>
        </w:rPr>
        <w:t>-66</w:t>
      </w:r>
      <w:r w:rsidRPr="00734BBC">
        <w:t>) and</w:t>
      </w:r>
      <w:r>
        <w:t xml:space="preserve"> </w:t>
      </w:r>
      <w:r w:rsidRPr="00734BBC">
        <w:t>nominally significant in SpiroMeta (P=6.9</w:t>
      </w:r>
      <w:r>
        <w:t>3×10</w:t>
      </w:r>
      <w:r w:rsidRPr="00734BBC">
        <w:rPr>
          <w:vertAlign w:val="superscript"/>
        </w:rPr>
        <w:t>-3</w:t>
      </w:r>
      <w:r w:rsidRPr="00734BBC">
        <w:t>), with consistent direction of effect, but did not me</w:t>
      </w:r>
      <w:r>
        <w:t>et the Tier 2 criteria. This could reflect the limited power for PEF in SpiroMeta (up to 24,218 for PEF compared to 79,055 for the other traits).</w:t>
      </w:r>
    </w:p>
    <w:p w14:paraId="52463C9C" w14:textId="57C99A0B" w:rsidR="00A81934" w:rsidRDefault="00A81934" w:rsidP="00E80D39">
      <w:r>
        <w:t>Examining associations of a given genetic variant with a wide range of human phenotypes is a valuable tool in therapeutic target validation. As in our PheWAS, it can highlight variants which show associations with one or more respiratory traits that might be expected to demonstrate greater target specificity than variants associated with many traits. Additionally, in some instances, association with multiple traits may indicate the relevance of drug repurposing. Association of a given SNP with multiple traits does not necessarily imply shared etiology, and further investigation is warranted. Our GRS PheWAS assesses broader genetic overlap between lung function and other traits and supports the evidence for some shared genetic determinants with autoimmune diseases.</w:t>
      </w:r>
    </w:p>
    <w:p w14:paraId="6B90206F" w14:textId="77777777" w:rsidR="00A81934" w:rsidRDefault="00A81934" w:rsidP="003A79AC">
      <w:r w:rsidRPr="00202F0A">
        <w:t>In summary, our study has doubled the number of signals for lung function and</w:t>
      </w:r>
      <w:r>
        <w:t xml:space="preserve"> </w:t>
      </w:r>
      <w:r w:rsidRPr="00202F0A">
        <w:t>provides new understanding and resources of utility for the development of therapeutics. The 279-variant GRS we constructed was associated with a 4.7</w:t>
      </w:r>
      <w:r>
        <w:t>3</w:t>
      </w:r>
      <w:r w:rsidRPr="00202F0A">
        <w:t xml:space="preserve">-fold increased relative risk of moderate-severe COPD between highest and lowest deciles, </w:t>
      </w:r>
      <w:r>
        <w:t>such that one would expect over 80% of smokers in the highest genetic risk decile to develop COPD. The GRS was also predictive of COPD across multiple ancestral groups</w:t>
      </w:r>
      <w:r w:rsidRPr="00202F0A">
        <w:t xml:space="preserve">. </w:t>
      </w:r>
      <w:r>
        <w:t>Our PheWAS highlights both expected and unexpected associations relevant to respiratory and other systemic diseases. Investigating the nature of the pleiotropic effects of some of these variants will be of benefit for drug target identification and validation.</w:t>
      </w:r>
    </w:p>
    <w:p w14:paraId="13393485" w14:textId="77777777" w:rsidR="00A81934" w:rsidRDefault="00A81934" w:rsidP="00A57B8D">
      <w:pPr>
        <w:pStyle w:val="berschrift1"/>
      </w:pPr>
      <w:bookmarkStart w:id="8" w:name="_Toc509405314"/>
      <w:r>
        <w:lastRenderedPageBreak/>
        <w:t>URLs</w:t>
      </w:r>
    </w:p>
    <w:p w14:paraId="14A07EE7" w14:textId="77777777" w:rsidR="00A81934" w:rsidRDefault="00C26BA1" w:rsidP="00EF6C4C">
      <w:hyperlink r:id="rId12" w:history="1">
        <w:r w:rsidR="00A81934" w:rsidRPr="00E031E5">
          <w:t>http://www.ukbiobank.ac.uk</w:t>
        </w:r>
      </w:hyperlink>
    </w:p>
    <w:p w14:paraId="6C311A50" w14:textId="77777777" w:rsidR="00A81934" w:rsidRDefault="00A81934" w:rsidP="00EF6C4C">
      <w:r w:rsidRPr="00A91C3A">
        <w:t>https://www.ensembl.org/vep</w:t>
      </w:r>
    </w:p>
    <w:p w14:paraId="1BC8B7A8" w14:textId="602827E9" w:rsidR="00BB76DC" w:rsidRDefault="00BB76DC" w:rsidP="00EF6C4C">
      <w:r w:rsidRPr="00841A79">
        <w:t>http://www.dgidb.org/downloads</w:t>
      </w:r>
    </w:p>
    <w:p w14:paraId="40BA9DFC" w14:textId="77777777" w:rsidR="00A81934" w:rsidRDefault="00C26BA1" w:rsidP="00EF6C4C">
      <w:hyperlink r:id="rId13" w:history="1">
        <w:r w:rsidR="00A81934" w:rsidRPr="00E031E5">
          <w:t>https://www.ebi.ac.uk/chembl/drug/indications</w:t>
        </w:r>
      </w:hyperlink>
    </w:p>
    <w:p w14:paraId="524BB05A" w14:textId="77777777" w:rsidR="00A81934" w:rsidRDefault="00C26BA1" w:rsidP="00EF6C4C">
      <w:hyperlink r:id="rId14" w:history="1">
        <w:r w:rsidR="00A81934" w:rsidRPr="00E031E5">
          <w:t>https://www.ebi.ac.uk/gwas/</w:t>
        </w:r>
      </w:hyperlink>
    </w:p>
    <w:p w14:paraId="3CB94470" w14:textId="77777777" w:rsidR="00A81934" w:rsidRDefault="00C26BA1" w:rsidP="00EF6C4C">
      <w:hyperlink r:id="rId15" w:history="1">
        <w:r w:rsidR="00A81934" w:rsidRPr="00E031E5">
          <w:t>https://grasp.nhlbi.nih.gov/Overview.aspx</w:t>
        </w:r>
      </w:hyperlink>
    </w:p>
    <w:p w14:paraId="2A834B10" w14:textId="77777777" w:rsidR="00A81934" w:rsidRDefault="00A81934" w:rsidP="00EF6C4C">
      <w:pPr>
        <w:pStyle w:val="berschrift1"/>
      </w:pPr>
      <w:r>
        <w:t>Acknowledgments</w:t>
      </w:r>
    </w:p>
    <w:p w14:paraId="09E37E81" w14:textId="77777777" w:rsidR="00A81934" w:rsidRDefault="00A81934" w:rsidP="00EF6C4C">
      <w:r w:rsidRPr="00087A85">
        <w:t>This research has been conducted using the UK Biobank Resource under application</w:t>
      </w:r>
      <w:r>
        <w:t>s</w:t>
      </w:r>
      <w:r w:rsidRPr="00087A85">
        <w:t xml:space="preserve"> 648</w:t>
      </w:r>
      <w:r>
        <w:t xml:space="preserve">, </w:t>
      </w:r>
      <w:r w:rsidRPr="002A682B">
        <w:t>4892 and 26041</w:t>
      </w:r>
      <w:r w:rsidRPr="00087A85">
        <w:t>.</w:t>
      </w:r>
      <w:r>
        <w:t xml:space="preserve"> </w:t>
      </w:r>
      <w:r w:rsidRPr="00EF5E9A">
        <w:t>L.</w:t>
      </w:r>
      <w:r>
        <w:t xml:space="preserve"> Wain</w:t>
      </w:r>
      <w:r w:rsidRPr="00EF5E9A">
        <w:t xml:space="preserve"> </w:t>
      </w:r>
      <w:r>
        <w:t>h</w:t>
      </w:r>
      <w:r w:rsidRPr="00EF5E9A">
        <w:t>olds a GSK/British Lung Foundation Chair in Respiratory Research.</w:t>
      </w:r>
      <w:r>
        <w:t xml:space="preserve"> M. Tobin is</w:t>
      </w:r>
      <w:r w:rsidRPr="00EF5E9A">
        <w:t xml:space="preserve"> supported by a Wellcome Trust Investigator Award (WT202849/Z/16/Z). M. Tobin and L. Wain have been supported by the MRC (MR/N011317/1). The research was partially supported by the NIHR Leicester Biomedical Research Centre; the views expressed are those of the author(s) and not necessarily those of the NHS, the NIHR or the Department of Health.</w:t>
      </w:r>
      <w:r>
        <w:t xml:space="preserve"> I. Hall</w:t>
      </w:r>
      <w:r w:rsidRPr="00EF5E9A">
        <w:t>: The research was partially supported by the NIHR Nottingham Biomedical Research Centre; the views expressed are those of the author(s) and not necessarily those of the NHS, the NIHR or the Department of Health.</w:t>
      </w:r>
      <w:r>
        <w:t xml:space="preserve"> </w:t>
      </w:r>
      <w:r w:rsidRPr="00EE3418">
        <w:t xml:space="preserve">This research used the ALICE </w:t>
      </w:r>
      <w:r>
        <w:t xml:space="preserve">and SPECTRE </w:t>
      </w:r>
      <w:r w:rsidRPr="00EE3418">
        <w:t>Hig</w:t>
      </w:r>
      <w:r>
        <w:t>h Performance Computing Facilities</w:t>
      </w:r>
      <w:r w:rsidRPr="00EE3418">
        <w:t xml:space="preserve"> at the University of Leicester</w:t>
      </w:r>
      <w:r>
        <w:t xml:space="preserve">. </w:t>
      </w:r>
      <w:r w:rsidRPr="00212814">
        <w:rPr>
          <w:rFonts w:cs="Minion Pro"/>
          <w:color w:val="000000"/>
        </w:rPr>
        <w:t xml:space="preserve">Additional acknowledgments and funding details </w:t>
      </w:r>
      <w:r>
        <w:rPr>
          <w:rFonts w:cs="Minion Pro"/>
          <w:color w:val="000000"/>
        </w:rPr>
        <w:t xml:space="preserve">for other co-authors and contributing studies (including the SpiroMeta consortium) </w:t>
      </w:r>
      <w:r w:rsidRPr="00212814">
        <w:rPr>
          <w:rFonts w:cs="Minion Pro"/>
          <w:color w:val="000000"/>
        </w:rPr>
        <w:t xml:space="preserve">can be found in the </w:t>
      </w:r>
      <w:r w:rsidRPr="00212814">
        <w:rPr>
          <w:rFonts w:cs="Minion Pro"/>
          <w:b/>
          <w:bCs/>
          <w:color w:val="000000"/>
        </w:rPr>
        <w:t>Supplementary Note</w:t>
      </w:r>
      <w:r>
        <w:rPr>
          <w:rFonts w:cs="Minion Pro"/>
          <w:b/>
          <w:bCs/>
          <w:color w:val="000000"/>
        </w:rPr>
        <w:t>.</w:t>
      </w:r>
    </w:p>
    <w:p w14:paraId="7778DE98" w14:textId="77777777" w:rsidR="00A81934" w:rsidRPr="00C24EB6" w:rsidRDefault="00A81934" w:rsidP="00EF6C4C">
      <w:pPr>
        <w:pStyle w:val="berschrift1"/>
      </w:pPr>
      <w:r>
        <w:t>Author</w:t>
      </w:r>
      <w:r w:rsidRPr="00C24EB6">
        <w:t xml:space="preserve"> contributions</w:t>
      </w:r>
    </w:p>
    <w:p w14:paraId="73007536" w14:textId="77777777" w:rsidR="00A81934" w:rsidRDefault="00A81934" w:rsidP="00EF6C4C">
      <w:r w:rsidRPr="00094CC4">
        <w:t>All authors critically reviewed the manuscript prior to submission.</w:t>
      </w:r>
    </w:p>
    <w:p w14:paraId="739D8C87" w14:textId="77777777" w:rsidR="00A81934" w:rsidRDefault="00A81934" w:rsidP="00EF6C4C">
      <w:r w:rsidRPr="00094CC4">
        <w:t>Contributed to the conception and design of the study: K.S., U.S.S.G., S.K., S.M.K., T.L., P.S.B., T.H.B., E.R.B., Y.B., Z.C., J.D.C., J.D., D.L.D., C.G., A.G., K.H., J.D.H., J.E.H., P.J., C.L., L.</w:t>
      </w:r>
      <w:r>
        <w:t xml:space="preserve"> </w:t>
      </w:r>
      <w:r w:rsidRPr="00094CC4">
        <w:t>Li, N.L., J.C.M., H.R., I.</w:t>
      </w:r>
      <w:r>
        <w:t xml:space="preserve"> </w:t>
      </w:r>
      <w:r w:rsidRPr="00094CC4">
        <w:t>Sayers, D.D.S., R.T-S., J.C.W., P.G.W., L.M.Y., O.T.R., M.K., O.P., U.G., I.R., I.J.D., N.M.P., H.S., A.L.J., J.F.W., E.Z., M.J., N.W., A.S.B., R.A.S., D.A.M., M.H.C.,</w:t>
      </w:r>
      <w:r>
        <w:t xml:space="preserve"> D.P.S., I.P.H., M.D.T., L.V.W.</w:t>
      </w:r>
    </w:p>
    <w:p w14:paraId="7E25173E" w14:textId="77777777" w:rsidR="00A81934" w:rsidRDefault="00A81934" w:rsidP="00EF6C4C">
      <w:r w:rsidRPr="00094CC4">
        <w:t>Undertook data analysis: N.S., A.L.G., A.M.E., V.E.J., B.D.H., C.A.M., C.</w:t>
      </w:r>
      <w:r>
        <w:t xml:space="preserve"> </w:t>
      </w:r>
      <w:r w:rsidRPr="00094CC4">
        <w:t>Batini, K.A.F., K.S., P.S., Xingnan Li, R.B., N.F.R., M.O., J.</w:t>
      </w:r>
      <w:r>
        <w:t xml:space="preserve"> </w:t>
      </w:r>
      <w:r w:rsidRPr="00094CC4">
        <w:t>Zhao, M.W., S.W., K.A.K., J.P.C., B.B.S., J.</w:t>
      </w:r>
      <w:r>
        <w:t xml:space="preserve"> </w:t>
      </w:r>
      <w:r w:rsidRPr="00094CC4">
        <w:t>Zhou, J.H., M.I., S.E.H., J.M., S.E., I.</w:t>
      </w:r>
      <w:r>
        <w:t xml:space="preserve"> </w:t>
      </w:r>
      <w:r w:rsidRPr="00094CC4">
        <w:t>Surakka, V.V., T.L., R.J.A., F.D., J.D.H., P.K.J., Xuan Li, A.</w:t>
      </w:r>
      <w:r>
        <w:t xml:space="preserve"> </w:t>
      </w:r>
      <w:r w:rsidRPr="00094CC4">
        <w:t>Mahajan, J.C.M., D.C.N., M.M.P., D.P., D.Q., R.R., H.R., D.S., P.R.H.J.T., M.V., L.M.Y., O.G.T., N.M.P., N.W., E.K.S., C.H., A.P.M., A.S.B., R.A.S., M.H.C., D.</w:t>
      </w:r>
      <w:r>
        <w:t>P.S., M.D.T., L.V.W.</w:t>
      </w:r>
    </w:p>
    <w:p w14:paraId="5276D904" w14:textId="77777777" w:rsidR="003C578A" w:rsidRDefault="00A81934" w:rsidP="00EF6C4C">
      <w:r w:rsidRPr="00094CC4">
        <w:t>Contributed to data acquisition and/or interpretation: N.S., A.L.G., A.M.E., V.E.J., C.A.M., C.</w:t>
      </w:r>
      <w:r>
        <w:t xml:space="preserve"> </w:t>
      </w:r>
      <w:r w:rsidRPr="00094CC4">
        <w:t>Batini, K.A.F., K.S., P.S., Xingnan Li, N.F.R., M.O., M.W., K.A.K., B.B.S., S.K., M.I., R.J.A., C.</w:t>
      </w:r>
      <w:r>
        <w:t xml:space="preserve"> </w:t>
      </w:r>
      <w:r w:rsidRPr="00094CC4">
        <w:t>Brandsma, J.D., F.D., R.E., C.G., A.G., A.L.H., J.D.H., G.H., P.K.J., C.L., Xuan Li, K.L., L.</w:t>
      </w:r>
      <w:r>
        <w:t xml:space="preserve"> </w:t>
      </w:r>
      <w:r w:rsidRPr="00094CC4">
        <w:t>Lind, J.L., J.C.M., A.</w:t>
      </w:r>
      <w:r>
        <w:t xml:space="preserve"> </w:t>
      </w:r>
      <w:r w:rsidRPr="00094CC4">
        <w:t>Murray, R.P., M.M.P., M.L.P., D.J.P., D.P., D.Q., R.R., H.R., I.</w:t>
      </w:r>
      <w:r>
        <w:t xml:space="preserve"> </w:t>
      </w:r>
      <w:r w:rsidRPr="00094CC4">
        <w:t>Sayers, B.H.S., M.S., L.M.Y., O.G.T., N.M.P., H.S., J.F.W., B.S., M.J., N.W., C.H., A.P.M., A.S.B., R.A.S., R.G.W., M.H.C.,</w:t>
      </w:r>
      <w:r w:rsidR="003C578A">
        <w:t xml:space="preserve"> D.P.S., I.P.H., M.D.T., L.V.W.</w:t>
      </w:r>
    </w:p>
    <w:p w14:paraId="6FF99DA2" w14:textId="347045BF" w:rsidR="00A81934" w:rsidRDefault="00A81934" w:rsidP="00EF6C4C">
      <w:pPr>
        <w:rPr>
          <w:b/>
        </w:rPr>
      </w:pPr>
      <w:r w:rsidRPr="00094CC4">
        <w:t xml:space="preserve">Drafted the manuscript: N.S., A.L.G., A.M.E., I.P.H., M.D.T., L.V.W. </w:t>
      </w:r>
      <w:r w:rsidRPr="00370C3D">
        <w:t xml:space="preserve"> </w:t>
      </w:r>
    </w:p>
    <w:p w14:paraId="56213049" w14:textId="77777777" w:rsidR="00A81934" w:rsidRPr="00C24EB6" w:rsidRDefault="00A81934" w:rsidP="00EF6C4C">
      <w:pPr>
        <w:pStyle w:val="berschrift1"/>
      </w:pPr>
      <w:r>
        <w:t>Competing Interests Statement</w:t>
      </w:r>
    </w:p>
    <w:p w14:paraId="524631AB" w14:textId="77777777" w:rsidR="00A81934" w:rsidRDefault="00A81934" w:rsidP="00EF6C4C">
      <w:r>
        <w:t>The following authors report potential conflicts of interest:</w:t>
      </w:r>
    </w:p>
    <w:p w14:paraId="69EC3C18" w14:textId="77777777" w:rsidR="00A81934" w:rsidRDefault="00A81934" w:rsidP="00EF6C4C"/>
    <w:p w14:paraId="26CA4FCB" w14:textId="77777777" w:rsidR="00A81934" w:rsidRPr="006C6F65" w:rsidRDefault="00A81934" w:rsidP="00EF6C4C">
      <w:r w:rsidRPr="006C6F65">
        <w:t>K. Song: Kijoung Song is an employee of GlaxoSmithKline and may own company stock.</w:t>
      </w:r>
    </w:p>
    <w:p w14:paraId="3A63E7E0" w14:textId="77777777" w:rsidR="00A81934" w:rsidRPr="006C6F65" w:rsidRDefault="00A81934" w:rsidP="00EF6C4C">
      <w:pPr>
        <w:rPr>
          <w:b/>
        </w:rPr>
      </w:pPr>
    </w:p>
    <w:p w14:paraId="25C36101" w14:textId="77777777" w:rsidR="00A81934" w:rsidRPr="006C6F65" w:rsidRDefault="00A81934" w:rsidP="00EF6C4C">
      <w:r w:rsidRPr="006C6F65">
        <w:t>Z. Chen: reports grants from GSK and Merck.</w:t>
      </w:r>
    </w:p>
    <w:p w14:paraId="536D3B07" w14:textId="77777777" w:rsidR="00A81934" w:rsidRPr="006C6F65" w:rsidRDefault="00A81934" w:rsidP="00EF6C4C">
      <w:pPr>
        <w:rPr>
          <w:b/>
        </w:rPr>
      </w:pPr>
    </w:p>
    <w:p w14:paraId="207E6951" w14:textId="77777777" w:rsidR="00A81934" w:rsidRPr="006C6F65" w:rsidRDefault="00A81934" w:rsidP="00EF6C4C">
      <w:r w:rsidRPr="006C6F65">
        <w:t>J. Danesh: John Danesh reports personal fees and non-financial support from Merck Sharp &amp; Dohme (MSD) and Novartis, and grants from British Heart Foundation, European Research Council, MSD, NIHR, NHS Blood and Transplant, Novartis, Pfizer, UK MRC, Wellcome Trust, and AstraZeneca.</w:t>
      </w:r>
    </w:p>
    <w:p w14:paraId="2C9AFFE0" w14:textId="77777777" w:rsidR="00A81934" w:rsidRPr="006C6F65" w:rsidRDefault="00A81934" w:rsidP="00EF6C4C">
      <w:pPr>
        <w:rPr>
          <w:b/>
        </w:rPr>
      </w:pPr>
    </w:p>
    <w:p w14:paraId="5156F7BC" w14:textId="77777777" w:rsidR="00A81934" w:rsidRPr="006C6F65" w:rsidRDefault="00A81934" w:rsidP="00B41AE6">
      <w:r w:rsidRPr="006C6F65">
        <w:t>J. Hoffman: Joshua D. Hoffman is an employee of GlaxoSmithKline and may own company stock.</w:t>
      </w:r>
    </w:p>
    <w:p w14:paraId="106ACC74" w14:textId="77777777" w:rsidR="00A81934" w:rsidRPr="006C6F65" w:rsidRDefault="00A81934" w:rsidP="00EF6C4C"/>
    <w:p w14:paraId="6C3239DB" w14:textId="77777777" w:rsidR="00A81934" w:rsidRPr="006C6F65" w:rsidRDefault="00A81934" w:rsidP="00EF6C4C">
      <w:r w:rsidRPr="006C6F65">
        <w:t>N. Locantore: Nicholas Locantore is an employee and shareholder of GSK.</w:t>
      </w:r>
    </w:p>
    <w:p w14:paraId="5DE27DD8" w14:textId="77777777" w:rsidR="00A81934" w:rsidRPr="006C6F65" w:rsidRDefault="00A81934" w:rsidP="00EF6C4C">
      <w:pPr>
        <w:rPr>
          <w:b/>
        </w:rPr>
      </w:pPr>
    </w:p>
    <w:p w14:paraId="5502A7E7" w14:textId="77777777" w:rsidR="00A81934" w:rsidRPr="006C6F65" w:rsidRDefault="00A81934" w:rsidP="00B41AE6">
      <w:r w:rsidRPr="006C6F65">
        <w:t>J. Maranville: Joseph C. Maranville was a Merck employee during this study, and is now a Celgene employee.</w:t>
      </w:r>
    </w:p>
    <w:p w14:paraId="61F019FD" w14:textId="77777777" w:rsidR="00A81934" w:rsidRPr="006C6F65" w:rsidRDefault="00A81934" w:rsidP="00EF6C4C">
      <w:pPr>
        <w:rPr>
          <w:b/>
        </w:rPr>
      </w:pPr>
    </w:p>
    <w:p w14:paraId="5321ED47" w14:textId="77777777" w:rsidR="00A81934" w:rsidRPr="006C6F65" w:rsidRDefault="00A81934" w:rsidP="00EF6C4C">
      <w:r w:rsidRPr="006C6F65">
        <w:t>D. Nickle: David C Nickle has been a Merck &amp; Co. employee during this study and is now an employee at Biogen Inc.</w:t>
      </w:r>
    </w:p>
    <w:p w14:paraId="5798ABFC" w14:textId="77777777" w:rsidR="00A81934" w:rsidRPr="006C6F65" w:rsidRDefault="00A81934" w:rsidP="00EF6C4C">
      <w:pPr>
        <w:rPr>
          <w:b/>
        </w:rPr>
      </w:pPr>
    </w:p>
    <w:p w14:paraId="170AD1AB" w14:textId="77777777" w:rsidR="00A81934" w:rsidRPr="006C6F65" w:rsidRDefault="00A81934" w:rsidP="00EF6C4C">
      <w:r w:rsidRPr="006C6F65">
        <w:t>H. Runz: Heiko Runz has been a Merck &amp; Co. employee during this study and is now an employee at Biogen Inc.</w:t>
      </w:r>
    </w:p>
    <w:p w14:paraId="151A4EE9" w14:textId="77777777" w:rsidR="00A81934" w:rsidRPr="006C6F65" w:rsidRDefault="00A81934" w:rsidP="00EF6C4C">
      <w:pPr>
        <w:rPr>
          <w:b/>
        </w:rPr>
      </w:pPr>
    </w:p>
    <w:p w14:paraId="2D52068E" w14:textId="77777777" w:rsidR="00A81934" w:rsidRPr="006C6F65" w:rsidRDefault="00A81934" w:rsidP="00EF6C4C">
      <w:r w:rsidRPr="006C6F65">
        <w:t>I. Sayers: Ian Sayers has received support from GSK and BI.</w:t>
      </w:r>
    </w:p>
    <w:p w14:paraId="3ED23B1F" w14:textId="77777777" w:rsidR="00A81934" w:rsidRPr="006C6F65" w:rsidRDefault="00A81934" w:rsidP="00EF6C4C">
      <w:pPr>
        <w:rPr>
          <w:b/>
        </w:rPr>
      </w:pPr>
    </w:p>
    <w:p w14:paraId="2232DD52" w14:textId="77777777" w:rsidR="00A81934" w:rsidRPr="006C6F65" w:rsidRDefault="00A81934" w:rsidP="00EF6C4C">
      <w:r w:rsidRPr="006C6F65">
        <w:t>R. Tal-Singer: Ruth Tal-Singer is an employee and shareholder of GlaxoSmithKline.</w:t>
      </w:r>
    </w:p>
    <w:p w14:paraId="14614A17" w14:textId="77777777" w:rsidR="00A81934" w:rsidRPr="006C6F65" w:rsidRDefault="00A81934" w:rsidP="00EF6C4C">
      <w:pPr>
        <w:rPr>
          <w:b/>
        </w:rPr>
      </w:pPr>
    </w:p>
    <w:p w14:paraId="736409C7" w14:textId="77777777" w:rsidR="00A81934" w:rsidRPr="006C6F65" w:rsidRDefault="00A81934" w:rsidP="00EF6C4C">
      <w:r w:rsidRPr="006C6F65">
        <w:t>M. van den Berge: Maarten van den Berge reports grants paid to the University from Astra Zeneca, TEVA, GSK, Chiesi, outside the submitted work.</w:t>
      </w:r>
    </w:p>
    <w:p w14:paraId="5FD804B0" w14:textId="77777777" w:rsidR="00A81934" w:rsidRPr="006C6F65" w:rsidRDefault="00A81934" w:rsidP="00EF6C4C">
      <w:pPr>
        <w:rPr>
          <w:b/>
        </w:rPr>
      </w:pPr>
    </w:p>
    <w:p w14:paraId="7D38B544" w14:textId="77777777" w:rsidR="00A81934" w:rsidRPr="006C6F65" w:rsidRDefault="00A81934" w:rsidP="00EF6C4C">
      <w:r w:rsidRPr="006C6F65">
        <w:t>J. Whittaker: John C. Whittaker is an employee of GlaxoSmithKline and may own company stock.</w:t>
      </w:r>
    </w:p>
    <w:p w14:paraId="038EF009" w14:textId="77777777" w:rsidR="00A81934" w:rsidRPr="006C6F65" w:rsidRDefault="00A81934" w:rsidP="00EF6C4C">
      <w:pPr>
        <w:rPr>
          <w:b/>
        </w:rPr>
      </w:pPr>
    </w:p>
    <w:p w14:paraId="1D9B4657" w14:textId="77777777" w:rsidR="00A81934" w:rsidRPr="006C6F65" w:rsidRDefault="00A81934" w:rsidP="00EF6C4C">
      <w:r w:rsidRPr="006C6F65">
        <w:t>L. Yerges-Armstrong: Laura M. Yerges-Armstrong is an employee of GlaxoSmithKline and may own company stock.</w:t>
      </w:r>
    </w:p>
    <w:p w14:paraId="68E62C81" w14:textId="77777777" w:rsidR="00A81934" w:rsidRPr="006C6F65" w:rsidRDefault="00A81934" w:rsidP="00EF6C4C">
      <w:pPr>
        <w:rPr>
          <w:b/>
        </w:rPr>
      </w:pPr>
    </w:p>
    <w:p w14:paraId="614633D8" w14:textId="77777777" w:rsidR="00A81934" w:rsidRPr="006C6F65" w:rsidRDefault="00A81934" w:rsidP="00EF6C4C">
      <w:r w:rsidRPr="006C6F65">
        <w:t>H. Schulz: Helmholtz Center Munich funded by the German Federal Ministry of Education and Research (BMBF) and by the State of Bavaria, Competence Network Asthma and COPD (ASCONET), network COSYCONET (subproject 2, BMBF FKZ 01GI0882) funded by the German Federal Ministry of Education and Research (BMBF)</w:t>
      </w:r>
    </w:p>
    <w:p w14:paraId="5D3FBD49" w14:textId="77777777" w:rsidR="00A81934" w:rsidRPr="006C6F65" w:rsidRDefault="00A81934" w:rsidP="00EF6C4C">
      <w:pPr>
        <w:rPr>
          <w:b/>
        </w:rPr>
      </w:pPr>
    </w:p>
    <w:p w14:paraId="714D6EDC" w14:textId="77777777" w:rsidR="00A81934" w:rsidRPr="006C6F65" w:rsidRDefault="00A81934" w:rsidP="00EF6C4C">
      <w:r w:rsidRPr="006C6F65">
        <w:t>E. Silverman: In the past three years, Edwin K. Silverman received honoraria from Novartis for Continuing Medical Education Seminars and grant and travel support from GlaxoSmithKline.</w:t>
      </w:r>
    </w:p>
    <w:p w14:paraId="42A2E9DA" w14:textId="77777777" w:rsidR="00A81934" w:rsidRPr="006C6F65" w:rsidRDefault="00A81934" w:rsidP="00EF6C4C">
      <w:pPr>
        <w:rPr>
          <w:b/>
        </w:rPr>
      </w:pPr>
    </w:p>
    <w:p w14:paraId="7EF23AD1" w14:textId="77777777" w:rsidR="00A81934" w:rsidRPr="006C6F65" w:rsidRDefault="00A81934" w:rsidP="00EF6C4C">
      <w:r w:rsidRPr="006C6F65">
        <w:t>A. Butterworth: Adam S. Butterworth reports grants from Merck, Pfizer, Novartis, Biogen and AstraZeneca and personal fees from Novartis.</w:t>
      </w:r>
    </w:p>
    <w:p w14:paraId="2DC74FF9" w14:textId="77777777" w:rsidR="00A81934" w:rsidRPr="006C6F65" w:rsidRDefault="00A81934" w:rsidP="00EF6C4C">
      <w:pPr>
        <w:rPr>
          <w:b/>
        </w:rPr>
      </w:pPr>
    </w:p>
    <w:p w14:paraId="5253DA99" w14:textId="77777777" w:rsidR="00A81934" w:rsidRPr="006C6F65" w:rsidRDefault="00A81934" w:rsidP="00EF6C4C">
      <w:r w:rsidRPr="006C6F65">
        <w:t>R. Scott: Robert A Scott is an employee and shareholder in GlaxoSmithKline.</w:t>
      </w:r>
    </w:p>
    <w:p w14:paraId="75F602EF" w14:textId="77777777" w:rsidR="00A81934" w:rsidRPr="006C6F65" w:rsidRDefault="00A81934" w:rsidP="00EF6C4C">
      <w:pPr>
        <w:rPr>
          <w:b/>
        </w:rPr>
      </w:pPr>
    </w:p>
    <w:p w14:paraId="79DB857B" w14:textId="77777777" w:rsidR="00A81934" w:rsidRPr="006C6F65" w:rsidRDefault="00A81934" w:rsidP="00EF6C4C">
      <w:r w:rsidRPr="006C6F65">
        <w:t>R. Walters: Robin G. Walters reports that the China Kadoorie Biobank study has received grant support from GSK.</w:t>
      </w:r>
    </w:p>
    <w:p w14:paraId="759CA6DB" w14:textId="77777777" w:rsidR="00A81934" w:rsidRPr="006C6F65" w:rsidRDefault="00A81934" w:rsidP="00EF6C4C">
      <w:pPr>
        <w:rPr>
          <w:b/>
        </w:rPr>
      </w:pPr>
    </w:p>
    <w:p w14:paraId="15BA2469" w14:textId="77777777" w:rsidR="00A81934" w:rsidRPr="006C6F65" w:rsidRDefault="00A81934" w:rsidP="00EF6C4C">
      <w:r w:rsidRPr="006C6F65">
        <w:lastRenderedPageBreak/>
        <w:t>M. Cho: Michael H. Cho has received grant support from GSK.</w:t>
      </w:r>
    </w:p>
    <w:p w14:paraId="21138592" w14:textId="77777777" w:rsidR="00A81934" w:rsidRPr="006C6F65" w:rsidRDefault="00A81934" w:rsidP="00EF6C4C">
      <w:pPr>
        <w:rPr>
          <w:b/>
        </w:rPr>
      </w:pPr>
    </w:p>
    <w:p w14:paraId="04F7F913" w14:textId="77777777" w:rsidR="00A81934" w:rsidRPr="006C6F65" w:rsidRDefault="00A81934" w:rsidP="00EF6C4C">
      <w:r w:rsidRPr="006C6F65">
        <w:t>I. Hall: Ian P. Hall has funded research collaborations with GSK, Boehringer Ingelheim and Orion.</w:t>
      </w:r>
    </w:p>
    <w:p w14:paraId="381B08DF" w14:textId="77777777" w:rsidR="00A81934" w:rsidRPr="006C6F65" w:rsidRDefault="00A81934" w:rsidP="00EF6C4C">
      <w:pPr>
        <w:rPr>
          <w:b/>
        </w:rPr>
      </w:pPr>
    </w:p>
    <w:p w14:paraId="00302AFB" w14:textId="77777777" w:rsidR="00A81934" w:rsidRPr="006C6F65" w:rsidRDefault="00A81934" w:rsidP="00EF6C4C">
      <w:r w:rsidRPr="006C6F65">
        <w:t>M. Tobin: Martin D. Tobin receives funding from GSK for a collaborative research project, outside of the submitted work.</w:t>
      </w:r>
    </w:p>
    <w:p w14:paraId="52ED9C19" w14:textId="77777777" w:rsidR="00A81934" w:rsidRPr="006C6F65" w:rsidRDefault="00A81934" w:rsidP="00EF6C4C">
      <w:pPr>
        <w:rPr>
          <w:b/>
        </w:rPr>
      </w:pPr>
    </w:p>
    <w:p w14:paraId="008A5EC7" w14:textId="77777777" w:rsidR="00A81934" w:rsidRPr="006C6F65" w:rsidRDefault="00A81934" w:rsidP="00EF6C4C">
      <w:r w:rsidRPr="006C6F65">
        <w:t>L. Wain: Louise V. Wain receives funding from GSK for a collaborative research project, outside of the submitted work.</w:t>
      </w:r>
    </w:p>
    <w:p w14:paraId="5762A52D" w14:textId="77777777" w:rsidR="00A81934" w:rsidRDefault="00A81934" w:rsidP="00EF6C4C">
      <w:pPr>
        <w:pStyle w:val="berschrift1"/>
      </w:pPr>
      <w:r>
        <w:t>References</w:t>
      </w:r>
    </w:p>
    <w:p w14:paraId="7E67819E" w14:textId="77777777" w:rsidR="00A81934" w:rsidRPr="00E16407" w:rsidRDefault="00A81934" w:rsidP="00EF6C4C">
      <w:pPr>
        <w:pStyle w:val="EndNoteBibliography"/>
        <w:spacing w:after="0"/>
        <w:ind w:left="720" w:hanging="720"/>
      </w:pPr>
      <w:bookmarkStart w:id="9" w:name="_ENREF_1"/>
      <w:r w:rsidRPr="00E16407">
        <w:t>1.</w:t>
      </w:r>
      <w:r w:rsidRPr="00E16407">
        <w:tab/>
        <w:t xml:space="preserve">Young, R.P., Hopkins, R. &amp; Eaton, T.E. Forced expiratory volume in one second: not just a lung function test but a marker of premature death from all causes. </w:t>
      </w:r>
      <w:r w:rsidRPr="00E16407">
        <w:rPr>
          <w:i/>
        </w:rPr>
        <w:t>Eur Respir J</w:t>
      </w:r>
      <w:r w:rsidRPr="00E16407">
        <w:t xml:space="preserve"> </w:t>
      </w:r>
      <w:r w:rsidRPr="00E16407">
        <w:rPr>
          <w:b/>
        </w:rPr>
        <w:t>30</w:t>
      </w:r>
      <w:r w:rsidRPr="00E16407">
        <w:t>, 616-22 (2007).</w:t>
      </w:r>
      <w:bookmarkEnd w:id="9"/>
    </w:p>
    <w:p w14:paraId="63E480A2" w14:textId="77777777" w:rsidR="00A81934" w:rsidRPr="00E16407" w:rsidRDefault="00A81934" w:rsidP="00EF6C4C">
      <w:pPr>
        <w:pStyle w:val="EndNoteBibliography"/>
        <w:spacing w:after="0"/>
        <w:ind w:left="720" w:hanging="720"/>
      </w:pPr>
      <w:bookmarkStart w:id="10" w:name="_ENREF_2"/>
      <w:r w:rsidRPr="00E16407">
        <w:t>2.</w:t>
      </w:r>
      <w:r w:rsidRPr="00E16407">
        <w:tab/>
        <w:t xml:space="preserve">Global, regional, and national age-sex specific mortality for 264 causes of death, 1980-2016: a systematic analysis for the Global Burden of Disease Study 2016. </w:t>
      </w:r>
      <w:r w:rsidRPr="00E16407">
        <w:rPr>
          <w:i/>
        </w:rPr>
        <w:t>Lancet</w:t>
      </w:r>
      <w:r w:rsidRPr="00E16407">
        <w:t xml:space="preserve"> </w:t>
      </w:r>
      <w:r w:rsidRPr="00E16407">
        <w:rPr>
          <w:b/>
        </w:rPr>
        <w:t>390</w:t>
      </w:r>
      <w:r w:rsidRPr="00E16407">
        <w:t>, 1151-1210 (2017).</w:t>
      </w:r>
      <w:bookmarkEnd w:id="10"/>
    </w:p>
    <w:p w14:paraId="5027B8F7" w14:textId="77777777" w:rsidR="00A81934" w:rsidRPr="00E16407" w:rsidRDefault="00A81934" w:rsidP="00EF6C4C">
      <w:pPr>
        <w:pStyle w:val="EndNoteBibliography"/>
        <w:spacing w:after="0"/>
        <w:ind w:left="720" w:hanging="720"/>
      </w:pPr>
      <w:bookmarkStart w:id="11" w:name="_ENREF_3"/>
      <w:r w:rsidRPr="00E16407">
        <w:t>3.</w:t>
      </w:r>
      <w:r w:rsidRPr="00E16407">
        <w:tab/>
        <w:t xml:space="preserve">Global, regional, and national incidence, prevalence, and years lived with disability for 328 diseases and injuries for 195 countries, 1990-2016: a systematic analysis for the Global Burden of Disease Study 2016. </w:t>
      </w:r>
      <w:r w:rsidRPr="00E16407">
        <w:rPr>
          <w:i/>
        </w:rPr>
        <w:t>Lancet</w:t>
      </w:r>
      <w:r w:rsidRPr="00E16407">
        <w:t xml:space="preserve"> </w:t>
      </w:r>
      <w:r w:rsidRPr="00E16407">
        <w:rPr>
          <w:b/>
        </w:rPr>
        <w:t>390</w:t>
      </w:r>
      <w:r w:rsidRPr="00E16407">
        <w:t>, 1211-1259 (2017).</w:t>
      </w:r>
      <w:bookmarkEnd w:id="11"/>
    </w:p>
    <w:p w14:paraId="1EEFCE13" w14:textId="77777777" w:rsidR="00A81934" w:rsidRPr="00E16407" w:rsidRDefault="00A81934" w:rsidP="00EF6C4C">
      <w:pPr>
        <w:pStyle w:val="EndNoteBibliography"/>
        <w:spacing w:after="0"/>
        <w:ind w:left="720" w:hanging="720"/>
      </w:pPr>
      <w:bookmarkStart w:id="12" w:name="_ENREF_4"/>
      <w:r w:rsidRPr="00E16407">
        <w:t>4.</w:t>
      </w:r>
      <w:r w:rsidRPr="00E16407">
        <w:tab/>
        <w:t>Hobbs, B.D.</w:t>
      </w:r>
      <w:r w:rsidRPr="00E16407">
        <w:rPr>
          <w:i/>
        </w:rPr>
        <w:t xml:space="preserve"> et al.</w:t>
      </w:r>
      <w:r w:rsidRPr="00E16407">
        <w:t xml:space="preserve"> Genetic loci associated with chronic obstructive pulmonary disease overlap with loci for lung function and pulmonary fibrosis. </w:t>
      </w:r>
      <w:r w:rsidRPr="00E16407">
        <w:rPr>
          <w:i/>
        </w:rPr>
        <w:t>Nat Genet</w:t>
      </w:r>
      <w:r w:rsidRPr="00E16407">
        <w:t xml:space="preserve"> </w:t>
      </w:r>
      <w:r w:rsidRPr="00E16407">
        <w:rPr>
          <w:b/>
        </w:rPr>
        <w:t>49</w:t>
      </w:r>
      <w:r w:rsidRPr="00E16407">
        <w:t>, 426-432 (2017).</w:t>
      </w:r>
      <w:bookmarkEnd w:id="12"/>
    </w:p>
    <w:p w14:paraId="70C1696B" w14:textId="77777777" w:rsidR="00A81934" w:rsidRPr="00E16407" w:rsidRDefault="00A81934" w:rsidP="00EF6C4C">
      <w:pPr>
        <w:pStyle w:val="EndNoteBibliography"/>
        <w:spacing w:after="0"/>
        <w:ind w:left="720" w:hanging="720"/>
      </w:pPr>
      <w:bookmarkStart w:id="13" w:name="_ENREF_5"/>
      <w:r w:rsidRPr="00E16407">
        <w:t>5.</w:t>
      </w:r>
      <w:r w:rsidRPr="00E16407">
        <w:tab/>
        <w:t xml:space="preserve">Salvi, S.S. &amp; Barnes, P.J. Chronic obstructive pulmonary disease in non-smokers. </w:t>
      </w:r>
      <w:r w:rsidRPr="00E16407">
        <w:rPr>
          <w:i/>
        </w:rPr>
        <w:t>Lancet</w:t>
      </w:r>
      <w:r w:rsidRPr="00E16407">
        <w:t xml:space="preserve"> </w:t>
      </w:r>
      <w:r w:rsidRPr="00E16407">
        <w:rPr>
          <w:b/>
        </w:rPr>
        <w:t>374</w:t>
      </w:r>
      <w:r w:rsidRPr="00E16407">
        <w:t>, 733-43 (2009).</w:t>
      </w:r>
      <w:bookmarkEnd w:id="13"/>
    </w:p>
    <w:p w14:paraId="46F628C1" w14:textId="77777777" w:rsidR="00A81934" w:rsidRPr="00E16407" w:rsidRDefault="00A81934" w:rsidP="00EF6C4C">
      <w:pPr>
        <w:pStyle w:val="EndNoteBibliography"/>
        <w:spacing w:after="0"/>
        <w:ind w:left="720" w:hanging="720"/>
      </w:pPr>
      <w:bookmarkStart w:id="14" w:name="_ENREF_6"/>
      <w:r w:rsidRPr="00E16407">
        <w:t>6.</w:t>
      </w:r>
      <w:r w:rsidRPr="00E16407">
        <w:tab/>
        <w:t>Nelson, M.R.</w:t>
      </w:r>
      <w:r w:rsidRPr="00E16407">
        <w:rPr>
          <w:i/>
        </w:rPr>
        <w:t xml:space="preserve"> et al.</w:t>
      </w:r>
      <w:r w:rsidRPr="00E16407">
        <w:t xml:space="preserve"> The support of human genetic evidence for approved drug indications. </w:t>
      </w:r>
      <w:r w:rsidRPr="00E16407">
        <w:rPr>
          <w:i/>
        </w:rPr>
        <w:t>Nat Genet</w:t>
      </w:r>
      <w:r w:rsidRPr="00E16407">
        <w:t xml:space="preserve"> </w:t>
      </w:r>
      <w:r w:rsidRPr="00E16407">
        <w:rPr>
          <w:b/>
        </w:rPr>
        <w:t>47</w:t>
      </w:r>
      <w:r w:rsidRPr="00E16407">
        <w:t>, 856-60 (2015).</w:t>
      </w:r>
      <w:bookmarkEnd w:id="14"/>
    </w:p>
    <w:p w14:paraId="6C8649C1" w14:textId="77777777" w:rsidR="00A81934" w:rsidRPr="00E16407" w:rsidRDefault="00A81934" w:rsidP="00EF6C4C">
      <w:pPr>
        <w:pStyle w:val="EndNoteBibliography"/>
        <w:spacing w:after="0"/>
        <w:ind w:left="720" w:hanging="720"/>
      </w:pPr>
      <w:bookmarkStart w:id="15" w:name="_ENREF_7"/>
      <w:r w:rsidRPr="00E16407">
        <w:t>7.</w:t>
      </w:r>
      <w:r w:rsidRPr="00E16407">
        <w:tab/>
        <w:t>Wilk, J.B.</w:t>
      </w:r>
      <w:r w:rsidRPr="00E16407">
        <w:rPr>
          <w:i/>
        </w:rPr>
        <w:t xml:space="preserve"> et al.</w:t>
      </w:r>
      <w:r w:rsidRPr="00E16407">
        <w:t xml:space="preserve"> A genome-wide association study of pulmonary function measures in the Framingham Heart Study. </w:t>
      </w:r>
      <w:r w:rsidRPr="00E16407">
        <w:rPr>
          <w:i/>
        </w:rPr>
        <w:t>PLoS Genet</w:t>
      </w:r>
      <w:r w:rsidRPr="00E16407">
        <w:t xml:space="preserve"> </w:t>
      </w:r>
      <w:r w:rsidRPr="00E16407">
        <w:rPr>
          <w:b/>
        </w:rPr>
        <w:t>5</w:t>
      </w:r>
      <w:r w:rsidRPr="00E16407">
        <w:t>, e1000429 (2009).</w:t>
      </w:r>
      <w:bookmarkEnd w:id="15"/>
    </w:p>
    <w:p w14:paraId="76C8628D" w14:textId="77777777" w:rsidR="00A81934" w:rsidRPr="00E16407" w:rsidRDefault="00A81934" w:rsidP="00EF6C4C">
      <w:pPr>
        <w:pStyle w:val="EndNoteBibliography"/>
        <w:spacing w:after="0"/>
        <w:ind w:left="720" w:hanging="720"/>
      </w:pPr>
      <w:bookmarkStart w:id="16" w:name="_ENREF_8"/>
      <w:r w:rsidRPr="00E16407">
        <w:t>8.</w:t>
      </w:r>
      <w:r w:rsidRPr="00E16407">
        <w:tab/>
        <w:t>Repapi, E.</w:t>
      </w:r>
      <w:r w:rsidRPr="00E16407">
        <w:rPr>
          <w:i/>
        </w:rPr>
        <w:t xml:space="preserve"> et al.</w:t>
      </w:r>
      <w:r w:rsidRPr="00E16407">
        <w:t xml:space="preserve"> Genome-wide association study identifies five loci associated with lung function. </w:t>
      </w:r>
      <w:r w:rsidRPr="00E16407">
        <w:rPr>
          <w:i/>
        </w:rPr>
        <w:t>Nat Genet</w:t>
      </w:r>
      <w:r w:rsidRPr="00E16407">
        <w:t xml:space="preserve"> </w:t>
      </w:r>
      <w:r w:rsidRPr="00E16407">
        <w:rPr>
          <w:b/>
        </w:rPr>
        <w:t>42</w:t>
      </w:r>
      <w:r w:rsidRPr="00E16407">
        <w:t>, 36-44 (2010).</w:t>
      </w:r>
      <w:bookmarkEnd w:id="16"/>
    </w:p>
    <w:p w14:paraId="0079BBBB" w14:textId="77777777" w:rsidR="00A81934" w:rsidRPr="00E16407" w:rsidRDefault="00A81934" w:rsidP="00EF6C4C">
      <w:pPr>
        <w:pStyle w:val="EndNoteBibliography"/>
        <w:spacing w:after="0"/>
        <w:ind w:left="720" w:hanging="720"/>
      </w:pPr>
      <w:bookmarkStart w:id="17" w:name="_ENREF_9"/>
      <w:r w:rsidRPr="00E16407">
        <w:t>9.</w:t>
      </w:r>
      <w:r w:rsidRPr="00E16407">
        <w:tab/>
        <w:t>Hancock, D.B.</w:t>
      </w:r>
      <w:r w:rsidRPr="00E16407">
        <w:rPr>
          <w:i/>
        </w:rPr>
        <w:t xml:space="preserve"> et al.</w:t>
      </w:r>
      <w:r w:rsidRPr="00E16407">
        <w:t xml:space="preserve"> Meta-analyses of genome-wide association studies identify multiple loci associated with pulmonary function. </w:t>
      </w:r>
      <w:r w:rsidRPr="00E16407">
        <w:rPr>
          <w:i/>
        </w:rPr>
        <w:t>Nat Genet</w:t>
      </w:r>
      <w:r w:rsidRPr="00E16407">
        <w:t xml:space="preserve"> </w:t>
      </w:r>
      <w:r w:rsidRPr="00E16407">
        <w:rPr>
          <w:b/>
        </w:rPr>
        <w:t>42</w:t>
      </w:r>
      <w:r w:rsidRPr="00E16407">
        <w:t>, 45-52 (2010).</w:t>
      </w:r>
      <w:bookmarkEnd w:id="17"/>
    </w:p>
    <w:p w14:paraId="592395D3" w14:textId="77777777" w:rsidR="00A81934" w:rsidRPr="00E16407" w:rsidRDefault="00A81934" w:rsidP="00EF6C4C">
      <w:pPr>
        <w:pStyle w:val="EndNoteBibliography"/>
        <w:spacing w:after="0"/>
        <w:ind w:left="720" w:hanging="720"/>
      </w:pPr>
      <w:bookmarkStart w:id="18" w:name="_ENREF_10"/>
      <w:r w:rsidRPr="00E16407">
        <w:t>10.</w:t>
      </w:r>
      <w:r w:rsidRPr="00E16407">
        <w:tab/>
        <w:t>Soler Artigas, M.</w:t>
      </w:r>
      <w:r w:rsidRPr="00E16407">
        <w:rPr>
          <w:i/>
        </w:rPr>
        <w:t xml:space="preserve"> et al.</w:t>
      </w:r>
      <w:r w:rsidRPr="00E16407">
        <w:t xml:space="preserve"> Genome-wide association and large-scale follow up identifies 16 new loci influencing lung function. </w:t>
      </w:r>
      <w:r w:rsidRPr="00E16407">
        <w:rPr>
          <w:i/>
        </w:rPr>
        <w:t>Nat Genet</w:t>
      </w:r>
      <w:r w:rsidRPr="00E16407">
        <w:t xml:space="preserve"> </w:t>
      </w:r>
      <w:r w:rsidRPr="00E16407">
        <w:rPr>
          <w:b/>
        </w:rPr>
        <w:t>43</w:t>
      </w:r>
      <w:r w:rsidRPr="00E16407">
        <w:t>, 1082-90 (2011).</w:t>
      </w:r>
      <w:bookmarkEnd w:id="18"/>
    </w:p>
    <w:p w14:paraId="4537B5E4" w14:textId="77777777" w:rsidR="00A81934" w:rsidRPr="00E16407" w:rsidRDefault="00A81934" w:rsidP="00EF6C4C">
      <w:pPr>
        <w:pStyle w:val="EndNoteBibliography"/>
        <w:spacing w:after="0"/>
        <w:ind w:left="720" w:hanging="720"/>
      </w:pPr>
      <w:bookmarkStart w:id="19" w:name="_ENREF_11"/>
      <w:r w:rsidRPr="00E16407">
        <w:t>11.</w:t>
      </w:r>
      <w:r w:rsidRPr="00E16407">
        <w:tab/>
        <w:t>Cho, M.H.</w:t>
      </w:r>
      <w:r w:rsidRPr="00E16407">
        <w:rPr>
          <w:i/>
        </w:rPr>
        <w:t xml:space="preserve"> et al.</w:t>
      </w:r>
      <w:r w:rsidRPr="00E16407">
        <w:t xml:space="preserve"> A genome-wide association study of COPD identifies a susceptibility locus on chromosome 19q13. </w:t>
      </w:r>
      <w:r w:rsidRPr="00E16407">
        <w:rPr>
          <w:i/>
        </w:rPr>
        <w:t>Hum Mol Genet</w:t>
      </w:r>
      <w:r w:rsidRPr="00E16407">
        <w:t xml:space="preserve"> </w:t>
      </w:r>
      <w:r w:rsidRPr="00E16407">
        <w:rPr>
          <w:b/>
        </w:rPr>
        <w:t>21</w:t>
      </w:r>
      <w:r w:rsidRPr="00E16407">
        <w:t>, 947-57 (2012).</w:t>
      </w:r>
      <w:bookmarkEnd w:id="19"/>
    </w:p>
    <w:p w14:paraId="0549C2E6" w14:textId="77777777" w:rsidR="00A81934" w:rsidRPr="00E16407" w:rsidRDefault="00A81934" w:rsidP="00EF6C4C">
      <w:pPr>
        <w:pStyle w:val="EndNoteBibliography"/>
        <w:spacing w:after="0"/>
        <w:ind w:left="720" w:hanging="720"/>
      </w:pPr>
      <w:bookmarkStart w:id="20" w:name="_ENREF_12"/>
      <w:r w:rsidRPr="00E16407">
        <w:t>12.</w:t>
      </w:r>
      <w:r w:rsidRPr="00E16407">
        <w:tab/>
        <w:t>Loth, D.W.</w:t>
      </w:r>
      <w:r w:rsidRPr="00E16407">
        <w:rPr>
          <w:i/>
        </w:rPr>
        <w:t xml:space="preserve"> et al.</w:t>
      </w:r>
      <w:r w:rsidRPr="00E16407">
        <w:t xml:space="preserve"> Genome-wide association analysis identifies six new loci associated with forced vital capacity. </w:t>
      </w:r>
      <w:r w:rsidRPr="00E16407">
        <w:rPr>
          <w:b/>
        </w:rPr>
        <w:t>46</w:t>
      </w:r>
      <w:r w:rsidRPr="00E16407">
        <w:t>, 669-77 (2014).</w:t>
      </w:r>
      <w:bookmarkEnd w:id="20"/>
    </w:p>
    <w:p w14:paraId="79C6A793" w14:textId="77777777" w:rsidR="00A81934" w:rsidRPr="00E16407" w:rsidRDefault="00A81934" w:rsidP="00EF6C4C">
      <w:pPr>
        <w:pStyle w:val="EndNoteBibliography"/>
        <w:spacing w:after="0"/>
        <w:ind w:left="720" w:hanging="720"/>
      </w:pPr>
      <w:bookmarkStart w:id="21" w:name="_ENREF_13"/>
      <w:r w:rsidRPr="00E16407">
        <w:t>13.</w:t>
      </w:r>
      <w:r w:rsidRPr="00E16407">
        <w:tab/>
        <w:t>Wain, L.V.</w:t>
      </w:r>
      <w:r w:rsidRPr="00E16407">
        <w:rPr>
          <w:i/>
        </w:rPr>
        <w:t xml:space="preserve"> et al.</w:t>
      </w:r>
      <w:r w:rsidRPr="00E16407">
        <w:t xml:space="preserve"> Novel insights into the genetics of smoking behaviour, lung function, and chronic obstructive pulmonary disease (UK BiLEVE): a genetic association study in UK Biobank. </w:t>
      </w:r>
      <w:r w:rsidRPr="00E16407">
        <w:rPr>
          <w:i/>
        </w:rPr>
        <w:t>Lancet Respir Med</w:t>
      </w:r>
      <w:r w:rsidRPr="00E16407">
        <w:t xml:space="preserve"> </w:t>
      </w:r>
      <w:r w:rsidRPr="00E16407">
        <w:rPr>
          <w:b/>
        </w:rPr>
        <w:t>3</w:t>
      </w:r>
      <w:r w:rsidRPr="00E16407">
        <w:t>, 769-81 (2015).</w:t>
      </w:r>
      <w:bookmarkEnd w:id="21"/>
    </w:p>
    <w:p w14:paraId="5517B12E" w14:textId="77777777" w:rsidR="00A81934" w:rsidRPr="00E16407" w:rsidRDefault="00A81934" w:rsidP="00EF6C4C">
      <w:pPr>
        <w:pStyle w:val="EndNoteBibliography"/>
        <w:spacing w:after="0"/>
        <w:ind w:left="720" w:hanging="720"/>
      </w:pPr>
      <w:bookmarkStart w:id="22" w:name="_ENREF_14"/>
      <w:r w:rsidRPr="00E16407">
        <w:t>14.</w:t>
      </w:r>
      <w:r w:rsidRPr="00E16407">
        <w:tab/>
        <w:t>Lutz, S.M.</w:t>
      </w:r>
      <w:r w:rsidRPr="00E16407">
        <w:rPr>
          <w:i/>
        </w:rPr>
        <w:t xml:space="preserve"> et al.</w:t>
      </w:r>
      <w:r w:rsidRPr="00E16407">
        <w:t xml:space="preserve"> A genome-wide association study identifies risk loci for spirometric measures among smokers of European and African ancestry. </w:t>
      </w:r>
      <w:r w:rsidRPr="00E16407">
        <w:rPr>
          <w:i/>
        </w:rPr>
        <w:t>BMC Genet</w:t>
      </w:r>
      <w:r w:rsidRPr="00E16407">
        <w:t xml:space="preserve"> </w:t>
      </w:r>
      <w:r w:rsidRPr="00E16407">
        <w:rPr>
          <w:b/>
        </w:rPr>
        <w:t>16</w:t>
      </w:r>
      <w:r w:rsidRPr="00E16407">
        <w:t>, 138 (2015).</w:t>
      </w:r>
      <w:bookmarkEnd w:id="22"/>
    </w:p>
    <w:p w14:paraId="08F51871" w14:textId="77777777" w:rsidR="00A81934" w:rsidRPr="00E16407" w:rsidRDefault="00A81934" w:rsidP="00EF6C4C">
      <w:pPr>
        <w:pStyle w:val="EndNoteBibliography"/>
        <w:spacing w:after="0"/>
        <w:ind w:left="720" w:hanging="720"/>
      </w:pPr>
      <w:bookmarkStart w:id="23" w:name="_ENREF_15"/>
      <w:r w:rsidRPr="00E16407">
        <w:t>15.</w:t>
      </w:r>
      <w:r w:rsidRPr="00E16407">
        <w:tab/>
        <w:t>Soler Artigas, M.</w:t>
      </w:r>
      <w:r w:rsidRPr="00E16407">
        <w:rPr>
          <w:i/>
        </w:rPr>
        <w:t xml:space="preserve"> et al.</w:t>
      </w:r>
      <w:r w:rsidRPr="00E16407">
        <w:t xml:space="preserve"> Sixteen new lung function signals identified through 1000 Genomes Project reference panel imputation. </w:t>
      </w:r>
      <w:r w:rsidRPr="00E16407">
        <w:rPr>
          <w:i/>
        </w:rPr>
        <w:t>Nat Commun</w:t>
      </w:r>
      <w:r w:rsidRPr="00E16407">
        <w:t xml:space="preserve"> </w:t>
      </w:r>
      <w:r w:rsidRPr="00E16407">
        <w:rPr>
          <w:b/>
        </w:rPr>
        <w:t>6</w:t>
      </w:r>
      <w:r w:rsidRPr="00E16407">
        <w:t>, 8658 (2015).</w:t>
      </w:r>
      <w:bookmarkEnd w:id="23"/>
    </w:p>
    <w:p w14:paraId="3DB75BA7" w14:textId="77777777" w:rsidR="00A81934" w:rsidRPr="00E16407" w:rsidRDefault="00A81934" w:rsidP="00EF6C4C">
      <w:pPr>
        <w:pStyle w:val="EndNoteBibliography"/>
        <w:spacing w:after="0"/>
        <w:ind w:left="720" w:hanging="720"/>
      </w:pPr>
      <w:bookmarkStart w:id="24" w:name="_ENREF_16"/>
      <w:r w:rsidRPr="00E16407">
        <w:t>16.</w:t>
      </w:r>
      <w:r w:rsidRPr="00E16407">
        <w:tab/>
        <w:t>Hobbs, B.D.</w:t>
      </w:r>
      <w:r w:rsidRPr="00E16407">
        <w:rPr>
          <w:i/>
        </w:rPr>
        <w:t xml:space="preserve"> et al.</w:t>
      </w:r>
      <w:r w:rsidRPr="00E16407">
        <w:t xml:space="preserve"> Exome Array Analysis Identifies a Common Variant in IL27 Associated with Chronic Obstructive Pulmonary Disease. </w:t>
      </w:r>
      <w:r w:rsidRPr="00E16407">
        <w:rPr>
          <w:b/>
        </w:rPr>
        <w:t>194</w:t>
      </w:r>
      <w:r w:rsidRPr="00E16407">
        <w:t>, 48-57 (2016).</w:t>
      </w:r>
      <w:bookmarkEnd w:id="24"/>
    </w:p>
    <w:p w14:paraId="3E43DCC6" w14:textId="77777777" w:rsidR="00A81934" w:rsidRPr="00E16407" w:rsidRDefault="00A81934" w:rsidP="00EF6C4C">
      <w:pPr>
        <w:pStyle w:val="EndNoteBibliography"/>
        <w:spacing w:after="0"/>
        <w:ind w:left="720" w:hanging="720"/>
      </w:pPr>
      <w:bookmarkStart w:id="25" w:name="_ENREF_17"/>
      <w:r w:rsidRPr="00E16407">
        <w:lastRenderedPageBreak/>
        <w:t>17.</w:t>
      </w:r>
      <w:r w:rsidRPr="00E16407">
        <w:tab/>
        <w:t>Jackson, V.</w:t>
      </w:r>
      <w:r w:rsidRPr="00E16407">
        <w:rPr>
          <w:i/>
        </w:rPr>
        <w:t xml:space="preserve"> et al.</w:t>
      </w:r>
      <w:r w:rsidRPr="00E16407">
        <w:t xml:space="preserve"> Meta-analysis of exome array data identifies six novel genetic loci for lung function [version 3; referees: 2 approved]. </w:t>
      </w:r>
      <w:r w:rsidRPr="00E16407">
        <w:rPr>
          <w:i/>
        </w:rPr>
        <w:t>Wellcome Open Research</w:t>
      </w:r>
      <w:r w:rsidRPr="00E16407">
        <w:t xml:space="preserve"> </w:t>
      </w:r>
      <w:r w:rsidRPr="00E16407">
        <w:rPr>
          <w:b/>
        </w:rPr>
        <w:t>3</w:t>
      </w:r>
      <w:r w:rsidRPr="00E16407">
        <w:t>(2018).</w:t>
      </w:r>
      <w:bookmarkEnd w:id="25"/>
    </w:p>
    <w:p w14:paraId="4C79803B" w14:textId="77777777" w:rsidR="00A81934" w:rsidRPr="00E16407" w:rsidRDefault="00A81934" w:rsidP="00EF6C4C">
      <w:pPr>
        <w:pStyle w:val="EndNoteBibliography"/>
        <w:spacing w:after="0"/>
        <w:ind w:left="720" w:hanging="720"/>
      </w:pPr>
      <w:bookmarkStart w:id="26" w:name="_ENREF_18"/>
      <w:r w:rsidRPr="00E16407">
        <w:t>18.</w:t>
      </w:r>
      <w:r w:rsidRPr="00E16407">
        <w:tab/>
        <w:t>Wain, L.V.</w:t>
      </w:r>
      <w:r w:rsidRPr="00E16407">
        <w:rPr>
          <w:i/>
        </w:rPr>
        <w:t xml:space="preserve"> et al.</w:t>
      </w:r>
      <w:r w:rsidRPr="00E16407">
        <w:t xml:space="preserve"> Genome-wide association analyses for lung function and chronic obstructive pulmonary disease identify new loci and potential druggable targets. </w:t>
      </w:r>
      <w:r w:rsidRPr="00E16407">
        <w:rPr>
          <w:i/>
        </w:rPr>
        <w:t>Nat Genet</w:t>
      </w:r>
      <w:r w:rsidRPr="00E16407">
        <w:t xml:space="preserve"> </w:t>
      </w:r>
      <w:r w:rsidRPr="00E16407">
        <w:rPr>
          <w:b/>
        </w:rPr>
        <w:t>49</w:t>
      </w:r>
      <w:r w:rsidRPr="00E16407">
        <w:t>, 416-425 (2017).</w:t>
      </w:r>
      <w:bookmarkEnd w:id="26"/>
    </w:p>
    <w:p w14:paraId="6C392B47" w14:textId="77777777" w:rsidR="00A81934" w:rsidRPr="00E16407" w:rsidRDefault="00A81934" w:rsidP="00EF6C4C">
      <w:pPr>
        <w:pStyle w:val="EndNoteBibliography"/>
        <w:spacing w:after="0"/>
        <w:ind w:left="720" w:hanging="720"/>
      </w:pPr>
      <w:bookmarkStart w:id="27" w:name="_ENREF_19"/>
      <w:r w:rsidRPr="00E16407">
        <w:t>19.</w:t>
      </w:r>
      <w:r w:rsidRPr="00E16407">
        <w:tab/>
        <w:t>Wyss, A.B.</w:t>
      </w:r>
      <w:r w:rsidRPr="00E16407">
        <w:rPr>
          <w:i/>
        </w:rPr>
        <w:t xml:space="preserve"> et al.</w:t>
      </w:r>
      <w:r w:rsidRPr="00E16407">
        <w:t xml:space="preserve"> Multiethnic Meta-analysis Identifies New Loci for Pulmonary Function. </w:t>
      </w:r>
      <w:r w:rsidRPr="00E16407">
        <w:rPr>
          <w:i/>
        </w:rPr>
        <w:t>bioRxiv</w:t>
      </w:r>
      <w:r w:rsidRPr="00E16407">
        <w:t xml:space="preserve"> (2017).</w:t>
      </w:r>
      <w:bookmarkEnd w:id="27"/>
    </w:p>
    <w:p w14:paraId="683E2672" w14:textId="77777777" w:rsidR="00A81934" w:rsidRPr="00E16407" w:rsidRDefault="00A81934" w:rsidP="00EF6C4C">
      <w:pPr>
        <w:pStyle w:val="EndNoteBibliography"/>
        <w:spacing w:after="0"/>
        <w:ind w:left="720" w:hanging="720"/>
      </w:pPr>
      <w:bookmarkStart w:id="28" w:name="_ENREF_20"/>
      <w:r w:rsidRPr="00E16407">
        <w:t>20.</w:t>
      </w:r>
      <w:r w:rsidRPr="00E16407">
        <w:tab/>
        <w:t>Loh, P.R.</w:t>
      </w:r>
      <w:r w:rsidRPr="00E16407">
        <w:rPr>
          <w:i/>
        </w:rPr>
        <w:t xml:space="preserve"> et al.</w:t>
      </w:r>
      <w:r w:rsidRPr="00E16407">
        <w:t xml:space="preserve"> Efficient Bayesian mixed-model analysis increases association power in large cohorts. </w:t>
      </w:r>
      <w:r w:rsidRPr="00E16407">
        <w:rPr>
          <w:i/>
        </w:rPr>
        <w:t>Nat Genet</w:t>
      </w:r>
      <w:r w:rsidRPr="00E16407">
        <w:t xml:space="preserve"> </w:t>
      </w:r>
      <w:r w:rsidRPr="00E16407">
        <w:rPr>
          <w:b/>
        </w:rPr>
        <w:t>47</w:t>
      </w:r>
      <w:r w:rsidRPr="00E16407">
        <w:t>, 284-90 (2015).</w:t>
      </w:r>
      <w:bookmarkEnd w:id="28"/>
    </w:p>
    <w:p w14:paraId="3355D3BC" w14:textId="77777777" w:rsidR="00A81934" w:rsidRPr="00E16407" w:rsidRDefault="00A81934" w:rsidP="00EF6C4C">
      <w:pPr>
        <w:pStyle w:val="EndNoteBibliography"/>
        <w:spacing w:after="0"/>
        <w:ind w:left="720" w:hanging="720"/>
      </w:pPr>
      <w:bookmarkStart w:id="29" w:name="_ENREF_21"/>
      <w:r w:rsidRPr="00E16407">
        <w:t>21.</w:t>
      </w:r>
      <w:r w:rsidRPr="00E16407">
        <w:tab/>
        <w:t>Bulik-Sullivan, B.K.</w:t>
      </w:r>
      <w:r w:rsidRPr="00E16407">
        <w:rPr>
          <w:i/>
        </w:rPr>
        <w:t xml:space="preserve"> et al.</w:t>
      </w:r>
      <w:r w:rsidRPr="00E16407">
        <w:t xml:space="preserve"> LD Score regression distinguishes confounding from polygenicity in genome-wide association studies. </w:t>
      </w:r>
      <w:r w:rsidRPr="00E16407">
        <w:rPr>
          <w:i/>
        </w:rPr>
        <w:t>Nature Genetics</w:t>
      </w:r>
      <w:r w:rsidRPr="00E16407">
        <w:t xml:space="preserve"> </w:t>
      </w:r>
      <w:r w:rsidRPr="00E16407">
        <w:rPr>
          <w:b/>
        </w:rPr>
        <w:t>47</w:t>
      </w:r>
      <w:r w:rsidRPr="00E16407">
        <w:t>, 291 (2015).</w:t>
      </w:r>
      <w:bookmarkEnd w:id="29"/>
    </w:p>
    <w:p w14:paraId="7EA8917C" w14:textId="77777777" w:rsidR="00A81934" w:rsidRPr="00E16407" w:rsidRDefault="00A81934" w:rsidP="00EF6C4C">
      <w:pPr>
        <w:pStyle w:val="EndNoteBibliography"/>
        <w:spacing w:after="0"/>
        <w:ind w:left="720" w:hanging="720"/>
      </w:pPr>
      <w:bookmarkStart w:id="30" w:name="_ENREF_22"/>
      <w:r w:rsidRPr="00E16407">
        <w:t>22.</w:t>
      </w:r>
      <w:r w:rsidRPr="00E16407">
        <w:tab/>
        <w:t>Yang, J.</w:t>
      </w:r>
      <w:r w:rsidRPr="00E16407">
        <w:rPr>
          <w:i/>
        </w:rPr>
        <w:t xml:space="preserve"> et al.</w:t>
      </w:r>
      <w:r w:rsidRPr="00E16407">
        <w:t xml:space="preserve"> Conditional and joint multiple-SNP analysis of GWAS summary statistics identifies additional variants influencing complex traits. </w:t>
      </w:r>
      <w:r w:rsidRPr="00E16407">
        <w:rPr>
          <w:i/>
        </w:rPr>
        <w:t>Nat Genet</w:t>
      </w:r>
      <w:r w:rsidRPr="00E16407">
        <w:t xml:space="preserve"> </w:t>
      </w:r>
      <w:r w:rsidRPr="00E16407">
        <w:rPr>
          <w:b/>
        </w:rPr>
        <w:t>44</w:t>
      </w:r>
      <w:r w:rsidRPr="00E16407">
        <w:t>, 369-75, S1-3 (2012).</w:t>
      </w:r>
      <w:bookmarkEnd w:id="30"/>
    </w:p>
    <w:p w14:paraId="23E2391C" w14:textId="77777777" w:rsidR="00A81934" w:rsidRPr="00E16407" w:rsidRDefault="00A81934" w:rsidP="00EF6C4C">
      <w:pPr>
        <w:pStyle w:val="EndNoteBibliography"/>
        <w:spacing w:after="0"/>
        <w:ind w:left="720" w:hanging="720"/>
      </w:pPr>
      <w:bookmarkStart w:id="31" w:name="_ENREF_23"/>
      <w:r w:rsidRPr="00E16407">
        <w:t>23.</w:t>
      </w:r>
      <w:r w:rsidRPr="00E16407">
        <w:tab/>
        <w:t xml:space="preserve">Pulit, S.L., de With, S.A. &amp; de Bakker, P.I. Resetting the bar: Statistical significance in whole-genome sequencing-based association studies of global populations. </w:t>
      </w:r>
      <w:r w:rsidRPr="00E16407">
        <w:rPr>
          <w:i/>
        </w:rPr>
        <w:t>Genet Epidemiol</w:t>
      </w:r>
      <w:r w:rsidRPr="00E16407">
        <w:t xml:space="preserve"> </w:t>
      </w:r>
      <w:r w:rsidRPr="00E16407">
        <w:rPr>
          <w:b/>
        </w:rPr>
        <w:t>41</w:t>
      </w:r>
      <w:r w:rsidRPr="00E16407">
        <w:t>, 145-151 (2017).</w:t>
      </w:r>
      <w:bookmarkEnd w:id="31"/>
    </w:p>
    <w:p w14:paraId="38B5B2C6" w14:textId="77777777" w:rsidR="00A81934" w:rsidRPr="00E16407" w:rsidRDefault="00A81934" w:rsidP="00EF6C4C">
      <w:pPr>
        <w:pStyle w:val="EndNoteBibliography"/>
        <w:spacing w:after="0"/>
        <w:ind w:left="720" w:hanging="720"/>
      </w:pPr>
      <w:bookmarkStart w:id="32" w:name="_ENREF_24"/>
      <w:r w:rsidRPr="00E16407">
        <w:t>24.</w:t>
      </w:r>
      <w:r w:rsidRPr="00E16407">
        <w:tab/>
        <w:t>Palmer, L.J.</w:t>
      </w:r>
      <w:r w:rsidRPr="00E16407">
        <w:rPr>
          <w:i/>
        </w:rPr>
        <w:t xml:space="preserve"> et al.</w:t>
      </w:r>
      <w:r w:rsidRPr="00E16407">
        <w:t xml:space="preserve"> Familial aggregation and heritability of adult lung function: results from the Busselton Health Study. </w:t>
      </w:r>
      <w:r w:rsidRPr="00E16407">
        <w:rPr>
          <w:i/>
        </w:rPr>
        <w:t>Eur Respir J</w:t>
      </w:r>
      <w:r w:rsidRPr="00E16407">
        <w:t xml:space="preserve"> </w:t>
      </w:r>
      <w:r w:rsidRPr="00E16407">
        <w:rPr>
          <w:b/>
        </w:rPr>
        <w:t>17</w:t>
      </w:r>
      <w:r w:rsidRPr="00E16407">
        <w:t>, 696-702 (2001).</w:t>
      </w:r>
      <w:bookmarkEnd w:id="32"/>
    </w:p>
    <w:p w14:paraId="2D983A56" w14:textId="77777777" w:rsidR="00A81934" w:rsidRPr="00E16407" w:rsidRDefault="00A81934" w:rsidP="00EF6C4C">
      <w:pPr>
        <w:pStyle w:val="EndNoteBibliography"/>
        <w:spacing w:after="0"/>
        <w:ind w:left="720" w:hanging="720"/>
      </w:pPr>
      <w:bookmarkStart w:id="33" w:name="_ENREF_25"/>
      <w:r w:rsidRPr="00E16407">
        <w:t>25.</w:t>
      </w:r>
      <w:r w:rsidRPr="00E16407">
        <w:tab/>
        <w:t>Wilk, J.B.</w:t>
      </w:r>
      <w:r w:rsidRPr="00E16407">
        <w:rPr>
          <w:i/>
        </w:rPr>
        <w:t xml:space="preserve"> et al.</w:t>
      </w:r>
      <w:r w:rsidRPr="00E16407">
        <w:t xml:space="preserve"> Evidence for major genes influencing pulmonary function in the NHLBI family heart study. </w:t>
      </w:r>
      <w:r w:rsidRPr="00E16407">
        <w:rPr>
          <w:i/>
        </w:rPr>
        <w:t>Genet Epidemiol</w:t>
      </w:r>
      <w:r w:rsidRPr="00E16407">
        <w:t xml:space="preserve"> </w:t>
      </w:r>
      <w:r w:rsidRPr="00E16407">
        <w:rPr>
          <w:b/>
        </w:rPr>
        <w:t>19</w:t>
      </w:r>
      <w:r w:rsidRPr="00E16407">
        <w:t>, 81-94 (2000).</w:t>
      </w:r>
      <w:bookmarkEnd w:id="33"/>
    </w:p>
    <w:p w14:paraId="4402B801" w14:textId="77777777" w:rsidR="00A81934" w:rsidRPr="00E16407" w:rsidRDefault="00A81934" w:rsidP="00EF6C4C">
      <w:pPr>
        <w:pStyle w:val="EndNoteBibliography"/>
        <w:spacing w:after="0"/>
        <w:ind w:left="720" w:hanging="720"/>
      </w:pPr>
      <w:bookmarkStart w:id="34" w:name="_ENREF_26"/>
      <w:r w:rsidRPr="00E16407">
        <w:t>26.</w:t>
      </w:r>
      <w:r w:rsidRPr="00E16407">
        <w:tab/>
        <w:t>Benyamin, B.</w:t>
      </w:r>
      <w:r w:rsidRPr="00E16407">
        <w:rPr>
          <w:i/>
        </w:rPr>
        <w:t xml:space="preserve"> et al.</w:t>
      </w:r>
      <w:r w:rsidRPr="00E16407">
        <w:t xml:space="preserve"> GWAS of butyrylcholinesterase activity identifies four novel loci, independent effects within BCHE and secondary associations with metabolic risk factors. </w:t>
      </w:r>
      <w:r w:rsidRPr="00E16407">
        <w:rPr>
          <w:i/>
        </w:rPr>
        <w:t>Hum Mol Genet</w:t>
      </w:r>
      <w:r w:rsidRPr="00E16407">
        <w:t xml:space="preserve"> </w:t>
      </w:r>
      <w:r w:rsidRPr="00E16407">
        <w:rPr>
          <w:b/>
        </w:rPr>
        <w:t>20</w:t>
      </w:r>
      <w:r w:rsidRPr="00E16407">
        <w:t>, 4504-14 (2011).</w:t>
      </w:r>
      <w:bookmarkEnd w:id="34"/>
    </w:p>
    <w:p w14:paraId="3759D222" w14:textId="77777777" w:rsidR="00A81934" w:rsidRPr="00E16407" w:rsidRDefault="00A81934" w:rsidP="00EF6C4C">
      <w:pPr>
        <w:pStyle w:val="EndNoteBibliography"/>
        <w:spacing w:after="0"/>
        <w:ind w:left="720" w:hanging="720"/>
      </w:pPr>
      <w:bookmarkStart w:id="35" w:name="_ENREF_27"/>
      <w:r w:rsidRPr="00E16407">
        <w:t>27.</w:t>
      </w:r>
      <w:r w:rsidRPr="00E16407">
        <w:tab/>
        <w:t xml:space="preserve">Hammarsjo, A., Wang, Z., Vaz, R. &amp; Taylan, F. Novel KIAA0753 mutations extend the phenotype of skeletal ciliopathies. </w:t>
      </w:r>
      <w:r w:rsidRPr="00E16407">
        <w:rPr>
          <w:b/>
        </w:rPr>
        <w:t>7</w:t>
      </w:r>
      <w:r w:rsidRPr="00E16407">
        <w:t>, 15585 (2017).</w:t>
      </w:r>
      <w:bookmarkEnd w:id="35"/>
    </w:p>
    <w:p w14:paraId="0BDF3F0B" w14:textId="77777777" w:rsidR="00A81934" w:rsidRPr="00E16407" w:rsidRDefault="00A81934" w:rsidP="00EF6C4C">
      <w:pPr>
        <w:pStyle w:val="EndNoteBibliography"/>
        <w:spacing w:after="0"/>
        <w:ind w:left="720" w:hanging="720"/>
      </w:pPr>
      <w:bookmarkStart w:id="36" w:name="_ENREF_28"/>
      <w:r w:rsidRPr="00E16407">
        <w:t>28.</w:t>
      </w:r>
      <w:r w:rsidRPr="00E16407">
        <w:tab/>
        <w:t>Stephen, J.</w:t>
      </w:r>
      <w:r w:rsidRPr="00E16407">
        <w:rPr>
          <w:i/>
        </w:rPr>
        <w:t xml:space="preserve"> et al.</w:t>
      </w:r>
      <w:r w:rsidRPr="00E16407">
        <w:t xml:space="preserve"> Mutations in KIAA0753 cause Joubert syndrome associated with growth hormone deficiency. </w:t>
      </w:r>
      <w:r w:rsidRPr="00E16407">
        <w:rPr>
          <w:i/>
        </w:rPr>
        <w:t>Hum Genet</w:t>
      </w:r>
      <w:r w:rsidRPr="00E16407">
        <w:t xml:space="preserve"> </w:t>
      </w:r>
      <w:r w:rsidRPr="00E16407">
        <w:rPr>
          <w:b/>
        </w:rPr>
        <w:t>136</w:t>
      </w:r>
      <w:r w:rsidRPr="00E16407">
        <w:t>, 399-408 (2017).</w:t>
      </w:r>
      <w:bookmarkEnd w:id="36"/>
    </w:p>
    <w:p w14:paraId="0E823090" w14:textId="77777777" w:rsidR="00A81934" w:rsidRPr="00E16407" w:rsidRDefault="00A81934" w:rsidP="00EF6C4C">
      <w:pPr>
        <w:pStyle w:val="EndNoteBibliography"/>
        <w:spacing w:after="0"/>
        <w:ind w:left="720" w:hanging="720"/>
      </w:pPr>
      <w:bookmarkStart w:id="37" w:name="_ENREF_29"/>
      <w:r w:rsidRPr="00E16407">
        <w:t>29.</w:t>
      </w:r>
      <w:r w:rsidRPr="00E16407">
        <w:tab/>
        <w:t xml:space="preserve">Loukil, A., Tormanen, K. &amp; Sütterlin, C. The daughter centriole controls ciliogenesis by regulating Neurl-4 localization at the centrosome. </w:t>
      </w:r>
      <w:r w:rsidRPr="00E16407">
        <w:rPr>
          <w:i/>
        </w:rPr>
        <w:t>The Journal of Cell Biology</w:t>
      </w:r>
      <w:r w:rsidRPr="00E16407">
        <w:t xml:space="preserve"> </w:t>
      </w:r>
      <w:r w:rsidRPr="00E16407">
        <w:rPr>
          <w:b/>
        </w:rPr>
        <w:t>216</w:t>
      </w:r>
      <w:r w:rsidRPr="00E16407">
        <w:t>, 1287-1300 (2017).</w:t>
      </w:r>
      <w:bookmarkEnd w:id="37"/>
    </w:p>
    <w:p w14:paraId="338DB431" w14:textId="77777777" w:rsidR="00A81934" w:rsidRPr="00E16407" w:rsidRDefault="00A81934" w:rsidP="00EF6C4C">
      <w:pPr>
        <w:pStyle w:val="EndNoteBibliography"/>
        <w:spacing w:after="0"/>
        <w:ind w:left="720" w:hanging="720"/>
      </w:pPr>
      <w:bookmarkStart w:id="38" w:name="_ENREF_30"/>
      <w:r w:rsidRPr="00E16407">
        <w:t>30.</w:t>
      </w:r>
      <w:r w:rsidRPr="00E16407">
        <w:tab/>
        <w:t>He, R.</w:t>
      </w:r>
      <w:r w:rsidRPr="00E16407">
        <w:rPr>
          <w:i/>
        </w:rPr>
        <w:t xml:space="preserve"> et al.</w:t>
      </w:r>
      <w:r w:rsidRPr="00E16407">
        <w:t xml:space="preserve"> LRRC45 is a centrosome linker component required for centrosome cohesion. </w:t>
      </w:r>
      <w:r w:rsidRPr="00E16407">
        <w:rPr>
          <w:i/>
        </w:rPr>
        <w:t>Cell Rep</w:t>
      </w:r>
      <w:r w:rsidRPr="00E16407">
        <w:t xml:space="preserve"> </w:t>
      </w:r>
      <w:r w:rsidRPr="00E16407">
        <w:rPr>
          <w:b/>
        </w:rPr>
        <w:t>4</w:t>
      </w:r>
      <w:r w:rsidRPr="00E16407">
        <w:t>, 1100-7 (2013).</w:t>
      </w:r>
      <w:bookmarkEnd w:id="38"/>
    </w:p>
    <w:p w14:paraId="5E469843" w14:textId="77777777" w:rsidR="00A81934" w:rsidRPr="00E16407" w:rsidRDefault="00A81934" w:rsidP="00EF6C4C">
      <w:pPr>
        <w:pStyle w:val="EndNoteBibliography"/>
        <w:spacing w:after="0"/>
        <w:ind w:left="720" w:hanging="720"/>
      </w:pPr>
      <w:bookmarkStart w:id="39" w:name="_ENREF_31"/>
      <w:r w:rsidRPr="00E16407">
        <w:t>31.</w:t>
      </w:r>
      <w:r w:rsidRPr="00E16407">
        <w:tab/>
        <w:t>Conkar, D.</w:t>
      </w:r>
      <w:r w:rsidRPr="00E16407">
        <w:rPr>
          <w:i/>
        </w:rPr>
        <w:t xml:space="preserve"> et al.</w:t>
      </w:r>
      <w:r w:rsidRPr="00E16407">
        <w:t xml:space="preserve"> The centriolar satellite protein CCDC66 interacts with CEP290 and functions in cilium formation and trafficking. </w:t>
      </w:r>
      <w:r w:rsidRPr="00E16407">
        <w:rPr>
          <w:b/>
        </w:rPr>
        <w:t>130</w:t>
      </w:r>
      <w:r w:rsidRPr="00E16407">
        <w:t>, 1450-1462 (2017).</w:t>
      </w:r>
      <w:bookmarkEnd w:id="39"/>
    </w:p>
    <w:p w14:paraId="554C21B9" w14:textId="77777777" w:rsidR="00A81934" w:rsidRPr="00E16407" w:rsidRDefault="00A81934" w:rsidP="00EF6C4C">
      <w:pPr>
        <w:pStyle w:val="EndNoteBibliography"/>
        <w:spacing w:after="0"/>
        <w:ind w:left="720" w:hanging="720"/>
      </w:pPr>
      <w:bookmarkStart w:id="40" w:name="_ENREF_32"/>
      <w:r w:rsidRPr="00E16407">
        <w:t>32.</w:t>
      </w:r>
      <w:r w:rsidRPr="00E16407">
        <w:tab/>
        <w:t>Uhlén, M.</w:t>
      </w:r>
      <w:r w:rsidRPr="00E16407">
        <w:rPr>
          <w:i/>
        </w:rPr>
        <w:t xml:space="preserve"> et al.</w:t>
      </w:r>
      <w:r w:rsidRPr="00E16407">
        <w:t xml:space="preserve"> Tissue-based map of the human proteome. </w:t>
      </w:r>
      <w:r w:rsidRPr="00E16407">
        <w:rPr>
          <w:i/>
        </w:rPr>
        <w:t>Science</w:t>
      </w:r>
      <w:r w:rsidRPr="00E16407">
        <w:t xml:space="preserve"> </w:t>
      </w:r>
      <w:r w:rsidRPr="00E16407">
        <w:rPr>
          <w:b/>
        </w:rPr>
        <w:t>347</w:t>
      </w:r>
      <w:r w:rsidRPr="00E16407">
        <w:t>(2015).</w:t>
      </w:r>
      <w:bookmarkEnd w:id="40"/>
    </w:p>
    <w:p w14:paraId="64B698D0" w14:textId="77777777" w:rsidR="00A81934" w:rsidRPr="00E16407" w:rsidRDefault="00A81934" w:rsidP="00EF6C4C">
      <w:pPr>
        <w:pStyle w:val="EndNoteBibliography"/>
        <w:spacing w:after="0"/>
        <w:ind w:left="720" w:hanging="720"/>
      </w:pPr>
      <w:bookmarkStart w:id="41" w:name="_ENREF_33"/>
      <w:r w:rsidRPr="00E16407">
        <w:t>33.</w:t>
      </w:r>
      <w:r w:rsidRPr="00E16407">
        <w:tab/>
        <w:t>Hao, K.</w:t>
      </w:r>
      <w:r w:rsidRPr="00E16407">
        <w:rPr>
          <w:i/>
        </w:rPr>
        <w:t xml:space="preserve"> et al.</w:t>
      </w:r>
      <w:r w:rsidRPr="00E16407">
        <w:t xml:space="preserve"> Lung eQTLs to help reveal the molecular underpinnings of asthma. </w:t>
      </w:r>
      <w:r w:rsidRPr="00E16407">
        <w:rPr>
          <w:i/>
        </w:rPr>
        <w:t>PLoS Genet</w:t>
      </w:r>
      <w:r w:rsidRPr="00E16407">
        <w:t xml:space="preserve"> </w:t>
      </w:r>
      <w:r w:rsidRPr="00E16407">
        <w:rPr>
          <w:b/>
        </w:rPr>
        <w:t>8</w:t>
      </w:r>
      <w:r w:rsidRPr="00E16407">
        <w:t>, e1003029 (2012).</w:t>
      </w:r>
      <w:bookmarkEnd w:id="41"/>
    </w:p>
    <w:p w14:paraId="4C113EE6" w14:textId="77777777" w:rsidR="00A81934" w:rsidRPr="00E16407" w:rsidRDefault="00A81934" w:rsidP="00EF6C4C">
      <w:pPr>
        <w:pStyle w:val="EndNoteBibliography"/>
        <w:spacing w:after="0"/>
        <w:ind w:left="720" w:hanging="720"/>
      </w:pPr>
      <w:bookmarkStart w:id="42" w:name="_ENREF_34"/>
      <w:r w:rsidRPr="00E16407">
        <w:t>34.</w:t>
      </w:r>
      <w:r w:rsidRPr="00E16407">
        <w:tab/>
        <w:t>Lamontagne, M.</w:t>
      </w:r>
      <w:r w:rsidRPr="00E16407">
        <w:rPr>
          <w:i/>
        </w:rPr>
        <w:t xml:space="preserve"> et al.</w:t>
      </w:r>
      <w:r w:rsidRPr="00E16407">
        <w:t xml:space="preserve"> Refining susceptibility loci of chronic obstructive pulmonary disease with lung eqtls. </w:t>
      </w:r>
      <w:r w:rsidRPr="00E16407">
        <w:rPr>
          <w:i/>
        </w:rPr>
        <w:t>PLoS One</w:t>
      </w:r>
      <w:r w:rsidRPr="00E16407">
        <w:t xml:space="preserve"> </w:t>
      </w:r>
      <w:r w:rsidRPr="00E16407">
        <w:rPr>
          <w:b/>
        </w:rPr>
        <w:t>8</w:t>
      </w:r>
      <w:r w:rsidRPr="00E16407">
        <w:t>, e70220 (2013).</w:t>
      </w:r>
      <w:bookmarkEnd w:id="42"/>
    </w:p>
    <w:p w14:paraId="4CA6E781" w14:textId="77777777" w:rsidR="00A81934" w:rsidRPr="00E16407" w:rsidRDefault="00A81934" w:rsidP="00EF6C4C">
      <w:pPr>
        <w:pStyle w:val="EndNoteBibliography"/>
        <w:spacing w:after="0"/>
        <w:ind w:left="720" w:hanging="720"/>
      </w:pPr>
      <w:bookmarkStart w:id="43" w:name="_ENREF_35"/>
      <w:r w:rsidRPr="00E16407">
        <w:t>35.</w:t>
      </w:r>
      <w:r w:rsidRPr="00E16407">
        <w:tab/>
        <w:t>Obeidat, M.</w:t>
      </w:r>
      <w:r w:rsidRPr="00E16407">
        <w:rPr>
          <w:i/>
        </w:rPr>
        <w:t xml:space="preserve"> et al.</w:t>
      </w:r>
      <w:r w:rsidRPr="00E16407">
        <w:t xml:space="preserve"> GSTCD and INTS12 regulation and expression in the human lung. </w:t>
      </w:r>
      <w:r w:rsidRPr="00E16407">
        <w:rPr>
          <w:i/>
        </w:rPr>
        <w:t>PLoS One</w:t>
      </w:r>
      <w:r w:rsidRPr="00E16407">
        <w:t xml:space="preserve"> </w:t>
      </w:r>
      <w:r w:rsidRPr="00E16407">
        <w:rPr>
          <w:b/>
        </w:rPr>
        <w:t>8</w:t>
      </w:r>
      <w:r w:rsidRPr="00E16407">
        <w:t>, e74630 (2013).</w:t>
      </w:r>
      <w:bookmarkEnd w:id="43"/>
    </w:p>
    <w:p w14:paraId="3A0C138F" w14:textId="77777777" w:rsidR="00A81934" w:rsidRPr="00E16407" w:rsidRDefault="00A81934" w:rsidP="00EF6C4C">
      <w:pPr>
        <w:pStyle w:val="EndNoteBibliography"/>
        <w:spacing w:after="0"/>
        <w:ind w:left="720" w:hanging="720"/>
      </w:pPr>
      <w:bookmarkStart w:id="44" w:name="_ENREF_36"/>
      <w:r w:rsidRPr="00E16407">
        <w:t>36.</w:t>
      </w:r>
      <w:r w:rsidRPr="00E16407">
        <w:tab/>
        <w:t>Westra, H.J.</w:t>
      </w:r>
      <w:r w:rsidRPr="00E16407">
        <w:rPr>
          <w:i/>
        </w:rPr>
        <w:t xml:space="preserve"> et al.</w:t>
      </w:r>
      <w:r w:rsidRPr="00E16407">
        <w:t xml:space="preserve"> Systematic identification of trans eQTLs as putative drivers of known disease associations. </w:t>
      </w:r>
      <w:r w:rsidRPr="00E16407">
        <w:rPr>
          <w:i/>
        </w:rPr>
        <w:t>Nat Genet</w:t>
      </w:r>
      <w:r w:rsidRPr="00E16407">
        <w:t xml:space="preserve"> </w:t>
      </w:r>
      <w:r w:rsidRPr="00E16407">
        <w:rPr>
          <w:b/>
        </w:rPr>
        <w:t>45</w:t>
      </w:r>
      <w:r w:rsidRPr="00E16407">
        <w:t>, 1238-1243 (2013).</w:t>
      </w:r>
      <w:bookmarkEnd w:id="44"/>
    </w:p>
    <w:p w14:paraId="7C572AAA" w14:textId="77777777" w:rsidR="00A81934" w:rsidRPr="00E16407" w:rsidRDefault="00A81934" w:rsidP="00EF6C4C">
      <w:pPr>
        <w:pStyle w:val="EndNoteBibliography"/>
        <w:spacing w:after="0"/>
        <w:ind w:left="720" w:hanging="720"/>
      </w:pPr>
      <w:bookmarkStart w:id="45" w:name="_ENREF_37"/>
      <w:r w:rsidRPr="00E16407">
        <w:t>37.</w:t>
      </w:r>
      <w:r w:rsidRPr="00E16407">
        <w:tab/>
        <w:t xml:space="preserve">GTEx Consortium. Human genomics. The Genotype-Tissue Expression (GTEx) pilot analysis: multitissue gene regulation in humans. </w:t>
      </w:r>
      <w:r w:rsidRPr="00E16407">
        <w:rPr>
          <w:i/>
        </w:rPr>
        <w:t>Science</w:t>
      </w:r>
      <w:r w:rsidRPr="00E16407">
        <w:t xml:space="preserve"> </w:t>
      </w:r>
      <w:r w:rsidRPr="00E16407">
        <w:rPr>
          <w:b/>
        </w:rPr>
        <w:t>348</w:t>
      </w:r>
      <w:r w:rsidRPr="00E16407">
        <w:t>, 648-60 (2015).</w:t>
      </w:r>
      <w:bookmarkEnd w:id="45"/>
    </w:p>
    <w:p w14:paraId="370CB42B" w14:textId="77777777" w:rsidR="00A81934" w:rsidRPr="00E16407" w:rsidRDefault="00A81934" w:rsidP="00EF6C4C">
      <w:pPr>
        <w:pStyle w:val="EndNoteBibliography"/>
        <w:spacing w:after="0"/>
        <w:ind w:left="720" w:hanging="720"/>
      </w:pPr>
      <w:bookmarkStart w:id="46" w:name="_ENREF_38"/>
      <w:r w:rsidRPr="00E16407">
        <w:t>38.</w:t>
      </w:r>
      <w:r w:rsidRPr="00E16407">
        <w:tab/>
        <w:t>Kundaje, A.</w:t>
      </w:r>
      <w:r w:rsidRPr="00E16407">
        <w:rPr>
          <w:i/>
        </w:rPr>
        <w:t xml:space="preserve"> et al.</w:t>
      </w:r>
      <w:r w:rsidRPr="00E16407">
        <w:t xml:space="preserve"> Integrative analysis of 111 reference human epigenomes. </w:t>
      </w:r>
      <w:r w:rsidRPr="00E16407">
        <w:rPr>
          <w:i/>
        </w:rPr>
        <w:t>Nature</w:t>
      </w:r>
      <w:r w:rsidRPr="00E16407">
        <w:t xml:space="preserve"> </w:t>
      </w:r>
      <w:r w:rsidRPr="00E16407">
        <w:rPr>
          <w:b/>
        </w:rPr>
        <w:t>518</w:t>
      </w:r>
      <w:r w:rsidRPr="00E16407">
        <w:t>, 317-30 (2015).</w:t>
      </w:r>
      <w:bookmarkEnd w:id="46"/>
    </w:p>
    <w:p w14:paraId="7D68AB8F" w14:textId="77777777" w:rsidR="00A81934" w:rsidRPr="00E16407" w:rsidRDefault="00A81934" w:rsidP="00EF6C4C">
      <w:pPr>
        <w:pStyle w:val="EndNoteBibliography"/>
        <w:spacing w:after="0"/>
        <w:ind w:left="720" w:hanging="720"/>
      </w:pPr>
      <w:bookmarkStart w:id="47" w:name="_ENREF_39"/>
      <w:r w:rsidRPr="00E16407">
        <w:t>39.</w:t>
      </w:r>
      <w:r w:rsidRPr="00E16407">
        <w:tab/>
        <w:t>Sun, B.B.</w:t>
      </w:r>
      <w:r w:rsidRPr="00E16407">
        <w:rPr>
          <w:i/>
        </w:rPr>
        <w:t xml:space="preserve"> et al.</w:t>
      </w:r>
      <w:r w:rsidRPr="00E16407">
        <w:t xml:space="preserve"> Genomic atlas of the human plasma proteome. </w:t>
      </w:r>
      <w:r w:rsidRPr="00E16407">
        <w:rPr>
          <w:i/>
        </w:rPr>
        <w:t>Nature</w:t>
      </w:r>
      <w:r w:rsidRPr="00E16407">
        <w:t xml:space="preserve"> </w:t>
      </w:r>
      <w:r w:rsidRPr="00E16407">
        <w:rPr>
          <w:b/>
        </w:rPr>
        <w:t>558</w:t>
      </w:r>
      <w:r w:rsidRPr="00E16407">
        <w:t>, 73-79 (2018).</w:t>
      </w:r>
      <w:bookmarkEnd w:id="47"/>
    </w:p>
    <w:p w14:paraId="338A9A44" w14:textId="77777777" w:rsidR="00A81934" w:rsidRPr="00E16407" w:rsidRDefault="00A81934" w:rsidP="00EF6C4C">
      <w:pPr>
        <w:pStyle w:val="EndNoteBibliography"/>
        <w:spacing w:after="0"/>
        <w:ind w:left="720" w:hanging="720"/>
      </w:pPr>
      <w:bookmarkStart w:id="48" w:name="_ENREF_40"/>
      <w:r w:rsidRPr="00E16407">
        <w:lastRenderedPageBreak/>
        <w:t>40.</w:t>
      </w:r>
      <w:r w:rsidRPr="00E16407">
        <w:tab/>
        <w:t>Finucane, H.K.</w:t>
      </w:r>
      <w:r w:rsidRPr="00E16407">
        <w:rPr>
          <w:i/>
        </w:rPr>
        <w:t xml:space="preserve"> et al.</w:t>
      </w:r>
      <w:r w:rsidRPr="00E16407">
        <w:t xml:space="preserve"> Partitioning heritability by functional annotation using genome-wide association summary statistics. </w:t>
      </w:r>
      <w:r w:rsidRPr="00E16407">
        <w:rPr>
          <w:i/>
        </w:rPr>
        <w:t>Nat Genet</w:t>
      </w:r>
      <w:r w:rsidRPr="00E16407">
        <w:t xml:space="preserve"> </w:t>
      </w:r>
      <w:r w:rsidRPr="00E16407">
        <w:rPr>
          <w:b/>
        </w:rPr>
        <w:t>47</w:t>
      </w:r>
      <w:r w:rsidRPr="00E16407">
        <w:t>, 1228-35 (2015).</w:t>
      </w:r>
      <w:bookmarkEnd w:id="48"/>
    </w:p>
    <w:p w14:paraId="674CEC5B" w14:textId="77777777" w:rsidR="00A81934" w:rsidRPr="00E16407" w:rsidRDefault="00A81934" w:rsidP="00EF6C4C">
      <w:pPr>
        <w:pStyle w:val="EndNoteBibliography"/>
        <w:spacing w:after="0"/>
        <w:ind w:left="720" w:hanging="720"/>
      </w:pPr>
      <w:bookmarkStart w:id="49" w:name="_ENREF_41"/>
      <w:r w:rsidRPr="00E16407">
        <w:t>41.</w:t>
      </w:r>
      <w:r w:rsidRPr="00E16407">
        <w:tab/>
        <w:t>Iotchkova, V.</w:t>
      </w:r>
      <w:r w:rsidRPr="00E16407">
        <w:rPr>
          <w:i/>
        </w:rPr>
        <w:t xml:space="preserve"> et al.</w:t>
      </w:r>
      <w:r w:rsidRPr="00E16407">
        <w:t xml:space="preserve"> Discovery and refinement of genetic loci associated with cardiometabolic risk using dense imputation maps. </w:t>
      </w:r>
      <w:r w:rsidRPr="00E16407">
        <w:rPr>
          <w:i/>
        </w:rPr>
        <w:t>Nat Genet</w:t>
      </w:r>
      <w:r w:rsidRPr="00E16407">
        <w:t xml:space="preserve"> </w:t>
      </w:r>
      <w:r w:rsidRPr="00E16407">
        <w:rPr>
          <w:b/>
        </w:rPr>
        <w:t>48</w:t>
      </w:r>
      <w:r w:rsidRPr="00E16407">
        <w:t>, 1303-1312 (2016).</w:t>
      </w:r>
      <w:bookmarkEnd w:id="49"/>
    </w:p>
    <w:p w14:paraId="0D144E1B" w14:textId="77777777" w:rsidR="00A81934" w:rsidRPr="00E16407" w:rsidRDefault="00A81934" w:rsidP="00EF6C4C">
      <w:pPr>
        <w:pStyle w:val="EndNoteBibliography"/>
        <w:spacing w:after="0"/>
        <w:ind w:left="720" w:hanging="720"/>
      </w:pPr>
      <w:bookmarkStart w:id="50" w:name="_ENREF_42"/>
      <w:r w:rsidRPr="00E16407">
        <w:t>42.</w:t>
      </w:r>
      <w:r w:rsidRPr="00E16407">
        <w:tab/>
        <w:t xml:space="preserve">Zhou, J. &amp; Troyanskaya, O.G. Predicting effects of noncoding variants with deep learning-based sequence model. </w:t>
      </w:r>
      <w:r w:rsidRPr="00E16407">
        <w:rPr>
          <w:i/>
        </w:rPr>
        <w:t>Nat Methods</w:t>
      </w:r>
      <w:r w:rsidRPr="00E16407">
        <w:t xml:space="preserve"> </w:t>
      </w:r>
      <w:r w:rsidRPr="00E16407">
        <w:rPr>
          <w:b/>
        </w:rPr>
        <w:t>12</w:t>
      </w:r>
      <w:r w:rsidRPr="00E16407">
        <w:t>, 931-4 (2015).</w:t>
      </w:r>
      <w:bookmarkEnd w:id="50"/>
    </w:p>
    <w:p w14:paraId="5F051CA0" w14:textId="77777777" w:rsidR="00A81934" w:rsidRPr="00E16407" w:rsidRDefault="00A81934" w:rsidP="00EF6C4C">
      <w:pPr>
        <w:pStyle w:val="EndNoteBibliography"/>
        <w:spacing w:after="0"/>
        <w:ind w:left="720" w:hanging="720"/>
      </w:pPr>
      <w:bookmarkStart w:id="51" w:name="_ENREF_43"/>
      <w:r w:rsidRPr="00E16407">
        <w:t>43.</w:t>
      </w:r>
      <w:r w:rsidRPr="00E16407">
        <w:tab/>
        <w:t>Cotto, K.C.</w:t>
      </w:r>
      <w:r w:rsidRPr="00E16407">
        <w:rPr>
          <w:i/>
        </w:rPr>
        <w:t xml:space="preserve"> et al.</w:t>
      </w:r>
      <w:r w:rsidRPr="00E16407">
        <w:t xml:space="preserve"> DGIdb 3.0: a redesign and expansion of the drug–gene interaction database. </w:t>
      </w:r>
      <w:r w:rsidRPr="00E16407">
        <w:rPr>
          <w:i/>
        </w:rPr>
        <w:t>Nucleic Acids Research</w:t>
      </w:r>
      <w:r w:rsidRPr="00E16407">
        <w:t xml:space="preserve"> </w:t>
      </w:r>
      <w:r w:rsidRPr="00E16407">
        <w:rPr>
          <w:b/>
        </w:rPr>
        <w:t>46</w:t>
      </w:r>
      <w:r w:rsidRPr="00E16407">
        <w:t>, D1068-D1073 (2017).</w:t>
      </w:r>
      <w:bookmarkEnd w:id="51"/>
    </w:p>
    <w:p w14:paraId="62281684" w14:textId="77777777" w:rsidR="00A81934" w:rsidRPr="00E16407" w:rsidRDefault="00A81934" w:rsidP="00EF6C4C">
      <w:pPr>
        <w:pStyle w:val="EndNoteBibliography"/>
        <w:spacing w:after="0"/>
        <w:ind w:left="720" w:hanging="720"/>
      </w:pPr>
      <w:bookmarkStart w:id="52" w:name="_ENREF_44"/>
      <w:r w:rsidRPr="00E16407">
        <w:t>44.</w:t>
      </w:r>
      <w:r w:rsidRPr="00E16407">
        <w:tab/>
        <w:t>Slack, R.</w:t>
      </w:r>
      <w:r w:rsidRPr="00E16407">
        <w:rPr>
          <w:i/>
        </w:rPr>
        <w:t xml:space="preserve"> et al.</w:t>
      </w:r>
      <w:r w:rsidRPr="00E16407">
        <w:t xml:space="preserve"> P112 Discovery of a Novel, High Affinity, Small Molecule αvβ6 Inhibitor for the Treatment of Idiopathic Pulmonary Fibrosis. </w:t>
      </w:r>
      <w:r w:rsidRPr="00E16407">
        <w:rPr>
          <w:i/>
        </w:rPr>
        <w:t>QJM: An International Journal of Medicine</w:t>
      </w:r>
      <w:r w:rsidRPr="00E16407">
        <w:t xml:space="preserve"> </w:t>
      </w:r>
      <w:r w:rsidRPr="00E16407">
        <w:rPr>
          <w:b/>
        </w:rPr>
        <w:t>109</w:t>
      </w:r>
      <w:r w:rsidRPr="00E16407">
        <w:t>, S60-S60 (2016).</w:t>
      </w:r>
      <w:bookmarkEnd w:id="52"/>
    </w:p>
    <w:p w14:paraId="36F4B17A" w14:textId="77777777" w:rsidR="00A81934" w:rsidRPr="00E16407" w:rsidRDefault="00A81934" w:rsidP="00EF6C4C">
      <w:pPr>
        <w:pStyle w:val="EndNoteBibliography"/>
        <w:spacing w:after="0"/>
        <w:ind w:left="720" w:hanging="720"/>
      </w:pPr>
      <w:bookmarkStart w:id="53" w:name="_ENREF_45"/>
      <w:r w:rsidRPr="00E16407">
        <w:t>45.</w:t>
      </w:r>
      <w:r w:rsidRPr="00E16407">
        <w:tab/>
        <w:t xml:space="preserve">Raab-Westphal, S., Marshall, J.F. &amp; Goodman, S.L. Integrins as Therapeutic Targets: Successes and Cancers. </w:t>
      </w:r>
      <w:r w:rsidRPr="00E16407">
        <w:rPr>
          <w:i/>
        </w:rPr>
        <w:t>Cancers (Basel)</w:t>
      </w:r>
      <w:r w:rsidRPr="00E16407">
        <w:t xml:space="preserve"> </w:t>
      </w:r>
      <w:r w:rsidRPr="00E16407">
        <w:rPr>
          <w:b/>
        </w:rPr>
        <w:t>9</w:t>
      </w:r>
      <w:r w:rsidRPr="00E16407">
        <w:t>, e110 (2017).</w:t>
      </w:r>
      <w:bookmarkEnd w:id="53"/>
    </w:p>
    <w:p w14:paraId="644961E5" w14:textId="77777777" w:rsidR="00A81934" w:rsidRPr="00E16407" w:rsidRDefault="00A81934" w:rsidP="00EF6C4C">
      <w:pPr>
        <w:pStyle w:val="EndNoteBibliography"/>
        <w:spacing w:after="0"/>
        <w:ind w:left="720" w:hanging="720"/>
      </w:pPr>
      <w:bookmarkStart w:id="54" w:name="_ENREF_46"/>
      <w:r w:rsidRPr="00E16407">
        <w:t>46.</w:t>
      </w:r>
      <w:r w:rsidRPr="00E16407">
        <w:tab/>
        <w:t>Merrill, J.T.</w:t>
      </w:r>
      <w:r w:rsidRPr="00E16407">
        <w:rPr>
          <w:i/>
        </w:rPr>
        <w:t xml:space="preserve"> et al.</w:t>
      </w:r>
      <w:r w:rsidRPr="00E16407">
        <w:t xml:space="preserve"> Efficacy and Safety of Atacicept in Patients With Systemic Lupus Erythematosus: Results of a Twenty-Four-Week, Multicenter, Randomized, Double-Blind, Placebo-Controlled, Parallel-Arm, Phase IIb Study. </w:t>
      </w:r>
      <w:r w:rsidRPr="00E16407">
        <w:rPr>
          <w:i/>
        </w:rPr>
        <w:t>Arthritis Rheumatol</w:t>
      </w:r>
      <w:r w:rsidRPr="00E16407">
        <w:t xml:space="preserve"> </w:t>
      </w:r>
      <w:r w:rsidRPr="00E16407">
        <w:rPr>
          <w:b/>
        </w:rPr>
        <w:t>70</w:t>
      </w:r>
      <w:r w:rsidRPr="00E16407">
        <w:t>, 266-276 (2018).</w:t>
      </w:r>
      <w:bookmarkEnd w:id="54"/>
    </w:p>
    <w:p w14:paraId="6E3D8074" w14:textId="77777777" w:rsidR="00A81934" w:rsidRPr="00E16407" w:rsidRDefault="00A81934" w:rsidP="00EF6C4C">
      <w:pPr>
        <w:pStyle w:val="EndNoteBibliography"/>
        <w:spacing w:after="0"/>
        <w:ind w:left="720" w:hanging="720"/>
      </w:pPr>
      <w:bookmarkStart w:id="55" w:name="_ENREF_47"/>
      <w:r w:rsidRPr="00E16407">
        <w:t>47.</w:t>
      </w:r>
      <w:r w:rsidRPr="00E16407">
        <w:tab/>
        <w:t>Aschard, H.</w:t>
      </w:r>
      <w:r w:rsidRPr="00E16407">
        <w:rPr>
          <w:i/>
        </w:rPr>
        <w:t xml:space="preserve"> et al.</w:t>
      </w:r>
      <w:r w:rsidRPr="00E16407">
        <w:t xml:space="preserve"> Evidence for large-scale gene-by-smoking interaction effects on pulmonary function. </w:t>
      </w:r>
      <w:r w:rsidRPr="00E16407">
        <w:rPr>
          <w:i/>
        </w:rPr>
        <w:t>Int J Epidemiol</w:t>
      </w:r>
      <w:r w:rsidRPr="00E16407">
        <w:t xml:space="preserve"> </w:t>
      </w:r>
      <w:r w:rsidRPr="00E16407">
        <w:rPr>
          <w:b/>
        </w:rPr>
        <w:t>46</w:t>
      </w:r>
      <w:r w:rsidRPr="00E16407">
        <w:t>, 894-904 (2017).</w:t>
      </w:r>
      <w:bookmarkEnd w:id="55"/>
    </w:p>
    <w:p w14:paraId="4875E26B" w14:textId="77777777" w:rsidR="00A81934" w:rsidRPr="00E16407" w:rsidRDefault="00A81934" w:rsidP="00EF6C4C">
      <w:pPr>
        <w:pStyle w:val="EndNoteBibliography"/>
        <w:spacing w:after="0"/>
        <w:ind w:left="720" w:hanging="720"/>
      </w:pPr>
      <w:bookmarkStart w:id="56" w:name="_ENREF_48"/>
      <w:r w:rsidRPr="00E16407">
        <w:t>48.</w:t>
      </w:r>
      <w:r w:rsidRPr="00E16407">
        <w:tab/>
        <w:t xml:space="preserve">Lokke, A., Lange, P., Scharling, H., Fabricius, P. &amp; Vestbo, J. Developing COPD: a 25 year follow up study of the general population. </w:t>
      </w:r>
      <w:r w:rsidRPr="00E16407">
        <w:rPr>
          <w:i/>
        </w:rPr>
        <w:t>Thorax</w:t>
      </w:r>
      <w:r w:rsidRPr="00E16407">
        <w:t xml:space="preserve"> </w:t>
      </w:r>
      <w:r w:rsidRPr="00E16407">
        <w:rPr>
          <w:b/>
        </w:rPr>
        <w:t>61</w:t>
      </w:r>
      <w:r w:rsidRPr="00E16407">
        <w:t>, 935-9 (2006).</w:t>
      </w:r>
      <w:bookmarkEnd w:id="56"/>
    </w:p>
    <w:p w14:paraId="6D7BFB82" w14:textId="77777777" w:rsidR="00A81934" w:rsidRPr="00E16407" w:rsidRDefault="00A81934" w:rsidP="00EF6C4C">
      <w:pPr>
        <w:pStyle w:val="EndNoteBibliography"/>
        <w:spacing w:after="0"/>
        <w:ind w:left="720" w:hanging="720"/>
      </w:pPr>
      <w:bookmarkStart w:id="57" w:name="_ENREF_49"/>
      <w:r w:rsidRPr="00E16407">
        <w:t>49.</w:t>
      </w:r>
      <w:r w:rsidRPr="00E16407">
        <w:tab/>
        <w:t>Pulley, J.M.</w:t>
      </w:r>
      <w:r w:rsidRPr="00E16407">
        <w:rPr>
          <w:i/>
        </w:rPr>
        <w:t xml:space="preserve"> et al.</w:t>
      </w:r>
      <w:r w:rsidRPr="00E16407">
        <w:t xml:space="preserve"> Accelerating Precision Drug Development and Drug Repurposing by Leveraging Human Genetics. </w:t>
      </w:r>
      <w:r w:rsidRPr="00E16407">
        <w:rPr>
          <w:i/>
        </w:rPr>
        <w:t>ASSAY and Drug Development Technologies</w:t>
      </w:r>
      <w:r w:rsidRPr="00E16407">
        <w:t xml:space="preserve"> </w:t>
      </w:r>
      <w:r w:rsidRPr="00E16407">
        <w:rPr>
          <w:b/>
        </w:rPr>
        <w:t>15</w:t>
      </w:r>
      <w:r w:rsidRPr="00E16407">
        <w:t>, 113-119 (2017).</w:t>
      </w:r>
      <w:bookmarkEnd w:id="57"/>
    </w:p>
    <w:p w14:paraId="486CA5DC" w14:textId="77777777" w:rsidR="00A81934" w:rsidRPr="00E16407" w:rsidRDefault="00A81934" w:rsidP="00EF6C4C">
      <w:pPr>
        <w:pStyle w:val="EndNoteBibliography"/>
        <w:spacing w:after="0"/>
        <w:ind w:left="720" w:hanging="720"/>
      </w:pPr>
      <w:bookmarkStart w:id="58" w:name="_ENREF_50"/>
      <w:r w:rsidRPr="00E16407">
        <w:t>50.</w:t>
      </w:r>
      <w:r w:rsidRPr="00E16407">
        <w:tab/>
        <w:t>Yengo, L.</w:t>
      </w:r>
      <w:r w:rsidRPr="00E16407">
        <w:rPr>
          <w:i/>
        </w:rPr>
        <w:t xml:space="preserve"> et al.</w:t>
      </w:r>
      <w:r w:rsidRPr="00E16407">
        <w:t xml:space="preserve"> Meta-analysis of genome-wide association studies for height and body mass index in ~700,000 individuals of European ancestry. </w:t>
      </w:r>
      <w:r w:rsidRPr="00E16407">
        <w:rPr>
          <w:i/>
        </w:rPr>
        <w:t>bioRxiv</w:t>
      </w:r>
      <w:r w:rsidRPr="00E16407">
        <w:t xml:space="preserve"> (2018).</w:t>
      </w:r>
      <w:bookmarkEnd w:id="58"/>
    </w:p>
    <w:p w14:paraId="0B23B7AD" w14:textId="77777777" w:rsidR="00A81934" w:rsidRPr="00E16407" w:rsidRDefault="00A81934" w:rsidP="00EF6C4C">
      <w:pPr>
        <w:pStyle w:val="EndNoteBibliography"/>
        <w:spacing w:after="0"/>
        <w:ind w:left="720" w:hanging="720"/>
      </w:pPr>
      <w:bookmarkStart w:id="59" w:name="_ENREF_51"/>
      <w:r w:rsidRPr="00E16407">
        <w:t>51.</w:t>
      </w:r>
      <w:r w:rsidRPr="00E16407">
        <w:tab/>
        <w:t>Wain, L.V.</w:t>
      </w:r>
      <w:r w:rsidRPr="00E16407">
        <w:rPr>
          <w:i/>
        </w:rPr>
        <w:t xml:space="preserve"> et al.</w:t>
      </w:r>
      <w:r w:rsidRPr="00E16407">
        <w:t xml:space="preserve"> Whole exome re-sequencing implicates CCDC38 and cilia structure and function in resistance to smoking related airflow obstruction. </w:t>
      </w:r>
      <w:r w:rsidRPr="00E16407">
        <w:rPr>
          <w:i/>
        </w:rPr>
        <w:t>PLoS Genet</w:t>
      </w:r>
      <w:r w:rsidRPr="00E16407">
        <w:t xml:space="preserve"> </w:t>
      </w:r>
      <w:r w:rsidRPr="00E16407">
        <w:rPr>
          <w:b/>
        </w:rPr>
        <w:t>10</w:t>
      </w:r>
      <w:r w:rsidRPr="00E16407">
        <w:t>, e1004314 (2014).</w:t>
      </w:r>
      <w:bookmarkEnd w:id="59"/>
    </w:p>
    <w:p w14:paraId="744A17A6" w14:textId="77777777" w:rsidR="00A81934" w:rsidRPr="00E16407" w:rsidRDefault="00A81934" w:rsidP="00EF6C4C">
      <w:pPr>
        <w:pStyle w:val="EndNoteBibliography"/>
        <w:spacing w:after="0"/>
        <w:ind w:left="720" w:hanging="720"/>
      </w:pPr>
      <w:bookmarkStart w:id="60" w:name="_ENREF_52"/>
      <w:r w:rsidRPr="00E16407">
        <w:t>52.</w:t>
      </w:r>
      <w:r w:rsidRPr="00E16407">
        <w:tab/>
        <w:t>Black, P.N.</w:t>
      </w:r>
      <w:r w:rsidRPr="00E16407">
        <w:rPr>
          <w:i/>
        </w:rPr>
        <w:t xml:space="preserve"> et al.</w:t>
      </w:r>
      <w:r w:rsidRPr="00E16407">
        <w:t xml:space="preserve"> Changes in elastic fibres in the small airways and alveoli in COPD. </w:t>
      </w:r>
      <w:r w:rsidRPr="00E16407">
        <w:rPr>
          <w:i/>
        </w:rPr>
        <w:t>Eur Respir J</w:t>
      </w:r>
      <w:r w:rsidRPr="00E16407">
        <w:t xml:space="preserve"> </w:t>
      </w:r>
      <w:r w:rsidRPr="00E16407">
        <w:rPr>
          <w:b/>
        </w:rPr>
        <w:t>31</w:t>
      </w:r>
      <w:r w:rsidRPr="00E16407">
        <w:t>, 998-1004 (2008).</w:t>
      </w:r>
      <w:bookmarkEnd w:id="60"/>
    </w:p>
    <w:p w14:paraId="597A3729" w14:textId="77777777" w:rsidR="00A81934" w:rsidRPr="00E16407" w:rsidRDefault="00A81934" w:rsidP="00EF6C4C">
      <w:pPr>
        <w:pStyle w:val="EndNoteBibliography"/>
        <w:spacing w:after="0"/>
        <w:ind w:left="720" w:hanging="720"/>
      </w:pPr>
      <w:bookmarkStart w:id="61" w:name="_ENREF_53"/>
      <w:r w:rsidRPr="00E16407">
        <w:t>53.</w:t>
      </w:r>
      <w:r w:rsidRPr="00E16407">
        <w:tab/>
        <w:t>Martinez, F.J.</w:t>
      </w:r>
      <w:r w:rsidRPr="00E16407">
        <w:rPr>
          <w:i/>
        </w:rPr>
        <w:t xml:space="preserve"> et al.</w:t>
      </w:r>
      <w:r w:rsidRPr="00E16407">
        <w:t xml:space="preserve"> A New Approach for Identifying Patients with Undiagnosed Chronic Obstructive Pulmonary Disease. </w:t>
      </w:r>
      <w:r w:rsidRPr="00E16407">
        <w:rPr>
          <w:i/>
        </w:rPr>
        <w:t>Am J Respir Crit Care Med</w:t>
      </w:r>
      <w:r w:rsidRPr="00E16407">
        <w:t xml:space="preserve"> </w:t>
      </w:r>
      <w:r w:rsidRPr="00E16407">
        <w:rPr>
          <w:b/>
        </w:rPr>
        <w:t>195</w:t>
      </w:r>
      <w:r w:rsidRPr="00E16407">
        <w:t>, 748-756 (2017).</w:t>
      </w:r>
      <w:bookmarkEnd w:id="61"/>
    </w:p>
    <w:p w14:paraId="42297218" w14:textId="0E5EDDAC" w:rsidR="00A81934" w:rsidRPr="00384302" w:rsidRDefault="00A81934" w:rsidP="00384302">
      <w:pPr>
        <w:pStyle w:val="EndNoteBibliography"/>
        <w:spacing w:after="0"/>
        <w:ind w:left="720" w:hanging="720"/>
        <w:rPr>
          <w:rStyle w:val="Hyperlink"/>
          <w:color w:val="auto"/>
          <w:u w:val="none"/>
        </w:rPr>
      </w:pPr>
      <w:bookmarkStart w:id="62" w:name="_ENREF_54"/>
      <w:r w:rsidRPr="00E16407">
        <w:t>54.</w:t>
      </w:r>
      <w:r w:rsidRPr="00E16407">
        <w:tab/>
        <w:t>Strug, L.J.</w:t>
      </w:r>
      <w:r w:rsidRPr="00E16407">
        <w:rPr>
          <w:i/>
        </w:rPr>
        <w:t xml:space="preserve"> et al.</w:t>
      </w:r>
      <w:r w:rsidRPr="00E16407">
        <w:t xml:space="preserve"> Cystic fibrosis gene modifier SLC26A9 modulates airway response to CFTR-directed therapeutics. </w:t>
      </w:r>
      <w:r w:rsidRPr="00E16407">
        <w:rPr>
          <w:i/>
        </w:rPr>
        <w:t>Hum Mol Genet</w:t>
      </w:r>
      <w:r w:rsidRPr="00E16407">
        <w:t xml:space="preserve"> </w:t>
      </w:r>
      <w:r w:rsidRPr="00E16407">
        <w:rPr>
          <w:b/>
        </w:rPr>
        <w:t>25</w:t>
      </w:r>
      <w:r w:rsidRPr="00E16407">
        <w:t>, 4590-4600 (2016).</w:t>
      </w:r>
      <w:bookmarkEnd w:id="62"/>
    </w:p>
    <w:p w14:paraId="4B0AE15A" w14:textId="77777777" w:rsidR="00A81934" w:rsidRPr="00A81FA7" w:rsidRDefault="00A81934" w:rsidP="00EF6C4C">
      <w:pPr>
        <w:sectPr w:rsidR="00A81934" w:rsidRPr="00A81FA7" w:rsidSect="00EF69DF">
          <w:pgSz w:w="11906" w:h="16838"/>
          <w:pgMar w:top="1440" w:right="1440" w:bottom="1440" w:left="1440" w:header="708" w:footer="708" w:gutter="0"/>
          <w:lnNumType w:countBy="1" w:restart="continuous"/>
          <w:cols w:space="708"/>
          <w:docGrid w:linePitch="360"/>
        </w:sectPr>
      </w:pPr>
    </w:p>
    <w:p w14:paraId="7B742357" w14:textId="77777777" w:rsidR="00A81934" w:rsidRPr="00841A79" w:rsidRDefault="00A81934" w:rsidP="00EF6C4C">
      <w:pPr>
        <w:pStyle w:val="berschrift1"/>
        <w:rPr>
          <w:rFonts w:ascii="Times New Roman" w:hAnsi="Times New Roman" w:cs="Times New Roman"/>
        </w:rPr>
      </w:pPr>
      <w:r w:rsidRPr="00841A79">
        <w:rPr>
          <w:rFonts w:ascii="Times New Roman" w:hAnsi="Times New Roman" w:cs="Times New Roman"/>
        </w:rPr>
        <w:lastRenderedPageBreak/>
        <w:t>Figures and Figure Legends</w:t>
      </w:r>
    </w:p>
    <w:p w14:paraId="2C889FEF" w14:textId="77777777" w:rsidR="00A81934" w:rsidRPr="00072CD3" w:rsidRDefault="00A81934">
      <w:pPr>
        <w:pStyle w:val="Beschriftung"/>
      </w:pPr>
      <w:r w:rsidRPr="00072CD3">
        <w:t>Figure 1: Study design</w:t>
      </w:r>
    </w:p>
    <w:p w14:paraId="54F07895" w14:textId="4510EE2F" w:rsidR="00A81934" w:rsidRPr="00F06885" w:rsidRDefault="00A81934" w:rsidP="00841A79">
      <w:r w:rsidRPr="00F06885">
        <w:t>Tier 1 signals had P&lt;5×10</w:t>
      </w:r>
      <w:r w:rsidRPr="00F06885">
        <w:rPr>
          <w:vertAlign w:val="superscript"/>
        </w:rPr>
        <w:t>-9</w:t>
      </w:r>
      <w:r w:rsidRPr="00F06885">
        <w:t xml:space="preserve"> in UK Biobank and P&lt;10</w:t>
      </w:r>
      <w:r w:rsidRPr="00F06885">
        <w:rPr>
          <w:vertAlign w:val="superscript"/>
        </w:rPr>
        <w:t>-3</w:t>
      </w:r>
      <w:r w:rsidRPr="00F06885">
        <w:t xml:space="preserve"> in SpiroMeta with consistent direction of effect.</w:t>
      </w:r>
      <w:r w:rsidRPr="00F06885">
        <w:br/>
        <w:t>Tier 2 signals had P&lt;5×10</w:t>
      </w:r>
      <w:r w:rsidRPr="00F06885">
        <w:rPr>
          <w:vertAlign w:val="superscript"/>
        </w:rPr>
        <w:t>-9</w:t>
      </w:r>
      <w:r w:rsidRPr="00F06885">
        <w:t xml:space="preserve"> in the meta-analysis of UK Biobank and SpiroMeta with P&lt;10</w:t>
      </w:r>
      <w:r w:rsidRPr="00F06885">
        <w:rPr>
          <w:vertAlign w:val="superscript"/>
        </w:rPr>
        <w:t>-3</w:t>
      </w:r>
      <w:r w:rsidRPr="00F06885">
        <w:t xml:space="preserve"> in UK Biobank and P&lt;10</w:t>
      </w:r>
      <w:r w:rsidRPr="00F06885">
        <w:rPr>
          <w:vertAlign w:val="superscript"/>
        </w:rPr>
        <w:t xml:space="preserve">-3 </w:t>
      </w:r>
      <w:r w:rsidRPr="00F06885">
        <w:t>in SpiroMeta with consistent directions of effect. Signals with P&lt;5×10</w:t>
      </w:r>
      <w:r w:rsidRPr="00F06885">
        <w:rPr>
          <w:vertAlign w:val="superscript"/>
        </w:rPr>
        <w:t>-9</w:t>
      </w:r>
      <w:r w:rsidRPr="00F06885">
        <w:t xml:space="preserve"> in the meta-analysis of UK Biobank and SpiroMeta, and that had consistent directions of effect but did not meet P&lt;10</w:t>
      </w:r>
      <w:r w:rsidRPr="00F06885">
        <w:rPr>
          <w:vertAlign w:val="superscript"/>
        </w:rPr>
        <w:t>-3</w:t>
      </w:r>
      <w:r w:rsidRPr="00F06885">
        <w:t xml:space="preserve"> in both cohorts were reported as Tier 3.</w:t>
      </w:r>
    </w:p>
    <w:p w14:paraId="4D1650D2" w14:textId="77777777" w:rsidR="00072CD3" w:rsidRPr="00F06885" w:rsidRDefault="00072CD3" w:rsidP="00EF6C4C">
      <w:pPr>
        <w:keepNext/>
        <w:spacing w:line="259" w:lineRule="auto"/>
        <w:jc w:val="center"/>
        <w:rPr>
          <w:rFonts w:cs="Times New Roman"/>
        </w:rPr>
      </w:pPr>
    </w:p>
    <w:p w14:paraId="172467DD" w14:textId="77777777" w:rsidR="009F4F88" w:rsidRDefault="00A81934" w:rsidP="00841A79">
      <w:pPr>
        <w:pStyle w:val="Beschriftung"/>
      </w:pPr>
      <w:r w:rsidRPr="00841A79">
        <w:t>Figure 2: Strength and direction of association across four lung function traits for 139 novel signals:</w:t>
      </w:r>
    </w:p>
    <w:p w14:paraId="6F34DEC8" w14:textId="32DDA230" w:rsidR="00072CD3" w:rsidRPr="00AF4A8C" w:rsidRDefault="00A81934" w:rsidP="00841A79">
      <w:r w:rsidRPr="00AF4A8C">
        <w:t>Signals are in chromosome and genomic position order from top to bottom then left to right. Red indicates a decrease in the lung function trait; blue indicates an increase. All effects are aligned to the allele associated with decreased FEV</w:t>
      </w:r>
      <w:r w:rsidRPr="00841A79">
        <w:rPr>
          <w:vertAlign w:val="subscript"/>
        </w:rPr>
        <w:t>1</w:t>
      </w:r>
      <w:r w:rsidRPr="00841A79">
        <w:t>/FVC, hence the FEV</w:t>
      </w:r>
      <w:r w:rsidRPr="00841A79">
        <w:rPr>
          <w:vertAlign w:val="subscript"/>
        </w:rPr>
        <w:t>1</w:t>
      </w:r>
      <w:r w:rsidRPr="00841A79">
        <w:t>/FVC column is only red or white. P-values are from the meta-analysis of UK Biobank and SpiroMeta (n=400,102). The scale points are thresholds used for (i) confirmation in 2-stage analysis and 1-stage analysis (P&lt;10</w:t>
      </w:r>
      <w:r w:rsidRPr="00841A79">
        <w:rPr>
          <w:vertAlign w:val="superscript"/>
        </w:rPr>
        <w:t>-3</w:t>
      </w:r>
      <w:r w:rsidRPr="00841A79">
        <w:t>); (ii) confirmation of association of previous signals (P&lt;10</w:t>
      </w:r>
      <w:r w:rsidRPr="00841A79">
        <w:rPr>
          <w:vertAlign w:val="superscript"/>
        </w:rPr>
        <w:t>-5</w:t>
      </w:r>
      <w:r w:rsidRPr="00841A79">
        <w:t>); (iii) signal selection in 2-stage and 1-stage analysis (P&lt;5×10</w:t>
      </w:r>
      <w:r w:rsidRPr="00841A79">
        <w:rPr>
          <w:vertAlign w:val="superscript"/>
        </w:rPr>
        <w:t>-9</w:t>
      </w:r>
      <w:r w:rsidRPr="00841A79">
        <w:t>); capped at (P&lt;10</w:t>
      </w:r>
      <w:r w:rsidRPr="00841A79">
        <w:rPr>
          <w:vertAlign w:val="superscript"/>
        </w:rPr>
        <w:t>-20</w:t>
      </w:r>
      <w:r w:rsidRPr="00841A79">
        <w:t xml:space="preserve">). </w:t>
      </w:r>
      <w:r w:rsidR="00A415DB" w:rsidRPr="00841A79">
        <w:t xml:space="preserve"> FEV</w:t>
      </w:r>
      <w:r w:rsidR="00A415DB" w:rsidRPr="00841A79">
        <w:rPr>
          <w:vertAlign w:val="subscript"/>
        </w:rPr>
        <w:t xml:space="preserve">1, </w:t>
      </w:r>
      <w:r w:rsidR="00A415DB" w:rsidRPr="00841A79">
        <w:t xml:space="preserve">forced expired volume in 1 second; FVC, forced vital capacity; PEF, peak expiratory flow </w:t>
      </w:r>
    </w:p>
    <w:p w14:paraId="05E6136B" w14:textId="77777777" w:rsidR="00072CD3" w:rsidRPr="00072CD3" w:rsidRDefault="00072CD3" w:rsidP="00841A79">
      <w:pPr>
        <w:pStyle w:val="Beschriftung"/>
      </w:pPr>
    </w:p>
    <w:p w14:paraId="73CDCD14" w14:textId="62D73175" w:rsidR="00A81934" w:rsidRPr="00841A79" w:rsidRDefault="00A81934" w:rsidP="00841A79">
      <w:pPr>
        <w:pStyle w:val="Beschriftung"/>
      </w:pPr>
      <w:r w:rsidRPr="00072CD3">
        <w:t>Figure 3: Association of weighted genetic risk score (</w:t>
      </w:r>
      <w:r w:rsidR="00395013">
        <w:t>w</w:t>
      </w:r>
      <w:r w:rsidRPr="00072CD3">
        <w:t>GRS) with COPD and FEV</w:t>
      </w:r>
      <w:r w:rsidRPr="00072CD3">
        <w:rPr>
          <w:vertAlign w:val="subscript"/>
        </w:rPr>
        <w:t>1</w:t>
      </w:r>
      <w:r w:rsidRPr="00072CD3">
        <w:t>/FVC.</w:t>
      </w:r>
    </w:p>
    <w:p w14:paraId="722AC37C" w14:textId="43993815" w:rsidR="00072CD3" w:rsidRPr="00841A79" w:rsidRDefault="00A81934" w:rsidP="00841A79">
      <w:pPr>
        <w:pStyle w:val="KeinLeerraum"/>
        <w:numPr>
          <w:ilvl w:val="0"/>
          <w:numId w:val="45"/>
        </w:numPr>
        <w:spacing w:after="240"/>
        <w:rPr>
          <w:rFonts w:ascii="Times New Roman" w:hAnsi="Times New Roman" w:cs="Times New Roman"/>
          <w:sz w:val="24"/>
          <w:szCs w:val="24"/>
        </w:rPr>
      </w:pPr>
      <w:r w:rsidRPr="00841A79">
        <w:rPr>
          <w:rFonts w:ascii="Times New Roman" w:hAnsi="Times New Roman" w:cs="Times New Roman"/>
          <w:sz w:val="24"/>
          <w:szCs w:val="24"/>
        </w:rPr>
        <w:t xml:space="preserve">Association of the </w:t>
      </w:r>
      <w:r w:rsidR="00395013">
        <w:rPr>
          <w:rFonts w:ascii="Times New Roman" w:hAnsi="Times New Roman" w:cs="Times New Roman"/>
          <w:sz w:val="24"/>
          <w:szCs w:val="24"/>
        </w:rPr>
        <w:t>w</w:t>
      </w:r>
      <w:r w:rsidRPr="00841A79">
        <w:rPr>
          <w:rFonts w:ascii="Times New Roman" w:hAnsi="Times New Roman" w:cs="Times New Roman"/>
          <w:sz w:val="24"/>
          <w:szCs w:val="24"/>
        </w:rPr>
        <w:t>GRS with FEV</w:t>
      </w:r>
      <w:r w:rsidRPr="00841A79">
        <w:rPr>
          <w:rFonts w:ascii="Times New Roman" w:hAnsi="Times New Roman" w:cs="Times New Roman"/>
          <w:sz w:val="24"/>
          <w:szCs w:val="24"/>
          <w:vertAlign w:val="subscript"/>
        </w:rPr>
        <w:t>1</w:t>
      </w:r>
      <w:r w:rsidRPr="00841A79">
        <w:rPr>
          <w:rFonts w:ascii="Times New Roman" w:hAnsi="Times New Roman" w:cs="Times New Roman"/>
          <w:sz w:val="24"/>
          <w:szCs w:val="24"/>
        </w:rPr>
        <w:t xml:space="preserve">/FVC and COPD in UK Biobank </w:t>
      </w:r>
      <w:r w:rsidR="00F44372">
        <w:rPr>
          <w:rFonts w:ascii="Times New Roman" w:hAnsi="Times New Roman" w:cs="Times New Roman"/>
          <w:sz w:val="24"/>
          <w:szCs w:val="24"/>
        </w:rPr>
        <w:t xml:space="preserve">(UKB) </w:t>
      </w:r>
      <w:r w:rsidRPr="00841A79">
        <w:rPr>
          <w:rFonts w:ascii="Times New Roman" w:hAnsi="Times New Roman" w:cs="Times New Roman"/>
          <w:sz w:val="24"/>
          <w:szCs w:val="24"/>
        </w:rPr>
        <w:t xml:space="preserve">and China Kadoorie Biobank (CKB) </w:t>
      </w:r>
      <w:r w:rsidR="00A73B19">
        <w:rPr>
          <w:rFonts w:ascii="Times New Roman" w:hAnsi="Times New Roman" w:cs="Times New Roman"/>
          <w:sz w:val="24"/>
          <w:szCs w:val="24"/>
        </w:rPr>
        <w:t>(</w:t>
      </w:r>
      <w:r w:rsidR="00A73B19" w:rsidRPr="00014C75">
        <w:rPr>
          <w:rFonts w:ascii="Times New Roman" w:hAnsi="Times New Roman" w:cs="Times New Roman"/>
          <w:b/>
          <w:sz w:val="24"/>
          <w:szCs w:val="24"/>
        </w:rPr>
        <w:t>Supplementary Table 19</w:t>
      </w:r>
      <w:r w:rsidR="00A73B19" w:rsidRPr="00841A79">
        <w:rPr>
          <w:rFonts w:cs="Times New Roman"/>
        </w:rPr>
        <w:t>).</w:t>
      </w:r>
      <w:r w:rsidRPr="00841A79">
        <w:rPr>
          <w:rFonts w:ascii="Times New Roman" w:hAnsi="Times New Roman" w:cs="Times New Roman"/>
          <w:sz w:val="24"/>
          <w:szCs w:val="24"/>
        </w:rPr>
        <w:t xml:space="preserve"> </w:t>
      </w:r>
      <w:r w:rsidR="00F44372">
        <w:rPr>
          <w:rFonts w:ascii="Times New Roman" w:hAnsi="Times New Roman" w:cs="Times New Roman"/>
          <w:sz w:val="24"/>
          <w:szCs w:val="24"/>
        </w:rPr>
        <w:t>L</w:t>
      </w:r>
      <w:r w:rsidRPr="00841A79">
        <w:rPr>
          <w:rFonts w:ascii="Times New Roman" w:hAnsi="Times New Roman" w:cs="Times New Roman"/>
          <w:sz w:val="24"/>
          <w:szCs w:val="24"/>
        </w:rPr>
        <w:t>eft-hand axis</w:t>
      </w:r>
      <w:r w:rsidR="00F44372">
        <w:rPr>
          <w:rFonts w:ascii="Times New Roman" w:hAnsi="Times New Roman" w:cs="Times New Roman"/>
          <w:sz w:val="24"/>
          <w:szCs w:val="24"/>
        </w:rPr>
        <w:t>:</w:t>
      </w:r>
      <w:r w:rsidR="00A73B19">
        <w:rPr>
          <w:rFonts w:ascii="Times New Roman" w:hAnsi="Times New Roman" w:cs="Times New Roman"/>
          <w:sz w:val="24"/>
          <w:szCs w:val="24"/>
        </w:rPr>
        <w:t xml:space="preserve"> </w:t>
      </w:r>
      <w:r w:rsidR="00AF2ADB">
        <w:rPr>
          <w:rFonts w:ascii="Times New Roman" w:hAnsi="Times New Roman" w:cs="Times New Roman"/>
          <w:sz w:val="24"/>
          <w:szCs w:val="24"/>
        </w:rPr>
        <w:t>standard deviation (</w:t>
      </w:r>
      <w:r w:rsidR="00A73B19">
        <w:rPr>
          <w:rFonts w:ascii="Times New Roman" w:hAnsi="Times New Roman" w:cs="Times New Roman"/>
          <w:sz w:val="24"/>
          <w:szCs w:val="24"/>
        </w:rPr>
        <w:t>SD</w:t>
      </w:r>
      <w:r w:rsidR="00AF2ADB">
        <w:rPr>
          <w:rFonts w:ascii="Times New Roman" w:hAnsi="Times New Roman" w:cs="Times New Roman"/>
          <w:sz w:val="24"/>
          <w:szCs w:val="24"/>
        </w:rPr>
        <w:t>)</w:t>
      </w:r>
      <w:r w:rsidR="00A73B19">
        <w:rPr>
          <w:rFonts w:ascii="Times New Roman" w:hAnsi="Times New Roman" w:cs="Times New Roman"/>
          <w:sz w:val="24"/>
          <w:szCs w:val="24"/>
        </w:rPr>
        <w:t xml:space="preserve"> </w:t>
      </w:r>
      <w:r w:rsidRPr="00841A79">
        <w:rPr>
          <w:rFonts w:ascii="Times New Roman" w:hAnsi="Times New Roman" w:cs="Times New Roman"/>
          <w:sz w:val="24"/>
          <w:szCs w:val="24"/>
        </w:rPr>
        <w:t>change in FEV</w:t>
      </w:r>
      <w:r w:rsidRPr="00841A79">
        <w:rPr>
          <w:rFonts w:ascii="Times New Roman" w:hAnsi="Times New Roman" w:cs="Times New Roman"/>
          <w:sz w:val="24"/>
          <w:szCs w:val="24"/>
          <w:vertAlign w:val="subscript"/>
        </w:rPr>
        <w:t>1</w:t>
      </w:r>
      <w:r w:rsidRPr="00841A79">
        <w:rPr>
          <w:rFonts w:ascii="Times New Roman" w:hAnsi="Times New Roman" w:cs="Times New Roman"/>
          <w:sz w:val="24"/>
          <w:szCs w:val="24"/>
        </w:rPr>
        <w:t xml:space="preserve">/FVC per SD increase in </w:t>
      </w:r>
      <w:r w:rsidR="00395013">
        <w:rPr>
          <w:rFonts w:ascii="Times New Roman" w:hAnsi="Times New Roman" w:cs="Times New Roman"/>
          <w:sz w:val="24"/>
          <w:szCs w:val="24"/>
        </w:rPr>
        <w:t>w</w:t>
      </w:r>
      <w:r w:rsidRPr="00841A79">
        <w:rPr>
          <w:rFonts w:ascii="Times New Roman" w:hAnsi="Times New Roman" w:cs="Times New Roman"/>
          <w:sz w:val="24"/>
          <w:szCs w:val="24"/>
        </w:rPr>
        <w:t>GRS</w:t>
      </w:r>
      <w:r w:rsidR="00072CD3" w:rsidRPr="00841A79">
        <w:rPr>
          <w:rFonts w:ascii="Times New Roman" w:hAnsi="Times New Roman" w:cs="Times New Roman"/>
          <w:sz w:val="24"/>
          <w:szCs w:val="24"/>
        </w:rPr>
        <w:t xml:space="preserve"> </w:t>
      </w:r>
      <w:r w:rsidRPr="00841A79">
        <w:rPr>
          <w:rFonts w:ascii="Times New Roman" w:hAnsi="Times New Roman" w:cs="Times New Roman"/>
          <w:sz w:val="24"/>
          <w:szCs w:val="24"/>
        </w:rPr>
        <w:t>(light grey bars</w:t>
      </w:r>
      <w:r w:rsidR="00D11E00">
        <w:rPr>
          <w:rFonts w:ascii="Times New Roman" w:hAnsi="Times New Roman" w:cs="Times New Roman"/>
          <w:sz w:val="24"/>
          <w:szCs w:val="24"/>
        </w:rPr>
        <w:t>, N=total sample size</w:t>
      </w:r>
      <w:r w:rsidRPr="00841A79">
        <w:rPr>
          <w:rFonts w:ascii="Times New Roman" w:hAnsi="Times New Roman" w:cs="Times New Roman"/>
          <w:sz w:val="24"/>
          <w:szCs w:val="24"/>
        </w:rPr>
        <w:t xml:space="preserve">). </w:t>
      </w:r>
      <w:r w:rsidR="00F44372">
        <w:rPr>
          <w:rFonts w:ascii="Times New Roman" w:hAnsi="Times New Roman" w:cs="Times New Roman"/>
          <w:sz w:val="24"/>
          <w:szCs w:val="24"/>
        </w:rPr>
        <w:t>R</w:t>
      </w:r>
      <w:r w:rsidRPr="00841A79">
        <w:rPr>
          <w:rFonts w:ascii="Times New Roman" w:hAnsi="Times New Roman" w:cs="Times New Roman"/>
          <w:sz w:val="24"/>
          <w:szCs w:val="24"/>
        </w:rPr>
        <w:t>ight</w:t>
      </w:r>
      <w:r w:rsidR="00F44372">
        <w:rPr>
          <w:rFonts w:ascii="Times New Roman" w:hAnsi="Times New Roman" w:cs="Times New Roman"/>
          <w:sz w:val="24"/>
          <w:szCs w:val="24"/>
        </w:rPr>
        <w:t>-hand</w:t>
      </w:r>
      <w:r w:rsidRPr="00841A79">
        <w:rPr>
          <w:rFonts w:ascii="Times New Roman" w:hAnsi="Times New Roman" w:cs="Times New Roman"/>
          <w:sz w:val="24"/>
          <w:szCs w:val="24"/>
        </w:rPr>
        <w:t xml:space="preserve"> axis</w:t>
      </w:r>
      <w:r w:rsidR="00F44372">
        <w:rPr>
          <w:rFonts w:ascii="Times New Roman" w:hAnsi="Times New Roman" w:cs="Times New Roman"/>
          <w:sz w:val="24"/>
          <w:szCs w:val="24"/>
        </w:rPr>
        <w:t>:</w:t>
      </w:r>
      <w:r w:rsidRPr="00841A79">
        <w:rPr>
          <w:rFonts w:ascii="Times New Roman" w:hAnsi="Times New Roman" w:cs="Times New Roman"/>
          <w:sz w:val="24"/>
          <w:szCs w:val="24"/>
        </w:rPr>
        <w:t xml:space="preserve"> the translation of this effect to COPD </w:t>
      </w:r>
      <w:r w:rsidR="00395013">
        <w:rPr>
          <w:rFonts w:ascii="Times New Roman" w:hAnsi="Times New Roman" w:cs="Times New Roman"/>
          <w:sz w:val="24"/>
          <w:szCs w:val="24"/>
        </w:rPr>
        <w:t>(</w:t>
      </w:r>
      <w:r w:rsidR="00395013" w:rsidRPr="00EF6D7F">
        <w:rPr>
          <w:rFonts w:ascii="Times New Roman" w:hAnsi="Times New Roman" w:cs="Times New Roman"/>
          <w:sz w:val="24"/>
          <w:szCs w:val="24"/>
        </w:rPr>
        <w:t>GOLD stage 2-4</w:t>
      </w:r>
      <w:r w:rsidR="00395013">
        <w:rPr>
          <w:rFonts w:ascii="Times New Roman" w:hAnsi="Times New Roman" w:cs="Times New Roman"/>
          <w:sz w:val="24"/>
          <w:szCs w:val="24"/>
        </w:rPr>
        <w:t xml:space="preserve">) odds ratio (OR) </w:t>
      </w:r>
      <w:r w:rsidR="00032A2B" w:rsidRPr="00331C5D">
        <w:rPr>
          <w:rFonts w:ascii="Times New Roman" w:hAnsi="Times New Roman" w:cs="Times New Roman"/>
          <w:sz w:val="24"/>
          <w:szCs w:val="24"/>
        </w:rPr>
        <w:t xml:space="preserve">per SD increase in </w:t>
      </w:r>
      <w:r w:rsidR="00032A2B">
        <w:rPr>
          <w:rFonts w:ascii="Times New Roman" w:hAnsi="Times New Roman" w:cs="Times New Roman"/>
          <w:sz w:val="24"/>
          <w:szCs w:val="24"/>
        </w:rPr>
        <w:t>w</w:t>
      </w:r>
      <w:r w:rsidR="00032A2B" w:rsidRPr="00331C5D">
        <w:rPr>
          <w:rFonts w:ascii="Times New Roman" w:hAnsi="Times New Roman" w:cs="Times New Roman"/>
          <w:sz w:val="24"/>
          <w:szCs w:val="24"/>
        </w:rPr>
        <w:t>GRS</w:t>
      </w:r>
      <w:r w:rsidR="00032A2B" w:rsidRPr="00072CD3">
        <w:rPr>
          <w:rFonts w:cs="Times New Roman"/>
        </w:rPr>
        <w:t xml:space="preserve"> </w:t>
      </w:r>
      <w:r w:rsidRPr="00841A79">
        <w:rPr>
          <w:rFonts w:ascii="Times New Roman" w:hAnsi="Times New Roman" w:cs="Times New Roman"/>
          <w:sz w:val="24"/>
          <w:szCs w:val="24"/>
        </w:rPr>
        <w:t>in the same individuals</w:t>
      </w:r>
      <w:r w:rsidR="00032A2B">
        <w:rPr>
          <w:rFonts w:ascii="Times New Roman" w:hAnsi="Times New Roman" w:cs="Times New Roman"/>
          <w:sz w:val="24"/>
          <w:szCs w:val="24"/>
        </w:rPr>
        <w:t xml:space="preserve"> </w:t>
      </w:r>
      <w:r w:rsidR="00395013" w:rsidRPr="00EF6D7F">
        <w:rPr>
          <w:rFonts w:ascii="Times New Roman" w:hAnsi="Times New Roman" w:cs="Times New Roman"/>
          <w:sz w:val="24"/>
          <w:szCs w:val="24"/>
        </w:rPr>
        <w:t xml:space="preserve">for </w:t>
      </w:r>
      <w:r w:rsidR="00395013">
        <w:rPr>
          <w:rFonts w:ascii="Times New Roman" w:hAnsi="Times New Roman" w:cs="Times New Roman"/>
          <w:sz w:val="24"/>
          <w:szCs w:val="24"/>
        </w:rPr>
        <w:t xml:space="preserve">UKB </w:t>
      </w:r>
      <w:r w:rsidR="00395013" w:rsidRPr="00EF6D7F">
        <w:rPr>
          <w:rFonts w:ascii="Times New Roman" w:hAnsi="Times New Roman" w:cs="Times New Roman"/>
          <w:sz w:val="24"/>
          <w:szCs w:val="24"/>
        </w:rPr>
        <w:t>ancestries with</w:t>
      </w:r>
      <w:r w:rsidR="00395013">
        <w:rPr>
          <w:rFonts w:ascii="Times New Roman" w:hAnsi="Times New Roman" w:cs="Times New Roman"/>
          <w:sz w:val="24"/>
          <w:szCs w:val="24"/>
        </w:rPr>
        <w:t xml:space="preserve"> </w:t>
      </w:r>
      <w:r w:rsidR="00395013" w:rsidRPr="00EF6D7F">
        <w:rPr>
          <w:rFonts w:ascii="Times New Roman" w:hAnsi="Times New Roman" w:cs="Times New Roman"/>
          <w:sz w:val="24"/>
          <w:szCs w:val="24"/>
        </w:rPr>
        <w:t xml:space="preserve">&gt;100 </w:t>
      </w:r>
      <w:r w:rsidR="00395013">
        <w:rPr>
          <w:rFonts w:ascii="Times New Roman" w:hAnsi="Times New Roman" w:cs="Times New Roman"/>
          <w:sz w:val="24"/>
          <w:szCs w:val="24"/>
        </w:rPr>
        <w:t xml:space="preserve">COPD </w:t>
      </w:r>
      <w:r w:rsidR="00395013" w:rsidRPr="00EF6D7F">
        <w:rPr>
          <w:rFonts w:ascii="Times New Roman" w:hAnsi="Times New Roman" w:cs="Times New Roman"/>
          <w:sz w:val="24"/>
          <w:szCs w:val="24"/>
        </w:rPr>
        <w:t>cases</w:t>
      </w:r>
      <w:r w:rsidR="00032A2B">
        <w:rPr>
          <w:rFonts w:ascii="Times New Roman" w:hAnsi="Times New Roman" w:cs="Times New Roman"/>
          <w:sz w:val="24"/>
          <w:szCs w:val="24"/>
        </w:rPr>
        <w:t xml:space="preserve"> </w:t>
      </w:r>
      <w:r w:rsidRPr="00841A79">
        <w:rPr>
          <w:rFonts w:ascii="Times New Roman" w:hAnsi="Times New Roman" w:cs="Times New Roman"/>
          <w:sz w:val="24"/>
          <w:szCs w:val="24"/>
        </w:rPr>
        <w:t>(dark grey bars</w:t>
      </w:r>
      <w:r w:rsidR="00D11E00">
        <w:rPr>
          <w:rFonts w:ascii="Times New Roman" w:hAnsi="Times New Roman" w:cs="Times New Roman"/>
          <w:sz w:val="24"/>
          <w:szCs w:val="24"/>
        </w:rPr>
        <w:t>, N=number of cases + number of controls</w:t>
      </w:r>
      <w:r w:rsidR="00032A2B">
        <w:rPr>
          <w:rFonts w:ascii="Times New Roman" w:hAnsi="Times New Roman" w:cs="Times New Roman"/>
          <w:sz w:val="24"/>
          <w:szCs w:val="24"/>
        </w:rPr>
        <w:t>.</w:t>
      </w:r>
      <w:r w:rsidRPr="00841A79">
        <w:rPr>
          <w:rFonts w:ascii="Times New Roman" w:hAnsi="Times New Roman" w:cs="Times New Roman"/>
          <w:sz w:val="24"/>
          <w:szCs w:val="24"/>
        </w:rPr>
        <w:t xml:space="preserve"> </w:t>
      </w:r>
      <w:r w:rsidR="00032A2B">
        <w:rPr>
          <w:rFonts w:ascii="Times New Roman" w:hAnsi="Times New Roman" w:cs="Times New Roman"/>
          <w:sz w:val="24"/>
          <w:szCs w:val="24"/>
        </w:rPr>
        <w:t>W</w:t>
      </w:r>
      <w:r w:rsidRPr="00841A79">
        <w:rPr>
          <w:rFonts w:ascii="Times New Roman" w:hAnsi="Times New Roman" w:cs="Times New Roman"/>
          <w:sz w:val="24"/>
          <w:szCs w:val="24"/>
        </w:rPr>
        <w:t xml:space="preserve">hiskers represent 95% confidence intervals. </w:t>
      </w:r>
      <w:r w:rsidR="00F44372">
        <w:rPr>
          <w:rFonts w:ascii="Times New Roman" w:hAnsi="Times New Roman" w:cs="Times New Roman"/>
          <w:sz w:val="24"/>
          <w:szCs w:val="24"/>
        </w:rPr>
        <w:t>S</w:t>
      </w:r>
      <w:r w:rsidRPr="00841A79">
        <w:rPr>
          <w:rFonts w:ascii="Times New Roman" w:hAnsi="Times New Roman" w:cs="Times New Roman"/>
          <w:sz w:val="24"/>
          <w:szCs w:val="24"/>
        </w:rPr>
        <w:t xml:space="preserve">ome variants in the </w:t>
      </w:r>
      <w:r w:rsidR="00B6507C">
        <w:rPr>
          <w:rFonts w:ascii="Times New Roman" w:hAnsi="Times New Roman" w:cs="Times New Roman"/>
          <w:sz w:val="24"/>
          <w:szCs w:val="24"/>
        </w:rPr>
        <w:t>w</w:t>
      </w:r>
      <w:r w:rsidRPr="00841A79">
        <w:rPr>
          <w:rFonts w:ascii="Times New Roman" w:hAnsi="Times New Roman" w:cs="Times New Roman"/>
          <w:sz w:val="24"/>
          <w:szCs w:val="24"/>
        </w:rPr>
        <w:t>GRS</w:t>
      </w:r>
      <w:r w:rsidR="00072CD3" w:rsidRPr="00841A79">
        <w:rPr>
          <w:rFonts w:ascii="Times New Roman" w:hAnsi="Times New Roman" w:cs="Times New Roman"/>
          <w:sz w:val="24"/>
          <w:szCs w:val="24"/>
        </w:rPr>
        <w:t xml:space="preserve"> </w:t>
      </w:r>
      <w:r w:rsidRPr="00841A79">
        <w:rPr>
          <w:rFonts w:ascii="Times New Roman" w:hAnsi="Times New Roman" w:cs="Times New Roman"/>
          <w:sz w:val="24"/>
          <w:szCs w:val="24"/>
        </w:rPr>
        <w:t>were discovered in UK</w:t>
      </w:r>
      <w:r w:rsidR="00F44372">
        <w:rPr>
          <w:rFonts w:ascii="Times New Roman" w:hAnsi="Times New Roman" w:cs="Times New Roman"/>
          <w:sz w:val="24"/>
          <w:szCs w:val="24"/>
        </w:rPr>
        <w:t xml:space="preserve">B </w:t>
      </w:r>
      <w:r w:rsidRPr="00841A79">
        <w:rPr>
          <w:rFonts w:ascii="Times New Roman" w:hAnsi="Times New Roman" w:cs="Times New Roman"/>
          <w:sz w:val="24"/>
          <w:szCs w:val="24"/>
        </w:rPr>
        <w:t>European</w:t>
      </w:r>
      <w:r w:rsidR="00B6507C">
        <w:rPr>
          <w:rFonts w:ascii="Times New Roman" w:hAnsi="Times New Roman" w:cs="Times New Roman"/>
          <w:sz w:val="24"/>
          <w:szCs w:val="24"/>
        </w:rPr>
        <w:t>s</w:t>
      </w:r>
      <w:r w:rsidRPr="00841A79">
        <w:rPr>
          <w:rFonts w:ascii="Times New Roman" w:hAnsi="Times New Roman" w:cs="Times New Roman"/>
          <w:sz w:val="24"/>
          <w:szCs w:val="24"/>
        </w:rPr>
        <w:t xml:space="preserve">, therefore </w:t>
      </w:r>
      <w:r w:rsidR="00032A2B">
        <w:rPr>
          <w:rFonts w:ascii="Times New Roman" w:hAnsi="Times New Roman" w:cs="Times New Roman"/>
          <w:sz w:val="24"/>
          <w:szCs w:val="24"/>
        </w:rPr>
        <w:t>UKB Europeans</w:t>
      </w:r>
      <w:r w:rsidRPr="00841A79">
        <w:rPr>
          <w:rFonts w:ascii="Times New Roman" w:hAnsi="Times New Roman" w:cs="Times New Roman"/>
          <w:sz w:val="24"/>
          <w:szCs w:val="24"/>
        </w:rPr>
        <w:t xml:space="preserve"> are shown for reference only</w:t>
      </w:r>
      <w:r w:rsidR="00032A2B">
        <w:rPr>
          <w:rFonts w:ascii="Times New Roman" w:hAnsi="Times New Roman" w:cs="Times New Roman"/>
          <w:sz w:val="24"/>
          <w:szCs w:val="24"/>
        </w:rPr>
        <w:t xml:space="preserve"> </w:t>
      </w:r>
      <w:r w:rsidR="00032A2B" w:rsidRPr="00331C5D">
        <w:rPr>
          <w:rFonts w:ascii="Times New Roman" w:hAnsi="Times New Roman" w:cs="Times New Roman"/>
          <w:sz w:val="24"/>
          <w:szCs w:val="24"/>
        </w:rPr>
        <w:t>(far left</w:t>
      </w:r>
      <w:r w:rsidR="0020391F">
        <w:rPr>
          <w:rFonts w:ascii="Times New Roman" w:hAnsi="Times New Roman" w:cs="Times New Roman"/>
          <w:sz w:val="24"/>
          <w:szCs w:val="24"/>
        </w:rPr>
        <w:t>,</w:t>
      </w:r>
      <w:r w:rsidR="00032A2B" w:rsidRPr="00331C5D">
        <w:rPr>
          <w:rFonts w:ascii="Times New Roman" w:hAnsi="Times New Roman" w:cs="Times New Roman"/>
          <w:sz w:val="24"/>
          <w:szCs w:val="24"/>
        </w:rPr>
        <w:t xml:space="preserve"> ‘Discovery sample’)</w:t>
      </w:r>
      <w:r w:rsidRPr="00841A79">
        <w:rPr>
          <w:rFonts w:ascii="Times New Roman" w:hAnsi="Times New Roman" w:cs="Times New Roman"/>
          <w:sz w:val="24"/>
          <w:szCs w:val="24"/>
        </w:rPr>
        <w:t>. All other ancestral groups are independent to UKB Europeans.</w:t>
      </w:r>
    </w:p>
    <w:p w14:paraId="0C8A3CB8" w14:textId="15BEBC6A" w:rsidR="009F4F88" w:rsidRDefault="00A81934" w:rsidP="00841A79">
      <w:pPr>
        <w:pStyle w:val="KeinLeerraum"/>
        <w:numPr>
          <w:ilvl w:val="0"/>
          <w:numId w:val="45"/>
        </w:numPr>
        <w:spacing w:after="240"/>
        <w:rPr>
          <w:rFonts w:ascii="Times New Roman" w:hAnsi="Times New Roman" w:cs="Times New Roman"/>
          <w:sz w:val="24"/>
          <w:szCs w:val="24"/>
        </w:rPr>
      </w:pPr>
      <w:r w:rsidRPr="00841A79">
        <w:rPr>
          <w:rFonts w:ascii="Times New Roman" w:hAnsi="Times New Roman" w:cs="Times New Roman"/>
          <w:sz w:val="24"/>
          <w:szCs w:val="24"/>
        </w:rPr>
        <w:t xml:space="preserve">OR for COPD per SD increase in </w:t>
      </w:r>
      <w:r w:rsidR="00395013">
        <w:rPr>
          <w:rFonts w:ascii="Times New Roman" w:hAnsi="Times New Roman" w:cs="Times New Roman"/>
          <w:sz w:val="24"/>
          <w:szCs w:val="24"/>
        </w:rPr>
        <w:t>w</w:t>
      </w:r>
      <w:r w:rsidR="00CD33DC">
        <w:rPr>
          <w:rFonts w:ascii="Times New Roman" w:hAnsi="Times New Roman" w:cs="Times New Roman"/>
          <w:sz w:val="24"/>
          <w:szCs w:val="24"/>
        </w:rPr>
        <w:t>GRS</w:t>
      </w:r>
      <w:r w:rsidRPr="00841A79">
        <w:rPr>
          <w:rFonts w:ascii="Times New Roman" w:hAnsi="Times New Roman" w:cs="Times New Roman"/>
          <w:sz w:val="24"/>
          <w:szCs w:val="24"/>
        </w:rPr>
        <w:t xml:space="preserve"> in six study groups. COPD was defined using GOLD 2-4 criteria</w:t>
      </w:r>
      <w:r w:rsidR="00CD33DC">
        <w:rPr>
          <w:rFonts w:ascii="Times New Roman" w:hAnsi="Times New Roman" w:cs="Times New Roman"/>
          <w:sz w:val="24"/>
          <w:szCs w:val="24"/>
        </w:rPr>
        <w:t xml:space="preserve"> (</w:t>
      </w:r>
      <w:r w:rsidR="00CD33DC" w:rsidRPr="00014C75">
        <w:rPr>
          <w:rFonts w:ascii="Times New Roman" w:hAnsi="Times New Roman" w:cs="Times New Roman"/>
          <w:b/>
          <w:bCs/>
          <w:sz w:val="24"/>
          <w:szCs w:val="24"/>
        </w:rPr>
        <w:t>Supplementary Table 21</w:t>
      </w:r>
      <w:r w:rsidR="00395013">
        <w:rPr>
          <w:rFonts w:ascii="Times New Roman" w:hAnsi="Times New Roman" w:cs="Times New Roman"/>
          <w:sz w:val="24"/>
          <w:szCs w:val="24"/>
        </w:rPr>
        <w:t>:</w:t>
      </w:r>
      <w:r w:rsidR="00CD33DC">
        <w:rPr>
          <w:rFonts w:ascii="Times New Roman" w:hAnsi="Times New Roman" w:cs="Times New Roman"/>
          <w:sz w:val="24"/>
          <w:szCs w:val="24"/>
        </w:rPr>
        <w:t xml:space="preserve"> m</w:t>
      </w:r>
      <w:r w:rsidRPr="00841A79">
        <w:rPr>
          <w:rFonts w:ascii="Times New Roman" w:hAnsi="Times New Roman" w:cs="Times New Roman"/>
          <w:sz w:val="24"/>
          <w:szCs w:val="24"/>
        </w:rPr>
        <w:t xml:space="preserve">eans and </w:t>
      </w:r>
      <w:r w:rsidR="00CD33DC">
        <w:rPr>
          <w:rFonts w:ascii="Times New Roman" w:hAnsi="Times New Roman" w:cs="Times New Roman"/>
          <w:sz w:val="24"/>
          <w:szCs w:val="24"/>
        </w:rPr>
        <w:t>SDs</w:t>
      </w:r>
      <w:r w:rsidRPr="00841A79">
        <w:rPr>
          <w:rFonts w:ascii="Times New Roman" w:hAnsi="Times New Roman" w:cs="Times New Roman"/>
          <w:sz w:val="24"/>
          <w:szCs w:val="24"/>
        </w:rPr>
        <w:t xml:space="preserve"> of risk scores</w:t>
      </w:r>
      <w:r w:rsidR="00CD33DC">
        <w:rPr>
          <w:rFonts w:ascii="Times New Roman" w:hAnsi="Times New Roman" w:cs="Times New Roman"/>
          <w:sz w:val="24"/>
          <w:szCs w:val="24"/>
        </w:rPr>
        <w:t>)</w:t>
      </w:r>
      <w:r w:rsidRPr="00841A79">
        <w:rPr>
          <w:rFonts w:ascii="Times New Roman" w:hAnsi="Times New Roman" w:cs="Times New Roman"/>
          <w:sz w:val="24"/>
          <w:szCs w:val="24"/>
        </w:rPr>
        <w:t>. The vertical black line indicates the null effect (OR</w:t>
      </w:r>
      <w:r w:rsidR="00F44372">
        <w:rPr>
          <w:rFonts w:ascii="Times New Roman" w:hAnsi="Times New Roman" w:cs="Times New Roman"/>
          <w:sz w:val="24"/>
          <w:szCs w:val="24"/>
        </w:rPr>
        <w:t>=</w:t>
      </w:r>
      <w:r w:rsidRPr="00841A79">
        <w:rPr>
          <w:rFonts w:ascii="Times New Roman" w:hAnsi="Times New Roman" w:cs="Times New Roman"/>
          <w:sz w:val="24"/>
          <w:szCs w:val="24"/>
        </w:rPr>
        <w:t>1). The point estimate of each study is represented by a box proportional to study weight</w:t>
      </w:r>
      <w:r w:rsidR="00CD33DC">
        <w:rPr>
          <w:rFonts w:ascii="Times New Roman" w:hAnsi="Times New Roman" w:cs="Times New Roman"/>
          <w:sz w:val="24"/>
          <w:szCs w:val="24"/>
        </w:rPr>
        <w:t>;</w:t>
      </w:r>
      <w:r w:rsidRPr="00841A79">
        <w:rPr>
          <w:rFonts w:ascii="Times New Roman" w:hAnsi="Times New Roman" w:cs="Times New Roman"/>
          <w:sz w:val="24"/>
          <w:szCs w:val="24"/>
        </w:rPr>
        <w:t xml:space="preserve"> </w:t>
      </w:r>
      <w:r w:rsidR="00CD33DC">
        <w:rPr>
          <w:rFonts w:ascii="Times New Roman" w:hAnsi="Times New Roman" w:cs="Times New Roman"/>
          <w:sz w:val="24"/>
          <w:szCs w:val="24"/>
        </w:rPr>
        <w:t>whiskers</w:t>
      </w:r>
      <w:r w:rsidRPr="00841A79">
        <w:rPr>
          <w:rFonts w:ascii="Times New Roman" w:hAnsi="Times New Roman" w:cs="Times New Roman"/>
          <w:sz w:val="24"/>
          <w:szCs w:val="24"/>
        </w:rPr>
        <w:t xml:space="preserve"> represent </w:t>
      </w:r>
      <w:r w:rsidR="00CD33DC">
        <w:rPr>
          <w:rFonts w:ascii="Times New Roman" w:hAnsi="Times New Roman" w:cs="Times New Roman"/>
          <w:sz w:val="24"/>
          <w:szCs w:val="24"/>
        </w:rPr>
        <w:t>9</w:t>
      </w:r>
      <w:r w:rsidRPr="00841A79">
        <w:rPr>
          <w:rFonts w:ascii="Times New Roman" w:hAnsi="Times New Roman" w:cs="Times New Roman"/>
          <w:sz w:val="24"/>
          <w:szCs w:val="24"/>
        </w:rPr>
        <w:t>5% confidence interval</w:t>
      </w:r>
      <w:r w:rsidR="00032A2B">
        <w:rPr>
          <w:rFonts w:ascii="Times New Roman" w:hAnsi="Times New Roman" w:cs="Times New Roman"/>
          <w:sz w:val="24"/>
          <w:szCs w:val="24"/>
        </w:rPr>
        <w:t>s</w:t>
      </w:r>
      <w:r w:rsidRPr="00841A79">
        <w:rPr>
          <w:rFonts w:ascii="Times New Roman" w:hAnsi="Times New Roman" w:cs="Times New Roman"/>
          <w:sz w:val="24"/>
          <w:szCs w:val="24"/>
        </w:rPr>
        <w:t xml:space="preserve">. </w:t>
      </w:r>
      <w:r w:rsidR="00032A2B">
        <w:rPr>
          <w:rFonts w:ascii="Times New Roman" w:hAnsi="Times New Roman" w:cs="Times New Roman"/>
          <w:sz w:val="24"/>
          <w:szCs w:val="24"/>
        </w:rPr>
        <w:t>The diamond represents a</w:t>
      </w:r>
      <w:r w:rsidRPr="00841A79">
        <w:rPr>
          <w:rFonts w:ascii="Times New Roman" w:hAnsi="Times New Roman" w:cs="Times New Roman"/>
          <w:sz w:val="24"/>
          <w:szCs w:val="24"/>
        </w:rPr>
        <w:t xml:space="preserve"> fixed effect meta-analysis of the five European-ancestry groups, the width of which represents the 95% confidence interval (I</w:t>
      </w:r>
      <w:r w:rsidRPr="00841A79">
        <w:rPr>
          <w:rFonts w:ascii="Times New Roman" w:hAnsi="Times New Roman" w:cs="Times New Roman"/>
          <w:sz w:val="24"/>
          <w:szCs w:val="24"/>
          <w:vertAlign w:val="superscript"/>
        </w:rPr>
        <w:t>2</w:t>
      </w:r>
      <w:r w:rsidRPr="00841A79">
        <w:rPr>
          <w:rFonts w:ascii="Times New Roman" w:hAnsi="Times New Roman" w:cs="Times New Roman"/>
          <w:sz w:val="24"/>
          <w:szCs w:val="24"/>
        </w:rPr>
        <w:t xml:space="preserve"> statistic=0)</w:t>
      </w:r>
      <w:r w:rsidR="00072CD3" w:rsidRPr="00841A79">
        <w:rPr>
          <w:rFonts w:ascii="Times New Roman" w:hAnsi="Times New Roman" w:cs="Times New Roman"/>
          <w:sz w:val="24"/>
          <w:szCs w:val="24"/>
        </w:rPr>
        <w:t>.</w:t>
      </w:r>
    </w:p>
    <w:p w14:paraId="1D4C6F8E" w14:textId="789B07D5" w:rsidR="00A81934" w:rsidRPr="00841A79" w:rsidRDefault="00A81934" w:rsidP="00841A79">
      <w:pPr>
        <w:pStyle w:val="KeinLeerraum"/>
        <w:numPr>
          <w:ilvl w:val="0"/>
          <w:numId w:val="45"/>
        </w:numPr>
        <w:rPr>
          <w:rFonts w:ascii="Times New Roman" w:hAnsi="Times New Roman" w:cs="Times New Roman"/>
          <w:b/>
          <w:sz w:val="24"/>
          <w:szCs w:val="24"/>
        </w:rPr>
      </w:pPr>
      <w:r w:rsidRPr="00841A79">
        <w:rPr>
          <w:rFonts w:ascii="Times New Roman" w:hAnsi="Times New Roman" w:cs="Times New Roman"/>
          <w:sz w:val="24"/>
          <w:szCs w:val="24"/>
        </w:rPr>
        <w:t xml:space="preserve">OR for COPD according to deciles of the </w:t>
      </w:r>
      <w:r w:rsidR="00B6507C">
        <w:rPr>
          <w:rFonts w:ascii="Times New Roman" w:hAnsi="Times New Roman" w:cs="Times New Roman"/>
          <w:sz w:val="24"/>
          <w:szCs w:val="24"/>
        </w:rPr>
        <w:t>w</w:t>
      </w:r>
      <w:r w:rsidR="00CD33DC">
        <w:rPr>
          <w:rFonts w:ascii="Times New Roman" w:hAnsi="Times New Roman" w:cs="Times New Roman"/>
          <w:sz w:val="24"/>
          <w:szCs w:val="24"/>
        </w:rPr>
        <w:t>GRS</w:t>
      </w:r>
      <w:r w:rsidRPr="00841A79">
        <w:rPr>
          <w:rFonts w:ascii="Times New Roman" w:hAnsi="Times New Roman" w:cs="Times New Roman"/>
          <w:sz w:val="24"/>
          <w:szCs w:val="24"/>
        </w:rPr>
        <w:t xml:space="preserve">, with decile 1 </w:t>
      </w:r>
      <w:r w:rsidR="00CD33DC" w:rsidRPr="00014C75">
        <w:rPr>
          <w:rFonts w:ascii="Times New Roman" w:hAnsi="Times New Roman" w:cs="Times New Roman"/>
          <w:sz w:val="24"/>
          <w:szCs w:val="24"/>
        </w:rPr>
        <w:t xml:space="preserve">(the 10% of individuals with the lowest </w:t>
      </w:r>
      <w:r w:rsidR="00F44372">
        <w:rPr>
          <w:rFonts w:ascii="Times New Roman" w:hAnsi="Times New Roman" w:cs="Times New Roman"/>
          <w:sz w:val="24"/>
          <w:szCs w:val="24"/>
        </w:rPr>
        <w:t>GRS</w:t>
      </w:r>
      <w:r w:rsidR="00CD33DC" w:rsidRPr="00014C75">
        <w:rPr>
          <w:rFonts w:ascii="Times New Roman" w:hAnsi="Times New Roman" w:cs="Times New Roman"/>
          <w:sz w:val="24"/>
          <w:szCs w:val="24"/>
        </w:rPr>
        <w:t>)</w:t>
      </w:r>
      <w:r w:rsidR="00CD33DC">
        <w:rPr>
          <w:rFonts w:ascii="Times New Roman" w:hAnsi="Times New Roman" w:cs="Times New Roman"/>
          <w:sz w:val="24"/>
          <w:szCs w:val="24"/>
        </w:rPr>
        <w:t xml:space="preserve"> </w:t>
      </w:r>
      <w:r w:rsidRPr="00841A79">
        <w:rPr>
          <w:rFonts w:ascii="Times New Roman" w:hAnsi="Times New Roman" w:cs="Times New Roman"/>
          <w:sz w:val="24"/>
          <w:szCs w:val="24"/>
        </w:rPr>
        <w:t>as the reference group. Each point represents a meta-analysis of results for a given comparison (</w:t>
      </w:r>
      <w:r w:rsidR="00CD33DC">
        <w:rPr>
          <w:rFonts w:ascii="Times New Roman" w:hAnsi="Times New Roman" w:cs="Times New Roman"/>
          <w:sz w:val="24"/>
          <w:szCs w:val="24"/>
        </w:rPr>
        <w:t>e.g.</w:t>
      </w:r>
      <w:r w:rsidRPr="00841A79">
        <w:rPr>
          <w:rFonts w:ascii="Times New Roman" w:hAnsi="Times New Roman" w:cs="Times New Roman"/>
          <w:sz w:val="24"/>
          <w:szCs w:val="24"/>
        </w:rPr>
        <w:t xml:space="preserve"> decile 2 vs reference, decile 3 vs reference</w:t>
      </w:r>
      <w:r w:rsidR="00B6507C">
        <w:rPr>
          <w:rFonts w:ascii="Times New Roman" w:hAnsi="Times New Roman" w:cs="Times New Roman"/>
          <w:sz w:val="24"/>
          <w:szCs w:val="24"/>
        </w:rPr>
        <w:t>, etc.</w:t>
      </w:r>
      <w:r w:rsidRPr="00841A79">
        <w:rPr>
          <w:rFonts w:ascii="Times New Roman" w:hAnsi="Times New Roman" w:cs="Times New Roman"/>
          <w:sz w:val="24"/>
          <w:szCs w:val="24"/>
        </w:rPr>
        <w:t>) in five external European-ancestry study groups (COPDGen</w:t>
      </w:r>
      <w:r w:rsidR="00AB7EAE">
        <w:rPr>
          <w:rFonts w:ascii="Times New Roman" w:hAnsi="Times New Roman" w:cs="Times New Roman"/>
          <w:sz w:val="24"/>
          <w:szCs w:val="24"/>
        </w:rPr>
        <w:t>e</w:t>
      </w:r>
      <w:r w:rsidRPr="00841A79">
        <w:rPr>
          <w:rFonts w:ascii="Times New Roman" w:hAnsi="Times New Roman" w:cs="Times New Roman"/>
          <w:sz w:val="24"/>
          <w:szCs w:val="24"/>
        </w:rPr>
        <w:t xml:space="preserve">, ECLIPSE, GenKOLS, SPIROMICS, NETT-NAS). Deciles were calculated and models were run in each group separately. </w:t>
      </w:r>
      <w:r w:rsidR="00032A2B">
        <w:rPr>
          <w:rFonts w:ascii="Times New Roman" w:hAnsi="Times New Roman" w:cs="Times New Roman"/>
          <w:sz w:val="24"/>
          <w:szCs w:val="24"/>
        </w:rPr>
        <w:t>Error</w:t>
      </w:r>
      <w:r w:rsidRPr="00841A79">
        <w:rPr>
          <w:rFonts w:ascii="Times New Roman" w:hAnsi="Times New Roman" w:cs="Times New Roman"/>
          <w:sz w:val="24"/>
          <w:szCs w:val="24"/>
        </w:rPr>
        <w:t xml:space="preserve"> bars </w:t>
      </w:r>
      <w:r w:rsidR="00032A2B">
        <w:rPr>
          <w:rFonts w:ascii="Times New Roman" w:hAnsi="Times New Roman" w:cs="Times New Roman"/>
          <w:sz w:val="24"/>
          <w:szCs w:val="24"/>
        </w:rPr>
        <w:t>show</w:t>
      </w:r>
      <w:r w:rsidRPr="00841A79">
        <w:rPr>
          <w:rFonts w:ascii="Times New Roman" w:hAnsi="Times New Roman" w:cs="Times New Roman"/>
          <w:sz w:val="24"/>
          <w:szCs w:val="24"/>
        </w:rPr>
        <w:t xml:space="preserve"> 95% confidence intervals (</w:t>
      </w:r>
      <w:r w:rsidRPr="00841A79">
        <w:rPr>
          <w:rFonts w:ascii="Times New Roman" w:hAnsi="Times New Roman" w:cs="Times New Roman"/>
          <w:b/>
          <w:sz w:val="24"/>
          <w:szCs w:val="24"/>
        </w:rPr>
        <w:t>Supplementary Table 22</w:t>
      </w:r>
      <w:r w:rsidRPr="00841A79">
        <w:rPr>
          <w:rFonts w:ascii="Times New Roman" w:hAnsi="Times New Roman" w:cs="Times New Roman"/>
          <w:sz w:val="24"/>
          <w:szCs w:val="24"/>
        </w:rPr>
        <w:t>).</w:t>
      </w:r>
    </w:p>
    <w:p w14:paraId="6476D256" w14:textId="77777777" w:rsidR="00072CD3" w:rsidRPr="00841A79" w:rsidRDefault="00072CD3" w:rsidP="00F06885">
      <w:pPr>
        <w:pStyle w:val="KeinLeerraum"/>
        <w:jc w:val="center"/>
        <w:rPr>
          <w:rFonts w:ascii="Times New Roman" w:hAnsi="Times New Roman" w:cs="Times New Roman"/>
          <w:b/>
          <w:sz w:val="24"/>
          <w:szCs w:val="24"/>
        </w:rPr>
      </w:pPr>
    </w:p>
    <w:p w14:paraId="18606DFC" w14:textId="77777777" w:rsidR="00A81934" w:rsidRPr="00841A79" w:rsidRDefault="00A81934" w:rsidP="00EF6C4C">
      <w:pPr>
        <w:pStyle w:val="KeinLeerraum"/>
        <w:rPr>
          <w:rFonts w:ascii="Times New Roman" w:hAnsi="Times New Roman" w:cs="Times New Roman"/>
          <w:b/>
          <w:sz w:val="24"/>
          <w:szCs w:val="24"/>
        </w:rPr>
      </w:pPr>
      <w:r w:rsidRPr="00841A79">
        <w:rPr>
          <w:rFonts w:ascii="Times New Roman" w:hAnsi="Times New Roman" w:cs="Times New Roman"/>
          <w:b/>
          <w:sz w:val="24"/>
          <w:szCs w:val="24"/>
        </w:rPr>
        <w:t>Figure 4:</w:t>
      </w:r>
      <w:r w:rsidRPr="00841A79">
        <w:rPr>
          <w:rFonts w:ascii="Times New Roman" w:hAnsi="Times New Roman" w:cs="Times New Roman"/>
          <w:b/>
          <w:noProof/>
          <w:sz w:val="24"/>
          <w:szCs w:val="24"/>
          <w:lang w:eastAsia="en-GB"/>
        </w:rPr>
        <w:t xml:space="preserve"> Individual PheWAS with 279 variants (traits passing FDR 1% threshold)</w:t>
      </w:r>
    </w:p>
    <w:p w14:paraId="0DFF0AB7" w14:textId="6E887B73" w:rsidR="00072CD3" w:rsidRPr="00F06885" w:rsidRDefault="00A81934" w:rsidP="00841A79">
      <w:pPr>
        <w:rPr>
          <w:rFonts w:cs="Times New Roman"/>
          <w:b/>
        </w:rPr>
      </w:pPr>
      <w:r w:rsidRPr="00F06885">
        <w:rPr>
          <w:rFonts w:cs="Times New Roman"/>
          <w:noProof/>
          <w:lang w:eastAsia="en-GB"/>
        </w:rPr>
        <w:t>Separate association of 279 variants with 2,411 traits (FDR&lt;1%) in UK Biobank (n up to 379,337). In each category, the trait with the strongest association, i.e. highest –log</w:t>
      </w:r>
      <w:r w:rsidRPr="00F06885">
        <w:rPr>
          <w:rFonts w:cs="Times New Roman"/>
          <w:vertAlign w:val="subscript"/>
        </w:rPr>
        <w:t>10</w:t>
      </w:r>
      <w:r w:rsidRPr="00F06885">
        <w:rPr>
          <w:rFonts w:cs="Times New Roman"/>
          <w:noProof/>
          <w:lang w:eastAsia="en-GB"/>
        </w:rPr>
        <w:t>(FDR), is shown first, followed by other traits in that category in descending order of –log</w:t>
      </w:r>
      <w:r w:rsidRPr="00F06885">
        <w:rPr>
          <w:rFonts w:cs="Times New Roman"/>
          <w:vertAlign w:val="subscript"/>
        </w:rPr>
        <w:t>10</w:t>
      </w:r>
      <w:r w:rsidRPr="00F06885">
        <w:rPr>
          <w:rFonts w:cs="Times New Roman"/>
          <w:noProof/>
          <w:lang w:eastAsia="en-GB"/>
        </w:rPr>
        <w:t xml:space="preserve">(FDR). Categories are colour-coded, and outcomes </w:t>
      </w:r>
      <w:r w:rsidRPr="00F06885">
        <w:rPr>
          <w:rFonts w:cs="Times New Roman"/>
          <w:noProof/>
          <w:lang w:eastAsia="en-GB"/>
        </w:rPr>
        <w:lastRenderedPageBreak/>
        <w:t xml:space="preserve">are denoted with a circular or triangular point, according to whether they were coded as binary or quantitative. The top association per-category is labelled with its rsID number, and a plain English label describing the trait. The letter at the beginning of each label allows easy cross-reference with the categories labelled in the legend. Zoomed in versions of each category with visible trait names and directionality are available in </w:t>
      </w:r>
      <w:r w:rsidRPr="00F06885">
        <w:rPr>
          <w:rFonts w:cs="Times New Roman"/>
          <w:b/>
          <w:noProof/>
          <w:lang w:eastAsia="en-GB"/>
        </w:rPr>
        <w:t>Supplementary Figure 10</w:t>
      </w:r>
      <w:r w:rsidRPr="00F06885">
        <w:rPr>
          <w:rFonts w:cs="Times New Roman"/>
          <w:noProof/>
          <w:lang w:eastAsia="en-GB"/>
        </w:rPr>
        <w:t>. These plots have signed log</w:t>
      </w:r>
      <w:r w:rsidRPr="00F06885">
        <w:rPr>
          <w:rFonts w:cs="Times New Roman"/>
          <w:noProof/>
          <w:vertAlign w:val="subscript"/>
          <w:lang w:eastAsia="en-GB"/>
        </w:rPr>
        <w:t>10</w:t>
      </w:r>
      <w:r w:rsidRPr="00F06885">
        <w:rPr>
          <w:rFonts w:cs="Times New Roman"/>
          <w:noProof/>
          <w:lang w:eastAsia="en-GB"/>
        </w:rPr>
        <w:t>(FDR) values, where a positive values indicates that a positive SNP-trait association is concordant with the risk allele for reduced lung function (as measured by lower FEV</w:t>
      </w:r>
      <w:r w:rsidRPr="00F06885">
        <w:rPr>
          <w:rFonts w:cs="Times New Roman"/>
          <w:noProof/>
          <w:vertAlign w:val="subscript"/>
          <w:lang w:eastAsia="en-GB"/>
        </w:rPr>
        <w:t>1</w:t>
      </w:r>
      <w:r w:rsidRPr="00F06885">
        <w:rPr>
          <w:rFonts w:cs="Times New Roman"/>
          <w:noProof/>
          <w:lang w:eastAsia="en-GB"/>
        </w:rPr>
        <w:t xml:space="preserve">/FVC). Tabulated results of all SNP-trait PheWAS associations associated at an FDR of&lt;1% are available in </w:t>
      </w:r>
      <w:r w:rsidRPr="00F06885">
        <w:rPr>
          <w:rFonts w:cs="Times New Roman"/>
          <w:b/>
          <w:noProof/>
          <w:lang w:eastAsia="en-GB"/>
        </w:rPr>
        <w:t>Supplementary Table 23</w:t>
      </w:r>
      <w:r w:rsidRPr="00F06885">
        <w:rPr>
          <w:rFonts w:cs="Times New Roman"/>
          <w:noProof/>
          <w:lang w:eastAsia="en-GB"/>
        </w:rPr>
        <w:t>.</w:t>
      </w:r>
    </w:p>
    <w:p w14:paraId="02DEDEAE" w14:textId="77777777" w:rsidR="00072CD3" w:rsidRPr="00F06885" w:rsidRDefault="00072CD3" w:rsidP="00841A79">
      <w:pPr>
        <w:rPr>
          <w:rFonts w:cs="Times New Roman"/>
          <w:b/>
        </w:rPr>
      </w:pPr>
    </w:p>
    <w:p w14:paraId="660FBC25" w14:textId="04F4DB66" w:rsidR="00072CD3" w:rsidRPr="00F06885" w:rsidRDefault="00A81934" w:rsidP="00841A79">
      <w:pPr>
        <w:rPr>
          <w:rFonts w:cs="Times New Roman"/>
          <w:b/>
        </w:rPr>
      </w:pPr>
      <w:r w:rsidRPr="00F06885">
        <w:rPr>
          <w:rFonts w:cs="Times New Roman"/>
          <w:b/>
        </w:rPr>
        <w:t>Figure 5: PheWAS with genetic risk score (traits passing FDR 1% threshold)</w:t>
      </w:r>
      <w:r w:rsidRPr="00F06885">
        <w:rPr>
          <w:rFonts w:cs="Times New Roman"/>
        </w:rPr>
        <w:br/>
        <w:t>Association of 279 variant weighted genetic risk score with 2,453 traits (FDR&lt;1%) in UK Biobank (n up to 379,337). In each panel, the category with the strongest association, i.e. highest –log</w:t>
      </w:r>
      <w:r w:rsidRPr="00F06885">
        <w:rPr>
          <w:rFonts w:cs="Times New Roman"/>
          <w:vertAlign w:val="subscript"/>
        </w:rPr>
        <w:t>10</w:t>
      </w:r>
      <w:r w:rsidRPr="00F06885">
        <w:rPr>
          <w:rFonts w:cs="Times New Roman"/>
        </w:rPr>
        <w:t>(FDR), is shown first, followed by all other associations in that category, ordered by descending order of –log</w:t>
      </w:r>
      <w:r w:rsidRPr="00F06885">
        <w:rPr>
          <w:rFonts w:cs="Times New Roman"/>
          <w:vertAlign w:val="subscript"/>
        </w:rPr>
        <w:t>10</w:t>
      </w:r>
      <w:r w:rsidRPr="00F06885">
        <w:rPr>
          <w:rFonts w:cs="Times New Roman"/>
        </w:rPr>
        <w:t xml:space="preserve">(FDR). Sample sizes varied across traits and are available in </w:t>
      </w:r>
      <w:r w:rsidRPr="00F06885">
        <w:rPr>
          <w:rFonts w:cs="Times New Roman"/>
          <w:b/>
        </w:rPr>
        <w:t>Supplementary Table 25</w:t>
      </w:r>
      <w:r w:rsidRPr="00F06885">
        <w:rPr>
          <w:rFonts w:cs="Times New Roman"/>
        </w:rPr>
        <w:t>, along with the full summary statistics for each association, plus details of categorisation and plain English labels for each trait. Trait categories are colour coded, and outcomes are denoted with a circular or triangular point, according to whether they were coded as binary or quantitative. The sign of the log</w:t>
      </w:r>
      <w:r w:rsidRPr="00F06885">
        <w:rPr>
          <w:rFonts w:cs="Times New Roman"/>
          <w:vertAlign w:val="subscript"/>
        </w:rPr>
        <w:t>10</w:t>
      </w:r>
      <w:r w:rsidRPr="00F06885">
        <w:rPr>
          <w:rFonts w:cs="Times New Roman"/>
        </w:rPr>
        <w:t xml:space="preserve">(FDR) value is positive where an increase in the risk score (i.e. greater risk of COPD, reduced lung function) is associated with a positive effect estimate for that trait. *QC refers to spirometry passing ERS/ATS criteria. </w:t>
      </w:r>
      <w:r w:rsidR="00E363E8">
        <w:rPr>
          <w:rFonts w:cs="Times New Roman"/>
        </w:rPr>
        <w:t xml:space="preserve">SR=self-report; </w:t>
      </w:r>
      <w:r w:rsidRPr="00F06885">
        <w:rPr>
          <w:rFonts w:cs="Times New Roman"/>
        </w:rPr>
        <w:t>HES=Hospital Episode Statistics.</w:t>
      </w:r>
    </w:p>
    <w:p w14:paraId="79EB3B5B" w14:textId="2AAE3190" w:rsidR="00072CD3" w:rsidRPr="00841A79" w:rsidRDefault="00A81934" w:rsidP="00841A79">
      <w:pPr>
        <w:pStyle w:val="Listenabsatz"/>
        <w:numPr>
          <w:ilvl w:val="0"/>
          <w:numId w:val="47"/>
        </w:numPr>
        <w:rPr>
          <w:rFonts w:ascii="Times New Roman" w:hAnsi="Times New Roman" w:cs="Times New Roman"/>
          <w:sz w:val="24"/>
          <w:szCs w:val="24"/>
        </w:rPr>
      </w:pPr>
      <w:r w:rsidRPr="00841A79">
        <w:rPr>
          <w:rFonts w:ascii="Times New Roman" w:hAnsi="Times New Roman" w:cs="Times New Roman"/>
          <w:sz w:val="24"/>
          <w:szCs w:val="24"/>
        </w:rPr>
        <w:t>Associations with respiratory traits.</w:t>
      </w:r>
    </w:p>
    <w:p w14:paraId="40E34FF6" w14:textId="0BBC8D24" w:rsidR="00A81934" w:rsidRPr="00F06885" w:rsidRDefault="00A81934" w:rsidP="00841A79">
      <w:pPr>
        <w:pStyle w:val="Listenabsatz"/>
        <w:numPr>
          <w:ilvl w:val="0"/>
          <w:numId w:val="47"/>
        </w:numPr>
        <w:rPr>
          <w:rFonts w:cs="Times New Roman"/>
        </w:rPr>
      </w:pPr>
      <w:r w:rsidRPr="00841A79">
        <w:rPr>
          <w:rFonts w:ascii="Times New Roman" w:hAnsi="Times New Roman" w:cs="Times New Roman"/>
          <w:sz w:val="24"/>
          <w:szCs w:val="24"/>
        </w:rPr>
        <w:t>Associations with all other traits. ENT=Ear, Nose and Throat; FBC=Full Blood Count</w:t>
      </w:r>
      <w:r w:rsidRPr="00F06885">
        <w:rPr>
          <w:rFonts w:cs="Times New Roman"/>
        </w:rPr>
        <w:t>.</w:t>
      </w:r>
    </w:p>
    <w:p w14:paraId="6B7F699B" w14:textId="77777777" w:rsidR="00A81934" w:rsidRDefault="00A81934" w:rsidP="00EF6C4C">
      <w:pPr>
        <w:pStyle w:val="KeinLeerraum"/>
        <w:sectPr w:rsidR="00A81934" w:rsidSect="00D32048">
          <w:pgSz w:w="16838" w:h="11906" w:orient="landscape"/>
          <w:pgMar w:top="720" w:right="720" w:bottom="720" w:left="720" w:header="708" w:footer="708" w:gutter="0"/>
          <w:lnNumType w:countBy="1" w:restart="continuous"/>
          <w:cols w:space="708"/>
          <w:docGrid w:linePitch="360"/>
        </w:sectPr>
      </w:pPr>
    </w:p>
    <w:p w14:paraId="120345F7" w14:textId="77777777" w:rsidR="00A81934" w:rsidRDefault="00A81934" w:rsidP="00EF6C4C">
      <w:pPr>
        <w:pStyle w:val="berschrift1"/>
        <w:spacing w:before="0" w:after="240"/>
      </w:pPr>
      <w:r>
        <w:lastRenderedPageBreak/>
        <w:t>Tables</w:t>
      </w:r>
    </w:p>
    <w:p w14:paraId="229FC284" w14:textId="77777777" w:rsidR="00A81934" w:rsidRDefault="00A81934">
      <w:pPr>
        <w:pStyle w:val="Beschriftung"/>
      </w:pPr>
      <w:r w:rsidRPr="00C0469A">
        <w:t>Table</w:t>
      </w:r>
      <w:r>
        <w:t xml:space="preserve"> 1: </w:t>
      </w:r>
      <w:r w:rsidRPr="008F43F3">
        <w:t xml:space="preserve">Genes implicated </w:t>
      </w:r>
      <w:r w:rsidRPr="00C0469A">
        <w:t>using</w:t>
      </w:r>
      <w:r w:rsidRPr="008F43F3">
        <w:t xml:space="preserve"> </w:t>
      </w:r>
      <w:r>
        <w:t xml:space="preserve">gene </w:t>
      </w:r>
      <w:r w:rsidRPr="008F43F3">
        <w:t>expression data</w:t>
      </w:r>
      <w:r>
        <w:t>, protein level data</w:t>
      </w:r>
      <w:r w:rsidRPr="008F43F3">
        <w:t xml:space="preserve"> and functional annotation</w:t>
      </w:r>
    </w:p>
    <w:p w14:paraId="65F5F4C1" w14:textId="77777777" w:rsidR="00A81934" w:rsidRDefault="00A81934" w:rsidP="00EF6C4C">
      <w:pPr>
        <w:pStyle w:val="KeinLeerraum"/>
        <w:rPr>
          <w:lang w:val="en-US"/>
        </w:rPr>
      </w:pPr>
      <w:r w:rsidRPr="00184B02">
        <w:t>†</w:t>
      </w:r>
      <w:r>
        <w:t>G</w:t>
      </w:r>
      <w:r w:rsidRPr="008F43F3">
        <w:t>enes implicated by eQTL signals</w:t>
      </w:r>
      <w:r>
        <w:t>: Lung eQTL (n=</w:t>
      </w:r>
      <w:r w:rsidRPr="0058249B">
        <w:t>1,111)</w:t>
      </w:r>
      <w:r>
        <w:t xml:space="preserve"> and Blood eQTL (n=4</w:t>
      </w:r>
      <w:r w:rsidRPr="0058249B">
        <w:t>,896</w:t>
      </w:r>
      <w:r>
        <w:t xml:space="preserve">) datasets and </w:t>
      </w:r>
      <w:r>
        <w:rPr>
          <w:lang w:val="en-US"/>
        </w:rPr>
        <w:t>eleven</w:t>
      </w:r>
      <w:r w:rsidRPr="00FD4DF4">
        <w:rPr>
          <w:lang w:val="en-US"/>
        </w:rPr>
        <w:t xml:space="preserve"> GTEx </w:t>
      </w:r>
      <w:r>
        <w:rPr>
          <w:lang w:val="en-US"/>
        </w:rPr>
        <w:t xml:space="preserve">(V7) </w:t>
      </w:r>
      <w:r w:rsidRPr="00FD4DF4">
        <w:rPr>
          <w:lang w:val="en-US"/>
        </w:rPr>
        <w:t xml:space="preserve">tissues were screened: </w:t>
      </w:r>
      <w:r w:rsidRPr="0058249B">
        <w:rPr>
          <w:lang w:val="en-US"/>
        </w:rPr>
        <w:t>Artery Aorta (n=267), Artery Coronary (n=152), Artery Tibial (n=388), Colon Sigmoid (n=203), Colon Transverse (n=246), Esophagus Gastroesophageal Junction (n=213), Esophagus Muscularis (n=335), Lung (n=383), Small Intestine Terminal Ileum (n=122), Stomach (n=237), and Whole Blood (n=369)</w:t>
      </w:r>
      <w:r>
        <w:rPr>
          <w:lang w:val="en-US"/>
        </w:rPr>
        <w:t xml:space="preserve">; see </w:t>
      </w:r>
      <w:r w:rsidRPr="0038003E">
        <w:rPr>
          <w:b/>
          <w:lang w:val="en-US"/>
        </w:rPr>
        <w:t xml:space="preserve">Supplementary Table </w:t>
      </w:r>
      <w:r>
        <w:rPr>
          <w:b/>
          <w:lang w:val="en-US"/>
        </w:rPr>
        <w:t>13</w:t>
      </w:r>
      <w:r>
        <w:rPr>
          <w:lang w:val="en-US"/>
        </w:rPr>
        <w:t xml:space="preserve"> for d</w:t>
      </w:r>
      <w:r w:rsidRPr="00FD4DF4">
        <w:rPr>
          <w:lang w:val="en-US"/>
        </w:rPr>
        <w:t>irect</w:t>
      </w:r>
      <w:r>
        <w:rPr>
          <w:lang w:val="en-US"/>
        </w:rPr>
        <w:t>i</w:t>
      </w:r>
      <w:r w:rsidRPr="00FD4DF4">
        <w:rPr>
          <w:lang w:val="en-US"/>
        </w:rPr>
        <w:t>on of gene expression for the</w:t>
      </w:r>
      <w:r>
        <w:rPr>
          <w:lang w:val="en-US"/>
        </w:rPr>
        <w:t xml:space="preserve"> COPD risk (FEV</w:t>
      </w:r>
      <w:r w:rsidRPr="004922C5">
        <w:rPr>
          <w:vertAlign w:val="subscript"/>
          <w:lang w:val="en-US"/>
        </w:rPr>
        <w:t>1</w:t>
      </w:r>
      <w:r>
        <w:rPr>
          <w:lang w:val="en-US"/>
        </w:rPr>
        <w:t>/FVC reducing) allele</w:t>
      </w:r>
      <w:r w:rsidRPr="00FD4DF4">
        <w:rPr>
          <w:lang w:val="en-US"/>
        </w:rPr>
        <w:t>.</w:t>
      </w:r>
    </w:p>
    <w:p w14:paraId="27BB6FCC" w14:textId="77777777" w:rsidR="00A81934" w:rsidRDefault="00A81934" w:rsidP="00EF6C4C">
      <w:pPr>
        <w:pStyle w:val="KeinLeerraum"/>
      </w:pPr>
      <w:r w:rsidRPr="00184B02">
        <w:rPr>
          <w:lang w:val="en-US"/>
        </w:rPr>
        <w:t>‡</w:t>
      </w:r>
      <w:r>
        <w:rPr>
          <w:lang w:val="en-US"/>
        </w:rPr>
        <w:t>Genes implicated by pQTL signals: pQLT look up in 3,600 plasma proteins (n up to 3,300).</w:t>
      </w:r>
    </w:p>
    <w:p w14:paraId="5CBCBD39" w14:textId="77777777" w:rsidR="00A81934" w:rsidRDefault="00A81934" w:rsidP="00EF6C4C">
      <w:pPr>
        <w:pStyle w:val="KeinLeerraum"/>
      </w:pPr>
      <w:r>
        <w:t>*G</w:t>
      </w:r>
      <w:r w:rsidRPr="008F43F3">
        <w:t>enes implicated because they contain a deleterious variant (</w:t>
      </w:r>
      <w:r w:rsidRPr="0038003E">
        <w:rPr>
          <w:b/>
        </w:rPr>
        <w:t>Supplementary Table 11</w:t>
      </w:r>
      <w:r w:rsidRPr="008F43F3">
        <w:t>)</w:t>
      </w:r>
      <w:r>
        <w:t>.</w:t>
      </w:r>
    </w:p>
    <w:p w14:paraId="4FB424EC" w14:textId="77777777" w:rsidR="00A81934" w:rsidRDefault="00A81934" w:rsidP="00EF6C4C">
      <w:pPr>
        <w:pStyle w:val="KeinLeerraum"/>
      </w:pPr>
      <w:r>
        <w:t>“Other traits” column lists the other lung function traits for which the sentinel was associated at P&lt;5×10</w:t>
      </w:r>
      <w:r>
        <w:rPr>
          <w:vertAlign w:val="superscript"/>
        </w:rPr>
        <w:t>-9</w:t>
      </w:r>
      <w:r>
        <w:t xml:space="preserve"> in the meta-analysis of UK Biobank and SpiroMeta.</w:t>
      </w:r>
    </w:p>
    <w:p w14:paraId="4CF95D2E" w14:textId="77777777" w:rsidR="00A81934" w:rsidRPr="00A83D96" w:rsidRDefault="00A81934" w:rsidP="00EF6C4C">
      <w:pPr>
        <w:pStyle w:val="KeinLeerraum"/>
      </w:pPr>
      <w:r>
        <w:t xml:space="preserve">In total, </w:t>
      </w:r>
      <w:r w:rsidRPr="00EF6F82">
        <w:t>107 putative causal genes</w:t>
      </w:r>
      <w:r>
        <w:t xml:space="preserve"> were identified: 8 by both a deleterious variant and an eQTL signal (including </w:t>
      </w:r>
      <w:r w:rsidRPr="000C5460">
        <w:rPr>
          <w:i/>
        </w:rPr>
        <w:t>KIAA0753</w:t>
      </w:r>
      <w:r>
        <w:t xml:space="preserve"> implicated by two deleterious variants), 1 (</w:t>
      </w:r>
      <w:r>
        <w:rPr>
          <w:i/>
        </w:rPr>
        <w:t>NPNT)</w:t>
      </w:r>
      <w:r>
        <w:t xml:space="preserve"> by both an eQTL and a pQTL signal, 1 (</w:t>
      </w:r>
      <w:r w:rsidRPr="000C5460">
        <w:rPr>
          <w:i/>
        </w:rPr>
        <w:t>SCARF2</w:t>
      </w:r>
      <w:r>
        <w:t xml:space="preserve">) by both a deleterious variant and a pQTL signal, </w:t>
      </w:r>
      <w:r w:rsidRPr="000C5460">
        <w:t>1</w:t>
      </w:r>
      <w:r>
        <w:t>3</w:t>
      </w:r>
      <w:r w:rsidRPr="00353EFF">
        <w:t xml:space="preserve"> </w:t>
      </w:r>
      <w:r>
        <w:t>by</w:t>
      </w:r>
      <w:r w:rsidRPr="00353EFF">
        <w:t xml:space="preserve"> a deleterious variant only</w:t>
      </w:r>
      <w:r>
        <w:t>,</w:t>
      </w:r>
      <w:r w:rsidRPr="00353EFF">
        <w:t xml:space="preserve"> </w:t>
      </w:r>
      <w:r>
        <w:t>81 by an eQTL signal only and 3 by a pQTL signal only</w:t>
      </w:r>
    </w:p>
    <w:tbl>
      <w:tblPr>
        <w:tblStyle w:val="ListTable1Light1"/>
        <w:tblW w:w="5000" w:type="pct"/>
        <w:tblLayout w:type="fixed"/>
        <w:tblLook w:val="0420" w:firstRow="1" w:lastRow="0" w:firstColumn="0" w:lastColumn="0" w:noHBand="0" w:noVBand="1"/>
      </w:tblPr>
      <w:tblGrid>
        <w:gridCol w:w="2102"/>
        <w:gridCol w:w="1130"/>
        <w:gridCol w:w="1655"/>
        <w:gridCol w:w="1152"/>
        <w:gridCol w:w="1293"/>
        <w:gridCol w:w="1296"/>
        <w:gridCol w:w="862"/>
        <w:gridCol w:w="6124"/>
      </w:tblGrid>
      <w:tr w:rsidR="00A81934" w:rsidRPr="00303B6C" w14:paraId="5C0D372C" w14:textId="77777777" w:rsidTr="00EF6C4C">
        <w:trPr>
          <w:cnfStyle w:val="100000000000" w:firstRow="1" w:lastRow="0" w:firstColumn="0" w:lastColumn="0" w:oddVBand="0" w:evenVBand="0" w:oddHBand="0" w:evenHBand="0" w:firstRowFirstColumn="0" w:firstRowLastColumn="0" w:lastRowFirstColumn="0" w:lastRowLastColumn="0"/>
          <w:trHeight w:val="283"/>
          <w:tblHeader/>
        </w:trPr>
        <w:tc>
          <w:tcPr>
            <w:tcW w:w="673" w:type="pct"/>
            <w:noWrap/>
            <w:vAlign w:val="bottom"/>
            <w:hideMark/>
          </w:tcPr>
          <w:p w14:paraId="157899AF"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Gene</w:t>
            </w:r>
          </w:p>
        </w:tc>
        <w:tc>
          <w:tcPr>
            <w:tcW w:w="362" w:type="pct"/>
            <w:noWrap/>
            <w:vAlign w:val="bottom"/>
            <w:hideMark/>
          </w:tcPr>
          <w:p w14:paraId="4EAC9E9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Phenotype</w:t>
            </w:r>
          </w:p>
        </w:tc>
        <w:tc>
          <w:tcPr>
            <w:tcW w:w="530" w:type="pct"/>
            <w:vAlign w:val="bottom"/>
          </w:tcPr>
          <w:p w14:paraId="4F4D2D1F"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Other traits</w:t>
            </w:r>
          </w:p>
        </w:tc>
        <w:tc>
          <w:tcPr>
            <w:tcW w:w="369" w:type="pct"/>
            <w:noWrap/>
            <w:vAlign w:val="bottom"/>
            <w:hideMark/>
          </w:tcPr>
          <w:p w14:paraId="5EC8DA6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Novel Tier/</w:t>
            </w:r>
            <w:r w:rsidRPr="00303B6C">
              <w:rPr>
                <w:rFonts w:eastAsia="Times New Roman" w:cs="Times New Roman"/>
                <w:color w:val="000000"/>
                <w:sz w:val="18"/>
                <w:szCs w:val="18"/>
                <w:lang w:eastAsia="en-GB"/>
              </w:rPr>
              <w:br/>
              <w:t>Previous</w:t>
            </w:r>
          </w:p>
        </w:tc>
        <w:tc>
          <w:tcPr>
            <w:tcW w:w="414" w:type="pct"/>
            <w:noWrap/>
            <w:vAlign w:val="bottom"/>
            <w:hideMark/>
          </w:tcPr>
          <w:p w14:paraId="5A704B1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Sentinel SNP</w:t>
            </w:r>
          </w:p>
        </w:tc>
        <w:tc>
          <w:tcPr>
            <w:tcW w:w="415" w:type="pct"/>
            <w:noWrap/>
            <w:vAlign w:val="bottom"/>
            <w:hideMark/>
          </w:tcPr>
          <w:p w14:paraId="20FE3DE7"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Position (b37)</w:t>
            </w:r>
          </w:p>
        </w:tc>
        <w:tc>
          <w:tcPr>
            <w:tcW w:w="276" w:type="pct"/>
            <w:noWrap/>
            <w:vAlign w:val="bottom"/>
            <w:hideMark/>
          </w:tcPr>
          <w:p w14:paraId="54997A6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COPD</w:t>
            </w:r>
            <w:r w:rsidRPr="00303B6C">
              <w:rPr>
                <w:rFonts w:eastAsia="Times New Roman" w:cs="Times New Roman"/>
                <w:color w:val="000000"/>
                <w:sz w:val="18"/>
                <w:szCs w:val="18"/>
                <w:lang w:eastAsia="en-GB"/>
              </w:rPr>
              <w:br/>
              <w:t>risk/alt</w:t>
            </w:r>
          </w:p>
        </w:tc>
        <w:tc>
          <w:tcPr>
            <w:tcW w:w="1961" w:type="pct"/>
            <w:noWrap/>
            <w:vAlign w:val="bottom"/>
            <w:hideMark/>
          </w:tcPr>
          <w:p w14:paraId="1EF9465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Functionally implicated genes</w:t>
            </w:r>
          </w:p>
        </w:tc>
      </w:tr>
      <w:tr w:rsidR="00A81934" w:rsidRPr="00303B6C" w14:paraId="30F4EF3A"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020A8794"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DHDDS (intron)</w:t>
            </w:r>
          </w:p>
        </w:tc>
        <w:tc>
          <w:tcPr>
            <w:tcW w:w="362" w:type="pct"/>
            <w:noWrap/>
            <w:vAlign w:val="center"/>
            <w:hideMark/>
          </w:tcPr>
          <w:p w14:paraId="68FFDE27"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FVC</w:t>
            </w:r>
          </w:p>
        </w:tc>
        <w:tc>
          <w:tcPr>
            <w:tcW w:w="530" w:type="pct"/>
            <w:vAlign w:val="center"/>
          </w:tcPr>
          <w:p w14:paraId="3AFA708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369" w:type="pct"/>
            <w:noWrap/>
            <w:vAlign w:val="center"/>
            <w:hideMark/>
          </w:tcPr>
          <w:p w14:paraId="34BB231D"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2</w:t>
            </w:r>
          </w:p>
        </w:tc>
        <w:tc>
          <w:tcPr>
            <w:tcW w:w="414" w:type="pct"/>
            <w:noWrap/>
            <w:vAlign w:val="center"/>
            <w:hideMark/>
          </w:tcPr>
          <w:p w14:paraId="0A3EDAF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rs9438626</w:t>
            </w:r>
          </w:p>
        </w:tc>
        <w:tc>
          <w:tcPr>
            <w:tcW w:w="415" w:type="pct"/>
            <w:noWrap/>
            <w:vAlign w:val="center"/>
            <w:hideMark/>
          </w:tcPr>
          <w:p w14:paraId="2863F261"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1:26,775,367</w:t>
            </w:r>
          </w:p>
        </w:tc>
        <w:tc>
          <w:tcPr>
            <w:tcW w:w="276" w:type="pct"/>
            <w:noWrap/>
            <w:vAlign w:val="center"/>
            <w:hideMark/>
          </w:tcPr>
          <w:p w14:paraId="1D563E3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G/C</w:t>
            </w:r>
          </w:p>
        </w:tc>
        <w:tc>
          <w:tcPr>
            <w:tcW w:w="1961" w:type="pct"/>
            <w:noWrap/>
            <w:vAlign w:val="center"/>
            <w:hideMark/>
          </w:tcPr>
          <w:p w14:paraId="109EA38C"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DHDDS</w:t>
            </w:r>
            <w:r w:rsidRPr="00303B6C">
              <w:rPr>
                <w:rFonts w:eastAsia="Times New Roman" w:cs="Times New Roman"/>
                <w:color w:val="000000"/>
                <w:sz w:val="18"/>
                <w:szCs w:val="18"/>
                <w:lang w:eastAsia="en-GB"/>
              </w:rPr>
              <w:t>†</w:t>
            </w:r>
          </w:p>
        </w:tc>
      </w:tr>
      <w:tr w:rsidR="00A81934" w:rsidRPr="00303B6C" w14:paraId="02FD6ED5" w14:textId="77777777" w:rsidTr="00EF6C4C">
        <w:trPr>
          <w:trHeight w:val="283"/>
        </w:trPr>
        <w:tc>
          <w:tcPr>
            <w:tcW w:w="673" w:type="pct"/>
            <w:noWrap/>
            <w:vAlign w:val="center"/>
            <w:hideMark/>
          </w:tcPr>
          <w:p w14:paraId="3F8A54D8"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DHDDS (3</w:t>
            </w:r>
            <w:r>
              <w:rPr>
                <w:rFonts w:eastAsia="Times New Roman" w:cs="Times New Roman"/>
                <w:i/>
                <w:color w:val="000000"/>
                <w:sz w:val="18"/>
                <w:szCs w:val="18"/>
                <w:lang w:eastAsia="en-GB"/>
              </w:rPr>
              <w:t>’-UTR</w:t>
            </w:r>
            <w:r w:rsidRPr="00303B6C">
              <w:rPr>
                <w:rFonts w:eastAsia="Times New Roman" w:cs="Times New Roman"/>
                <w:i/>
                <w:color w:val="000000"/>
                <w:sz w:val="18"/>
                <w:szCs w:val="18"/>
                <w:lang w:eastAsia="en-GB"/>
              </w:rPr>
              <w:t>)</w:t>
            </w:r>
          </w:p>
        </w:tc>
        <w:tc>
          <w:tcPr>
            <w:tcW w:w="362" w:type="pct"/>
            <w:noWrap/>
            <w:vAlign w:val="center"/>
            <w:hideMark/>
          </w:tcPr>
          <w:p w14:paraId="38E5B4F7"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530" w:type="pct"/>
            <w:vAlign w:val="center"/>
          </w:tcPr>
          <w:p w14:paraId="5F5C410B"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7138309D"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1</w:t>
            </w:r>
          </w:p>
        </w:tc>
        <w:tc>
          <w:tcPr>
            <w:tcW w:w="414" w:type="pct"/>
            <w:noWrap/>
            <w:vAlign w:val="center"/>
            <w:hideMark/>
          </w:tcPr>
          <w:p w14:paraId="13ADED46"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rs12096239</w:t>
            </w:r>
          </w:p>
        </w:tc>
        <w:tc>
          <w:tcPr>
            <w:tcW w:w="415" w:type="pct"/>
            <w:noWrap/>
            <w:vAlign w:val="center"/>
            <w:hideMark/>
          </w:tcPr>
          <w:p w14:paraId="1274622F"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1:26,796,922</w:t>
            </w:r>
          </w:p>
        </w:tc>
        <w:tc>
          <w:tcPr>
            <w:tcW w:w="276" w:type="pct"/>
            <w:noWrap/>
            <w:vAlign w:val="center"/>
            <w:hideMark/>
          </w:tcPr>
          <w:p w14:paraId="15E7710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C/G</w:t>
            </w:r>
          </w:p>
        </w:tc>
        <w:tc>
          <w:tcPr>
            <w:tcW w:w="1961" w:type="pct"/>
            <w:noWrap/>
            <w:vAlign w:val="center"/>
            <w:hideMark/>
          </w:tcPr>
          <w:p w14:paraId="6AE8E09A"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HMGN2</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DHDDS</w:t>
            </w:r>
            <w:r w:rsidRPr="00303B6C">
              <w:rPr>
                <w:rFonts w:eastAsia="Times New Roman" w:cs="Times New Roman"/>
                <w:color w:val="000000"/>
                <w:sz w:val="18"/>
                <w:szCs w:val="18"/>
                <w:lang w:eastAsia="en-GB"/>
              </w:rPr>
              <w:t>†</w:t>
            </w:r>
          </w:p>
        </w:tc>
      </w:tr>
      <w:tr w:rsidR="00A81934" w:rsidRPr="00303B6C" w14:paraId="518143EB"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4F9190A8"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NEXN (intron)</w:t>
            </w:r>
          </w:p>
        </w:tc>
        <w:tc>
          <w:tcPr>
            <w:tcW w:w="362" w:type="pct"/>
            <w:noWrap/>
            <w:vAlign w:val="center"/>
            <w:hideMark/>
          </w:tcPr>
          <w:p w14:paraId="1E676E7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010608F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369" w:type="pct"/>
            <w:noWrap/>
            <w:vAlign w:val="center"/>
            <w:hideMark/>
          </w:tcPr>
          <w:p w14:paraId="5F9228D1"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1</w:t>
            </w:r>
          </w:p>
        </w:tc>
        <w:tc>
          <w:tcPr>
            <w:tcW w:w="414" w:type="pct"/>
            <w:noWrap/>
            <w:vAlign w:val="center"/>
            <w:hideMark/>
          </w:tcPr>
          <w:p w14:paraId="0534D24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rs9661687</w:t>
            </w:r>
          </w:p>
        </w:tc>
        <w:tc>
          <w:tcPr>
            <w:tcW w:w="415" w:type="pct"/>
            <w:noWrap/>
            <w:vAlign w:val="center"/>
            <w:hideMark/>
          </w:tcPr>
          <w:p w14:paraId="56732EB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1:78,387,270</w:t>
            </w:r>
          </w:p>
        </w:tc>
        <w:tc>
          <w:tcPr>
            <w:tcW w:w="276" w:type="pct"/>
            <w:noWrap/>
            <w:vAlign w:val="center"/>
            <w:hideMark/>
          </w:tcPr>
          <w:p w14:paraId="1BD38B7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T/C</w:t>
            </w:r>
          </w:p>
        </w:tc>
        <w:tc>
          <w:tcPr>
            <w:tcW w:w="1961" w:type="pct"/>
            <w:noWrap/>
            <w:vAlign w:val="center"/>
            <w:hideMark/>
          </w:tcPr>
          <w:p w14:paraId="1D9AAA3A"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NEXN</w:t>
            </w:r>
            <w:r w:rsidRPr="00303B6C">
              <w:rPr>
                <w:rFonts w:eastAsia="Times New Roman" w:cs="Times New Roman"/>
                <w:color w:val="000000"/>
                <w:sz w:val="18"/>
                <w:szCs w:val="18"/>
                <w:lang w:eastAsia="en-GB"/>
              </w:rPr>
              <w:t>†</w:t>
            </w:r>
          </w:p>
        </w:tc>
      </w:tr>
      <w:tr w:rsidR="00A81934" w:rsidRPr="00303B6C" w14:paraId="553F01CD" w14:textId="77777777" w:rsidTr="00EF6C4C">
        <w:trPr>
          <w:trHeight w:val="283"/>
        </w:trPr>
        <w:tc>
          <w:tcPr>
            <w:tcW w:w="673" w:type="pct"/>
            <w:noWrap/>
            <w:vAlign w:val="center"/>
            <w:hideMark/>
          </w:tcPr>
          <w:p w14:paraId="671767D5"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DENND2D (intron)</w:t>
            </w:r>
          </w:p>
        </w:tc>
        <w:tc>
          <w:tcPr>
            <w:tcW w:w="362" w:type="pct"/>
            <w:noWrap/>
            <w:vAlign w:val="center"/>
            <w:hideMark/>
          </w:tcPr>
          <w:p w14:paraId="07F751F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360F2BD2"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7F10E3A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1</w:t>
            </w:r>
          </w:p>
        </w:tc>
        <w:tc>
          <w:tcPr>
            <w:tcW w:w="414" w:type="pct"/>
            <w:noWrap/>
            <w:vAlign w:val="center"/>
            <w:hideMark/>
          </w:tcPr>
          <w:p w14:paraId="45F9E7F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rs9970286</w:t>
            </w:r>
          </w:p>
        </w:tc>
        <w:tc>
          <w:tcPr>
            <w:tcW w:w="415" w:type="pct"/>
            <w:noWrap/>
            <w:vAlign w:val="center"/>
            <w:hideMark/>
          </w:tcPr>
          <w:p w14:paraId="1F43C89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1:111,737,398</w:t>
            </w:r>
          </w:p>
        </w:tc>
        <w:tc>
          <w:tcPr>
            <w:tcW w:w="276" w:type="pct"/>
            <w:noWrap/>
            <w:vAlign w:val="center"/>
            <w:hideMark/>
          </w:tcPr>
          <w:p w14:paraId="0674147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G/A</w:t>
            </w:r>
          </w:p>
        </w:tc>
        <w:tc>
          <w:tcPr>
            <w:tcW w:w="1961" w:type="pct"/>
            <w:noWrap/>
            <w:vAlign w:val="center"/>
            <w:hideMark/>
          </w:tcPr>
          <w:p w14:paraId="2E42D701"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CEPT1</w:t>
            </w:r>
            <w:r w:rsidRPr="00303B6C">
              <w:rPr>
                <w:rFonts w:eastAsia="Times New Roman" w:cs="Times New Roman"/>
                <w:color w:val="000000"/>
                <w:sz w:val="18"/>
                <w:szCs w:val="18"/>
                <w:lang w:eastAsia="en-GB"/>
              </w:rPr>
              <w:t>†</w:t>
            </w:r>
            <w:r>
              <w:rPr>
                <w:rFonts w:eastAsia="Times New Roman" w:cs="Times New Roman"/>
                <w:color w:val="000000"/>
                <w:sz w:val="18"/>
                <w:szCs w:val="18"/>
                <w:lang w:eastAsia="en-GB"/>
              </w:rPr>
              <w:t xml:space="preserve">, </w:t>
            </w:r>
            <w:r w:rsidRPr="00197FAC">
              <w:rPr>
                <w:rFonts w:eastAsia="Times New Roman" w:cs="Times New Roman"/>
                <w:i/>
                <w:color w:val="000000"/>
                <w:sz w:val="18"/>
                <w:szCs w:val="18"/>
                <w:lang w:eastAsia="en-GB"/>
              </w:rPr>
              <w:t>CHI3L2</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DRAM2</w:t>
            </w:r>
            <w:r w:rsidRPr="00303B6C">
              <w:rPr>
                <w:rFonts w:eastAsia="Times New Roman" w:cs="Times New Roman"/>
                <w:color w:val="000000"/>
                <w:sz w:val="18"/>
                <w:szCs w:val="18"/>
                <w:lang w:eastAsia="en-GB"/>
              </w:rPr>
              <w:t>†</w:t>
            </w:r>
          </w:p>
        </w:tc>
      </w:tr>
      <w:tr w:rsidR="00A81934" w:rsidRPr="00303B6C" w14:paraId="666B3836"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6D34F767"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C1orf54 (intron)</w:t>
            </w:r>
          </w:p>
        </w:tc>
        <w:tc>
          <w:tcPr>
            <w:tcW w:w="362" w:type="pct"/>
            <w:noWrap/>
            <w:vAlign w:val="center"/>
            <w:hideMark/>
          </w:tcPr>
          <w:p w14:paraId="240413C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PEF</w:t>
            </w:r>
          </w:p>
        </w:tc>
        <w:tc>
          <w:tcPr>
            <w:tcW w:w="530" w:type="pct"/>
            <w:vAlign w:val="center"/>
          </w:tcPr>
          <w:p w14:paraId="4B772F07" w14:textId="77777777" w:rsidR="00A81934" w:rsidRPr="00303B6C" w:rsidRDefault="00A81934" w:rsidP="00EF6C4C">
            <w:pPr>
              <w:rPr>
                <w:rFonts w:eastAsia="Times New Roman" w:cs="Times New Roman"/>
                <w:color w:val="000000"/>
                <w:sz w:val="18"/>
                <w:szCs w:val="18"/>
                <w:lang w:eastAsia="en-GB"/>
              </w:rPr>
            </w:pPr>
            <w:r w:rsidRPr="00303B6C">
              <w:rPr>
                <w:rFonts w:ascii="Calibri" w:hAnsi="Calibri"/>
                <w:color w:val="000000"/>
                <w:sz w:val="18"/>
                <w:szCs w:val="18"/>
              </w:rPr>
              <w:t>FVC</w:t>
            </w:r>
          </w:p>
        </w:tc>
        <w:tc>
          <w:tcPr>
            <w:tcW w:w="369" w:type="pct"/>
            <w:noWrap/>
            <w:vAlign w:val="center"/>
            <w:hideMark/>
          </w:tcPr>
          <w:p w14:paraId="3653FDC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1</w:t>
            </w:r>
          </w:p>
        </w:tc>
        <w:tc>
          <w:tcPr>
            <w:tcW w:w="414" w:type="pct"/>
            <w:noWrap/>
            <w:vAlign w:val="center"/>
            <w:hideMark/>
          </w:tcPr>
          <w:p w14:paraId="4F3C8EA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rs11205354</w:t>
            </w:r>
          </w:p>
        </w:tc>
        <w:tc>
          <w:tcPr>
            <w:tcW w:w="415" w:type="pct"/>
            <w:noWrap/>
            <w:vAlign w:val="center"/>
            <w:hideMark/>
          </w:tcPr>
          <w:p w14:paraId="61391C5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1:150,249,101</w:t>
            </w:r>
          </w:p>
        </w:tc>
        <w:tc>
          <w:tcPr>
            <w:tcW w:w="276" w:type="pct"/>
            <w:noWrap/>
            <w:vAlign w:val="center"/>
            <w:hideMark/>
          </w:tcPr>
          <w:p w14:paraId="6702267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C/A</w:t>
            </w:r>
          </w:p>
        </w:tc>
        <w:tc>
          <w:tcPr>
            <w:tcW w:w="1961" w:type="pct"/>
            <w:noWrap/>
            <w:vAlign w:val="center"/>
            <w:hideMark/>
          </w:tcPr>
          <w:p w14:paraId="588AF87A"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MRPS21</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RPRD2</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ECM1</w:t>
            </w:r>
            <w:r w:rsidRPr="00303B6C">
              <w:rPr>
                <w:sz w:val="18"/>
                <w:szCs w:val="18"/>
              </w:rPr>
              <w:t>‡</w:t>
            </w:r>
          </w:p>
        </w:tc>
      </w:tr>
      <w:tr w:rsidR="00A81934" w:rsidRPr="00303B6C" w14:paraId="76324E55" w14:textId="77777777" w:rsidTr="00EF6C4C">
        <w:trPr>
          <w:trHeight w:val="283"/>
        </w:trPr>
        <w:tc>
          <w:tcPr>
            <w:tcW w:w="673" w:type="pct"/>
            <w:noWrap/>
            <w:vAlign w:val="center"/>
          </w:tcPr>
          <w:p w14:paraId="3A584BEE"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KRTCAP2</w:t>
            </w:r>
          </w:p>
        </w:tc>
        <w:tc>
          <w:tcPr>
            <w:tcW w:w="362" w:type="pct"/>
            <w:noWrap/>
            <w:vAlign w:val="center"/>
          </w:tcPr>
          <w:p w14:paraId="6865BAE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21C04122"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tcPr>
          <w:p w14:paraId="678F699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Tier1</w:t>
            </w:r>
          </w:p>
        </w:tc>
        <w:tc>
          <w:tcPr>
            <w:tcW w:w="414" w:type="pct"/>
            <w:noWrap/>
            <w:vAlign w:val="center"/>
          </w:tcPr>
          <w:p w14:paraId="03D21D66"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rs141942982</w:t>
            </w:r>
          </w:p>
        </w:tc>
        <w:tc>
          <w:tcPr>
            <w:tcW w:w="415" w:type="pct"/>
            <w:noWrap/>
            <w:vAlign w:val="center"/>
          </w:tcPr>
          <w:p w14:paraId="2EBE823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w:t>
            </w:r>
            <w:r w:rsidRPr="00303B6C">
              <w:rPr>
                <w:sz w:val="18"/>
                <w:szCs w:val="18"/>
              </w:rPr>
              <w:t xml:space="preserve"> </w:t>
            </w:r>
            <w:r w:rsidRPr="00303B6C">
              <w:rPr>
                <w:rFonts w:eastAsia="Times New Roman" w:cs="Times New Roman"/>
                <w:color w:val="000000"/>
                <w:sz w:val="18"/>
                <w:szCs w:val="18"/>
                <w:lang w:eastAsia="en-GB"/>
              </w:rPr>
              <w:t>155153537</w:t>
            </w:r>
          </w:p>
        </w:tc>
        <w:tc>
          <w:tcPr>
            <w:tcW w:w="276" w:type="pct"/>
            <w:noWrap/>
            <w:vAlign w:val="center"/>
          </w:tcPr>
          <w:p w14:paraId="5D9709C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T/C</w:t>
            </w:r>
          </w:p>
        </w:tc>
        <w:tc>
          <w:tcPr>
            <w:tcW w:w="1961" w:type="pct"/>
            <w:noWrap/>
            <w:vAlign w:val="center"/>
          </w:tcPr>
          <w:p w14:paraId="065E9978"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THBS4</w:t>
            </w:r>
            <w:r w:rsidRPr="00303B6C">
              <w:rPr>
                <w:sz w:val="18"/>
                <w:szCs w:val="18"/>
              </w:rPr>
              <w:t>‡</w:t>
            </w:r>
          </w:p>
        </w:tc>
      </w:tr>
      <w:tr w:rsidR="00A81934" w:rsidRPr="00303B6C" w14:paraId="07AC97CD"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02F4067F"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RALGPS2 (intron)</w:t>
            </w:r>
          </w:p>
        </w:tc>
        <w:tc>
          <w:tcPr>
            <w:tcW w:w="362" w:type="pct"/>
            <w:noWrap/>
            <w:vAlign w:val="center"/>
            <w:hideMark/>
          </w:tcPr>
          <w:p w14:paraId="66A9F41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530" w:type="pct"/>
            <w:vAlign w:val="center"/>
          </w:tcPr>
          <w:p w14:paraId="21066B9B"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0E5AE1D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1</w:t>
            </w:r>
          </w:p>
        </w:tc>
        <w:tc>
          <w:tcPr>
            <w:tcW w:w="414" w:type="pct"/>
            <w:noWrap/>
            <w:vAlign w:val="center"/>
            <w:hideMark/>
          </w:tcPr>
          <w:p w14:paraId="4F96C85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rs4651005</w:t>
            </w:r>
          </w:p>
        </w:tc>
        <w:tc>
          <w:tcPr>
            <w:tcW w:w="415" w:type="pct"/>
            <w:noWrap/>
            <w:vAlign w:val="center"/>
            <w:hideMark/>
          </w:tcPr>
          <w:p w14:paraId="6690F6F7"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1:178,719,306</w:t>
            </w:r>
          </w:p>
        </w:tc>
        <w:tc>
          <w:tcPr>
            <w:tcW w:w="276" w:type="pct"/>
            <w:noWrap/>
            <w:vAlign w:val="center"/>
            <w:hideMark/>
          </w:tcPr>
          <w:p w14:paraId="625F4C8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C/T</w:t>
            </w:r>
          </w:p>
        </w:tc>
        <w:tc>
          <w:tcPr>
            <w:tcW w:w="1961" w:type="pct"/>
            <w:noWrap/>
            <w:vAlign w:val="center"/>
            <w:hideMark/>
          </w:tcPr>
          <w:p w14:paraId="7D06C47B"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ANGPTL1</w:t>
            </w:r>
            <w:r w:rsidRPr="00303B6C">
              <w:rPr>
                <w:rFonts w:eastAsia="Times New Roman" w:cs="Times New Roman"/>
                <w:color w:val="000000"/>
                <w:sz w:val="18"/>
                <w:szCs w:val="18"/>
                <w:lang w:eastAsia="en-GB"/>
              </w:rPr>
              <w:t>†</w:t>
            </w:r>
          </w:p>
        </w:tc>
      </w:tr>
      <w:tr w:rsidR="00A81934" w:rsidRPr="00303B6C" w14:paraId="0785781B" w14:textId="77777777" w:rsidTr="00EF6C4C">
        <w:trPr>
          <w:trHeight w:val="283"/>
        </w:trPr>
        <w:tc>
          <w:tcPr>
            <w:tcW w:w="673" w:type="pct"/>
            <w:noWrap/>
            <w:vAlign w:val="center"/>
            <w:hideMark/>
          </w:tcPr>
          <w:p w14:paraId="0348435B"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LMOD1 (intron)</w:t>
            </w:r>
          </w:p>
        </w:tc>
        <w:tc>
          <w:tcPr>
            <w:tcW w:w="362" w:type="pct"/>
            <w:noWrap/>
            <w:vAlign w:val="center"/>
            <w:hideMark/>
          </w:tcPr>
          <w:p w14:paraId="064CB02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470ECDE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369" w:type="pct"/>
            <w:noWrap/>
            <w:vAlign w:val="center"/>
            <w:hideMark/>
          </w:tcPr>
          <w:p w14:paraId="1DFE839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2</w:t>
            </w:r>
          </w:p>
        </w:tc>
        <w:tc>
          <w:tcPr>
            <w:tcW w:w="414" w:type="pct"/>
            <w:noWrap/>
            <w:vAlign w:val="center"/>
            <w:hideMark/>
          </w:tcPr>
          <w:p w14:paraId="480BBAA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rs4309038</w:t>
            </w:r>
          </w:p>
        </w:tc>
        <w:tc>
          <w:tcPr>
            <w:tcW w:w="415" w:type="pct"/>
            <w:noWrap/>
            <w:vAlign w:val="center"/>
            <w:hideMark/>
          </w:tcPr>
          <w:p w14:paraId="0504A7B6"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1:201,884,647</w:t>
            </w:r>
          </w:p>
        </w:tc>
        <w:tc>
          <w:tcPr>
            <w:tcW w:w="276" w:type="pct"/>
            <w:noWrap/>
            <w:vAlign w:val="center"/>
            <w:hideMark/>
          </w:tcPr>
          <w:p w14:paraId="1EA29B1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G/C</w:t>
            </w:r>
          </w:p>
        </w:tc>
        <w:tc>
          <w:tcPr>
            <w:tcW w:w="1961" w:type="pct"/>
            <w:noWrap/>
            <w:vAlign w:val="center"/>
            <w:hideMark/>
          </w:tcPr>
          <w:p w14:paraId="5F241D50"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SHISA4</w:t>
            </w:r>
            <w:r w:rsidRPr="00303B6C">
              <w:rPr>
                <w:rFonts w:eastAsia="Times New Roman" w:cs="Times New Roman"/>
                <w:color w:val="000000"/>
                <w:sz w:val="18"/>
                <w:szCs w:val="18"/>
                <w:lang w:eastAsia="en-GB"/>
              </w:rPr>
              <w:t>†</w:t>
            </w:r>
          </w:p>
        </w:tc>
      </w:tr>
      <w:tr w:rsidR="00A81934" w:rsidRPr="00303B6C" w14:paraId="44B22DE6"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265D68D2"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ATAD2B (intron)</w:t>
            </w:r>
          </w:p>
        </w:tc>
        <w:tc>
          <w:tcPr>
            <w:tcW w:w="362" w:type="pct"/>
            <w:noWrap/>
            <w:vAlign w:val="center"/>
            <w:hideMark/>
          </w:tcPr>
          <w:p w14:paraId="688AFEED"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FVC</w:t>
            </w:r>
          </w:p>
        </w:tc>
        <w:tc>
          <w:tcPr>
            <w:tcW w:w="530" w:type="pct"/>
            <w:vAlign w:val="center"/>
          </w:tcPr>
          <w:p w14:paraId="3762C49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369" w:type="pct"/>
            <w:noWrap/>
            <w:vAlign w:val="center"/>
            <w:hideMark/>
          </w:tcPr>
          <w:p w14:paraId="631D477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2</w:t>
            </w:r>
          </w:p>
        </w:tc>
        <w:tc>
          <w:tcPr>
            <w:tcW w:w="414" w:type="pct"/>
            <w:noWrap/>
            <w:vAlign w:val="center"/>
            <w:hideMark/>
          </w:tcPr>
          <w:p w14:paraId="754BCCA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rs13009582</w:t>
            </w:r>
          </w:p>
        </w:tc>
        <w:tc>
          <w:tcPr>
            <w:tcW w:w="415" w:type="pct"/>
            <w:noWrap/>
            <w:vAlign w:val="center"/>
            <w:hideMark/>
          </w:tcPr>
          <w:p w14:paraId="77F687B1"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2:24,018,480</w:t>
            </w:r>
          </w:p>
        </w:tc>
        <w:tc>
          <w:tcPr>
            <w:tcW w:w="276" w:type="pct"/>
            <w:noWrap/>
            <w:vAlign w:val="center"/>
            <w:hideMark/>
          </w:tcPr>
          <w:p w14:paraId="47C0828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G/A</w:t>
            </w:r>
          </w:p>
        </w:tc>
        <w:tc>
          <w:tcPr>
            <w:tcW w:w="1961" w:type="pct"/>
            <w:noWrap/>
            <w:vAlign w:val="center"/>
            <w:hideMark/>
          </w:tcPr>
          <w:p w14:paraId="3F5BED7A"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UBXN2A</w:t>
            </w:r>
            <w:r w:rsidRPr="00303B6C">
              <w:rPr>
                <w:rFonts w:eastAsia="Times New Roman" w:cs="Times New Roman"/>
                <w:color w:val="000000"/>
                <w:sz w:val="18"/>
                <w:szCs w:val="18"/>
                <w:lang w:eastAsia="en-GB"/>
              </w:rPr>
              <w:t>†</w:t>
            </w:r>
          </w:p>
        </w:tc>
      </w:tr>
      <w:tr w:rsidR="00A81934" w:rsidRPr="00303B6C" w14:paraId="0CB8D5B8" w14:textId="77777777" w:rsidTr="00EF6C4C">
        <w:trPr>
          <w:trHeight w:val="283"/>
        </w:trPr>
        <w:tc>
          <w:tcPr>
            <w:tcW w:w="673" w:type="pct"/>
            <w:noWrap/>
            <w:vAlign w:val="center"/>
            <w:hideMark/>
          </w:tcPr>
          <w:p w14:paraId="02979C76"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PKDCC</w:t>
            </w:r>
          </w:p>
        </w:tc>
        <w:tc>
          <w:tcPr>
            <w:tcW w:w="362" w:type="pct"/>
            <w:noWrap/>
            <w:vAlign w:val="center"/>
            <w:hideMark/>
          </w:tcPr>
          <w:p w14:paraId="0D5A0E6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FVC</w:t>
            </w:r>
          </w:p>
        </w:tc>
        <w:tc>
          <w:tcPr>
            <w:tcW w:w="530" w:type="pct"/>
            <w:vAlign w:val="center"/>
          </w:tcPr>
          <w:p w14:paraId="52E7F783"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280F48DD"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1</w:t>
            </w:r>
          </w:p>
        </w:tc>
        <w:tc>
          <w:tcPr>
            <w:tcW w:w="414" w:type="pct"/>
            <w:noWrap/>
            <w:vAlign w:val="center"/>
            <w:hideMark/>
          </w:tcPr>
          <w:p w14:paraId="6D6B0BD1"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rs4952564</w:t>
            </w:r>
          </w:p>
        </w:tc>
        <w:tc>
          <w:tcPr>
            <w:tcW w:w="415" w:type="pct"/>
            <w:noWrap/>
            <w:vAlign w:val="center"/>
            <w:hideMark/>
          </w:tcPr>
          <w:p w14:paraId="3EB1405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2:42,243,850</w:t>
            </w:r>
          </w:p>
        </w:tc>
        <w:tc>
          <w:tcPr>
            <w:tcW w:w="276" w:type="pct"/>
            <w:noWrap/>
            <w:vAlign w:val="center"/>
            <w:hideMark/>
          </w:tcPr>
          <w:p w14:paraId="30FE4DB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A/G</w:t>
            </w:r>
          </w:p>
        </w:tc>
        <w:tc>
          <w:tcPr>
            <w:tcW w:w="1961" w:type="pct"/>
            <w:noWrap/>
            <w:vAlign w:val="center"/>
            <w:hideMark/>
          </w:tcPr>
          <w:p w14:paraId="26F7D526"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PKDCC</w:t>
            </w:r>
            <w:r w:rsidRPr="00303B6C">
              <w:rPr>
                <w:rFonts w:eastAsia="Times New Roman" w:cs="Times New Roman"/>
                <w:color w:val="000000"/>
                <w:sz w:val="18"/>
                <w:szCs w:val="18"/>
                <w:lang w:eastAsia="en-GB"/>
              </w:rPr>
              <w:t>†</w:t>
            </w:r>
          </w:p>
        </w:tc>
      </w:tr>
      <w:tr w:rsidR="00A81934" w:rsidRPr="00303B6C" w14:paraId="380E2F95"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29EBAF30"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ITGAV (intron)</w:t>
            </w:r>
          </w:p>
        </w:tc>
        <w:tc>
          <w:tcPr>
            <w:tcW w:w="362" w:type="pct"/>
            <w:noWrap/>
            <w:vAlign w:val="center"/>
            <w:hideMark/>
          </w:tcPr>
          <w:p w14:paraId="51AC98E2"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6571E4C6"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5D62757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1</w:t>
            </w:r>
          </w:p>
        </w:tc>
        <w:tc>
          <w:tcPr>
            <w:tcW w:w="414" w:type="pct"/>
            <w:noWrap/>
            <w:vAlign w:val="center"/>
            <w:hideMark/>
          </w:tcPr>
          <w:p w14:paraId="25423C6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rs2084448</w:t>
            </w:r>
          </w:p>
        </w:tc>
        <w:tc>
          <w:tcPr>
            <w:tcW w:w="415" w:type="pct"/>
            <w:noWrap/>
            <w:vAlign w:val="center"/>
            <w:hideMark/>
          </w:tcPr>
          <w:p w14:paraId="7913851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2:187,530,520</w:t>
            </w:r>
          </w:p>
        </w:tc>
        <w:tc>
          <w:tcPr>
            <w:tcW w:w="276" w:type="pct"/>
            <w:noWrap/>
            <w:vAlign w:val="center"/>
            <w:hideMark/>
          </w:tcPr>
          <w:p w14:paraId="7CE5CF7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C/T</w:t>
            </w:r>
          </w:p>
        </w:tc>
        <w:tc>
          <w:tcPr>
            <w:tcW w:w="1961" w:type="pct"/>
            <w:noWrap/>
            <w:vAlign w:val="center"/>
            <w:hideMark/>
          </w:tcPr>
          <w:p w14:paraId="17552236"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ITGAV</w:t>
            </w:r>
            <w:r w:rsidRPr="00303B6C">
              <w:rPr>
                <w:rFonts w:eastAsia="Times New Roman" w:cs="Times New Roman"/>
                <w:color w:val="000000"/>
                <w:sz w:val="18"/>
                <w:szCs w:val="18"/>
                <w:lang w:eastAsia="en-GB"/>
              </w:rPr>
              <w:t>†</w:t>
            </w:r>
          </w:p>
        </w:tc>
      </w:tr>
      <w:tr w:rsidR="00A81934" w:rsidRPr="00303B6C" w14:paraId="57E95B52" w14:textId="77777777" w:rsidTr="00EF6C4C">
        <w:trPr>
          <w:trHeight w:val="283"/>
        </w:trPr>
        <w:tc>
          <w:tcPr>
            <w:tcW w:w="673" w:type="pct"/>
            <w:noWrap/>
            <w:vAlign w:val="center"/>
            <w:hideMark/>
          </w:tcPr>
          <w:p w14:paraId="1344494A"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SPATS2L (intron)</w:t>
            </w:r>
          </w:p>
        </w:tc>
        <w:tc>
          <w:tcPr>
            <w:tcW w:w="362" w:type="pct"/>
            <w:noWrap/>
            <w:vAlign w:val="center"/>
            <w:hideMark/>
          </w:tcPr>
          <w:p w14:paraId="3DBC4D6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7BF29174"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23C306F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2</w:t>
            </w:r>
          </w:p>
        </w:tc>
        <w:tc>
          <w:tcPr>
            <w:tcW w:w="414" w:type="pct"/>
            <w:noWrap/>
            <w:vAlign w:val="center"/>
            <w:hideMark/>
          </w:tcPr>
          <w:p w14:paraId="0BEE833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rs985256</w:t>
            </w:r>
          </w:p>
        </w:tc>
        <w:tc>
          <w:tcPr>
            <w:tcW w:w="415" w:type="pct"/>
            <w:noWrap/>
            <w:vAlign w:val="center"/>
            <w:hideMark/>
          </w:tcPr>
          <w:p w14:paraId="582C1D1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2:201,208,692</w:t>
            </w:r>
          </w:p>
        </w:tc>
        <w:tc>
          <w:tcPr>
            <w:tcW w:w="276" w:type="pct"/>
            <w:noWrap/>
            <w:vAlign w:val="center"/>
            <w:hideMark/>
          </w:tcPr>
          <w:p w14:paraId="2F649B8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C/A</w:t>
            </w:r>
          </w:p>
        </w:tc>
        <w:tc>
          <w:tcPr>
            <w:tcW w:w="1961" w:type="pct"/>
            <w:noWrap/>
            <w:vAlign w:val="center"/>
            <w:hideMark/>
          </w:tcPr>
          <w:p w14:paraId="41AE546B"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SPATS2L</w:t>
            </w:r>
            <w:r w:rsidRPr="00303B6C">
              <w:rPr>
                <w:rFonts w:eastAsia="Times New Roman" w:cs="Times New Roman"/>
                <w:color w:val="000000"/>
                <w:sz w:val="18"/>
                <w:szCs w:val="18"/>
                <w:lang w:eastAsia="en-GB"/>
              </w:rPr>
              <w:t>†</w:t>
            </w:r>
          </w:p>
        </w:tc>
      </w:tr>
      <w:tr w:rsidR="00A81934" w:rsidRPr="00303B6C" w14:paraId="5DE22347"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2E613973"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C2orf54</w:t>
            </w:r>
          </w:p>
        </w:tc>
        <w:tc>
          <w:tcPr>
            <w:tcW w:w="362" w:type="pct"/>
            <w:noWrap/>
            <w:vAlign w:val="center"/>
            <w:hideMark/>
          </w:tcPr>
          <w:p w14:paraId="62E5B06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FVC</w:t>
            </w:r>
          </w:p>
        </w:tc>
        <w:tc>
          <w:tcPr>
            <w:tcW w:w="530" w:type="pct"/>
            <w:vAlign w:val="center"/>
          </w:tcPr>
          <w:p w14:paraId="20ACCE56"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369" w:type="pct"/>
            <w:noWrap/>
            <w:vAlign w:val="center"/>
            <w:hideMark/>
          </w:tcPr>
          <w:p w14:paraId="2074833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1</w:t>
            </w:r>
          </w:p>
        </w:tc>
        <w:tc>
          <w:tcPr>
            <w:tcW w:w="414" w:type="pct"/>
            <w:noWrap/>
            <w:vAlign w:val="center"/>
            <w:hideMark/>
          </w:tcPr>
          <w:p w14:paraId="30D9F9B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rs6437219</w:t>
            </w:r>
          </w:p>
        </w:tc>
        <w:tc>
          <w:tcPr>
            <w:tcW w:w="415" w:type="pct"/>
            <w:noWrap/>
            <w:vAlign w:val="center"/>
            <w:hideMark/>
          </w:tcPr>
          <w:p w14:paraId="354DD88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2:241,844,033</w:t>
            </w:r>
          </w:p>
        </w:tc>
        <w:tc>
          <w:tcPr>
            <w:tcW w:w="276" w:type="pct"/>
            <w:noWrap/>
            <w:vAlign w:val="center"/>
            <w:hideMark/>
          </w:tcPr>
          <w:p w14:paraId="06791807"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C/T</w:t>
            </w:r>
          </w:p>
        </w:tc>
        <w:tc>
          <w:tcPr>
            <w:tcW w:w="1961" w:type="pct"/>
            <w:noWrap/>
            <w:vAlign w:val="center"/>
            <w:hideMark/>
          </w:tcPr>
          <w:p w14:paraId="6E9B7B9D"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C2orf54</w:t>
            </w:r>
            <w:r w:rsidRPr="00303B6C">
              <w:rPr>
                <w:rFonts w:eastAsia="Times New Roman" w:cs="Times New Roman"/>
                <w:color w:val="000000"/>
                <w:sz w:val="18"/>
                <w:szCs w:val="18"/>
                <w:lang w:eastAsia="en-GB"/>
              </w:rPr>
              <w:t>†*</w:t>
            </w:r>
          </w:p>
        </w:tc>
      </w:tr>
      <w:tr w:rsidR="00A81934" w:rsidRPr="00303B6C" w14:paraId="2DA6BFC7" w14:textId="77777777" w:rsidTr="00EF6C4C">
        <w:trPr>
          <w:trHeight w:val="283"/>
        </w:trPr>
        <w:tc>
          <w:tcPr>
            <w:tcW w:w="673" w:type="pct"/>
            <w:noWrap/>
            <w:vAlign w:val="center"/>
            <w:hideMark/>
          </w:tcPr>
          <w:p w14:paraId="477054B3"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MIR548G</w:t>
            </w:r>
          </w:p>
        </w:tc>
        <w:tc>
          <w:tcPr>
            <w:tcW w:w="362" w:type="pct"/>
            <w:noWrap/>
            <w:vAlign w:val="center"/>
            <w:hideMark/>
          </w:tcPr>
          <w:p w14:paraId="3B6E452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FVC</w:t>
            </w:r>
          </w:p>
        </w:tc>
        <w:tc>
          <w:tcPr>
            <w:tcW w:w="530" w:type="pct"/>
            <w:vAlign w:val="center"/>
          </w:tcPr>
          <w:p w14:paraId="10608347"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6198E98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1</w:t>
            </w:r>
          </w:p>
        </w:tc>
        <w:tc>
          <w:tcPr>
            <w:tcW w:w="414" w:type="pct"/>
            <w:noWrap/>
            <w:vAlign w:val="center"/>
            <w:hideMark/>
          </w:tcPr>
          <w:p w14:paraId="424486E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rs1610265</w:t>
            </w:r>
          </w:p>
        </w:tc>
        <w:tc>
          <w:tcPr>
            <w:tcW w:w="415" w:type="pct"/>
            <w:noWrap/>
            <w:vAlign w:val="center"/>
            <w:hideMark/>
          </w:tcPr>
          <w:p w14:paraId="59F782F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3:99,420,192</w:t>
            </w:r>
          </w:p>
        </w:tc>
        <w:tc>
          <w:tcPr>
            <w:tcW w:w="276" w:type="pct"/>
            <w:noWrap/>
            <w:vAlign w:val="center"/>
            <w:hideMark/>
          </w:tcPr>
          <w:p w14:paraId="07670E2D"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T/C</w:t>
            </w:r>
          </w:p>
        </w:tc>
        <w:tc>
          <w:tcPr>
            <w:tcW w:w="1961" w:type="pct"/>
            <w:noWrap/>
            <w:vAlign w:val="center"/>
            <w:hideMark/>
          </w:tcPr>
          <w:p w14:paraId="179797C9"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FILIP1L</w:t>
            </w:r>
            <w:r w:rsidRPr="00303B6C">
              <w:rPr>
                <w:rFonts w:eastAsia="Times New Roman" w:cs="Times New Roman"/>
                <w:color w:val="000000"/>
                <w:sz w:val="18"/>
                <w:szCs w:val="18"/>
                <w:lang w:eastAsia="en-GB"/>
              </w:rPr>
              <w:t>†</w:t>
            </w:r>
          </w:p>
        </w:tc>
      </w:tr>
      <w:tr w:rsidR="00A81934" w:rsidRPr="00303B6C" w14:paraId="72CD17D7"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71181340"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BCHE (exon)</w:t>
            </w:r>
          </w:p>
        </w:tc>
        <w:tc>
          <w:tcPr>
            <w:tcW w:w="362" w:type="pct"/>
            <w:noWrap/>
            <w:vAlign w:val="center"/>
            <w:hideMark/>
          </w:tcPr>
          <w:p w14:paraId="43A775E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0A6348A2"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369" w:type="pct"/>
            <w:noWrap/>
            <w:vAlign w:val="center"/>
            <w:hideMark/>
          </w:tcPr>
          <w:p w14:paraId="1DE6324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1</w:t>
            </w:r>
          </w:p>
        </w:tc>
        <w:tc>
          <w:tcPr>
            <w:tcW w:w="414" w:type="pct"/>
            <w:noWrap/>
            <w:vAlign w:val="center"/>
            <w:hideMark/>
          </w:tcPr>
          <w:p w14:paraId="232406A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rs1799807</w:t>
            </w:r>
          </w:p>
        </w:tc>
        <w:tc>
          <w:tcPr>
            <w:tcW w:w="415" w:type="pct"/>
            <w:noWrap/>
            <w:vAlign w:val="center"/>
            <w:hideMark/>
          </w:tcPr>
          <w:p w14:paraId="381F9F8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3:165,548,529</w:t>
            </w:r>
          </w:p>
        </w:tc>
        <w:tc>
          <w:tcPr>
            <w:tcW w:w="276" w:type="pct"/>
            <w:noWrap/>
            <w:vAlign w:val="center"/>
            <w:hideMark/>
          </w:tcPr>
          <w:p w14:paraId="3038426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C/T</w:t>
            </w:r>
          </w:p>
        </w:tc>
        <w:tc>
          <w:tcPr>
            <w:tcW w:w="1961" w:type="pct"/>
            <w:noWrap/>
            <w:vAlign w:val="center"/>
            <w:hideMark/>
          </w:tcPr>
          <w:p w14:paraId="795952DE"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BCHE</w:t>
            </w:r>
            <w:r w:rsidRPr="00303B6C">
              <w:rPr>
                <w:rFonts w:eastAsia="Times New Roman" w:cs="Times New Roman"/>
                <w:color w:val="000000"/>
                <w:sz w:val="18"/>
                <w:szCs w:val="18"/>
                <w:lang w:eastAsia="en-GB"/>
              </w:rPr>
              <w:t>*</w:t>
            </w:r>
          </w:p>
        </w:tc>
      </w:tr>
      <w:tr w:rsidR="00A81934" w:rsidRPr="00303B6C" w14:paraId="006830A3" w14:textId="77777777" w:rsidTr="00EF6C4C">
        <w:trPr>
          <w:trHeight w:val="283"/>
        </w:trPr>
        <w:tc>
          <w:tcPr>
            <w:tcW w:w="673" w:type="pct"/>
            <w:noWrap/>
            <w:vAlign w:val="center"/>
            <w:hideMark/>
          </w:tcPr>
          <w:p w14:paraId="4118836C"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BTC (intron)</w:t>
            </w:r>
          </w:p>
        </w:tc>
        <w:tc>
          <w:tcPr>
            <w:tcW w:w="362" w:type="pct"/>
            <w:noWrap/>
            <w:vAlign w:val="center"/>
            <w:hideMark/>
          </w:tcPr>
          <w:p w14:paraId="6476AAD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3785B7F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ascii="Calibri" w:hAnsi="Calibri"/>
                <w:color w:val="000000"/>
                <w:sz w:val="18"/>
                <w:szCs w:val="18"/>
              </w:rPr>
              <w:t>/FVC</w:t>
            </w:r>
          </w:p>
        </w:tc>
        <w:tc>
          <w:tcPr>
            <w:tcW w:w="369" w:type="pct"/>
            <w:noWrap/>
            <w:vAlign w:val="center"/>
            <w:hideMark/>
          </w:tcPr>
          <w:p w14:paraId="1FEED30D"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1</w:t>
            </w:r>
          </w:p>
        </w:tc>
        <w:tc>
          <w:tcPr>
            <w:tcW w:w="414" w:type="pct"/>
            <w:noWrap/>
            <w:vAlign w:val="center"/>
            <w:hideMark/>
          </w:tcPr>
          <w:p w14:paraId="2823512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rs62316310</w:t>
            </w:r>
          </w:p>
        </w:tc>
        <w:tc>
          <w:tcPr>
            <w:tcW w:w="415" w:type="pct"/>
            <w:noWrap/>
            <w:vAlign w:val="center"/>
            <w:hideMark/>
          </w:tcPr>
          <w:p w14:paraId="6DEDC85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4:75,676,529</w:t>
            </w:r>
          </w:p>
        </w:tc>
        <w:tc>
          <w:tcPr>
            <w:tcW w:w="276" w:type="pct"/>
            <w:noWrap/>
            <w:vAlign w:val="center"/>
            <w:hideMark/>
          </w:tcPr>
          <w:p w14:paraId="562BBD1F"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G/A</w:t>
            </w:r>
          </w:p>
        </w:tc>
        <w:tc>
          <w:tcPr>
            <w:tcW w:w="1961" w:type="pct"/>
            <w:noWrap/>
            <w:vAlign w:val="center"/>
            <w:hideMark/>
          </w:tcPr>
          <w:p w14:paraId="6703307E"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BTC</w:t>
            </w:r>
            <w:r w:rsidRPr="00303B6C">
              <w:rPr>
                <w:rFonts w:eastAsia="Times New Roman" w:cs="Times New Roman"/>
                <w:color w:val="000000"/>
                <w:sz w:val="18"/>
                <w:szCs w:val="18"/>
                <w:lang w:eastAsia="en-GB"/>
              </w:rPr>
              <w:t>*</w:t>
            </w:r>
          </w:p>
        </w:tc>
      </w:tr>
      <w:tr w:rsidR="00A81934" w:rsidRPr="00303B6C" w14:paraId="777679D7"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381E8F0B"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LOC100996325</w:t>
            </w:r>
          </w:p>
        </w:tc>
        <w:tc>
          <w:tcPr>
            <w:tcW w:w="362" w:type="pct"/>
            <w:noWrap/>
            <w:vAlign w:val="center"/>
            <w:hideMark/>
          </w:tcPr>
          <w:p w14:paraId="07626AD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530" w:type="pct"/>
            <w:vAlign w:val="center"/>
          </w:tcPr>
          <w:p w14:paraId="65A8C9A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ascii="Calibri" w:hAnsi="Calibri"/>
                <w:color w:val="000000"/>
                <w:sz w:val="18"/>
                <w:szCs w:val="18"/>
              </w:rPr>
              <w:t>/FVC, PEF</w:t>
            </w:r>
          </w:p>
        </w:tc>
        <w:tc>
          <w:tcPr>
            <w:tcW w:w="369" w:type="pct"/>
            <w:noWrap/>
            <w:vAlign w:val="center"/>
            <w:hideMark/>
          </w:tcPr>
          <w:p w14:paraId="174C59C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1</w:t>
            </w:r>
          </w:p>
        </w:tc>
        <w:tc>
          <w:tcPr>
            <w:tcW w:w="414" w:type="pct"/>
            <w:noWrap/>
            <w:vAlign w:val="center"/>
            <w:hideMark/>
          </w:tcPr>
          <w:p w14:paraId="671C8F17"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rs11739847</w:t>
            </w:r>
          </w:p>
        </w:tc>
        <w:tc>
          <w:tcPr>
            <w:tcW w:w="415" w:type="pct"/>
            <w:noWrap/>
            <w:vAlign w:val="center"/>
            <w:hideMark/>
          </w:tcPr>
          <w:p w14:paraId="4DAA4BD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5:609,661</w:t>
            </w:r>
          </w:p>
        </w:tc>
        <w:tc>
          <w:tcPr>
            <w:tcW w:w="276" w:type="pct"/>
            <w:noWrap/>
            <w:vAlign w:val="center"/>
            <w:hideMark/>
          </w:tcPr>
          <w:p w14:paraId="192CFCF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A/G</w:t>
            </w:r>
          </w:p>
        </w:tc>
        <w:tc>
          <w:tcPr>
            <w:tcW w:w="1961" w:type="pct"/>
            <w:noWrap/>
            <w:vAlign w:val="center"/>
            <w:hideMark/>
          </w:tcPr>
          <w:p w14:paraId="6DF1FCA7"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CEP72</w:t>
            </w:r>
            <w:r w:rsidRPr="00303B6C">
              <w:rPr>
                <w:rFonts w:eastAsia="Times New Roman" w:cs="Times New Roman"/>
                <w:color w:val="000000"/>
                <w:sz w:val="18"/>
                <w:szCs w:val="18"/>
                <w:lang w:eastAsia="en-GB"/>
              </w:rPr>
              <w:t>*</w:t>
            </w:r>
          </w:p>
        </w:tc>
      </w:tr>
      <w:tr w:rsidR="00A81934" w:rsidRPr="00303B6C" w14:paraId="295616DE" w14:textId="77777777" w:rsidTr="00EF6C4C">
        <w:trPr>
          <w:trHeight w:val="283"/>
        </w:trPr>
        <w:tc>
          <w:tcPr>
            <w:tcW w:w="673" w:type="pct"/>
            <w:noWrap/>
            <w:vAlign w:val="center"/>
            <w:hideMark/>
          </w:tcPr>
          <w:p w14:paraId="172D31F5"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RNU6-71P</w:t>
            </w:r>
          </w:p>
        </w:tc>
        <w:tc>
          <w:tcPr>
            <w:tcW w:w="362" w:type="pct"/>
            <w:noWrap/>
            <w:vAlign w:val="center"/>
            <w:hideMark/>
          </w:tcPr>
          <w:p w14:paraId="3BE2396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530" w:type="pct"/>
            <w:vAlign w:val="center"/>
          </w:tcPr>
          <w:p w14:paraId="70C1F7FE" w14:textId="77777777" w:rsidR="00A81934" w:rsidRPr="00303B6C" w:rsidRDefault="00A81934" w:rsidP="00EF6C4C">
            <w:pPr>
              <w:rPr>
                <w:rFonts w:eastAsia="Times New Roman" w:cs="Times New Roman"/>
                <w:color w:val="000000"/>
                <w:sz w:val="18"/>
                <w:szCs w:val="18"/>
                <w:lang w:eastAsia="en-GB"/>
              </w:rPr>
            </w:pPr>
            <w:r w:rsidRPr="00303B6C">
              <w:rPr>
                <w:rFonts w:ascii="Calibri" w:hAnsi="Calibri"/>
                <w:color w:val="000000"/>
                <w:sz w:val="18"/>
                <w:szCs w:val="18"/>
              </w:rPr>
              <w:t>FVC, PEF</w:t>
            </w:r>
          </w:p>
        </w:tc>
        <w:tc>
          <w:tcPr>
            <w:tcW w:w="369" w:type="pct"/>
            <w:noWrap/>
            <w:vAlign w:val="center"/>
            <w:hideMark/>
          </w:tcPr>
          <w:p w14:paraId="5C53AC9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1</w:t>
            </w:r>
          </w:p>
        </w:tc>
        <w:tc>
          <w:tcPr>
            <w:tcW w:w="414" w:type="pct"/>
            <w:noWrap/>
            <w:vAlign w:val="center"/>
            <w:hideMark/>
          </w:tcPr>
          <w:p w14:paraId="11118E5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rs2894837</w:t>
            </w:r>
          </w:p>
        </w:tc>
        <w:tc>
          <w:tcPr>
            <w:tcW w:w="415" w:type="pct"/>
            <w:noWrap/>
            <w:vAlign w:val="center"/>
            <w:hideMark/>
          </w:tcPr>
          <w:p w14:paraId="698ED69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6:56,336,406</w:t>
            </w:r>
          </w:p>
        </w:tc>
        <w:tc>
          <w:tcPr>
            <w:tcW w:w="276" w:type="pct"/>
            <w:noWrap/>
            <w:vAlign w:val="center"/>
            <w:hideMark/>
          </w:tcPr>
          <w:p w14:paraId="27CADB56"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G/A</w:t>
            </w:r>
          </w:p>
        </w:tc>
        <w:tc>
          <w:tcPr>
            <w:tcW w:w="1961" w:type="pct"/>
            <w:noWrap/>
            <w:vAlign w:val="center"/>
            <w:hideMark/>
          </w:tcPr>
          <w:p w14:paraId="2C4D377A"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DST</w:t>
            </w:r>
            <w:r w:rsidRPr="00303B6C">
              <w:rPr>
                <w:rFonts w:eastAsia="Times New Roman" w:cs="Times New Roman"/>
                <w:color w:val="000000"/>
                <w:sz w:val="18"/>
                <w:szCs w:val="18"/>
                <w:lang w:eastAsia="en-GB"/>
              </w:rPr>
              <w:t>*</w:t>
            </w:r>
          </w:p>
        </w:tc>
      </w:tr>
      <w:tr w:rsidR="00A81934" w:rsidRPr="00303B6C" w14:paraId="7ADED1C2"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66B80A6D"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JAZF1 (intron)</w:t>
            </w:r>
          </w:p>
        </w:tc>
        <w:tc>
          <w:tcPr>
            <w:tcW w:w="362" w:type="pct"/>
            <w:noWrap/>
            <w:vAlign w:val="center"/>
            <w:hideMark/>
          </w:tcPr>
          <w:p w14:paraId="3D74F84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530" w:type="pct"/>
            <w:vAlign w:val="center"/>
          </w:tcPr>
          <w:p w14:paraId="4B64845E"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6A36F12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1</w:t>
            </w:r>
          </w:p>
        </w:tc>
        <w:tc>
          <w:tcPr>
            <w:tcW w:w="414" w:type="pct"/>
            <w:noWrap/>
            <w:vAlign w:val="center"/>
            <w:hideMark/>
          </w:tcPr>
          <w:p w14:paraId="58CF1BD2"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rs1513272</w:t>
            </w:r>
          </w:p>
        </w:tc>
        <w:tc>
          <w:tcPr>
            <w:tcW w:w="415" w:type="pct"/>
            <w:noWrap/>
            <w:vAlign w:val="center"/>
            <w:hideMark/>
          </w:tcPr>
          <w:p w14:paraId="1C6B2447"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7:28,200,097</w:t>
            </w:r>
          </w:p>
        </w:tc>
        <w:tc>
          <w:tcPr>
            <w:tcW w:w="276" w:type="pct"/>
            <w:noWrap/>
            <w:vAlign w:val="center"/>
            <w:hideMark/>
          </w:tcPr>
          <w:p w14:paraId="555B7B3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C/T</w:t>
            </w:r>
          </w:p>
        </w:tc>
        <w:tc>
          <w:tcPr>
            <w:tcW w:w="1961" w:type="pct"/>
            <w:noWrap/>
            <w:vAlign w:val="center"/>
            <w:hideMark/>
          </w:tcPr>
          <w:p w14:paraId="31934C31"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JAZF1</w:t>
            </w:r>
            <w:r w:rsidRPr="00303B6C">
              <w:rPr>
                <w:rFonts w:eastAsia="Times New Roman" w:cs="Times New Roman"/>
                <w:color w:val="000000"/>
                <w:sz w:val="18"/>
                <w:szCs w:val="18"/>
                <w:lang w:eastAsia="en-GB"/>
              </w:rPr>
              <w:t>†</w:t>
            </w:r>
          </w:p>
        </w:tc>
      </w:tr>
      <w:tr w:rsidR="00A81934" w:rsidRPr="00303B6C" w14:paraId="0B56B8D4" w14:textId="77777777" w:rsidTr="00EF6C4C">
        <w:trPr>
          <w:trHeight w:val="283"/>
        </w:trPr>
        <w:tc>
          <w:tcPr>
            <w:tcW w:w="673" w:type="pct"/>
            <w:noWrap/>
            <w:vAlign w:val="center"/>
            <w:hideMark/>
          </w:tcPr>
          <w:p w14:paraId="5121F723"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MET (intron)</w:t>
            </w:r>
          </w:p>
        </w:tc>
        <w:tc>
          <w:tcPr>
            <w:tcW w:w="362" w:type="pct"/>
            <w:noWrap/>
            <w:vAlign w:val="center"/>
            <w:hideMark/>
          </w:tcPr>
          <w:p w14:paraId="1F12D6B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30C37AD4"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564BDCC6"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2</w:t>
            </w:r>
          </w:p>
        </w:tc>
        <w:tc>
          <w:tcPr>
            <w:tcW w:w="414" w:type="pct"/>
            <w:noWrap/>
            <w:vAlign w:val="center"/>
            <w:hideMark/>
          </w:tcPr>
          <w:p w14:paraId="376175E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rs193686</w:t>
            </w:r>
          </w:p>
        </w:tc>
        <w:tc>
          <w:tcPr>
            <w:tcW w:w="415" w:type="pct"/>
            <w:noWrap/>
            <w:vAlign w:val="center"/>
            <w:hideMark/>
          </w:tcPr>
          <w:p w14:paraId="30F47D2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7:116,431,427</w:t>
            </w:r>
          </w:p>
        </w:tc>
        <w:tc>
          <w:tcPr>
            <w:tcW w:w="276" w:type="pct"/>
            <w:noWrap/>
            <w:vAlign w:val="center"/>
            <w:hideMark/>
          </w:tcPr>
          <w:p w14:paraId="2E71118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T/C</w:t>
            </w:r>
          </w:p>
        </w:tc>
        <w:tc>
          <w:tcPr>
            <w:tcW w:w="1961" w:type="pct"/>
            <w:noWrap/>
            <w:vAlign w:val="center"/>
            <w:hideMark/>
          </w:tcPr>
          <w:p w14:paraId="42BA979A"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MET</w:t>
            </w:r>
            <w:r w:rsidRPr="00303B6C">
              <w:rPr>
                <w:rFonts w:eastAsia="Times New Roman" w:cs="Times New Roman"/>
                <w:color w:val="000000"/>
                <w:sz w:val="18"/>
                <w:szCs w:val="18"/>
                <w:lang w:eastAsia="en-GB"/>
              </w:rPr>
              <w:t>†</w:t>
            </w:r>
          </w:p>
        </w:tc>
      </w:tr>
      <w:tr w:rsidR="00A81934" w:rsidRPr="00303B6C" w14:paraId="6137958E"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18FD543E"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IER5L</w:t>
            </w:r>
          </w:p>
        </w:tc>
        <w:tc>
          <w:tcPr>
            <w:tcW w:w="362" w:type="pct"/>
            <w:noWrap/>
            <w:vAlign w:val="center"/>
            <w:hideMark/>
          </w:tcPr>
          <w:p w14:paraId="49957CF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530" w:type="pct"/>
            <w:vAlign w:val="center"/>
          </w:tcPr>
          <w:p w14:paraId="06E87457"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1EC3E83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2</w:t>
            </w:r>
          </w:p>
        </w:tc>
        <w:tc>
          <w:tcPr>
            <w:tcW w:w="414" w:type="pct"/>
            <w:noWrap/>
            <w:vAlign w:val="center"/>
            <w:hideMark/>
          </w:tcPr>
          <w:p w14:paraId="5CAFC80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rs967497</w:t>
            </w:r>
          </w:p>
        </w:tc>
        <w:tc>
          <w:tcPr>
            <w:tcW w:w="415" w:type="pct"/>
            <w:noWrap/>
            <w:vAlign w:val="center"/>
            <w:hideMark/>
          </w:tcPr>
          <w:p w14:paraId="5E9912F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9:131,943,843</w:t>
            </w:r>
          </w:p>
        </w:tc>
        <w:tc>
          <w:tcPr>
            <w:tcW w:w="276" w:type="pct"/>
            <w:noWrap/>
            <w:vAlign w:val="center"/>
            <w:hideMark/>
          </w:tcPr>
          <w:p w14:paraId="3179CC46"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G/A</w:t>
            </w:r>
          </w:p>
        </w:tc>
        <w:tc>
          <w:tcPr>
            <w:tcW w:w="1961" w:type="pct"/>
            <w:noWrap/>
            <w:vAlign w:val="center"/>
            <w:hideMark/>
          </w:tcPr>
          <w:p w14:paraId="289E6FE6"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CRAT</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PPP2R4</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IER5L</w:t>
            </w:r>
            <w:r w:rsidRPr="00303B6C">
              <w:rPr>
                <w:rFonts w:eastAsia="Times New Roman" w:cs="Times New Roman"/>
                <w:color w:val="000000"/>
                <w:sz w:val="18"/>
                <w:szCs w:val="18"/>
                <w:lang w:eastAsia="en-GB"/>
              </w:rPr>
              <w:t>*</w:t>
            </w:r>
          </w:p>
        </w:tc>
      </w:tr>
      <w:tr w:rsidR="00A81934" w:rsidRPr="00303B6C" w14:paraId="4CFC6BDC" w14:textId="77777777" w:rsidTr="00EF6C4C">
        <w:trPr>
          <w:trHeight w:val="283"/>
        </w:trPr>
        <w:tc>
          <w:tcPr>
            <w:tcW w:w="673" w:type="pct"/>
            <w:noWrap/>
            <w:vAlign w:val="center"/>
          </w:tcPr>
          <w:p w14:paraId="2C7161F9" w14:textId="77777777" w:rsidR="00A81934" w:rsidRPr="00303B6C" w:rsidRDefault="00A81934" w:rsidP="00EF6C4C">
            <w:pPr>
              <w:rPr>
                <w:rFonts w:eastAsia="Times New Roman" w:cs="Times New Roman"/>
                <w:i/>
                <w:color w:val="000000"/>
                <w:sz w:val="18"/>
                <w:szCs w:val="18"/>
                <w:lang w:eastAsia="en-GB"/>
              </w:rPr>
            </w:pPr>
            <w:r w:rsidRPr="00893566">
              <w:rPr>
                <w:rFonts w:eastAsia="Times New Roman" w:cs="Times New Roman"/>
                <w:i/>
                <w:color w:val="000000"/>
                <w:sz w:val="18"/>
                <w:szCs w:val="18"/>
                <w:lang w:eastAsia="en-GB"/>
              </w:rPr>
              <w:lastRenderedPageBreak/>
              <w:t>DOCK9</w:t>
            </w:r>
          </w:p>
        </w:tc>
        <w:tc>
          <w:tcPr>
            <w:tcW w:w="362" w:type="pct"/>
            <w:noWrap/>
            <w:vAlign w:val="center"/>
          </w:tcPr>
          <w:p w14:paraId="14C84AD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62EB516C"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tcPr>
          <w:p w14:paraId="789F9517" w14:textId="77777777" w:rsidR="00A81934" w:rsidRPr="00303B6C" w:rsidRDefault="00A81934" w:rsidP="00EF6C4C">
            <w:pPr>
              <w:rPr>
                <w:rFonts w:eastAsia="Times New Roman" w:cs="Times New Roman"/>
                <w:color w:val="000000"/>
                <w:sz w:val="18"/>
                <w:szCs w:val="18"/>
                <w:lang w:eastAsia="en-GB"/>
              </w:rPr>
            </w:pPr>
            <w:r>
              <w:rPr>
                <w:rFonts w:eastAsia="Times New Roman" w:cs="Times New Roman"/>
                <w:color w:val="000000"/>
                <w:sz w:val="18"/>
                <w:szCs w:val="18"/>
                <w:lang w:eastAsia="en-GB"/>
              </w:rPr>
              <w:t>Tier 1</w:t>
            </w:r>
          </w:p>
        </w:tc>
        <w:tc>
          <w:tcPr>
            <w:tcW w:w="414" w:type="pct"/>
            <w:noWrap/>
            <w:vAlign w:val="center"/>
          </w:tcPr>
          <w:p w14:paraId="1D279309" w14:textId="77777777" w:rsidR="00A81934" w:rsidRPr="00303B6C" w:rsidRDefault="00A81934" w:rsidP="00EF6C4C">
            <w:pPr>
              <w:rPr>
                <w:rFonts w:eastAsia="Times New Roman" w:cs="Times New Roman"/>
                <w:color w:val="000000"/>
                <w:sz w:val="18"/>
                <w:szCs w:val="18"/>
                <w:lang w:eastAsia="en-GB"/>
              </w:rPr>
            </w:pPr>
            <w:r w:rsidRPr="00893566">
              <w:rPr>
                <w:rFonts w:eastAsia="Times New Roman" w:cs="Times New Roman"/>
                <w:color w:val="000000"/>
                <w:sz w:val="18"/>
                <w:szCs w:val="18"/>
                <w:lang w:eastAsia="en-GB"/>
              </w:rPr>
              <w:t>rs11620380</w:t>
            </w:r>
          </w:p>
        </w:tc>
        <w:tc>
          <w:tcPr>
            <w:tcW w:w="415" w:type="pct"/>
            <w:noWrap/>
            <w:vAlign w:val="center"/>
          </w:tcPr>
          <w:p w14:paraId="12408788" w14:textId="77777777" w:rsidR="00A81934" w:rsidRPr="00303B6C" w:rsidRDefault="00A81934" w:rsidP="00EF6C4C">
            <w:pPr>
              <w:rPr>
                <w:rFonts w:eastAsia="Times New Roman" w:cs="Times New Roman"/>
                <w:color w:val="000000"/>
                <w:sz w:val="18"/>
                <w:szCs w:val="18"/>
                <w:lang w:eastAsia="en-GB"/>
              </w:rPr>
            </w:pPr>
            <w:r>
              <w:rPr>
                <w:rFonts w:eastAsia="Times New Roman" w:cs="Times New Roman"/>
                <w:color w:val="000000"/>
                <w:sz w:val="18"/>
                <w:szCs w:val="18"/>
                <w:lang w:eastAsia="en-GB"/>
              </w:rPr>
              <w:t>13:</w:t>
            </w:r>
            <w:r w:rsidRPr="00893566">
              <w:rPr>
                <w:rFonts w:eastAsia="Times New Roman" w:cs="Times New Roman"/>
                <w:color w:val="000000"/>
                <w:sz w:val="18"/>
                <w:szCs w:val="18"/>
                <w:lang w:eastAsia="en-GB"/>
              </w:rPr>
              <w:t>99</w:t>
            </w:r>
            <w:r>
              <w:rPr>
                <w:rFonts w:eastAsia="Times New Roman" w:cs="Times New Roman"/>
                <w:color w:val="000000"/>
                <w:sz w:val="18"/>
                <w:szCs w:val="18"/>
                <w:lang w:eastAsia="en-GB"/>
              </w:rPr>
              <w:t>,</w:t>
            </w:r>
            <w:r w:rsidRPr="00893566">
              <w:rPr>
                <w:rFonts w:eastAsia="Times New Roman" w:cs="Times New Roman"/>
                <w:color w:val="000000"/>
                <w:sz w:val="18"/>
                <w:szCs w:val="18"/>
                <w:lang w:eastAsia="en-GB"/>
              </w:rPr>
              <w:t>665</w:t>
            </w:r>
            <w:r>
              <w:rPr>
                <w:rFonts w:eastAsia="Times New Roman" w:cs="Times New Roman"/>
                <w:color w:val="000000"/>
                <w:sz w:val="18"/>
                <w:szCs w:val="18"/>
                <w:lang w:eastAsia="en-GB"/>
              </w:rPr>
              <w:t>,</w:t>
            </w:r>
            <w:r w:rsidRPr="00893566">
              <w:rPr>
                <w:rFonts w:eastAsia="Times New Roman" w:cs="Times New Roman"/>
                <w:color w:val="000000"/>
                <w:sz w:val="18"/>
                <w:szCs w:val="18"/>
                <w:lang w:eastAsia="en-GB"/>
              </w:rPr>
              <w:t>512</w:t>
            </w:r>
          </w:p>
        </w:tc>
        <w:tc>
          <w:tcPr>
            <w:tcW w:w="276" w:type="pct"/>
            <w:noWrap/>
            <w:vAlign w:val="center"/>
          </w:tcPr>
          <w:p w14:paraId="509C15EA" w14:textId="77777777" w:rsidR="00A81934" w:rsidRPr="00303B6C" w:rsidRDefault="00A81934" w:rsidP="00EF6C4C">
            <w:pPr>
              <w:rPr>
                <w:rFonts w:eastAsia="Times New Roman" w:cs="Times New Roman"/>
                <w:color w:val="000000"/>
                <w:sz w:val="18"/>
                <w:szCs w:val="18"/>
                <w:lang w:eastAsia="en-GB"/>
              </w:rPr>
            </w:pPr>
            <w:r>
              <w:rPr>
                <w:rFonts w:eastAsia="Times New Roman" w:cs="Times New Roman"/>
                <w:color w:val="000000"/>
                <w:sz w:val="18"/>
                <w:szCs w:val="18"/>
                <w:lang w:eastAsia="en-GB"/>
              </w:rPr>
              <w:t>A/C</w:t>
            </w:r>
          </w:p>
        </w:tc>
        <w:tc>
          <w:tcPr>
            <w:tcW w:w="1961" w:type="pct"/>
            <w:noWrap/>
            <w:vAlign w:val="center"/>
          </w:tcPr>
          <w:p w14:paraId="0F01A3FA" w14:textId="77777777" w:rsidR="00A81934" w:rsidRPr="00303B6C" w:rsidRDefault="00A81934" w:rsidP="00EF6C4C">
            <w:pPr>
              <w:rPr>
                <w:rFonts w:eastAsia="Times New Roman" w:cs="Times New Roman"/>
                <w:i/>
                <w:color w:val="000000"/>
                <w:sz w:val="18"/>
                <w:szCs w:val="18"/>
                <w:lang w:eastAsia="en-GB"/>
              </w:rPr>
            </w:pPr>
            <w:r>
              <w:rPr>
                <w:rFonts w:eastAsia="Times New Roman" w:cs="Times New Roman"/>
                <w:i/>
                <w:color w:val="000000"/>
                <w:sz w:val="18"/>
                <w:szCs w:val="18"/>
                <w:lang w:eastAsia="en-GB"/>
              </w:rPr>
              <w:t>DOCK9</w:t>
            </w:r>
            <w:r w:rsidRPr="00893566">
              <w:rPr>
                <w:rFonts w:eastAsia="Times New Roman" w:cs="Times New Roman"/>
                <w:color w:val="000000"/>
                <w:sz w:val="18"/>
                <w:szCs w:val="18"/>
                <w:lang w:eastAsia="en-GB"/>
              </w:rPr>
              <w:t>*</w:t>
            </w:r>
          </w:p>
        </w:tc>
      </w:tr>
      <w:tr w:rsidR="00A81934" w:rsidRPr="00303B6C" w14:paraId="3AD8D8BA"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0AC2C00D"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CHAC1</w:t>
            </w:r>
          </w:p>
        </w:tc>
        <w:tc>
          <w:tcPr>
            <w:tcW w:w="362" w:type="pct"/>
            <w:noWrap/>
            <w:vAlign w:val="center"/>
            <w:hideMark/>
          </w:tcPr>
          <w:p w14:paraId="6C4E602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FVC</w:t>
            </w:r>
          </w:p>
        </w:tc>
        <w:tc>
          <w:tcPr>
            <w:tcW w:w="530" w:type="pct"/>
            <w:vAlign w:val="center"/>
          </w:tcPr>
          <w:p w14:paraId="15CAAEAD"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1B9BF0D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1</w:t>
            </w:r>
          </w:p>
        </w:tc>
        <w:tc>
          <w:tcPr>
            <w:tcW w:w="414" w:type="pct"/>
            <w:noWrap/>
            <w:vAlign w:val="center"/>
            <w:hideMark/>
          </w:tcPr>
          <w:p w14:paraId="4873920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rs4924525</w:t>
            </w:r>
          </w:p>
        </w:tc>
        <w:tc>
          <w:tcPr>
            <w:tcW w:w="415" w:type="pct"/>
            <w:noWrap/>
            <w:vAlign w:val="center"/>
            <w:hideMark/>
          </w:tcPr>
          <w:p w14:paraId="14B68857"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15:41,255,396</w:t>
            </w:r>
          </w:p>
        </w:tc>
        <w:tc>
          <w:tcPr>
            <w:tcW w:w="276" w:type="pct"/>
            <w:noWrap/>
            <w:vAlign w:val="center"/>
            <w:hideMark/>
          </w:tcPr>
          <w:p w14:paraId="39992B0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A/C</w:t>
            </w:r>
          </w:p>
        </w:tc>
        <w:tc>
          <w:tcPr>
            <w:tcW w:w="1961" w:type="pct"/>
            <w:noWrap/>
            <w:vAlign w:val="center"/>
            <w:hideMark/>
          </w:tcPr>
          <w:p w14:paraId="44137E16"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INO80</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CHP1</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RAD51</w:t>
            </w:r>
            <w:r w:rsidRPr="00303B6C">
              <w:rPr>
                <w:rFonts w:eastAsia="Times New Roman" w:cs="Times New Roman"/>
                <w:color w:val="000000"/>
                <w:sz w:val="18"/>
                <w:szCs w:val="18"/>
                <w:lang w:eastAsia="en-GB"/>
              </w:rPr>
              <w:t>†</w:t>
            </w:r>
          </w:p>
        </w:tc>
      </w:tr>
      <w:tr w:rsidR="00A81934" w:rsidRPr="00303B6C" w14:paraId="356C895C" w14:textId="77777777" w:rsidTr="00EF6C4C">
        <w:trPr>
          <w:trHeight w:val="283"/>
        </w:trPr>
        <w:tc>
          <w:tcPr>
            <w:tcW w:w="673" w:type="pct"/>
            <w:noWrap/>
            <w:vAlign w:val="center"/>
            <w:hideMark/>
          </w:tcPr>
          <w:p w14:paraId="2BFF1D08"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ATP2A3</w:t>
            </w:r>
          </w:p>
        </w:tc>
        <w:tc>
          <w:tcPr>
            <w:tcW w:w="362" w:type="pct"/>
            <w:noWrap/>
            <w:vAlign w:val="center"/>
            <w:hideMark/>
          </w:tcPr>
          <w:p w14:paraId="75097DFD"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08335B0F"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3539039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1</w:t>
            </w:r>
          </w:p>
        </w:tc>
        <w:tc>
          <w:tcPr>
            <w:tcW w:w="414" w:type="pct"/>
            <w:noWrap/>
            <w:vAlign w:val="center"/>
            <w:hideMark/>
          </w:tcPr>
          <w:p w14:paraId="674AEFE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rs8082036</w:t>
            </w:r>
          </w:p>
        </w:tc>
        <w:tc>
          <w:tcPr>
            <w:tcW w:w="415" w:type="pct"/>
            <w:noWrap/>
            <w:vAlign w:val="center"/>
            <w:hideMark/>
          </w:tcPr>
          <w:p w14:paraId="40E3228D"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17:3,882,613</w:t>
            </w:r>
          </w:p>
        </w:tc>
        <w:tc>
          <w:tcPr>
            <w:tcW w:w="276" w:type="pct"/>
            <w:noWrap/>
            <w:vAlign w:val="center"/>
            <w:hideMark/>
          </w:tcPr>
          <w:p w14:paraId="64B151B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G/C</w:t>
            </w:r>
          </w:p>
        </w:tc>
        <w:tc>
          <w:tcPr>
            <w:tcW w:w="1961" w:type="pct"/>
            <w:noWrap/>
            <w:vAlign w:val="center"/>
            <w:hideMark/>
          </w:tcPr>
          <w:p w14:paraId="0197BE4F"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ATP2A3</w:t>
            </w:r>
            <w:r w:rsidRPr="00303B6C">
              <w:rPr>
                <w:rFonts w:eastAsia="Times New Roman" w:cs="Times New Roman"/>
                <w:color w:val="000000"/>
                <w:sz w:val="18"/>
                <w:szCs w:val="18"/>
                <w:lang w:eastAsia="en-GB"/>
              </w:rPr>
              <w:t>†</w:t>
            </w:r>
          </w:p>
        </w:tc>
      </w:tr>
      <w:tr w:rsidR="00A81934" w:rsidRPr="00303B6C" w14:paraId="3647F3FE"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1FDE4BCB"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PITPNM3</w:t>
            </w:r>
          </w:p>
        </w:tc>
        <w:tc>
          <w:tcPr>
            <w:tcW w:w="362" w:type="pct"/>
            <w:noWrap/>
            <w:vAlign w:val="center"/>
            <w:hideMark/>
          </w:tcPr>
          <w:p w14:paraId="2E0E609F"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530" w:type="pct"/>
            <w:vAlign w:val="center"/>
          </w:tcPr>
          <w:p w14:paraId="789D7E3D"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4D00D921"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2</w:t>
            </w:r>
          </w:p>
        </w:tc>
        <w:tc>
          <w:tcPr>
            <w:tcW w:w="414" w:type="pct"/>
            <w:noWrap/>
            <w:vAlign w:val="center"/>
            <w:hideMark/>
          </w:tcPr>
          <w:p w14:paraId="3496A147"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rs4796334</w:t>
            </w:r>
          </w:p>
        </w:tc>
        <w:tc>
          <w:tcPr>
            <w:tcW w:w="415" w:type="pct"/>
            <w:noWrap/>
            <w:vAlign w:val="center"/>
            <w:hideMark/>
          </w:tcPr>
          <w:p w14:paraId="11B5F5E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17:6,469,793</w:t>
            </w:r>
          </w:p>
        </w:tc>
        <w:tc>
          <w:tcPr>
            <w:tcW w:w="276" w:type="pct"/>
            <w:noWrap/>
            <w:vAlign w:val="center"/>
            <w:hideMark/>
          </w:tcPr>
          <w:p w14:paraId="0CA7D2AD"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A/G</w:t>
            </w:r>
          </w:p>
        </w:tc>
        <w:tc>
          <w:tcPr>
            <w:tcW w:w="1961" w:type="pct"/>
            <w:noWrap/>
            <w:vAlign w:val="center"/>
            <w:hideMark/>
          </w:tcPr>
          <w:p w14:paraId="1D49E0F6"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KIAA0753</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TXNDC17</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PITPNM3</w:t>
            </w:r>
            <w:r w:rsidRPr="00303B6C">
              <w:rPr>
                <w:rFonts w:eastAsia="Times New Roman" w:cs="Times New Roman"/>
                <w:color w:val="000000"/>
                <w:sz w:val="18"/>
                <w:szCs w:val="18"/>
                <w:lang w:eastAsia="en-GB"/>
              </w:rPr>
              <w:t>†</w:t>
            </w:r>
          </w:p>
        </w:tc>
      </w:tr>
      <w:tr w:rsidR="00A81934" w:rsidRPr="00303B6C" w14:paraId="483E03AD" w14:textId="77777777" w:rsidTr="00EF6C4C">
        <w:trPr>
          <w:trHeight w:val="283"/>
        </w:trPr>
        <w:tc>
          <w:tcPr>
            <w:tcW w:w="673" w:type="pct"/>
            <w:noWrap/>
            <w:vAlign w:val="center"/>
            <w:hideMark/>
          </w:tcPr>
          <w:p w14:paraId="01681AB7"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TNFSF12-TNFSF13</w:t>
            </w:r>
          </w:p>
        </w:tc>
        <w:tc>
          <w:tcPr>
            <w:tcW w:w="362" w:type="pct"/>
            <w:noWrap/>
            <w:vAlign w:val="center"/>
            <w:hideMark/>
          </w:tcPr>
          <w:p w14:paraId="11D57DE1"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530" w:type="pct"/>
            <w:vAlign w:val="center"/>
          </w:tcPr>
          <w:p w14:paraId="464AD856"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405A380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2</w:t>
            </w:r>
          </w:p>
        </w:tc>
        <w:tc>
          <w:tcPr>
            <w:tcW w:w="414" w:type="pct"/>
            <w:noWrap/>
            <w:vAlign w:val="center"/>
            <w:hideMark/>
          </w:tcPr>
          <w:p w14:paraId="6024C33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rs4968200</w:t>
            </w:r>
          </w:p>
        </w:tc>
        <w:tc>
          <w:tcPr>
            <w:tcW w:w="415" w:type="pct"/>
            <w:noWrap/>
            <w:vAlign w:val="center"/>
            <w:hideMark/>
          </w:tcPr>
          <w:p w14:paraId="7D6281F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17:7,448,457</w:t>
            </w:r>
          </w:p>
        </w:tc>
        <w:tc>
          <w:tcPr>
            <w:tcW w:w="276" w:type="pct"/>
            <w:noWrap/>
            <w:vAlign w:val="center"/>
            <w:hideMark/>
          </w:tcPr>
          <w:p w14:paraId="472141F7"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C/G</w:t>
            </w:r>
          </w:p>
        </w:tc>
        <w:tc>
          <w:tcPr>
            <w:tcW w:w="1961" w:type="pct"/>
            <w:noWrap/>
            <w:vAlign w:val="center"/>
            <w:hideMark/>
          </w:tcPr>
          <w:p w14:paraId="61EC7B2B"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TNFSF13</w:t>
            </w:r>
            <w:r w:rsidRPr="00303B6C">
              <w:rPr>
                <w:rFonts w:eastAsia="Times New Roman" w:cs="Times New Roman"/>
                <w:color w:val="000000"/>
                <w:sz w:val="18"/>
                <w:szCs w:val="18"/>
                <w:lang w:eastAsia="en-GB"/>
              </w:rPr>
              <w:t>†</w:t>
            </w:r>
            <w:r>
              <w:rPr>
                <w:rFonts w:eastAsia="Times New Roman" w:cs="Times New Roman"/>
                <w:color w:val="000000"/>
                <w:sz w:val="18"/>
                <w:szCs w:val="18"/>
                <w:lang w:eastAsia="en-GB"/>
              </w:rPr>
              <w:t xml:space="preserve">, </w:t>
            </w:r>
            <w:r w:rsidRPr="00197FAC">
              <w:rPr>
                <w:rFonts w:eastAsia="Times New Roman" w:cs="Times New Roman"/>
                <w:i/>
                <w:color w:val="000000"/>
                <w:sz w:val="18"/>
                <w:szCs w:val="18"/>
                <w:lang w:eastAsia="en-GB"/>
              </w:rPr>
              <w:t>SENP3</w:t>
            </w:r>
            <w:r w:rsidRPr="00303B6C">
              <w:rPr>
                <w:rFonts w:eastAsia="Times New Roman" w:cs="Times New Roman"/>
                <w:color w:val="000000"/>
                <w:sz w:val="18"/>
                <w:szCs w:val="18"/>
                <w:lang w:eastAsia="en-GB"/>
              </w:rPr>
              <w:t>†</w:t>
            </w:r>
          </w:p>
        </w:tc>
      </w:tr>
      <w:tr w:rsidR="00A81934" w:rsidRPr="00303B6C" w14:paraId="25AB31AD"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0E1FE2A3"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NCOR1 (intron)</w:t>
            </w:r>
          </w:p>
        </w:tc>
        <w:tc>
          <w:tcPr>
            <w:tcW w:w="362" w:type="pct"/>
            <w:noWrap/>
            <w:vAlign w:val="center"/>
            <w:hideMark/>
          </w:tcPr>
          <w:p w14:paraId="78463212"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FVC</w:t>
            </w:r>
          </w:p>
        </w:tc>
        <w:tc>
          <w:tcPr>
            <w:tcW w:w="530" w:type="pct"/>
            <w:vAlign w:val="center"/>
          </w:tcPr>
          <w:p w14:paraId="37FBD8D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369" w:type="pct"/>
            <w:noWrap/>
            <w:vAlign w:val="center"/>
            <w:hideMark/>
          </w:tcPr>
          <w:p w14:paraId="53BABD7F"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2</w:t>
            </w:r>
          </w:p>
        </w:tc>
        <w:tc>
          <w:tcPr>
            <w:tcW w:w="414" w:type="pct"/>
            <w:noWrap/>
            <w:vAlign w:val="center"/>
            <w:hideMark/>
          </w:tcPr>
          <w:p w14:paraId="3E04819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rs34351630</w:t>
            </w:r>
          </w:p>
        </w:tc>
        <w:tc>
          <w:tcPr>
            <w:tcW w:w="415" w:type="pct"/>
            <w:noWrap/>
            <w:vAlign w:val="center"/>
            <w:hideMark/>
          </w:tcPr>
          <w:p w14:paraId="4DED1AA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17:16,030,520</w:t>
            </w:r>
          </w:p>
        </w:tc>
        <w:tc>
          <w:tcPr>
            <w:tcW w:w="276" w:type="pct"/>
            <w:noWrap/>
            <w:vAlign w:val="center"/>
            <w:hideMark/>
          </w:tcPr>
          <w:p w14:paraId="1C2488D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C/T</w:t>
            </w:r>
          </w:p>
        </w:tc>
        <w:tc>
          <w:tcPr>
            <w:tcW w:w="1961" w:type="pct"/>
            <w:noWrap/>
            <w:vAlign w:val="center"/>
            <w:hideMark/>
          </w:tcPr>
          <w:p w14:paraId="40A21923"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ADORA2B</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TTC19</w:t>
            </w:r>
            <w:r w:rsidRPr="00303B6C">
              <w:rPr>
                <w:rFonts w:eastAsia="Times New Roman" w:cs="Times New Roman"/>
                <w:color w:val="000000"/>
                <w:sz w:val="18"/>
                <w:szCs w:val="18"/>
                <w:lang w:eastAsia="en-GB"/>
              </w:rPr>
              <w:t>†</w:t>
            </w:r>
          </w:p>
        </w:tc>
      </w:tr>
      <w:tr w:rsidR="00A81934" w:rsidRPr="00303B6C" w14:paraId="2ADF215D" w14:textId="77777777" w:rsidTr="00EF6C4C">
        <w:trPr>
          <w:trHeight w:val="283"/>
        </w:trPr>
        <w:tc>
          <w:tcPr>
            <w:tcW w:w="673" w:type="pct"/>
            <w:noWrap/>
            <w:vAlign w:val="center"/>
            <w:hideMark/>
          </w:tcPr>
          <w:p w14:paraId="339D8B25"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ASPSCR1 (intron)</w:t>
            </w:r>
          </w:p>
        </w:tc>
        <w:tc>
          <w:tcPr>
            <w:tcW w:w="362" w:type="pct"/>
            <w:noWrap/>
            <w:vAlign w:val="center"/>
            <w:hideMark/>
          </w:tcPr>
          <w:p w14:paraId="3DEFE75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FVC</w:t>
            </w:r>
          </w:p>
        </w:tc>
        <w:tc>
          <w:tcPr>
            <w:tcW w:w="530" w:type="pct"/>
            <w:vAlign w:val="center"/>
          </w:tcPr>
          <w:p w14:paraId="378B4A87"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369" w:type="pct"/>
            <w:noWrap/>
            <w:vAlign w:val="center"/>
            <w:hideMark/>
          </w:tcPr>
          <w:p w14:paraId="75B6E6E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1</w:t>
            </w:r>
          </w:p>
        </w:tc>
        <w:tc>
          <w:tcPr>
            <w:tcW w:w="414" w:type="pct"/>
            <w:noWrap/>
            <w:vAlign w:val="center"/>
            <w:hideMark/>
          </w:tcPr>
          <w:p w14:paraId="04C5C95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rs59606152</w:t>
            </w:r>
          </w:p>
        </w:tc>
        <w:tc>
          <w:tcPr>
            <w:tcW w:w="415" w:type="pct"/>
            <w:noWrap/>
            <w:vAlign w:val="center"/>
            <w:hideMark/>
          </w:tcPr>
          <w:p w14:paraId="32C923AF"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17:79,952,944</w:t>
            </w:r>
          </w:p>
        </w:tc>
        <w:tc>
          <w:tcPr>
            <w:tcW w:w="276" w:type="pct"/>
            <w:noWrap/>
            <w:vAlign w:val="center"/>
            <w:hideMark/>
          </w:tcPr>
          <w:p w14:paraId="696AC2B2"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C/T</w:t>
            </w:r>
          </w:p>
        </w:tc>
        <w:tc>
          <w:tcPr>
            <w:tcW w:w="1961" w:type="pct"/>
            <w:noWrap/>
            <w:vAlign w:val="center"/>
            <w:hideMark/>
          </w:tcPr>
          <w:p w14:paraId="3FBC0380"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LRRC45</w:t>
            </w:r>
            <w:r>
              <w:rPr>
                <w:rFonts w:eastAsia="Times New Roman" w:cs="Times New Roman"/>
                <w:i/>
                <w:color w:val="000000"/>
                <w:sz w:val="18"/>
                <w:szCs w:val="18"/>
                <w:lang w:eastAsia="en-GB"/>
              </w:rPr>
              <w:t>*</w:t>
            </w:r>
          </w:p>
        </w:tc>
      </w:tr>
      <w:tr w:rsidR="00A81934" w:rsidRPr="00303B6C" w14:paraId="4F8487CA"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4D0FBAC9"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C18orf8</w:t>
            </w:r>
          </w:p>
        </w:tc>
        <w:tc>
          <w:tcPr>
            <w:tcW w:w="362" w:type="pct"/>
            <w:noWrap/>
            <w:vAlign w:val="center"/>
            <w:hideMark/>
          </w:tcPr>
          <w:p w14:paraId="6F7D8E3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FVC</w:t>
            </w:r>
          </w:p>
        </w:tc>
        <w:tc>
          <w:tcPr>
            <w:tcW w:w="530" w:type="pct"/>
            <w:vAlign w:val="center"/>
          </w:tcPr>
          <w:p w14:paraId="3EC645C6"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576F9CC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1</w:t>
            </w:r>
          </w:p>
        </w:tc>
        <w:tc>
          <w:tcPr>
            <w:tcW w:w="414" w:type="pct"/>
            <w:noWrap/>
            <w:vAlign w:val="center"/>
            <w:hideMark/>
          </w:tcPr>
          <w:p w14:paraId="6FDDCAE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rs303752</w:t>
            </w:r>
          </w:p>
        </w:tc>
        <w:tc>
          <w:tcPr>
            <w:tcW w:w="415" w:type="pct"/>
            <w:noWrap/>
            <w:vAlign w:val="center"/>
            <w:hideMark/>
          </w:tcPr>
          <w:p w14:paraId="2ABD75C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18:21,074,255</w:t>
            </w:r>
          </w:p>
        </w:tc>
        <w:tc>
          <w:tcPr>
            <w:tcW w:w="276" w:type="pct"/>
            <w:noWrap/>
            <w:vAlign w:val="center"/>
            <w:hideMark/>
          </w:tcPr>
          <w:p w14:paraId="415D25BF"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A/G</w:t>
            </w:r>
          </w:p>
        </w:tc>
        <w:tc>
          <w:tcPr>
            <w:tcW w:w="1961" w:type="pct"/>
            <w:noWrap/>
            <w:vAlign w:val="center"/>
            <w:hideMark/>
          </w:tcPr>
          <w:p w14:paraId="2D7DD5EC"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C18orf8</w:t>
            </w:r>
            <w:r w:rsidRPr="00303B6C">
              <w:rPr>
                <w:rFonts w:eastAsia="Times New Roman" w:cs="Times New Roman"/>
                <w:color w:val="000000"/>
                <w:sz w:val="18"/>
                <w:szCs w:val="18"/>
                <w:lang w:eastAsia="en-GB"/>
              </w:rPr>
              <w:t>†</w:t>
            </w:r>
          </w:p>
        </w:tc>
      </w:tr>
      <w:tr w:rsidR="00A81934" w:rsidRPr="00303B6C" w14:paraId="13B2320A" w14:textId="77777777" w:rsidTr="00EF6C4C">
        <w:trPr>
          <w:trHeight w:val="283"/>
        </w:trPr>
        <w:tc>
          <w:tcPr>
            <w:tcW w:w="673" w:type="pct"/>
            <w:noWrap/>
            <w:vAlign w:val="center"/>
            <w:hideMark/>
          </w:tcPr>
          <w:p w14:paraId="2A5A2E0B"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ZFP82</w:t>
            </w:r>
          </w:p>
        </w:tc>
        <w:tc>
          <w:tcPr>
            <w:tcW w:w="362" w:type="pct"/>
            <w:noWrap/>
            <w:vAlign w:val="center"/>
            <w:hideMark/>
          </w:tcPr>
          <w:p w14:paraId="60A537C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FVC</w:t>
            </w:r>
          </w:p>
        </w:tc>
        <w:tc>
          <w:tcPr>
            <w:tcW w:w="530" w:type="pct"/>
            <w:vAlign w:val="center"/>
          </w:tcPr>
          <w:p w14:paraId="3D59E10D" w14:textId="77777777" w:rsidR="00A81934" w:rsidRPr="00303B6C" w:rsidRDefault="00A81934" w:rsidP="00EF6C4C">
            <w:pPr>
              <w:rPr>
                <w:rFonts w:eastAsia="Times New Roman" w:cs="Times New Roman"/>
                <w:color w:val="000000"/>
                <w:sz w:val="18"/>
                <w:szCs w:val="18"/>
                <w:lang w:eastAsia="en-GB"/>
              </w:rPr>
            </w:pPr>
            <w:r w:rsidRPr="00303B6C">
              <w:rPr>
                <w:rFonts w:ascii="Calibri" w:hAnsi="Calibri"/>
                <w:color w:val="000000"/>
                <w:sz w:val="18"/>
                <w:szCs w:val="18"/>
              </w:rPr>
              <w:t>FVC, PEF</w:t>
            </w:r>
          </w:p>
        </w:tc>
        <w:tc>
          <w:tcPr>
            <w:tcW w:w="369" w:type="pct"/>
            <w:noWrap/>
            <w:vAlign w:val="center"/>
            <w:hideMark/>
          </w:tcPr>
          <w:p w14:paraId="3C1B910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Tier 2</w:t>
            </w:r>
          </w:p>
        </w:tc>
        <w:tc>
          <w:tcPr>
            <w:tcW w:w="414" w:type="pct"/>
            <w:noWrap/>
            <w:vAlign w:val="center"/>
            <w:hideMark/>
          </w:tcPr>
          <w:p w14:paraId="08989E0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rs2967516</w:t>
            </w:r>
          </w:p>
        </w:tc>
        <w:tc>
          <w:tcPr>
            <w:tcW w:w="415" w:type="pct"/>
            <w:noWrap/>
            <w:vAlign w:val="center"/>
            <w:hideMark/>
          </w:tcPr>
          <w:p w14:paraId="61F43C0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19:36,881,643</w:t>
            </w:r>
          </w:p>
        </w:tc>
        <w:tc>
          <w:tcPr>
            <w:tcW w:w="276" w:type="pct"/>
            <w:noWrap/>
            <w:vAlign w:val="center"/>
            <w:hideMark/>
          </w:tcPr>
          <w:p w14:paraId="71AEBFB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A/G</w:t>
            </w:r>
          </w:p>
        </w:tc>
        <w:tc>
          <w:tcPr>
            <w:tcW w:w="1961" w:type="pct"/>
            <w:noWrap/>
            <w:vAlign w:val="center"/>
            <w:hideMark/>
          </w:tcPr>
          <w:p w14:paraId="57FCAE29"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ZFP14</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ZFP82</w:t>
            </w:r>
            <w:r w:rsidRPr="00303B6C">
              <w:rPr>
                <w:rFonts w:eastAsia="Times New Roman" w:cs="Times New Roman"/>
                <w:color w:val="000000"/>
                <w:sz w:val="18"/>
                <w:szCs w:val="18"/>
                <w:lang w:eastAsia="en-GB"/>
              </w:rPr>
              <w:t>†</w:t>
            </w:r>
          </w:p>
        </w:tc>
      </w:tr>
      <w:tr w:rsidR="00A81934" w:rsidRPr="00303B6C" w14:paraId="3D9CF35C"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363666A0"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MFAP2</w:t>
            </w:r>
          </w:p>
        </w:tc>
        <w:tc>
          <w:tcPr>
            <w:tcW w:w="362" w:type="pct"/>
            <w:noWrap/>
            <w:vAlign w:val="center"/>
            <w:hideMark/>
          </w:tcPr>
          <w:p w14:paraId="600BDC6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4213DBF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ascii="Calibri" w:hAnsi="Calibri"/>
                <w:color w:val="000000"/>
                <w:sz w:val="18"/>
                <w:szCs w:val="18"/>
              </w:rPr>
              <w:t>, PEF</w:t>
            </w:r>
          </w:p>
        </w:tc>
        <w:tc>
          <w:tcPr>
            <w:tcW w:w="369" w:type="pct"/>
            <w:noWrap/>
            <w:vAlign w:val="center"/>
            <w:hideMark/>
          </w:tcPr>
          <w:p w14:paraId="0EEAB6E7"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5D776E6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rs9435733</w:t>
            </w:r>
          </w:p>
        </w:tc>
        <w:tc>
          <w:tcPr>
            <w:tcW w:w="415" w:type="pct"/>
            <w:noWrap/>
            <w:vAlign w:val="center"/>
            <w:hideMark/>
          </w:tcPr>
          <w:p w14:paraId="49D3E90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1:17,308,254</w:t>
            </w:r>
          </w:p>
        </w:tc>
        <w:tc>
          <w:tcPr>
            <w:tcW w:w="276" w:type="pct"/>
            <w:noWrap/>
            <w:vAlign w:val="center"/>
            <w:hideMark/>
          </w:tcPr>
          <w:p w14:paraId="61A0339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C/T</w:t>
            </w:r>
          </w:p>
        </w:tc>
        <w:tc>
          <w:tcPr>
            <w:tcW w:w="1961" w:type="pct"/>
            <w:noWrap/>
            <w:vAlign w:val="center"/>
            <w:hideMark/>
          </w:tcPr>
          <w:p w14:paraId="59E83DF0"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MFAP2</w:t>
            </w:r>
            <w:r w:rsidRPr="00303B6C">
              <w:rPr>
                <w:rFonts w:eastAsia="Times New Roman" w:cs="Times New Roman"/>
                <w:color w:val="000000"/>
                <w:sz w:val="18"/>
                <w:szCs w:val="18"/>
                <w:lang w:eastAsia="en-GB"/>
              </w:rPr>
              <w:t>†</w:t>
            </w:r>
          </w:p>
        </w:tc>
      </w:tr>
      <w:tr w:rsidR="00A81934" w:rsidRPr="00303B6C" w14:paraId="2262960F" w14:textId="77777777" w:rsidTr="00EF6C4C">
        <w:trPr>
          <w:trHeight w:val="283"/>
        </w:trPr>
        <w:tc>
          <w:tcPr>
            <w:tcW w:w="673" w:type="pct"/>
            <w:noWrap/>
            <w:vAlign w:val="center"/>
            <w:hideMark/>
          </w:tcPr>
          <w:p w14:paraId="4930DBB9"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LOC101929516</w:t>
            </w:r>
          </w:p>
        </w:tc>
        <w:tc>
          <w:tcPr>
            <w:tcW w:w="362" w:type="pct"/>
            <w:noWrap/>
            <w:vAlign w:val="center"/>
            <w:hideMark/>
          </w:tcPr>
          <w:p w14:paraId="726A371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6FD0B3B0"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348A5FA6"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3B842EC2"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rs755249</w:t>
            </w:r>
          </w:p>
        </w:tc>
        <w:tc>
          <w:tcPr>
            <w:tcW w:w="415" w:type="pct"/>
            <w:noWrap/>
            <w:vAlign w:val="center"/>
            <w:hideMark/>
          </w:tcPr>
          <w:p w14:paraId="59029EF1"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1:39,995,074</w:t>
            </w:r>
          </w:p>
        </w:tc>
        <w:tc>
          <w:tcPr>
            <w:tcW w:w="276" w:type="pct"/>
            <w:noWrap/>
            <w:vAlign w:val="center"/>
            <w:hideMark/>
          </w:tcPr>
          <w:p w14:paraId="549874E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T/C</w:t>
            </w:r>
          </w:p>
        </w:tc>
        <w:tc>
          <w:tcPr>
            <w:tcW w:w="1961" w:type="pct"/>
            <w:noWrap/>
            <w:vAlign w:val="center"/>
            <w:hideMark/>
          </w:tcPr>
          <w:p w14:paraId="77CA2E63"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PABPC4</w:t>
            </w:r>
            <w:r w:rsidRPr="00303B6C">
              <w:rPr>
                <w:rFonts w:eastAsia="Times New Roman" w:cs="Times New Roman"/>
                <w:color w:val="000000"/>
                <w:sz w:val="18"/>
                <w:szCs w:val="18"/>
                <w:lang w:eastAsia="en-GB"/>
              </w:rPr>
              <w:t>†</w:t>
            </w:r>
          </w:p>
        </w:tc>
      </w:tr>
      <w:tr w:rsidR="00A81934" w:rsidRPr="00303B6C" w14:paraId="4A448218"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3B238E4C"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TGFB2</w:t>
            </w:r>
          </w:p>
        </w:tc>
        <w:tc>
          <w:tcPr>
            <w:tcW w:w="362" w:type="pct"/>
            <w:noWrap/>
            <w:vAlign w:val="center"/>
            <w:hideMark/>
          </w:tcPr>
          <w:p w14:paraId="5E16D312"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PEF</w:t>
            </w:r>
          </w:p>
        </w:tc>
        <w:tc>
          <w:tcPr>
            <w:tcW w:w="530" w:type="pct"/>
            <w:vAlign w:val="center"/>
          </w:tcPr>
          <w:p w14:paraId="2CAC551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ascii="Calibri" w:hAnsi="Calibri"/>
                <w:color w:val="000000"/>
                <w:sz w:val="18"/>
                <w:szCs w:val="18"/>
              </w:rPr>
              <w:t>/FVC</w:t>
            </w:r>
          </w:p>
        </w:tc>
        <w:tc>
          <w:tcPr>
            <w:tcW w:w="369" w:type="pct"/>
            <w:noWrap/>
            <w:vAlign w:val="center"/>
            <w:hideMark/>
          </w:tcPr>
          <w:p w14:paraId="6A4967B6"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1D1CA3D6"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rs6604614</w:t>
            </w:r>
          </w:p>
        </w:tc>
        <w:tc>
          <w:tcPr>
            <w:tcW w:w="415" w:type="pct"/>
            <w:noWrap/>
            <w:vAlign w:val="center"/>
            <w:hideMark/>
          </w:tcPr>
          <w:p w14:paraId="6EC5FFBD"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1:218,631,452</w:t>
            </w:r>
          </w:p>
        </w:tc>
        <w:tc>
          <w:tcPr>
            <w:tcW w:w="276" w:type="pct"/>
            <w:noWrap/>
            <w:vAlign w:val="center"/>
            <w:hideMark/>
          </w:tcPr>
          <w:p w14:paraId="3CF0DBF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C/G</w:t>
            </w:r>
          </w:p>
        </w:tc>
        <w:tc>
          <w:tcPr>
            <w:tcW w:w="1961" w:type="pct"/>
            <w:noWrap/>
            <w:vAlign w:val="center"/>
            <w:hideMark/>
          </w:tcPr>
          <w:p w14:paraId="7F325DC6"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TGFB2</w:t>
            </w:r>
            <w:r w:rsidRPr="00303B6C">
              <w:rPr>
                <w:rFonts w:eastAsia="Times New Roman" w:cs="Times New Roman"/>
                <w:color w:val="000000"/>
                <w:sz w:val="18"/>
                <w:szCs w:val="18"/>
                <w:lang w:eastAsia="en-GB"/>
              </w:rPr>
              <w:t>†</w:t>
            </w:r>
          </w:p>
        </w:tc>
      </w:tr>
      <w:tr w:rsidR="00A81934" w:rsidRPr="00303B6C" w14:paraId="4696E486" w14:textId="77777777" w:rsidTr="00EF6C4C">
        <w:trPr>
          <w:trHeight w:val="283"/>
        </w:trPr>
        <w:tc>
          <w:tcPr>
            <w:tcW w:w="673" w:type="pct"/>
            <w:noWrap/>
            <w:vAlign w:val="center"/>
            <w:hideMark/>
          </w:tcPr>
          <w:p w14:paraId="413FB4A6"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TRAF3IP1</w:t>
            </w:r>
          </w:p>
        </w:tc>
        <w:tc>
          <w:tcPr>
            <w:tcW w:w="362" w:type="pct"/>
            <w:noWrap/>
            <w:vAlign w:val="center"/>
            <w:hideMark/>
          </w:tcPr>
          <w:p w14:paraId="44022DA7"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530" w:type="pct"/>
            <w:vAlign w:val="center"/>
          </w:tcPr>
          <w:p w14:paraId="229E4858" w14:textId="77777777" w:rsidR="00A81934" w:rsidRPr="00303B6C" w:rsidRDefault="00A81934" w:rsidP="00EF6C4C">
            <w:pPr>
              <w:rPr>
                <w:rFonts w:eastAsia="Times New Roman" w:cs="Times New Roman"/>
                <w:color w:val="000000"/>
                <w:sz w:val="18"/>
                <w:szCs w:val="18"/>
                <w:lang w:eastAsia="en-GB"/>
              </w:rPr>
            </w:pPr>
            <w:r w:rsidRPr="00303B6C">
              <w:rPr>
                <w:rFonts w:ascii="Calibri" w:hAnsi="Calibri"/>
                <w:color w:val="000000"/>
                <w:sz w:val="18"/>
                <w:szCs w:val="18"/>
              </w:rPr>
              <w:t xml:space="preserve">FVC, </w:t>
            </w: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ascii="Calibri" w:hAnsi="Calibri"/>
                <w:color w:val="000000"/>
                <w:sz w:val="18"/>
                <w:szCs w:val="18"/>
              </w:rPr>
              <w:t>/FVC, PEF</w:t>
            </w:r>
          </w:p>
        </w:tc>
        <w:tc>
          <w:tcPr>
            <w:tcW w:w="369" w:type="pct"/>
            <w:noWrap/>
            <w:vAlign w:val="center"/>
            <w:hideMark/>
          </w:tcPr>
          <w:p w14:paraId="2D4A284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10F8944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rs6710301</w:t>
            </w:r>
          </w:p>
        </w:tc>
        <w:tc>
          <w:tcPr>
            <w:tcW w:w="415" w:type="pct"/>
            <w:noWrap/>
            <w:vAlign w:val="center"/>
            <w:hideMark/>
          </w:tcPr>
          <w:p w14:paraId="2B5DF34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2:239,441,308</w:t>
            </w:r>
          </w:p>
        </w:tc>
        <w:tc>
          <w:tcPr>
            <w:tcW w:w="276" w:type="pct"/>
            <w:noWrap/>
            <w:vAlign w:val="center"/>
            <w:hideMark/>
          </w:tcPr>
          <w:p w14:paraId="4E4B22E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C/A</w:t>
            </w:r>
          </w:p>
        </w:tc>
        <w:tc>
          <w:tcPr>
            <w:tcW w:w="1961" w:type="pct"/>
            <w:noWrap/>
            <w:vAlign w:val="center"/>
            <w:hideMark/>
          </w:tcPr>
          <w:p w14:paraId="338669D5"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ASB1</w:t>
            </w:r>
            <w:r w:rsidRPr="00303B6C">
              <w:rPr>
                <w:rFonts w:eastAsia="Times New Roman" w:cs="Times New Roman"/>
                <w:color w:val="000000"/>
                <w:sz w:val="18"/>
                <w:szCs w:val="18"/>
                <w:lang w:eastAsia="en-GB"/>
              </w:rPr>
              <w:t>*</w:t>
            </w:r>
          </w:p>
        </w:tc>
      </w:tr>
      <w:tr w:rsidR="00A81934" w:rsidRPr="00303B6C" w14:paraId="3C5087A7"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25C9C1D9"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SLMAP (intron)</w:t>
            </w:r>
          </w:p>
        </w:tc>
        <w:tc>
          <w:tcPr>
            <w:tcW w:w="362" w:type="pct"/>
            <w:noWrap/>
            <w:vAlign w:val="center"/>
            <w:hideMark/>
          </w:tcPr>
          <w:p w14:paraId="481E5B27"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530" w:type="pct"/>
            <w:vAlign w:val="center"/>
          </w:tcPr>
          <w:p w14:paraId="4F9BBF4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369" w:type="pct"/>
            <w:noWrap/>
            <w:vAlign w:val="center"/>
            <w:hideMark/>
          </w:tcPr>
          <w:p w14:paraId="25061E6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76C80DF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rs6445932</w:t>
            </w:r>
          </w:p>
        </w:tc>
        <w:tc>
          <w:tcPr>
            <w:tcW w:w="415" w:type="pct"/>
            <w:noWrap/>
            <w:vAlign w:val="center"/>
            <w:hideMark/>
          </w:tcPr>
          <w:p w14:paraId="73CC5BF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3:57,879,611</w:t>
            </w:r>
          </w:p>
        </w:tc>
        <w:tc>
          <w:tcPr>
            <w:tcW w:w="276" w:type="pct"/>
            <w:noWrap/>
            <w:vAlign w:val="center"/>
            <w:hideMark/>
          </w:tcPr>
          <w:p w14:paraId="01F155E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T/G</w:t>
            </w:r>
          </w:p>
        </w:tc>
        <w:tc>
          <w:tcPr>
            <w:tcW w:w="1961" w:type="pct"/>
            <w:noWrap/>
            <w:vAlign w:val="center"/>
            <w:hideMark/>
          </w:tcPr>
          <w:p w14:paraId="2279F8F5"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SLMAP</w:t>
            </w:r>
            <w:r w:rsidRPr="00303B6C">
              <w:rPr>
                <w:rFonts w:eastAsia="Times New Roman" w:cs="Times New Roman"/>
                <w:color w:val="000000"/>
                <w:sz w:val="18"/>
                <w:szCs w:val="18"/>
                <w:lang w:eastAsia="en-GB"/>
              </w:rPr>
              <w:t>†</w:t>
            </w:r>
          </w:p>
        </w:tc>
      </w:tr>
      <w:tr w:rsidR="00A81934" w:rsidRPr="00303B6C" w14:paraId="262A83A1" w14:textId="77777777" w:rsidTr="00EF6C4C">
        <w:trPr>
          <w:trHeight w:val="283"/>
        </w:trPr>
        <w:tc>
          <w:tcPr>
            <w:tcW w:w="673" w:type="pct"/>
            <w:noWrap/>
            <w:vAlign w:val="center"/>
            <w:hideMark/>
          </w:tcPr>
          <w:p w14:paraId="7870E86F"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RSRC1 (intron)</w:t>
            </w:r>
          </w:p>
        </w:tc>
        <w:tc>
          <w:tcPr>
            <w:tcW w:w="362" w:type="pct"/>
            <w:noWrap/>
            <w:vAlign w:val="center"/>
            <w:hideMark/>
          </w:tcPr>
          <w:p w14:paraId="1E91D13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FVC</w:t>
            </w:r>
          </w:p>
        </w:tc>
        <w:tc>
          <w:tcPr>
            <w:tcW w:w="530" w:type="pct"/>
            <w:vAlign w:val="center"/>
          </w:tcPr>
          <w:p w14:paraId="5B137A80" w14:textId="77777777" w:rsidR="00A81934" w:rsidRPr="00303B6C" w:rsidRDefault="00A81934" w:rsidP="00EF6C4C">
            <w:pPr>
              <w:rPr>
                <w:rFonts w:eastAsia="Times New Roman" w:cs="Times New Roman"/>
                <w:color w:val="000000"/>
                <w:sz w:val="18"/>
                <w:szCs w:val="18"/>
                <w:lang w:eastAsia="en-GB"/>
              </w:rPr>
            </w:pPr>
            <w:r w:rsidRPr="00303B6C">
              <w:rPr>
                <w:rFonts w:ascii="Calibri" w:hAnsi="Calibri"/>
                <w:color w:val="000000"/>
                <w:sz w:val="18"/>
                <w:szCs w:val="18"/>
              </w:rPr>
              <w:t xml:space="preserve">FVC, </w:t>
            </w: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ascii="Calibri" w:hAnsi="Calibri"/>
                <w:color w:val="000000"/>
                <w:sz w:val="18"/>
                <w:szCs w:val="18"/>
              </w:rPr>
              <w:t>/FVC</w:t>
            </w:r>
          </w:p>
        </w:tc>
        <w:tc>
          <w:tcPr>
            <w:tcW w:w="369" w:type="pct"/>
            <w:noWrap/>
            <w:vAlign w:val="center"/>
            <w:hideMark/>
          </w:tcPr>
          <w:p w14:paraId="154F6CB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2309CD9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rs12634907</w:t>
            </w:r>
          </w:p>
        </w:tc>
        <w:tc>
          <w:tcPr>
            <w:tcW w:w="415" w:type="pct"/>
            <w:noWrap/>
            <w:vAlign w:val="center"/>
            <w:hideMark/>
          </w:tcPr>
          <w:p w14:paraId="4A210D6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3:158,226,886</w:t>
            </w:r>
          </w:p>
        </w:tc>
        <w:tc>
          <w:tcPr>
            <w:tcW w:w="276" w:type="pct"/>
            <w:noWrap/>
            <w:vAlign w:val="center"/>
            <w:hideMark/>
          </w:tcPr>
          <w:p w14:paraId="710BB8F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G/A</w:t>
            </w:r>
          </w:p>
        </w:tc>
        <w:tc>
          <w:tcPr>
            <w:tcW w:w="1961" w:type="pct"/>
            <w:noWrap/>
            <w:vAlign w:val="center"/>
            <w:hideMark/>
          </w:tcPr>
          <w:p w14:paraId="69C42E20"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RSRC1</w:t>
            </w:r>
            <w:r w:rsidRPr="00303B6C">
              <w:rPr>
                <w:rFonts w:eastAsia="Times New Roman" w:cs="Times New Roman"/>
                <w:color w:val="000000"/>
                <w:sz w:val="18"/>
                <w:szCs w:val="18"/>
                <w:lang w:eastAsia="en-GB"/>
              </w:rPr>
              <w:t>†</w:t>
            </w:r>
          </w:p>
        </w:tc>
      </w:tr>
      <w:tr w:rsidR="00A81934" w:rsidRPr="00303B6C" w14:paraId="11ACC49B"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48087095"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GSTCD (intron)</w:t>
            </w:r>
          </w:p>
        </w:tc>
        <w:tc>
          <w:tcPr>
            <w:tcW w:w="362" w:type="pct"/>
            <w:noWrap/>
            <w:vAlign w:val="center"/>
            <w:hideMark/>
          </w:tcPr>
          <w:p w14:paraId="06D3EDB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530" w:type="pct"/>
            <w:vAlign w:val="center"/>
          </w:tcPr>
          <w:p w14:paraId="0B52E99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ascii="Calibri" w:hAnsi="Calibri"/>
                <w:color w:val="000000"/>
                <w:sz w:val="18"/>
                <w:szCs w:val="18"/>
              </w:rPr>
              <w:t>, FVC, PEF</w:t>
            </w:r>
          </w:p>
        </w:tc>
        <w:tc>
          <w:tcPr>
            <w:tcW w:w="369" w:type="pct"/>
            <w:noWrap/>
            <w:vAlign w:val="center"/>
            <w:hideMark/>
          </w:tcPr>
          <w:p w14:paraId="06D8C9A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45BC1C06"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rs11722225</w:t>
            </w:r>
          </w:p>
        </w:tc>
        <w:tc>
          <w:tcPr>
            <w:tcW w:w="415" w:type="pct"/>
            <w:noWrap/>
            <w:vAlign w:val="center"/>
            <w:hideMark/>
          </w:tcPr>
          <w:p w14:paraId="5C8BF9A7"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4:106,766,430</w:t>
            </w:r>
          </w:p>
        </w:tc>
        <w:tc>
          <w:tcPr>
            <w:tcW w:w="276" w:type="pct"/>
            <w:noWrap/>
            <w:vAlign w:val="center"/>
            <w:hideMark/>
          </w:tcPr>
          <w:p w14:paraId="00F575F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T/C</w:t>
            </w:r>
          </w:p>
        </w:tc>
        <w:tc>
          <w:tcPr>
            <w:tcW w:w="1961" w:type="pct"/>
            <w:noWrap/>
            <w:vAlign w:val="center"/>
            <w:hideMark/>
          </w:tcPr>
          <w:p w14:paraId="63BAD5E6"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INTS12</w:t>
            </w:r>
            <w:r w:rsidRPr="00303B6C">
              <w:rPr>
                <w:rFonts w:eastAsia="Times New Roman" w:cs="Times New Roman"/>
                <w:color w:val="000000"/>
                <w:sz w:val="18"/>
                <w:szCs w:val="18"/>
                <w:lang w:eastAsia="en-GB"/>
              </w:rPr>
              <w:t>†</w:t>
            </w:r>
          </w:p>
        </w:tc>
      </w:tr>
      <w:tr w:rsidR="00A81934" w:rsidRPr="00303B6C" w14:paraId="659CD695" w14:textId="77777777" w:rsidTr="00EF6C4C">
        <w:trPr>
          <w:trHeight w:val="283"/>
        </w:trPr>
        <w:tc>
          <w:tcPr>
            <w:tcW w:w="673" w:type="pct"/>
            <w:noWrap/>
            <w:vAlign w:val="center"/>
            <w:hideMark/>
          </w:tcPr>
          <w:p w14:paraId="2BFF2A67"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NPNT (intron)</w:t>
            </w:r>
          </w:p>
        </w:tc>
        <w:tc>
          <w:tcPr>
            <w:tcW w:w="362" w:type="pct"/>
            <w:noWrap/>
            <w:vAlign w:val="center"/>
            <w:hideMark/>
          </w:tcPr>
          <w:p w14:paraId="770A7ED1"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68B00A1D"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4480F3D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2217823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rs34712979</w:t>
            </w:r>
          </w:p>
        </w:tc>
        <w:tc>
          <w:tcPr>
            <w:tcW w:w="415" w:type="pct"/>
            <w:noWrap/>
            <w:vAlign w:val="center"/>
            <w:hideMark/>
          </w:tcPr>
          <w:p w14:paraId="7AEBE65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4:106,819,053</w:t>
            </w:r>
          </w:p>
        </w:tc>
        <w:tc>
          <w:tcPr>
            <w:tcW w:w="276" w:type="pct"/>
            <w:noWrap/>
            <w:vAlign w:val="center"/>
            <w:hideMark/>
          </w:tcPr>
          <w:p w14:paraId="46EFF6A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A/G</w:t>
            </w:r>
          </w:p>
        </w:tc>
        <w:tc>
          <w:tcPr>
            <w:tcW w:w="1961" w:type="pct"/>
            <w:noWrap/>
            <w:vAlign w:val="center"/>
            <w:hideMark/>
          </w:tcPr>
          <w:p w14:paraId="7ED5A80C"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NPNT</w:t>
            </w:r>
            <w:r w:rsidRPr="00303B6C">
              <w:rPr>
                <w:rFonts w:eastAsia="Times New Roman" w:cs="Times New Roman"/>
                <w:color w:val="000000"/>
                <w:sz w:val="18"/>
                <w:szCs w:val="18"/>
                <w:lang w:eastAsia="en-GB"/>
              </w:rPr>
              <w:t>†</w:t>
            </w:r>
            <w:r w:rsidRPr="00303B6C">
              <w:rPr>
                <w:sz w:val="18"/>
                <w:szCs w:val="18"/>
              </w:rPr>
              <w:t>‡</w:t>
            </w:r>
          </w:p>
        </w:tc>
      </w:tr>
      <w:tr w:rsidR="00A81934" w:rsidRPr="00303B6C" w14:paraId="42022D5A"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4CE106A4"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AP3B1 (intron)</w:t>
            </w:r>
          </w:p>
        </w:tc>
        <w:tc>
          <w:tcPr>
            <w:tcW w:w="362" w:type="pct"/>
            <w:noWrap/>
            <w:vAlign w:val="center"/>
            <w:hideMark/>
          </w:tcPr>
          <w:p w14:paraId="6FC8ACB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FVC</w:t>
            </w:r>
          </w:p>
        </w:tc>
        <w:tc>
          <w:tcPr>
            <w:tcW w:w="530" w:type="pct"/>
            <w:vAlign w:val="center"/>
          </w:tcPr>
          <w:p w14:paraId="00972BAC"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42731FB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55941B66"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rs425102</w:t>
            </w:r>
          </w:p>
        </w:tc>
        <w:tc>
          <w:tcPr>
            <w:tcW w:w="415" w:type="pct"/>
            <w:noWrap/>
            <w:vAlign w:val="center"/>
            <w:hideMark/>
          </w:tcPr>
          <w:p w14:paraId="2DEC09A6"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5:77,396,400</w:t>
            </w:r>
          </w:p>
        </w:tc>
        <w:tc>
          <w:tcPr>
            <w:tcW w:w="276" w:type="pct"/>
            <w:noWrap/>
            <w:vAlign w:val="center"/>
            <w:hideMark/>
          </w:tcPr>
          <w:p w14:paraId="533AE6D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G/T</w:t>
            </w:r>
          </w:p>
        </w:tc>
        <w:tc>
          <w:tcPr>
            <w:tcW w:w="1961" w:type="pct"/>
            <w:noWrap/>
            <w:vAlign w:val="center"/>
            <w:hideMark/>
          </w:tcPr>
          <w:p w14:paraId="15B7AA05"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AP3B1</w:t>
            </w:r>
            <w:r w:rsidRPr="00303B6C">
              <w:rPr>
                <w:rFonts w:eastAsia="Times New Roman" w:cs="Times New Roman"/>
                <w:color w:val="000000"/>
                <w:sz w:val="18"/>
                <w:szCs w:val="18"/>
                <w:lang w:eastAsia="en-GB"/>
              </w:rPr>
              <w:t>†</w:t>
            </w:r>
          </w:p>
        </w:tc>
      </w:tr>
      <w:tr w:rsidR="00A81934" w:rsidRPr="00303B6C" w14:paraId="5F3A5F8C" w14:textId="77777777" w:rsidTr="00EF6C4C">
        <w:trPr>
          <w:trHeight w:val="283"/>
        </w:trPr>
        <w:tc>
          <w:tcPr>
            <w:tcW w:w="673" w:type="pct"/>
            <w:noWrap/>
            <w:vAlign w:val="center"/>
            <w:hideMark/>
          </w:tcPr>
          <w:p w14:paraId="68929DA0"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SPATA9</w:t>
            </w:r>
          </w:p>
        </w:tc>
        <w:tc>
          <w:tcPr>
            <w:tcW w:w="362" w:type="pct"/>
            <w:noWrap/>
            <w:vAlign w:val="center"/>
            <w:hideMark/>
          </w:tcPr>
          <w:p w14:paraId="5BB5EB5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6D12A892"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7FD9D0D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622CAB6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rs987068</w:t>
            </w:r>
          </w:p>
        </w:tc>
        <w:tc>
          <w:tcPr>
            <w:tcW w:w="415" w:type="pct"/>
            <w:noWrap/>
            <w:vAlign w:val="center"/>
            <w:hideMark/>
          </w:tcPr>
          <w:p w14:paraId="66B97C2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5:95,025,146</w:t>
            </w:r>
          </w:p>
        </w:tc>
        <w:tc>
          <w:tcPr>
            <w:tcW w:w="276" w:type="pct"/>
            <w:noWrap/>
            <w:vAlign w:val="center"/>
            <w:hideMark/>
          </w:tcPr>
          <w:p w14:paraId="74DC617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C/G</w:t>
            </w:r>
          </w:p>
        </w:tc>
        <w:tc>
          <w:tcPr>
            <w:tcW w:w="1961" w:type="pct"/>
            <w:noWrap/>
            <w:vAlign w:val="center"/>
            <w:hideMark/>
          </w:tcPr>
          <w:p w14:paraId="4594241E"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RHOBTB3</w:t>
            </w:r>
            <w:r w:rsidRPr="00303B6C">
              <w:rPr>
                <w:rFonts w:eastAsia="Times New Roman" w:cs="Times New Roman"/>
                <w:color w:val="000000"/>
                <w:sz w:val="18"/>
                <w:szCs w:val="18"/>
                <w:lang w:eastAsia="en-GB"/>
              </w:rPr>
              <w:t>†</w:t>
            </w:r>
          </w:p>
        </w:tc>
      </w:tr>
      <w:tr w:rsidR="00A81934" w:rsidRPr="00303B6C" w14:paraId="1F3979AA"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5D707718"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P4HA2-AS1</w:t>
            </w:r>
          </w:p>
        </w:tc>
        <w:tc>
          <w:tcPr>
            <w:tcW w:w="362" w:type="pct"/>
            <w:noWrap/>
            <w:vAlign w:val="center"/>
            <w:hideMark/>
          </w:tcPr>
          <w:p w14:paraId="3E95A98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FVC</w:t>
            </w:r>
          </w:p>
        </w:tc>
        <w:tc>
          <w:tcPr>
            <w:tcW w:w="530" w:type="pct"/>
            <w:vAlign w:val="center"/>
          </w:tcPr>
          <w:p w14:paraId="0E94DF9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ascii="Calibri" w:hAnsi="Calibri"/>
                <w:color w:val="000000"/>
                <w:sz w:val="18"/>
                <w:szCs w:val="18"/>
              </w:rPr>
              <w:t>, PEF</w:t>
            </w:r>
          </w:p>
        </w:tc>
        <w:tc>
          <w:tcPr>
            <w:tcW w:w="369" w:type="pct"/>
            <w:noWrap/>
            <w:vAlign w:val="center"/>
            <w:hideMark/>
          </w:tcPr>
          <w:p w14:paraId="00530F0F"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0D756C72"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rs3843503</w:t>
            </w:r>
          </w:p>
        </w:tc>
        <w:tc>
          <w:tcPr>
            <w:tcW w:w="415" w:type="pct"/>
            <w:noWrap/>
            <w:vAlign w:val="center"/>
            <w:hideMark/>
          </w:tcPr>
          <w:p w14:paraId="6CCE1B8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5:131,466,629</w:t>
            </w:r>
          </w:p>
        </w:tc>
        <w:tc>
          <w:tcPr>
            <w:tcW w:w="276" w:type="pct"/>
            <w:noWrap/>
            <w:vAlign w:val="center"/>
            <w:hideMark/>
          </w:tcPr>
          <w:p w14:paraId="3A0297D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A/T</w:t>
            </w:r>
          </w:p>
        </w:tc>
        <w:tc>
          <w:tcPr>
            <w:tcW w:w="1961" w:type="pct"/>
            <w:noWrap/>
            <w:vAlign w:val="center"/>
            <w:hideMark/>
          </w:tcPr>
          <w:p w14:paraId="1086D22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i/>
                <w:color w:val="000000"/>
                <w:sz w:val="18"/>
                <w:szCs w:val="18"/>
                <w:lang w:eastAsia="en-GB"/>
              </w:rPr>
              <w:t>SLC22A5</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P4HA2</w:t>
            </w:r>
            <w:r w:rsidRPr="00303B6C">
              <w:rPr>
                <w:rFonts w:eastAsia="Times New Roman" w:cs="Times New Roman"/>
                <w:color w:val="000000"/>
                <w:sz w:val="18"/>
                <w:szCs w:val="18"/>
                <w:lang w:eastAsia="en-GB"/>
              </w:rPr>
              <w:t>†</w:t>
            </w:r>
            <w:r>
              <w:rPr>
                <w:rFonts w:eastAsia="Times New Roman" w:cs="Times New Roman"/>
                <w:color w:val="000000"/>
                <w:sz w:val="18"/>
                <w:szCs w:val="18"/>
                <w:lang w:eastAsia="en-GB"/>
              </w:rPr>
              <w:t xml:space="preserve">, </w:t>
            </w:r>
            <w:r w:rsidRPr="00303B6C">
              <w:rPr>
                <w:rFonts w:eastAsia="Times New Roman" w:cs="Times New Roman"/>
                <w:i/>
                <w:color w:val="000000"/>
                <w:sz w:val="18"/>
                <w:szCs w:val="18"/>
                <w:lang w:eastAsia="en-GB"/>
              </w:rPr>
              <w:t>C1QTNF5</w:t>
            </w:r>
            <w:r w:rsidRPr="00303B6C">
              <w:rPr>
                <w:sz w:val="18"/>
                <w:szCs w:val="18"/>
              </w:rPr>
              <w:t>‡</w:t>
            </w:r>
          </w:p>
        </w:tc>
      </w:tr>
      <w:tr w:rsidR="00A81934" w:rsidRPr="00303B6C" w14:paraId="672C8B39" w14:textId="77777777" w:rsidTr="00EF6C4C">
        <w:trPr>
          <w:trHeight w:val="283"/>
        </w:trPr>
        <w:tc>
          <w:tcPr>
            <w:tcW w:w="673" w:type="pct"/>
            <w:noWrap/>
            <w:vAlign w:val="center"/>
            <w:hideMark/>
          </w:tcPr>
          <w:p w14:paraId="7AFD3184"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CYFIP2 (intron)</w:t>
            </w:r>
          </w:p>
        </w:tc>
        <w:tc>
          <w:tcPr>
            <w:tcW w:w="362" w:type="pct"/>
            <w:noWrap/>
            <w:vAlign w:val="center"/>
            <w:hideMark/>
          </w:tcPr>
          <w:p w14:paraId="5E618F16"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5FBB1BD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ascii="Calibri" w:hAnsi="Calibri"/>
                <w:color w:val="000000"/>
                <w:sz w:val="18"/>
                <w:szCs w:val="18"/>
              </w:rPr>
              <w:t>, PEF</w:t>
            </w:r>
          </w:p>
        </w:tc>
        <w:tc>
          <w:tcPr>
            <w:tcW w:w="369" w:type="pct"/>
            <w:noWrap/>
            <w:vAlign w:val="center"/>
            <w:hideMark/>
          </w:tcPr>
          <w:p w14:paraId="28276FE1"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0BFBD8B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rs11134766</w:t>
            </w:r>
          </w:p>
        </w:tc>
        <w:tc>
          <w:tcPr>
            <w:tcW w:w="415" w:type="pct"/>
            <w:noWrap/>
            <w:vAlign w:val="center"/>
            <w:hideMark/>
          </w:tcPr>
          <w:p w14:paraId="57B6A7DF"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5:156,908,317</w:t>
            </w:r>
          </w:p>
        </w:tc>
        <w:tc>
          <w:tcPr>
            <w:tcW w:w="276" w:type="pct"/>
            <w:noWrap/>
            <w:vAlign w:val="center"/>
            <w:hideMark/>
          </w:tcPr>
          <w:p w14:paraId="1552EE5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T/C</w:t>
            </w:r>
          </w:p>
        </w:tc>
        <w:tc>
          <w:tcPr>
            <w:tcW w:w="1961" w:type="pct"/>
            <w:noWrap/>
            <w:vAlign w:val="center"/>
            <w:hideMark/>
          </w:tcPr>
          <w:p w14:paraId="298ED275"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ADAM19</w:t>
            </w:r>
            <w:r w:rsidRPr="00303B6C">
              <w:rPr>
                <w:rFonts w:eastAsia="Times New Roman" w:cs="Times New Roman"/>
                <w:color w:val="000000"/>
                <w:sz w:val="18"/>
                <w:szCs w:val="18"/>
                <w:lang w:eastAsia="en-GB"/>
              </w:rPr>
              <w:t>†</w:t>
            </w:r>
          </w:p>
        </w:tc>
      </w:tr>
      <w:tr w:rsidR="00A81934" w:rsidRPr="00303B6C" w14:paraId="6D8BB183"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32E5F6CE"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ADAM19 (intron)</w:t>
            </w:r>
          </w:p>
        </w:tc>
        <w:tc>
          <w:tcPr>
            <w:tcW w:w="362" w:type="pct"/>
            <w:noWrap/>
            <w:vAlign w:val="center"/>
            <w:hideMark/>
          </w:tcPr>
          <w:p w14:paraId="3B3A024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3B76DFB2"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5A709172"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2B889DD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rs11134789</w:t>
            </w:r>
          </w:p>
        </w:tc>
        <w:tc>
          <w:tcPr>
            <w:tcW w:w="415" w:type="pct"/>
            <w:noWrap/>
            <w:vAlign w:val="center"/>
            <w:hideMark/>
          </w:tcPr>
          <w:p w14:paraId="331B9892"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5:156,944,199</w:t>
            </w:r>
          </w:p>
        </w:tc>
        <w:tc>
          <w:tcPr>
            <w:tcW w:w="276" w:type="pct"/>
            <w:noWrap/>
            <w:vAlign w:val="center"/>
            <w:hideMark/>
          </w:tcPr>
          <w:p w14:paraId="44B8E89D"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A/C</w:t>
            </w:r>
          </w:p>
        </w:tc>
        <w:tc>
          <w:tcPr>
            <w:tcW w:w="1961" w:type="pct"/>
            <w:noWrap/>
            <w:vAlign w:val="center"/>
            <w:hideMark/>
          </w:tcPr>
          <w:p w14:paraId="04C0A522"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ADAM19</w:t>
            </w:r>
            <w:r w:rsidRPr="00303B6C">
              <w:rPr>
                <w:rFonts w:eastAsia="Times New Roman" w:cs="Times New Roman"/>
                <w:color w:val="000000"/>
                <w:sz w:val="18"/>
                <w:szCs w:val="18"/>
                <w:lang w:eastAsia="en-GB"/>
              </w:rPr>
              <w:t>†*</w:t>
            </w:r>
          </w:p>
        </w:tc>
      </w:tr>
      <w:tr w:rsidR="00A81934" w:rsidRPr="00303B6C" w14:paraId="48C9FF24" w14:textId="77777777" w:rsidTr="00EF6C4C">
        <w:trPr>
          <w:trHeight w:val="283"/>
        </w:trPr>
        <w:tc>
          <w:tcPr>
            <w:tcW w:w="673" w:type="pct"/>
            <w:noWrap/>
            <w:vAlign w:val="center"/>
            <w:hideMark/>
          </w:tcPr>
          <w:p w14:paraId="2325D638"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DSP (intron)</w:t>
            </w:r>
          </w:p>
        </w:tc>
        <w:tc>
          <w:tcPr>
            <w:tcW w:w="362" w:type="pct"/>
            <w:noWrap/>
            <w:vAlign w:val="center"/>
            <w:hideMark/>
          </w:tcPr>
          <w:p w14:paraId="7D97DDE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46291CF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369" w:type="pct"/>
            <w:noWrap/>
            <w:vAlign w:val="center"/>
            <w:hideMark/>
          </w:tcPr>
          <w:p w14:paraId="324A251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617E0E57"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rs2076295</w:t>
            </w:r>
          </w:p>
        </w:tc>
        <w:tc>
          <w:tcPr>
            <w:tcW w:w="415" w:type="pct"/>
            <w:noWrap/>
            <w:vAlign w:val="center"/>
            <w:hideMark/>
          </w:tcPr>
          <w:p w14:paraId="3BF90CC7"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6:7,563,232</w:t>
            </w:r>
          </w:p>
        </w:tc>
        <w:tc>
          <w:tcPr>
            <w:tcW w:w="276" w:type="pct"/>
            <w:noWrap/>
            <w:vAlign w:val="center"/>
            <w:hideMark/>
          </w:tcPr>
          <w:p w14:paraId="5C6BFAB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T/G</w:t>
            </w:r>
          </w:p>
        </w:tc>
        <w:tc>
          <w:tcPr>
            <w:tcW w:w="1961" w:type="pct"/>
            <w:noWrap/>
            <w:vAlign w:val="center"/>
            <w:hideMark/>
          </w:tcPr>
          <w:p w14:paraId="357E492C"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DSP</w:t>
            </w:r>
            <w:r w:rsidRPr="00303B6C">
              <w:rPr>
                <w:rFonts w:eastAsia="Times New Roman" w:cs="Times New Roman"/>
                <w:color w:val="000000"/>
                <w:sz w:val="18"/>
                <w:szCs w:val="18"/>
                <w:lang w:eastAsia="en-GB"/>
              </w:rPr>
              <w:t>†</w:t>
            </w:r>
          </w:p>
        </w:tc>
      </w:tr>
      <w:tr w:rsidR="00A81934" w:rsidRPr="00303B6C" w14:paraId="63E7CA79"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084DDFF9"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MIR588</w:t>
            </w:r>
          </w:p>
        </w:tc>
        <w:tc>
          <w:tcPr>
            <w:tcW w:w="362" w:type="pct"/>
            <w:noWrap/>
            <w:vAlign w:val="center"/>
            <w:hideMark/>
          </w:tcPr>
          <w:p w14:paraId="2E96096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FVC</w:t>
            </w:r>
          </w:p>
        </w:tc>
        <w:tc>
          <w:tcPr>
            <w:tcW w:w="530" w:type="pct"/>
            <w:vAlign w:val="center"/>
          </w:tcPr>
          <w:p w14:paraId="4CF3AC3A" w14:textId="77777777" w:rsidR="00A81934" w:rsidRPr="00303B6C" w:rsidRDefault="00A81934" w:rsidP="00EF6C4C">
            <w:pPr>
              <w:rPr>
                <w:rFonts w:eastAsia="Times New Roman" w:cs="Times New Roman"/>
                <w:color w:val="000000"/>
                <w:sz w:val="18"/>
                <w:szCs w:val="18"/>
                <w:lang w:eastAsia="en-GB"/>
              </w:rPr>
            </w:pPr>
            <w:r w:rsidRPr="00303B6C">
              <w:rPr>
                <w:rFonts w:ascii="Calibri" w:hAnsi="Calibri"/>
                <w:color w:val="000000"/>
                <w:sz w:val="18"/>
                <w:szCs w:val="18"/>
              </w:rPr>
              <w:t>FVC, PEF</w:t>
            </w:r>
          </w:p>
        </w:tc>
        <w:tc>
          <w:tcPr>
            <w:tcW w:w="369" w:type="pct"/>
            <w:noWrap/>
            <w:vAlign w:val="center"/>
            <w:hideMark/>
          </w:tcPr>
          <w:p w14:paraId="3B2317E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4C596CF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rs6918725</w:t>
            </w:r>
          </w:p>
        </w:tc>
        <w:tc>
          <w:tcPr>
            <w:tcW w:w="415" w:type="pct"/>
            <w:noWrap/>
            <w:vAlign w:val="center"/>
            <w:hideMark/>
          </w:tcPr>
          <w:p w14:paraId="1DB5E40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6:126,990,392</w:t>
            </w:r>
          </w:p>
        </w:tc>
        <w:tc>
          <w:tcPr>
            <w:tcW w:w="276" w:type="pct"/>
            <w:noWrap/>
            <w:vAlign w:val="center"/>
            <w:hideMark/>
          </w:tcPr>
          <w:p w14:paraId="65F8842D"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T/G</w:t>
            </w:r>
          </w:p>
        </w:tc>
        <w:tc>
          <w:tcPr>
            <w:tcW w:w="1961" w:type="pct"/>
            <w:noWrap/>
            <w:vAlign w:val="center"/>
            <w:hideMark/>
          </w:tcPr>
          <w:p w14:paraId="09F3AAB0"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CENPW</w:t>
            </w:r>
            <w:r w:rsidRPr="00303B6C">
              <w:rPr>
                <w:rFonts w:eastAsia="Times New Roman" w:cs="Times New Roman"/>
                <w:color w:val="000000"/>
                <w:sz w:val="18"/>
                <w:szCs w:val="18"/>
                <w:lang w:eastAsia="en-GB"/>
              </w:rPr>
              <w:t>†</w:t>
            </w:r>
          </w:p>
        </w:tc>
      </w:tr>
      <w:tr w:rsidR="00A81934" w:rsidRPr="00303B6C" w14:paraId="3D2FB867" w14:textId="77777777" w:rsidTr="00EF6C4C">
        <w:trPr>
          <w:trHeight w:val="283"/>
        </w:trPr>
        <w:tc>
          <w:tcPr>
            <w:tcW w:w="673" w:type="pct"/>
            <w:noWrap/>
            <w:vAlign w:val="center"/>
            <w:hideMark/>
          </w:tcPr>
          <w:p w14:paraId="4E4F6810"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GPR126 (exon)</w:t>
            </w:r>
          </w:p>
        </w:tc>
        <w:tc>
          <w:tcPr>
            <w:tcW w:w="362" w:type="pct"/>
            <w:noWrap/>
            <w:vAlign w:val="center"/>
            <w:hideMark/>
          </w:tcPr>
          <w:p w14:paraId="5757FB1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65477911"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01FC5C5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497037C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rs17280293</w:t>
            </w:r>
          </w:p>
        </w:tc>
        <w:tc>
          <w:tcPr>
            <w:tcW w:w="415" w:type="pct"/>
            <w:noWrap/>
            <w:vAlign w:val="center"/>
            <w:hideMark/>
          </w:tcPr>
          <w:p w14:paraId="7119690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6:142,688,969</w:t>
            </w:r>
          </w:p>
        </w:tc>
        <w:tc>
          <w:tcPr>
            <w:tcW w:w="276" w:type="pct"/>
            <w:noWrap/>
            <w:vAlign w:val="center"/>
            <w:hideMark/>
          </w:tcPr>
          <w:p w14:paraId="76DFDD5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A/G</w:t>
            </w:r>
          </w:p>
        </w:tc>
        <w:tc>
          <w:tcPr>
            <w:tcW w:w="1961" w:type="pct"/>
            <w:noWrap/>
            <w:vAlign w:val="center"/>
            <w:hideMark/>
          </w:tcPr>
          <w:p w14:paraId="053AD5FB"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GPR126</w:t>
            </w:r>
            <w:r w:rsidRPr="00303B6C">
              <w:rPr>
                <w:rFonts w:eastAsia="Times New Roman" w:cs="Times New Roman"/>
                <w:color w:val="000000"/>
                <w:sz w:val="18"/>
                <w:szCs w:val="18"/>
                <w:lang w:eastAsia="en-GB"/>
              </w:rPr>
              <w:t>*</w:t>
            </w:r>
          </w:p>
        </w:tc>
      </w:tr>
      <w:tr w:rsidR="00A81934" w:rsidRPr="00303B6C" w14:paraId="7D2D4EFB"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6AC2266D"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C1GALT1 (intron)</w:t>
            </w:r>
          </w:p>
        </w:tc>
        <w:tc>
          <w:tcPr>
            <w:tcW w:w="362" w:type="pct"/>
            <w:noWrap/>
            <w:vAlign w:val="center"/>
            <w:hideMark/>
          </w:tcPr>
          <w:p w14:paraId="354909B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4E06EE26"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369" w:type="pct"/>
            <w:noWrap/>
            <w:vAlign w:val="center"/>
            <w:hideMark/>
          </w:tcPr>
          <w:p w14:paraId="7AEB0FE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26CD100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rs4318980</w:t>
            </w:r>
          </w:p>
        </w:tc>
        <w:tc>
          <w:tcPr>
            <w:tcW w:w="415" w:type="pct"/>
            <w:noWrap/>
            <w:vAlign w:val="center"/>
            <w:hideMark/>
          </w:tcPr>
          <w:p w14:paraId="23ED3FA7"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7:7,256,490</w:t>
            </w:r>
          </w:p>
        </w:tc>
        <w:tc>
          <w:tcPr>
            <w:tcW w:w="276" w:type="pct"/>
            <w:noWrap/>
            <w:vAlign w:val="center"/>
            <w:hideMark/>
          </w:tcPr>
          <w:p w14:paraId="5FAFB25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A/G</w:t>
            </w:r>
          </w:p>
        </w:tc>
        <w:tc>
          <w:tcPr>
            <w:tcW w:w="1961" w:type="pct"/>
            <w:noWrap/>
            <w:vAlign w:val="center"/>
            <w:hideMark/>
          </w:tcPr>
          <w:p w14:paraId="7259E183"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C1GALT1</w:t>
            </w:r>
            <w:r w:rsidRPr="00303B6C">
              <w:rPr>
                <w:rFonts w:eastAsia="Times New Roman" w:cs="Times New Roman"/>
                <w:color w:val="000000"/>
                <w:sz w:val="18"/>
                <w:szCs w:val="18"/>
                <w:lang w:eastAsia="en-GB"/>
              </w:rPr>
              <w:t>†</w:t>
            </w:r>
          </w:p>
        </w:tc>
      </w:tr>
      <w:tr w:rsidR="00A81934" w:rsidRPr="00303B6C" w14:paraId="586D4A7B" w14:textId="77777777" w:rsidTr="00EF6C4C">
        <w:trPr>
          <w:trHeight w:val="283"/>
        </w:trPr>
        <w:tc>
          <w:tcPr>
            <w:tcW w:w="673" w:type="pct"/>
            <w:noWrap/>
            <w:vAlign w:val="center"/>
            <w:hideMark/>
          </w:tcPr>
          <w:p w14:paraId="4E3BDEB5"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QSOX2 (3</w:t>
            </w:r>
            <w:r>
              <w:rPr>
                <w:rFonts w:eastAsia="Times New Roman" w:cs="Times New Roman"/>
                <w:i/>
                <w:color w:val="000000"/>
                <w:sz w:val="18"/>
                <w:szCs w:val="18"/>
                <w:lang w:eastAsia="en-GB"/>
              </w:rPr>
              <w:t>’-UTR</w:t>
            </w:r>
            <w:r w:rsidRPr="00303B6C">
              <w:rPr>
                <w:rFonts w:eastAsia="Times New Roman" w:cs="Times New Roman"/>
                <w:i/>
                <w:color w:val="000000"/>
                <w:sz w:val="18"/>
                <w:szCs w:val="18"/>
                <w:lang w:eastAsia="en-GB"/>
              </w:rPr>
              <w:t>)</w:t>
            </w:r>
          </w:p>
        </w:tc>
        <w:tc>
          <w:tcPr>
            <w:tcW w:w="362" w:type="pct"/>
            <w:noWrap/>
            <w:vAlign w:val="center"/>
            <w:hideMark/>
          </w:tcPr>
          <w:p w14:paraId="69DB9267"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FVC</w:t>
            </w:r>
          </w:p>
        </w:tc>
        <w:tc>
          <w:tcPr>
            <w:tcW w:w="530" w:type="pct"/>
            <w:vAlign w:val="center"/>
          </w:tcPr>
          <w:p w14:paraId="278C72A7"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52174676"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61F6F5E1"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rs7024579</w:t>
            </w:r>
          </w:p>
        </w:tc>
        <w:tc>
          <w:tcPr>
            <w:tcW w:w="415" w:type="pct"/>
            <w:noWrap/>
            <w:vAlign w:val="center"/>
            <w:hideMark/>
          </w:tcPr>
          <w:p w14:paraId="5A43B0D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9:139,100,413</w:t>
            </w:r>
          </w:p>
        </w:tc>
        <w:tc>
          <w:tcPr>
            <w:tcW w:w="276" w:type="pct"/>
            <w:noWrap/>
            <w:vAlign w:val="center"/>
            <w:hideMark/>
          </w:tcPr>
          <w:p w14:paraId="71E4553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T/C</w:t>
            </w:r>
          </w:p>
        </w:tc>
        <w:tc>
          <w:tcPr>
            <w:tcW w:w="1961" w:type="pct"/>
            <w:noWrap/>
            <w:vAlign w:val="center"/>
            <w:hideMark/>
          </w:tcPr>
          <w:p w14:paraId="5FA502E7"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QSOX2</w:t>
            </w:r>
            <w:r w:rsidRPr="00303B6C">
              <w:rPr>
                <w:rFonts w:eastAsia="Times New Roman" w:cs="Times New Roman"/>
                <w:color w:val="000000"/>
                <w:sz w:val="18"/>
                <w:szCs w:val="18"/>
                <w:lang w:eastAsia="en-GB"/>
              </w:rPr>
              <w:t>†</w:t>
            </w:r>
          </w:p>
        </w:tc>
      </w:tr>
      <w:tr w:rsidR="00A81934" w:rsidRPr="00303B6C" w14:paraId="54A16859"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73CF4678"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DNLZ (intron)</w:t>
            </w:r>
          </w:p>
        </w:tc>
        <w:tc>
          <w:tcPr>
            <w:tcW w:w="362" w:type="pct"/>
            <w:noWrap/>
            <w:vAlign w:val="center"/>
            <w:hideMark/>
          </w:tcPr>
          <w:p w14:paraId="71CF581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FVC</w:t>
            </w:r>
          </w:p>
        </w:tc>
        <w:tc>
          <w:tcPr>
            <w:tcW w:w="530" w:type="pct"/>
            <w:vAlign w:val="center"/>
          </w:tcPr>
          <w:p w14:paraId="3A742761"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ascii="Calibri" w:hAnsi="Calibri"/>
                <w:color w:val="000000"/>
                <w:sz w:val="18"/>
                <w:szCs w:val="18"/>
              </w:rPr>
              <w:t>, FVC, PEF</w:t>
            </w:r>
          </w:p>
        </w:tc>
        <w:tc>
          <w:tcPr>
            <w:tcW w:w="369" w:type="pct"/>
            <w:noWrap/>
            <w:vAlign w:val="center"/>
            <w:hideMark/>
          </w:tcPr>
          <w:p w14:paraId="15177BC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40F5067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rs4073153</w:t>
            </w:r>
          </w:p>
        </w:tc>
        <w:tc>
          <w:tcPr>
            <w:tcW w:w="415" w:type="pct"/>
            <w:noWrap/>
            <w:vAlign w:val="center"/>
            <w:hideMark/>
          </w:tcPr>
          <w:p w14:paraId="1306F142"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9:139,259,349</w:t>
            </w:r>
          </w:p>
        </w:tc>
        <w:tc>
          <w:tcPr>
            <w:tcW w:w="276" w:type="pct"/>
            <w:noWrap/>
            <w:vAlign w:val="center"/>
            <w:hideMark/>
          </w:tcPr>
          <w:p w14:paraId="0C62308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G/A</w:t>
            </w:r>
          </w:p>
        </w:tc>
        <w:tc>
          <w:tcPr>
            <w:tcW w:w="1961" w:type="pct"/>
            <w:noWrap/>
            <w:vAlign w:val="center"/>
            <w:hideMark/>
          </w:tcPr>
          <w:p w14:paraId="2DEC12FE"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SNAPC4</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CARD9</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INPP5E</w:t>
            </w:r>
            <w:r w:rsidRPr="00303B6C">
              <w:rPr>
                <w:rFonts w:eastAsia="Times New Roman" w:cs="Times New Roman"/>
                <w:color w:val="000000"/>
                <w:sz w:val="18"/>
                <w:szCs w:val="18"/>
                <w:lang w:eastAsia="en-GB"/>
              </w:rPr>
              <w:t>†</w:t>
            </w:r>
          </w:p>
        </w:tc>
      </w:tr>
      <w:tr w:rsidR="00A81934" w:rsidRPr="00303B6C" w14:paraId="6817D832" w14:textId="77777777" w:rsidTr="00EF6C4C">
        <w:trPr>
          <w:trHeight w:val="283"/>
        </w:trPr>
        <w:tc>
          <w:tcPr>
            <w:tcW w:w="673" w:type="pct"/>
            <w:noWrap/>
            <w:vAlign w:val="center"/>
            <w:hideMark/>
          </w:tcPr>
          <w:p w14:paraId="4F2D0283"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CDC123 (intron)</w:t>
            </w:r>
          </w:p>
        </w:tc>
        <w:tc>
          <w:tcPr>
            <w:tcW w:w="362" w:type="pct"/>
            <w:noWrap/>
            <w:vAlign w:val="center"/>
            <w:hideMark/>
          </w:tcPr>
          <w:p w14:paraId="0CC62FD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2A24F85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369" w:type="pct"/>
            <w:noWrap/>
            <w:vAlign w:val="center"/>
            <w:hideMark/>
          </w:tcPr>
          <w:p w14:paraId="6757B07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2A18B78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rs7090277</w:t>
            </w:r>
          </w:p>
        </w:tc>
        <w:tc>
          <w:tcPr>
            <w:tcW w:w="415" w:type="pct"/>
            <w:noWrap/>
            <w:vAlign w:val="center"/>
            <w:hideMark/>
          </w:tcPr>
          <w:p w14:paraId="114616D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10:12,278,021</w:t>
            </w:r>
          </w:p>
        </w:tc>
        <w:tc>
          <w:tcPr>
            <w:tcW w:w="276" w:type="pct"/>
            <w:noWrap/>
            <w:vAlign w:val="center"/>
            <w:hideMark/>
          </w:tcPr>
          <w:p w14:paraId="48E699D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T/A</w:t>
            </w:r>
          </w:p>
        </w:tc>
        <w:tc>
          <w:tcPr>
            <w:tcW w:w="1961" w:type="pct"/>
            <w:noWrap/>
            <w:vAlign w:val="center"/>
            <w:hideMark/>
          </w:tcPr>
          <w:p w14:paraId="51A95467"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NUDT5</w:t>
            </w:r>
            <w:r w:rsidRPr="00303B6C">
              <w:rPr>
                <w:rFonts w:eastAsia="Times New Roman" w:cs="Times New Roman"/>
                <w:color w:val="000000"/>
                <w:sz w:val="18"/>
                <w:szCs w:val="18"/>
                <w:lang w:eastAsia="en-GB"/>
              </w:rPr>
              <w:t>†</w:t>
            </w:r>
          </w:p>
        </w:tc>
      </w:tr>
      <w:tr w:rsidR="00A81934" w:rsidRPr="00303B6C" w14:paraId="5660FEC7"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75CDDBC4"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MYPN (intron)</w:t>
            </w:r>
          </w:p>
        </w:tc>
        <w:tc>
          <w:tcPr>
            <w:tcW w:w="362" w:type="pct"/>
            <w:noWrap/>
            <w:vAlign w:val="center"/>
            <w:hideMark/>
          </w:tcPr>
          <w:p w14:paraId="7574D3B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FVC</w:t>
            </w:r>
          </w:p>
        </w:tc>
        <w:tc>
          <w:tcPr>
            <w:tcW w:w="530" w:type="pct"/>
            <w:vAlign w:val="center"/>
          </w:tcPr>
          <w:p w14:paraId="1DEB8B92" w14:textId="77777777" w:rsidR="00A81934" w:rsidRPr="00303B6C" w:rsidRDefault="00A81934" w:rsidP="00EF6C4C">
            <w:pPr>
              <w:rPr>
                <w:rFonts w:eastAsia="Times New Roman" w:cs="Times New Roman"/>
                <w:color w:val="000000"/>
                <w:sz w:val="18"/>
                <w:szCs w:val="18"/>
                <w:lang w:eastAsia="en-GB"/>
              </w:rPr>
            </w:pPr>
            <w:r w:rsidRPr="00303B6C">
              <w:rPr>
                <w:rFonts w:ascii="Calibri" w:hAnsi="Calibri"/>
                <w:color w:val="000000"/>
                <w:sz w:val="18"/>
                <w:szCs w:val="18"/>
              </w:rPr>
              <w:t>FVC</w:t>
            </w:r>
          </w:p>
        </w:tc>
        <w:tc>
          <w:tcPr>
            <w:tcW w:w="369" w:type="pct"/>
            <w:noWrap/>
            <w:vAlign w:val="center"/>
            <w:hideMark/>
          </w:tcPr>
          <w:p w14:paraId="70562366"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3398E53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rs10998018</w:t>
            </w:r>
          </w:p>
        </w:tc>
        <w:tc>
          <w:tcPr>
            <w:tcW w:w="415" w:type="pct"/>
            <w:noWrap/>
            <w:vAlign w:val="center"/>
            <w:hideMark/>
          </w:tcPr>
          <w:p w14:paraId="0B9E047D"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10:69,962,954</w:t>
            </w:r>
          </w:p>
        </w:tc>
        <w:tc>
          <w:tcPr>
            <w:tcW w:w="276" w:type="pct"/>
            <w:noWrap/>
            <w:vAlign w:val="center"/>
            <w:hideMark/>
          </w:tcPr>
          <w:p w14:paraId="481EE7E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A/G</w:t>
            </w:r>
          </w:p>
        </w:tc>
        <w:tc>
          <w:tcPr>
            <w:tcW w:w="1961" w:type="pct"/>
            <w:noWrap/>
            <w:vAlign w:val="center"/>
            <w:hideMark/>
          </w:tcPr>
          <w:p w14:paraId="64B38778"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MYPN</w:t>
            </w:r>
            <w:r w:rsidRPr="00303B6C">
              <w:rPr>
                <w:rFonts w:eastAsia="Times New Roman" w:cs="Times New Roman"/>
                <w:color w:val="000000"/>
                <w:sz w:val="18"/>
                <w:szCs w:val="18"/>
                <w:lang w:eastAsia="en-GB"/>
              </w:rPr>
              <w:t>*</w:t>
            </w:r>
          </w:p>
        </w:tc>
      </w:tr>
      <w:tr w:rsidR="00A81934" w:rsidRPr="00303B6C" w14:paraId="4A6D4F6A" w14:textId="77777777" w:rsidTr="00EF6C4C">
        <w:trPr>
          <w:trHeight w:val="283"/>
        </w:trPr>
        <w:tc>
          <w:tcPr>
            <w:tcW w:w="673" w:type="pct"/>
            <w:noWrap/>
            <w:vAlign w:val="center"/>
            <w:hideMark/>
          </w:tcPr>
          <w:p w14:paraId="621AFF9E"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EML3 (intron)</w:t>
            </w:r>
          </w:p>
        </w:tc>
        <w:tc>
          <w:tcPr>
            <w:tcW w:w="362" w:type="pct"/>
            <w:noWrap/>
            <w:vAlign w:val="center"/>
            <w:hideMark/>
          </w:tcPr>
          <w:p w14:paraId="40CD3CBF"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530" w:type="pct"/>
            <w:vAlign w:val="center"/>
          </w:tcPr>
          <w:p w14:paraId="1CA037E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369" w:type="pct"/>
            <w:noWrap/>
            <w:vAlign w:val="center"/>
            <w:hideMark/>
          </w:tcPr>
          <w:p w14:paraId="498CEAC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3E1718E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rs71490394</w:t>
            </w:r>
          </w:p>
        </w:tc>
        <w:tc>
          <w:tcPr>
            <w:tcW w:w="415" w:type="pct"/>
            <w:noWrap/>
            <w:vAlign w:val="center"/>
            <w:hideMark/>
          </w:tcPr>
          <w:p w14:paraId="172221A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11:62,370,155</w:t>
            </w:r>
          </w:p>
        </w:tc>
        <w:tc>
          <w:tcPr>
            <w:tcW w:w="276" w:type="pct"/>
            <w:noWrap/>
            <w:vAlign w:val="center"/>
            <w:hideMark/>
          </w:tcPr>
          <w:p w14:paraId="1371695F"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G/A</w:t>
            </w:r>
          </w:p>
        </w:tc>
        <w:tc>
          <w:tcPr>
            <w:tcW w:w="1961" w:type="pct"/>
            <w:noWrap/>
            <w:vAlign w:val="center"/>
            <w:hideMark/>
          </w:tcPr>
          <w:p w14:paraId="00E41E5C"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EEF1G</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ROM1</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EML3</w:t>
            </w:r>
            <w:r w:rsidRPr="00303B6C">
              <w:rPr>
                <w:rFonts w:eastAsia="Times New Roman" w:cs="Times New Roman"/>
                <w:color w:val="000000"/>
                <w:sz w:val="18"/>
                <w:szCs w:val="18"/>
                <w:lang w:eastAsia="en-GB"/>
              </w:rPr>
              <w:t>†*</w:t>
            </w:r>
          </w:p>
        </w:tc>
      </w:tr>
      <w:tr w:rsidR="00A81934" w:rsidRPr="00303B6C" w14:paraId="0F16EC8E"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5E8C84DA"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ARHGEF17 (intron)</w:t>
            </w:r>
          </w:p>
        </w:tc>
        <w:tc>
          <w:tcPr>
            <w:tcW w:w="362" w:type="pct"/>
            <w:noWrap/>
            <w:vAlign w:val="center"/>
            <w:hideMark/>
          </w:tcPr>
          <w:p w14:paraId="4FD1815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335C3196"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72E723CD"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2855674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rs2027761</w:t>
            </w:r>
          </w:p>
        </w:tc>
        <w:tc>
          <w:tcPr>
            <w:tcW w:w="415" w:type="pct"/>
            <w:noWrap/>
            <w:vAlign w:val="center"/>
            <w:hideMark/>
          </w:tcPr>
          <w:p w14:paraId="6F68201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11:73,036,179</w:t>
            </w:r>
          </w:p>
        </w:tc>
        <w:tc>
          <w:tcPr>
            <w:tcW w:w="276" w:type="pct"/>
            <w:noWrap/>
            <w:vAlign w:val="center"/>
            <w:hideMark/>
          </w:tcPr>
          <w:p w14:paraId="08A380D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C/T</w:t>
            </w:r>
          </w:p>
        </w:tc>
        <w:tc>
          <w:tcPr>
            <w:tcW w:w="1961" w:type="pct"/>
            <w:noWrap/>
            <w:vAlign w:val="center"/>
            <w:hideMark/>
          </w:tcPr>
          <w:p w14:paraId="0391E550"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FAM168A</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ARHGEF17</w:t>
            </w:r>
            <w:r w:rsidRPr="00303B6C">
              <w:rPr>
                <w:rFonts w:eastAsia="Times New Roman" w:cs="Times New Roman"/>
                <w:color w:val="000000"/>
                <w:sz w:val="18"/>
                <w:szCs w:val="18"/>
                <w:lang w:eastAsia="en-GB"/>
              </w:rPr>
              <w:t>†*</w:t>
            </w:r>
          </w:p>
        </w:tc>
      </w:tr>
      <w:tr w:rsidR="00A81934" w:rsidRPr="00303B6C" w14:paraId="4BD8CEF2" w14:textId="77777777" w:rsidTr="00EF6C4C">
        <w:trPr>
          <w:trHeight w:val="283"/>
        </w:trPr>
        <w:tc>
          <w:tcPr>
            <w:tcW w:w="673" w:type="pct"/>
            <w:noWrap/>
            <w:vAlign w:val="center"/>
            <w:hideMark/>
          </w:tcPr>
          <w:p w14:paraId="7D7DC9CA"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RAB5B (intron)</w:t>
            </w:r>
          </w:p>
        </w:tc>
        <w:tc>
          <w:tcPr>
            <w:tcW w:w="362" w:type="pct"/>
            <w:noWrap/>
            <w:vAlign w:val="center"/>
            <w:hideMark/>
          </w:tcPr>
          <w:p w14:paraId="5DB35227"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530" w:type="pct"/>
            <w:vAlign w:val="center"/>
          </w:tcPr>
          <w:p w14:paraId="4363811A" w14:textId="77777777" w:rsidR="00A81934" w:rsidRPr="00303B6C" w:rsidRDefault="00A81934" w:rsidP="00EF6C4C">
            <w:pPr>
              <w:rPr>
                <w:rFonts w:eastAsia="Times New Roman" w:cs="Times New Roman"/>
                <w:color w:val="000000"/>
                <w:sz w:val="18"/>
                <w:szCs w:val="18"/>
                <w:lang w:eastAsia="en-GB"/>
              </w:rPr>
            </w:pPr>
            <w:r w:rsidRPr="00303B6C">
              <w:rPr>
                <w:rFonts w:ascii="Calibri" w:hAnsi="Calibri"/>
                <w:color w:val="000000"/>
                <w:sz w:val="18"/>
                <w:szCs w:val="18"/>
              </w:rPr>
              <w:t>PEF</w:t>
            </w:r>
          </w:p>
        </w:tc>
        <w:tc>
          <w:tcPr>
            <w:tcW w:w="369" w:type="pct"/>
            <w:noWrap/>
            <w:vAlign w:val="center"/>
            <w:hideMark/>
          </w:tcPr>
          <w:p w14:paraId="5B5CA19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0BB0850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rs1689510</w:t>
            </w:r>
          </w:p>
        </w:tc>
        <w:tc>
          <w:tcPr>
            <w:tcW w:w="415" w:type="pct"/>
            <w:noWrap/>
            <w:vAlign w:val="center"/>
            <w:hideMark/>
          </w:tcPr>
          <w:p w14:paraId="0DEB856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12:56,396,768</w:t>
            </w:r>
          </w:p>
        </w:tc>
        <w:tc>
          <w:tcPr>
            <w:tcW w:w="276" w:type="pct"/>
            <w:noWrap/>
            <w:vAlign w:val="center"/>
            <w:hideMark/>
          </w:tcPr>
          <w:p w14:paraId="1F6A8F6D"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C/G</w:t>
            </w:r>
          </w:p>
        </w:tc>
        <w:tc>
          <w:tcPr>
            <w:tcW w:w="1961" w:type="pct"/>
            <w:noWrap/>
            <w:vAlign w:val="center"/>
            <w:hideMark/>
          </w:tcPr>
          <w:p w14:paraId="560D007E"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CDK2</w:t>
            </w:r>
            <w:r w:rsidRPr="00303B6C">
              <w:rPr>
                <w:rFonts w:eastAsia="Times New Roman" w:cs="Times New Roman"/>
                <w:color w:val="000000"/>
                <w:sz w:val="18"/>
                <w:szCs w:val="18"/>
                <w:lang w:eastAsia="en-GB"/>
              </w:rPr>
              <w:t>†</w:t>
            </w:r>
          </w:p>
        </w:tc>
      </w:tr>
      <w:tr w:rsidR="00A81934" w:rsidRPr="00303B6C" w14:paraId="4AFB1283"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5787E657"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lastRenderedPageBreak/>
              <w:t>LRP1 (intron)</w:t>
            </w:r>
          </w:p>
        </w:tc>
        <w:tc>
          <w:tcPr>
            <w:tcW w:w="362" w:type="pct"/>
            <w:noWrap/>
            <w:vAlign w:val="center"/>
            <w:hideMark/>
          </w:tcPr>
          <w:p w14:paraId="139C7BF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754B61FA"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67FAB21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178E5F4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rs11172113</w:t>
            </w:r>
          </w:p>
        </w:tc>
        <w:tc>
          <w:tcPr>
            <w:tcW w:w="415" w:type="pct"/>
            <w:noWrap/>
            <w:vAlign w:val="center"/>
            <w:hideMark/>
          </w:tcPr>
          <w:p w14:paraId="4BEA724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12:57,527,283</w:t>
            </w:r>
          </w:p>
        </w:tc>
        <w:tc>
          <w:tcPr>
            <w:tcW w:w="276" w:type="pct"/>
            <w:noWrap/>
            <w:vAlign w:val="center"/>
            <w:hideMark/>
          </w:tcPr>
          <w:p w14:paraId="7C2FB45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T/C</w:t>
            </w:r>
          </w:p>
        </w:tc>
        <w:tc>
          <w:tcPr>
            <w:tcW w:w="1961" w:type="pct"/>
            <w:noWrap/>
            <w:vAlign w:val="center"/>
            <w:hideMark/>
          </w:tcPr>
          <w:p w14:paraId="4D262234"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LRP1</w:t>
            </w:r>
            <w:r w:rsidRPr="00303B6C">
              <w:rPr>
                <w:rFonts w:eastAsia="Times New Roman" w:cs="Times New Roman"/>
                <w:color w:val="000000"/>
                <w:sz w:val="18"/>
                <w:szCs w:val="18"/>
                <w:lang w:eastAsia="en-GB"/>
              </w:rPr>
              <w:t>†</w:t>
            </w:r>
          </w:p>
        </w:tc>
      </w:tr>
      <w:tr w:rsidR="00A81934" w:rsidRPr="00303B6C" w14:paraId="6263C9BE" w14:textId="77777777" w:rsidTr="00EF6C4C">
        <w:trPr>
          <w:trHeight w:val="283"/>
        </w:trPr>
        <w:tc>
          <w:tcPr>
            <w:tcW w:w="673" w:type="pct"/>
            <w:noWrap/>
            <w:vAlign w:val="center"/>
            <w:hideMark/>
          </w:tcPr>
          <w:p w14:paraId="1D01FB77"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FGD6 (intron)</w:t>
            </w:r>
          </w:p>
        </w:tc>
        <w:tc>
          <w:tcPr>
            <w:tcW w:w="362" w:type="pct"/>
            <w:noWrap/>
            <w:vAlign w:val="center"/>
            <w:hideMark/>
          </w:tcPr>
          <w:p w14:paraId="7018CFD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02EA02C9"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66799BC7"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625A1B6D"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rs113745635</w:t>
            </w:r>
          </w:p>
        </w:tc>
        <w:tc>
          <w:tcPr>
            <w:tcW w:w="415" w:type="pct"/>
            <w:noWrap/>
            <w:vAlign w:val="center"/>
            <w:hideMark/>
          </w:tcPr>
          <w:p w14:paraId="35DB184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12:95,554,771</w:t>
            </w:r>
          </w:p>
        </w:tc>
        <w:tc>
          <w:tcPr>
            <w:tcW w:w="276" w:type="pct"/>
            <w:noWrap/>
            <w:vAlign w:val="center"/>
            <w:hideMark/>
          </w:tcPr>
          <w:p w14:paraId="313F93B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T/C</w:t>
            </w:r>
          </w:p>
        </w:tc>
        <w:tc>
          <w:tcPr>
            <w:tcW w:w="1961" w:type="pct"/>
            <w:noWrap/>
            <w:vAlign w:val="center"/>
            <w:hideMark/>
          </w:tcPr>
          <w:p w14:paraId="6F13B716"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FGD6</w:t>
            </w:r>
            <w:r w:rsidRPr="00303B6C">
              <w:rPr>
                <w:rFonts w:eastAsia="Times New Roman" w:cs="Times New Roman"/>
                <w:color w:val="000000"/>
                <w:sz w:val="18"/>
                <w:szCs w:val="18"/>
                <w:lang w:eastAsia="en-GB"/>
              </w:rPr>
              <w:t>†</w:t>
            </w:r>
          </w:p>
        </w:tc>
      </w:tr>
      <w:tr w:rsidR="00A81934" w:rsidRPr="00303B6C" w14:paraId="1FFD02DA"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293F5684"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RPAP1</w:t>
            </w:r>
          </w:p>
        </w:tc>
        <w:tc>
          <w:tcPr>
            <w:tcW w:w="362" w:type="pct"/>
            <w:noWrap/>
            <w:vAlign w:val="center"/>
            <w:hideMark/>
          </w:tcPr>
          <w:p w14:paraId="7DE6CD4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1A5E405D"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2CD7F75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7438B05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rs2012453</w:t>
            </w:r>
          </w:p>
        </w:tc>
        <w:tc>
          <w:tcPr>
            <w:tcW w:w="415" w:type="pct"/>
            <w:noWrap/>
            <w:vAlign w:val="center"/>
            <w:hideMark/>
          </w:tcPr>
          <w:p w14:paraId="3DD24E2D"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15:41,840,238</w:t>
            </w:r>
          </w:p>
        </w:tc>
        <w:tc>
          <w:tcPr>
            <w:tcW w:w="276" w:type="pct"/>
            <w:noWrap/>
            <w:vAlign w:val="center"/>
            <w:hideMark/>
          </w:tcPr>
          <w:p w14:paraId="480DFA5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G/A</w:t>
            </w:r>
          </w:p>
        </w:tc>
        <w:tc>
          <w:tcPr>
            <w:tcW w:w="1961" w:type="pct"/>
            <w:noWrap/>
            <w:vAlign w:val="center"/>
            <w:hideMark/>
          </w:tcPr>
          <w:p w14:paraId="5B492428"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ITPKA</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LTK</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TYRO3</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RPAP1</w:t>
            </w:r>
            <w:r w:rsidRPr="00303B6C">
              <w:rPr>
                <w:rFonts w:eastAsia="Times New Roman" w:cs="Times New Roman"/>
                <w:color w:val="000000"/>
                <w:sz w:val="18"/>
                <w:szCs w:val="18"/>
                <w:lang w:eastAsia="en-GB"/>
              </w:rPr>
              <w:t>†</w:t>
            </w:r>
          </w:p>
        </w:tc>
      </w:tr>
      <w:tr w:rsidR="00A81934" w:rsidRPr="00303B6C" w14:paraId="14DEC5B0" w14:textId="77777777" w:rsidTr="00EF6C4C">
        <w:trPr>
          <w:trHeight w:val="283"/>
        </w:trPr>
        <w:tc>
          <w:tcPr>
            <w:tcW w:w="673" w:type="pct"/>
            <w:noWrap/>
            <w:vAlign w:val="center"/>
            <w:hideMark/>
          </w:tcPr>
          <w:p w14:paraId="48632363"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AAGAB</w:t>
            </w:r>
          </w:p>
        </w:tc>
        <w:tc>
          <w:tcPr>
            <w:tcW w:w="362" w:type="pct"/>
            <w:noWrap/>
            <w:vAlign w:val="center"/>
            <w:hideMark/>
          </w:tcPr>
          <w:p w14:paraId="1E515DA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FVC</w:t>
            </w:r>
          </w:p>
        </w:tc>
        <w:tc>
          <w:tcPr>
            <w:tcW w:w="530" w:type="pct"/>
            <w:vAlign w:val="center"/>
          </w:tcPr>
          <w:p w14:paraId="32830E4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ascii="Calibri" w:hAnsi="Calibri"/>
                <w:color w:val="000000"/>
                <w:sz w:val="18"/>
                <w:szCs w:val="18"/>
              </w:rPr>
              <w:t>, PEF</w:t>
            </w:r>
          </w:p>
        </w:tc>
        <w:tc>
          <w:tcPr>
            <w:tcW w:w="369" w:type="pct"/>
            <w:noWrap/>
            <w:vAlign w:val="center"/>
            <w:hideMark/>
          </w:tcPr>
          <w:p w14:paraId="68C7E3F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5780F4E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rs12917612</w:t>
            </w:r>
          </w:p>
        </w:tc>
        <w:tc>
          <w:tcPr>
            <w:tcW w:w="415" w:type="pct"/>
            <w:noWrap/>
            <w:vAlign w:val="center"/>
            <w:hideMark/>
          </w:tcPr>
          <w:p w14:paraId="093F7BDD"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15:67,491,274</w:t>
            </w:r>
          </w:p>
        </w:tc>
        <w:tc>
          <w:tcPr>
            <w:tcW w:w="276" w:type="pct"/>
            <w:noWrap/>
            <w:vAlign w:val="center"/>
            <w:hideMark/>
          </w:tcPr>
          <w:p w14:paraId="637F8721"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A/C</w:t>
            </w:r>
          </w:p>
        </w:tc>
        <w:tc>
          <w:tcPr>
            <w:tcW w:w="1961" w:type="pct"/>
            <w:noWrap/>
            <w:vAlign w:val="center"/>
            <w:hideMark/>
          </w:tcPr>
          <w:p w14:paraId="2E6FDF85"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AAGAB</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SMAD3</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IQCH</w:t>
            </w:r>
            <w:r w:rsidRPr="00303B6C">
              <w:rPr>
                <w:rFonts w:eastAsia="Times New Roman" w:cs="Times New Roman"/>
                <w:color w:val="000000"/>
                <w:sz w:val="18"/>
                <w:szCs w:val="18"/>
                <w:lang w:eastAsia="en-GB"/>
              </w:rPr>
              <w:t>†</w:t>
            </w:r>
          </w:p>
        </w:tc>
      </w:tr>
      <w:tr w:rsidR="00A81934" w:rsidRPr="00303B6C" w14:paraId="6E91F880"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4152B8A5"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THSD4 (intron)</w:t>
            </w:r>
          </w:p>
        </w:tc>
        <w:tc>
          <w:tcPr>
            <w:tcW w:w="362" w:type="pct"/>
            <w:noWrap/>
            <w:vAlign w:val="center"/>
            <w:hideMark/>
          </w:tcPr>
          <w:p w14:paraId="1D82654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2E739495"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2317D86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64D654DD"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rs1441358</w:t>
            </w:r>
          </w:p>
        </w:tc>
        <w:tc>
          <w:tcPr>
            <w:tcW w:w="415" w:type="pct"/>
            <w:noWrap/>
            <w:vAlign w:val="center"/>
            <w:hideMark/>
          </w:tcPr>
          <w:p w14:paraId="0D8293E1"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15:71,612,514</w:t>
            </w:r>
          </w:p>
        </w:tc>
        <w:tc>
          <w:tcPr>
            <w:tcW w:w="276" w:type="pct"/>
            <w:noWrap/>
            <w:vAlign w:val="center"/>
            <w:hideMark/>
          </w:tcPr>
          <w:p w14:paraId="656FE04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G/T</w:t>
            </w:r>
          </w:p>
        </w:tc>
        <w:tc>
          <w:tcPr>
            <w:tcW w:w="1961" w:type="pct"/>
            <w:noWrap/>
            <w:vAlign w:val="center"/>
            <w:hideMark/>
          </w:tcPr>
          <w:p w14:paraId="0FFCC158"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THSD4</w:t>
            </w:r>
            <w:r w:rsidRPr="00303B6C">
              <w:rPr>
                <w:rFonts w:eastAsia="Times New Roman" w:cs="Times New Roman"/>
                <w:color w:val="000000"/>
                <w:sz w:val="18"/>
                <w:szCs w:val="18"/>
                <w:lang w:eastAsia="en-GB"/>
              </w:rPr>
              <w:t>†</w:t>
            </w:r>
          </w:p>
        </w:tc>
      </w:tr>
      <w:tr w:rsidR="00A81934" w:rsidRPr="00303B6C" w14:paraId="3A24521A" w14:textId="77777777" w:rsidTr="00EF6C4C">
        <w:trPr>
          <w:trHeight w:val="283"/>
        </w:trPr>
        <w:tc>
          <w:tcPr>
            <w:tcW w:w="673" w:type="pct"/>
            <w:noWrap/>
            <w:vAlign w:val="center"/>
            <w:hideMark/>
          </w:tcPr>
          <w:p w14:paraId="70F734CB"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IL27</w:t>
            </w:r>
          </w:p>
        </w:tc>
        <w:tc>
          <w:tcPr>
            <w:tcW w:w="362" w:type="pct"/>
            <w:noWrap/>
            <w:vAlign w:val="center"/>
            <w:hideMark/>
          </w:tcPr>
          <w:p w14:paraId="56B137F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530" w:type="pct"/>
            <w:vAlign w:val="center"/>
          </w:tcPr>
          <w:p w14:paraId="67BD1868"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5C5E3C86"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2644CC5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rs12446589</w:t>
            </w:r>
          </w:p>
        </w:tc>
        <w:tc>
          <w:tcPr>
            <w:tcW w:w="415" w:type="pct"/>
            <w:noWrap/>
            <w:vAlign w:val="center"/>
            <w:hideMark/>
          </w:tcPr>
          <w:p w14:paraId="38607336"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16:28,870,962</w:t>
            </w:r>
          </w:p>
        </w:tc>
        <w:tc>
          <w:tcPr>
            <w:tcW w:w="276" w:type="pct"/>
            <w:noWrap/>
            <w:vAlign w:val="center"/>
            <w:hideMark/>
          </w:tcPr>
          <w:p w14:paraId="6730A246"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A/G</w:t>
            </w:r>
          </w:p>
        </w:tc>
        <w:tc>
          <w:tcPr>
            <w:tcW w:w="1961" w:type="pct"/>
            <w:noWrap/>
            <w:vAlign w:val="center"/>
            <w:hideMark/>
          </w:tcPr>
          <w:p w14:paraId="4FCE5875"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SBK1</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TUFM</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CCDC101</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SULT1A1</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SULT1A2</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SH2B1</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NPIP</w:t>
            </w:r>
            <w:r>
              <w:rPr>
                <w:rFonts w:eastAsia="Times New Roman" w:cs="Times New Roman"/>
                <w:i/>
                <w:color w:val="000000"/>
                <w:sz w:val="18"/>
                <w:szCs w:val="18"/>
                <w:lang w:eastAsia="en-GB"/>
              </w:rPr>
              <w:t>L1</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CLN3</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ATXN2L</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EIF3C</w:t>
            </w:r>
            <w:r w:rsidRPr="00303B6C">
              <w:rPr>
                <w:rFonts w:eastAsia="Times New Roman" w:cs="Times New Roman"/>
                <w:color w:val="000000"/>
                <w:sz w:val="18"/>
                <w:szCs w:val="18"/>
                <w:lang w:eastAsia="en-GB"/>
              </w:rPr>
              <w:t>†</w:t>
            </w:r>
          </w:p>
        </w:tc>
      </w:tr>
      <w:tr w:rsidR="00A81934" w:rsidRPr="00303B6C" w14:paraId="7AD8D559"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1E6E81DE"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MMP15 (intron)</w:t>
            </w:r>
          </w:p>
        </w:tc>
        <w:tc>
          <w:tcPr>
            <w:tcW w:w="362" w:type="pct"/>
            <w:noWrap/>
            <w:vAlign w:val="center"/>
            <w:hideMark/>
          </w:tcPr>
          <w:p w14:paraId="1078F3FF"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0B354905" w14:textId="77777777" w:rsidR="00A81934" w:rsidRPr="00303B6C" w:rsidRDefault="00A81934" w:rsidP="00EF6C4C">
            <w:pPr>
              <w:rPr>
                <w:rFonts w:eastAsia="Times New Roman" w:cs="Times New Roman"/>
                <w:color w:val="000000"/>
                <w:sz w:val="18"/>
                <w:szCs w:val="18"/>
                <w:lang w:eastAsia="en-GB"/>
              </w:rPr>
            </w:pPr>
            <w:r w:rsidRPr="00303B6C">
              <w:rPr>
                <w:rFonts w:ascii="Calibri" w:hAnsi="Calibri"/>
                <w:color w:val="000000"/>
                <w:sz w:val="18"/>
                <w:szCs w:val="18"/>
              </w:rPr>
              <w:t>PEF</w:t>
            </w:r>
          </w:p>
        </w:tc>
        <w:tc>
          <w:tcPr>
            <w:tcW w:w="369" w:type="pct"/>
            <w:noWrap/>
            <w:vAlign w:val="center"/>
            <w:hideMark/>
          </w:tcPr>
          <w:p w14:paraId="163EEDF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073B78C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rs11648508</w:t>
            </w:r>
          </w:p>
        </w:tc>
        <w:tc>
          <w:tcPr>
            <w:tcW w:w="415" w:type="pct"/>
            <w:noWrap/>
            <w:vAlign w:val="center"/>
            <w:hideMark/>
          </w:tcPr>
          <w:p w14:paraId="0F94C9D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16:58,063,513</w:t>
            </w:r>
          </w:p>
        </w:tc>
        <w:tc>
          <w:tcPr>
            <w:tcW w:w="276" w:type="pct"/>
            <w:noWrap/>
            <w:vAlign w:val="center"/>
            <w:hideMark/>
          </w:tcPr>
          <w:p w14:paraId="5A10711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G/T</w:t>
            </w:r>
          </w:p>
        </w:tc>
        <w:tc>
          <w:tcPr>
            <w:tcW w:w="1961" w:type="pct"/>
            <w:noWrap/>
            <w:vAlign w:val="center"/>
            <w:hideMark/>
          </w:tcPr>
          <w:p w14:paraId="43CF1802"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MMP15</w:t>
            </w:r>
            <w:r w:rsidRPr="00303B6C">
              <w:rPr>
                <w:rFonts w:eastAsia="Times New Roman" w:cs="Times New Roman"/>
                <w:color w:val="000000"/>
                <w:sz w:val="18"/>
                <w:szCs w:val="18"/>
                <w:lang w:eastAsia="en-GB"/>
              </w:rPr>
              <w:t>†</w:t>
            </w:r>
          </w:p>
        </w:tc>
      </w:tr>
      <w:tr w:rsidR="00A81934" w:rsidRPr="00303B6C" w14:paraId="3FB027F3" w14:textId="77777777" w:rsidTr="00EF6C4C">
        <w:trPr>
          <w:trHeight w:val="283"/>
        </w:trPr>
        <w:tc>
          <w:tcPr>
            <w:tcW w:w="673" w:type="pct"/>
            <w:noWrap/>
            <w:vAlign w:val="center"/>
            <w:hideMark/>
          </w:tcPr>
          <w:p w14:paraId="6B7DA241"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SSH2 (intron)</w:t>
            </w:r>
          </w:p>
        </w:tc>
        <w:tc>
          <w:tcPr>
            <w:tcW w:w="362" w:type="pct"/>
            <w:noWrap/>
            <w:vAlign w:val="center"/>
            <w:hideMark/>
          </w:tcPr>
          <w:p w14:paraId="4DC6793F"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5226337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369" w:type="pct"/>
            <w:noWrap/>
            <w:vAlign w:val="center"/>
            <w:hideMark/>
          </w:tcPr>
          <w:p w14:paraId="1E90297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1B9311D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rs2244592</w:t>
            </w:r>
          </w:p>
        </w:tc>
        <w:tc>
          <w:tcPr>
            <w:tcW w:w="415" w:type="pct"/>
            <w:noWrap/>
            <w:vAlign w:val="center"/>
            <w:hideMark/>
          </w:tcPr>
          <w:p w14:paraId="742068F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17:28,072,327</w:t>
            </w:r>
          </w:p>
        </w:tc>
        <w:tc>
          <w:tcPr>
            <w:tcW w:w="276" w:type="pct"/>
            <w:noWrap/>
            <w:vAlign w:val="center"/>
            <w:hideMark/>
          </w:tcPr>
          <w:p w14:paraId="1A68330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A/G</w:t>
            </w:r>
          </w:p>
        </w:tc>
        <w:tc>
          <w:tcPr>
            <w:tcW w:w="1961" w:type="pct"/>
            <w:noWrap/>
            <w:vAlign w:val="center"/>
            <w:hideMark/>
          </w:tcPr>
          <w:p w14:paraId="2A7AAF9F"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EFCAB5</w:t>
            </w:r>
            <w:r w:rsidRPr="00303B6C">
              <w:rPr>
                <w:rFonts w:eastAsia="Times New Roman" w:cs="Times New Roman"/>
                <w:color w:val="000000"/>
                <w:sz w:val="18"/>
                <w:szCs w:val="18"/>
                <w:lang w:eastAsia="en-GB"/>
              </w:rPr>
              <w:t>†</w:t>
            </w:r>
          </w:p>
        </w:tc>
      </w:tr>
      <w:tr w:rsidR="00A81934" w:rsidRPr="00303B6C" w14:paraId="1D2FB965"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63F9702A"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FBXL20 (intron)</w:t>
            </w:r>
          </w:p>
        </w:tc>
        <w:tc>
          <w:tcPr>
            <w:tcW w:w="362" w:type="pct"/>
            <w:noWrap/>
            <w:vAlign w:val="center"/>
            <w:hideMark/>
          </w:tcPr>
          <w:p w14:paraId="7350E1C2"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FVC</w:t>
            </w:r>
          </w:p>
        </w:tc>
        <w:tc>
          <w:tcPr>
            <w:tcW w:w="530" w:type="pct"/>
            <w:vAlign w:val="center"/>
          </w:tcPr>
          <w:p w14:paraId="00F1BBE7" w14:textId="77777777" w:rsidR="00A81934" w:rsidRPr="00303B6C" w:rsidRDefault="00A81934" w:rsidP="00EF6C4C">
            <w:pPr>
              <w:rPr>
                <w:rFonts w:eastAsia="Times New Roman" w:cs="Times New Roman"/>
                <w:color w:val="000000"/>
                <w:sz w:val="18"/>
                <w:szCs w:val="18"/>
                <w:lang w:eastAsia="en-GB"/>
              </w:rPr>
            </w:pPr>
            <w:r w:rsidRPr="00303B6C">
              <w:rPr>
                <w:rFonts w:ascii="Calibri" w:hAnsi="Calibri"/>
                <w:color w:val="000000"/>
                <w:sz w:val="18"/>
                <w:szCs w:val="18"/>
              </w:rPr>
              <w:t>FVC, PEF</w:t>
            </w:r>
          </w:p>
        </w:tc>
        <w:tc>
          <w:tcPr>
            <w:tcW w:w="369" w:type="pct"/>
            <w:noWrap/>
            <w:vAlign w:val="center"/>
            <w:hideMark/>
          </w:tcPr>
          <w:p w14:paraId="54C23A1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3A3BBF3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rs8069451</w:t>
            </w:r>
          </w:p>
        </w:tc>
        <w:tc>
          <w:tcPr>
            <w:tcW w:w="415" w:type="pct"/>
            <w:noWrap/>
            <w:vAlign w:val="center"/>
            <w:hideMark/>
          </w:tcPr>
          <w:p w14:paraId="2123F9D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17:37,504,933</w:t>
            </w:r>
          </w:p>
        </w:tc>
        <w:tc>
          <w:tcPr>
            <w:tcW w:w="276" w:type="pct"/>
            <w:noWrap/>
            <w:vAlign w:val="center"/>
            <w:hideMark/>
          </w:tcPr>
          <w:p w14:paraId="7C33E0C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C/T</w:t>
            </w:r>
          </w:p>
        </w:tc>
        <w:tc>
          <w:tcPr>
            <w:tcW w:w="1961" w:type="pct"/>
            <w:noWrap/>
            <w:vAlign w:val="center"/>
            <w:hideMark/>
          </w:tcPr>
          <w:p w14:paraId="6D42226E"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CRKRS</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FBXL20</w:t>
            </w:r>
            <w:r w:rsidRPr="00303B6C">
              <w:rPr>
                <w:rFonts w:eastAsia="Times New Roman" w:cs="Times New Roman"/>
                <w:color w:val="000000"/>
                <w:sz w:val="18"/>
                <w:szCs w:val="18"/>
                <w:lang w:eastAsia="en-GB"/>
              </w:rPr>
              <w:t>†</w:t>
            </w:r>
          </w:p>
        </w:tc>
      </w:tr>
      <w:tr w:rsidR="00A81934" w:rsidRPr="00303B6C" w14:paraId="519B066C" w14:textId="77777777" w:rsidTr="00EF6C4C">
        <w:trPr>
          <w:trHeight w:val="283"/>
        </w:trPr>
        <w:tc>
          <w:tcPr>
            <w:tcW w:w="673" w:type="pct"/>
            <w:noWrap/>
            <w:vAlign w:val="center"/>
            <w:hideMark/>
          </w:tcPr>
          <w:p w14:paraId="4AE80CAA"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MAPT-AS1</w:t>
            </w:r>
          </w:p>
        </w:tc>
        <w:tc>
          <w:tcPr>
            <w:tcW w:w="362" w:type="pct"/>
            <w:noWrap/>
            <w:vAlign w:val="center"/>
            <w:hideMark/>
          </w:tcPr>
          <w:p w14:paraId="433ABFB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530" w:type="pct"/>
            <w:vAlign w:val="center"/>
          </w:tcPr>
          <w:p w14:paraId="3FD95673"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0FD64F8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2BB48D2F"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rs79412431</w:t>
            </w:r>
          </w:p>
        </w:tc>
        <w:tc>
          <w:tcPr>
            <w:tcW w:w="415" w:type="pct"/>
            <w:noWrap/>
            <w:vAlign w:val="center"/>
            <w:hideMark/>
          </w:tcPr>
          <w:p w14:paraId="489919F1"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17:43,940,021</w:t>
            </w:r>
          </w:p>
        </w:tc>
        <w:tc>
          <w:tcPr>
            <w:tcW w:w="276" w:type="pct"/>
            <w:noWrap/>
            <w:vAlign w:val="center"/>
            <w:hideMark/>
          </w:tcPr>
          <w:p w14:paraId="3485128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A/G</w:t>
            </w:r>
          </w:p>
        </w:tc>
        <w:tc>
          <w:tcPr>
            <w:tcW w:w="1961" w:type="pct"/>
            <w:noWrap/>
            <w:vAlign w:val="center"/>
            <w:hideMark/>
          </w:tcPr>
          <w:p w14:paraId="7024DF65"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LRRC37A4</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MAPT</w:t>
            </w:r>
            <w:r w:rsidRPr="00303B6C">
              <w:rPr>
                <w:rFonts w:eastAsia="Times New Roman" w:cs="Times New Roman"/>
                <w:color w:val="000000"/>
                <w:sz w:val="18"/>
                <w:szCs w:val="18"/>
                <w:lang w:eastAsia="en-GB"/>
              </w:rPr>
              <w:t>*</w:t>
            </w:r>
          </w:p>
        </w:tc>
      </w:tr>
      <w:tr w:rsidR="00A81934" w:rsidRPr="00303B6C" w14:paraId="644AF5B6"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43524A41"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TSEN54 (intron)</w:t>
            </w:r>
          </w:p>
        </w:tc>
        <w:tc>
          <w:tcPr>
            <w:tcW w:w="362" w:type="pct"/>
            <w:noWrap/>
            <w:vAlign w:val="center"/>
            <w:hideMark/>
          </w:tcPr>
          <w:p w14:paraId="46F78477"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530" w:type="pct"/>
            <w:vAlign w:val="center"/>
          </w:tcPr>
          <w:p w14:paraId="20A1B5CE" w14:textId="77777777" w:rsidR="00A81934" w:rsidRPr="00303B6C" w:rsidRDefault="00A81934" w:rsidP="00EF6C4C">
            <w:pPr>
              <w:rPr>
                <w:rFonts w:eastAsia="Times New Roman" w:cs="Times New Roman"/>
                <w:color w:val="000000"/>
                <w:sz w:val="18"/>
                <w:szCs w:val="18"/>
                <w:lang w:eastAsia="en-GB"/>
              </w:rPr>
            </w:pPr>
            <w:r w:rsidRPr="00303B6C">
              <w:rPr>
                <w:rFonts w:ascii="Calibri" w:hAnsi="Calibri"/>
                <w:color w:val="000000"/>
                <w:sz w:val="18"/>
                <w:szCs w:val="18"/>
              </w:rPr>
              <w:t>PEF</w:t>
            </w:r>
          </w:p>
        </w:tc>
        <w:tc>
          <w:tcPr>
            <w:tcW w:w="369" w:type="pct"/>
            <w:noWrap/>
            <w:vAlign w:val="center"/>
            <w:hideMark/>
          </w:tcPr>
          <w:p w14:paraId="76C85AE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7F5348A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rs9892893</w:t>
            </w:r>
          </w:p>
        </w:tc>
        <w:tc>
          <w:tcPr>
            <w:tcW w:w="415" w:type="pct"/>
            <w:noWrap/>
            <w:vAlign w:val="center"/>
            <w:hideMark/>
          </w:tcPr>
          <w:p w14:paraId="3917CDB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17:73,525,670</w:t>
            </w:r>
          </w:p>
        </w:tc>
        <w:tc>
          <w:tcPr>
            <w:tcW w:w="276" w:type="pct"/>
            <w:noWrap/>
            <w:vAlign w:val="center"/>
            <w:hideMark/>
          </w:tcPr>
          <w:p w14:paraId="613BE096"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G/T</w:t>
            </w:r>
          </w:p>
        </w:tc>
        <w:tc>
          <w:tcPr>
            <w:tcW w:w="1961" w:type="pct"/>
            <w:noWrap/>
            <w:vAlign w:val="center"/>
            <w:hideMark/>
          </w:tcPr>
          <w:p w14:paraId="5123C50A"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CASKIN2</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TSEN54</w:t>
            </w:r>
            <w:r w:rsidRPr="00303B6C">
              <w:rPr>
                <w:rFonts w:eastAsia="Times New Roman" w:cs="Times New Roman"/>
                <w:color w:val="000000"/>
                <w:sz w:val="18"/>
                <w:szCs w:val="18"/>
                <w:lang w:eastAsia="en-GB"/>
              </w:rPr>
              <w:t>*</w:t>
            </w:r>
          </w:p>
        </w:tc>
      </w:tr>
      <w:tr w:rsidR="00A81934" w:rsidRPr="00303B6C" w14:paraId="03A77913" w14:textId="77777777" w:rsidTr="00EF6C4C">
        <w:trPr>
          <w:trHeight w:val="283"/>
        </w:trPr>
        <w:tc>
          <w:tcPr>
            <w:tcW w:w="673" w:type="pct"/>
            <w:noWrap/>
            <w:vAlign w:val="center"/>
            <w:hideMark/>
          </w:tcPr>
          <w:p w14:paraId="2AC1223B"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LTBP4 (exon)</w:t>
            </w:r>
          </w:p>
        </w:tc>
        <w:tc>
          <w:tcPr>
            <w:tcW w:w="362" w:type="pct"/>
            <w:noWrap/>
            <w:vAlign w:val="center"/>
            <w:hideMark/>
          </w:tcPr>
          <w:p w14:paraId="4E4B067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eastAsia="Times New Roman" w:cs="Times New Roman"/>
                <w:color w:val="000000"/>
                <w:sz w:val="18"/>
                <w:szCs w:val="18"/>
                <w:lang w:eastAsia="en-GB"/>
              </w:rPr>
              <w:t>/FVC</w:t>
            </w:r>
          </w:p>
        </w:tc>
        <w:tc>
          <w:tcPr>
            <w:tcW w:w="530" w:type="pct"/>
            <w:vAlign w:val="center"/>
          </w:tcPr>
          <w:p w14:paraId="2F445661" w14:textId="77777777" w:rsidR="00A81934" w:rsidRPr="00303B6C" w:rsidRDefault="00A81934" w:rsidP="00EF6C4C">
            <w:pPr>
              <w:rPr>
                <w:rFonts w:eastAsia="Times New Roman" w:cs="Times New Roman"/>
                <w:color w:val="000000"/>
                <w:sz w:val="18"/>
                <w:szCs w:val="18"/>
                <w:lang w:eastAsia="en-GB"/>
              </w:rPr>
            </w:pPr>
          </w:p>
        </w:tc>
        <w:tc>
          <w:tcPr>
            <w:tcW w:w="369" w:type="pct"/>
            <w:noWrap/>
            <w:vAlign w:val="center"/>
            <w:hideMark/>
          </w:tcPr>
          <w:p w14:paraId="6BB29BD4"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3E1116F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rs34093919</w:t>
            </w:r>
          </w:p>
        </w:tc>
        <w:tc>
          <w:tcPr>
            <w:tcW w:w="415" w:type="pct"/>
            <w:noWrap/>
            <w:vAlign w:val="center"/>
            <w:hideMark/>
          </w:tcPr>
          <w:p w14:paraId="30ABD53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19:41,117,300</w:t>
            </w:r>
          </w:p>
        </w:tc>
        <w:tc>
          <w:tcPr>
            <w:tcW w:w="276" w:type="pct"/>
            <w:noWrap/>
            <w:vAlign w:val="center"/>
            <w:hideMark/>
          </w:tcPr>
          <w:p w14:paraId="4B2012C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G/A</w:t>
            </w:r>
          </w:p>
        </w:tc>
        <w:tc>
          <w:tcPr>
            <w:tcW w:w="1961" w:type="pct"/>
            <w:noWrap/>
            <w:vAlign w:val="center"/>
            <w:hideMark/>
          </w:tcPr>
          <w:p w14:paraId="287DF833"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LTBP4</w:t>
            </w:r>
            <w:r w:rsidRPr="00303B6C">
              <w:rPr>
                <w:rFonts w:eastAsia="Times New Roman" w:cs="Times New Roman"/>
                <w:color w:val="000000"/>
                <w:sz w:val="18"/>
                <w:szCs w:val="18"/>
                <w:lang w:eastAsia="en-GB"/>
              </w:rPr>
              <w:t>*</w:t>
            </w:r>
          </w:p>
        </w:tc>
      </w:tr>
      <w:tr w:rsidR="00A81934" w:rsidRPr="00303B6C" w14:paraId="5E0F42B0"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4ADC7863"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ABHD12 (intron)</w:t>
            </w:r>
          </w:p>
        </w:tc>
        <w:tc>
          <w:tcPr>
            <w:tcW w:w="362" w:type="pct"/>
            <w:noWrap/>
            <w:vAlign w:val="center"/>
            <w:hideMark/>
          </w:tcPr>
          <w:p w14:paraId="0703476F"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530" w:type="pct"/>
            <w:vAlign w:val="center"/>
          </w:tcPr>
          <w:p w14:paraId="23D81C2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ascii="Calibri" w:hAnsi="Calibri"/>
                <w:color w:val="000000"/>
                <w:sz w:val="18"/>
                <w:szCs w:val="18"/>
              </w:rPr>
              <w:t>, PEF</w:t>
            </w:r>
          </w:p>
        </w:tc>
        <w:tc>
          <w:tcPr>
            <w:tcW w:w="369" w:type="pct"/>
            <w:noWrap/>
            <w:vAlign w:val="center"/>
            <w:hideMark/>
          </w:tcPr>
          <w:p w14:paraId="34BCF22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4FA3019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rs2236180</w:t>
            </w:r>
          </w:p>
        </w:tc>
        <w:tc>
          <w:tcPr>
            <w:tcW w:w="415" w:type="pct"/>
            <w:noWrap/>
            <w:vAlign w:val="center"/>
            <w:hideMark/>
          </w:tcPr>
          <w:p w14:paraId="3B819B0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20:25,282,608</w:t>
            </w:r>
          </w:p>
        </w:tc>
        <w:tc>
          <w:tcPr>
            <w:tcW w:w="276" w:type="pct"/>
            <w:noWrap/>
            <w:vAlign w:val="center"/>
            <w:hideMark/>
          </w:tcPr>
          <w:p w14:paraId="7625682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C/T</w:t>
            </w:r>
          </w:p>
        </w:tc>
        <w:tc>
          <w:tcPr>
            <w:tcW w:w="1961" w:type="pct"/>
            <w:noWrap/>
            <w:vAlign w:val="center"/>
            <w:hideMark/>
          </w:tcPr>
          <w:p w14:paraId="141AAA98"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PYGB</w:t>
            </w:r>
            <w:r w:rsidRPr="00303B6C">
              <w:rPr>
                <w:rFonts w:eastAsia="Times New Roman" w:cs="Times New Roman"/>
                <w:color w:val="000000"/>
                <w:sz w:val="18"/>
                <w:szCs w:val="18"/>
                <w:lang w:eastAsia="en-GB"/>
              </w:rPr>
              <w:t>†*</w:t>
            </w:r>
          </w:p>
        </w:tc>
      </w:tr>
      <w:tr w:rsidR="00A81934" w:rsidRPr="00303B6C" w14:paraId="260F64FF" w14:textId="77777777" w:rsidTr="00EF6C4C">
        <w:trPr>
          <w:trHeight w:val="283"/>
        </w:trPr>
        <w:tc>
          <w:tcPr>
            <w:tcW w:w="673" w:type="pct"/>
            <w:noWrap/>
            <w:vAlign w:val="center"/>
            <w:hideMark/>
          </w:tcPr>
          <w:p w14:paraId="0A7E3FFE"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UQCC1 (5</w:t>
            </w:r>
            <w:r>
              <w:rPr>
                <w:rFonts w:eastAsia="Times New Roman" w:cs="Times New Roman"/>
                <w:i/>
                <w:color w:val="000000"/>
                <w:sz w:val="18"/>
                <w:szCs w:val="18"/>
                <w:lang w:eastAsia="en-GB"/>
              </w:rPr>
              <w:t>’-UTR</w:t>
            </w:r>
            <w:r w:rsidRPr="00303B6C">
              <w:rPr>
                <w:rFonts w:eastAsia="Times New Roman" w:cs="Times New Roman"/>
                <w:i/>
                <w:color w:val="000000"/>
                <w:sz w:val="18"/>
                <w:szCs w:val="18"/>
                <w:lang w:eastAsia="en-GB"/>
              </w:rPr>
              <w:t>)</w:t>
            </w:r>
          </w:p>
        </w:tc>
        <w:tc>
          <w:tcPr>
            <w:tcW w:w="362" w:type="pct"/>
            <w:noWrap/>
            <w:vAlign w:val="center"/>
            <w:hideMark/>
          </w:tcPr>
          <w:p w14:paraId="2869B5E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FVC</w:t>
            </w:r>
          </w:p>
        </w:tc>
        <w:tc>
          <w:tcPr>
            <w:tcW w:w="530" w:type="pct"/>
            <w:vAlign w:val="center"/>
          </w:tcPr>
          <w:p w14:paraId="7A738B4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369" w:type="pct"/>
            <w:noWrap/>
            <w:vAlign w:val="center"/>
            <w:hideMark/>
          </w:tcPr>
          <w:p w14:paraId="3DB3C78A"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34FAC66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rs143384</w:t>
            </w:r>
          </w:p>
        </w:tc>
        <w:tc>
          <w:tcPr>
            <w:tcW w:w="415" w:type="pct"/>
            <w:noWrap/>
            <w:vAlign w:val="center"/>
            <w:hideMark/>
          </w:tcPr>
          <w:p w14:paraId="139981D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20:34,025,756</w:t>
            </w:r>
          </w:p>
        </w:tc>
        <w:tc>
          <w:tcPr>
            <w:tcW w:w="276" w:type="pct"/>
            <w:noWrap/>
            <w:vAlign w:val="center"/>
            <w:hideMark/>
          </w:tcPr>
          <w:p w14:paraId="031789C0"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G/A</w:t>
            </w:r>
          </w:p>
        </w:tc>
        <w:tc>
          <w:tcPr>
            <w:tcW w:w="1961" w:type="pct"/>
            <w:noWrap/>
            <w:vAlign w:val="center"/>
            <w:hideMark/>
          </w:tcPr>
          <w:p w14:paraId="390C4066"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UQCC1</w:t>
            </w:r>
            <w:r w:rsidRPr="00303B6C">
              <w:rPr>
                <w:rFonts w:eastAsia="Times New Roman" w:cs="Times New Roman"/>
                <w:color w:val="000000"/>
                <w:sz w:val="18"/>
                <w:szCs w:val="18"/>
                <w:lang w:eastAsia="en-GB"/>
              </w:rPr>
              <w:t>†</w:t>
            </w:r>
            <w:r w:rsidRPr="00303B6C">
              <w:rPr>
                <w:rFonts w:eastAsia="Times New Roman" w:cs="Times New Roman"/>
                <w:i/>
                <w:color w:val="000000"/>
                <w:sz w:val="18"/>
                <w:szCs w:val="18"/>
                <w:lang w:eastAsia="en-GB"/>
              </w:rPr>
              <w:t>, GDF5</w:t>
            </w:r>
            <w:r w:rsidRPr="00303B6C">
              <w:rPr>
                <w:rFonts w:eastAsia="Times New Roman" w:cs="Times New Roman"/>
                <w:color w:val="000000"/>
                <w:sz w:val="18"/>
                <w:szCs w:val="18"/>
                <w:lang w:eastAsia="en-GB"/>
              </w:rPr>
              <w:t>†</w:t>
            </w:r>
          </w:p>
        </w:tc>
      </w:tr>
      <w:tr w:rsidR="00A81934" w:rsidRPr="00303B6C" w14:paraId="7FA43679" w14:textId="77777777" w:rsidTr="00EF6C4C">
        <w:trPr>
          <w:cnfStyle w:val="000000100000" w:firstRow="0" w:lastRow="0" w:firstColumn="0" w:lastColumn="0" w:oddVBand="0" w:evenVBand="0" w:oddHBand="1" w:evenHBand="0" w:firstRowFirstColumn="0" w:firstRowLastColumn="0" w:lastRowFirstColumn="0" w:lastRowLastColumn="0"/>
          <w:trHeight w:val="283"/>
        </w:trPr>
        <w:tc>
          <w:tcPr>
            <w:tcW w:w="673" w:type="pct"/>
            <w:noWrap/>
            <w:vAlign w:val="center"/>
            <w:hideMark/>
          </w:tcPr>
          <w:p w14:paraId="37A2503F"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SLC2A4RG (intron)</w:t>
            </w:r>
          </w:p>
        </w:tc>
        <w:tc>
          <w:tcPr>
            <w:tcW w:w="362" w:type="pct"/>
            <w:noWrap/>
            <w:vAlign w:val="center"/>
            <w:hideMark/>
          </w:tcPr>
          <w:p w14:paraId="68ED50E8"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FVC</w:t>
            </w:r>
          </w:p>
        </w:tc>
        <w:tc>
          <w:tcPr>
            <w:tcW w:w="530" w:type="pct"/>
            <w:vAlign w:val="center"/>
          </w:tcPr>
          <w:p w14:paraId="7345D42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r w:rsidRPr="00303B6C">
              <w:rPr>
                <w:rFonts w:ascii="Calibri" w:hAnsi="Calibri"/>
                <w:color w:val="000000"/>
                <w:sz w:val="18"/>
                <w:szCs w:val="18"/>
              </w:rPr>
              <w:t>/FVC</w:t>
            </w:r>
          </w:p>
        </w:tc>
        <w:tc>
          <w:tcPr>
            <w:tcW w:w="369" w:type="pct"/>
            <w:noWrap/>
            <w:vAlign w:val="center"/>
            <w:hideMark/>
          </w:tcPr>
          <w:p w14:paraId="58E9EB3C"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20F246D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rs4809221</w:t>
            </w:r>
          </w:p>
        </w:tc>
        <w:tc>
          <w:tcPr>
            <w:tcW w:w="415" w:type="pct"/>
            <w:noWrap/>
            <w:vAlign w:val="center"/>
            <w:hideMark/>
          </w:tcPr>
          <w:p w14:paraId="0993C0F5"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20:62,372,706</w:t>
            </w:r>
          </w:p>
        </w:tc>
        <w:tc>
          <w:tcPr>
            <w:tcW w:w="276" w:type="pct"/>
            <w:noWrap/>
            <w:vAlign w:val="center"/>
            <w:hideMark/>
          </w:tcPr>
          <w:p w14:paraId="045E223E"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A/G</w:t>
            </w:r>
          </w:p>
        </w:tc>
        <w:tc>
          <w:tcPr>
            <w:tcW w:w="1961" w:type="pct"/>
            <w:noWrap/>
            <w:vAlign w:val="center"/>
            <w:hideMark/>
          </w:tcPr>
          <w:p w14:paraId="2A545095"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LIME1</w:t>
            </w:r>
            <w:r w:rsidRPr="00303B6C">
              <w:rPr>
                <w:rFonts w:eastAsia="Times New Roman" w:cs="Times New Roman"/>
                <w:color w:val="000000"/>
                <w:sz w:val="18"/>
                <w:szCs w:val="18"/>
                <w:lang w:eastAsia="en-GB"/>
              </w:rPr>
              <w:t>†</w:t>
            </w:r>
          </w:p>
        </w:tc>
      </w:tr>
      <w:tr w:rsidR="00A81934" w:rsidRPr="00303B6C" w14:paraId="644DBB1D" w14:textId="77777777" w:rsidTr="00EF6C4C">
        <w:trPr>
          <w:trHeight w:val="283"/>
        </w:trPr>
        <w:tc>
          <w:tcPr>
            <w:tcW w:w="673" w:type="pct"/>
            <w:noWrap/>
            <w:vAlign w:val="center"/>
            <w:hideMark/>
          </w:tcPr>
          <w:p w14:paraId="59CAB1B2"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SCARF2 (intron)</w:t>
            </w:r>
          </w:p>
        </w:tc>
        <w:tc>
          <w:tcPr>
            <w:tcW w:w="362" w:type="pct"/>
            <w:noWrap/>
            <w:vAlign w:val="center"/>
            <w:hideMark/>
          </w:tcPr>
          <w:p w14:paraId="500FEFAD"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530" w:type="pct"/>
            <w:vAlign w:val="center"/>
          </w:tcPr>
          <w:p w14:paraId="0E6A9CE9"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FEV</w:t>
            </w:r>
            <w:r w:rsidRPr="00303B6C">
              <w:rPr>
                <w:rFonts w:eastAsia="Times New Roman" w:cs="Times New Roman"/>
                <w:color w:val="000000"/>
                <w:sz w:val="18"/>
                <w:szCs w:val="18"/>
                <w:vertAlign w:val="subscript"/>
                <w:lang w:eastAsia="en-GB"/>
              </w:rPr>
              <w:t>1</w:t>
            </w:r>
          </w:p>
        </w:tc>
        <w:tc>
          <w:tcPr>
            <w:tcW w:w="369" w:type="pct"/>
            <w:noWrap/>
            <w:vAlign w:val="center"/>
            <w:hideMark/>
          </w:tcPr>
          <w:p w14:paraId="2B12610D"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Previous</w:t>
            </w:r>
          </w:p>
        </w:tc>
        <w:tc>
          <w:tcPr>
            <w:tcW w:w="414" w:type="pct"/>
            <w:noWrap/>
            <w:vAlign w:val="center"/>
            <w:hideMark/>
          </w:tcPr>
          <w:p w14:paraId="7B21F15B"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rs9610955</w:t>
            </w:r>
          </w:p>
        </w:tc>
        <w:tc>
          <w:tcPr>
            <w:tcW w:w="415" w:type="pct"/>
            <w:noWrap/>
            <w:vAlign w:val="center"/>
            <w:hideMark/>
          </w:tcPr>
          <w:p w14:paraId="603534C1"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22:20,790,723</w:t>
            </w:r>
          </w:p>
        </w:tc>
        <w:tc>
          <w:tcPr>
            <w:tcW w:w="276" w:type="pct"/>
            <w:noWrap/>
            <w:vAlign w:val="center"/>
            <w:hideMark/>
          </w:tcPr>
          <w:p w14:paraId="7435C453" w14:textId="77777777" w:rsidR="00A81934" w:rsidRPr="00303B6C" w:rsidRDefault="00A81934" w:rsidP="00EF6C4C">
            <w:pPr>
              <w:rPr>
                <w:rFonts w:eastAsia="Times New Roman" w:cs="Times New Roman"/>
                <w:color w:val="000000"/>
                <w:sz w:val="18"/>
                <w:szCs w:val="18"/>
                <w:lang w:eastAsia="en-GB"/>
              </w:rPr>
            </w:pPr>
            <w:r w:rsidRPr="00303B6C">
              <w:rPr>
                <w:rFonts w:eastAsia="Times New Roman" w:cs="Times New Roman"/>
                <w:color w:val="000000"/>
                <w:sz w:val="18"/>
                <w:szCs w:val="18"/>
                <w:lang w:eastAsia="en-GB"/>
              </w:rPr>
              <w:t>C/G</w:t>
            </w:r>
          </w:p>
        </w:tc>
        <w:tc>
          <w:tcPr>
            <w:tcW w:w="1961" w:type="pct"/>
            <w:noWrap/>
            <w:vAlign w:val="center"/>
            <w:hideMark/>
          </w:tcPr>
          <w:p w14:paraId="4DB999CA" w14:textId="77777777" w:rsidR="00A81934" w:rsidRPr="00303B6C" w:rsidRDefault="00A81934" w:rsidP="00EF6C4C">
            <w:pPr>
              <w:rPr>
                <w:rFonts w:eastAsia="Times New Roman" w:cs="Times New Roman"/>
                <w:i/>
                <w:color w:val="000000"/>
                <w:sz w:val="18"/>
                <w:szCs w:val="18"/>
                <w:lang w:eastAsia="en-GB"/>
              </w:rPr>
            </w:pPr>
            <w:r w:rsidRPr="00303B6C">
              <w:rPr>
                <w:rFonts w:eastAsia="Times New Roman" w:cs="Times New Roman"/>
                <w:i/>
                <w:color w:val="000000"/>
                <w:sz w:val="18"/>
                <w:szCs w:val="18"/>
                <w:lang w:eastAsia="en-GB"/>
              </w:rPr>
              <w:t>SCARF2</w:t>
            </w:r>
            <w:r w:rsidRPr="00303B6C">
              <w:rPr>
                <w:rFonts w:eastAsia="Times New Roman" w:cs="Times New Roman"/>
                <w:color w:val="000000"/>
                <w:sz w:val="18"/>
                <w:szCs w:val="18"/>
                <w:lang w:eastAsia="en-GB"/>
              </w:rPr>
              <w:t>*</w:t>
            </w:r>
            <w:r w:rsidRPr="00303B6C">
              <w:rPr>
                <w:sz w:val="18"/>
                <w:szCs w:val="18"/>
              </w:rPr>
              <w:t>‡</w:t>
            </w:r>
          </w:p>
        </w:tc>
      </w:tr>
    </w:tbl>
    <w:p w14:paraId="1510347C" w14:textId="77777777" w:rsidR="00A81934" w:rsidRDefault="00A81934" w:rsidP="00A57B8D">
      <w:pPr>
        <w:pStyle w:val="berschrift1"/>
        <w:sectPr w:rsidR="00A81934" w:rsidSect="00957744">
          <w:pgSz w:w="16838" w:h="11906" w:orient="landscape"/>
          <w:pgMar w:top="720" w:right="720" w:bottom="720" w:left="720" w:header="708" w:footer="708" w:gutter="0"/>
          <w:lnNumType w:countBy="1" w:restart="continuous"/>
          <w:cols w:space="708"/>
          <w:docGrid w:linePitch="360"/>
        </w:sectPr>
      </w:pPr>
    </w:p>
    <w:p w14:paraId="29BA3092" w14:textId="77777777" w:rsidR="00A81934" w:rsidRPr="00133696" w:rsidRDefault="00A81934" w:rsidP="00A57B8D">
      <w:pPr>
        <w:pStyle w:val="berschrift1"/>
      </w:pPr>
      <w:r w:rsidRPr="008C6F21">
        <w:lastRenderedPageBreak/>
        <w:t xml:space="preserve">Online </w:t>
      </w:r>
      <w:r w:rsidRPr="0074239B">
        <w:t>Methods</w:t>
      </w:r>
      <w:bookmarkEnd w:id="8"/>
    </w:p>
    <w:p w14:paraId="66E61B5E" w14:textId="77777777" w:rsidR="00A81934" w:rsidRPr="00943575" w:rsidRDefault="00A81934" w:rsidP="00D007F9">
      <w:pPr>
        <w:pStyle w:val="berschrift2"/>
      </w:pPr>
      <w:bookmarkStart w:id="63" w:name="_Toc509405315"/>
      <w:r w:rsidRPr="00943575">
        <w:t>Study Design Overview and rationale</w:t>
      </w:r>
    </w:p>
    <w:p w14:paraId="24B4C62F" w14:textId="0F96AFEE" w:rsidR="00A81934" w:rsidRPr="00581C3E" w:rsidRDefault="00A81934" w:rsidP="00A57B8D">
      <w:r>
        <w:t>For</w:t>
      </w:r>
      <w:bookmarkEnd w:id="63"/>
      <w:r>
        <w:t xml:space="preserve"> the two-stage approach</w:t>
      </w:r>
      <w:r w:rsidRPr="00C85289">
        <w:t xml:space="preserve">, we </w:t>
      </w:r>
      <w:r>
        <w:t xml:space="preserve">first </w:t>
      </w:r>
      <w:r w:rsidRPr="00C85289">
        <w:t xml:space="preserve">selected </w:t>
      </w:r>
      <w:r>
        <w:t>distinct</w:t>
      </w:r>
      <w:r w:rsidRPr="00C85289">
        <w:t xml:space="preserve"> signals of association</w:t>
      </w:r>
      <w:r>
        <w:t xml:space="preserve"> (defined using conditional analyses)</w:t>
      </w:r>
      <w:r w:rsidRPr="00C85289">
        <w:t xml:space="preserve"> with</w:t>
      </w:r>
      <w:r>
        <w:t xml:space="preserve"> one or more traits achieving</w:t>
      </w:r>
      <w:r w:rsidRPr="00C85289">
        <w:t xml:space="preserve"> P&lt;5</w:t>
      </w:r>
      <w:r>
        <w:t>×10</w:t>
      </w:r>
      <w:r w:rsidRPr="00C85289">
        <w:rPr>
          <w:vertAlign w:val="superscript"/>
        </w:rPr>
        <w:t>-9</w:t>
      </w:r>
      <w:r>
        <w:t xml:space="preserve"> in UK Biobank only (maximum n=321,047</w:t>
      </w:r>
      <w:r w:rsidRPr="00C85289">
        <w:t>). A threshold of P&lt;5</w:t>
      </w:r>
      <w:r>
        <w:t>×10</w:t>
      </w:r>
      <w:r w:rsidRPr="00C85289">
        <w:rPr>
          <w:vertAlign w:val="superscript"/>
        </w:rPr>
        <w:t>-9</w:t>
      </w:r>
      <w:r w:rsidRPr="00C85289">
        <w:t xml:space="preserve"> was selected to maximi</w:t>
      </w:r>
      <w:r w:rsidR="000762BF">
        <w:t>z</w:t>
      </w:r>
      <w:r w:rsidRPr="00C85289">
        <w:t xml:space="preserve">e stringency and </w:t>
      </w:r>
      <w:r>
        <w:t>for consistency</w:t>
      </w:r>
      <w:r w:rsidRPr="00C85289">
        <w:t xml:space="preserve"> with currently recommended genome-wide significance thresholds for re-sequencing analyses </w:t>
      </w:r>
      <w:r>
        <w:t>of European ancestry individuals</w:t>
      </w:r>
      <w:r w:rsidRPr="00C5156F">
        <w:rPr>
          <w:noProof/>
          <w:vertAlign w:val="superscript"/>
        </w:rPr>
        <w:t>23</w:t>
      </w:r>
      <w:r w:rsidRPr="00C85289">
        <w:t xml:space="preserve">. </w:t>
      </w:r>
      <w:r>
        <w:t>We reported as new those signals which additionally met P&lt;10</w:t>
      </w:r>
      <w:r w:rsidRPr="00C85289">
        <w:rPr>
          <w:vertAlign w:val="superscript"/>
        </w:rPr>
        <w:t>-3</w:t>
      </w:r>
      <w:r>
        <w:t xml:space="preserve"> in SpiroMeta (N effective&gt;70% of n up to 79,055; see </w:t>
      </w:r>
      <w:r w:rsidRPr="00C02733">
        <w:rPr>
          <w:b/>
        </w:rPr>
        <w:t>Supplementary Note</w:t>
      </w:r>
      <w:r w:rsidRPr="00841A79">
        <w:t xml:space="preserve"> and</w:t>
      </w:r>
      <w:r>
        <w:rPr>
          <w:b/>
        </w:rPr>
        <w:t xml:space="preserve"> </w:t>
      </w:r>
      <w:r w:rsidRPr="008A1004">
        <w:rPr>
          <w:b/>
        </w:rPr>
        <w:t xml:space="preserve">Supplementary Figure </w:t>
      </w:r>
      <w:r>
        <w:rPr>
          <w:b/>
        </w:rPr>
        <w:t xml:space="preserve">7 </w:t>
      </w:r>
      <w:r>
        <w:t>for power calculations), with consistent directions of effect. We term these “Tier 1“ signals, as they meet our highest level of stringency. Methods for conditional analyses and determining novelty are described below.</w:t>
      </w:r>
    </w:p>
    <w:p w14:paraId="4623B52B" w14:textId="560F064A" w:rsidR="00A81934" w:rsidRDefault="00A81934" w:rsidP="00A57B8D">
      <w:r>
        <w:t xml:space="preserve">For the one-stage approach, we selected distinct signals of association (defined using conditional analyses) with one or more traits reaching </w:t>
      </w:r>
      <w:r w:rsidRPr="00C85289">
        <w:t>P&lt;5</w:t>
      </w:r>
      <w:r>
        <w:t>×10</w:t>
      </w:r>
      <w:r w:rsidRPr="00C85289">
        <w:rPr>
          <w:vertAlign w:val="superscript"/>
        </w:rPr>
        <w:t>-9</w:t>
      </w:r>
      <w:r>
        <w:rPr>
          <w:vertAlign w:val="superscript"/>
        </w:rPr>
        <w:t xml:space="preserve"> </w:t>
      </w:r>
      <w:r>
        <w:t>in the meta-analysis of UK Biobank and SpiroMeta (maximum n=400,102), reporting as new those with a consistent direction of effect that additionally met P&lt;10</w:t>
      </w:r>
      <w:r w:rsidRPr="00C85289">
        <w:rPr>
          <w:vertAlign w:val="superscript"/>
        </w:rPr>
        <w:t>-3</w:t>
      </w:r>
      <w:r>
        <w:t xml:space="preserve"> in both UK Biobank and SpiroMeta. We term these signals “Tier 2“, as they meet our second-highest level of stringency.</w:t>
      </w:r>
    </w:p>
    <w:p w14:paraId="62EA0005" w14:textId="2E862CA0" w:rsidR="00A81934" w:rsidRDefault="00A81934" w:rsidP="00A57B8D">
      <w:r>
        <w:t xml:space="preserve">All signals meeting either set of criteria described above, and that had not been previously published, were reported as new association signals for lung function. Signals that reached </w:t>
      </w:r>
      <w:r w:rsidRPr="00C85289">
        <w:t>P&lt;5</w:t>
      </w:r>
      <w:r>
        <w:t>×10</w:t>
      </w:r>
      <w:r w:rsidRPr="00C85289">
        <w:rPr>
          <w:vertAlign w:val="superscript"/>
        </w:rPr>
        <w:t>-9</w:t>
      </w:r>
      <w:r>
        <w:rPr>
          <w:vertAlign w:val="superscript"/>
        </w:rPr>
        <w:t xml:space="preserve"> </w:t>
      </w:r>
      <w:r>
        <w:t>in the meta-analysis of UK Biobank and SpiroMeta, had a consistent direction of effect in UK Biobank and SpiroMeta, but that did not reach P&lt;10</w:t>
      </w:r>
      <w:r w:rsidRPr="00B12D7D">
        <w:rPr>
          <w:vertAlign w:val="superscript"/>
        </w:rPr>
        <w:t>-3</w:t>
      </w:r>
      <w:r>
        <w:t xml:space="preserve"> in both UK Biobank and SpiroMeta are presented as “Tier 3”, and were not included in further analyses.</w:t>
      </w:r>
    </w:p>
    <w:p w14:paraId="460FB202" w14:textId="77777777" w:rsidR="00A81934" w:rsidRDefault="00A81934" w:rsidP="00A57B8D">
      <w:r>
        <w:t>Data for chromosome X were available for 321,027 European individuals in UK Biobank and 38,199 individuals from SpiroMeta (</w:t>
      </w:r>
      <w:r w:rsidRPr="00E30BD3">
        <w:t xml:space="preserve">1000 Genomes </w:t>
      </w:r>
      <w:r>
        <w:t>Project Phase 1 imputation).</w:t>
      </w:r>
      <w:r w:rsidRPr="00795126">
        <w:rPr>
          <w:noProof/>
          <w:vertAlign w:val="superscript"/>
        </w:rPr>
        <w:t>55</w:t>
      </w:r>
    </w:p>
    <w:p w14:paraId="632CC9AC" w14:textId="77777777" w:rsidR="00A81934" w:rsidRPr="00B12D7D" w:rsidRDefault="00A81934" w:rsidP="00A57B8D">
      <w:r>
        <w:t xml:space="preserve">Please see the </w:t>
      </w:r>
      <w:r w:rsidRPr="00F320F4">
        <w:t>‘</w:t>
      </w:r>
      <w:r w:rsidRPr="00F320F4">
        <w:rPr>
          <w:rFonts w:ascii="Calibri" w:eastAsia="Times New Roman" w:hAnsi="Calibri"/>
          <w:b/>
          <w:color w:val="000000"/>
        </w:rPr>
        <w:t>Life Sciences Reporting Summary</w:t>
      </w:r>
      <w:r w:rsidRPr="00F320F4">
        <w:rPr>
          <w:rFonts w:ascii="Calibri" w:eastAsia="Times New Roman" w:hAnsi="Calibri"/>
          <w:color w:val="000000"/>
        </w:rPr>
        <w:t>’.</w:t>
      </w:r>
    </w:p>
    <w:p w14:paraId="4841A83F" w14:textId="77777777" w:rsidR="00A81934" w:rsidRPr="008C6F21" w:rsidRDefault="00A81934" w:rsidP="00C7056E">
      <w:pPr>
        <w:pStyle w:val="berschrift2"/>
      </w:pPr>
      <w:bookmarkStart w:id="64" w:name="_Toc509405316"/>
      <w:r w:rsidRPr="008C6F21">
        <w:t>UK Biobank</w:t>
      </w:r>
      <w:bookmarkEnd w:id="64"/>
      <w:r w:rsidRPr="008C6F21">
        <w:t xml:space="preserve"> </w:t>
      </w:r>
    </w:p>
    <w:p w14:paraId="19E04DC8" w14:textId="11829DE1" w:rsidR="00A81934" w:rsidRDefault="00A81934" w:rsidP="00A57B8D">
      <w:r>
        <w:t xml:space="preserve">The UK Biobank resource is described elsewhere (see URLs). Individuals were selected for inclusion in this study if they: (i) had complete data for age, sex, height and smoking status; (ii) had spirometry meeting quality control requirements (based on analyses of acceptability, reproducibility and blow curve metrics; </w:t>
      </w:r>
      <w:r w:rsidRPr="00EE7749">
        <w:rPr>
          <w:b/>
        </w:rPr>
        <w:t>Supplementary Note</w:t>
      </w:r>
      <w:r>
        <w:t>); (iii) had genome-wide imputed data and; (iv) were of European ancestry based on genetic data (</w:t>
      </w:r>
      <w:r w:rsidRPr="00EE7749">
        <w:rPr>
          <w:b/>
        </w:rPr>
        <w:t>Supplementary Note</w:t>
      </w:r>
      <w:r>
        <w:t xml:space="preserve">; </w:t>
      </w:r>
      <w:r w:rsidRPr="00EE7749">
        <w:rPr>
          <w:b/>
        </w:rPr>
        <w:t>Supplementary Figure 1</w:t>
      </w:r>
      <w:r w:rsidRPr="00501582">
        <w:t xml:space="preserve">). </w:t>
      </w:r>
      <w:r w:rsidRPr="00DF149C">
        <w:t xml:space="preserve">Genotyping was undertaken using the </w:t>
      </w:r>
      <w:r w:rsidRPr="00DF149C">
        <w:rPr>
          <w:rFonts w:cs="Times New Roman"/>
        </w:rPr>
        <w:t>Affymetrix Axiom® UK BiLEVE</w:t>
      </w:r>
      <w:r>
        <w:rPr>
          <w:rFonts w:cs="Times New Roman"/>
        </w:rPr>
        <w:t xml:space="preserve"> and UK Biobank</w:t>
      </w:r>
      <w:r w:rsidRPr="00DF149C">
        <w:rPr>
          <w:rFonts w:cs="Times New Roman"/>
        </w:rPr>
        <w:t xml:space="preserve"> array</w:t>
      </w:r>
      <w:r>
        <w:rPr>
          <w:rFonts w:cs="Times New Roman"/>
        </w:rPr>
        <w:t>s</w:t>
      </w:r>
      <w:r w:rsidRPr="00DB0E91">
        <w:rPr>
          <w:rFonts w:cs="Times New Roman"/>
          <w:noProof/>
          <w:vertAlign w:val="superscript"/>
        </w:rPr>
        <w:t>13</w:t>
      </w:r>
      <w:r>
        <w:t>. G</w:t>
      </w:r>
      <w:r w:rsidRPr="00DF149C">
        <w:t>enotypes were imputed to the Haplotype Reference Consortium panel</w:t>
      </w:r>
      <w:r w:rsidRPr="00795126">
        <w:rPr>
          <w:noProof/>
          <w:vertAlign w:val="superscript"/>
        </w:rPr>
        <w:t>56</w:t>
      </w:r>
      <w:r>
        <w:t xml:space="preserve"> (</w:t>
      </w:r>
      <w:r w:rsidRPr="00EE7749">
        <w:rPr>
          <w:b/>
        </w:rPr>
        <w:t>Supplementary Note</w:t>
      </w:r>
      <w:r>
        <w:t xml:space="preserve">), and retained if minor allele count≥3 and imputation quality (info)&gt;0.5. In total, 321,047 </w:t>
      </w:r>
      <w:r w:rsidRPr="00501582">
        <w:t>individuals</w:t>
      </w:r>
      <w:r>
        <w:t xml:space="preserve"> were</w:t>
      </w:r>
      <w:r w:rsidRPr="00501582">
        <w:t xml:space="preserve"> included in </w:t>
      </w:r>
      <w:r>
        <w:t xml:space="preserve">our </w:t>
      </w:r>
      <w:r w:rsidRPr="00501582">
        <w:t>analys</w:t>
      </w:r>
      <w:r>
        <w:t>e</w:t>
      </w:r>
      <w:r w:rsidRPr="00501582">
        <w:t xml:space="preserve">s </w:t>
      </w:r>
      <w:r>
        <w:t>(</w:t>
      </w:r>
      <w:r w:rsidRPr="005605B6">
        <w:rPr>
          <w:b/>
        </w:rPr>
        <w:t>Supplementary Table 1</w:t>
      </w:r>
      <w:r>
        <w:t>).</w:t>
      </w:r>
    </w:p>
    <w:p w14:paraId="4D14C3C7" w14:textId="320BD336" w:rsidR="00A81934" w:rsidRDefault="00A81934" w:rsidP="00A57B8D">
      <w:r>
        <w:t>Residuals from linear regression of each trait (</w:t>
      </w:r>
      <w:r w:rsidRPr="00501582">
        <w:t>FEV</w:t>
      </w:r>
      <w:r w:rsidRPr="00501582">
        <w:rPr>
          <w:vertAlign w:val="subscript"/>
        </w:rPr>
        <w:t>1</w:t>
      </w:r>
      <w:r w:rsidRPr="00501582">
        <w:t>, FVC, FEV</w:t>
      </w:r>
      <w:r w:rsidRPr="00501582">
        <w:rPr>
          <w:vertAlign w:val="subscript"/>
        </w:rPr>
        <w:t>1</w:t>
      </w:r>
      <w:r w:rsidRPr="00501582">
        <w:t>/FVC</w:t>
      </w:r>
      <w:r>
        <w:t xml:space="preserve"> and</w:t>
      </w:r>
      <w:r w:rsidRPr="00501582">
        <w:t xml:space="preserve"> PEF</w:t>
      </w:r>
      <w:r>
        <w:t>) against age, age</w:t>
      </w:r>
      <w:r w:rsidRPr="003358CB">
        <w:rPr>
          <w:vertAlign w:val="superscript"/>
        </w:rPr>
        <w:t>2</w:t>
      </w:r>
      <w:r>
        <w:t>, sex, height, smoking status (ever/never) and genotyping array were ranked and inverse-normal transformed, giving normally distributed Z-scores. These Z-scores were used for genome-wide association testing under an additive genetic model using BOLT-LMM v2.3</w:t>
      </w:r>
      <w:r w:rsidRPr="00DB0E91">
        <w:rPr>
          <w:noProof/>
          <w:vertAlign w:val="superscript"/>
        </w:rPr>
        <w:t>20</w:t>
      </w:r>
      <w:r>
        <w:t xml:space="preserve">. Principal components were not included as BOLT-LMM uses a linear mixed model to account for relatedness and fine-scale population structure. </w:t>
      </w:r>
    </w:p>
    <w:p w14:paraId="30A78621" w14:textId="28181090" w:rsidR="00A81934" w:rsidRPr="002A1071" w:rsidRDefault="00A81934" w:rsidP="00A57B8D">
      <w:r>
        <w:t>Linkage disequilibrium (LD) score regression implemented in LDSC</w:t>
      </w:r>
      <w:r w:rsidRPr="00C5156F">
        <w:rPr>
          <w:noProof/>
          <w:vertAlign w:val="superscript"/>
        </w:rPr>
        <w:t>21</w:t>
      </w:r>
      <w:r>
        <w:t xml:space="preserve"> was used to estimate test statistic inflation due to confounding. Genomic control was applied, adjusting test statistics by LD score regression intercepts: </w:t>
      </w:r>
      <w:r w:rsidRPr="000C7A86">
        <w:t>1.12 for FEV</w:t>
      </w:r>
      <w:r w:rsidRPr="000C7A86">
        <w:rPr>
          <w:vertAlign w:val="subscript"/>
        </w:rPr>
        <w:t>1</w:t>
      </w:r>
      <w:r w:rsidRPr="001C4DA7">
        <w:t xml:space="preserve">, </w:t>
      </w:r>
      <w:r w:rsidRPr="000C7A86">
        <w:t>1.1</w:t>
      </w:r>
      <w:r w:rsidRPr="001C4DA7">
        <w:t>4 for</w:t>
      </w:r>
      <w:r w:rsidRPr="000C7A86">
        <w:t xml:space="preserve"> FVC</w:t>
      </w:r>
      <w:r w:rsidRPr="001C4DA7">
        <w:t xml:space="preserve">, </w:t>
      </w:r>
      <w:r w:rsidRPr="000C7A86">
        <w:t>1.</w:t>
      </w:r>
      <w:r>
        <w:t>19</w:t>
      </w:r>
      <w:r w:rsidRPr="001C4DA7">
        <w:t xml:space="preserve"> for</w:t>
      </w:r>
      <w:r w:rsidRPr="000C7A86">
        <w:t xml:space="preserve"> FEV</w:t>
      </w:r>
      <w:r w:rsidRPr="000C7A86">
        <w:rPr>
          <w:vertAlign w:val="subscript"/>
        </w:rPr>
        <w:t>1</w:t>
      </w:r>
      <w:r w:rsidRPr="000C7A86">
        <w:t>/FVC</w:t>
      </w:r>
      <w:r w:rsidRPr="001C4DA7">
        <w:t xml:space="preserve"> and </w:t>
      </w:r>
      <w:r w:rsidRPr="000C7A86">
        <w:t>1.13</w:t>
      </w:r>
      <w:r>
        <w:t xml:space="preserve"> for PEF (</w:t>
      </w:r>
      <w:r w:rsidRPr="00A47BA9">
        <w:rPr>
          <w:b/>
        </w:rPr>
        <w:t xml:space="preserve">Supplementary Figure </w:t>
      </w:r>
      <w:r>
        <w:rPr>
          <w:b/>
        </w:rPr>
        <w:t>8</w:t>
      </w:r>
      <w:r w:rsidRPr="00A47BA9">
        <w:t xml:space="preserve">; </w:t>
      </w:r>
      <w:r w:rsidRPr="005605B6">
        <w:rPr>
          <w:b/>
        </w:rPr>
        <w:t>Supplementary Table 2</w:t>
      </w:r>
      <w:r>
        <w:rPr>
          <w:b/>
        </w:rPr>
        <w:t>7</w:t>
      </w:r>
      <w:r w:rsidRPr="002E12D1">
        <w:t xml:space="preserve">), </w:t>
      </w:r>
      <w:r w:rsidRPr="002E12D1">
        <w:rPr>
          <w:shd w:val="clear" w:color="auto" w:fill="FFFFFF"/>
        </w:rPr>
        <w:t>acknowledging that this might be over-conservative for UK Biobank.</w:t>
      </w:r>
    </w:p>
    <w:p w14:paraId="25D17BDA" w14:textId="77777777" w:rsidR="00A81934" w:rsidRDefault="00A81934" w:rsidP="00C7056E">
      <w:pPr>
        <w:pStyle w:val="berschrift2"/>
      </w:pPr>
      <w:bookmarkStart w:id="65" w:name="_Toc509405317"/>
      <w:r w:rsidRPr="008C6F21">
        <w:t>SpiroMeta consortium</w:t>
      </w:r>
      <w:bookmarkEnd w:id="65"/>
    </w:p>
    <w:p w14:paraId="70892831" w14:textId="31028931" w:rsidR="00A81934" w:rsidRPr="00E30BD3" w:rsidRDefault="00A81934">
      <w:r w:rsidRPr="00E30BD3">
        <w:t>The SpiroMeta</w:t>
      </w:r>
      <w:r>
        <w:t xml:space="preserve"> consortium</w:t>
      </w:r>
      <w:r w:rsidRPr="00E30BD3">
        <w:t xml:space="preserve"> meta-analysis comprised a total of </w:t>
      </w:r>
      <w:r>
        <w:t xml:space="preserve">79,055 </w:t>
      </w:r>
      <w:r w:rsidRPr="00E30BD3">
        <w:t>individuals from 2</w:t>
      </w:r>
      <w:r>
        <w:t>2</w:t>
      </w:r>
      <w:r w:rsidRPr="00E30BD3">
        <w:t xml:space="preserve"> studies. </w:t>
      </w:r>
      <w:r>
        <w:t>Thirteen</w:t>
      </w:r>
      <w:r w:rsidRPr="00E30BD3">
        <w:t xml:space="preserve"> studies (</w:t>
      </w:r>
      <w:r w:rsidRPr="00E72D6F">
        <w:t>n=21,436</w:t>
      </w:r>
      <w:r w:rsidRPr="00E30BD3">
        <w:t xml:space="preserve">) were imputed to the 1000 Genomes </w:t>
      </w:r>
      <w:r>
        <w:t>Project Phase 1 panel</w:t>
      </w:r>
      <w:r w:rsidRPr="00795126">
        <w:rPr>
          <w:noProof/>
          <w:vertAlign w:val="superscript"/>
        </w:rPr>
        <w:t>55</w:t>
      </w:r>
      <w:r>
        <w:t xml:space="preserve"> </w:t>
      </w:r>
      <w:r w:rsidRPr="00E30BD3">
        <w:t>(B58C, BHS1&amp;2, th</w:t>
      </w:r>
      <w:r>
        <w:t>re</w:t>
      </w:r>
      <w:r w:rsidRPr="00E30BD3">
        <w:t xml:space="preserve">e </w:t>
      </w:r>
      <w:r>
        <w:t>Croatian</w:t>
      </w:r>
      <w:r w:rsidRPr="00E30BD3">
        <w:t xml:space="preserve"> studies [CROATIA-Korcula, CROATIA-Split and CROATIA-Vis], Health 2000, KORA F4, KORA S3, LBC1936, NSPHS, </w:t>
      </w:r>
      <w:r>
        <w:t xml:space="preserve">ORCADES, </w:t>
      </w:r>
      <w:r w:rsidRPr="00E30BD3">
        <w:t>SAPALDIA and YFS</w:t>
      </w:r>
      <w:r>
        <w:t>)</w:t>
      </w:r>
      <w:r w:rsidRPr="00E30BD3">
        <w:t xml:space="preserve"> and </w:t>
      </w:r>
      <w:r>
        <w:t>9</w:t>
      </w:r>
      <w:r w:rsidRPr="00E30BD3">
        <w:t xml:space="preserve"> studies (</w:t>
      </w:r>
      <w:r w:rsidRPr="00E72D6F">
        <w:t>n=61,682</w:t>
      </w:r>
      <w:r w:rsidRPr="00E30BD3">
        <w:t>) were imputed to the Haplotype Reference Consortium (HRC) panel</w:t>
      </w:r>
      <w:r w:rsidRPr="00957744">
        <w:rPr>
          <w:noProof/>
          <w:vertAlign w:val="superscript"/>
        </w:rPr>
        <w:t>57</w:t>
      </w:r>
      <w:r w:rsidRPr="00E30BD3">
        <w:t xml:space="preserve"> (EPIC [obese cases and population-based studies], GS:SFHS, NFBC1966, NFBC1986, PIVUS, SHIP, SHIP-TREND, UKHLS and VIKING</w:t>
      </w:r>
      <w:r>
        <w:t>).</w:t>
      </w:r>
      <w:r w:rsidRPr="00E30BD3">
        <w:t xml:space="preserve"> </w:t>
      </w:r>
      <w:r>
        <w:t>S</w:t>
      </w:r>
      <w:r w:rsidRPr="00E30BD3">
        <w:t xml:space="preserve">ee </w:t>
      </w:r>
      <w:r w:rsidRPr="005605B6">
        <w:rPr>
          <w:b/>
        </w:rPr>
        <w:t xml:space="preserve">Supplementary Tables 2 </w:t>
      </w:r>
      <w:r w:rsidRPr="005605B6">
        <w:t>and</w:t>
      </w:r>
      <w:r w:rsidRPr="005605B6">
        <w:rPr>
          <w:b/>
        </w:rPr>
        <w:t xml:space="preserve"> 3</w:t>
      </w:r>
      <w:r w:rsidRPr="00E30BD3">
        <w:rPr>
          <w:b/>
        </w:rPr>
        <w:t xml:space="preserve"> </w:t>
      </w:r>
      <w:r w:rsidRPr="00E30BD3">
        <w:t xml:space="preserve">for </w:t>
      </w:r>
      <w:r>
        <w:t xml:space="preserve">abbreviation </w:t>
      </w:r>
      <w:r w:rsidRPr="00E30BD3">
        <w:t>definitions, study characteristics</w:t>
      </w:r>
      <w:r>
        <w:t>,</w:t>
      </w:r>
      <w:r w:rsidRPr="00E30BD3">
        <w:t xml:space="preserve"> </w:t>
      </w:r>
      <w:r>
        <w:t xml:space="preserve">and </w:t>
      </w:r>
      <w:r w:rsidRPr="00E30BD3">
        <w:t>details of genotyping platforms</w:t>
      </w:r>
      <w:r>
        <w:t>, imputation panels and methods</w:t>
      </w:r>
      <w:r w:rsidRPr="00E30BD3">
        <w:t xml:space="preserve">). Measurements of spirometry for each study are described in the </w:t>
      </w:r>
      <w:r w:rsidRPr="00A47BA9">
        <w:rPr>
          <w:b/>
        </w:rPr>
        <w:t>Supplementary Note</w:t>
      </w:r>
      <w:r>
        <w:t>.</w:t>
      </w:r>
    </w:p>
    <w:p w14:paraId="58D7E360" w14:textId="14BC43EC" w:rsidR="00A81934" w:rsidRPr="00E30BD3" w:rsidRDefault="00A81934">
      <w:r>
        <w:rPr>
          <w:bCs/>
        </w:rPr>
        <w:lastRenderedPageBreak/>
        <w:t>In each study</w:t>
      </w:r>
      <w:r w:rsidRPr="00E30BD3">
        <w:rPr>
          <w:bCs/>
        </w:rPr>
        <w:t>, l</w:t>
      </w:r>
      <w:r w:rsidRPr="00E30BD3">
        <w:t xml:space="preserve">inear regression models were fitted for </w:t>
      </w:r>
      <w:r w:rsidRPr="00E30BD3">
        <w:rPr>
          <w:bCs/>
        </w:rPr>
        <w:t>each trait (</w:t>
      </w:r>
      <w:r w:rsidRPr="00E30BD3">
        <w:t>FEV</w:t>
      </w:r>
      <w:r w:rsidRPr="00E30BD3">
        <w:rPr>
          <w:vertAlign w:val="subscript"/>
        </w:rPr>
        <w:t>1</w:t>
      </w:r>
      <w:r w:rsidRPr="00E30BD3">
        <w:t>, FEV</w:t>
      </w:r>
      <w:r w:rsidRPr="00E30BD3">
        <w:rPr>
          <w:vertAlign w:val="subscript"/>
        </w:rPr>
        <w:t>1</w:t>
      </w:r>
      <w:r w:rsidRPr="00E30BD3">
        <w:t>/FVC, FVC and where available</w:t>
      </w:r>
      <w:r>
        <w:t>, PEF</w:t>
      </w:r>
      <w:r w:rsidRPr="00E30BD3">
        <w:rPr>
          <w:bCs/>
        </w:rPr>
        <w:t xml:space="preserve">), </w:t>
      </w:r>
      <w:r w:rsidRPr="00E30BD3">
        <w:t>with adjustment for age, age</w:t>
      </w:r>
      <w:r w:rsidRPr="00E30BD3">
        <w:rPr>
          <w:vertAlign w:val="superscript"/>
        </w:rPr>
        <w:t>2</w:t>
      </w:r>
      <w:r w:rsidRPr="00E30BD3">
        <w:t>, sex</w:t>
      </w:r>
      <w:r>
        <w:t xml:space="preserve"> and</w:t>
      </w:r>
      <w:r w:rsidRPr="00E30BD3">
        <w:t xml:space="preserve"> height</w:t>
      </w:r>
      <w:r>
        <w:t>. For</w:t>
      </w:r>
      <w:r w:rsidRPr="00E30BD3">
        <w:rPr>
          <w:bCs/>
        </w:rPr>
        <w:t xml:space="preserve"> studies with unrelated individuals</w:t>
      </w:r>
      <w:r>
        <w:rPr>
          <w:bCs/>
        </w:rPr>
        <w:t xml:space="preserve">, models were fitted separately </w:t>
      </w:r>
      <w:r w:rsidRPr="00E30BD3">
        <w:t>in ever and never smokers</w:t>
      </w:r>
      <w:r>
        <w:t xml:space="preserve">, with additional adjustment for ancestral </w:t>
      </w:r>
      <w:r w:rsidRPr="00E30BD3">
        <w:t xml:space="preserve">principal components. Studies with related individuals fitted </w:t>
      </w:r>
      <w:r>
        <w:t xml:space="preserve">mixed </w:t>
      </w:r>
      <w:r w:rsidRPr="00E30BD3">
        <w:t>models in all individuals</w:t>
      </w:r>
      <w:r>
        <w:t xml:space="preserve"> to account for relatedness</w:t>
      </w:r>
      <w:r w:rsidRPr="00E30BD3">
        <w:t xml:space="preserve">, with ever smoking status </w:t>
      </w:r>
      <w:r>
        <w:t>as a covariate</w:t>
      </w:r>
      <w:r w:rsidRPr="00E30BD3">
        <w:t>.</w:t>
      </w:r>
    </w:p>
    <w:p w14:paraId="6D3AB237" w14:textId="300EDF09" w:rsidR="00A81934" w:rsidRPr="00E30BD3" w:rsidRDefault="00A81934">
      <w:r w:rsidRPr="00E30BD3">
        <w:t xml:space="preserve">In all studies, </w:t>
      </w:r>
      <w:r>
        <w:t xml:space="preserve">residuals were </w:t>
      </w:r>
      <w:r w:rsidRPr="00E30BD3">
        <w:t>rank-bas</w:t>
      </w:r>
      <w:r>
        <w:t>ed inverse normal transformed and</w:t>
      </w:r>
      <w:r w:rsidRPr="00E30BD3">
        <w:t xml:space="preserve"> used as the phenotype for association testing</w:t>
      </w:r>
      <w:r>
        <w:t>,</w:t>
      </w:r>
      <w:r w:rsidRPr="00E30BD3">
        <w:t xml:space="preserve"> under an additive genetic model </w:t>
      </w:r>
      <w:r>
        <w:t>(</w:t>
      </w:r>
      <w:r w:rsidRPr="005605B6">
        <w:rPr>
          <w:b/>
          <w:bCs/>
        </w:rPr>
        <w:t>Supplementary Table 3</w:t>
      </w:r>
      <w:r w:rsidRPr="005605B6">
        <w:rPr>
          <w:bCs/>
        </w:rPr>
        <w:t>)</w:t>
      </w:r>
      <w:r w:rsidRPr="005605B6">
        <w:t>.</w:t>
      </w:r>
    </w:p>
    <w:p w14:paraId="7FD3C7BC" w14:textId="1C9FFE90" w:rsidR="00A81934" w:rsidRDefault="00A81934" w:rsidP="00A57B8D">
      <w:r>
        <w:t>In the study-level results, v</w:t>
      </w:r>
      <w:r w:rsidRPr="00DC42DC">
        <w:t>ariants w</w:t>
      </w:r>
      <w:r>
        <w:t>ere excluded if they had a low minor allele count (MAC) (</w:t>
      </w:r>
      <w:r w:rsidRPr="005605B6">
        <w:rPr>
          <w:b/>
        </w:rPr>
        <w:t>Supplementary Table 3</w:t>
      </w:r>
      <w:r>
        <w:t>) or imputation quality (info)&lt;</w:t>
      </w:r>
      <w:r w:rsidRPr="00DC42DC">
        <w:t>0.3</w:t>
      </w:r>
      <w:r>
        <w:t xml:space="preserve">. In studies of </w:t>
      </w:r>
      <w:r w:rsidRPr="00DC42DC">
        <w:t>unrelated individuals, ever and never smokers</w:t>
      </w:r>
      <w:r>
        <w:t>’ results were combined using inverse-variance weighted meta-analysis. Genomic control was applied to all study-level results, before combining results across all studies using inverse-variance weighted meta-analysis. LD score regression intercepts for the meta-analysis were close to 1.00 (</w:t>
      </w:r>
      <w:r w:rsidRPr="00A47BA9">
        <w:rPr>
          <w:b/>
        </w:rPr>
        <w:t>Supplementary Figure 8</w:t>
      </w:r>
      <w:r w:rsidRPr="00A47BA9">
        <w:t xml:space="preserve">; </w:t>
      </w:r>
      <w:r w:rsidRPr="005605B6">
        <w:rPr>
          <w:b/>
        </w:rPr>
        <w:t>Supplementary Table 2</w:t>
      </w:r>
      <w:r>
        <w:rPr>
          <w:b/>
        </w:rPr>
        <w:t>7</w:t>
      </w:r>
      <w:r>
        <w:t>), therefore genomic control was not applied.</w:t>
      </w:r>
    </w:p>
    <w:p w14:paraId="7AA27CE4" w14:textId="77777777" w:rsidR="00A81934" w:rsidRDefault="00A81934" w:rsidP="00C7056E">
      <w:pPr>
        <w:pStyle w:val="berschrift2"/>
      </w:pPr>
      <w:bookmarkStart w:id="66" w:name="_Toc509405319"/>
      <w:r>
        <w:t>Meta-analyses</w:t>
      </w:r>
      <w:bookmarkEnd w:id="66"/>
    </w:p>
    <w:p w14:paraId="469E31EF" w14:textId="22E80864" w:rsidR="00A81934" w:rsidRDefault="00A81934" w:rsidP="00A57B8D">
      <w:r>
        <w:t>A total of 19,819,130 variants (imputed or genotyped) in both UK Biobank and SpiroMeta were meta-analy</w:t>
      </w:r>
      <w:r w:rsidR="00BC64ED">
        <w:t>z</w:t>
      </w:r>
      <w:r>
        <w:t>ed, using inverse-variance weighted fixed effect meta-analysis. No further genomic control was applied as LD score regression intercepts were close to 1.00 (</w:t>
      </w:r>
      <w:r w:rsidRPr="005605B6">
        <w:rPr>
          <w:b/>
        </w:rPr>
        <w:t>Supplementary Table 2</w:t>
      </w:r>
      <w:r>
        <w:rPr>
          <w:b/>
        </w:rPr>
        <w:t>7</w:t>
      </w:r>
      <w:r>
        <w:t>).</w:t>
      </w:r>
    </w:p>
    <w:p w14:paraId="3DEE8873" w14:textId="77777777" w:rsidR="00A81934" w:rsidRPr="00133696" w:rsidRDefault="00A81934" w:rsidP="00C7056E">
      <w:pPr>
        <w:pStyle w:val="berschrift2"/>
      </w:pPr>
      <w:bookmarkStart w:id="67" w:name="_Toc509405320"/>
      <w:r>
        <w:t>Selection of new signals</w:t>
      </w:r>
      <w:bookmarkEnd w:id="67"/>
      <w:r>
        <w:t xml:space="preserve"> using conditional analyses</w:t>
      </w:r>
    </w:p>
    <w:p w14:paraId="02F56977" w14:textId="3A96B062" w:rsidR="00A81934" w:rsidRPr="000C5269" w:rsidRDefault="00A81934">
      <w:r w:rsidRPr="004004CE">
        <w:t xml:space="preserve">All SNPs </w:t>
      </w:r>
      <w:r>
        <w:t>±</w:t>
      </w:r>
      <w:r w:rsidRPr="004004CE">
        <w:t>1</w:t>
      </w:r>
      <w:r w:rsidR="00BC64ED">
        <w:t xml:space="preserve"> </w:t>
      </w:r>
      <w:r w:rsidRPr="004004CE">
        <w:t>Mb were extracted arou</w:t>
      </w:r>
      <w:r>
        <w:t xml:space="preserve">nd each sentinel variant. We performed </w:t>
      </w:r>
      <w:r w:rsidRPr="00EF14A2">
        <w:t xml:space="preserve">stepwise </w:t>
      </w:r>
      <w:r>
        <w:t xml:space="preserve">conditional analysis </w:t>
      </w:r>
      <w:r w:rsidRPr="00EF14A2">
        <w:t xml:space="preserve">to select independently associated SNPs </w:t>
      </w:r>
      <w:r>
        <w:t>with</w:t>
      </w:r>
      <w:r w:rsidRPr="00EF14A2">
        <w:t>in each</w:t>
      </w:r>
      <w:r>
        <w:t xml:space="preserve"> 2</w:t>
      </w:r>
      <w:r w:rsidR="00BC64ED">
        <w:t>-</w:t>
      </w:r>
      <w:r>
        <w:t>Mb</w:t>
      </w:r>
      <w:r w:rsidRPr="00EF14A2">
        <w:t xml:space="preserve"> region</w:t>
      </w:r>
      <w:r>
        <w:t>, using GCTA</w:t>
      </w:r>
      <w:r w:rsidRPr="00957744">
        <w:rPr>
          <w:noProof/>
          <w:vertAlign w:val="superscript"/>
        </w:rPr>
        <w:t>58</w:t>
      </w:r>
      <w:r>
        <w:t>. LD was estimated for UK Biobank from the same individuals used in discovery, and for SpiroMeta, from an unrelated subset of 48,943 UK Biobank individuals</w:t>
      </w:r>
      <w:r w:rsidRPr="00450747">
        <w:rPr>
          <w:noProof/>
          <w:vertAlign w:val="superscript"/>
        </w:rPr>
        <w:t>18</w:t>
      </w:r>
      <w:r>
        <w:t>. Secondary signals identified within each 2</w:t>
      </w:r>
      <w:r w:rsidR="00BC64ED">
        <w:t>-</w:t>
      </w:r>
      <w:r>
        <w:t xml:space="preserve">Mb region were required to meet Tier 1 or Tier 2 criteria (described above) after conditioning on the primary sentinel variant. A combined list of distinct lung function signals was then made across the </w:t>
      </w:r>
      <w:r w:rsidR="009A1ED4">
        <w:t xml:space="preserve">four </w:t>
      </w:r>
      <w:r>
        <w:t>phenotypes, FEV</w:t>
      </w:r>
      <w:r>
        <w:rPr>
          <w:vertAlign w:val="subscript"/>
        </w:rPr>
        <w:t>1</w:t>
      </w:r>
      <w:r>
        <w:t>, FVC, FEV</w:t>
      </w:r>
      <w:r>
        <w:rPr>
          <w:vertAlign w:val="subscript"/>
        </w:rPr>
        <w:t>1</w:t>
      </w:r>
      <w:r>
        <w:t>/FVC and PEF, as follows: where sentinel variants for 2 signals for different phenotypes were in high LD (r</w:t>
      </w:r>
      <w:r>
        <w:rPr>
          <w:vertAlign w:val="superscript"/>
        </w:rPr>
        <w:t>2</w:t>
      </w:r>
      <w:r>
        <w:t>&gt;0.5), we retained the most significant variant; where 2 signals were in moderate LD (0.1&gt;r</w:t>
      </w:r>
      <w:r>
        <w:rPr>
          <w:vertAlign w:val="superscript"/>
        </w:rPr>
        <w:t>2</w:t>
      </w:r>
      <w:r>
        <w:t>&gt;0.5), we retained variants if, after conditional analysis, they still met the Tier 1 or Tier 2 threshold; for signals in low LD (r</w:t>
      </w:r>
      <w:r>
        <w:rPr>
          <w:vertAlign w:val="superscript"/>
        </w:rPr>
        <w:t>2</w:t>
      </w:r>
      <w:r>
        <w:t>&lt;0.1) we retained both variants. We then used the same criteria to identify a subset of new signals which were distinct from previously published independent signals (see below).</w:t>
      </w:r>
    </w:p>
    <w:p w14:paraId="1BDBAADD" w14:textId="77777777" w:rsidR="00A81934" w:rsidRDefault="00A81934" w:rsidP="00C7056E">
      <w:pPr>
        <w:pStyle w:val="berschrift2"/>
      </w:pPr>
      <w:bookmarkStart w:id="68" w:name="_Toc509405321"/>
      <w:r>
        <w:t>Assessment of previously reported lung function signals</w:t>
      </w:r>
      <w:bookmarkEnd w:id="68"/>
    </w:p>
    <w:p w14:paraId="55368F57" w14:textId="30D23521" w:rsidR="00A81934" w:rsidRDefault="00A81934" w:rsidP="00E858CD">
      <w:r w:rsidRPr="00E1023B">
        <w:t>We identified 18</w:t>
      </w:r>
      <w:r>
        <w:t>4</w:t>
      </w:r>
      <w:r w:rsidRPr="00E1023B">
        <w:t xml:space="preserve"> </w:t>
      </w:r>
      <w:r>
        <w:t xml:space="preserve">autosomal </w:t>
      </w:r>
      <w:r w:rsidRPr="00E1023B">
        <w:t xml:space="preserve">signals from previous GWAS of lung </w:t>
      </w:r>
      <w:r>
        <w:t>function and COPD</w:t>
      </w:r>
      <w:hyperlink w:anchor="_ENREF_1" w:tooltip="Hobbs, 2017 #3" w:history="1">
        <w:r w:rsidRPr="00BB34C9">
          <w:rPr>
            <w:rFonts w:cs="Trebuchet MS"/>
            <w:noProof/>
            <w:vertAlign w:val="superscript"/>
          </w:rPr>
          <w:t>1</w:t>
        </w:r>
      </w:hyperlink>
      <w:r w:rsidRPr="00BB34C9">
        <w:rPr>
          <w:rFonts w:cs="Trebuchet MS"/>
          <w:noProof/>
          <w:vertAlign w:val="superscript"/>
        </w:rPr>
        <w:t>,</w:t>
      </w:r>
      <w:hyperlink w:anchor="_ENREF_4" w:tooltip="Wilk, 2009 #23" w:history="1">
        <w:r w:rsidRPr="00BB34C9">
          <w:rPr>
            <w:rFonts w:cs="Trebuchet MS"/>
            <w:noProof/>
            <w:vertAlign w:val="superscript"/>
          </w:rPr>
          <w:t>4-14</w:t>
        </w:r>
      </w:hyperlink>
      <w:r>
        <w:t xml:space="preserve">. </w:t>
      </w:r>
      <w:r w:rsidRPr="00A57B8D">
        <w:t xml:space="preserve">After LD pruning </w:t>
      </w:r>
      <w:r>
        <w:t>(only keeping signals with LD of r</w:t>
      </w:r>
      <w:r>
        <w:rPr>
          <w:vertAlign w:val="superscript"/>
        </w:rPr>
        <w:t>2</w:t>
      </w:r>
      <w:r>
        <w:t>&lt;0.1),</w:t>
      </w:r>
      <w:r w:rsidRPr="00A57B8D">
        <w:t xml:space="preserve"> we removed </w:t>
      </w:r>
      <w:r>
        <w:t>2</w:t>
      </w:r>
      <w:r w:rsidRPr="00A57B8D">
        <w:t>4 non-independent SNPs</w:t>
      </w:r>
      <w:r>
        <w:t xml:space="preserve">, leaving 160 previously reported independent signals. </w:t>
      </w:r>
      <w:r w:rsidRPr="00C91F54">
        <w:t xml:space="preserve">Of 6 </w:t>
      </w:r>
      <w:r>
        <w:t xml:space="preserve">previously reported </w:t>
      </w:r>
      <w:r w:rsidRPr="00C91F54">
        <w:t>signals in the HLA region</w:t>
      </w:r>
      <w:r>
        <w:t>, w</w:t>
      </w:r>
      <w:r w:rsidRPr="00C91F54">
        <w:t xml:space="preserve">e included only the 3 independent lung function HLA signals reported </w:t>
      </w:r>
      <w:r>
        <w:t>from</w:t>
      </w:r>
      <w:r w:rsidRPr="00C91F54">
        <w:t xml:space="preserve"> conditional analysis using </w:t>
      </w:r>
      <w:r>
        <w:t xml:space="preserve">all </w:t>
      </w:r>
      <w:r w:rsidRPr="00C91F54">
        <w:t>imputed HLA genotypes</w:t>
      </w:r>
      <w:r w:rsidRPr="00DB0E91">
        <w:rPr>
          <w:noProof/>
          <w:vertAlign w:val="superscript"/>
        </w:rPr>
        <w:t>18</w:t>
      </w:r>
      <w:r w:rsidRPr="00C91F54">
        <w:t xml:space="preserve">: </w:t>
      </w:r>
      <w:r w:rsidRPr="00C91F54">
        <w:rPr>
          <w:i/>
        </w:rPr>
        <w:t>AGER</w:t>
      </w:r>
      <w:r w:rsidRPr="00C91F54">
        <w:t xml:space="preserve"> (rs2070600), </w:t>
      </w:r>
      <w:r w:rsidRPr="00C91F54">
        <w:rPr>
          <w:i/>
        </w:rPr>
        <w:t>HLA-DQB1</w:t>
      </w:r>
      <w:r w:rsidRPr="00C91F54">
        <w:t xml:space="preserve"> (rs114544105) and near </w:t>
      </w:r>
      <w:r w:rsidRPr="00C91F54">
        <w:rPr>
          <w:i/>
        </w:rPr>
        <w:t>ZNF184</w:t>
      </w:r>
      <w:r w:rsidRPr="00C91F54">
        <w:t xml:space="preserve"> (rs34864796)</w:t>
      </w:r>
      <w:r>
        <w:t>,</w:t>
      </w:r>
      <w:r w:rsidRPr="00C91F54">
        <w:t xml:space="preserve"> leaving </w:t>
      </w:r>
      <w:r w:rsidRPr="00680D9A">
        <w:t>157 autosomal</w:t>
      </w:r>
      <w:r>
        <w:t xml:space="preserve"> signals</w:t>
      </w:r>
      <w:r w:rsidRPr="00C91F54">
        <w:t>.</w:t>
      </w:r>
    </w:p>
    <w:p w14:paraId="2925F026" w14:textId="77777777" w:rsidR="00A81934" w:rsidRPr="002E05DD" w:rsidRDefault="00A81934" w:rsidP="00E858CD">
      <w:r>
        <w:t>W</w:t>
      </w:r>
      <w:r w:rsidRPr="00C91F54">
        <w:t xml:space="preserve">e confirmed association </w:t>
      </w:r>
      <w:r>
        <w:t xml:space="preserve">of previously reported signals </w:t>
      </w:r>
      <w:r w:rsidRPr="00C91F54">
        <w:t>in our data</w:t>
      </w:r>
      <w:r w:rsidRPr="005F3904">
        <w:t xml:space="preserve"> </w:t>
      </w:r>
      <w:r>
        <w:t xml:space="preserve">if they met any of three criteria: (i) the </w:t>
      </w:r>
      <w:r w:rsidRPr="005F3904">
        <w:t>p</w:t>
      </w:r>
      <w:r w:rsidRPr="00C91F54">
        <w:t xml:space="preserve">reviously reported sentinel </w:t>
      </w:r>
      <w:r>
        <w:t>was associated (P&lt;10</w:t>
      </w:r>
      <w:r w:rsidRPr="008B1E28">
        <w:rPr>
          <w:vertAlign w:val="superscript"/>
        </w:rPr>
        <w:t>-5</w:t>
      </w:r>
      <w:r>
        <w:t xml:space="preserve">) with any lung function trait </w:t>
      </w:r>
      <w:r w:rsidRPr="00C91F54">
        <w:t>in UK Biobank</w:t>
      </w:r>
      <w:r>
        <w:t>; (ii) a proxy for the</w:t>
      </w:r>
      <w:r w:rsidRPr="00C91F54">
        <w:t xml:space="preserve"> previously reported sentinel </w:t>
      </w:r>
      <w:r>
        <w:t xml:space="preserve">with </w:t>
      </w:r>
      <w:r w:rsidRPr="00C91F54">
        <w:t>r</w:t>
      </w:r>
      <w:r w:rsidRPr="008B746A">
        <w:rPr>
          <w:vertAlign w:val="superscript"/>
        </w:rPr>
        <w:t>2</w:t>
      </w:r>
      <w:r w:rsidRPr="00C91F54">
        <w:t>&gt;0.5</w:t>
      </w:r>
      <w:r>
        <w:t xml:space="preserve"> was associated (</w:t>
      </w:r>
      <w:r w:rsidRPr="00C91F54">
        <w:t>P&lt;10</w:t>
      </w:r>
      <w:r w:rsidRPr="002E05DD">
        <w:rPr>
          <w:vertAlign w:val="superscript"/>
        </w:rPr>
        <w:t>-5</w:t>
      </w:r>
      <w:r>
        <w:t xml:space="preserve">) with any lung function trait </w:t>
      </w:r>
      <w:r w:rsidRPr="00C91F54">
        <w:t>in UK Biobank</w:t>
      </w:r>
      <w:r>
        <w:t>; (iii) a proxy for the</w:t>
      </w:r>
      <w:r w:rsidRPr="00C91F54">
        <w:t xml:space="preserve"> previously reported sentinel </w:t>
      </w:r>
      <w:r>
        <w:t xml:space="preserve">with </w:t>
      </w:r>
      <w:r w:rsidRPr="00C91F54">
        <w:t>r</w:t>
      </w:r>
      <w:r w:rsidRPr="008B746A">
        <w:rPr>
          <w:vertAlign w:val="superscript"/>
        </w:rPr>
        <w:t>2</w:t>
      </w:r>
      <w:r>
        <w:t>&gt;0.1 was associated with any lung function trait</w:t>
      </w:r>
      <w:r w:rsidRPr="00C91F54" w:rsidDel="002A0BEA">
        <w:t xml:space="preserve"> </w:t>
      </w:r>
      <w:r>
        <w:t>meeting</w:t>
      </w:r>
      <w:r w:rsidRPr="00C91F54">
        <w:t xml:space="preserve"> tier 1 or tier 2 criteria</w:t>
      </w:r>
      <w:r>
        <w:t xml:space="preserve"> (</w:t>
      </w:r>
      <w:r w:rsidRPr="007E3A7F">
        <w:rPr>
          <w:b/>
        </w:rPr>
        <w:t>Supplementary Figure 3</w:t>
      </w:r>
      <w:r>
        <w:t>).</w:t>
      </w:r>
    </w:p>
    <w:p w14:paraId="2F7A98BA" w14:textId="77777777" w:rsidR="00A81934" w:rsidRDefault="00A81934" w:rsidP="00405DE1">
      <w:pPr>
        <w:pStyle w:val="berschrift2"/>
      </w:pPr>
      <w:bookmarkStart w:id="69" w:name="_Toc509405322"/>
      <w:r>
        <w:t>Effect on COPD susceptibility – genetic risk score in multiple ancestries</w:t>
      </w:r>
    </w:p>
    <w:p w14:paraId="0D41F6E2" w14:textId="392A7714" w:rsidR="00A81934" w:rsidRDefault="00A81934" w:rsidP="001358AA">
      <w:r w:rsidRPr="00654D16">
        <w:t>To test association</w:t>
      </w:r>
      <w:r>
        <w:t xml:space="preserve"> of all lung function signals with</w:t>
      </w:r>
      <w:r w:rsidRPr="00654D16">
        <w:t xml:space="preserve"> COPD susceptibility, we constructed a </w:t>
      </w:r>
      <w:r>
        <w:t xml:space="preserve">279-variant </w:t>
      </w:r>
      <w:r w:rsidRPr="00654D16">
        <w:t xml:space="preserve">weighted </w:t>
      </w:r>
      <w:r>
        <w:t>GRS</w:t>
      </w:r>
      <w:r w:rsidRPr="00654D16">
        <w:t xml:space="preserve"> comprising the 139 novel and 140 previously reported </w:t>
      </w:r>
      <w:r>
        <w:t>signals; we used the previously reported sentinel SNP for published signals.</w:t>
      </w:r>
      <w:r w:rsidRPr="00654D16">
        <w:t xml:space="preserve"> </w:t>
      </w:r>
      <w:r>
        <w:t>Weights</w:t>
      </w:r>
      <w:r w:rsidRPr="00416C35">
        <w:t xml:space="preserve"> were derived using the </w:t>
      </w:r>
      <w:r>
        <w:t>FEV</w:t>
      </w:r>
      <w:r w:rsidRPr="009456B0">
        <w:rPr>
          <w:vertAlign w:val="subscript"/>
        </w:rPr>
        <w:t>1</w:t>
      </w:r>
      <w:r>
        <w:t xml:space="preserve">/FVC </w:t>
      </w:r>
      <w:r w:rsidRPr="00416C35">
        <w:t>decreasing (</w:t>
      </w:r>
      <w:r>
        <w:t xml:space="preserve">generally </w:t>
      </w:r>
      <w:r w:rsidRPr="00416C35">
        <w:t xml:space="preserve">COPD risk </w:t>
      </w:r>
      <w:r w:rsidRPr="00F75024">
        <w:rPr>
          <w:i/>
        </w:rPr>
        <w:t>increasing</w:t>
      </w:r>
      <w:r w:rsidRPr="00416C35">
        <w:t>) alleles. For previously reported signals</w:t>
      </w:r>
      <w:r>
        <w:t xml:space="preserve"> (n=140)</w:t>
      </w:r>
      <w:r w:rsidRPr="00416C35">
        <w:t xml:space="preserve">, </w:t>
      </w:r>
      <w:r>
        <w:t>effect sizes</w:t>
      </w:r>
      <w:r w:rsidRPr="00416C35">
        <w:t xml:space="preserve"> from UK Biobank w</w:t>
      </w:r>
      <w:r>
        <w:t>ere</w:t>
      </w:r>
      <w:r w:rsidRPr="00416C35">
        <w:t xml:space="preserve"> used </w:t>
      </w:r>
      <w:r>
        <w:t>as</w:t>
      </w:r>
      <w:r w:rsidRPr="00416C35">
        <w:t xml:space="preserve"> </w:t>
      </w:r>
      <w:r>
        <w:t>weights for the 94 signals that were not discovered using UK Biobank data.</w:t>
      </w:r>
      <w:r w:rsidR="009A1ED4">
        <w:t xml:space="preserve"> </w:t>
      </w:r>
      <w:r>
        <w:t>W</w:t>
      </w:r>
      <w:r w:rsidRPr="00416C35">
        <w:t xml:space="preserve">eights were taken from SpiroMeta </w:t>
      </w:r>
      <w:r>
        <w:t>for 46 signals where</w:t>
      </w:r>
      <w:r w:rsidRPr="00416C35">
        <w:t xml:space="preserve"> UK Biobank </w:t>
      </w:r>
      <w:r>
        <w:t>was included in the discovery of those</w:t>
      </w:r>
      <w:r w:rsidRPr="00416C35">
        <w:t xml:space="preserve"> signal</w:t>
      </w:r>
      <w:r>
        <w:t>s</w:t>
      </w:r>
      <w:r w:rsidRPr="00416C35">
        <w:t xml:space="preserve">. </w:t>
      </w:r>
      <w:r w:rsidRPr="00D45744">
        <w:t>For novel signals</w:t>
      </w:r>
      <w:r>
        <w:t>,</w:t>
      </w:r>
      <w:r w:rsidRPr="00D45744">
        <w:t xml:space="preserve"> weights were taken from SpiroMeta for </w:t>
      </w:r>
      <w:r>
        <w:t>two-stage (tier 1)</w:t>
      </w:r>
      <w:r w:rsidRPr="00D45744">
        <w:t xml:space="preserve"> signals</w:t>
      </w:r>
      <w:r>
        <w:t xml:space="preserve"> (n=99)</w:t>
      </w:r>
      <w:r w:rsidRPr="00D45744">
        <w:t xml:space="preserve">, and the smallest absolute effect size from either UK Biobank </w:t>
      </w:r>
      <w:r>
        <w:t xml:space="preserve">or </w:t>
      </w:r>
      <w:r w:rsidRPr="00D45744">
        <w:t xml:space="preserve">SpiroMeta was used for </w:t>
      </w:r>
      <w:r>
        <w:t>one-stage (tier 2)</w:t>
      </w:r>
      <w:r w:rsidRPr="00D45744">
        <w:t xml:space="preserve"> signals</w:t>
      </w:r>
      <w:r>
        <w:t xml:space="preserve"> (n=40) (</w:t>
      </w:r>
      <w:r w:rsidRPr="005605B6">
        <w:rPr>
          <w:b/>
        </w:rPr>
        <w:t>Supplementary Table 2</w:t>
      </w:r>
      <w:r>
        <w:rPr>
          <w:b/>
        </w:rPr>
        <w:t>8</w:t>
      </w:r>
      <w:r>
        <w:t>)</w:t>
      </w:r>
      <w:r w:rsidRPr="00D45744">
        <w:t>.</w:t>
      </w:r>
      <w:r>
        <w:t xml:space="preserve"> This approach was taken in order to derive conservative weights, thus reducing </w:t>
      </w:r>
      <w:r>
        <w:lastRenderedPageBreak/>
        <w:t xml:space="preserve">the likelihood of bias by winner’s curse. For the weighted GRS the number of risk alleles at each variant was multiplied by its weight. </w:t>
      </w:r>
    </w:p>
    <w:p w14:paraId="36A8F160" w14:textId="41F96117" w:rsidR="00A81934" w:rsidRDefault="00A81934" w:rsidP="001358AA">
      <w:r>
        <w:t xml:space="preserve">The GRS was first calculated in </w:t>
      </w:r>
      <w:r w:rsidRPr="00405DE1">
        <w:t xml:space="preserve">unrelated </w:t>
      </w:r>
      <w:r w:rsidRPr="00514370">
        <w:t>individuals (KING kinship coefficient of</w:t>
      </w:r>
      <w:r>
        <w:t>&lt;</w:t>
      </w:r>
      <w:r w:rsidRPr="00514370">
        <w:t>0.0884)</w:t>
      </w:r>
      <w:r>
        <w:t xml:space="preserve"> within 6 ancestral groups of UK Biobank: Europeans, South Asians, Africans, Chinese, Mixed African and Europeans, and Mixed Other (</w:t>
      </w:r>
      <w:r w:rsidRPr="00945535">
        <w:t xml:space="preserve">total sample </w:t>
      </w:r>
      <w:r>
        <w:t xml:space="preserve">of unrelated individuals </w:t>
      </w:r>
      <w:r w:rsidRPr="00945535">
        <w:t>across six ancestries: 323,001</w:t>
      </w:r>
      <w:r>
        <w:t>) using PLINK. Weights and alleles were as described above. COPD was defined as FEV</w:t>
      </w:r>
      <w:r>
        <w:rPr>
          <w:vertAlign w:val="subscript"/>
        </w:rPr>
        <w:t>1</w:t>
      </w:r>
      <w:r>
        <w:t xml:space="preserve">/FVC&lt;0.7 and </w:t>
      </w:r>
      <w:r w:rsidRPr="00991B52">
        <w:t>FEV</w:t>
      </w:r>
      <w:r w:rsidRPr="00991B52">
        <w:rPr>
          <w:vertAlign w:val="subscript"/>
        </w:rPr>
        <w:t>1</w:t>
      </w:r>
      <w:r>
        <w:t>&lt;80% predicted, i.e. GOLD stage 2-4 categori</w:t>
      </w:r>
      <w:r w:rsidR="009A1ED4">
        <w:t>z</w:t>
      </w:r>
      <w:r>
        <w:t xml:space="preserve">ation. </w:t>
      </w:r>
      <w:r w:rsidRPr="00682F8B">
        <w:rPr>
          <w:rFonts w:ascii="Calibri" w:hAnsi="Calibri"/>
          <w:color w:val="000000"/>
        </w:rPr>
        <w:t xml:space="preserve">Associations with the GRS were then </w:t>
      </w:r>
      <w:r>
        <w:rPr>
          <w:rFonts w:ascii="Calibri" w:hAnsi="Calibri"/>
          <w:color w:val="000000"/>
        </w:rPr>
        <w:t xml:space="preserve">tested </w:t>
      </w:r>
      <w:r w:rsidRPr="00682F8B">
        <w:rPr>
          <w:rFonts w:ascii="Calibri" w:hAnsi="Calibri"/>
          <w:color w:val="000000"/>
        </w:rPr>
        <w:t>using COPD (in ancestral groups with at least 100 COPD cases) and FEV</w:t>
      </w:r>
      <w:r w:rsidRPr="00682F8B">
        <w:rPr>
          <w:rFonts w:ascii="Calibri" w:hAnsi="Calibri"/>
          <w:color w:val="000000"/>
          <w:vertAlign w:val="subscript"/>
        </w:rPr>
        <w:t>1</w:t>
      </w:r>
      <w:r w:rsidRPr="00682F8B">
        <w:rPr>
          <w:rFonts w:ascii="Calibri" w:hAnsi="Calibri"/>
          <w:color w:val="000000"/>
        </w:rPr>
        <w:t>/FVC as the outcomes.</w:t>
      </w:r>
    </w:p>
    <w:p w14:paraId="0A40CF56" w14:textId="58BCC3A3" w:rsidR="00A81934" w:rsidRPr="003F7D29" w:rsidRDefault="00A81934" w:rsidP="001358AA">
      <w:r>
        <w:t>We also calculated the GRS in individuals from the China Kadoorie Biobank (CKB). Four of the 279 SNPs were unavailable in CKB (rs1800888, rs56196860, rs72724130 and rs77672322), and for 12 SNPs, proxies were used (minimum r</w:t>
      </w:r>
      <w:r>
        <w:rPr>
          <w:vertAlign w:val="superscript"/>
        </w:rPr>
        <w:t>2</w:t>
      </w:r>
      <w:r>
        <w:t xml:space="preserve">=0.3). Analyses were undertaken in all COPD GOLD stage 2-4 </w:t>
      </w:r>
      <w:r w:rsidRPr="000B2FF8">
        <w:t>cases</w:t>
      </w:r>
      <w:r>
        <w:t xml:space="preserve"> (FEV</w:t>
      </w:r>
      <w:r>
        <w:rPr>
          <w:vertAlign w:val="subscript"/>
        </w:rPr>
        <w:t>1</w:t>
      </w:r>
      <w:r>
        <w:t xml:space="preserve">/FVC&lt;0.7 and </w:t>
      </w:r>
      <w:r w:rsidRPr="00991B52">
        <w:t>FEV</w:t>
      </w:r>
      <w:r w:rsidRPr="00991B52">
        <w:rPr>
          <w:vertAlign w:val="subscript"/>
        </w:rPr>
        <w:t>1</w:t>
      </w:r>
      <w:r>
        <w:t>&lt;0.8 of the predicted value: 6,013 cases and 69,567 controls)</w:t>
      </w:r>
      <w:r w:rsidRPr="000B2FF8">
        <w:t>, against an unbiased set of population co</w:t>
      </w:r>
      <w:r>
        <w:t>ntrols</w:t>
      </w:r>
      <w:r w:rsidRPr="007E3A7F">
        <w:t xml:space="preserve">. The </w:t>
      </w:r>
      <w:r>
        <w:t>GRS</w:t>
      </w:r>
      <w:r w:rsidRPr="007E3A7F">
        <w:t xml:space="preserve"> was also tested for association with FEV</w:t>
      </w:r>
      <w:r w:rsidRPr="007E3A7F">
        <w:rPr>
          <w:vertAlign w:val="subscript"/>
        </w:rPr>
        <w:t>1</w:t>
      </w:r>
      <w:r w:rsidRPr="007E3A7F">
        <w:t>/FVC in CKB</w:t>
      </w:r>
      <w:r>
        <w:t xml:space="preserve"> (n=72,796)</w:t>
      </w:r>
      <w:r w:rsidRPr="007E3A7F">
        <w:t>.</w:t>
      </w:r>
    </w:p>
    <w:p w14:paraId="735ED973" w14:textId="170E7FC2" w:rsidR="00A81934" w:rsidRDefault="00A81934" w:rsidP="001358AA">
      <w:r>
        <w:t>L</w:t>
      </w:r>
      <w:r w:rsidRPr="000E0C96">
        <w:t xml:space="preserve">ogistic regression </w:t>
      </w:r>
      <w:r>
        <w:t xml:space="preserve">of </w:t>
      </w:r>
      <w:r w:rsidRPr="000E0C96">
        <w:t>COPD</w:t>
      </w:r>
      <w:r>
        <w:t xml:space="preserve"> case-control</w:t>
      </w:r>
      <w:r w:rsidRPr="000E0C96">
        <w:t xml:space="preserve"> status </w:t>
      </w:r>
      <w:r>
        <w:t xml:space="preserve">with the GRS in UK Biobank and China Kadoorie Biobank </w:t>
      </w:r>
      <w:r w:rsidRPr="000E0C96">
        <w:t>assum</w:t>
      </w:r>
      <w:r>
        <w:t>ed</w:t>
      </w:r>
      <w:r w:rsidRPr="000E0C96">
        <w:t xml:space="preserve"> an additive genetic effect and</w:t>
      </w:r>
      <w:r>
        <w:t xml:space="preserve"> was</w:t>
      </w:r>
      <w:r w:rsidRPr="000E0C96">
        <w:t xml:space="preserve"> adjust</w:t>
      </w:r>
      <w:r>
        <w:t>ed</w:t>
      </w:r>
      <w:r w:rsidRPr="000E0C96">
        <w:t xml:space="preserve"> for age, age</w:t>
      </w:r>
      <w:r w:rsidRPr="000E0C96">
        <w:rPr>
          <w:vertAlign w:val="superscript"/>
        </w:rPr>
        <w:t>2</w:t>
      </w:r>
      <w:r>
        <w:t xml:space="preserve">, sex, </w:t>
      </w:r>
      <w:r w:rsidRPr="000E0C96">
        <w:t>height</w:t>
      </w:r>
      <w:r>
        <w:t>, and smoking (</w:t>
      </w:r>
      <w:r w:rsidRPr="005605B6">
        <w:rPr>
          <w:b/>
        </w:rPr>
        <w:t xml:space="preserve">Supplementary Table </w:t>
      </w:r>
      <w:r>
        <w:rPr>
          <w:b/>
        </w:rPr>
        <w:t>19</w:t>
      </w:r>
      <w:r>
        <w:t xml:space="preserve">). </w:t>
      </w:r>
      <w:r w:rsidRPr="00CD3691">
        <w:rPr>
          <w:rFonts w:ascii="Calibri" w:hAnsi="Calibri"/>
          <w:color w:val="000000"/>
        </w:rPr>
        <w:t xml:space="preserve">Ten principal components were included in </w:t>
      </w:r>
      <w:r>
        <w:rPr>
          <w:rFonts w:ascii="Calibri" w:hAnsi="Calibri"/>
          <w:color w:val="000000"/>
        </w:rPr>
        <w:t>UK Biobank</w:t>
      </w:r>
      <w:r w:rsidRPr="00CD3691">
        <w:rPr>
          <w:rFonts w:ascii="Calibri" w:hAnsi="Calibri"/>
          <w:color w:val="000000"/>
        </w:rPr>
        <w:t xml:space="preserve"> analyses.</w:t>
      </w:r>
      <w:r>
        <w:rPr>
          <w:rFonts w:ascii="Calibri" w:hAnsi="Calibri"/>
          <w:color w:val="000000"/>
        </w:rPr>
        <w:t xml:space="preserve"> In China Kadoorie Biobank, a</w:t>
      </w:r>
      <w:r w:rsidRPr="000B2FF8">
        <w:t xml:space="preserve">nalyses were stratified by </w:t>
      </w:r>
      <w:r>
        <w:t>geographical regions, then meta-analy</w:t>
      </w:r>
      <w:r w:rsidR="009A1ED4">
        <w:t>z</w:t>
      </w:r>
      <w:r>
        <w:t>ed using an inverse-</w:t>
      </w:r>
      <w:r w:rsidRPr="000B2FF8">
        <w:t>vari</w:t>
      </w:r>
      <w:r>
        <w:t>ance fixed effect model</w:t>
      </w:r>
      <w:r w:rsidRPr="000B2FF8">
        <w:t>.</w:t>
      </w:r>
      <w:r>
        <w:t xml:space="preserve"> L</w:t>
      </w:r>
      <w:r w:rsidRPr="00CD3691">
        <w:t xml:space="preserve">inear models </w:t>
      </w:r>
      <w:r>
        <w:t>a</w:t>
      </w:r>
      <w:r w:rsidRPr="00CD3691">
        <w:t>s</w:t>
      </w:r>
      <w:r>
        <w:t>s</w:t>
      </w:r>
      <w:r w:rsidRPr="00CD3691">
        <w:t>ess</w:t>
      </w:r>
      <w:r>
        <w:t>ing</w:t>
      </w:r>
      <w:r w:rsidRPr="00CD3691">
        <w:t xml:space="preserve"> the association with FEV</w:t>
      </w:r>
      <w:r w:rsidRPr="00CD3691">
        <w:rPr>
          <w:vertAlign w:val="subscript"/>
        </w:rPr>
        <w:t>1</w:t>
      </w:r>
      <w:r w:rsidRPr="00CD3691">
        <w:t>/FVC</w:t>
      </w:r>
      <w:r>
        <w:t xml:space="preserve"> were fitted</w:t>
      </w:r>
      <w:r w:rsidRPr="00CD3691">
        <w:t xml:space="preserve"> using the transformed outcome </w:t>
      </w:r>
      <w:r>
        <w:t>used</w:t>
      </w:r>
      <w:r w:rsidRPr="00CD3691">
        <w:t xml:space="preserve"> in the main GWAS analysis</w:t>
      </w:r>
      <w:r w:rsidRPr="00CD3691">
        <w:rPr>
          <w:rFonts w:ascii="Calibri" w:hAnsi="Calibri"/>
          <w:color w:val="000000"/>
        </w:rPr>
        <w:t xml:space="preserve">. </w:t>
      </w:r>
    </w:p>
    <w:p w14:paraId="18C90E5C" w14:textId="1FA999D4" w:rsidR="00A81934" w:rsidRPr="000845A4" w:rsidRDefault="00A81934" w:rsidP="001358AA">
      <w:r>
        <w:t>We</w:t>
      </w:r>
      <w:r w:rsidRPr="00654D16">
        <w:t xml:space="preserve"> </w:t>
      </w:r>
      <w:r>
        <w:t xml:space="preserve">then </w:t>
      </w:r>
      <w:r w:rsidRPr="00654D16">
        <w:t>tested association in 5 European</w:t>
      </w:r>
      <w:r>
        <w:t>-</w:t>
      </w:r>
      <w:r w:rsidRPr="00654D16">
        <w:t xml:space="preserve">ancestry </w:t>
      </w:r>
      <w:r>
        <w:t xml:space="preserve">COPD </w:t>
      </w:r>
      <w:r w:rsidRPr="00654D16">
        <w:t>case-control studies: COPDGene (Non-Hispanic White Population) (3</w:t>
      </w:r>
      <w:r>
        <w:t>,</w:t>
      </w:r>
      <w:r w:rsidRPr="00654D16">
        <w:t>068 cases</w:t>
      </w:r>
      <w:r>
        <w:t>,</w:t>
      </w:r>
      <w:r w:rsidRPr="00654D16">
        <w:t xml:space="preserve"> 2</w:t>
      </w:r>
      <w:r>
        <w:t>,</w:t>
      </w:r>
      <w:r w:rsidRPr="00654D16">
        <w:t>110 controls), ECLIPSE (1</w:t>
      </w:r>
      <w:r>
        <w:t>,</w:t>
      </w:r>
      <w:r w:rsidRPr="00654D16">
        <w:t>713 cases</w:t>
      </w:r>
      <w:r>
        <w:t>,</w:t>
      </w:r>
      <w:r w:rsidRPr="00654D16">
        <w:t xml:space="preserve"> 147 controls), GenKOLS (836 cases</w:t>
      </w:r>
      <w:r>
        <w:t>,</w:t>
      </w:r>
      <w:r w:rsidRPr="00654D16">
        <w:t xml:space="preserve"> 692 controls), NETT-NAS (374 cases</w:t>
      </w:r>
      <w:r>
        <w:t>,</w:t>
      </w:r>
      <w:r w:rsidRPr="00654D16">
        <w:t xml:space="preserve"> 429 controls) and SPIROMICS (988 cases</w:t>
      </w:r>
      <w:r>
        <w:t>,</w:t>
      </w:r>
      <w:r w:rsidRPr="00654D16">
        <w:t xml:space="preserve"> 537 controls) (</w:t>
      </w:r>
      <w:r w:rsidRPr="005605B6">
        <w:rPr>
          <w:b/>
        </w:rPr>
        <w:t xml:space="preserve">Supplementary Table </w:t>
      </w:r>
      <w:r>
        <w:rPr>
          <w:b/>
        </w:rPr>
        <w:t>20</w:t>
      </w:r>
      <w:r w:rsidRPr="00654D16">
        <w:t xml:space="preserve">). </w:t>
      </w:r>
      <w:r>
        <w:t>W</w:t>
      </w:r>
      <w:r w:rsidRPr="00B5766E">
        <w:t xml:space="preserve">e </w:t>
      </w:r>
      <w:r>
        <w:t xml:space="preserve">also </w:t>
      </w:r>
      <w:r w:rsidRPr="00B5766E">
        <w:t>tested this GRS in the COPDGene African American population study (910 cases</w:t>
      </w:r>
      <w:r>
        <w:t>,</w:t>
      </w:r>
      <w:r w:rsidRPr="00B5766E">
        <w:t xml:space="preserve"> 1,556 controls).</w:t>
      </w:r>
      <w:r>
        <w:t xml:space="preserve"> Logistic regression models using COPD as outcome and the GRS as exposure were adjusted for </w:t>
      </w:r>
      <w:r w:rsidRPr="000E0C96">
        <w:t>age, age</w:t>
      </w:r>
      <w:r w:rsidRPr="000E0C96">
        <w:rPr>
          <w:vertAlign w:val="superscript"/>
        </w:rPr>
        <w:t>2</w:t>
      </w:r>
      <w:r>
        <w:t xml:space="preserve">, sex, </w:t>
      </w:r>
      <w:r w:rsidRPr="000E0C96">
        <w:t>height</w:t>
      </w:r>
      <w:r>
        <w:t>, and principal components (</w:t>
      </w:r>
      <w:r w:rsidRPr="005605B6">
        <w:rPr>
          <w:b/>
        </w:rPr>
        <w:t xml:space="preserve">Supplementary Table </w:t>
      </w:r>
      <w:r>
        <w:rPr>
          <w:b/>
        </w:rPr>
        <w:t>21, Supplementary Figure 9</w:t>
      </w:r>
      <w:r>
        <w:t xml:space="preserve">). Single variant associations of the 279 SNPs with COPD are in </w:t>
      </w:r>
      <w:r w:rsidRPr="008E60A4">
        <w:rPr>
          <w:b/>
        </w:rPr>
        <w:t>Supplementary Table 2</w:t>
      </w:r>
      <w:r>
        <w:rPr>
          <w:b/>
        </w:rPr>
        <w:t>9.</w:t>
      </w:r>
    </w:p>
    <w:p w14:paraId="7438A361" w14:textId="61384759" w:rsidR="00A81934" w:rsidRDefault="00A81934" w:rsidP="001358AA">
      <w:r>
        <w:t>Next, we divided individuals in the external COPD case-control studies into deciles, according to their values of the weighted GRS (undertaken separately by study group). For each decile, logistic models were fitted, comparing the risk of COPD for members of the decile compared to those in the lowest decile (i.e. those with lowest values of the weighted GRS). Covariates were as for COPD analyses. Results were combined across European-ancestry study groups by fixed effect meta-analysis (</w:t>
      </w:r>
      <w:r w:rsidRPr="005605B6">
        <w:rPr>
          <w:b/>
        </w:rPr>
        <w:t>Supplementary Table 2</w:t>
      </w:r>
      <w:r>
        <w:rPr>
          <w:b/>
        </w:rPr>
        <w:t>2</w:t>
      </w:r>
      <w:r>
        <w:t>).</w:t>
      </w:r>
    </w:p>
    <w:p w14:paraId="3BE0B6C7" w14:textId="2247E522" w:rsidR="00A81934" w:rsidRDefault="00A81934" w:rsidP="00D102A7">
      <w:pPr>
        <w:pStyle w:val="berschrift2"/>
      </w:pPr>
      <w:r>
        <w:t>Effects on smoking behavior</w:t>
      </w:r>
      <w:bookmarkEnd w:id="69"/>
      <w:r>
        <w:t xml:space="preserve"> </w:t>
      </w:r>
    </w:p>
    <w:p w14:paraId="36D0B18E" w14:textId="621185C2" w:rsidR="00A81934" w:rsidRDefault="00A81934" w:rsidP="0098134A">
      <w:r>
        <w:t>As our discovery GWAS in UK Biobank was adjusted for ever smoking status, and not for pack years of smoking (this information was missing for 32% of smokers), we evaluated whether any lung function association signals might be driven by an association with smoking behavior, by testing for association with smoking initiation (123,890 ever smokers vs. 151,706 never smokers) and cigarettes per day (n=80,015) in UK Biobank (see</w:t>
      </w:r>
      <w:r w:rsidRPr="00B41AE6">
        <w:t xml:space="preserve"> </w:t>
      </w:r>
      <w:r w:rsidRPr="00654D16">
        <w:rPr>
          <w:b/>
        </w:rPr>
        <w:t>Supplement</w:t>
      </w:r>
      <w:r>
        <w:rPr>
          <w:b/>
        </w:rPr>
        <w:t>ary Note</w:t>
      </w:r>
      <w:r>
        <w:t>). We also tested for association with lung function in never smokers only (n=</w:t>
      </w:r>
      <w:r w:rsidRPr="00CD5F73">
        <w:t>173,658</w:t>
      </w:r>
      <w:r>
        <w:t xml:space="preserve">). </w:t>
      </w:r>
      <w:r w:rsidRPr="00F5292D">
        <w:t xml:space="preserve">We excluded signals associated with smoking behavior </w:t>
      </w:r>
      <w:r>
        <w:t>(</w:t>
      </w:r>
      <w:r w:rsidRPr="00D506CF">
        <w:rPr>
          <w:b/>
        </w:rPr>
        <w:t>Supplementary Table 6</w:t>
      </w:r>
      <w:r>
        <w:t>) but not with lung function in never smokers.</w:t>
      </w:r>
    </w:p>
    <w:p w14:paraId="7F387670" w14:textId="77777777" w:rsidR="00A81934" w:rsidRDefault="00A81934" w:rsidP="002E05DD">
      <w:pPr>
        <w:pStyle w:val="berschrift2"/>
      </w:pPr>
      <w:bookmarkStart w:id="70" w:name="_Toc509405323"/>
      <w:r>
        <w:t>Smoking interaction</w:t>
      </w:r>
      <w:bookmarkEnd w:id="70"/>
      <w:r>
        <w:t xml:space="preserve"> </w:t>
      </w:r>
    </w:p>
    <w:p w14:paraId="3424AF6F" w14:textId="77777777" w:rsidR="00A81934" w:rsidRDefault="00A81934" w:rsidP="00777E87">
      <w:r>
        <w:t xml:space="preserve">For associated variants (new and previously reported), we repeated association testing for lung function separately in UK Biobank and SpiroMeta (up to </w:t>
      </w:r>
      <w:r w:rsidRPr="0011290E">
        <w:t>176,701 ever smokers and 197,999 never smokers</w:t>
      </w:r>
      <w:r>
        <w:t>), and tested for an interaction effect with smoking using the Welch test (</w:t>
      </w:r>
      <w:r w:rsidRPr="00C11917">
        <w:rPr>
          <w:b/>
        </w:rPr>
        <w:t>Supplementary Note</w:t>
      </w:r>
      <w:r>
        <w:t>). A threshold of P&lt;1.79×10</w:t>
      </w:r>
      <w:r>
        <w:rPr>
          <w:vertAlign w:val="superscript"/>
        </w:rPr>
        <w:t>-4</w:t>
      </w:r>
      <w:r>
        <w:t xml:space="preserve"> (Bonferroni corrected for 279 tests) indicated significance.</w:t>
      </w:r>
    </w:p>
    <w:p w14:paraId="7E6AFBD4" w14:textId="6AAC8C61" w:rsidR="00A81934" w:rsidRDefault="00A81934" w:rsidP="005455A1">
      <w:r>
        <w:t xml:space="preserve">We also tested for interaction between the weighted GRS and smoking, </w:t>
      </w:r>
      <w:r w:rsidRPr="00B8615F">
        <w:t>within 303,619 unrelated individuals of European ancestry in UK Biobank</w:t>
      </w:r>
      <w:r>
        <w:t>, using COPD and FEV</w:t>
      </w:r>
      <w:r w:rsidRPr="00777E87">
        <w:rPr>
          <w:vertAlign w:val="subscript"/>
        </w:rPr>
        <w:t>1</w:t>
      </w:r>
      <w:r>
        <w:t>/FVC as outcomes (FEV</w:t>
      </w:r>
      <w:r>
        <w:rPr>
          <w:vertAlign w:val="subscript"/>
        </w:rPr>
        <w:t>1</w:t>
      </w:r>
      <w:r>
        <w:t>/FVC was pre-adjusted for age, age</w:t>
      </w:r>
      <w:r>
        <w:rPr>
          <w:vertAlign w:val="superscript"/>
        </w:rPr>
        <w:t>2</w:t>
      </w:r>
      <w:r>
        <w:rPr>
          <w:vertAlign w:val="subscript"/>
        </w:rPr>
        <w:t xml:space="preserve">, </w:t>
      </w:r>
      <w:r>
        <w:t>sex, and height, and the residuals transformed as per the main GWAS analysis). For COPD (defined as FEV</w:t>
      </w:r>
      <w:r w:rsidRPr="00B05AA6">
        <w:rPr>
          <w:vertAlign w:val="subscript"/>
        </w:rPr>
        <w:t>1</w:t>
      </w:r>
      <w:r>
        <w:t>/FVC&lt;0.7, and FEV</w:t>
      </w:r>
      <w:r w:rsidRPr="00EE0D72">
        <w:rPr>
          <w:vertAlign w:val="subscript"/>
        </w:rPr>
        <w:t>1</w:t>
      </w:r>
      <w:r>
        <w:t xml:space="preserve">&lt;80% predicted) a logistic model was fitted: </w:t>
      </w:r>
    </w:p>
    <w:p w14:paraId="694BF14B" w14:textId="77777777" w:rsidR="00A81934" w:rsidRPr="003E15C7" w:rsidRDefault="00A81934" w:rsidP="003E15C7">
      <w:r w:rsidRPr="003E15C7">
        <w:rPr>
          <w:i/>
        </w:rPr>
        <w:t>COPD ~ genotyping array + 10 principal components + age + age</w:t>
      </w:r>
      <w:r w:rsidRPr="003E15C7">
        <w:rPr>
          <w:i/>
          <w:vertAlign w:val="superscript"/>
        </w:rPr>
        <w:t>2</w:t>
      </w:r>
      <w:r w:rsidRPr="003E15C7">
        <w:rPr>
          <w:i/>
        </w:rPr>
        <w:t xml:space="preserve"> + sex + height + smoking status + weighted risk score + </w:t>
      </w:r>
      <w:r>
        <w:t>(</w:t>
      </w:r>
      <w:r w:rsidRPr="003E15C7">
        <w:rPr>
          <w:i/>
        </w:rPr>
        <w:t>smoking status</w:t>
      </w:r>
      <w:r>
        <w:t xml:space="preserve"> </w:t>
      </w:r>
      <w:r w:rsidRPr="00847B87">
        <w:t>×</w:t>
      </w:r>
      <w:r>
        <w:t xml:space="preserve"> </w:t>
      </w:r>
      <w:r w:rsidRPr="003E15C7">
        <w:rPr>
          <w:i/>
        </w:rPr>
        <w:t>weighted risk score</w:t>
      </w:r>
      <w:r>
        <w:t>)</w:t>
      </w:r>
      <w:r w:rsidRPr="003E15C7">
        <w:rPr>
          <w:i/>
        </w:rPr>
        <w:t>.</w:t>
      </w:r>
      <w:r w:rsidRPr="003E15C7">
        <w:t xml:space="preserve"> </w:t>
      </w:r>
    </w:p>
    <w:p w14:paraId="2174BF10" w14:textId="1E092E40" w:rsidR="00A81934" w:rsidRDefault="00A81934" w:rsidP="005455A1">
      <w:r>
        <w:t>For FEV</w:t>
      </w:r>
      <w:r w:rsidRPr="00777E87">
        <w:rPr>
          <w:vertAlign w:val="subscript"/>
        </w:rPr>
        <w:t>1</w:t>
      </w:r>
      <w:r>
        <w:t xml:space="preserve">/FVC, a linear model was fitted: </w:t>
      </w:r>
    </w:p>
    <w:p w14:paraId="16D2831C" w14:textId="77777777" w:rsidR="00A81934" w:rsidRPr="00777E87" w:rsidRDefault="00A81934" w:rsidP="005455A1">
      <w:pPr>
        <w:rPr>
          <w:i/>
        </w:rPr>
      </w:pPr>
      <w:r w:rsidRPr="00777E87">
        <w:rPr>
          <w:i/>
        </w:rPr>
        <w:lastRenderedPageBreak/>
        <w:t>FEV</w:t>
      </w:r>
      <w:r w:rsidRPr="00777E87">
        <w:rPr>
          <w:i/>
          <w:vertAlign w:val="subscript"/>
        </w:rPr>
        <w:t>1</w:t>
      </w:r>
      <w:r w:rsidRPr="00777E87">
        <w:rPr>
          <w:i/>
        </w:rPr>
        <w:t>/FVC ~ genotyping array + 10 principal components + smoking status + weighted risk score + (smoking status x weighted risk score).</w:t>
      </w:r>
    </w:p>
    <w:p w14:paraId="24FC88CA" w14:textId="77777777" w:rsidR="00A81934" w:rsidRDefault="00A81934" w:rsidP="002E05DD">
      <w:pPr>
        <w:pStyle w:val="berschrift2"/>
        <w:rPr>
          <w:lang w:eastAsia="en-GB"/>
        </w:rPr>
      </w:pPr>
      <w:bookmarkStart w:id="71" w:name="_Toc509405324"/>
      <w:r>
        <w:rPr>
          <w:lang w:eastAsia="en-GB"/>
        </w:rPr>
        <w:t>Proportion of variance explained</w:t>
      </w:r>
      <w:bookmarkEnd w:id="71"/>
    </w:p>
    <w:p w14:paraId="07186908" w14:textId="61400AEA" w:rsidR="00A81934" w:rsidRDefault="00A81934">
      <w:pPr>
        <w:rPr>
          <w:lang w:eastAsia="en-GB"/>
        </w:rPr>
      </w:pPr>
      <w:r>
        <w:rPr>
          <w:lang w:eastAsia="en-GB"/>
        </w:rPr>
        <w:t>We calculated the proportion of variance explained by the previously reported (n=140) and new variants (n=139) associated with lung function using the formula:</w:t>
      </w:r>
    </w:p>
    <w:p w14:paraId="4E81FB7F" w14:textId="77777777" w:rsidR="00A81934" w:rsidRPr="002E05DD" w:rsidRDefault="00C26BA1">
      <w:pPr>
        <w:rPr>
          <w:lang w:eastAsia="en-GB"/>
        </w:rPr>
      </w:pPr>
      <m:oMathPara>
        <m:oMath>
          <m:f>
            <m:fPr>
              <m:ctrlPr>
                <w:rPr>
                  <w:rFonts w:ascii="Cambria Math" w:hAnsi="Cambria Math"/>
                  <w:i/>
                  <w:lang w:eastAsia="en-GB"/>
                </w:rPr>
              </m:ctrlPr>
            </m:fPr>
            <m:num>
              <m:nary>
                <m:naryPr>
                  <m:chr m:val="∑"/>
                  <m:limLoc m:val="subSup"/>
                  <m:ctrlPr>
                    <w:rPr>
                      <w:rFonts w:ascii="Cambria Math" w:hAnsi="Cambria Math"/>
                      <w:i/>
                      <w:lang w:eastAsia="en-GB"/>
                    </w:rPr>
                  </m:ctrlPr>
                </m:naryPr>
                <m:sub>
                  <m:r>
                    <w:rPr>
                      <w:rFonts w:ascii="Cambria Math" w:hAnsi="Cambria Math"/>
                      <w:lang w:eastAsia="en-GB"/>
                    </w:rPr>
                    <m:t>i=1</m:t>
                  </m:r>
                </m:sub>
                <m:sup>
                  <m:r>
                    <w:rPr>
                      <w:rFonts w:ascii="Cambria Math" w:hAnsi="Cambria Math"/>
                      <w:lang w:eastAsia="en-GB"/>
                    </w:rPr>
                    <m:t>n</m:t>
                  </m:r>
                </m:sup>
                <m:e>
                  <m:r>
                    <w:rPr>
                      <w:rFonts w:ascii="Cambria Math" w:hAnsi="Cambria Math"/>
                      <w:lang w:eastAsia="en-GB"/>
                    </w:rPr>
                    <m:t>2</m:t>
                  </m:r>
                  <m:sSub>
                    <m:sSubPr>
                      <m:ctrlPr>
                        <w:rPr>
                          <w:rFonts w:ascii="Cambria Math" w:hAnsi="Cambria Math"/>
                          <w:i/>
                          <w:lang w:eastAsia="en-GB"/>
                        </w:rPr>
                      </m:ctrlPr>
                    </m:sSubPr>
                    <m:e>
                      <m:r>
                        <w:rPr>
                          <w:rFonts w:ascii="Cambria Math" w:hAnsi="Cambria Math"/>
                          <w:lang w:eastAsia="en-GB"/>
                        </w:rPr>
                        <m:t>f</m:t>
                      </m:r>
                    </m:e>
                    <m:sub>
                      <m:r>
                        <w:rPr>
                          <w:rFonts w:ascii="Cambria Math" w:hAnsi="Cambria Math"/>
                          <w:lang w:eastAsia="en-GB"/>
                        </w:rPr>
                        <m:t>i</m:t>
                      </m:r>
                    </m:sub>
                  </m:sSub>
                  <m:r>
                    <w:rPr>
                      <w:rFonts w:ascii="Cambria Math" w:hAnsi="Cambria Math"/>
                      <w:lang w:eastAsia="en-GB"/>
                    </w:rPr>
                    <m:t>(1-</m:t>
                  </m:r>
                  <m:sSub>
                    <m:sSubPr>
                      <m:ctrlPr>
                        <w:rPr>
                          <w:rFonts w:ascii="Cambria Math" w:hAnsi="Cambria Math"/>
                          <w:i/>
                          <w:lang w:eastAsia="en-GB"/>
                        </w:rPr>
                      </m:ctrlPr>
                    </m:sSubPr>
                    <m:e>
                      <m:r>
                        <w:rPr>
                          <w:rFonts w:ascii="Cambria Math" w:hAnsi="Cambria Math"/>
                          <w:lang w:eastAsia="en-GB"/>
                        </w:rPr>
                        <m:t>f</m:t>
                      </m:r>
                    </m:e>
                    <m:sub>
                      <m:r>
                        <w:rPr>
                          <w:rFonts w:ascii="Cambria Math" w:hAnsi="Cambria Math"/>
                          <w:lang w:eastAsia="en-GB"/>
                        </w:rPr>
                        <m:t>i</m:t>
                      </m:r>
                    </m:sub>
                  </m:sSub>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β</m:t>
                      </m:r>
                    </m:e>
                    <m:sub>
                      <m:r>
                        <w:rPr>
                          <w:rFonts w:ascii="Cambria Math" w:hAnsi="Cambria Math"/>
                          <w:lang w:eastAsia="en-GB"/>
                        </w:rPr>
                        <m:t>i</m:t>
                      </m:r>
                    </m:sub>
                    <m:sup>
                      <m:r>
                        <w:rPr>
                          <w:rFonts w:ascii="Cambria Math" w:hAnsi="Cambria Math"/>
                          <w:lang w:eastAsia="en-GB"/>
                        </w:rPr>
                        <m:t>2</m:t>
                      </m:r>
                    </m:sup>
                  </m:sSubSup>
                </m:e>
              </m:nary>
            </m:num>
            <m:den>
              <m:r>
                <w:rPr>
                  <w:rFonts w:ascii="Cambria Math" w:hAnsi="Cambria Math"/>
                  <w:lang w:eastAsia="en-GB"/>
                </w:rPr>
                <m:t>V</m:t>
              </m:r>
            </m:den>
          </m:f>
        </m:oMath>
      </m:oMathPara>
    </w:p>
    <w:p w14:paraId="6B9A1BB0" w14:textId="554551D8" w:rsidR="00A81934" w:rsidRDefault="00A81934" w:rsidP="0098134A">
      <w:r>
        <w:t xml:space="preserve">where n is the number of variants, </w:t>
      </w:r>
      <w:r w:rsidRPr="002E05DD">
        <w:rPr>
          <w:i/>
        </w:rPr>
        <w:t>f</w:t>
      </w:r>
      <w:r w:rsidRPr="002E05DD">
        <w:rPr>
          <w:i/>
          <w:vertAlign w:val="subscript"/>
        </w:rPr>
        <w:t>i</w:t>
      </w:r>
      <w:r>
        <w:t xml:space="preserve"> and </w:t>
      </w:r>
      <w:r w:rsidRPr="002E05DD">
        <w:rPr>
          <w:i/>
        </w:rPr>
        <w:t>β</w:t>
      </w:r>
      <w:r w:rsidRPr="002E05DD">
        <w:rPr>
          <w:i/>
          <w:vertAlign w:val="subscript"/>
        </w:rPr>
        <w:t>i</w:t>
      </w:r>
      <w:r>
        <w:t xml:space="preserve"> are the frequency and effect estimate of the i’th variant, and V is the phenotypic variance (always 1 as our phenotypes were inverse-normal transformed). We used the same conservative effect estimates (</w:t>
      </w:r>
      <w:r w:rsidRPr="002E05DD">
        <w:t>β</w:t>
      </w:r>
      <w:r>
        <w:t>) used as GRS weights for the 279 GRS variants , derived from either UK Biobank or SpiroMeta effect estimates (described above). Our previously published estimate of proportion of variance explained</w:t>
      </w:r>
      <w:r w:rsidRPr="00DB0E91">
        <w:rPr>
          <w:noProof/>
          <w:vertAlign w:val="superscript"/>
        </w:rPr>
        <w:t>18</w:t>
      </w:r>
      <w:r>
        <w:t xml:space="preserve"> used UK Biobank effect estimates. We assumed a heritability of 40%</w:t>
      </w:r>
      <w:r w:rsidRPr="00450747">
        <w:rPr>
          <w:noProof/>
          <w:vertAlign w:val="superscript"/>
        </w:rPr>
        <w:t>24,25</w:t>
      </w:r>
      <w:r>
        <w:t xml:space="preserve"> to estimate the proportion of additive polygenic variance.</w:t>
      </w:r>
    </w:p>
    <w:p w14:paraId="12252600" w14:textId="77777777" w:rsidR="00A81934" w:rsidRDefault="00A81934" w:rsidP="00C91F54">
      <w:pPr>
        <w:pStyle w:val="berschrift2"/>
      </w:pPr>
      <w:bookmarkStart w:id="72" w:name="_Toc509405326"/>
      <w:r>
        <w:t>Fine-mapping</w:t>
      </w:r>
      <w:bookmarkEnd w:id="72"/>
    </w:p>
    <w:p w14:paraId="362F999B" w14:textId="5F61BAA9" w:rsidR="00A81934" w:rsidRDefault="00A81934">
      <w:r w:rsidRPr="009C4A51">
        <w:t>A Bayesian method</w:t>
      </w:r>
      <w:r w:rsidRPr="00957744">
        <w:rPr>
          <w:noProof/>
          <w:vertAlign w:val="superscript"/>
        </w:rPr>
        <w:t>59</w:t>
      </w:r>
      <w:r>
        <w:t xml:space="preserve"> </w:t>
      </w:r>
      <w:r w:rsidRPr="009C4A51">
        <w:t>was used to fine-map lung-function-associated signals to the set of variants that were 9</w:t>
      </w:r>
      <w:r>
        <w:t>9</w:t>
      </w:r>
      <w:r w:rsidRPr="009C4A51">
        <w:t xml:space="preserve">% likely to contain the underlying causal variant (assuming that the causal variant </w:t>
      </w:r>
      <w:r>
        <w:t>was</w:t>
      </w:r>
      <w:r w:rsidRPr="009C4A51">
        <w:t xml:space="preserve"> analy</w:t>
      </w:r>
      <w:r w:rsidR="009A1ED4">
        <w:t>z</w:t>
      </w:r>
      <w:r w:rsidRPr="009C4A51">
        <w:t>ed). This was undertaken for new signals and for previously repo</w:t>
      </w:r>
      <w:r>
        <w:t>rted signals reaching P&lt;</w:t>
      </w:r>
      <w:r w:rsidRPr="009C4A51">
        <w:t>10</w:t>
      </w:r>
      <w:r w:rsidRPr="00EC75B7">
        <w:rPr>
          <w:vertAlign w:val="superscript"/>
        </w:rPr>
        <w:t>-5</w:t>
      </w:r>
      <w:r w:rsidRPr="009C4A51">
        <w:t xml:space="preserve"> in </w:t>
      </w:r>
      <w:r>
        <w:t>UK Biobank. For previously reported signals, the sentinel variant from the current UK Biobank analysis was used, instead of the previously reported variant. W</w:t>
      </w:r>
      <w:r w:rsidRPr="009C4A51">
        <w:t xml:space="preserve">e </w:t>
      </w:r>
      <w:r>
        <w:t>used a</w:t>
      </w:r>
      <w:r w:rsidRPr="009C4A51">
        <w:t xml:space="preserve"> value of </w:t>
      </w:r>
      <w:r>
        <w:t xml:space="preserve">0.04 for </w:t>
      </w:r>
      <w:r w:rsidRPr="009C4A51">
        <w:t xml:space="preserve">the prior </w:t>
      </w:r>
      <w:r w:rsidRPr="00EC75B7">
        <w:t>W in</w:t>
      </w:r>
      <w:r w:rsidRPr="009C4A51">
        <w:t xml:space="preserve"> the ap</w:t>
      </w:r>
      <w:r>
        <w:t>proximate Bayes factor formula</w:t>
      </w:r>
      <w:r w:rsidRPr="00957744">
        <w:rPr>
          <w:noProof/>
          <w:vertAlign w:val="superscript"/>
        </w:rPr>
        <w:t>60</w:t>
      </w:r>
      <w:r>
        <w:t xml:space="preserve">. Effect sizes and standard errors for fine-mapping were obtained from inverse-variance weighted meta-analysis of UK Biobank and SpiroMeta (maximum n=400,102). </w:t>
      </w:r>
      <w:r w:rsidRPr="009C4A51">
        <w:t>Signals in the HLA region were not included.</w:t>
      </w:r>
      <w:r>
        <w:t xml:space="preserve"> </w:t>
      </w:r>
    </w:p>
    <w:p w14:paraId="5B248D59" w14:textId="77777777" w:rsidR="00A81934" w:rsidRDefault="00A81934" w:rsidP="00C7056E">
      <w:pPr>
        <w:pStyle w:val="berschrift2"/>
      </w:pPr>
      <w:bookmarkStart w:id="73" w:name="_Toc509405327"/>
      <w:r>
        <w:t>Implication of potentially causal genes</w:t>
      </w:r>
      <w:bookmarkEnd w:id="73"/>
    </w:p>
    <w:p w14:paraId="244F7875" w14:textId="77777777" w:rsidR="00A81934" w:rsidRPr="00EF00CE" w:rsidRDefault="00A81934" w:rsidP="00EF00CE">
      <w:pPr>
        <w:pStyle w:val="berschrift3"/>
      </w:pPr>
      <w:bookmarkStart w:id="74" w:name="_Toc509405328"/>
      <w:r w:rsidRPr="00EF00CE">
        <w:t>Annotation of deleterious variants</w:t>
      </w:r>
      <w:bookmarkEnd w:id="74"/>
    </w:p>
    <w:p w14:paraId="17CCF447" w14:textId="4317E87A" w:rsidR="00A81934" w:rsidRDefault="00A81934" w:rsidP="00015974">
      <w:r>
        <w:t>Variants in the 99% credible sets were checked for predicted functional effect if they were annotated as “exonic”, “splicing”, “ncRNA_exonic”, “5’-UTR” or “3’-UTR” (untranslated region) by ANNOVAR</w:t>
      </w:r>
      <w:r w:rsidRPr="00957744">
        <w:rPr>
          <w:noProof/>
          <w:vertAlign w:val="superscript"/>
        </w:rPr>
        <w:t>61</w:t>
      </w:r>
      <w:r>
        <w:t xml:space="preserve">.  We then used SIFT, PolyPhen-2 (implemented using the </w:t>
      </w:r>
      <w:r w:rsidRPr="004A3739">
        <w:t xml:space="preserve">Ensembl </w:t>
      </w:r>
      <w:r>
        <w:t xml:space="preserve">GRCh37 </w:t>
      </w:r>
      <w:r w:rsidRPr="004A3739">
        <w:t>Variant Effect Predictor</w:t>
      </w:r>
      <w:r>
        <w:t>, see URLs) and FATHMM</w:t>
      </w:r>
      <w:r w:rsidRPr="00957744">
        <w:rPr>
          <w:noProof/>
          <w:vertAlign w:val="superscript"/>
        </w:rPr>
        <w:t>62</w:t>
      </w:r>
      <w:r>
        <w:t xml:space="preserve"> to annotate missense variants, and CADD (also implemented using VEP) to annotate non-coding variation. Variants were annotated as deleterious if they were labelled </w:t>
      </w:r>
      <w:r w:rsidRPr="004A3739">
        <w:t>'deleterious' by SIFT, 'probably damaging'</w:t>
      </w:r>
      <w:r>
        <w:t xml:space="preserve"> or</w:t>
      </w:r>
      <w:r w:rsidRPr="004A3739">
        <w:t xml:space="preserve"> 'po</w:t>
      </w:r>
      <w:r>
        <w:t>ssibly</w:t>
      </w:r>
      <w:r w:rsidRPr="004A3739">
        <w:t xml:space="preserve"> damaging' by PolyPhen</w:t>
      </w:r>
      <w:r>
        <w:t>-2, ‘damaging’ by FATHMM (specifying the ‘Inherited Disease’ option of the ‘Coding Variants’ method, and using the ‘Unweighted’ prediction algorithm) or had a CADD scaled score ≥20</w:t>
      </w:r>
      <w:r w:rsidRPr="00DB0E91">
        <w:rPr>
          <w:noProof/>
          <w:vertAlign w:val="superscript"/>
        </w:rPr>
        <w:t>4</w:t>
      </w:r>
      <w:r>
        <w:t xml:space="preserve">. The union of the four methods was taken to establish the number of potentially deleterious variants and their unique genes. </w:t>
      </w:r>
    </w:p>
    <w:p w14:paraId="2CC3FE1E" w14:textId="77777777" w:rsidR="00A81934" w:rsidRPr="002D218A" w:rsidRDefault="00A81934" w:rsidP="00EF00CE">
      <w:pPr>
        <w:pStyle w:val="berschrift3"/>
      </w:pPr>
      <w:bookmarkStart w:id="75" w:name="_Toc509405329"/>
      <w:r>
        <w:t>Gene expression</w:t>
      </w:r>
      <w:bookmarkEnd w:id="75"/>
      <w:r>
        <w:t xml:space="preserve"> and protein levels</w:t>
      </w:r>
    </w:p>
    <w:p w14:paraId="75F892D2" w14:textId="77777777" w:rsidR="00A81934" w:rsidRDefault="00A81934" w:rsidP="002D218A">
      <w:r>
        <w:t>At 276 of 279 (3 HLA signals excluded) signals</w:t>
      </w:r>
      <w:r w:rsidRPr="007110F0">
        <w:t xml:space="preserve">, the sentinel </w:t>
      </w:r>
      <w:r>
        <w:t xml:space="preserve">variant </w:t>
      </w:r>
      <w:r w:rsidRPr="007110F0">
        <w:t xml:space="preserve">and </w:t>
      </w:r>
      <w:r>
        <w:t>99% credible set</w:t>
      </w:r>
      <w:r w:rsidRPr="00957744">
        <w:rPr>
          <w:noProof/>
          <w:vertAlign w:val="superscript"/>
        </w:rPr>
        <w:t>59</w:t>
      </w:r>
      <w:r w:rsidRPr="007110F0">
        <w:t xml:space="preserve"> were used to query three eQTL resources: lung eQTL</w:t>
      </w:r>
      <w:r>
        <w:t xml:space="preserve"> (</w:t>
      </w:r>
      <w:r w:rsidRPr="00217B7F">
        <w:t>n=1,111</w:t>
      </w:r>
      <w:r>
        <w:t>)</w:t>
      </w:r>
      <w:r w:rsidRPr="00DB0E91">
        <w:rPr>
          <w:noProof/>
          <w:vertAlign w:val="superscript"/>
        </w:rPr>
        <w:t>13</w:t>
      </w:r>
      <w:r>
        <w:t>, blood eQTL (</w:t>
      </w:r>
      <w:r w:rsidRPr="00217B7F">
        <w:t>n=4,896</w:t>
      </w:r>
      <w:r>
        <w:t>)</w:t>
      </w:r>
      <w:r w:rsidRPr="00957744">
        <w:rPr>
          <w:noProof/>
          <w:vertAlign w:val="superscript"/>
        </w:rPr>
        <w:t>63</w:t>
      </w:r>
      <w:r w:rsidRPr="007110F0">
        <w:t xml:space="preserve"> and GTEx</w:t>
      </w:r>
      <w:r>
        <w:t xml:space="preserve"> (V7; with maximum </w:t>
      </w:r>
      <w:r w:rsidRPr="00217B7F">
        <w:t>n</w:t>
      </w:r>
      <w:r>
        <w:t>=388, depending on tissue: ‘Artery Aorta’ (n=267), ‘Artery Coronary’ (n=152), ‘Artery Tibial’ (n=388), ‘Colon Sigmoid’ (n=203), ‘Colon Transverse’ (n=246), ‘Esophagus Gastroesophageal Junction’ (n=213), ‘Esophagus Muscularis’ (n=335), ‘Lung’ (n=383), ‘Small Intestine Terminal Ileum’ (n=122), ‘Stomach’ (n=237), and ‘Whole Blood’ (n=369))</w:t>
      </w:r>
      <w:r w:rsidRPr="00957744">
        <w:rPr>
          <w:noProof/>
          <w:vertAlign w:val="superscript"/>
        </w:rPr>
        <w:t>64</w:t>
      </w:r>
      <w:r>
        <w:t>, and one blood pQTL resource (n</w:t>
      </w:r>
      <w:r w:rsidRPr="003E2737">
        <w:t>=</w:t>
      </w:r>
      <w:r>
        <w:t>3,301)</w:t>
      </w:r>
      <w:r w:rsidRPr="00450747">
        <w:rPr>
          <w:noProof/>
          <w:vertAlign w:val="superscript"/>
        </w:rPr>
        <w:t>39</w:t>
      </w:r>
      <w:r>
        <w:t>.</w:t>
      </w:r>
    </w:p>
    <w:p w14:paraId="5C257EE5" w14:textId="762D3783" w:rsidR="00A81934" w:rsidRDefault="00A81934" w:rsidP="002D218A">
      <w:r w:rsidRPr="007110F0">
        <w:t xml:space="preserve">A gene was classified as a </w:t>
      </w:r>
      <w:r>
        <w:t>‘putative</w:t>
      </w:r>
      <w:r w:rsidRPr="007110F0">
        <w:t xml:space="preserve"> causal gene</w:t>
      </w:r>
      <w:r>
        <w:t>’</w:t>
      </w:r>
      <w:r w:rsidRPr="007110F0">
        <w:t xml:space="preserve"> if the sentinel SNP or </w:t>
      </w:r>
      <w:r>
        <w:t>any SNP in the respective 99% credible set</w:t>
      </w:r>
      <w:r w:rsidRPr="007110F0">
        <w:t xml:space="preserve"> </w:t>
      </w:r>
      <w:r>
        <w:t>was associated with expression of this gene or its protein levels (</w:t>
      </w:r>
      <w:r w:rsidRPr="007110F0">
        <w:t>FDR</w:t>
      </w:r>
      <w:r>
        <w:t>&lt;5</w:t>
      </w:r>
      <w:r w:rsidRPr="007110F0">
        <w:t xml:space="preserve">% for </w:t>
      </w:r>
      <w:r>
        <w:t>eQTL,</w:t>
      </w:r>
      <w:r w:rsidRPr="00D431C3">
        <w:t xml:space="preserve"> </w:t>
      </w:r>
      <w:r>
        <w:t>P&lt;5.03×10</w:t>
      </w:r>
      <w:r>
        <w:rPr>
          <w:vertAlign w:val="superscript"/>
        </w:rPr>
        <w:t xml:space="preserve">-8 </w:t>
      </w:r>
      <w:r>
        <w:t xml:space="preserve"> for pQTL</w:t>
      </w:r>
      <w:r w:rsidRPr="0090204A">
        <w:t xml:space="preserve"> </w:t>
      </w:r>
      <w:r w:rsidRPr="004523F6">
        <w:t>[</w:t>
      </w:r>
      <w:r>
        <w:t>276 tests at 3,600 proteins]</w:t>
      </w:r>
      <w:r w:rsidR="003D65FC">
        <w:t>)</w:t>
      </w:r>
      <w:r>
        <w:t xml:space="preserve"> and if the GWAS sentinel SNP </w:t>
      </w:r>
      <w:r w:rsidRPr="00B30916">
        <w:t xml:space="preserve">or any SNP in the respective 99% credible set </w:t>
      </w:r>
      <w:r w:rsidRPr="007110F0">
        <w:t>was the variant most strongly associated with expression of the</w:t>
      </w:r>
      <w:r>
        <w:t xml:space="preserve"> respective</w:t>
      </w:r>
      <w:r w:rsidRPr="007110F0">
        <w:t xml:space="preserve"> gene</w:t>
      </w:r>
      <w:r>
        <w:t xml:space="preserve"> or level of the respective protein (i.e. the sentinel eQTL/pQTL SNP)</w:t>
      </w:r>
      <w:r w:rsidRPr="007110F0">
        <w:t xml:space="preserve"> in one or more of the eQTL</w:t>
      </w:r>
      <w:r>
        <w:t xml:space="preserve"> and pQTL data sets.</w:t>
      </w:r>
    </w:p>
    <w:p w14:paraId="2581F3BB" w14:textId="77777777" w:rsidR="00A81934" w:rsidRDefault="00A81934" w:rsidP="00E37159">
      <w:pPr>
        <w:pStyle w:val="berschrift2"/>
      </w:pPr>
      <w:bookmarkStart w:id="76" w:name="_Toc509405330"/>
      <w:r>
        <w:t>Pathway analysis</w:t>
      </w:r>
      <w:bookmarkEnd w:id="76"/>
    </w:p>
    <w:p w14:paraId="05700CED" w14:textId="61AE37DD" w:rsidR="00A81934" w:rsidRDefault="00A81934" w:rsidP="00E37159">
      <w:r>
        <w:t>We tested for enrichment of genes identified via functional annotation, gene expression or protein level analyses in pathway and gene set ontology databases using ConsensusPathDB.</w:t>
      </w:r>
      <w:r w:rsidRPr="00957744">
        <w:rPr>
          <w:noProof/>
          <w:vertAlign w:val="superscript"/>
        </w:rPr>
        <w:t>65</w:t>
      </w:r>
      <w:r>
        <w:t xml:space="preserve"> </w:t>
      </w:r>
      <w:r w:rsidRPr="000B110D">
        <w:t xml:space="preserve">Pathways or gene sets </w:t>
      </w:r>
      <w:r w:rsidRPr="000B110D">
        <w:lastRenderedPageBreak/>
        <w:t>represented entirely by genes implicated by the same association signal were excluded. Gene sets and pathways with FDR&lt;5% are reported.</w:t>
      </w:r>
    </w:p>
    <w:p w14:paraId="36AC9838" w14:textId="77777777" w:rsidR="00A81934" w:rsidRDefault="00A81934" w:rsidP="00366164">
      <w:pPr>
        <w:pStyle w:val="berschrift2"/>
      </w:pPr>
      <w:r>
        <w:t>Functional enrichment analyses</w:t>
      </w:r>
    </w:p>
    <w:p w14:paraId="1658780F" w14:textId="42CD26E7" w:rsidR="00A81934" w:rsidRDefault="00A81934" w:rsidP="00D11311">
      <w:r>
        <w:t xml:space="preserve">We carried out stratified LD score regression to identify significant enrichment of heritability </w:t>
      </w:r>
      <w:r w:rsidRPr="00E965FD">
        <w:t>at variants overlapping histone marks (e.g. H3K4me1, H3K4me3) specific to lung</w:t>
      </w:r>
      <w:r>
        <w:t>, foetal lung,</w:t>
      </w:r>
      <w:r w:rsidRPr="00E965FD">
        <w:t xml:space="preserve"> and s</w:t>
      </w:r>
      <w:r>
        <w:t>mooth</w:t>
      </w:r>
      <w:r w:rsidRPr="00E965FD">
        <w:t xml:space="preserve"> muscle</w:t>
      </w:r>
      <w:r>
        <w:t xml:space="preserve">-containing (e.g. colon, stomach) </w:t>
      </w:r>
      <w:r w:rsidRPr="00E965FD">
        <w:t>cell lines</w:t>
      </w:r>
      <w:r>
        <w:t xml:space="preserve">, using methods specified by Finucane </w:t>
      </w:r>
      <w:r w:rsidRPr="00E965FD">
        <w:rPr>
          <w:i/>
        </w:rPr>
        <w:t>et al</w:t>
      </w:r>
      <w:r>
        <w:t>.</w:t>
      </w:r>
      <w:r w:rsidRPr="00795126">
        <w:rPr>
          <w:noProof/>
          <w:vertAlign w:val="superscript"/>
        </w:rPr>
        <w:t>40</w:t>
      </w:r>
      <w:r>
        <w:t xml:space="preserve"> </w:t>
      </w:r>
    </w:p>
    <w:p w14:paraId="5B029783" w14:textId="7C309DD8" w:rsidR="00A81934" w:rsidRDefault="00A81934" w:rsidP="00366164">
      <w:r>
        <w:t>We separately selected FEV</w:t>
      </w:r>
      <w:r w:rsidRPr="000B6941">
        <w:rPr>
          <w:vertAlign w:val="subscript"/>
        </w:rPr>
        <w:t>1</w:t>
      </w:r>
      <w:r>
        <w:t>/FVC and FVC associated SNPs passing two thresholds (P&lt;5×10</w:t>
      </w:r>
      <w:r w:rsidRPr="00E123DD">
        <w:rPr>
          <w:vertAlign w:val="superscript"/>
        </w:rPr>
        <w:t>-5</w:t>
      </w:r>
      <w:r>
        <w:t xml:space="preserve"> and P&lt;5×10</w:t>
      </w:r>
      <w:r w:rsidRPr="00E123DD">
        <w:rPr>
          <w:vertAlign w:val="superscript"/>
        </w:rPr>
        <w:t>-9</w:t>
      </w:r>
      <w:r>
        <w:rPr>
          <w:vertAlign w:val="superscript"/>
        </w:rPr>
        <w:t xml:space="preserve"> </w:t>
      </w:r>
      <w:r>
        <w:t>in the meta-analysis) as input to GARFIELD</w:t>
      </w:r>
      <w:r w:rsidRPr="0001668F">
        <w:rPr>
          <w:noProof/>
          <w:vertAlign w:val="superscript"/>
        </w:rPr>
        <w:t>41</w:t>
      </w:r>
      <w:r>
        <w:t xml:space="preserve"> to test for enrichment of our signals for 424 DHS hotspot annotations derived from 55 different tissues in the RoadMap Epigenomics and ENCODE projects.</w:t>
      </w:r>
    </w:p>
    <w:p w14:paraId="0D7B620C" w14:textId="4342D483" w:rsidR="00A81934" w:rsidRPr="00366164" w:rsidRDefault="00A81934" w:rsidP="00E37159">
      <w:pPr>
        <w:rPr>
          <w:b/>
        </w:rPr>
      </w:pPr>
      <w:r>
        <w:t>Using DeepSEA</w:t>
      </w:r>
      <w:r w:rsidRPr="00450747">
        <w:rPr>
          <w:noProof/>
          <w:vertAlign w:val="superscript"/>
        </w:rPr>
        <w:t>42</w:t>
      </w:r>
      <w:r w:rsidRPr="004D2FA7">
        <w:t>, we analy</w:t>
      </w:r>
      <w:r w:rsidR="009A1ED4">
        <w:t>z</w:t>
      </w:r>
      <w:r w:rsidRPr="004D2FA7">
        <w:t xml:space="preserve">ed </w:t>
      </w:r>
      <w:r>
        <w:t>all</w:t>
      </w:r>
      <w:r w:rsidRPr="004D2FA7">
        <w:t xml:space="preserve"> SNP</w:t>
      </w:r>
      <w:r>
        <w:t>s</w:t>
      </w:r>
      <w:r w:rsidRPr="004D2FA7">
        <w:t xml:space="preserve"> in the 99% credible set</w:t>
      </w:r>
      <w:r>
        <w:t xml:space="preserve"> for predicted chromatin effects</w:t>
      </w:r>
      <w:r w:rsidRPr="004D2FA7">
        <w:t xml:space="preserve">. We reported effects for any chromatin </w:t>
      </w:r>
      <w:r>
        <w:t>effect</w:t>
      </w:r>
      <w:r w:rsidRPr="004D2FA7">
        <w:t xml:space="preserve"> and lung-related cell line </w:t>
      </w:r>
      <w:r>
        <w:t>with</w:t>
      </w:r>
      <w:r w:rsidRPr="004D2FA7">
        <w:t xml:space="preserve"> an E-value&lt;0.05</w:t>
      </w:r>
      <w:r>
        <w:t xml:space="preserve"> (i.e. the expected proportion of SNPs with a larger predicted effect based on empirical distributions of predicted effects for 1000 Genomes SNPs)</w:t>
      </w:r>
      <w:r w:rsidRPr="004D2FA7">
        <w:t xml:space="preserve"> and an absolute difference in probability of</w:t>
      </w:r>
      <w:r>
        <w:t>&gt;</w:t>
      </w:r>
      <w:r w:rsidRPr="004D2FA7">
        <w:t xml:space="preserve">0.1 (threshold for “high confidence”) between the reference and alternative allele. </w:t>
      </w:r>
    </w:p>
    <w:p w14:paraId="516D1796" w14:textId="77777777" w:rsidR="00A81934" w:rsidRDefault="00A81934" w:rsidP="00DA3F6B">
      <w:pPr>
        <w:pStyle w:val="berschrift2"/>
      </w:pPr>
      <w:r>
        <w:t>Drug targets</w:t>
      </w:r>
    </w:p>
    <w:p w14:paraId="612EBC4B" w14:textId="03151942" w:rsidR="00A81934" w:rsidRDefault="00A81934" w:rsidP="00DA3F6B">
      <w:pPr>
        <w:rPr>
          <w:rFonts w:ascii="Calibri" w:hAnsi="Calibri"/>
          <w:color w:val="000000"/>
        </w:rPr>
      </w:pPr>
      <w:r>
        <w:rPr>
          <w:rFonts w:ascii="Calibri" w:hAnsi="Calibri"/>
          <w:color w:val="000000"/>
        </w:rPr>
        <w:t>Genes identified as potentially causal using eQTL, pQTL or variant annotation were interrogated against the gene-drug interactions table of the Drug-Gene Interactions Database (DGIDB) (</w:t>
      </w:r>
      <w:r>
        <w:t>see URLs</w:t>
      </w:r>
      <w:r>
        <w:rPr>
          <w:rFonts w:ascii="Calibri" w:hAnsi="Calibri"/>
        </w:rPr>
        <w:t>)</w:t>
      </w:r>
      <w:r>
        <w:rPr>
          <w:rFonts w:ascii="Calibri" w:hAnsi="Calibri"/>
          <w:color w:val="000000"/>
        </w:rPr>
        <w:t>. Drugs were mapped to CHEMBL IDs (</w:t>
      </w:r>
      <w:r>
        <w:t>see URLs</w:t>
      </w:r>
      <w:r>
        <w:rPr>
          <w:rFonts w:ascii="Calibri" w:hAnsi="Calibri"/>
          <w:color w:val="000000"/>
        </w:rPr>
        <w:t>), and indications (MeSH headings) were added.</w:t>
      </w:r>
    </w:p>
    <w:p w14:paraId="58FA6B2D" w14:textId="77777777" w:rsidR="00A81934" w:rsidRPr="001E3280" w:rsidRDefault="00A81934" w:rsidP="00C7056E">
      <w:pPr>
        <w:pStyle w:val="berschrift2"/>
      </w:pPr>
      <w:r>
        <w:t>Phenome-wide association studies</w:t>
      </w:r>
    </w:p>
    <w:p w14:paraId="19EE86B3" w14:textId="75DF8DBD" w:rsidR="00A81934" w:rsidRPr="00C54B8C" w:rsidRDefault="00A81934" w:rsidP="00FA247D">
      <w:r>
        <w:t xml:space="preserve">To identify whether the 279 signals were associated with other traits and </w:t>
      </w:r>
      <w:r w:rsidRPr="009415E0">
        <w:t xml:space="preserve">diseases, </w:t>
      </w:r>
      <w:r>
        <w:t xml:space="preserve">the weighted GRS was calculated in up to 379,337 UK Biobank samples, and a phenome-wide association study (PheWAS) was performed, with the GRS as the exposure. Traits included UK Biobank baseline measures (from questionnaires and physical measures), self-reported medication usage, and operative procedures, as well as those captured in </w:t>
      </w:r>
      <w:r w:rsidRPr="0012367A">
        <w:t>Office of Population Censuses and Surveys</w:t>
      </w:r>
      <w:r>
        <w:t xml:space="preserve"> codes from the electronic health record. We also included self-reported disease variables and those from hospital episode statistics (ICD-10 codes truncated to three-character codes and combined in block and chapter groups), combining these where possible to maximi</w:t>
      </w:r>
      <w:r w:rsidR="009A1ED4">
        <w:t>z</w:t>
      </w:r>
      <w:r>
        <w:t>e power. The GRS analysis included 2,453 traits, and the single-variant analysis contained 2,411 traits (traits with&gt;200 cases were included for the single-variant PheWAS, whereas traits with&gt;50 cases were included in the GRS PheWAS). Analyses were conducted in unrelated European-ancestry individuals (</w:t>
      </w:r>
      <w:r>
        <w:rPr>
          <w:rFonts w:ascii="Calibri" w:hAnsi="Calibri"/>
        </w:rPr>
        <w:t>KING kinship coefficient &lt;0.0442</w:t>
      </w:r>
      <w:r>
        <w:t xml:space="preserve">), and were adjusted for </w:t>
      </w:r>
      <w:r>
        <w:rPr>
          <w:rFonts w:ascii="Calibri" w:hAnsi="Calibri"/>
        </w:rPr>
        <w:t xml:space="preserve">age, sex, genotyping array, and ten principal components. Logistic and linear models were fitted for binary and quantitative outcomes, respectively. False discovery rates were calculated according to the number of traits in the GRS and single-variant PheWAS (2,453 or 2,411, respectively). </w:t>
      </w:r>
    </w:p>
    <w:p w14:paraId="6EB24356" w14:textId="7927CA77" w:rsidR="00A81934" w:rsidRDefault="00A81934" w:rsidP="00FA247D">
      <w:pPr>
        <w:rPr>
          <w:rFonts w:ascii="Calibri" w:hAnsi="Calibri"/>
          <w:color w:val="000000"/>
        </w:rPr>
      </w:pPr>
      <w:r>
        <w:t xml:space="preserve">In addition, the sentinel variants </w:t>
      </w:r>
      <w:r>
        <w:rPr>
          <w:rFonts w:ascii="Calibri" w:hAnsi="Calibri"/>
          <w:color w:val="000000"/>
        </w:rPr>
        <w:t>99% credible set variants were queried against the GWAS catalog</w:t>
      </w:r>
      <w:r w:rsidRPr="00795126">
        <w:rPr>
          <w:noProof/>
          <w:vertAlign w:val="superscript"/>
        </w:rPr>
        <w:t>66</w:t>
      </w:r>
      <w:r>
        <w:rPr>
          <w:rFonts w:ascii="Calibri" w:hAnsi="Calibri"/>
          <w:color w:val="000000"/>
        </w:rPr>
        <w:t xml:space="preserve"> (</w:t>
      </w:r>
      <w:r>
        <w:rPr>
          <w:rStyle w:val="apple-converted-space"/>
          <w:rFonts w:ascii="Calibri" w:hAnsi="Calibri"/>
          <w:color w:val="000000"/>
        </w:rPr>
        <w:t>see URLs</w:t>
      </w:r>
      <w:r>
        <w:rPr>
          <w:rFonts w:ascii="Calibri" w:hAnsi="Calibri"/>
          <w:color w:val="000000"/>
        </w:rPr>
        <w:t>) and GRASP</w:t>
      </w:r>
      <w:r w:rsidRPr="00795126">
        <w:rPr>
          <w:noProof/>
          <w:vertAlign w:val="superscript"/>
        </w:rPr>
        <w:t>67</w:t>
      </w:r>
      <w:r>
        <w:rPr>
          <w:rFonts w:ascii="Calibri" w:hAnsi="Calibri"/>
          <w:color w:val="000000"/>
        </w:rPr>
        <w:t xml:space="preserve"> </w:t>
      </w:r>
      <w:r w:rsidRPr="00D44BD2">
        <w:t>(</w:t>
      </w:r>
      <w:r>
        <w:t>see URLs</w:t>
      </w:r>
      <w:r w:rsidRPr="00D44BD2">
        <w:t>)</w:t>
      </w:r>
      <w:r>
        <w:rPr>
          <w:rFonts w:ascii="Calibri" w:hAnsi="Calibri"/>
          <w:color w:val="000000"/>
        </w:rPr>
        <w:t xml:space="preserve"> for associations at P&lt;5×10</w:t>
      </w:r>
      <w:r>
        <w:rPr>
          <w:rFonts w:ascii="Calibri" w:hAnsi="Calibri"/>
          <w:color w:val="000000"/>
          <w:vertAlign w:val="superscript"/>
        </w:rPr>
        <w:noBreakHyphen/>
        <w:t>8</w:t>
      </w:r>
      <w:r>
        <w:rPr>
          <w:rFonts w:ascii="Calibri" w:hAnsi="Calibri"/>
          <w:color w:val="000000"/>
        </w:rPr>
        <w:t>. Associations relating to methylation, expression, metabolite or protein levels, as well as lung function and COPD, were not included.</w:t>
      </w:r>
    </w:p>
    <w:p w14:paraId="47CE30EE" w14:textId="77777777" w:rsidR="00A81934" w:rsidRDefault="00A81934">
      <w:pPr>
        <w:spacing w:after="160" w:line="259" w:lineRule="auto"/>
        <w:rPr>
          <w:rFonts w:eastAsiaTheme="majorEastAsia" w:cstheme="majorBidi"/>
          <w:b/>
        </w:rPr>
      </w:pPr>
      <w:r>
        <w:br w:type="page"/>
      </w:r>
    </w:p>
    <w:p w14:paraId="4C37E983" w14:textId="598B5B7F" w:rsidR="00A81934" w:rsidRDefault="00A81934" w:rsidP="00EF6C4C">
      <w:pPr>
        <w:pStyle w:val="berschrift1"/>
      </w:pPr>
      <w:r w:rsidRPr="003D4AB0">
        <w:lastRenderedPageBreak/>
        <w:t>Data availability statement</w:t>
      </w:r>
    </w:p>
    <w:p w14:paraId="18061245" w14:textId="1BB0DAA7" w:rsidR="00A81934" w:rsidRDefault="00A81934" w:rsidP="00EF6C4C">
      <w:r>
        <w:t>SpiroMeta GWAS summary statistics and UK Biobank GWAS summary statistics are available online via LD-Hub (</w:t>
      </w:r>
      <w:r w:rsidRPr="00984CD6">
        <w:t>http://ldsc.broadinstitute.org/ldhub/</w:t>
      </w:r>
      <w:r>
        <w:t xml:space="preserve">). Single-variant PheWAS results are available by request to the corresponding authors. </w:t>
      </w:r>
      <w:r w:rsidR="006D7FEC">
        <w:t>T</w:t>
      </w:r>
      <w:r>
        <w:t>he newly derived spirometry variables are available from UK Biobank</w:t>
      </w:r>
      <w:r w:rsidR="006D7FEC">
        <w:t xml:space="preserve"> (</w:t>
      </w:r>
      <w:hyperlink r:id="rId16" w:tgtFrame="pmc_ext" w:history="1">
        <w:r w:rsidR="006D7FEC" w:rsidRPr="00E031E5">
          <w:t>http://www.ukbiobank.ac.uk/</w:t>
        </w:r>
      </w:hyperlink>
      <w:r w:rsidR="006D7FEC">
        <w:t>)</w:t>
      </w:r>
      <w:r>
        <w:t>.</w:t>
      </w:r>
    </w:p>
    <w:p w14:paraId="3BF7A613" w14:textId="77777777" w:rsidR="00A81934" w:rsidRDefault="00A81934" w:rsidP="00EF6C4C">
      <w:pPr>
        <w:pStyle w:val="berschrift1"/>
      </w:pPr>
      <w:r>
        <w:t>Methods-only references</w:t>
      </w:r>
    </w:p>
    <w:p w14:paraId="5567056D" w14:textId="77777777" w:rsidR="00384302" w:rsidRPr="00E16407" w:rsidRDefault="00384302" w:rsidP="00384302">
      <w:pPr>
        <w:pStyle w:val="EndNoteBibliography"/>
        <w:spacing w:after="0"/>
        <w:ind w:left="720" w:hanging="720"/>
      </w:pPr>
      <w:bookmarkStart w:id="77" w:name="_ENREF_55"/>
      <w:r w:rsidRPr="00E16407">
        <w:t>55.</w:t>
      </w:r>
      <w:r w:rsidRPr="00E16407">
        <w:tab/>
        <w:t xml:space="preserve">The 1000 Genomes Project Consortium. A map of human genome variation from population-scale sequencing. </w:t>
      </w:r>
      <w:r w:rsidRPr="00E16407">
        <w:rPr>
          <w:i/>
        </w:rPr>
        <w:t>Nature</w:t>
      </w:r>
      <w:r w:rsidRPr="00E16407">
        <w:t xml:space="preserve"> </w:t>
      </w:r>
      <w:r w:rsidRPr="00E16407">
        <w:rPr>
          <w:b/>
        </w:rPr>
        <w:t>467</w:t>
      </w:r>
      <w:r w:rsidRPr="00E16407">
        <w:t>, 1061 (2010).</w:t>
      </w:r>
      <w:bookmarkEnd w:id="77"/>
    </w:p>
    <w:p w14:paraId="6C47FF76" w14:textId="77777777" w:rsidR="00384302" w:rsidRPr="00E16407" w:rsidRDefault="00384302" w:rsidP="00384302">
      <w:pPr>
        <w:pStyle w:val="EndNoteBibliography"/>
        <w:spacing w:after="0"/>
        <w:ind w:left="720" w:hanging="720"/>
      </w:pPr>
      <w:bookmarkStart w:id="78" w:name="_ENREF_56"/>
      <w:r w:rsidRPr="00E16407">
        <w:t>56.</w:t>
      </w:r>
      <w:r w:rsidRPr="00E16407">
        <w:tab/>
        <w:t>Bycroft, C.</w:t>
      </w:r>
      <w:r w:rsidRPr="00E16407">
        <w:rPr>
          <w:i/>
        </w:rPr>
        <w:t xml:space="preserve"> et al.</w:t>
      </w:r>
      <w:r w:rsidRPr="00E16407">
        <w:t xml:space="preserve"> Genome-wide genetic data on ~500,000 UK Biobank participants. </w:t>
      </w:r>
      <w:r w:rsidRPr="00E16407">
        <w:rPr>
          <w:i/>
        </w:rPr>
        <w:t>bioRxiv</w:t>
      </w:r>
      <w:r w:rsidRPr="00E16407">
        <w:t xml:space="preserve"> (2017).</w:t>
      </w:r>
      <w:bookmarkEnd w:id="78"/>
    </w:p>
    <w:p w14:paraId="21203C0B" w14:textId="77777777" w:rsidR="00384302" w:rsidRPr="00E16407" w:rsidRDefault="00384302" w:rsidP="00384302">
      <w:pPr>
        <w:pStyle w:val="EndNoteBibliography"/>
        <w:spacing w:after="0"/>
        <w:ind w:left="720" w:hanging="720"/>
      </w:pPr>
      <w:bookmarkStart w:id="79" w:name="_ENREF_57"/>
      <w:r w:rsidRPr="00E16407">
        <w:t>57.</w:t>
      </w:r>
      <w:r w:rsidRPr="00E16407">
        <w:tab/>
        <w:t>McCarthy, S.</w:t>
      </w:r>
      <w:r w:rsidRPr="00E16407">
        <w:rPr>
          <w:i/>
        </w:rPr>
        <w:t xml:space="preserve"> et al.</w:t>
      </w:r>
      <w:r w:rsidRPr="00E16407">
        <w:t xml:space="preserve"> A reference panel of 64,976 haplotypes for genotype imputation. </w:t>
      </w:r>
      <w:r w:rsidRPr="00E16407">
        <w:rPr>
          <w:i/>
        </w:rPr>
        <w:t>Nature genetics</w:t>
      </w:r>
      <w:r w:rsidRPr="00E16407">
        <w:t xml:space="preserve"> </w:t>
      </w:r>
      <w:r w:rsidRPr="00E16407">
        <w:rPr>
          <w:b/>
        </w:rPr>
        <w:t>48</w:t>
      </w:r>
      <w:r w:rsidRPr="00E16407">
        <w:t>, 1279-1283 (2016).</w:t>
      </w:r>
      <w:bookmarkEnd w:id="79"/>
    </w:p>
    <w:p w14:paraId="6CAC344E" w14:textId="77777777" w:rsidR="00384302" w:rsidRPr="00E16407" w:rsidRDefault="00384302" w:rsidP="00384302">
      <w:pPr>
        <w:pStyle w:val="EndNoteBibliography"/>
        <w:spacing w:after="0"/>
        <w:ind w:left="720" w:hanging="720"/>
      </w:pPr>
      <w:bookmarkStart w:id="80" w:name="_ENREF_58"/>
      <w:r w:rsidRPr="00E16407">
        <w:t>58.</w:t>
      </w:r>
      <w:r w:rsidRPr="00E16407">
        <w:tab/>
        <w:t xml:space="preserve">Yang, J., Lee, S.H., Goddard, M.E. &amp; Visscher, P.M. GCTA: a tool for genome-wide complex trait analysis. </w:t>
      </w:r>
      <w:r w:rsidRPr="00E16407">
        <w:rPr>
          <w:i/>
        </w:rPr>
        <w:t>Am J Hum Genet</w:t>
      </w:r>
      <w:r w:rsidRPr="00E16407">
        <w:t xml:space="preserve"> </w:t>
      </w:r>
      <w:r w:rsidRPr="00E16407">
        <w:rPr>
          <w:b/>
        </w:rPr>
        <w:t>88</w:t>
      </w:r>
      <w:r w:rsidRPr="00E16407">
        <w:t>, 76-82 (2011).</w:t>
      </w:r>
      <w:bookmarkEnd w:id="80"/>
    </w:p>
    <w:p w14:paraId="255F8B06" w14:textId="77777777" w:rsidR="00384302" w:rsidRPr="00E16407" w:rsidRDefault="00384302" w:rsidP="00384302">
      <w:pPr>
        <w:pStyle w:val="EndNoteBibliography"/>
        <w:spacing w:after="0"/>
        <w:ind w:left="720" w:hanging="720"/>
      </w:pPr>
      <w:bookmarkStart w:id="81" w:name="_ENREF_59"/>
      <w:r w:rsidRPr="00E16407">
        <w:t>59.</w:t>
      </w:r>
      <w:r w:rsidRPr="00E16407">
        <w:tab/>
        <w:t xml:space="preserve">Wakefield, J. Reporting and interpretation in genome-wide association studies. </w:t>
      </w:r>
      <w:r w:rsidRPr="00E16407">
        <w:rPr>
          <w:i/>
        </w:rPr>
        <w:t>Int J Epidemiol</w:t>
      </w:r>
      <w:r w:rsidRPr="00E16407">
        <w:t xml:space="preserve"> </w:t>
      </w:r>
      <w:r w:rsidRPr="00E16407">
        <w:rPr>
          <w:b/>
        </w:rPr>
        <w:t>37</w:t>
      </w:r>
      <w:r w:rsidRPr="00E16407">
        <w:t>, 641-53 (2008).</w:t>
      </w:r>
      <w:bookmarkEnd w:id="81"/>
    </w:p>
    <w:p w14:paraId="5D65343A" w14:textId="77777777" w:rsidR="00384302" w:rsidRPr="00E16407" w:rsidRDefault="00384302" w:rsidP="00384302">
      <w:pPr>
        <w:pStyle w:val="EndNoteBibliography"/>
        <w:spacing w:after="0"/>
        <w:ind w:left="720" w:hanging="720"/>
      </w:pPr>
      <w:bookmarkStart w:id="82" w:name="_ENREF_60"/>
      <w:r w:rsidRPr="00E16407">
        <w:t>60.</w:t>
      </w:r>
      <w:r w:rsidRPr="00E16407">
        <w:tab/>
        <w:t xml:space="preserve">van de Bunt, M., Cortes, A., Brown, M.A., Morris, A.P. &amp; McCarthy, M.I. Evaluating the Performance of Fine-Mapping Strategies at Common Variant GWAS Loci. </w:t>
      </w:r>
      <w:r w:rsidRPr="00E16407">
        <w:rPr>
          <w:i/>
        </w:rPr>
        <w:t>PLoS Genet</w:t>
      </w:r>
      <w:r w:rsidRPr="00E16407">
        <w:t xml:space="preserve"> </w:t>
      </w:r>
      <w:r w:rsidRPr="00E16407">
        <w:rPr>
          <w:b/>
        </w:rPr>
        <w:t>11</w:t>
      </w:r>
      <w:r w:rsidRPr="00E16407">
        <w:t>, e1005535 (2015).</w:t>
      </w:r>
      <w:bookmarkEnd w:id="82"/>
    </w:p>
    <w:p w14:paraId="0E91871D" w14:textId="77777777" w:rsidR="00384302" w:rsidRPr="00E16407" w:rsidRDefault="00384302" w:rsidP="00384302">
      <w:pPr>
        <w:pStyle w:val="EndNoteBibliography"/>
        <w:spacing w:after="0"/>
        <w:ind w:left="720" w:hanging="720"/>
      </w:pPr>
      <w:bookmarkStart w:id="83" w:name="_ENREF_61"/>
      <w:r w:rsidRPr="00E16407">
        <w:t>61.</w:t>
      </w:r>
      <w:r w:rsidRPr="00E16407">
        <w:tab/>
        <w:t xml:space="preserve">Wang, K., Li, M. &amp; Hakonarson, H. ANNOVAR: functional annotation of genetic variants from high-throughput sequencing data. </w:t>
      </w:r>
      <w:r w:rsidRPr="00E16407">
        <w:rPr>
          <w:i/>
        </w:rPr>
        <w:t>Nucleic Acids Res</w:t>
      </w:r>
      <w:r w:rsidRPr="00E16407">
        <w:t xml:space="preserve"> </w:t>
      </w:r>
      <w:r w:rsidRPr="00E16407">
        <w:rPr>
          <w:b/>
        </w:rPr>
        <w:t>38</w:t>
      </w:r>
      <w:r w:rsidRPr="00E16407">
        <w:t>, e164 (2010).</w:t>
      </w:r>
      <w:bookmarkEnd w:id="83"/>
    </w:p>
    <w:p w14:paraId="7FF9288A" w14:textId="77777777" w:rsidR="00384302" w:rsidRPr="00E16407" w:rsidRDefault="00384302" w:rsidP="00384302">
      <w:pPr>
        <w:pStyle w:val="EndNoteBibliography"/>
        <w:spacing w:after="0"/>
        <w:ind w:left="720" w:hanging="720"/>
      </w:pPr>
      <w:bookmarkStart w:id="84" w:name="_ENREF_62"/>
      <w:r w:rsidRPr="00E16407">
        <w:t>62.</w:t>
      </w:r>
      <w:r w:rsidRPr="00E16407">
        <w:tab/>
        <w:t>Shihab, H.A.</w:t>
      </w:r>
      <w:r w:rsidRPr="00E16407">
        <w:rPr>
          <w:i/>
        </w:rPr>
        <w:t xml:space="preserve"> et al.</w:t>
      </w:r>
      <w:r w:rsidRPr="00E16407">
        <w:t xml:space="preserve"> Predicting the functional, molecular, and phenotypic consequences of amino acid substitutions using hidden Markov models. </w:t>
      </w:r>
      <w:r w:rsidRPr="00E16407">
        <w:rPr>
          <w:i/>
        </w:rPr>
        <w:t>Hum Mutat</w:t>
      </w:r>
      <w:r w:rsidRPr="00E16407">
        <w:t xml:space="preserve"> </w:t>
      </w:r>
      <w:r w:rsidRPr="00E16407">
        <w:rPr>
          <w:b/>
        </w:rPr>
        <w:t>34</w:t>
      </w:r>
      <w:r w:rsidRPr="00E16407">
        <w:t>, 57-65 (2013).</w:t>
      </w:r>
      <w:bookmarkEnd w:id="84"/>
    </w:p>
    <w:p w14:paraId="14954181" w14:textId="77777777" w:rsidR="00384302" w:rsidRPr="00E16407" w:rsidRDefault="00384302" w:rsidP="00384302">
      <w:pPr>
        <w:pStyle w:val="EndNoteBibliography"/>
        <w:spacing w:after="0"/>
        <w:ind w:left="720" w:hanging="720"/>
      </w:pPr>
      <w:bookmarkStart w:id="85" w:name="_ENREF_63"/>
      <w:r w:rsidRPr="00E16407">
        <w:t>63.</w:t>
      </w:r>
      <w:r w:rsidRPr="00E16407">
        <w:tab/>
        <w:t>Jansen, R.</w:t>
      </w:r>
      <w:r w:rsidRPr="00E16407">
        <w:rPr>
          <w:i/>
        </w:rPr>
        <w:t xml:space="preserve"> et al.</w:t>
      </w:r>
      <w:r w:rsidRPr="00E16407">
        <w:t xml:space="preserve"> Conditional eQTL analysis reveals allelic heterogeneity of gene expression. </w:t>
      </w:r>
      <w:r w:rsidRPr="00E16407">
        <w:rPr>
          <w:i/>
        </w:rPr>
        <w:t>Hum Mol Genet</w:t>
      </w:r>
      <w:r w:rsidRPr="00E16407">
        <w:t xml:space="preserve"> </w:t>
      </w:r>
      <w:r w:rsidRPr="00E16407">
        <w:rPr>
          <w:b/>
        </w:rPr>
        <w:t>26</w:t>
      </w:r>
      <w:r w:rsidRPr="00E16407">
        <w:t>, 1444-1451 (2017).</w:t>
      </w:r>
      <w:bookmarkEnd w:id="85"/>
    </w:p>
    <w:p w14:paraId="3CFE9FA5" w14:textId="77777777" w:rsidR="00384302" w:rsidRPr="00E16407" w:rsidRDefault="00384302" w:rsidP="00384302">
      <w:pPr>
        <w:pStyle w:val="EndNoteBibliography"/>
        <w:spacing w:after="0"/>
        <w:ind w:left="720" w:hanging="720"/>
      </w:pPr>
      <w:bookmarkStart w:id="86" w:name="_ENREF_64"/>
      <w:r w:rsidRPr="00E16407">
        <w:t>64.</w:t>
      </w:r>
      <w:r w:rsidRPr="00E16407">
        <w:tab/>
        <w:t xml:space="preserve">Battle, A., Brown, C.D., Engelhardt, B.E. &amp; Montgomery, S.B. Genetic effects on gene expression across human tissues. </w:t>
      </w:r>
      <w:r w:rsidRPr="00E16407">
        <w:rPr>
          <w:i/>
        </w:rPr>
        <w:t>Nature</w:t>
      </w:r>
      <w:r w:rsidRPr="00E16407">
        <w:t xml:space="preserve"> </w:t>
      </w:r>
      <w:r w:rsidRPr="00E16407">
        <w:rPr>
          <w:b/>
        </w:rPr>
        <w:t>550</w:t>
      </w:r>
      <w:r w:rsidRPr="00E16407">
        <w:t>, 204-213 (2017).</w:t>
      </w:r>
      <w:bookmarkEnd w:id="86"/>
    </w:p>
    <w:p w14:paraId="0F3F561C" w14:textId="77777777" w:rsidR="00384302" w:rsidRPr="00E16407" w:rsidRDefault="00384302" w:rsidP="00384302">
      <w:pPr>
        <w:pStyle w:val="EndNoteBibliography"/>
        <w:spacing w:after="0"/>
        <w:ind w:left="720" w:hanging="720"/>
      </w:pPr>
      <w:bookmarkStart w:id="87" w:name="_ENREF_65"/>
      <w:r w:rsidRPr="00E16407">
        <w:t>65.</w:t>
      </w:r>
      <w:r w:rsidRPr="00E16407">
        <w:tab/>
        <w:t xml:space="preserve">Kamburov, A., Stelzl, U., Lehrach, H. &amp; Herwig, R. The ConsensusPathDB interaction database: 2013 update. </w:t>
      </w:r>
      <w:r w:rsidRPr="00E16407">
        <w:rPr>
          <w:i/>
        </w:rPr>
        <w:t>Nucleic Acids Res</w:t>
      </w:r>
      <w:r w:rsidRPr="00E16407">
        <w:t xml:space="preserve"> </w:t>
      </w:r>
      <w:r w:rsidRPr="00E16407">
        <w:rPr>
          <w:b/>
        </w:rPr>
        <w:t>41</w:t>
      </w:r>
      <w:r w:rsidRPr="00E16407">
        <w:t>, D793-800 (2013).</w:t>
      </w:r>
      <w:bookmarkEnd w:id="87"/>
    </w:p>
    <w:p w14:paraId="0BD7297F" w14:textId="77777777" w:rsidR="00384302" w:rsidRPr="00E16407" w:rsidRDefault="00384302" w:rsidP="00384302">
      <w:pPr>
        <w:pStyle w:val="EndNoteBibliography"/>
        <w:spacing w:after="0"/>
        <w:ind w:left="720" w:hanging="720"/>
      </w:pPr>
      <w:bookmarkStart w:id="88" w:name="_ENREF_66"/>
      <w:r w:rsidRPr="00E16407">
        <w:t>66.</w:t>
      </w:r>
      <w:r w:rsidRPr="00E16407">
        <w:tab/>
        <w:t>MacArthur, J.</w:t>
      </w:r>
      <w:r w:rsidRPr="00E16407">
        <w:rPr>
          <w:i/>
        </w:rPr>
        <w:t xml:space="preserve"> et al.</w:t>
      </w:r>
      <w:r w:rsidRPr="00E16407">
        <w:t xml:space="preserve"> The new NHGRI-EBI Catalog of published genome-wide association studies (GWAS Catalog). </w:t>
      </w:r>
      <w:r w:rsidRPr="00E16407">
        <w:rPr>
          <w:i/>
        </w:rPr>
        <w:t>Nucleic Acids Research</w:t>
      </w:r>
      <w:r w:rsidRPr="00E16407">
        <w:t xml:space="preserve"> </w:t>
      </w:r>
      <w:r w:rsidRPr="00E16407">
        <w:rPr>
          <w:b/>
        </w:rPr>
        <w:t>45</w:t>
      </w:r>
      <w:r w:rsidRPr="00E16407">
        <w:t>, D896-D901 (2017).</w:t>
      </w:r>
      <w:bookmarkEnd w:id="88"/>
    </w:p>
    <w:p w14:paraId="0AF4976E" w14:textId="1BAF922C" w:rsidR="00086E7B" w:rsidRDefault="00384302" w:rsidP="00B41AE6">
      <w:pPr>
        <w:pStyle w:val="EndNoteBibliography"/>
        <w:ind w:left="720" w:hanging="720"/>
      </w:pPr>
      <w:bookmarkStart w:id="89" w:name="_ENREF_67"/>
      <w:r w:rsidRPr="00E16407">
        <w:t>67.</w:t>
      </w:r>
      <w:r w:rsidRPr="00E16407">
        <w:tab/>
        <w:t xml:space="preserve">Leslie, R., O'Donnell, C.J. &amp; Johnson, A.D. GRASP: analysis of genotype-phenotype results from 1390 genome-wide association studies and corresponding open access database. </w:t>
      </w:r>
      <w:r w:rsidRPr="00E16407">
        <w:rPr>
          <w:i/>
        </w:rPr>
        <w:t>Bioinformatics</w:t>
      </w:r>
      <w:r w:rsidRPr="00E16407">
        <w:t xml:space="preserve"> 30, i185-94 (2014).</w:t>
      </w:r>
      <w:bookmarkEnd w:id="89"/>
    </w:p>
    <w:p w14:paraId="633B8ACB" w14:textId="77777777" w:rsidR="009A1ED4" w:rsidRDefault="009A1ED4" w:rsidP="00B41AE6">
      <w:pPr>
        <w:pStyle w:val="EndNoteBibliography"/>
        <w:ind w:left="720" w:hanging="720"/>
      </w:pPr>
    </w:p>
    <w:p w14:paraId="5488CAB5" w14:textId="77777777" w:rsidR="009A1ED4" w:rsidRDefault="009A1ED4" w:rsidP="009A1ED4">
      <w:pPr>
        <w:rPr>
          <w:rFonts w:eastAsia="Times New Roman" w:cs="Times New Roman"/>
        </w:rPr>
      </w:pPr>
      <w:r>
        <w:rPr>
          <w:rFonts w:ascii="Verdana" w:eastAsia="Times New Roman" w:hAnsi="Verdana" w:cs="Times New Roman"/>
          <w:color w:val="000000"/>
          <w:sz w:val="18"/>
          <w:szCs w:val="18"/>
          <w:shd w:val="clear" w:color="auto" w:fill="FFFFFF"/>
        </w:rPr>
        <w:t>Editorial summary: </w:t>
      </w:r>
      <w:r>
        <w:rPr>
          <w:rFonts w:ascii="Verdana" w:eastAsia="Times New Roman" w:hAnsi="Verdana" w:cs="Times New Roman"/>
          <w:color w:val="000000"/>
          <w:sz w:val="18"/>
          <w:szCs w:val="18"/>
        </w:rPr>
        <w:br/>
      </w:r>
      <w:r>
        <w:rPr>
          <w:rFonts w:ascii="Verdana" w:eastAsia="Times New Roman" w:hAnsi="Verdana" w:cs="Times New Roman"/>
          <w:color w:val="000000"/>
          <w:sz w:val="18"/>
          <w:szCs w:val="18"/>
          <w:shd w:val="clear" w:color="auto" w:fill="FFFFFF"/>
        </w:rPr>
        <w:t>A genome-wide association study in over 400,000 individuals identifies 139 new signals for lung function. These variants can predict chronic obstructive pulmonary disease in independent, trans-ethnic cohorts. </w:t>
      </w:r>
    </w:p>
    <w:p w14:paraId="22CF9450" w14:textId="77777777" w:rsidR="009A1ED4" w:rsidRDefault="009A1ED4" w:rsidP="00B41AE6">
      <w:pPr>
        <w:pStyle w:val="EndNoteBibliography"/>
        <w:ind w:left="720" w:hanging="720"/>
      </w:pPr>
    </w:p>
    <w:sectPr w:rsidR="009A1ED4" w:rsidSect="00B41AE6">
      <w:footerReference w:type="default" r:id="rId17"/>
      <w:pgSz w:w="11906" w:h="16838"/>
      <w:pgMar w:top="720" w:right="720" w:bottom="720" w:left="72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EA27F" w14:textId="77777777" w:rsidR="00A04FAC" w:rsidRDefault="00A04FAC" w:rsidP="00B41AE6">
      <w:r>
        <w:separator/>
      </w:r>
    </w:p>
  </w:endnote>
  <w:endnote w:type="continuationSeparator" w:id="0">
    <w:p w14:paraId="3B22A326" w14:textId="77777777" w:rsidR="00A04FAC" w:rsidRDefault="00A04FAC" w:rsidP="00B41AE6">
      <w:r>
        <w:continuationSeparator/>
      </w:r>
    </w:p>
  </w:endnote>
  <w:endnote w:type="continuationNotice" w:id="1">
    <w:p w14:paraId="4E12F0DD" w14:textId="77777777" w:rsidR="00A04FAC" w:rsidRDefault="00A04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617392"/>
      <w:docPartObj>
        <w:docPartGallery w:val="Page Numbers (Bottom of Page)"/>
        <w:docPartUnique/>
      </w:docPartObj>
    </w:sdtPr>
    <w:sdtEndPr>
      <w:rPr>
        <w:noProof/>
      </w:rPr>
    </w:sdtEndPr>
    <w:sdtContent>
      <w:p w14:paraId="3C25F911" w14:textId="77777777" w:rsidR="00C126B3" w:rsidRDefault="00C126B3">
        <w:pPr>
          <w:pStyle w:val="Fuzeile"/>
        </w:pPr>
        <w:r>
          <w:fldChar w:fldCharType="begin"/>
        </w:r>
        <w:r>
          <w:instrText xml:space="preserve"> PAGE   \* MERGEFORMAT </w:instrText>
        </w:r>
        <w:r>
          <w:fldChar w:fldCharType="separate"/>
        </w:r>
        <w:r w:rsidR="00C26BA1">
          <w:rPr>
            <w:noProof/>
          </w:rPr>
          <w:t>1</w:t>
        </w:r>
        <w:r>
          <w:rPr>
            <w:noProof/>
          </w:rPr>
          <w:fldChar w:fldCharType="end"/>
        </w:r>
      </w:p>
    </w:sdtContent>
  </w:sdt>
  <w:p w14:paraId="17D0E834" w14:textId="77777777" w:rsidR="00C126B3" w:rsidRDefault="00C126B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86359"/>
      <w:docPartObj>
        <w:docPartGallery w:val="Page Numbers (Bottom of Page)"/>
        <w:docPartUnique/>
      </w:docPartObj>
    </w:sdtPr>
    <w:sdtEndPr>
      <w:rPr>
        <w:noProof/>
      </w:rPr>
    </w:sdtEndPr>
    <w:sdtContent>
      <w:p w14:paraId="06E743C6" w14:textId="77777777" w:rsidR="00C126B3" w:rsidRDefault="00C126B3" w:rsidP="00BB145B">
        <w:pPr>
          <w:pStyle w:val="Fuzeile"/>
        </w:pPr>
        <w:r>
          <w:fldChar w:fldCharType="begin"/>
        </w:r>
        <w:r>
          <w:instrText xml:space="preserve"> PAGE   \* MERGEFORMAT </w:instrText>
        </w:r>
        <w:r>
          <w:fldChar w:fldCharType="separate"/>
        </w:r>
        <w:r w:rsidR="00C26BA1">
          <w:rPr>
            <w:noProof/>
          </w:rPr>
          <w:t>27</w:t>
        </w:r>
        <w:r>
          <w:rPr>
            <w:noProof/>
          </w:rPr>
          <w:fldChar w:fldCharType="end"/>
        </w:r>
      </w:p>
    </w:sdtContent>
  </w:sdt>
  <w:p w14:paraId="711FC65D" w14:textId="77777777" w:rsidR="00C126B3" w:rsidRDefault="00C126B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4A2A8" w14:textId="77777777" w:rsidR="00A04FAC" w:rsidRDefault="00A04FAC" w:rsidP="00B41AE6">
      <w:r>
        <w:separator/>
      </w:r>
    </w:p>
  </w:footnote>
  <w:footnote w:type="continuationSeparator" w:id="0">
    <w:p w14:paraId="758D0DAE" w14:textId="77777777" w:rsidR="00A04FAC" w:rsidRDefault="00A04FAC" w:rsidP="00B41AE6">
      <w:r>
        <w:continuationSeparator/>
      </w:r>
    </w:p>
  </w:footnote>
  <w:footnote w:type="continuationNotice" w:id="1">
    <w:p w14:paraId="63C12F8D" w14:textId="77777777" w:rsidR="00A04FAC" w:rsidRDefault="00A04FA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2918"/>
    <w:multiLevelType w:val="hybridMultilevel"/>
    <w:tmpl w:val="486CD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76061D"/>
    <w:multiLevelType w:val="hybridMultilevel"/>
    <w:tmpl w:val="5928ABA4"/>
    <w:lvl w:ilvl="0" w:tplc="57EAFD2E">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7D0F80"/>
    <w:multiLevelType w:val="hybridMultilevel"/>
    <w:tmpl w:val="85AC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823B4C"/>
    <w:multiLevelType w:val="hybridMultilevel"/>
    <w:tmpl w:val="5928ABA4"/>
    <w:lvl w:ilvl="0" w:tplc="57EAFD2E">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C646C8"/>
    <w:multiLevelType w:val="hybridMultilevel"/>
    <w:tmpl w:val="70504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CB1B55"/>
    <w:multiLevelType w:val="hybridMultilevel"/>
    <w:tmpl w:val="9F3C5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8E4439"/>
    <w:multiLevelType w:val="hybridMultilevel"/>
    <w:tmpl w:val="F9BC6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F1796F"/>
    <w:multiLevelType w:val="hybridMultilevel"/>
    <w:tmpl w:val="B7EEC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FC7DA4"/>
    <w:multiLevelType w:val="hybridMultilevel"/>
    <w:tmpl w:val="C35AD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E14AF9"/>
    <w:multiLevelType w:val="hybridMultilevel"/>
    <w:tmpl w:val="F55E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172C30"/>
    <w:multiLevelType w:val="hybridMultilevel"/>
    <w:tmpl w:val="7C94A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393C6D"/>
    <w:multiLevelType w:val="hybridMultilevel"/>
    <w:tmpl w:val="D6EA8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0B6239"/>
    <w:multiLevelType w:val="hybridMultilevel"/>
    <w:tmpl w:val="E606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F76397"/>
    <w:multiLevelType w:val="hybridMultilevel"/>
    <w:tmpl w:val="D414B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3F36B6"/>
    <w:multiLevelType w:val="hybridMultilevel"/>
    <w:tmpl w:val="55C604AC"/>
    <w:lvl w:ilvl="0" w:tplc="B5947170">
      <w:start w:val="1"/>
      <w:numFmt w:val="lowerLetter"/>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nsid w:val="35095C1B"/>
    <w:multiLevelType w:val="hybridMultilevel"/>
    <w:tmpl w:val="B7B4F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F4015E"/>
    <w:multiLevelType w:val="hybridMultilevel"/>
    <w:tmpl w:val="631C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6AF1FA4"/>
    <w:multiLevelType w:val="hybridMultilevel"/>
    <w:tmpl w:val="F69C42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4B3F74"/>
    <w:multiLevelType w:val="hybridMultilevel"/>
    <w:tmpl w:val="B7B429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3D216B37"/>
    <w:multiLevelType w:val="hybridMultilevel"/>
    <w:tmpl w:val="5046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D90134"/>
    <w:multiLevelType w:val="hybridMultilevel"/>
    <w:tmpl w:val="C4407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6C23642"/>
    <w:multiLevelType w:val="hybridMultilevel"/>
    <w:tmpl w:val="18167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8632ECC"/>
    <w:multiLevelType w:val="hybridMultilevel"/>
    <w:tmpl w:val="65247D18"/>
    <w:lvl w:ilvl="0" w:tplc="BE7043B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8786031"/>
    <w:multiLevelType w:val="hybridMultilevel"/>
    <w:tmpl w:val="F21CE060"/>
    <w:lvl w:ilvl="0" w:tplc="440AB50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A7244F3"/>
    <w:multiLevelType w:val="hybridMultilevel"/>
    <w:tmpl w:val="AC7ED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DE103B1"/>
    <w:multiLevelType w:val="hybridMultilevel"/>
    <w:tmpl w:val="20ACE5AA"/>
    <w:lvl w:ilvl="0" w:tplc="1F58CC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03E26B3"/>
    <w:multiLevelType w:val="hybridMultilevel"/>
    <w:tmpl w:val="70B41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1951033"/>
    <w:multiLevelType w:val="hybridMultilevel"/>
    <w:tmpl w:val="38465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1E76304"/>
    <w:multiLevelType w:val="hybridMultilevel"/>
    <w:tmpl w:val="D18ED442"/>
    <w:lvl w:ilvl="0" w:tplc="A6466534">
      <w:start w:val="1"/>
      <w:numFmt w:val="bullet"/>
      <w:lvlText w:val="o"/>
      <w:lvlJc w:val="left"/>
      <w:pPr>
        <w:tabs>
          <w:tab w:val="num" w:pos="720"/>
        </w:tabs>
        <w:ind w:left="720" w:hanging="360"/>
      </w:pPr>
      <w:rPr>
        <w:rFonts w:ascii="Courier New" w:hAnsi="Courier New" w:cs="Times New Roman" w:hint="default"/>
      </w:rPr>
    </w:lvl>
    <w:lvl w:ilvl="1" w:tplc="191E108E">
      <w:start w:val="1"/>
      <w:numFmt w:val="bullet"/>
      <w:lvlText w:val="o"/>
      <w:lvlJc w:val="left"/>
      <w:pPr>
        <w:tabs>
          <w:tab w:val="num" w:pos="1440"/>
        </w:tabs>
        <w:ind w:left="1440" w:hanging="360"/>
      </w:pPr>
      <w:rPr>
        <w:rFonts w:ascii="Courier New" w:hAnsi="Courier New" w:cs="Times New Roman" w:hint="default"/>
      </w:rPr>
    </w:lvl>
    <w:lvl w:ilvl="2" w:tplc="91C4A1A2">
      <w:start w:val="1"/>
      <w:numFmt w:val="bullet"/>
      <w:lvlText w:val="o"/>
      <w:lvlJc w:val="left"/>
      <w:pPr>
        <w:tabs>
          <w:tab w:val="num" w:pos="2160"/>
        </w:tabs>
        <w:ind w:left="2160" w:hanging="360"/>
      </w:pPr>
      <w:rPr>
        <w:rFonts w:ascii="Courier New" w:hAnsi="Courier New" w:cs="Times New Roman" w:hint="default"/>
      </w:rPr>
    </w:lvl>
    <w:lvl w:ilvl="3" w:tplc="3EA0F74A">
      <w:start w:val="1"/>
      <w:numFmt w:val="bullet"/>
      <w:lvlText w:val="o"/>
      <w:lvlJc w:val="left"/>
      <w:pPr>
        <w:tabs>
          <w:tab w:val="num" w:pos="2880"/>
        </w:tabs>
        <w:ind w:left="2880" w:hanging="360"/>
      </w:pPr>
      <w:rPr>
        <w:rFonts w:ascii="Courier New" w:hAnsi="Courier New" w:cs="Times New Roman" w:hint="default"/>
      </w:rPr>
    </w:lvl>
    <w:lvl w:ilvl="4" w:tplc="603C46CE">
      <w:start w:val="1"/>
      <w:numFmt w:val="bullet"/>
      <w:lvlText w:val="o"/>
      <w:lvlJc w:val="left"/>
      <w:pPr>
        <w:tabs>
          <w:tab w:val="num" w:pos="3600"/>
        </w:tabs>
        <w:ind w:left="3600" w:hanging="360"/>
      </w:pPr>
      <w:rPr>
        <w:rFonts w:ascii="Courier New" w:hAnsi="Courier New" w:cs="Times New Roman" w:hint="default"/>
      </w:rPr>
    </w:lvl>
    <w:lvl w:ilvl="5" w:tplc="C60C51B6">
      <w:start w:val="1"/>
      <w:numFmt w:val="bullet"/>
      <w:lvlText w:val="o"/>
      <w:lvlJc w:val="left"/>
      <w:pPr>
        <w:tabs>
          <w:tab w:val="num" w:pos="4320"/>
        </w:tabs>
        <w:ind w:left="4320" w:hanging="360"/>
      </w:pPr>
      <w:rPr>
        <w:rFonts w:ascii="Courier New" w:hAnsi="Courier New" w:cs="Times New Roman" w:hint="default"/>
      </w:rPr>
    </w:lvl>
    <w:lvl w:ilvl="6" w:tplc="0F9A0E58">
      <w:start w:val="1"/>
      <w:numFmt w:val="bullet"/>
      <w:lvlText w:val="o"/>
      <w:lvlJc w:val="left"/>
      <w:pPr>
        <w:tabs>
          <w:tab w:val="num" w:pos="5040"/>
        </w:tabs>
        <w:ind w:left="5040" w:hanging="360"/>
      </w:pPr>
      <w:rPr>
        <w:rFonts w:ascii="Courier New" w:hAnsi="Courier New" w:cs="Times New Roman" w:hint="default"/>
      </w:rPr>
    </w:lvl>
    <w:lvl w:ilvl="7" w:tplc="8348E374">
      <w:start w:val="1"/>
      <w:numFmt w:val="bullet"/>
      <w:lvlText w:val="o"/>
      <w:lvlJc w:val="left"/>
      <w:pPr>
        <w:tabs>
          <w:tab w:val="num" w:pos="5760"/>
        </w:tabs>
        <w:ind w:left="5760" w:hanging="360"/>
      </w:pPr>
      <w:rPr>
        <w:rFonts w:ascii="Courier New" w:hAnsi="Courier New" w:cs="Times New Roman" w:hint="default"/>
      </w:rPr>
    </w:lvl>
    <w:lvl w:ilvl="8" w:tplc="9020A4AA">
      <w:start w:val="1"/>
      <w:numFmt w:val="bullet"/>
      <w:lvlText w:val="o"/>
      <w:lvlJc w:val="left"/>
      <w:pPr>
        <w:tabs>
          <w:tab w:val="num" w:pos="6480"/>
        </w:tabs>
        <w:ind w:left="6480" w:hanging="360"/>
      </w:pPr>
      <w:rPr>
        <w:rFonts w:ascii="Courier New" w:hAnsi="Courier New" w:cs="Times New Roman" w:hint="default"/>
      </w:rPr>
    </w:lvl>
  </w:abstractNum>
  <w:abstractNum w:abstractNumId="29">
    <w:nsid w:val="551B3771"/>
    <w:multiLevelType w:val="hybridMultilevel"/>
    <w:tmpl w:val="44281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A1405AB"/>
    <w:multiLevelType w:val="hybridMultilevel"/>
    <w:tmpl w:val="652CB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BDF3BFE"/>
    <w:multiLevelType w:val="hybridMultilevel"/>
    <w:tmpl w:val="59EE713C"/>
    <w:lvl w:ilvl="0" w:tplc="2D7433B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nsid w:val="5C8A5CD1"/>
    <w:multiLevelType w:val="hybridMultilevel"/>
    <w:tmpl w:val="9D48846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54C5AE5"/>
    <w:multiLevelType w:val="hybridMultilevel"/>
    <w:tmpl w:val="74042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6C1F1E"/>
    <w:multiLevelType w:val="hybridMultilevel"/>
    <w:tmpl w:val="FAE0065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nsid w:val="67190874"/>
    <w:multiLevelType w:val="hybridMultilevel"/>
    <w:tmpl w:val="2BEECF32"/>
    <w:lvl w:ilvl="0" w:tplc="9BB04BB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AA6260C"/>
    <w:multiLevelType w:val="hybridMultilevel"/>
    <w:tmpl w:val="32AE85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B340AC2"/>
    <w:multiLevelType w:val="hybridMultilevel"/>
    <w:tmpl w:val="D06C4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4A79EF"/>
    <w:multiLevelType w:val="hybridMultilevel"/>
    <w:tmpl w:val="50FC2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D54A45"/>
    <w:multiLevelType w:val="hybridMultilevel"/>
    <w:tmpl w:val="45F63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16C1802"/>
    <w:multiLevelType w:val="hybridMultilevel"/>
    <w:tmpl w:val="6FF820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5452DC7"/>
    <w:multiLevelType w:val="hybridMultilevel"/>
    <w:tmpl w:val="207EDAEC"/>
    <w:lvl w:ilvl="0" w:tplc="4F68CE7C">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nsid w:val="75602711"/>
    <w:multiLevelType w:val="hybridMultilevel"/>
    <w:tmpl w:val="C3D6652E"/>
    <w:lvl w:ilvl="0" w:tplc="10BEC630">
      <w:start w:val="1"/>
      <w:numFmt w:val="upperLetter"/>
      <w:lvlText w:val="%1."/>
      <w:lvlJc w:val="left"/>
      <w:pPr>
        <w:ind w:left="644" w:hanging="360"/>
      </w:pPr>
      <w:rPr>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nsid w:val="76823125"/>
    <w:multiLevelType w:val="hybridMultilevel"/>
    <w:tmpl w:val="32705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F8F5A8C"/>
    <w:multiLevelType w:val="hybridMultilevel"/>
    <w:tmpl w:val="0E621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9E2250"/>
    <w:multiLevelType w:val="hybridMultilevel"/>
    <w:tmpl w:val="046CF8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num>
  <w:num w:numId="2">
    <w:abstractNumId w:val="33"/>
  </w:num>
  <w:num w:numId="3">
    <w:abstractNumId w:val="27"/>
  </w:num>
  <w:num w:numId="4">
    <w:abstractNumId w:val="8"/>
  </w:num>
  <w:num w:numId="5">
    <w:abstractNumId w:val="6"/>
  </w:num>
  <w:num w:numId="6">
    <w:abstractNumId w:val="11"/>
  </w:num>
  <w:num w:numId="7">
    <w:abstractNumId w:val="15"/>
  </w:num>
  <w:num w:numId="8">
    <w:abstractNumId w:val="43"/>
  </w:num>
  <w:num w:numId="9">
    <w:abstractNumId w:val="0"/>
  </w:num>
  <w:num w:numId="10">
    <w:abstractNumId w:val="16"/>
  </w:num>
  <w:num w:numId="11">
    <w:abstractNumId w:val="25"/>
  </w:num>
  <w:num w:numId="12">
    <w:abstractNumId w:val="19"/>
  </w:num>
  <w:num w:numId="13">
    <w:abstractNumId w:val="4"/>
  </w:num>
  <w:num w:numId="14">
    <w:abstractNumId w:val="38"/>
  </w:num>
  <w:num w:numId="15">
    <w:abstractNumId w:val="9"/>
  </w:num>
  <w:num w:numId="16">
    <w:abstractNumId w:val="26"/>
  </w:num>
  <w:num w:numId="17">
    <w:abstractNumId w:val="37"/>
  </w:num>
  <w:num w:numId="18">
    <w:abstractNumId w:val="10"/>
  </w:num>
  <w:num w:numId="19">
    <w:abstractNumId w:val="5"/>
  </w:num>
  <w:num w:numId="20">
    <w:abstractNumId w:val="13"/>
  </w:num>
  <w:num w:numId="21">
    <w:abstractNumId w:val="20"/>
  </w:num>
  <w:num w:numId="22">
    <w:abstractNumId w:val="44"/>
  </w:num>
  <w:num w:numId="23">
    <w:abstractNumId w:val="35"/>
  </w:num>
  <w:num w:numId="24">
    <w:abstractNumId w:val="39"/>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1"/>
  </w:num>
  <w:num w:numId="30">
    <w:abstractNumId w:val="32"/>
  </w:num>
  <w:num w:numId="31">
    <w:abstractNumId w:val="3"/>
  </w:num>
  <w:num w:numId="32">
    <w:abstractNumId w:val="18"/>
  </w:num>
  <w:num w:numId="33">
    <w:abstractNumId w:val="28"/>
  </w:num>
  <w:num w:numId="34">
    <w:abstractNumId w:val="24"/>
  </w:num>
  <w:num w:numId="35">
    <w:abstractNumId w:val="29"/>
  </w:num>
  <w:num w:numId="36">
    <w:abstractNumId w:val="42"/>
  </w:num>
  <w:num w:numId="37">
    <w:abstractNumId w:val="41"/>
  </w:num>
  <w:num w:numId="38">
    <w:abstractNumId w:val="21"/>
  </w:num>
  <w:num w:numId="39">
    <w:abstractNumId w:val="23"/>
  </w:num>
  <w:num w:numId="40">
    <w:abstractNumId w:val="22"/>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2"/>
  </w:num>
  <w:num w:numId="44">
    <w:abstractNumId w:val="17"/>
  </w:num>
  <w:num w:numId="45">
    <w:abstractNumId w:val="14"/>
  </w:num>
  <w:num w:numId="46">
    <w:abstractNumId w:val="36"/>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81934"/>
    <w:rsid w:val="0000053A"/>
    <w:rsid w:val="000009FD"/>
    <w:rsid w:val="00001635"/>
    <w:rsid w:val="00001A97"/>
    <w:rsid w:val="00001FFB"/>
    <w:rsid w:val="0000216D"/>
    <w:rsid w:val="00002ABC"/>
    <w:rsid w:val="00003F2C"/>
    <w:rsid w:val="00003F60"/>
    <w:rsid w:val="00005622"/>
    <w:rsid w:val="00006A55"/>
    <w:rsid w:val="000121EB"/>
    <w:rsid w:val="000128EC"/>
    <w:rsid w:val="000142E5"/>
    <w:rsid w:val="0001493B"/>
    <w:rsid w:val="00014D07"/>
    <w:rsid w:val="00014D40"/>
    <w:rsid w:val="00015974"/>
    <w:rsid w:val="00015A2D"/>
    <w:rsid w:val="0001602A"/>
    <w:rsid w:val="00016409"/>
    <w:rsid w:val="0001668F"/>
    <w:rsid w:val="00017A56"/>
    <w:rsid w:val="000211B7"/>
    <w:rsid w:val="0002188B"/>
    <w:rsid w:val="00026209"/>
    <w:rsid w:val="00026220"/>
    <w:rsid w:val="00026986"/>
    <w:rsid w:val="00026F2C"/>
    <w:rsid w:val="000274F5"/>
    <w:rsid w:val="0003023D"/>
    <w:rsid w:val="00030DA8"/>
    <w:rsid w:val="00031E2D"/>
    <w:rsid w:val="00032A2B"/>
    <w:rsid w:val="0003365B"/>
    <w:rsid w:val="000337C5"/>
    <w:rsid w:val="0003394A"/>
    <w:rsid w:val="00033F39"/>
    <w:rsid w:val="00034AE4"/>
    <w:rsid w:val="00036F20"/>
    <w:rsid w:val="0004006D"/>
    <w:rsid w:val="00041EF7"/>
    <w:rsid w:val="000469AD"/>
    <w:rsid w:val="000518F9"/>
    <w:rsid w:val="00051C92"/>
    <w:rsid w:val="00052045"/>
    <w:rsid w:val="0005282A"/>
    <w:rsid w:val="00052933"/>
    <w:rsid w:val="00054408"/>
    <w:rsid w:val="00054435"/>
    <w:rsid w:val="00054549"/>
    <w:rsid w:val="0005468C"/>
    <w:rsid w:val="0006085B"/>
    <w:rsid w:val="00060AB2"/>
    <w:rsid w:val="000617ED"/>
    <w:rsid w:val="00061F46"/>
    <w:rsid w:val="000621AB"/>
    <w:rsid w:val="000625CF"/>
    <w:rsid w:val="00062F1E"/>
    <w:rsid w:val="00063C23"/>
    <w:rsid w:val="00063E72"/>
    <w:rsid w:val="00064608"/>
    <w:rsid w:val="00067AE3"/>
    <w:rsid w:val="00070787"/>
    <w:rsid w:val="00070C87"/>
    <w:rsid w:val="00071160"/>
    <w:rsid w:val="000716B6"/>
    <w:rsid w:val="00071AF3"/>
    <w:rsid w:val="00071E6B"/>
    <w:rsid w:val="00072CD3"/>
    <w:rsid w:val="00073646"/>
    <w:rsid w:val="0007487E"/>
    <w:rsid w:val="00074EED"/>
    <w:rsid w:val="00074F98"/>
    <w:rsid w:val="000762BF"/>
    <w:rsid w:val="0007690B"/>
    <w:rsid w:val="00077675"/>
    <w:rsid w:val="00082C95"/>
    <w:rsid w:val="0008361C"/>
    <w:rsid w:val="00084205"/>
    <w:rsid w:val="0008453A"/>
    <w:rsid w:val="000845A4"/>
    <w:rsid w:val="00084A55"/>
    <w:rsid w:val="00085176"/>
    <w:rsid w:val="0008591D"/>
    <w:rsid w:val="0008632A"/>
    <w:rsid w:val="000864C6"/>
    <w:rsid w:val="00086E7B"/>
    <w:rsid w:val="000875B3"/>
    <w:rsid w:val="00087A85"/>
    <w:rsid w:val="00087AA4"/>
    <w:rsid w:val="00090CAC"/>
    <w:rsid w:val="0009166D"/>
    <w:rsid w:val="00091AFF"/>
    <w:rsid w:val="0009210C"/>
    <w:rsid w:val="00092237"/>
    <w:rsid w:val="00093739"/>
    <w:rsid w:val="000941D3"/>
    <w:rsid w:val="00094BCE"/>
    <w:rsid w:val="000968C7"/>
    <w:rsid w:val="000978CA"/>
    <w:rsid w:val="000A06B2"/>
    <w:rsid w:val="000A4D7A"/>
    <w:rsid w:val="000A569F"/>
    <w:rsid w:val="000A580D"/>
    <w:rsid w:val="000A5CD6"/>
    <w:rsid w:val="000A60AE"/>
    <w:rsid w:val="000A6C50"/>
    <w:rsid w:val="000B2466"/>
    <w:rsid w:val="000B265A"/>
    <w:rsid w:val="000B2FF8"/>
    <w:rsid w:val="000B3517"/>
    <w:rsid w:val="000B4258"/>
    <w:rsid w:val="000B4338"/>
    <w:rsid w:val="000B43B5"/>
    <w:rsid w:val="000B4DF2"/>
    <w:rsid w:val="000B66BE"/>
    <w:rsid w:val="000B6EFC"/>
    <w:rsid w:val="000B75B3"/>
    <w:rsid w:val="000C069F"/>
    <w:rsid w:val="000C134B"/>
    <w:rsid w:val="000C14C1"/>
    <w:rsid w:val="000C1FB3"/>
    <w:rsid w:val="000C23B1"/>
    <w:rsid w:val="000C43BB"/>
    <w:rsid w:val="000C5269"/>
    <w:rsid w:val="000C5460"/>
    <w:rsid w:val="000C5D51"/>
    <w:rsid w:val="000C5EEB"/>
    <w:rsid w:val="000C653F"/>
    <w:rsid w:val="000C657A"/>
    <w:rsid w:val="000C6E85"/>
    <w:rsid w:val="000C7A86"/>
    <w:rsid w:val="000C7BAD"/>
    <w:rsid w:val="000D06B1"/>
    <w:rsid w:val="000D07D2"/>
    <w:rsid w:val="000D090E"/>
    <w:rsid w:val="000D2076"/>
    <w:rsid w:val="000D48CA"/>
    <w:rsid w:val="000D5121"/>
    <w:rsid w:val="000D579A"/>
    <w:rsid w:val="000D5900"/>
    <w:rsid w:val="000D7448"/>
    <w:rsid w:val="000D7674"/>
    <w:rsid w:val="000D7999"/>
    <w:rsid w:val="000D7C63"/>
    <w:rsid w:val="000E0F51"/>
    <w:rsid w:val="000E19A2"/>
    <w:rsid w:val="000E2D4E"/>
    <w:rsid w:val="000E2D56"/>
    <w:rsid w:val="000E3767"/>
    <w:rsid w:val="000E3A64"/>
    <w:rsid w:val="000E43C0"/>
    <w:rsid w:val="000E478F"/>
    <w:rsid w:val="000E5790"/>
    <w:rsid w:val="000E5DBA"/>
    <w:rsid w:val="000E6104"/>
    <w:rsid w:val="000E6B60"/>
    <w:rsid w:val="000F0156"/>
    <w:rsid w:val="000F060C"/>
    <w:rsid w:val="000F0987"/>
    <w:rsid w:val="000F0CB4"/>
    <w:rsid w:val="000F1A40"/>
    <w:rsid w:val="000F1C72"/>
    <w:rsid w:val="000F5B6B"/>
    <w:rsid w:val="000F629C"/>
    <w:rsid w:val="000F641A"/>
    <w:rsid w:val="000F6860"/>
    <w:rsid w:val="00101704"/>
    <w:rsid w:val="00102691"/>
    <w:rsid w:val="00104C64"/>
    <w:rsid w:val="00104F80"/>
    <w:rsid w:val="00105344"/>
    <w:rsid w:val="00105722"/>
    <w:rsid w:val="0011118A"/>
    <w:rsid w:val="001116F5"/>
    <w:rsid w:val="001121BA"/>
    <w:rsid w:val="0011290E"/>
    <w:rsid w:val="00116245"/>
    <w:rsid w:val="00120231"/>
    <w:rsid w:val="00121E84"/>
    <w:rsid w:val="00122894"/>
    <w:rsid w:val="00122C4D"/>
    <w:rsid w:val="0012367A"/>
    <w:rsid w:val="0012531F"/>
    <w:rsid w:val="0012597C"/>
    <w:rsid w:val="00125E8B"/>
    <w:rsid w:val="00127B23"/>
    <w:rsid w:val="001302D8"/>
    <w:rsid w:val="00130D20"/>
    <w:rsid w:val="00131608"/>
    <w:rsid w:val="00131805"/>
    <w:rsid w:val="00131A41"/>
    <w:rsid w:val="001335D6"/>
    <w:rsid w:val="00133696"/>
    <w:rsid w:val="00134B23"/>
    <w:rsid w:val="0013527A"/>
    <w:rsid w:val="001358AA"/>
    <w:rsid w:val="00135EA7"/>
    <w:rsid w:val="00137159"/>
    <w:rsid w:val="0013778F"/>
    <w:rsid w:val="00137F9F"/>
    <w:rsid w:val="00140EDD"/>
    <w:rsid w:val="00140FD9"/>
    <w:rsid w:val="0014151F"/>
    <w:rsid w:val="00141E1B"/>
    <w:rsid w:val="0014278C"/>
    <w:rsid w:val="001452E8"/>
    <w:rsid w:val="0014626B"/>
    <w:rsid w:val="00146855"/>
    <w:rsid w:val="001506A7"/>
    <w:rsid w:val="00150E47"/>
    <w:rsid w:val="00150FBA"/>
    <w:rsid w:val="0015119F"/>
    <w:rsid w:val="001512E7"/>
    <w:rsid w:val="0015147F"/>
    <w:rsid w:val="00151939"/>
    <w:rsid w:val="00151971"/>
    <w:rsid w:val="00151C27"/>
    <w:rsid w:val="00151E63"/>
    <w:rsid w:val="001533DF"/>
    <w:rsid w:val="00153CE3"/>
    <w:rsid w:val="001543DF"/>
    <w:rsid w:val="001547F2"/>
    <w:rsid w:val="00154FB7"/>
    <w:rsid w:val="00155AB7"/>
    <w:rsid w:val="00156A59"/>
    <w:rsid w:val="001570C6"/>
    <w:rsid w:val="00160BE0"/>
    <w:rsid w:val="00161B5A"/>
    <w:rsid w:val="00163301"/>
    <w:rsid w:val="00163AC5"/>
    <w:rsid w:val="00163EB6"/>
    <w:rsid w:val="00164CAA"/>
    <w:rsid w:val="00164D1E"/>
    <w:rsid w:val="00165264"/>
    <w:rsid w:val="00165C0E"/>
    <w:rsid w:val="00165EEE"/>
    <w:rsid w:val="00167E16"/>
    <w:rsid w:val="0017053B"/>
    <w:rsid w:val="00170E97"/>
    <w:rsid w:val="0017114A"/>
    <w:rsid w:val="00171840"/>
    <w:rsid w:val="001731F6"/>
    <w:rsid w:val="001736B5"/>
    <w:rsid w:val="00173737"/>
    <w:rsid w:val="00173BF4"/>
    <w:rsid w:val="00173BF7"/>
    <w:rsid w:val="00174656"/>
    <w:rsid w:val="00175442"/>
    <w:rsid w:val="0017654F"/>
    <w:rsid w:val="00180040"/>
    <w:rsid w:val="00180F51"/>
    <w:rsid w:val="00181B93"/>
    <w:rsid w:val="001824DB"/>
    <w:rsid w:val="00183F40"/>
    <w:rsid w:val="00183F51"/>
    <w:rsid w:val="001841AF"/>
    <w:rsid w:val="00184B02"/>
    <w:rsid w:val="00185BC4"/>
    <w:rsid w:val="00190830"/>
    <w:rsid w:val="00191DE1"/>
    <w:rsid w:val="001929A9"/>
    <w:rsid w:val="00192B4E"/>
    <w:rsid w:val="00192EC2"/>
    <w:rsid w:val="00193CEC"/>
    <w:rsid w:val="00194214"/>
    <w:rsid w:val="00194959"/>
    <w:rsid w:val="001960EF"/>
    <w:rsid w:val="00196A0A"/>
    <w:rsid w:val="00197B6D"/>
    <w:rsid w:val="00197D72"/>
    <w:rsid w:val="00197FAC"/>
    <w:rsid w:val="001A195B"/>
    <w:rsid w:val="001A1D3E"/>
    <w:rsid w:val="001A55C3"/>
    <w:rsid w:val="001A668A"/>
    <w:rsid w:val="001A781D"/>
    <w:rsid w:val="001B0B75"/>
    <w:rsid w:val="001B1072"/>
    <w:rsid w:val="001B13A8"/>
    <w:rsid w:val="001B1BD3"/>
    <w:rsid w:val="001B1FE7"/>
    <w:rsid w:val="001B218C"/>
    <w:rsid w:val="001B23ED"/>
    <w:rsid w:val="001B285D"/>
    <w:rsid w:val="001B290D"/>
    <w:rsid w:val="001B3C62"/>
    <w:rsid w:val="001B444C"/>
    <w:rsid w:val="001B62CD"/>
    <w:rsid w:val="001B69E8"/>
    <w:rsid w:val="001B73B4"/>
    <w:rsid w:val="001B7AF8"/>
    <w:rsid w:val="001C00D0"/>
    <w:rsid w:val="001C1956"/>
    <w:rsid w:val="001C2C15"/>
    <w:rsid w:val="001C344C"/>
    <w:rsid w:val="001C456A"/>
    <w:rsid w:val="001C460B"/>
    <w:rsid w:val="001C4DA7"/>
    <w:rsid w:val="001C5357"/>
    <w:rsid w:val="001C58E8"/>
    <w:rsid w:val="001C63DF"/>
    <w:rsid w:val="001C7AD2"/>
    <w:rsid w:val="001D0218"/>
    <w:rsid w:val="001D0454"/>
    <w:rsid w:val="001D0484"/>
    <w:rsid w:val="001D2935"/>
    <w:rsid w:val="001D3043"/>
    <w:rsid w:val="001D3F4B"/>
    <w:rsid w:val="001D5347"/>
    <w:rsid w:val="001D6502"/>
    <w:rsid w:val="001E0F66"/>
    <w:rsid w:val="001E13BB"/>
    <w:rsid w:val="001E1B61"/>
    <w:rsid w:val="001E1BA8"/>
    <w:rsid w:val="001E29DE"/>
    <w:rsid w:val="001E3280"/>
    <w:rsid w:val="001E4810"/>
    <w:rsid w:val="001E50B3"/>
    <w:rsid w:val="001E5A53"/>
    <w:rsid w:val="001E5CD7"/>
    <w:rsid w:val="001F0CB9"/>
    <w:rsid w:val="001F2F1D"/>
    <w:rsid w:val="001F463C"/>
    <w:rsid w:val="001F4C86"/>
    <w:rsid w:val="001F5AE3"/>
    <w:rsid w:val="001F6FF8"/>
    <w:rsid w:val="001F722B"/>
    <w:rsid w:val="00200B69"/>
    <w:rsid w:val="00201070"/>
    <w:rsid w:val="00201597"/>
    <w:rsid w:val="00202F0A"/>
    <w:rsid w:val="0020391F"/>
    <w:rsid w:val="00203BD7"/>
    <w:rsid w:val="0020453E"/>
    <w:rsid w:val="00205864"/>
    <w:rsid w:val="00205AF0"/>
    <w:rsid w:val="0021110A"/>
    <w:rsid w:val="00211B4B"/>
    <w:rsid w:val="002138FA"/>
    <w:rsid w:val="00213FFE"/>
    <w:rsid w:val="0021408E"/>
    <w:rsid w:val="00214301"/>
    <w:rsid w:val="002152F7"/>
    <w:rsid w:val="0021682D"/>
    <w:rsid w:val="00216AF9"/>
    <w:rsid w:val="0021719A"/>
    <w:rsid w:val="00217B7F"/>
    <w:rsid w:val="00221575"/>
    <w:rsid w:val="00222FB8"/>
    <w:rsid w:val="00223E29"/>
    <w:rsid w:val="00224474"/>
    <w:rsid w:val="00226078"/>
    <w:rsid w:val="002261FD"/>
    <w:rsid w:val="0022638B"/>
    <w:rsid w:val="00226A28"/>
    <w:rsid w:val="00226B17"/>
    <w:rsid w:val="002317DB"/>
    <w:rsid w:val="00231E93"/>
    <w:rsid w:val="002327FC"/>
    <w:rsid w:val="00233836"/>
    <w:rsid w:val="00233ECE"/>
    <w:rsid w:val="00234845"/>
    <w:rsid w:val="00234DDE"/>
    <w:rsid w:val="00235502"/>
    <w:rsid w:val="00241C0A"/>
    <w:rsid w:val="00242544"/>
    <w:rsid w:val="0024284F"/>
    <w:rsid w:val="00242952"/>
    <w:rsid w:val="00243CB7"/>
    <w:rsid w:val="002444AF"/>
    <w:rsid w:val="00244B3D"/>
    <w:rsid w:val="00244BCC"/>
    <w:rsid w:val="0024538E"/>
    <w:rsid w:val="00245C6B"/>
    <w:rsid w:val="0024759E"/>
    <w:rsid w:val="00247E0E"/>
    <w:rsid w:val="00252319"/>
    <w:rsid w:val="00252FEC"/>
    <w:rsid w:val="002533BF"/>
    <w:rsid w:val="00254B6E"/>
    <w:rsid w:val="00255E87"/>
    <w:rsid w:val="00255EAE"/>
    <w:rsid w:val="00256517"/>
    <w:rsid w:val="00257D41"/>
    <w:rsid w:val="002609FE"/>
    <w:rsid w:val="00260C8A"/>
    <w:rsid w:val="00262210"/>
    <w:rsid w:val="00262C19"/>
    <w:rsid w:val="00262EE7"/>
    <w:rsid w:val="002637CD"/>
    <w:rsid w:val="00263AF7"/>
    <w:rsid w:val="00265F34"/>
    <w:rsid w:val="0026740B"/>
    <w:rsid w:val="002674EB"/>
    <w:rsid w:val="00270424"/>
    <w:rsid w:val="00270C5F"/>
    <w:rsid w:val="00272534"/>
    <w:rsid w:val="002732EB"/>
    <w:rsid w:val="0027355D"/>
    <w:rsid w:val="00273B5A"/>
    <w:rsid w:val="002745ED"/>
    <w:rsid w:val="0027489A"/>
    <w:rsid w:val="00274BE5"/>
    <w:rsid w:val="0027531A"/>
    <w:rsid w:val="002764DC"/>
    <w:rsid w:val="0028174D"/>
    <w:rsid w:val="00281ADB"/>
    <w:rsid w:val="00281CCE"/>
    <w:rsid w:val="00281ECE"/>
    <w:rsid w:val="00282E92"/>
    <w:rsid w:val="00283662"/>
    <w:rsid w:val="002849F2"/>
    <w:rsid w:val="002856BE"/>
    <w:rsid w:val="00286370"/>
    <w:rsid w:val="00286710"/>
    <w:rsid w:val="00286A5B"/>
    <w:rsid w:val="00287CFA"/>
    <w:rsid w:val="00291A66"/>
    <w:rsid w:val="00292C49"/>
    <w:rsid w:val="00293DE2"/>
    <w:rsid w:val="00294310"/>
    <w:rsid w:val="002946A1"/>
    <w:rsid w:val="0029619E"/>
    <w:rsid w:val="00296BB7"/>
    <w:rsid w:val="002A0BEA"/>
    <w:rsid w:val="002A1071"/>
    <w:rsid w:val="002A10E0"/>
    <w:rsid w:val="002A15BB"/>
    <w:rsid w:val="002A26D7"/>
    <w:rsid w:val="002A2831"/>
    <w:rsid w:val="002A3DE6"/>
    <w:rsid w:val="002A3F7A"/>
    <w:rsid w:val="002A4D06"/>
    <w:rsid w:val="002A51F7"/>
    <w:rsid w:val="002A53D2"/>
    <w:rsid w:val="002A5485"/>
    <w:rsid w:val="002A7A69"/>
    <w:rsid w:val="002B49B4"/>
    <w:rsid w:val="002B4D4D"/>
    <w:rsid w:val="002B525C"/>
    <w:rsid w:val="002B5ADC"/>
    <w:rsid w:val="002B7813"/>
    <w:rsid w:val="002C00BD"/>
    <w:rsid w:val="002C07AB"/>
    <w:rsid w:val="002C0982"/>
    <w:rsid w:val="002C1E7C"/>
    <w:rsid w:val="002C23B1"/>
    <w:rsid w:val="002C2611"/>
    <w:rsid w:val="002C4304"/>
    <w:rsid w:val="002C4CC1"/>
    <w:rsid w:val="002C58D7"/>
    <w:rsid w:val="002C68D9"/>
    <w:rsid w:val="002C6EAD"/>
    <w:rsid w:val="002C79E3"/>
    <w:rsid w:val="002D18C5"/>
    <w:rsid w:val="002D1E9E"/>
    <w:rsid w:val="002D218A"/>
    <w:rsid w:val="002D2422"/>
    <w:rsid w:val="002D3735"/>
    <w:rsid w:val="002D4745"/>
    <w:rsid w:val="002D484C"/>
    <w:rsid w:val="002D49B0"/>
    <w:rsid w:val="002D4DA1"/>
    <w:rsid w:val="002D5BB9"/>
    <w:rsid w:val="002D6AFA"/>
    <w:rsid w:val="002D6B0E"/>
    <w:rsid w:val="002E05DD"/>
    <w:rsid w:val="002E06B1"/>
    <w:rsid w:val="002E12D1"/>
    <w:rsid w:val="002E12FD"/>
    <w:rsid w:val="002E22C2"/>
    <w:rsid w:val="002E2791"/>
    <w:rsid w:val="002E289A"/>
    <w:rsid w:val="002E2EC8"/>
    <w:rsid w:val="002E3A9F"/>
    <w:rsid w:val="002E3EDC"/>
    <w:rsid w:val="002E60A9"/>
    <w:rsid w:val="002E6912"/>
    <w:rsid w:val="002F1807"/>
    <w:rsid w:val="002F1850"/>
    <w:rsid w:val="002F23D0"/>
    <w:rsid w:val="002F7B7C"/>
    <w:rsid w:val="002F7E35"/>
    <w:rsid w:val="00301889"/>
    <w:rsid w:val="003023B2"/>
    <w:rsid w:val="00303738"/>
    <w:rsid w:val="00303B6C"/>
    <w:rsid w:val="0030400F"/>
    <w:rsid w:val="00304BE2"/>
    <w:rsid w:val="00305117"/>
    <w:rsid w:val="003052D7"/>
    <w:rsid w:val="00306628"/>
    <w:rsid w:val="003067E3"/>
    <w:rsid w:val="00310917"/>
    <w:rsid w:val="00312137"/>
    <w:rsid w:val="00312E7D"/>
    <w:rsid w:val="00313038"/>
    <w:rsid w:val="003133A5"/>
    <w:rsid w:val="00313DB6"/>
    <w:rsid w:val="0031590F"/>
    <w:rsid w:val="003162AB"/>
    <w:rsid w:val="00317A05"/>
    <w:rsid w:val="003205A5"/>
    <w:rsid w:val="003205CF"/>
    <w:rsid w:val="003219FB"/>
    <w:rsid w:val="00321C66"/>
    <w:rsid w:val="00322AB4"/>
    <w:rsid w:val="00322C03"/>
    <w:rsid w:val="003239EA"/>
    <w:rsid w:val="00324909"/>
    <w:rsid w:val="0032496D"/>
    <w:rsid w:val="00325B89"/>
    <w:rsid w:val="00325C89"/>
    <w:rsid w:val="003260BD"/>
    <w:rsid w:val="00327609"/>
    <w:rsid w:val="00327A70"/>
    <w:rsid w:val="00327F26"/>
    <w:rsid w:val="00327F60"/>
    <w:rsid w:val="0033018A"/>
    <w:rsid w:val="0033163B"/>
    <w:rsid w:val="00331EF0"/>
    <w:rsid w:val="00332283"/>
    <w:rsid w:val="00332A82"/>
    <w:rsid w:val="00332C8F"/>
    <w:rsid w:val="00332F26"/>
    <w:rsid w:val="0033426A"/>
    <w:rsid w:val="003348FB"/>
    <w:rsid w:val="003351C1"/>
    <w:rsid w:val="0033538B"/>
    <w:rsid w:val="003358CB"/>
    <w:rsid w:val="00337F6B"/>
    <w:rsid w:val="0034057D"/>
    <w:rsid w:val="00340842"/>
    <w:rsid w:val="00342A02"/>
    <w:rsid w:val="00343CA8"/>
    <w:rsid w:val="00343F40"/>
    <w:rsid w:val="00344336"/>
    <w:rsid w:val="003447C7"/>
    <w:rsid w:val="0034494D"/>
    <w:rsid w:val="003458FE"/>
    <w:rsid w:val="0034717C"/>
    <w:rsid w:val="003508D1"/>
    <w:rsid w:val="00350B75"/>
    <w:rsid w:val="00350E2C"/>
    <w:rsid w:val="0035142D"/>
    <w:rsid w:val="00351638"/>
    <w:rsid w:val="0035189E"/>
    <w:rsid w:val="00351DA6"/>
    <w:rsid w:val="0035277B"/>
    <w:rsid w:val="00352A77"/>
    <w:rsid w:val="003538E3"/>
    <w:rsid w:val="00353A6B"/>
    <w:rsid w:val="00353B67"/>
    <w:rsid w:val="00353EFF"/>
    <w:rsid w:val="00355C1D"/>
    <w:rsid w:val="0035761D"/>
    <w:rsid w:val="0036021D"/>
    <w:rsid w:val="0036148D"/>
    <w:rsid w:val="00362264"/>
    <w:rsid w:val="00363E47"/>
    <w:rsid w:val="00363E72"/>
    <w:rsid w:val="0036481A"/>
    <w:rsid w:val="00366164"/>
    <w:rsid w:val="00366F12"/>
    <w:rsid w:val="0036784A"/>
    <w:rsid w:val="00370776"/>
    <w:rsid w:val="003708C6"/>
    <w:rsid w:val="00370C3D"/>
    <w:rsid w:val="00371ADE"/>
    <w:rsid w:val="00373156"/>
    <w:rsid w:val="00374147"/>
    <w:rsid w:val="00374452"/>
    <w:rsid w:val="00374860"/>
    <w:rsid w:val="00374C4A"/>
    <w:rsid w:val="0037608B"/>
    <w:rsid w:val="0037640A"/>
    <w:rsid w:val="00376E64"/>
    <w:rsid w:val="00377244"/>
    <w:rsid w:val="003775B1"/>
    <w:rsid w:val="0038002E"/>
    <w:rsid w:val="0038003E"/>
    <w:rsid w:val="003801DA"/>
    <w:rsid w:val="00380738"/>
    <w:rsid w:val="00381733"/>
    <w:rsid w:val="00381A46"/>
    <w:rsid w:val="003825E7"/>
    <w:rsid w:val="0038290D"/>
    <w:rsid w:val="00384302"/>
    <w:rsid w:val="00385A0F"/>
    <w:rsid w:val="00385F4E"/>
    <w:rsid w:val="0038669C"/>
    <w:rsid w:val="003907DE"/>
    <w:rsid w:val="003935C1"/>
    <w:rsid w:val="00395013"/>
    <w:rsid w:val="0039535F"/>
    <w:rsid w:val="00396C7F"/>
    <w:rsid w:val="00397D72"/>
    <w:rsid w:val="003A0A2B"/>
    <w:rsid w:val="003A0FF8"/>
    <w:rsid w:val="003A1201"/>
    <w:rsid w:val="003A2BF5"/>
    <w:rsid w:val="003A53DC"/>
    <w:rsid w:val="003A5CB1"/>
    <w:rsid w:val="003A79AC"/>
    <w:rsid w:val="003A7A8C"/>
    <w:rsid w:val="003B069C"/>
    <w:rsid w:val="003B293D"/>
    <w:rsid w:val="003B2C5C"/>
    <w:rsid w:val="003B2E31"/>
    <w:rsid w:val="003B3302"/>
    <w:rsid w:val="003B3A30"/>
    <w:rsid w:val="003B5BBB"/>
    <w:rsid w:val="003C036E"/>
    <w:rsid w:val="003C04B3"/>
    <w:rsid w:val="003C0F09"/>
    <w:rsid w:val="003C39B8"/>
    <w:rsid w:val="003C529F"/>
    <w:rsid w:val="003C578A"/>
    <w:rsid w:val="003C5C2E"/>
    <w:rsid w:val="003C61E8"/>
    <w:rsid w:val="003C6C95"/>
    <w:rsid w:val="003C7491"/>
    <w:rsid w:val="003C7675"/>
    <w:rsid w:val="003D005F"/>
    <w:rsid w:val="003D07DE"/>
    <w:rsid w:val="003D1665"/>
    <w:rsid w:val="003D201F"/>
    <w:rsid w:val="003D3ABF"/>
    <w:rsid w:val="003D4772"/>
    <w:rsid w:val="003D4AB0"/>
    <w:rsid w:val="003D5BFE"/>
    <w:rsid w:val="003D61AF"/>
    <w:rsid w:val="003D6355"/>
    <w:rsid w:val="003D65FC"/>
    <w:rsid w:val="003D6CC3"/>
    <w:rsid w:val="003D71F7"/>
    <w:rsid w:val="003E0E60"/>
    <w:rsid w:val="003E15C7"/>
    <w:rsid w:val="003E2737"/>
    <w:rsid w:val="003E39F7"/>
    <w:rsid w:val="003E5DE6"/>
    <w:rsid w:val="003E65D2"/>
    <w:rsid w:val="003E6745"/>
    <w:rsid w:val="003E6A3C"/>
    <w:rsid w:val="003F1A5A"/>
    <w:rsid w:val="003F21CF"/>
    <w:rsid w:val="003F2263"/>
    <w:rsid w:val="003F24AE"/>
    <w:rsid w:val="003F3733"/>
    <w:rsid w:val="003F4A61"/>
    <w:rsid w:val="003F51FE"/>
    <w:rsid w:val="003F57DC"/>
    <w:rsid w:val="003F5F3E"/>
    <w:rsid w:val="003F6AFC"/>
    <w:rsid w:val="003F74CA"/>
    <w:rsid w:val="003F7CE2"/>
    <w:rsid w:val="003F7D29"/>
    <w:rsid w:val="003F7E23"/>
    <w:rsid w:val="003F7EF1"/>
    <w:rsid w:val="004004CE"/>
    <w:rsid w:val="00402279"/>
    <w:rsid w:val="004034AD"/>
    <w:rsid w:val="004046B4"/>
    <w:rsid w:val="0040478C"/>
    <w:rsid w:val="00405DE1"/>
    <w:rsid w:val="004064AC"/>
    <w:rsid w:val="00407F00"/>
    <w:rsid w:val="00411546"/>
    <w:rsid w:val="004119C2"/>
    <w:rsid w:val="00411C54"/>
    <w:rsid w:val="00411E4C"/>
    <w:rsid w:val="004126AF"/>
    <w:rsid w:val="00414541"/>
    <w:rsid w:val="0041547D"/>
    <w:rsid w:val="00415D68"/>
    <w:rsid w:val="00416C35"/>
    <w:rsid w:val="0041761E"/>
    <w:rsid w:val="00420A5B"/>
    <w:rsid w:val="00422BAD"/>
    <w:rsid w:val="00422DC1"/>
    <w:rsid w:val="00424A06"/>
    <w:rsid w:val="00424DF4"/>
    <w:rsid w:val="00425C69"/>
    <w:rsid w:val="00426021"/>
    <w:rsid w:val="00426A47"/>
    <w:rsid w:val="00426AC8"/>
    <w:rsid w:val="00427209"/>
    <w:rsid w:val="004272B4"/>
    <w:rsid w:val="00427777"/>
    <w:rsid w:val="00432806"/>
    <w:rsid w:val="00432E27"/>
    <w:rsid w:val="004343E3"/>
    <w:rsid w:val="00435870"/>
    <w:rsid w:val="00436418"/>
    <w:rsid w:val="0043704C"/>
    <w:rsid w:val="00437979"/>
    <w:rsid w:val="00437FAA"/>
    <w:rsid w:val="004408E8"/>
    <w:rsid w:val="004418DB"/>
    <w:rsid w:val="004423D2"/>
    <w:rsid w:val="00442C9B"/>
    <w:rsid w:val="00443BB8"/>
    <w:rsid w:val="00443DD5"/>
    <w:rsid w:val="00443F4E"/>
    <w:rsid w:val="004447AF"/>
    <w:rsid w:val="00444C8D"/>
    <w:rsid w:val="00445B48"/>
    <w:rsid w:val="00446286"/>
    <w:rsid w:val="00446CDA"/>
    <w:rsid w:val="00446CF1"/>
    <w:rsid w:val="0045039B"/>
    <w:rsid w:val="00450747"/>
    <w:rsid w:val="00450762"/>
    <w:rsid w:val="004523F6"/>
    <w:rsid w:val="00452DF7"/>
    <w:rsid w:val="004539C3"/>
    <w:rsid w:val="00453DB0"/>
    <w:rsid w:val="00457426"/>
    <w:rsid w:val="004618E2"/>
    <w:rsid w:val="004623DA"/>
    <w:rsid w:val="0046259D"/>
    <w:rsid w:val="00462E51"/>
    <w:rsid w:val="004632A1"/>
    <w:rsid w:val="00464548"/>
    <w:rsid w:val="00464D9C"/>
    <w:rsid w:val="00464FD8"/>
    <w:rsid w:val="00466C10"/>
    <w:rsid w:val="00467520"/>
    <w:rsid w:val="00467833"/>
    <w:rsid w:val="00467B7A"/>
    <w:rsid w:val="004706D4"/>
    <w:rsid w:val="004708CF"/>
    <w:rsid w:val="00471C1E"/>
    <w:rsid w:val="0047436E"/>
    <w:rsid w:val="0047669B"/>
    <w:rsid w:val="004767F7"/>
    <w:rsid w:val="0047725E"/>
    <w:rsid w:val="00477616"/>
    <w:rsid w:val="00477E10"/>
    <w:rsid w:val="00477E40"/>
    <w:rsid w:val="004831B6"/>
    <w:rsid w:val="0048334A"/>
    <w:rsid w:val="00483CC6"/>
    <w:rsid w:val="00483FE3"/>
    <w:rsid w:val="00484100"/>
    <w:rsid w:val="00484E4B"/>
    <w:rsid w:val="00485155"/>
    <w:rsid w:val="00486197"/>
    <w:rsid w:val="00486798"/>
    <w:rsid w:val="004902E8"/>
    <w:rsid w:val="00491442"/>
    <w:rsid w:val="00491F15"/>
    <w:rsid w:val="004921DE"/>
    <w:rsid w:val="004922C5"/>
    <w:rsid w:val="004937F2"/>
    <w:rsid w:val="004945B0"/>
    <w:rsid w:val="004950BF"/>
    <w:rsid w:val="004957A4"/>
    <w:rsid w:val="00495908"/>
    <w:rsid w:val="00495EC1"/>
    <w:rsid w:val="00496042"/>
    <w:rsid w:val="00496346"/>
    <w:rsid w:val="004A09A8"/>
    <w:rsid w:val="004A2151"/>
    <w:rsid w:val="004A2D54"/>
    <w:rsid w:val="004A2E6B"/>
    <w:rsid w:val="004A31D3"/>
    <w:rsid w:val="004A36E4"/>
    <w:rsid w:val="004A4702"/>
    <w:rsid w:val="004A51C6"/>
    <w:rsid w:val="004A54D0"/>
    <w:rsid w:val="004A604F"/>
    <w:rsid w:val="004A7A59"/>
    <w:rsid w:val="004B27E8"/>
    <w:rsid w:val="004B2CF3"/>
    <w:rsid w:val="004B37B8"/>
    <w:rsid w:val="004B4886"/>
    <w:rsid w:val="004B4D63"/>
    <w:rsid w:val="004B4E20"/>
    <w:rsid w:val="004B5219"/>
    <w:rsid w:val="004B6B7F"/>
    <w:rsid w:val="004B7093"/>
    <w:rsid w:val="004B70FD"/>
    <w:rsid w:val="004B7287"/>
    <w:rsid w:val="004C0431"/>
    <w:rsid w:val="004C0C2E"/>
    <w:rsid w:val="004C1D04"/>
    <w:rsid w:val="004C1FF5"/>
    <w:rsid w:val="004C2316"/>
    <w:rsid w:val="004C3AE6"/>
    <w:rsid w:val="004C3DFF"/>
    <w:rsid w:val="004C448C"/>
    <w:rsid w:val="004C451A"/>
    <w:rsid w:val="004C4746"/>
    <w:rsid w:val="004C58CD"/>
    <w:rsid w:val="004C6504"/>
    <w:rsid w:val="004C76FA"/>
    <w:rsid w:val="004C7D76"/>
    <w:rsid w:val="004C7EAC"/>
    <w:rsid w:val="004D0C53"/>
    <w:rsid w:val="004D1130"/>
    <w:rsid w:val="004D1476"/>
    <w:rsid w:val="004D15D0"/>
    <w:rsid w:val="004D2D2D"/>
    <w:rsid w:val="004D2E59"/>
    <w:rsid w:val="004D2FA7"/>
    <w:rsid w:val="004D3260"/>
    <w:rsid w:val="004D4881"/>
    <w:rsid w:val="004D4E85"/>
    <w:rsid w:val="004D504B"/>
    <w:rsid w:val="004D776A"/>
    <w:rsid w:val="004D7CD5"/>
    <w:rsid w:val="004E0637"/>
    <w:rsid w:val="004E11A4"/>
    <w:rsid w:val="004E121E"/>
    <w:rsid w:val="004E35E3"/>
    <w:rsid w:val="004E436D"/>
    <w:rsid w:val="004E43C9"/>
    <w:rsid w:val="004E46A5"/>
    <w:rsid w:val="004E50AE"/>
    <w:rsid w:val="004E57A4"/>
    <w:rsid w:val="004E6936"/>
    <w:rsid w:val="004F0261"/>
    <w:rsid w:val="004F0B54"/>
    <w:rsid w:val="004F0DE2"/>
    <w:rsid w:val="004F155B"/>
    <w:rsid w:val="004F2751"/>
    <w:rsid w:val="004F28DF"/>
    <w:rsid w:val="004F3CF4"/>
    <w:rsid w:val="004F655C"/>
    <w:rsid w:val="004F6C74"/>
    <w:rsid w:val="004F708A"/>
    <w:rsid w:val="004F7FE3"/>
    <w:rsid w:val="00500158"/>
    <w:rsid w:val="005012FB"/>
    <w:rsid w:val="00501561"/>
    <w:rsid w:val="00501582"/>
    <w:rsid w:val="005016AB"/>
    <w:rsid w:val="00501910"/>
    <w:rsid w:val="005022EF"/>
    <w:rsid w:val="005030E5"/>
    <w:rsid w:val="00503BBB"/>
    <w:rsid w:val="00506447"/>
    <w:rsid w:val="00507020"/>
    <w:rsid w:val="0051223B"/>
    <w:rsid w:val="00512246"/>
    <w:rsid w:val="005130C4"/>
    <w:rsid w:val="00514370"/>
    <w:rsid w:val="00514532"/>
    <w:rsid w:val="005154E6"/>
    <w:rsid w:val="00515C9A"/>
    <w:rsid w:val="00515F20"/>
    <w:rsid w:val="005175A3"/>
    <w:rsid w:val="005178FE"/>
    <w:rsid w:val="00520914"/>
    <w:rsid w:val="005238C0"/>
    <w:rsid w:val="00523EC1"/>
    <w:rsid w:val="00525089"/>
    <w:rsid w:val="00525C61"/>
    <w:rsid w:val="005266FC"/>
    <w:rsid w:val="00530DEA"/>
    <w:rsid w:val="00530FA7"/>
    <w:rsid w:val="00531824"/>
    <w:rsid w:val="00531C6D"/>
    <w:rsid w:val="00532259"/>
    <w:rsid w:val="00533DFB"/>
    <w:rsid w:val="00533FBC"/>
    <w:rsid w:val="005347EC"/>
    <w:rsid w:val="00534E3F"/>
    <w:rsid w:val="00534FDC"/>
    <w:rsid w:val="00537428"/>
    <w:rsid w:val="00541C03"/>
    <w:rsid w:val="005427B6"/>
    <w:rsid w:val="005437F7"/>
    <w:rsid w:val="00543963"/>
    <w:rsid w:val="005444E9"/>
    <w:rsid w:val="0054499B"/>
    <w:rsid w:val="00544D62"/>
    <w:rsid w:val="0054523D"/>
    <w:rsid w:val="005455A1"/>
    <w:rsid w:val="00545897"/>
    <w:rsid w:val="0054618B"/>
    <w:rsid w:val="00546212"/>
    <w:rsid w:val="00550267"/>
    <w:rsid w:val="005505FE"/>
    <w:rsid w:val="00552AF1"/>
    <w:rsid w:val="00553000"/>
    <w:rsid w:val="0055320B"/>
    <w:rsid w:val="005532E1"/>
    <w:rsid w:val="00553617"/>
    <w:rsid w:val="00553C89"/>
    <w:rsid w:val="00554941"/>
    <w:rsid w:val="005550E6"/>
    <w:rsid w:val="005552AB"/>
    <w:rsid w:val="00557012"/>
    <w:rsid w:val="005572DB"/>
    <w:rsid w:val="00557970"/>
    <w:rsid w:val="00557E58"/>
    <w:rsid w:val="005605B6"/>
    <w:rsid w:val="00561673"/>
    <w:rsid w:val="00561871"/>
    <w:rsid w:val="00562623"/>
    <w:rsid w:val="005649C8"/>
    <w:rsid w:val="00564C76"/>
    <w:rsid w:val="00565511"/>
    <w:rsid w:val="0056688F"/>
    <w:rsid w:val="00567009"/>
    <w:rsid w:val="00567378"/>
    <w:rsid w:val="00567511"/>
    <w:rsid w:val="0057129B"/>
    <w:rsid w:val="00571F81"/>
    <w:rsid w:val="0057207C"/>
    <w:rsid w:val="00573656"/>
    <w:rsid w:val="00573DCF"/>
    <w:rsid w:val="00573E8D"/>
    <w:rsid w:val="00574C10"/>
    <w:rsid w:val="00574EA7"/>
    <w:rsid w:val="00575185"/>
    <w:rsid w:val="0057572C"/>
    <w:rsid w:val="00575E99"/>
    <w:rsid w:val="00575F90"/>
    <w:rsid w:val="00576FC7"/>
    <w:rsid w:val="00577A70"/>
    <w:rsid w:val="005804DC"/>
    <w:rsid w:val="00580E25"/>
    <w:rsid w:val="0058120D"/>
    <w:rsid w:val="0058155A"/>
    <w:rsid w:val="00581C3E"/>
    <w:rsid w:val="0058249B"/>
    <w:rsid w:val="0058314F"/>
    <w:rsid w:val="00584EDF"/>
    <w:rsid w:val="00584F87"/>
    <w:rsid w:val="0058619D"/>
    <w:rsid w:val="00586EAF"/>
    <w:rsid w:val="00587619"/>
    <w:rsid w:val="0059020D"/>
    <w:rsid w:val="0059087A"/>
    <w:rsid w:val="00591236"/>
    <w:rsid w:val="00591B79"/>
    <w:rsid w:val="00591F4A"/>
    <w:rsid w:val="00592461"/>
    <w:rsid w:val="00593299"/>
    <w:rsid w:val="0059364E"/>
    <w:rsid w:val="00594E46"/>
    <w:rsid w:val="005955C0"/>
    <w:rsid w:val="00597962"/>
    <w:rsid w:val="005A0E84"/>
    <w:rsid w:val="005A30A3"/>
    <w:rsid w:val="005A354A"/>
    <w:rsid w:val="005A4638"/>
    <w:rsid w:val="005A53B5"/>
    <w:rsid w:val="005B04AF"/>
    <w:rsid w:val="005B06C7"/>
    <w:rsid w:val="005B0728"/>
    <w:rsid w:val="005B0A4C"/>
    <w:rsid w:val="005B31AE"/>
    <w:rsid w:val="005B3210"/>
    <w:rsid w:val="005B38F0"/>
    <w:rsid w:val="005B4A33"/>
    <w:rsid w:val="005B4CBF"/>
    <w:rsid w:val="005B50D1"/>
    <w:rsid w:val="005B5A04"/>
    <w:rsid w:val="005B5E84"/>
    <w:rsid w:val="005B7065"/>
    <w:rsid w:val="005C04AF"/>
    <w:rsid w:val="005C161B"/>
    <w:rsid w:val="005C1708"/>
    <w:rsid w:val="005C2958"/>
    <w:rsid w:val="005C2ADA"/>
    <w:rsid w:val="005C2BF0"/>
    <w:rsid w:val="005C2E3F"/>
    <w:rsid w:val="005C326A"/>
    <w:rsid w:val="005C3C39"/>
    <w:rsid w:val="005C3D42"/>
    <w:rsid w:val="005C3E29"/>
    <w:rsid w:val="005C48E3"/>
    <w:rsid w:val="005C4D55"/>
    <w:rsid w:val="005C5113"/>
    <w:rsid w:val="005C68A1"/>
    <w:rsid w:val="005C6A7B"/>
    <w:rsid w:val="005C73C3"/>
    <w:rsid w:val="005D08C7"/>
    <w:rsid w:val="005D1FA6"/>
    <w:rsid w:val="005D26E0"/>
    <w:rsid w:val="005D29E5"/>
    <w:rsid w:val="005D2CB9"/>
    <w:rsid w:val="005D5E97"/>
    <w:rsid w:val="005D746A"/>
    <w:rsid w:val="005E0132"/>
    <w:rsid w:val="005E0F81"/>
    <w:rsid w:val="005E18DD"/>
    <w:rsid w:val="005E201B"/>
    <w:rsid w:val="005E29B3"/>
    <w:rsid w:val="005E5F37"/>
    <w:rsid w:val="005E67D2"/>
    <w:rsid w:val="005E68BF"/>
    <w:rsid w:val="005E727F"/>
    <w:rsid w:val="005F116B"/>
    <w:rsid w:val="005F18BA"/>
    <w:rsid w:val="005F32FC"/>
    <w:rsid w:val="005F3904"/>
    <w:rsid w:val="005F4A4F"/>
    <w:rsid w:val="005F4CAE"/>
    <w:rsid w:val="005F4D87"/>
    <w:rsid w:val="005F58C3"/>
    <w:rsid w:val="005F5EF4"/>
    <w:rsid w:val="005F6F1E"/>
    <w:rsid w:val="005F6F41"/>
    <w:rsid w:val="005F7DD1"/>
    <w:rsid w:val="006005A6"/>
    <w:rsid w:val="00600606"/>
    <w:rsid w:val="00600E74"/>
    <w:rsid w:val="00601806"/>
    <w:rsid w:val="006036C1"/>
    <w:rsid w:val="00604FB1"/>
    <w:rsid w:val="0060575F"/>
    <w:rsid w:val="00607290"/>
    <w:rsid w:val="006072B7"/>
    <w:rsid w:val="006109D5"/>
    <w:rsid w:val="006111A7"/>
    <w:rsid w:val="00611350"/>
    <w:rsid w:val="006118A6"/>
    <w:rsid w:val="006127C5"/>
    <w:rsid w:val="00612963"/>
    <w:rsid w:val="0061324A"/>
    <w:rsid w:val="0061467F"/>
    <w:rsid w:val="0061481F"/>
    <w:rsid w:val="006164B2"/>
    <w:rsid w:val="00617178"/>
    <w:rsid w:val="00617768"/>
    <w:rsid w:val="006204A8"/>
    <w:rsid w:val="00620B33"/>
    <w:rsid w:val="006225DD"/>
    <w:rsid w:val="0062295C"/>
    <w:rsid w:val="0062572A"/>
    <w:rsid w:val="00625CA7"/>
    <w:rsid w:val="00627ADC"/>
    <w:rsid w:val="00627C7D"/>
    <w:rsid w:val="00627E2C"/>
    <w:rsid w:val="006315AD"/>
    <w:rsid w:val="0063213E"/>
    <w:rsid w:val="0063232D"/>
    <w:rsid w:val="00632D3A"/>
    <w:rsid w:val="00633900"/>
    <w:rsid w:val="00634F0D"/>
    <w:rsid w:val="00634FAB"/>
    <w:rsid w:val="006377C4"/>
    <w:rsid w:val="006409A5"/>
    <w:rsid w:val="00640FEA"/>
    <w:rsid w:val="00643542"/>
    <w:rsid w:val="0064497C"/>
    <w:rsid w:val="006476BF"/>
    <w:rsid w:val="006476D0"/>
    <w:rsid w:val="006509DB"/>
    <w:rsid w:val="00650DDE"/>
    <w:rsid w:val="00652A47"/>
    <w:rsid w:val="006537E0"/>
    <w:rsid w:val="0065467E"/>
    <w:rsid w:val="00654864"/>
    <w:rsid w:val="00654A56"/>
    <w:rsid w:val="00654D16"/>
    <w:rsid w:val="00657FA8"/>
    <w:rsid w:val="006601E3"/>
    <w:rsid w:val="00660BA3"/>
    <w:rsid w:val="0066398C"/>
    <w:rsid w:val="00664D44"/>
    <w:rsid w:val="00665216"/>
    <w:rsid w:val="00665217"/>
    <w:rsid w:val="00665448"/>
    <w:rsid w:val="00666E6B"/>
    <w:rsid w:val="0067070F"/>
    <w:rsid w:val="006738A5"/>
    <w:rsid w:val="006738D2"/>
    <w:rsid w:val="006760E3"/>
    <w:rsid w:val="00676D1A"/>
    <w:rsid w:val="00676E3D"/>
    <w:rsid w:val="006818B1"/>
    <w:rsid w:val="0068294E"/>
    <w:rsid w:val="00682F8B"/>
    <w:rsid w:val="00685AAE"/>
    <w:rsid w:val="0068707B"/>
    <w:rsid w:val="00687964"/>
    <w:rsid w:val="00687B42"/>
    <w:rsid w:val="00690554"/>
    <w:rsid w:val="00690AE8"/>
    <w:rsid w:val="006910D7"/>
    <w:rsid w:val="00691111"/>
    <w:rsid w:val="00692C9C"/>
    <w:rsid w:val="006963F5"/>
    <w:rsid w:val="006966A6"/>
    <w:rsid w:val="006975AE"/>
    <w:rsid w:val="00697655"/>
    <w:rsid w:val="006A1E1D"/>
    <w:rsid w:val="006A3548"/>
    <w:rsid w:val="006A4DDB"/>
    <w:rsid w:val="006A5A5E"/>
    <w:rsid w:val="006A657A"/>
    <w:rsid w:val="006A7B9D"/>
    <w:rsid w:val="006A7F5C"/>
    <w:rsid w:val="006B0349"/>
    <w:rsid w:val="006B0693"/>
    <w:rsid w:val="006B085C"/>
    <w:rsid w:val="006B1348"/>
    <w:rsid w:val="006B2B44"/>
    <w:rsid w:val="006B2B9A"/>
    <w:rsid w:val="006B4E85"/>
    <w:rsid w:val="006B5C20"/>
    <w:rsid w:val="006B6B88"/>
    <w:rsid w:val="006C1582"/>
    <w:rsid w:val="006C1A80"/>
    <w:rsid w:val="006C30AE"/>
    <w:rsid w:val="006C4E24"/>
    <w:rsid w:val="006C6430"/>
    <w:rsid w:val="006C7C92"/>
    <w:rsid w:val="006D0535"/>
    <w:rsid w:val="006D077C"/>
    <w:rsid w:val="006D0B94"/>
    <w:rsid w:val="006D17D3"/>
    <w:rsid w:val="006D17EA"/>
    <w:rsid w:val="006D2028"/>
    <w:rsid w:val="006D252C"/>
    <w:rsid w:val="006D26C5"/>
    <w:rsid w:val="006D2995"/>
    <w:rsid w:val="006D30C0"/>
    <w:rsid w:val="006D3997"/>
    <w:rsid w:val="006D42EC"/>
    <w:rsid w:val="006D4326"/>
    <w:rsid w:val="006D453E"/>
    <w:rsid w:val="006D5036"/>
    <w:rsid w:val="006D52D0"/>
    <w:rsid w:val="006D592E"/>
    <w:rsid w:val="006D74C0"/>
    <w:rsid w:val="006D76E5"/>
    <w:rsid w:val="006D7FEC"/>
    <w:rsid w:val="006E2B50"/>
    <w:rsid w:val="006E53DF"/>
    <w:rsid w:val="006E59BA"/>
    <w:rsid w:val="006E5EBF"/>
    <w:rsid w:val="006E63AE"/>
    <w:rsid w:val="006E66B7"/>
    <w:rsid w:val="006E74D5"/>
    <w:rsid w:val="006E761B"/>
    <w:rsid w:val="006E7B9C"/>
    <w:rsid w:val="006F0985"/>
    <w:rsid w:val="006F0AB3"/>
    <w:rsid w:val="006F1C38"/>
    <w:rsid w:val="006F2E51"/>
    <w:rsid w:val="006F3816"/>
    <w:rsid w:val="006F55BD"/>
    <w:rsid w:val="006F691E"/>
    <w:rsid w:val="006F7468"/>
    <w:rsid w:val="007000F6"/>
    <w:rsid w:val="00700C92"/>
    <w:rsid w:val="00703408"/>
    <w:rsid w:val="0070358E"/>
    <w:rsid w:val="00703831"/>
    <w:rsid w:val="00704683"/>
    <w:rsid w:val="0070490D"/>
    <w:rsid w:val="00704EB6"/>
    <w:rsid w:val="007062DB"/>
    <w:rsid w:val="00706EB1"/>
    <w:rsid w:val="00707170"/>
    <w:rsid w:val="007079DD"/>
    <w:rsid w:val="00707BC2"/>
    <w:rsid w:val="00707E59"/>
    <w:rsid w:val="0071242C"/>
    <w:rsid w:val="00712ADF"/>
    <w:rsid w:val="00713839"/>
    <w:rsid w:val="00715A59"/>
    <w:rsid w:val="00716BEB"/>
    <w:rsid w:val="00716EEB"/>
    <w:rsid w:val="007174A8"/>
    <w:rsid w:val="00721324"/>
    <w:rsid w:val="00722DBF"/>
    <w:rsid w:val="00722ED6"/>
    <w:rsid w:val="00724600"/>
    <w:rsid w:val="007246D7"/>
    <w:rsid w:val="00730722"/>
    <w:rsid w:val="0073191F"/>
    <w:rsid w:val="00731952"/>
    <w:rsid w:val="00732C03"/>
    <w:rsid w:val="00733143"/>
    <w:rsid w:val="00734AE8"/>
    <w:rsid w:val="00734BBC"/>
    <w:rsid w:val="00735388"/>
    <w:rsid w:val="00735DB5"/>
    <w:rsid w:val="00736C05"/>
    <w:rsid w:val="00736E2A"/>
    <w:rsid w:val="00736E70"/>
    <w:rsid w:val="00737096"/>
    <w:rsid w:val="00737C29"/>
    <w:rsid w:val="00740199"/>
    <w:rsid w:val="00740676"/>
    <w:rsid w:val="00741690"/>
    <w:rsid w:val="0074239B"/>
    <w:rsid w:val="00743110"/>
    <w:rsid w:val="007462AF"/>
    <w:rsid w:val="00746C93"/>
    <w:rsid w:val="007478F2"/>
    <w:rsid w:val="00747A2B"/>
    <w:rsid w:val="00747B5A"/>
    <w:rsid w:val="0075092B"/>
    <w:rsid w:val="00752949"/>
    <w:rsid w:val="00752D00"/>
    <w:rsid w:val="007549CD"/>
    <w:rsid w:val="00754C0E"/>
    <w:rsid w:val="00754FDB"/>
    <w:rsid w:val="00755311"/>
    <w:rsid w:val="00755A4F"/>
    <w:rsid w:val="00756199"/>
    <w:rsid w:val="00756A36"/>
    <w:rsid w:val="00757121"/>
    <w:rsid w:val="007575A9"/>
    <w:rsid w:val="00760C0B"/>
    <w:rsid w:val="00761428"/>
    <w:rsid w:val="00761B0E"/>
    <w:rsid w:val="0076369F"/>
    <w:rsid w:val="00764480"/>
    <w:rsid w:val="0076482E"/>
    <w:rsid w:val="00764DA8"/>
    <w:rsid w:val="00765AAD"/>
    <w:rsid w:val="007665FB"/>
    <w:rsid w:val="00767683"/>
    <w:rsid w:val="007700D3"/>
    <w:rsid w:val="00770162"/>
    <w:rsid w:val="007701C8"/>
    <w:rsid w:val="0077065F"/>
    <w:rsid w:val="00770C2F"/>
    <w:rsid w:val="00771928"/>
    <w:rsid w:val="00772B13"/>
    <w:rsid w:val="00773031"/>
    <w:rsid w:val="007740EF"/>
    <w:rsid w:val="00774170"/>
    <w:rsid w:val="00774A0B"/>
    <w:rsid w:val="00775576"/>
    <w:rsid w:val="00775E37"/>
    <w:rsid w:val="00775EFB"/>
    <w:rsid w:val="00775FAF"/>
    <w:rsid w:val="00776293"/>
    <w:rsid w:val="007774E1"/>
    <w:rsid w:val="00777E87"/>
    <w:rsid w:val="0078037B"/>
    <w:rsid w:val="00780DB5"/>
    <w:rsid w:val="00781519"/>
    <w:rsid w:val="00784E38"/>
    <w:rsid w:val="00785073"/>
    <w:rsid w:val="007850E4"/>
    <w:rsid w:val="00785A94"/>
    <w:rsid w:val="00786150"/>
    <w:rsid w:val="00787723"/>
    <w:rsid w:val="007906B5"/>
    <w:rsid w:val="00790738"/>
    <w:rsid w:val="00790F01"/>
    <w:rsid w:val="007912D8"/>
    <w:rsid w:val="007927BC"/>
    <w:rsid w:val="00792955"/>
    <w:rsid w:val="00793036"/>
    <w:rsid w:val="00793E5D"/>
    <w:rsid w:val="00794ECC"/>
    <w:rsid w:val="00795126"/>
    <w:rsid w:val="00795C2E"/>
    <w:rsid w:val="00795FD2"/>
    <w:rsid w:val="0079616C"/>
    <w:rsid w:val="0079731D"/>
    <w:rsid w:val="00797440"/>
    <w:rsid w:val="0079771A"/>
    <w:rsid w:val="00797BBA"/>
    <w:rsid w:val="00797F34"/>
    <w:rsid w:val="007A0F97"/>
    <w:rsid w:val="007A1A6B"/>
    <w:rsid w:val="007A4341"/>
    <w:rsid w:val="007A4F84"/>
    <w:rsid w:val="007A6647"/>
    <w:rsid w:val="007A7724"/>
    <w:rsid w:val="007B004F"/>
    <w:rsid w:val="007B00C0"/>
    <w:rsid w:val="007B0FA8"/>
    <w:rsid w:val="007B12B6"/>
    <w:rsid w:val="007B1361"/>
    <w:rsid w:val="007B1CFB"/>
    <w:rsid w:val="007B2B56"/>
    <w:rsid w:val="007B3A8F"/>
    <w:rsid w:val="007B4902"/>
    <w:rsid w:val="007B4BC9"/>
    <w:rsid w:val="007B6C35"/>
    <w:rsid w:val="007B70C5"/>
    <w:rsid w:val="007B722F"/>
    <w:rsid w:val="007B7BA3"/>
    <w:rsid w:val="007C0246"/>
    <w:rsid w:val="007C0EC6"/>
    <w:rsid w:val="007C23F6"/>
    <w:rsid w:val="007C419F"/>
    <w:rsid w:val="007C46AE"/>
    <w:rsid w:val="007C4DF8"/>
    <w:rsid w:val="007C5925"/>
    <w:rsid w:val="007C5B03"/>
    <w:rsid w:val="007C5D11"/>
    <w:rsid w:val="007D06D3"/>
    <w:rsid w:val="007D20FA"/>
    <w:rsid w:val="007D2B91"/>
    <w:rsid w:val="007D4018"/>
    <w:rsid w:val="007D506A"/>
    <w:rsid w:val="007D610E"/>
    <w:rsid w:val="007D6936"/>
    <w:rsid w:val="007D6F3F"/>
    <w:rsid w:val="007D6FCB"/>
    <w:rsid w:val="007E0038"/>
    <w:rsid w:val="007E095A"/>
    <w:rsid w:val="007E0B5C"/>
    <w:rsid w:val="007E0DF1"/>
    <w:rsid w:val="007E0ED9"/>
    <w:rsid w:val="007E1E9A"/>
    <w:rsid w:val="007E2463"/>
    <w:rsid w:val="007E3276"/>
    <w:rsid w:val="007E3A7F"/>
    <w:rsid w:val="007E3D1A"/>
    <w:rsid w:val="007E4876"/>
    <w:rsid w:val="007E57AD"/>
    <w:rsid w:val="007E6D6D"/>
    <w:rsid w:val="007E7A36"/>
    <w:rsid w:val="007F09FB"/>
    <w:rsid w:val="007F165C"/>
    <w:rsid w:val="007F4024"/>
    <w:rsid w:val="007F4F85"/>
    <w:rsid w:val="007F51F1"/>
    <w:rsid w:val="007F535C"/>
    <w:rsid w:val="007F54F1"/>
    <w:rsid w:val="007F621C"/>
    <w:rsid w:val="007F6ABC"/>
    <w:rsid w:val="007F71F2"/>
    <w:rsid w:val="008007E1"/>
    <w:rsid w:val="00800E54"/>
    <w:rsid w:val="00801C91"/>
    <w:rsid w:val="00802D16"/>
    <w:rsid w:val="00804B3D"/>
    <w:rsid w:val="0080715E"/>
    <w:rsid w:val="00807E50"/>
    <w:rsid w:val="00811AAE"/>
    <w:rsid w:val="00811DDC"/>
    <w:rsid w:val="0081272F"/>
    <w:rsid w:val="008137E8"/>
    <w:rsid w:val="00815392"/>
    <w:rsid w:val="00815ACC"/>
    <w:rsid w:val="008167FF"/>
    <w:rsid w:val="00817279"/>
    <w:rsid w:val="00817AA7"/>
    <w:rsid w:val="00817B92"/>
    <w:rsid w:val="00820228"/>
    <w:rsid w:val="00820B8C"/>
    <w:rsid w:val="00820E13"/>
    <w:rsid w:val="00821987"/>
    <w:rsid w:val="00821C90"/>
    <w:rsid w:val="00823359"/>
    <w:rsid w:val="00823B96"/>
    <w:rsid w:val="00823E8D"/>
    <w:rsid w:val="00825B1D"/>
    <w:rsid w:val="0082633E"/>
    <w:rsid w:val="00827C1D"/>
    <w:rsid w:val="00827FC3"/>
    <w:rsid w:val="00827FC6"/>
    <w:rsid w:val="00831937"/>
    <w:rsid w:val="00832085"/>
    <w:rsid w:val="00832DE2"/>
    <w:rsid w:val="0083327D"/>
    <w:rsid w:val="00834513"/>
    <w:rsid w:val="008348CF"/>
    <w:rsid w:val="00834B45"/>
    <w:rsid w:val="0083517E"/>
    <w:rsid w:val="0083736D"/>
    <w:rsid w:val="0083737A"/>
    <w:rsid w:val="00840655"/>
    <w:rsid w:val="0084193E"/>
    <w:rsid w:val="00841A79"/>
    <w:rsid w:val="00842890"/>
    <w:rsid w:val="00842ED3"/>
    <w:rsid w:val="00843B1C"/>
    <w:rsid w:val="00843FDE"/>
    <w:rsid w:val="0084462E"/>
    <w:rsid w:val="00844DBC"/>
    <w:rsid w:val="00844EBD"/>
    <w:rsid w:val="00844FAB"/>
    <w:rsid w:val="00846D47"/>
    <w:rsid w:val="00847289"/>
    <w:rsid w:val="0084751A"/>
    <w:rsid w:val="008477EB"/>
    <w:rsid w:val="00847B87"/>
    <w:rsid w:val="00850FE2"/>
    <w:rsid w:val="00851BB7"/>
    <w:rsid w:val="0085248E"/>
    <w:rsid w:val="00852638"/>
    <w:rsid w:val="008534DE"/>
    <w:rsid w:val="00854CEB"/>
    <w:rsid w:val="008557F6"/>
    <w:rsid w:val="008569EB"/>
    <w:rsid w:val="00856DB6"/>
    <w:rsid w:val="008577A6"/>
    <w:rsid w:val="008612D8"/>
    <w:rsid w:val="00861BD1"/>
    <w:rsid w:val="00862098"/>
    <w:rsid w:val="00862B2E"/>
    <w:rsid w:val="00862C5C"/>
    <w:rsid w:val="0086342F"/>
    <w:rsid w:val="00864275"/>
    <w:rsid w:val="00864D45"/>
    <w:rsid w:val="008664D6"/>
    <w:rsid w:val="00866F89"/>
    <w:rsid w:val="00870122"/>
    <w:rsid w:val="00870560"/>
    <w:rsid w:val="00871F03"/>
    <w:rsid w:val="0087201C"/>
    <w:rsid w:val="00872575"/>
    <w:rsid w:val="00872CA6"/>
    <w:rsid w:val="00873C42"/>
    <w:rsid w:val="00873CC8"/>
    <w:rsid w:val="008742AF"/>
    <w:rsid w:val="00875139"/>
    <w:rsid w:val="00880099"/>
    <w:rsid w:val="008809FB"/>
    <w:rsid w:val="0088138D"/>
    <w:rsid w:val="008817D9"/>
    <w:rsid w:val="00881A79"/>
    <w:rsid w:val="00882F8A"/>
    <w:rsid w:val="008834B9"/>
    <w:rsid w:val="0088392D"/>
    <w:rsid w:val="00885FD8"/>
    <w:rsid w:val="00886D6A"/>
    <w:rsid w:val="00887B7F"/>
    <w:rsid w:val="00887CD2"/>
    <w:rsid w:val="00887F62"/>
    <w:rsid w:val="008932DD"/>
    <w:rsid w:val="00893566"/>
    <w:rsid w:val="00893DA8"/>
    <w:rsid w:val="00893F7D"/>
    <w:rsid w:val="0089437C"/>
    <w:rsid w:val="00894A7D"/>
    <w:rsid w:val="0089673A"/>
    <w:rsid w:val="00896AC2"/>
    <w:rsid w:val="00897104"/>
    <w:rsid w:val="008A021C"/>
    <w:rsid w:val="008A0941"/>
    <w:rsid w:val="008A1004"/>
    <w:rsid w:val="008A1C45"/>
    <w:rsid w:val="008A2BE4"/>
    <w:rsid w:val="008A3463"/>
    <w:rsid w:val="008A4B11"/>
    <w:rsid w:val="008A51DF"/>
    <w:rsid w:val="008A63B8"/>
    <w:rsid w:val="008A648A"/>
    <w:rsid w:val="008B00EC"/>
    <w:rsid w:val="008B0B09"/>
    <w:rsid w:val="008B1251"/>
    <w:rsid w:val="008B127D"/>
    <w:rsid w:val="008B1A47"/>
    <w:rsid w:val="008B1E28"/>
    <w:rsid w:val="008B273A"/>
    <w:rsid w:val="008B2E92"/>
    <w:rsid w:val="008B3D4B"/>
    <w:rsid w:val="008B45C3"/>
    <w:rsid w:val="008B57D3"/>
    <w:rsid w:val="008B61E7"/>
    <w:rsid w:val="008B680F"/>
    <w:rsid w:val="008B746A"/>
    <w:rsid w:val="008C0841"/>
    <w:rsid w:val="008C0E8B"/>
    <w:rsid w:val="008C0F90"/>
    <w:rsid w:val="008C190A"/>
    <w:rsid w:val="008C192B"/>
    <w:rsid w:val="008C2BF0"/>
    <w:rsid w:val="008C31A4"/>
    <w:rsid w:val="008C31B0"/>
    <w:rsid w:val="008C3594"/>
    <w:rsid w:val="008C3632"/>
    <w:rsid w:val="008C4792"/>
    <w:rsid w:val="008C5B14"/>
    <w:rsid w:val="008C5BA3"/>
    <w:rsid w:val="008C6F21"/>
    <w:rsid w:val="008C7174"/>
    <w:rsid w:val="008C7BD4"/>
    <w:rsid w:val="008C7E56"/>
    <w:rsid w:val="008D0CC2"/>
    <w:rsid w:val="008D12F0"/>
    <w:rsid w:val="008D164D"/>
    <w:rsid w:val="008D1A20"/>
    <w:rsid w:val="008D5CF3"/>
    <w:rsid w:val="008D6C33"/>
    <w:rsid w:val="008E09AA"/>
    <w:rsid w:val="008E1679"/>
    <w:rsid w:val="008E34EE"/>
    <w:rsid w:val="008E41CF"/>
    <w:rsid w:val="008E60A4"/>
    <w:rsid w:val="008E6638"/>
    <w:rsid w:val="008E69D1"/>
    <w:rsid w:val="008E6E2E"/>
    <w:rsid w:val="008E768C"/>
    <w:rsid w:val="008E7F66"/>
    <w:rsid w:val="008F25B5"/>
    <w:rsid w:val="008F32B6"/>
    <w:rsid w:val="008F3B51"/>
    <w:rsid w:val="008F3B6B"/>
    <w:rsid w:val="008F4261"/>
    <w:rsid w:val="008F42E3"/>
    <w:rsid w:val="008F4B2B"/>
    <w:rsid w:val="008F5581"/>
    <w:rsid w:val="008F7920"/>
    <w:rsid w:val="00900827"/>
    <w:rsid w:val="00900DEA"/>
    <w:rsid w:val="00901E7B"/>
    <w:rsid w:val="009033C0"/>
    <w:rsid w:val="0090439D"/>
    <w:rsid w:val="00904BAA"/>
    <w:rsid w:val="009059E2"/>
    <w:rsid w:val="00905FBE"/>
    <w:rsid w:val="009062E7"/>
    <w:rsid w:val="00907373"/>
    <w:rsid w:val="009073B9"/>
    <w:rsid w:val="0090763E"/>
    <w:rsid w:val="00907A98"/>
    <w:rsid w:val="00907D10"/>
    <w:rsid w:val="00910325"/>
    <w:rsid w:val="009104A7"/>
    <w:rsid w:val="009137D2"/>
    <w:rsid w:val="00913E09"/>
    <w:rsid w:val="00916166"/>
    <w:rsid w:val="00917DAD"/>
    <w:rsid w:val="00917E94"/>
    <w:rsid w:val="009202B0"/>
    <w:rsid w:val="00921121"/>
    <w:rsid w:val="00922D10"/>
    <w:rsid w:val="00922FBD"/>
    <w:rsid w:val="0092410E"/>
    <w:rsid w:val="00924791"/>
    <w:rsid w:val="00925858"/>
    <w:rsid w:val="009259E1"/>
    <w:rsid w:val="00926018"/>
    <w:rsid w:val="00926FD1"/>
    <w:rsid w:val="009273AE"/>
    <w:rsid w:val="00927B88"/>
    <w:rsid w:val="00927FB6"/>
    <w:rsid w:val="0093079F"/>
    <w:rsid w:val="00931A47"/>
    <w:rsid w:val="00933F12"/>
    <w:rsid w:val="00935393"/>
    <w:rsid w:val="00935446"/>
    <w:rsid w:val="00935821"/>
    <w:rsid w:val="00935965"/>
    <w:rsid w:val="00935B7F"/>
    <w:rsid w:val="009415E0"/>
    <w:rsid w:val="0094186B"/>
    <w:rsid w:val="00941A4C"/>
    <w:rsid w:val="00941E49"/>
    <w:rsid w:val="00942A54"/>
    <w:rsid w:val="00943575"/>
    <w:rsid w:val="0094408D"/>
    <w:rsid w:val="009442B0"/>
    <w:rsid w:val="00945535"/>
    <w:rsid w:val="009456B0"/>
    <w:rsid w:val="0094668A"/>
    <w:rsid w:val="0094684D"/>
    <w:rsid w:val="00947922"/>
    <w:rsid w:val="009514D2"/>
    <w:rsid w:val="00954437"/>
    <w:rsid w:val="00954642"/>
    <w:rsid w:val="0095480B"/>
    <w:rsid w:val="00954FFE"/>
    <w:rsid w:val="009556FA"/>
    <w:rsid w:val="00955F31"/>
    <w:rsid w:val="009569BD"/>
    <w:rsid w:val="00956C77"/>
    <w:rsid w:val="0095714D"/>
    <w:rsid w:val="009572D4"/>
    <w:rsid w:val="00957744"/>
    <w:rsid w:val="009602BD"/>
    <w:rsid w:val="00960671"/>
    <w:rsid w:val="00962BEE"/>
    <w:rsid w:val="00963331"/>
    <w:rsid w:val="00963881"/>
    <w:rsid w:val="00964F6D"/>
    <w:rsid w:val="00965079"/>
    <w:rsid w:val="00965901"/>
    <w:rsid w:val="00967536"/>
    <w:rsid w:val="00967AF4"/>
    <w:rsid w:val="0097032C"/>
    <w:rsid w:val="00970FD8"/>
    <w:rsid w:val="00971414"/>
    <w:rsid w:val="00971D94"/>
    <w:rsid w:val="009721CD"/>
    <w:rsid w:val="0097226C"/>
    <w:rsid w:val="00972BFB"/>
    <w:rsid w:val="00974562"/>
    <w:rsid w:val="00974E5B"/>
    <w:rsid w:val="0097547F"/>
    <w:rsid w:val="009760A7"/>
    <w:rsid w:val="00976F9C"/>
    <w:rsid w:val="00977156"/>
    <w:rsid w:val="009772C6"/>
    <w:rsid w:val="00977548"/>
    <w:rsid w:val="0098027E"/>
    <w:rsid w:val="0098134A"/>
    <w:rsid w:val="009814E6"/>
    <w:rsid w:val="0098158D"/>
    <w:rsid w:val="009818E1"/>
    <w:rsid w:val="00981A21"/>
    <w:rsid w:val="00982062"/>
    <w:rsid w:val="009858FF"/>
    <w:rsid w:val="009867E1"/>
    <w:rsid w:val="009904BE"/>
    <w:rsid w:val="00991B52"/>
    <w:rsid w:val="0099211D"/>
    <w:rsid w:val="009929FD"/>
    <w:rsid w:val="00993611"/>
    <w:rsid w:val="00994620"/>
    <w:rsid w:val="00995101"/>
    <w:rsid w:val="009952EC"/>
    <w:rsid w:val="009954A3"/>
    <w:rsid w:val="00996A5E"/>
    <w:rsid w:val="00996AAC"/>
    <w:rsid w:val="009A09A3"/>
    <w:rsid w:val="009A19AB"/>
    <w:rsid w:val="009A1ED4"/>
    <w:rsid w:val="009A2806"/>
    <w:rsid w:val="009A2D14"/>
    <w:rsid w:val="009A3375"/>
    <w:rsid w:val="009A632E"/>
    <w:rsid w:val="009A6594"/>
    <w:rsid w:val="009A7AC3"/>
    <w:rsid w:val="009B0955"/>
    <w:rsid w:val="009B18E9"/>
    <w:rsid w:val="009B247C"/>
    <w:rsid w:val="009B3D82"/>
    <w:rsid w:val="009B3E2D"/>
    <w:rsid w:val="009C098F"/>
    <w:rsid w:val="009C1FF6"/>
    <w:rsid w:val="009C20A6"/>
    <w:rsid w:val="009C21B7"/>
    <w:rsid w:val="009C260C"/>
    <w:rsid w:val="009C276B"/>
    <w:rsid w:val="009C278C"/>
    <w:rsid w:val="009C334B"/>
    <w:rsid w:val="009C36AD"/>
    <w:rsid w:val="009C431B"/>
    <w:rsid w:val="009C4A51"/>
    <w:rsid w:val="009C6135"/>
    <w:rsid w:val="009D04D0"/>
    <w:rsid w:val="009D0AEB"/>
    <w:rsid w:val="009D2E80"/>
    <w:rsid w:val="009D3F53"/>
    <w:rsid w:val="009D3FC6"/>
    <w:rsid w:val="009D58F9"/>
    <w:rsid w:val="009D678A"/>
    <w:rsid w:val="009D6E83"/>
    <w:rsid w:val="009D7B5C"/>
    <w:rsid w:val="009D7C49"/>
    <w:rsid w:val="009E0BF2"/>
    <w:rsid w:val="009E2159"/>
    <w:rsid w:val="009E22FA"/>
    <w:rsid w:val="009E2676"/>
    <w:rsid w:val="009E26A2"/>
    <w:rsid w:val="009E2C1C"/>
    <w:rsid w:val="009E41F7"/>
    <w:rsid w:val="009E599E"/>
    <w:rsid w:val="009E59E0"/>
    <w:rsid w:val="009E63FD"/>
    <w:rsid w:val="009E641D"/>
    <w:rsid w:val="009E64EF"/>
    <w:rsid w:val="009E6A39"/>
    <w:rsid w:val="009E781E"/>
    <w:rsid w:val="009E7B03"/>
    <w:rsid w:val="009E7E51"/>
    <w:rsid w:val="009F10B6"/>
    <w:rsid w:val="009F25B3"/>
    <w:rsid w:val="009F405F"/>
    <w:rsid w:val="009F4617"/>
    <w:rsid w:val="009F4F88"/>
    <w:rsid w:val="009F5080"/>
    <w:rsid w:val="009F535E"/>
    <w:rsid w:val="009F65C3"/>
    <w:rsid w:val="009F7C82"/>
    <w:rsid w:val="00A01C2D"/>
    <w:rsid w:val="00A0233F"/>
    <w:rsid w:val="00A02A62"/>
    <w:rsid w:val="00A03AC6"/>
    <w:rsid w:val="00A04257"/>
    <w:rsid w:val="00A04E69"/>
    <w:rsid w:val="00A04FAC"/>
    <w:rsid w:val="00A050A7"/>
    <w:rsid w:val="00A05A35"/>
    <w:rsid w:val="00A05A78"/>
    <w:rsid w:val="00A06B3B"/>
    <w:rsid w:val="00A06C5D"/>
    <w:rsid w:val="00A06F5C"/>
    <w:rsid w:val="00A0768A"/>
    <w:rsid w:val="00A10A8C"/>
    <w:rsid w:val="00A116BA"/>
    <w:rsid w:val="00A12140"/>
    <w:rsid w:val="00A12945"/>
    <w:rsid w:val="00A135B4"/>
    <w:rsid w:val="00A13A4A"/>
    <w:rsid w:val="00A14B54"/>
    <w:rsid w:val="00A15360"/>
    <w:rsid w:val="00A15946"/>
    <w:rsid w:val="00A16507"/>
    <w:rsid w:val="00A2160A"/>
    <w:rsid w:val="00A221D8"/>
    <w:rsid w:val="00A22525"/>
    <w:rsid w:val="00A244BB"/>
    <w:rsid w:val="00A24BC8"/>
    <w:rsid w:val="00A25647"/>
    <w:rsid w:val="00A26079"/>
    <w:rsid w:val="00A261B4"/>
    <w:rsid w:val="00A265BE"/>
    <w:rsid w:val="00A3017C"/>
    <w:rsid w:val="00A340E0"/>
    <w:rsid w:val="00A346B6"/>
    <w:rsid w:val="00A354C2"/>
    <w:rsid w:val="00A35EDC"/>
    <w:rsid w:val="00A35FEC"/>
    <w:rsid w:val="00A3639B"/>
    <w:rsid w:val="00A36F48"/>
    <w:rsid w:val="00A3700C"/>
    <w:rsid w:val="00A376CE"/>
    <w:rsid w:val="00A37B6B"/>
    <w:rsid w:val="00A400C9"/>
    <w:rsid w:val="00A4034E"/>
    <w:rsid w:val="00A40F25"/>
    <w:rsid w:val="00A415DB"/>
    <w:rsid w:val="00A421F6"/>
    <w:rsid w:val="00A423AE"/>
    <w:rsid w:val="00A428D0"/>
    <w:rsid w:val="00A44E99"/>
    <w:rsid w:val="00A465CE"/>
    <w:rsid w:val="00A46FFF"/>
    <w:rsid w:val="00A47911"/>
    <w:rsid w:val="00A47BA9"/>
    <w:rsid w:val="00A50DDA"/>
    <w:rsid w:val="00A51783"/>
    <w:rsid w:val="00A51ADB"/>
    <w:rsid w:val="00A522DB"/>
    <w:rsid w:val="00A5265A"/>
    <w:rsid w:val="00A536DB"/>
    <w:rsid w:val="00A5413D"/>
    <w:rsid w:val="00A54B85"/>
    <w:rsid w:val="00A56D2D"/>
    <w:rsid w:val="00A57B8D"/>
    <w:rsid w:val="00A57C32"/>
    <w:rsid w:val="00A57C6B"/>
    <w:rsid w:val="00A60099"/>
    <w:rsid w:val="00A608CD"/>
    <w:rsid w:val="00A60ED4"/>
    <w:rsid w:val="00A6122B"/>
    <w:rsid w:val="00A616CD"/>
    <w:rsid w:val="00A62784"/>
    <w:rsid w:val="00A6376A"/>
    <w:rsid w:val="00A64109"/>
    <w:rsid w:val="00A641A2"/>
    <w:rsid w:val="00A646CD"/>
    <w:rsid w:val="00A6551E"/>
    <w:rsid w:val="00A675E8"/>
    <w:rsid w:val="00A706EB"/>
    <w:rsid w:val="00A70C40"/>
    <w:rsid w:val="00A717CF"/>
    <w:rsid w:val="00A71B93"/>
    <w:rsid w:val="00A73505"/>
    <w:rsid w:val="00A73B19"/>
    <w:rsid w:val="00A742C2"/>
    <w:rsid w:val="00A746AD"/>
    <w:rsid w:val="00A74B27"/>
    <w:rsid w:val="00A759F0"/>
    <w:rsid w:val="00A763CC"/>
    <w:rsid w:val="00A8090C"/>
    <w:rsid w:val="00A81934"/>
    <w:rsid w:val="00A81FA7"/>
    <w:rsid w:val="00A82529"/>
    <w:rsid w:val="00A83D09"/>
    <w:rsid w:val="00A83D96"/>
    <w:rsid w:val="00A8400E"/>
    <w:rsid w:val="00A8448B"/>
    <w:rsid w:val="00A86704"/>
    <w:rsid w:val="00A86E68"/>
    <w:rsid w:val="00A9070A"/>
    <w:rsid w:val="00A9376F"/>
    <w:rsid w:val="00A94392"/>
    <w:rsid w:val="00A94A11"/>
    <w:rsid w:val="00A955D3"/>
    <w:rsid w:val="00A957E8"/>
    <w:rsid w:val="00A95D79"/>
    <w:rsid w:val="00A96356"/>
    <w:rsid w:val="00A96BC4"/>
    <w:rsid w:val="00A9787D"/>
    <w:rsid w:val="00AA04F7"/>
    <w:rsid w:val="00AA24CD"/>
    <w:rsid w:val="00AA30F3"/>
    <w:rsid w:val="00AA38A6"/>
    <w:rsid w:val="00AA43E6"/>
    <w:rsid w:val="00AA44AF"/>
    <w:rsid w:val="00AA6824"/>
    <w:rsid w:val="00AA6B78"/>
    <w:rsid w:val="00AA6C98"/>
    <w:rsid w:val="00AA7F13"/>
    <w:rsid w:val="00AB01FB"/>
    <w:rsid w:val="00AB030F"/>
    <w:rsid w:val="00AB0A4A"/>
    <w:rsid w:val="00AB183A"/>
    <w:rsid w:val="00AB3A03"/>
    <w:rsid w:val="00AB4289"/>
    <w:rsid w:val="00AB4A3B"/>
    <w:rsid w:val="00AB4F25"/>
    <w:rsid w:val="00AB5290"/>
    <w:rsid w:val="00AB5737"/>
    <w:rsid w:val="00AB62FA"/>
    <w:rsid w:val="00AB7EAE"/>
    <w:rsid w:val="00AC17C4"/>
    <w:rsid w:val="00AC1BD6"/>
    <w:rsid w:val="00AC1D51"/>
    <w:rsid w:val="00AC2814"/>
    <w:rsid w:val="00AC41BE"/>
    <w:rsid w:val="00AC4952"/>
    <w:rsid w:val="00AC4E5C"/>
    <w:rsid w:val="00AC55D3"/>
    <w:rsid w:val="00AC718E"/>
    <w:rsid w:val="00AD1318"/>
    <w:rsid w:val="00AD1A52"/>
    <w:rsid w:val="00AD1D5C"/>
    <w:rsid w:val="00AD42F5"/>
    <w:rsid w:val="00AD4D87"/>
    <w:rsid w:val="00AD59E8"/>
    <w:rsid w:val="00AD5B38"/>
    <w:rsid w:val="00AD5DD8"/>
    <w:rsid w:val="00AD6498"/>
    <w:rsid w:val="00AD7B15"/>
    <w:rsid w:val="00AE0890"/>
    <w:rsid w:val="00AE21B1"/>
    <w:rsid w:val="00AE2D3E"/>
    <w:rsid w:val="00AE313B"/>
    <w:rsid w:val="00AE38BD"/>
    <w:rsid w:val="00AE5685"/>
    <w:rsid w:val="00AE5B55"/>
    <w:rsid w:val="00AE68DE"/>
    <w:rsid w:val="00AE7CCF"/>
    <w:rsid w:val="00AE7E78"/>
    <w:rsid w:val="00AF0BA6"/>
    <w:rsid w:val="00AF1041"/>
    <w:rsid w:val="00AF11E2"/>
    <w:rsid w:val="00AF1925"/>
    <w:rsid w:val="00AF2ADB"/>
    <w:rsid w:val="00AF346C"/>
    <w:rsid w:val="00AF4A8C"/>
    <w:rsid w:val="00AF51C3"/>
    <w:rsid w:val="00AF539B"/>
    <w:rsid w:val="00AF66D2"/>
    <w:rsid w:val="00AF69D5"/>
    <w:rsid w:val="00AF754D"/>
    <w:rsid w:val="00AF7BB0"/>
    <w:rsid w:val="00B0161B"/>
    <w:rsid w:val="00B02FAB"/>
    <w:rsid w:val="00B03F9E"/>
    <w:rsid w:val="00B04C14"/>
    <w:rsid w:val="00B058FB"/>
    <w:rsid w:val="00B05AA6"/>
    <w:rsid w:val="00B05F1F"/>
    <w:rsid w:val="00B06D4F"/>
    <w:rsid w:val="00B10185"/>
    <w:rsid w:val="00B10CCF"/>
    <w:rsid w:val="00B110E0"/>
    <w:rsid w:val="00B12D7D"/>
    <w:rsid w:val="00B12FFD"/>
    <w:rsid w:val="00B131F6"/>
    <w:rsid w:val="00B13B70"/>
    <w:rsid w:val="00B14D37"/>
    <w:rsid w:val="00B241F3"/>
    <w:rsid w:val="00B2430E"/>
    <w:rsid w:val="00B248C2"/>
    <w:rsid w:val="00B254DF"/>
    <w:rsid w:val="00B25826"/>
    <w:rsid w:val="00B27892"/>
    <w:rsid w:val="00B307DC"/>
    <w:rsid w:val="00B30916"/>
    <w:rsid w:val="00B32272"/>
    <w:rsid w:val="00B32655"/>
    <w:rsid w:val="00B32A91"/>
    <w:rsid w:val="00B32D16"/>
    <w:rsid w:val="00B33F6D"/>
    <w:rsid w:val="00B3518A"/>
    <w:rsid w:val="00B36415"/>
    <w:rsid w:val="00B3695E"/>
    <w:rsid w:val="00B36BA5"/>
    <w:rsid w:val="00B36F53"/>
    <w:rsid w:val="00B37833"/>
    <w:rsid w:val="00B40FCA"/>
    <w:rsid w:val="00B41AE6"/>
    <w:rsid w:val="00B41B54"/>
    <w:rsid w:val="00B421AA"/>
    <w:rsid w:val="00B424C0"/>
    <w:rsid w:val="00B430B6"/>
    <w:rsid w:val="00B43513"/>
    <w:rsid w:val="00B43C0A"/>
    <w:rsid w:val="00B45189"/>
    <w:rsid w:val="00B45AB0"/>
    <w:rsid w:val="00B45BB0"/>
    <w:rsid w:val="00B460DF"/>
    <w:rsid w:val="00B463E4"/>
    <w:rsid w:val="00B469AB"/>
    <w:rsid w:val="00B46C78"/>
    <w:rsid w:val="00B47FC7"/>
    <w:rsid w:val="00B5082B"/>
    <w:rsid w:val="00B50C68"/>
    <w:rsid w:val="00B50F37"/>
    <w:rsid w:val="00B52276"/>
    <w:rsid w:val="00B540AB"/>
    <w:rsid w:val="00B541AF"/>
    <w:rsid w:val="00B54221"/>
    <w:rsid w:val="00B55809"/>
    <w:rsid w:val="00B56AD3"/>
    <w:rsid w:val="00B60C04"/>
    <w:rsid w:val="00B63276"/>
    <w:rsid w:val="00B63280"/>
    <w:rsid w:val="00B6507C"/>
    <w:rsid w:val="00B658A9"/>
    <w:rsid w:val="00B667F0"/>
    <w:rsid w:val="00B67D59"/>
    <w:rsid w:val="00B7246C"/>
    <w:rsid w:val="00B724CD"/>
    <w:rsid w:val="00B73AFC"/>
    <w:rsid w:val="00B7575C"/>
    <w:rsid w:val="00B76336"/>
    <w:rsid w:val="00B81D91"/>
    <w:rsid w:val="00B8207A"/>
    <w:rsid w:val="00B82AFA"/>
    <w:rsid w:val="00B83C2E"/>
    <w:rsid w:val="00B8462D"/>
    <w:rsid w:val="00B852AC"/>
    <w:rsid w:val="00B8615F"/>
    <w:rsid w:val="00B86440"/>
    <w:rsid w:val="00B86DB1"/>
    <w:rsid w:val="00B870ED"/>
    <w:rsid w:val="00B9168C"/>
    <w:rsid w:val="00B9175E"/>
    <w:rsid w:val="00B93B22"/>
    <w:rsid w:val="00B94F91"/>
    <w:rsid w:val="00B968B5"/>
    <w:rsid w:val="00B96DED"/>
    <w:rsid w:val="00B97450"/>
    <w:rsid w:val="00B979DA"/>
    <w:rsid w:val="00B97B79"/>
    <w:rsid w:val="00BA0014"/>
    <w:rsid w:val="00BA0394"/>
    <w:rsid w:val="00BA083D"/>
    <w:rsid w:val="00BA12C4"/>
    <w:rsid w:val="00BA24A1"/>
    <w:rsid w:val="00BA4219"/>
    <w:rsid w:val="00BA4BFB"/>
    <w:rsid w:val="00BA5733"/>
    <w:rsid w:val="00BA5D6A"/>
    <w:rsid w:val="00BA666A"/>
    <w:rsid w:val="00BA6E23"/>
    <w:rsid w:val="00BB145B"/>
    <w:rsid w:val="00BB2853"/>
    <w:rsid w:val="00BB3065"/>
    <w:rsid w:val="00BB34C9"/>
    <w:rsid w:val="00BB3E32"/>
    <w:rsid w:val="00BB6F03"/>
    <w:rsid w:val="00BB74A9"/>
    <w:rsid w:val="00BB76DC"/>
    <w:rsid w:val="00BC01E1"/>
    <w:rsid w:val="00BC1AA5"/>
    <w:rsid w:val="00BC2A04"/>
    <w:rsid w:val="00BC31A4"/>
    <w:rsid w:val="00BC3332"/>
    <w:rsid w:val="00BC4145"/>
    <w:rsid w:val="00BC433D"/>
    <w:rsid w:val="00BC4A61"/>
    <w:rsid w:val="00BC52DB"/>
    <w:rsid w:val="00BC5856"/>
    <w:rsid w:val="00BC64ED"/>
    <w:rsid w:val="00BC7D18"/>
    <w:rsid w:val="00BC7E41"/>
    <w:rsid w:val="00BD0739"/>
    <w:rsid w:val="00BD08BF"/>
    <w:rsid w:val="00BD0E31"/>
    <w:rsid w:val="00BD1C0F"/>
    <w:rsid w:val="00BD2CD3"/>
    <w:rsid w:val="00BD4A03"/>
    <w:rsid w:val="00BD4E4D"/>
    <w:rsid w:val="00BD5022"/>
    <w:rsid w:val="00BD56B7"/>
    <w:rsid w:val="00BD6B3B"/>
    <w:rsid w:val="00BD7D35"/>
    <w:rsid w:val="00BE16EA"/>
    <w:rsid w:val="00BE192A"/>
    <w:rsid w:val="00BE3AC6"/>
    <w:rsid w:val="00BE4765"/>
    <w:rsid w:val="00BE6D0E"/>
    <w:rsid w:val="00BE6E31"/>
    <w:rsid w:val="00BE7581"/>
    <w:rsid w:val="00BE7ACE"/>
    <w:rsid w:val="00BF1998"/>
    <w:rsid w:val="00BF23C3"/>
    <w:rsid w:val="00BF29AD"/>
    <w:rsid w:val="00BF5C8F"/>
    <w:rsid w:val="00BF651B"/>
    <w:rsid w:val="00C00A94"/>
    <w:rsid w:val="00C01B7C"/>
    <w:rsid w:val="00C02733"/>
    <w:rsid w:val="00C038D8"/>
    <w:rsid w:val="00C0469A"/>
    <w:rsid w:val="00C047CB"/>
    <w:rsid w:val="00C05605"/>
    <w:rsid w:val="00C05A2B"/>
    <w:rsid w:val="00C06F1D"/>
    <w:rsid w:val="00C07A03"/>
    <w:rsid w:val="00C1045B"/>
    <w:rsid w:val="00C10787"/>
    <w:rsid w:val="00C11917"/>
    <w:rsid w:val="00C126B3"/>
    <w:rsid w:val="00C1320F"/>
    <w:rsid w:val="00C1377D"/>
    <w:rsid w:val="00C13C00"/>
    <w:rsid w:val="00C13ED1"/>
    <w:rsid w:val="00C14E47"/>
    <w:rsid w:val="00C1502D"/>
    <w:rsid w:val="00C15217"/>
    <w:rsid w:val="00C15BC2"/>
    <w:rsid w:val="00C17E62"/>
    <w:rsid w:val="00C20A74"/>
    <w:rsid w:val="00C2192F"/>
    <w:rsid w:val="00C227DF"/>
    <w:rsid w:val="00C227F2"/>
    <w:rsid w:val="00C22A6C"/>
    <w:rsid w:val="00C22F25"/>
    <w:rsid w:val="00C2384E"/>
    <w:rsid w:val="00C24EB6"/>
    <w:rsid w:val="00C26BA1"/>
    <w:rsid w:val="00C27727"/>
    <w:rsid w:val="00C27A4C"/>
    <w:rsid w:val="00C27C87"/>
    <w:rsid w:val="00C31C2B"/>
    <w:rsid w:val="00C31E4E"/>
    <w:rsid w:val="00C33917"/>
    <w:rsid w:val="00C3460C"/>
    <w:rsid w:val="00C348E4"/>
    <w:rsid w:val="00C34B61"/>
    <w:rsid w:val="00C35546"/>
    <w:rsid w:val="00C3723C"/>
    <w:rsid w:val="00C374A5"/>
    <w:rsid w:val="00C37945"/>
    <w:rsid w:val="00C411AC"/>
    <w:rsid w:val="00C42055"/>
    <w:rsid w:val="00C4240B"/>
    <w:rsid w:val="00C4299D"/>
    <w:rsid w:val="00C44518"/>
    <w:rsid w:val="00C445CB"/>
    <w:rsid w:val="00C4572D"/>
    <w:rsid w:val="00C45A17"/>
    <w:rsid w:val="00C45DB5"/>
    <w:rsid w:val="00C46973"/>
    <w:rsid w:val="00C46FEB"/>
    <w:rsid w:val="00C47F4D"/>
    <w:rsid w:val="00C50531"/>
    <w:rsid w:val="00C514E0"/>
    <w:rsid w:val="00C5156F"/>
    <w:rsid w:val="00C5179B"/>
    <w:rsid w:val="00C51D39"/>
    <w:rsid w:val="00C532EB"/>
    <w:rsid w:val="00C535D5"/>
    <w:rsid w:val="00C54B8C"/>
    <w:rsid w:val="00C54EAC"/>
    <w:rsid w:val="00C5633B"/>
    <w:rsid w:val="00C565C5"/>
    <w:rsid w:val="00C573B0"/>
    <w:rsid w:val="00C57D74"/>
    <w:rsid w:val="00C60329"/>
    <w:rsid w:val="00C62896"/>
    <w:rsid w:val="00C629BD"/>
    <w:rsid w:val="00C638AA"/>
    <w:rsid w:val="00C64CC1"/>
    <w:rsid w:val="00C6581C"/>
    <w:rsid w:val="00C66A2A"/>
    <w:rsid w:val="00C6753C"/>
    <w:rsid w:val="00C7056E"/>
    <w:rsid w:val="00C709DE"/>
    <w:rsid w:val="00C70C91"/>
    <w:rsid w:val="00C70DBD"/>
    <w:rsid w:val="00C71778"/>
    <w:rsid w:val="00C72738"/>
    <w:rsid w:val="00C747B9"/>
    <w:rsid w:val="00C765F8"/>
    <w:rsid w:val="00C76B83"/>
    <w:rsid w:val="00C76E3C"/>
    <w:rsid w:val="00C809F2"/>
    <w:rsid w:val="00C81427"/>
    <w:rsid w:val="00C82761"/>
    <w:rsid w:val="00C83191"/>
    <w:rsid w:val="00C8383B"/>
    <w:rsid w:val="00C84A62"/>
    <w:rsid w:val="00C85289"/>
    <w:rsid w:val="00C85746"/>
    <w:rsid w:val="00C868BF"/>
    <w:rsid w:val="00C87772"/>
    <w:rsid w:val="00C90204"/>
    <w:rsid w:val="00C91F54"/>
    <w:rsid w:val="00C92067"/>
    <w:rsid w:val="00C92400"/>
    <w:rsid w:val="00C92BF6"/>
    <w:rsid w:val="00C931C8"/>
    <w:rsid w:val="00C93935"/>
    <w:rsid w:val="00C93A7F"/>
    <w:rsid w:val="00C93F70"/>
    <w:rsid w:val="00C94B80"/>
    <w:rsid w:val="00C96099"/>
    <w:rsid w:val="00C96390"/>
    <w:rsid w:val="00C971B4"/>
    <w:rsid w:val="00C973A1"/>
    <w:rsid w:val="00C97D74"/>
    <w:rsid w:val="00CA0308"/>
    <w:rsid w:val="00CA0407"/>
    <w:rsid w:val="00CA1A7C"/>
    <w:rsid w:val="00CA1FF5"/>
    <w:rsid w:val="00CA278D"/>
    <w:rsid w:val="00CA34E4"/>
    <w:rsid w:val="00CA3BA1"/>
    <w:rsid w:val="00CA3DDF"/>
    <w:rsid w:val="00CA40C1"/>
    <w:rsid w:val="00CA45BA"/>
    <w:rsid w:val="00CA46CC"/>
    <w:rsid w:val="00CA4E1F"/>
    <w:rsid w:val="00CA59A3"/>
    <w:rsid w:val="00CA61D3"/>
    <w:rsid w:val="00CA703E"/>
    <w:rsid w:val="00CA7439"/>
    <w:rsid w:val="00CA76A0"/>
    <w:rsid w:val="00CB0B2D"/>
    <w:rsid w:val="00CB0BD9"/>
    <w:rsid w:val="00CB108D"/>
    <w:rsid w:val="00CB19F8"/>
    <w:rsid w:val="00CB494F"/>
    <w:rsid w:val="00CB7439"/>
    <w:rsid w:val="00CC015E"/>
    <w:rsid w:val="00CC0CF6"/>
    <w:rsid w:val="00CC149C"/>
    <w:rsid w:val="00CC247F"/>
    <w:rsid w:val="00CC4272"/>
    <w:rsid w:val="00CC4BED"/>
    <w:rsid w:val="00CC51DA"/>
    <w:rsid w:val="00CC5264"/>
    <w:rsid w:val="00CC5A4C"/>
    <w:rsid w:val="00CC5B2C"/>
    <w:rsid w:val="00CC607D"/>
    <w:rsid w:val="00CD0908"/>
    <w:rsid w:val="00CD0F97"/>
    <w:rsid w:val="00CD10DE"/>
    <w:rsid w:val="00CD28EB"/>
    <w:rsid w:val="00CD33DC"/>
    <w:rsid w:val="00CD3691"/>
    <w:rsid w:val="00CD5F73"/>
    <w:rsid w:val="00CD6DC4"/>
    <w:rsid w:val="00CD78BD"/>
    <w:rsid w:val="00CE05D5"/>
    <w:rsid w:val="00CE1716"/>
    <w:rsid w:val="00CE1DEE"/>
    <w:rsid w:val="00CE2FDC"/>
    <w:rsid w:val="00CE3B1C"/>
    <w:rsid w:val="00CE3BD9"/>
    <w:rsid w:val="00CE46A8"/>
    <w:rsid w:val="00CE4AC4"/>
    <w:rsid w:val="00CE4CE4"/>
    <w:rsid w:val="00CE5C2C"/>
    <w:rsid w:val="00CE6343"/>
    <w:rsid w:val="00CE719A"/>
    <w:rsid w:val="00CE73F5"/>
    <w:rsid w:val="00CE764A"/>
    <w:rsid w:val="00CE7751"/>
    <w:rsid w:val="00CF03C9"/>
    <w:rsid w:val="00CF0C60"/>
    <w:rsid w:val="00CF4A03"/>
    <w:rsid w:val="00D007F9"/>
    <w:rsid w:val="00D00D7B"/>
    <w:rsid w:val="00D02AC1"/>
    <w:rsid w:val="00D0502F"/>
    <w:rsid w:val="00D051EA"/>
    <w:rsid w:val="00D0595C"/>
    <w:rsid w:val="00D05CA1"/>
    <w:rsid w:val="00D0634C"/>
    <w:rsid w:val="00D102A7"/>
    <w:rsid w:val="00D11311"/>
    <w:rsid w:val="00D11C87"/>
    <w:rsid w:val="00D11E00"/>
    <w:rsid w:val="00D11F60"/>
    <w:rsid w:val="00D1261E"/>
    <w:rsid w:val="00D12F4B"/>
    <w:rsid w:val="00D13B31"/>
    <w:rsid w:val="00D13B88"/>
    <w:rsid w:val="00D1496F"/>
    <w:rsid w:val="00D14A40"/>
    <w:rsid w:val="00D15DD1"/>
    <w:rsid w:val="00D163BD"/>
    <w:rsid w:val="00D167AA"/>
    <w:rsid w:val="00D179B6"/>
    <w:rsid w:val="00D17D6B"/>
    <w:rsid w:val="00D17EC4"/>
    <w:rsid w:val="00D21A77"/>
    <w:rsid w:val="00D21AAB"/>
    <w:rsid w:val="00D22CF8"/>
    <w:rsid w:val="00D23959"/>
    <w:rsid w:val="00D23BEB"/>
    <w:rsid w:val="00D2670D"/>
    <w:rsid w:val="00D30412"/>
    <w:rsid w:val="00D30EBF"/>
    <w:rsid w:val="00D31105"/>
    <w:rsid w:val="00D31DBB"/>
    <w:rsid w:val="00D31F19"/>
    <w:rsid w:val="00D32048"/>
    <w:rsid w:val="00D32141"/>
    <w:rsid w:val="00D32DAC"/>
    <w:rsid w:val="00D3335E"/>
    <w:rsid w:val="00D36F11"/>
    <w:rsid w:val="00D3717A"/>
    <w:rsid w:val="00D40AAD"/>
    <w:rsid w:val="00D41E67"/>
    <w:rsid w:val="00D42050"/>
    <w:rsid w:val="00D431C3"/>
    <w:rsid w:val="00D43505"/>
    <w:rsid w:val="00D43982"/>
    <w:rsid w:val="00D43F4B"/>
    <w:rsid w:val="00D44BD2"/>
    <w:rsid w:val="00D451BC"/>
    <w:rsid w:val="00D45744"/>
    <w:rsid w:val="00D506CF"/>
    <w:rsid w:val="00D515B3"/>
    <w:rsid w:val="00D51F1A"/>
    <w:rsid w:val="00D5250C"/>
    <w:rsid w:val="00D5378C"/>
    <w:rsid w:val="00D537A3"/>
    <w:rsid w:val="00D540D2"/>
    <w:rsid w:val="00D55B14"/>
    <w:rsid w:val="00D56A51"/>
    <w:rsid w:val="00D5734C"/>
    <w:rsid w:val="00D615FE"/>
    <w:rsid w:val="00D622ED"/>
    <w:rsid w:val="00D62630"/>
    <w:rsid w:val="00D630B1"/>
    <w:rsid w:val="00D635E5"/>
    <w:rsid w:val="00D64B7C"/>
    <w:rsid w:val="00D675A5"/>
    <w:rsid w:val="00D70482"/>
    <w:rsid w:val="00D7155F"/>
    <w:rsid w:val="00D77501"/>
    <w:rsid w:val="00D80275"/>
    <w:rsid w:val="00D80312"/>
    <w:rsid w:val="00D80397"/>
    <w:rsid w:val="00D82331"/>
    <w:rsid w:val="00D83AC1"/>
    <w:rsid w:val="00D83C71"/>
    <w:rsid w:val="00D83C7B"/>
    <w:rsid w:val="00D8510C"/>
    <w:rsid w:val="00D86D82"/>
    <w:rsid w:val="00D90780"/>
    <w:rsid w:val="00D90B0E"/>
    <w:rsid w:val="00D9180B"/>
    <w:rsid w:val="00D92ED5"/>
    <w:rsid w:val="00D9314B"/>
    <w:rsid w:val="00D936F2"/>
    <w:rsid w:val="00D937F2"/>
    <w:rsid w:val="00D93A71"/>
    <w:rsid w:val="00D93B42"/>
    <w:rsid w:val="00D94538"/>
    <w:rsid w:val="00D9507B"/>
    <w:rsid w:val="00D9541F"/>
    <w:rsid w:val="00D9614D"/>
    <w:rsid w:val="00D96888"/>
    <w:rsid w:val="00D973D9"/>
    <w:rsid w:val="00D97AEB"/>
    <w:rsid w:val="00DA0768"/>
    <w:rsid w:val="00DA0E5D"/>
    <w:rsid w:val="00DA1CFD"/>
    <w:rsid w:val="00DA2442"/>
    <w:rsid w:val="00DA24D3"/>
    <w:rsid w:val="00DA28F4"/>
    <w:rsid w:val="00DA2D0C"/>
    <w:rsid w:val="00DA32D8"/>
    <w:rsid w:val="00DA3BEA"/>
    <w:rsid w:val="00DA3F6B"/>
    <w:rsid w:val="00DA4658"/>
    <w:rsid w:val="00DA5D95"/>
    <w:rsid w:val="00DA5D96"/>
    <w:rsid w:val="00DA6676"/>
    <w:rsid w:val="00DA675E"/>
    <w:rsid w:val="00DA6E5A"/>
    <w:rsid w:val="00DA7275"/>
    <w:rsid w:val="00DA794E"/>
    <w:rsid w:val="00DB0163"/>
    <w:rsid w:val="00DB05AE"/>
    <w:rsid w:val="00DB0E91"/>
    <w:rsid w:val="00DB14F8"/>
    <w:rsid w:val="00DB3541"/>
    <w:rsid w:val="00DB43FF"/>
    <w:rsid w:val="00DB598B"/>
    <w:rsid w:val="00DB6148"/>
    <w:rsid w:val="00DB6425"/>
    <w:rsid w:val="00DB6459"/>
    <w:rsid w:val="00DB6A29"/>
    <w:rsid w:val="00DC045E"/>
    <w:rsid w:val="00DC0686"/>
    <w:rsid w:val="00DC0E84"/>
    <w:rsid w:val="00DC1932"/>
    <w:rsid w:val="00DC2F03"/>
    <w:rsid w:val="00DC42DC"/>
    <w:rsid w:val="00DC68FA"/>
    <w:rsid w:val="00DC690A"/>
    <w:rsid w:val="00DC71B8"/>
    <w:rsid w:val="00DD0798"/>
    <w:rsid w:val="00DD09CD"/>
    <w:rsid w:val="00DD107E"/>
    <w:rsid w:val="00DD150C"/>
    <w:rsid w:val="00DD161A"/>
    <w:rsid w:val="00DD16F1"/>
    <w:rsid w:val="00DD3153"/>
    <w:rsid w:val="00DD3461"/>
    <w:rsid w:val="00DD3F26"/>
    <w:rsid w:val="00DD42F1"/>
    <w:rsid w:val="00DD53D3"/>
    <w:rsid w:val="00DD5F04"/>
    <w:rsid w:val="00DD61D1"/>
    <w:rsid w:val="00DD7B80"/>
    <w:rsid w:val="00DE0512"/>
    <w:rsid w:val="00DE0EBE"/>
    <w:rsid w:val="00DE1114"/>
    <w:rsid w:val="00DE21D1"/>
    <w:rsid w:val="00DE3574"/>
    <w:rsid w:val="00DE416F"/>
    <w:rsid w:val="00DE4614"/>
    <w:rsid w:val="00DE4616"/>
    <w:rsid w:val="00DE62F5"/>
    <w:rsid w:val="00DE6BD8"/>
    <w:rsid w:val="00DE783A"/>
    <w:rsid w:val="00DE7C0C"/>
    <w:rsid w:val="00DF05C7"/>
    <w:rsid w:val="00DF149C"/>
    <w:rsid w:val="00DF1AEA"/>
    <w:rsid w:val="00DF2E2C"/>
    <w:rsid w:val="00DF3579"/>
    <w:rsid w:val="00DF35C9"/>
    <w:rsid w:val="00DF3AED"/>
    <w:rsid w:val="00DF4B4F"/>
    <w:rsid w:val="00DF61F0"/>
    <w:rsid w:val="00DF64F9"/>
    <w:rsid w:val="00DF6AFC"/>
    <w:rsid w:val="00DF6F7F"/>
    <w:rsid w:val="00DF74EC"/>
    <w:rsid w:val="00DF7DC8"/>
    <w:rsid w:val="00E00296"/>
    <w:rsid w:val="00E02309"/>
    <w:rsid w:val="00E02760"/>
    <w:rsid w:val="00E02962"/>
    <w:rsid w:val="00E02FEE"/>
    <w:rsid w:val="00E031C3"/>
    <w:rsid w:val="00E031E5"/>
    <w:rsid w:val="00E03BDF"/>
    <w:rsid w:val="00E04915"/>
    <w:rsid w:val="00E04D3E"/>
    <w:rsid w:val="00E053CE"/>
    <w:rsid w:val="00E058E3"/>
    <w:rsid w:val="00E07C05"/>
    <w:rsid w:val="00E1023B"/>
    <w:rsid w:val="00E1040C"/>
    <w:rsid w:val="00E10C16"/>
    <w:rsid w:val="00E10F2E"/>
    <w:rsid w:val="00E12850"/>
    <w:rsid w:val="00E13831"/>
    <w:rsid w:val="00E143A4"/>
    <w:rsid w:val="00E14E7B"/>
    <w:rsid w:val="00E1524A"/>
    <w:rsid w:val="00E16C96"/>
    <w:rsid w:val="00E22BDC"/>
    <w:rsid w:val="00E23B99"/>
    <w:rsid w:val="00E23CC6"/>
    <w:rsid w:val="00E25CE6"/>
    <w:rsid w:val="00E26BC3"/>
    <w:rsid w:val="00E27652"/>
    <w:rsid w:val="00E30BD3"/>
    <w:rsid w:val="00E30D90"/>
    <w:rsid w:val="00E31351"/>
    <w:rsid w:val="00E327DD"/>
    <w:rsid w:val="00E3280C"/>
    <w:rsid w:val="00E3385A"/>
    <w:rsid w:val="00E34634"/>
    <w:rsid w:val="00E363E8"/>
    <w:rsid w:val="00E37159"/>
    <w:rsid w:val="00E378FA"/>
    <w:rsid w:val="00E40E14"/>
    <w:rsid w:val="00E4214E"/>
    <w:rsid w:val="00E42C6D"/>
    <w:rsid w:val="00E43C14"/>
    <w:rsid w:val="00E43EBA"/>
    <w:rsid w:val="00E44843"/>
    <w:rsid w:val="00E44BE8"/>
    <w:rsid w:val="00E45444"/>
    <w:rsid w:val="00E46465"/>
    <w:rsid w:val="00E46D3D"/>
    <w:rsid w:val="00E47F69"/>
    <w:rsid w:val="00E50E72"/>
    <w:rsid w:val="00E511D8"/>
    <w:rsid w:val="00E52EAC"/>
    <w:rsid w:val="00E52EC6"/>
    <w:rsid w:val="00E53994"/>
    <w:rsid w:val="00E552B1"/>
    <w:rsid w:val="00E562EE"/>
    <w:rsid w:val="00E565A9"/>
    <w:rsid w:val="00E60F65"/>
    <w:rsid w:val="00E62065"/>
    <w:rsid w:val="00E62B21"/>
    <w:rsid w:val="00E64AB4"/>
    <w:rsid w:val="00E71BD3"/>
    <w:rsid w:val="00E7202C"/>
    <w:rsid w:val="00E728E6"/>
    <w:rsid w:val="00E72D6F"/>
    <w:rsid w:val="00E72E7E"/>
    <w:rsid w:val="00E7488B"/>
    <w:rsid w:val="00E74D8B"/>
    <w:rsid w:val="00E7550F"/>
    <w:rsid w:val="00E757AF"/>
    <w:rsid w:val="00E76728"/>
    <w:rsid w:val="00E76F50"/>
    <w:rsid w:val="00E77D40"/>
    <w:rsid w:val="00E80D39"/>
    <w:rsid w:val="00E819A6"/>
    <w:rsid w:val="00E81D82"/>
    <w:rsid w:val="00E827CD"/>
    <w:rsid w:val="00E8382F"/>
    <w:rsid w:val="00E844AF"/>
    <w:rsid w:val="00E8465F"/>
    <w:rsid w:val="00E858CD"/>
    <w:rsid w:val="00E87385"/>
    <w:rsid w:val="00E87504"/>
    <w:rsid w:val="00E915E9"/>
    <w:rsid w:val="00E919F4"/>
    <w:rsid w:val="00E9224D"/>
    <w:rsid w:val="00E93CEB"/>
    <w:rsid w:val="00E94F4A"/>
    <w:rsid w:val="00E958D2"/>
    <w:rsid w:val="00E95DD0"/>
    <w:rsid w:val="00E967BC"/>
    <w:rsid w:val="00E9684B"/>
    <w:rsid w:val="00E97503"/>
    <w:rsid w:val="00EA2703"/>
    <w:rsid w:val="00EA287E"/>
    <w:rsid w:val="00EA2E62"/>
    <w:rsid w:val="00EA5A7C"/>
    <w:rsid w:val="00EA6827"/>
    <w:rsid w:val="00EA7885"/>
    <w:rsid w:val="00EB12D4"/>
    <w:rsid w:val="00EB1805"/>
    <w:rsid w:val="00EB19E9"/>
    <w:rsid w:val="00EB1B79"/>
    <w:rsid w:val="00EB1D47"/>
    <w:rsid w:val="00EB212E"/>
    <w:rsid w:val="00EB28C4"/>
    <w:rsid w:val="00EB2EC2"/>
    <w:rsid w:val="00EB3253"/>
    <w:rsid w:val="00EB369F"/>
    <w:rsid w:val="00EB50AA"/>
    <w:rsid w:val="00EB5F6F"/>
    <w:rsid w:val="00EB6129"/>
    <w:rsid w:val="00EB7FF2"/>
    <w:rsid w:val="00EC103C"/>
    <w:rsid w:val="00EC429C"/>
    <w:rsid w:val="00EC42B4"/>
    <w:rsid w:val="00EC45E4"/>
    <w:rsid w:val="00EC4A2D"/>
    <w:rsid w:val="00EC702B"/>
    <w:rsid w:val="00EC75B7"/>
    <w:rsid w:val="00EC79C2"/>
    <w:rsid w:val="00EC7B04"/>
    <w:rsid w:val="00ED0E64"/>
    <w:rsid w:val="00ED16A8"/>
    <w:rsid w:val="00ED1A01"/>
    <w:rsid w:val="00ED1B4E"/>
    <w:rsid w:val="00ED23E2"/>
    <w:rsid w:val="00ED4BF5"/>
    <w:rsid w:val="00ED5230"/>
    <w:rsid w:val="00ED5392"/>
    <w:rsid w:val="00ED653C"/>
    <w:rsid w:val="00ED7819"/>
    <w:rsid w:val="00EE0112"/>
    <w:rsid w:val="00EE0D72"/>
    <w:rsid w:val="00EE1DD9"/>
    <w:rsid w:val="00EE314C"/>
    <w:rsid w:val="00EE3418"/>
    <w:rsid w:val="00EE44EF"/>
    <w:rsid w:val="00EE494A"/>
    <w:rsid w:val="00EE4E37"/>
    <w:rsid w:val="00EE5068"/>
    <w:rsid w:val="00EE54DF"/>
    <w:rsid w:val="00EE5F30"/>
    <w:rsid w:val="00EE61CD"/>
    <w:rsid w:val="00EE7090"/>
    <w:rsid w:val="00EE7749"/>
    <w:rsid w:val="00EE7C90"/>
    <w:rsid w:val="00EE7D94"/>
    <w:rsid w:val="00EF00CE"/>
    <w:rsid w:val="00EF14A2"/>
    <w:rsid w:val="00EF18B8"/>
    <w:rsid w:val="00EF1F4C"/>
    <w:rsid w:val="00EF214A"/>
    <w:rsid w:val="00EF2A7C"/>
    <w:rsid w:val="00EF3C70"/>
    <w:rsid w:val="00EF50BC"/>
    <w:rsid w:val="00EF568A"/>
    <w:rsid w:val="00EF5AD1"/>
    <w:rsid w:val="00EF5DDE"/>
    <w:rsid w:val="00EF5E35"/>
    <w:rsid w:val="00EF69DF"/>
    <w:rsid w:val="00EF6C4C"/>
    <w:rsid w:val="00EF6F82"/>
    <w:rsid w:val="00F00242"/>
    <w:rsid w:val="00F00E76"/>
    <w:rsid w:val="00F01C69"/>
    <w:rsid w:val="00F025EE"/>
    <w:rsid w:val="00F03E94"/>
    <w:rsid w:val="00F03F2C"/>
    <w:rsid w:val="00F041B7"/>
    <w:rsid w:val="00F045B8"/>
    <w:rsid w:val="00F051E7"/>
    <w:rsid w:val="00F0558F"/>
    <w:rsid w:val="00F05C20"/>
    <w:rsid w:val="00F05FD9"/>
    <w:rsid w:val="00F06885"/>
    <w:rsid w:val="00F07E45"/>
    <w:rsid w:val="00F10913"/>
    <w:rsid w:val="00F114BB"/>
    <w:rsid w:val="00F1231E"/>
    <w:rsid w:val="00F129BB"/>
    <w:rsid w:val="00F14328"/>
    <w:rsid w:val="00F15643"/>
    <w:rsid w:val="00F1578A"/>
    <w:rsid w:val="00F17638"/>
    <w:rsid w:val="00F17F40"/>
    <w:rsid w:val="00F2304D"/>
    <w:rsid w:val="00F23BAC"/>
    <w:rsid w:val="00F23C15"/>
    <w:rsid w:val="00F2458D"/>
    <w:rsid w:val="00F25512"/>
    <w:rsid w:val="00F266E2"/>
    <w:rsid w:val="00F27D39"/>
    <w:rsid w:val="00F31367"/>
    <w:rsid w:val="00F3159F"/>
    <w:rsid w:val="00F31D5A"/>
    <w:rsid w:val="00F328FC"/>
    <w:rsid w:val="00F3301E"/>
    <w:rsid w:val="00F3362C"/>
    <w:rsid w:val="00F34236"/>
    <w:rsid w:val="00F3442E"/>
    <w:rsid w:val="00F34453"/>
    <w:rsid w:val="00F352FB"/>
    <w:rsid w:val="00F4057C"/>
    <w:rsid w:val="00F40B1A"/>
    <w:rsid w:val="00F40D1A"/>
    <w:rsid w:val="00F4149C"/>
    <w:rsid w:val="00F41EF1"/>
    <w:rsid w:val="00F42486"/>
    <w:rsid w:val="00F43235"/>
    <w:rsid w:val="00F44372"/>
    <w:rsid w:val="00F44FCE"/>
    <w:rsid w:val="00F453C0"/>
    <w:rsid w:val="00F45B32"/>
    <w:rsid w:val="00F47123"/>
    <w:rsid w:val="00F47B4F"/>
    <w:rsid w:val="00F50360"/>
    <w:rsid w:val="00F50C03"/>
    <w:rsid w:val="00F51BD7"/>
    <w:rsid w:val="00F51CC3"/>
    <w:rsid w:val="00F5292D"/>
    <w:rsid w:val="00F52CBA"/>
    <w:rsid w:val="00F53014"/>
    <w:rsid w:val="00F55029"/>
    <w:rsid w:val="00F5518F"/>
    <w:rsid w:val="00F55FA1"/>
    <w:rsid w:val="00F5636E"/>
    <w:rsid w:val="00F56939"/>
    <w:rsid w:val="00F56F11"/>
    <w:rsid w:val="00F57A37"/>
    <w:rsid w:val="00F61529"/>
    <w:rsid w:val="00F61AAC"/>
    <w:rsid w:val="00F61C88"/>
    <w:rsid w:val="00F63761"/>
    <w:rsid w:val="00F63B5E"/>
    <w:rsid w:val="00F63FF9"/>
    <w:rsid w:val="00F65A4F"/>
    <w:rsid w:val="00F66EAF"/>
    <w:rsid w:val="00F70736"/>
    <w:rsid w:val="00F70BFA"/>
    <w:rsid w:val="00F71C26"/>
    <w:rsid w:val="00F71CEB"/>
    <w:rsid w:val="00F72115"/>
    <w:rsid w:val="00F733A5"/>
    <w:rsid w:val="00F738FA"/>
    <w:rsid w:val="00F74C37"/>
    <w:rsid w:val="00F74FED"/>
    <w:rsid w:val="00F75024"/>
    <w:rsid w:val="00F75268"/>
    <w:rsid w:val="00F75913"/>
    <w:rsid w:val="00F76BB8"/>
    <w:rsid w:val="00F775AB"/>
    <w:rsid w:val="00F77BA1"/>
    <w:rsid w:val="00F80FBC"/>
    <w:rsid w:val="00F81705"/>
    <w:rsid w:val="00F81769"/>
    <w:rsid w:val="00F830BD"/>
    <w:rsid w:val="00F83860"/>
    <w:rsid w:val="00F838B0"/>
    <w:rsid w:val="00F83F0E"/>
    <w:rsid w:val="00F8444D"/>
    <w:rsid w:val="00F8580B"/>
    <w:rsid w:val="00F85A58"/>
    <w:rsid w:val="00F8683B"/>
    <w:rsid w:val="00F869C0"/>
    <w:rsid w:val="00F86E7C"/>
    <w:rsid w:val="00F87579"/>
    <w:rsid w:val="00F87E11"/>
    <w:rsid w:val="00F91818"/>
    <w:rsid w:val="00F918DD"/>
    <w:rsid w:val="00F91F72"/>
    <w:rsid w:val="00F93543"/>
    <w:rsid w:val="00F936E3"/>
    <w:rsid w:val="00F9448B"/>
    <w:rsid w:val="00F94555"/>
    <w:rsid w:val="00F94975"/>
    <w:rsid w:val="00F95DEF"/>
    <w:rsid w:val="00F97000"/>
    <w:rsid w:val="00F971DF"/>
    <w:rsid w:val="00F97F51"/>
    <w:rsid w:val="00FA2262"/>
    <w:rsid w:val="00FA247D"/>
    <w:rsid w:val="00FA3921"/>
    <w:rsid w:val="00FA3B46"/>
    <w:rsid w:val="00FA4B7A"/>
    <w:rsid w:val="00FA5599"/>
    <w:rsid w:val="00FA5A32"/>
    <w:rsid w:val="00FA672A"/>
    <w:rsid w:val="00FA7E2D"/>
    <w:rsid w:val="00FB0FAD"/>
    <w:rsid w:val="00FB1119"/>
    <w:rsid w:val="00FB1C9A"/>
    <w:rsid w:val="00FB1CE9"/>
    <w:rsid w:val="00FB316A"/>
    <w:rsid w:val="00FB4223"/>
    <w:rsid w:val="00FB458D"/>
    <w:rsid w:val="00FB4ADC"/>
    <w:rsid w:val="00FB4EFD"/>
    <w:rsid w:val="00FB649E"/>
    <w:rsid w:val="00FB6852"/>
    <w:rsid w:val="00FB6A54"/>
    <w:rsid w:val="00FC04DB"/>
    <w:rsid w:val="00FC05F7"/>
    <w:rsid w:val="00FC0734"/>
    <w:rsid w:val="00FC0C5D"/>
    <w:rsid w:val="00FC0D55"/>
    <w:rsid w:val="00FC15AF"/>
    <w:rsid w:val="00FC27AB"/>
    <w:rsid w:val="00FC28EC"/>
    <w:rsid w:val="00FC2946"/>
    <w:rsid w:val="00FC2BFA"/>
    <w:rsid w:val="00FC3AC4"/>
    <w:rsid w:val="00FC4251"/>
    <w:rsid w:val="00FC4361"/>
    <w:rsid w:val="00FC4B10"/>
    <w:rsid w:val="00FC6EDC"/>
    <w:rsid w:val="00FD067E"/>
    <w:rsid w:val="00FD0DFA"/>
    <w:rsid w:val="00FD0E5A"/>
    <w:rsid w:val="00FD1638"/>
    <w:rsid w:val="00FD194A"/>
    <w:rsid w:val="00FD3FAA"/>
    <w:rsid w:val="00FD4223"/>
    <w:rsid w:val="00FD5196"/>
    <w:rsid w:val="00FD72E6"/>
    <w:rsid w:val="00FD745D"/>
    <w:rsid w:val="00FE0C5F"/>
    <w:rsid w:val="00FE12AD"/>
    <w:rsid w:val="00FE1942"/>
    <w:rsid w:val="00FE2980"/>
    <w:rsid w:val="00FE3CC5"/>
    <w:rsid w:val="00FE57DC"/>
    <w:rsid w:val="00FE6AE9"/>
    <w:rsid w:val="00FF0A9D"/>
    <w:rsid w:val="00FF1F35"/>
    <w:rsid w:val="00FF2B09"/>
    <w:rsid w:val="00FF2FC2"/>
    <w:rsid w:val="00FF3092"/>
    <w:rsid w:val="00FF5530"/>
    <w:rsid w:val="00FF5599"/>
    <w:rsid w:val="00FF6DB0"/>
    <w:rsid w:val="00FF7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B8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1ED4"/>
    <w:pPr>
      <w:spacing w:after="0" w:line="240" w:lineRule="auto"/>
    </w:pPr>
    <w:rPr>
      <w:rFonts w:ascii="Times New Roman" w:hAnsi="Times New Roman"/>
      <w:sz w:val="24"/>
      <w:szCs w:val="24"/>
      <w:lang w:val="en-US"/>
    </w:rPr>
  </w:style>
  <w:style w:type="paragraph" w:styleId="berschrift1">
    <w:name w:val="heading 1"/>
    <w:basedOn w:val="Standard"/>
    <w:next w:val="Standard"/>
    <w:link w:val="berschrift1Zchn"/>
    <w:uiPriority w:val="9"/>
    <w:qFormat/>
    <w:rsid w:val="00A81934"/>
    <w:pPr>
      <w:keepNext/>
      <w:keepLines/>
      <w:autoSpaceDE w:val="0"/>
      <w:autoSpaceDN w:val="0"/>
      <w:adjustRightInd w:val="0"/>
      <w:spacing w:before="240" w:line="276" w:lineRule="auto"/>
      <w:outlineLvl w:val="0"/>
    </w:pPr>
    <w:rPr>
      <w:rFonts w:asciiTheme="minorHAnsi" w:eastAsiaTheme="majorEastAsia" w:hAnsiTheme="minorHAnsi" w:cstheme="majorBidi"/>
      <w:b/>
      <w:lang w:val="en-GB"/>
    </w:rPr>
  </w:style>
  <w:style w:type="paragraph" w:styleId="berschrift2">
    <w:name w:val="heading 2"/>
    <w:basedOn w:val="Standard"/>
    <w:next w:val="Standard"/>
    <w:link w:val="berschrift2Zchn"/>
    <w:uiPriority w:val="9"/>
    <w:unhideWhenUsed/>
    <w:qFormat/>
    <w:rsid w:val="00A81934"/>
    <w:pPr>
      <w:keepNext/>
      <w:autoSpaceDE w:val="0"/>
      <w:autoSpaceDN w:val="0"/>
      <w:adjustRightInd w:val="0"/>
      <w:spacing w:after="120" w:line="276" w:lineRule="auto"/>
      <w:outlineLvl w:val="1"/>
    </w:pPr>
    <w:rPr>
      <w:rFonts w:asciiTheme="minorHAnsi" w:hAnsiTheme="minorHAnsi"/>
      <w:b/>
      <w:sz w:val="22"/>
      <w:szCs w:val="22"/>
      <w:lang w:val="en-GB"/>
    </w:rPr>
  </w:style>
  <w:style w:type="paragraph" w:styleId="berschrift3">
    <w:name w:val="heading 3"/>
    <w:basedOn w:val="berschrift2"/>
    <w:next w:val="Standard"/>
    <w:link w:val="berschrift3Zchn"/>
    <w:uiPriority w:val="9"/>
    <w:unhideWhenUsed/>
    <w:qFormat/>
    <w:rsid w:val="00A81934"/>
    <w:pPr>
      <w:outlineLvl w:val="2"/>
    </w:pPr>
    <w:rPr>
      <w:b w:val="0"/>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1934"/>
    <w:rPr>
      <w:rFonts w:eastAsiaTheme="majorEastAsia" w:cstheme="majorBidi"/>
      <w:b/>
      <w:sz w:val="24"/>
      <w:szCs w:val="24"/>
    </w:rPr>
  </w:style>
  <w:style w:type="character" w:customStyle="1" w:styleId="berschrift2Zchn">
    <w:name w:val="Überschrift 2 Zchn"/>
    <w:basedOn w:val="Absatz-Standardschriftart"/>
    <w:link w:val="berschrift2"/>
    <w:uiPriority w:val="9"/>
    <w:rsid w:val="00A81934"/>
    <w:rPr>
      <w:b/>
    </w:rPr>
  </w:style>
  <w:style w:type="character" w:customStyle="1" w:styleId="berschrift3Zchn">
    <w:name w:val="Überschrift 3 Zchn"/>
    <w:basedOn w:val="Absatz-Standardschriftart"/>
    <w:link w:val="berschrift3"/>
    <w:uiPriority w:val="9"/>
    <w:rsid w:val="00A81934"/>
    <w:rPr>
      <w:i/>
    </w:rPr>
  </w:style>
  <w:style w:type="paragraph" w:customStyle="1" w:styleId="Default">
    <w:name w:val="Default"/>
    <w:rsid w:val="00A81934"/>
    <w:pPr>
      <w:autoSpaceDE w:val="0"/>
      <w:autoSpaceDN w:val="0"/>
      <w:adjustRightInd w:val="0"/>
      <w:spacing w:after="0" w:line="240" w:lineRule="auto"/>
    </w:pPr>
    <w:rPr>
      <w:rFonts w:ascii="Times New Roman" w:hAnsi="Times New Roman" w:cs="Times New Roman"/>
      <w:color w:val="000000"/>
      <w:sz w:val="24"/>
      <w:szCs w:val="24"/>
    </w:rPr>
  </w:style>
  <w:style w:type="paragraph" w:styleId="Kopfzeile">
    <w:name w:val="header"/>
    <w:basedOn w:val="Standard"/>
    <w:link w:val="KopfzeileZchn"/>
    <w:uiPriority w:val="99"/>
    <w:unhideWhenUsed/>
    <w:rsid w:val="00A81934"/>
    <w:pPr>
      <w:tabs>
        <w:tab w:val="center" w:pos="4513"/>
        <w:tab w:val="right" w:pos="9026"/>
      </w:tabs>
      <w:autoSpaceDE w:val="0"/>
      <w:autoSpaceDN w:val="0"/>
      <w:adjustRightInd w:val="0"/>
    </w:pPr>
    <w:rPr>
      <w:rFonts w:asciiTheme="minorHAnsi" w:hAnsiTheme="minorHAnsi"/>
      <w:sz w:val="22"/>
      <w:szCs w:val="22"/>
      <w:lang w:val="en-GB"/>
    </w:rPr>
  </w:style>
  <w:style w:type="character" w:customStyle="1" w:styleId="KopfzeileZchn">
    <w:name w:val="Kopfzeile Zchn"/>
    <w:basedOn w:val="Absatz-Standardschriftart"/>
    <w:link w:val="Kopfzeile"/>
    <w:uiPriority w:val="99"/>
    <w:rsid w:val="00A81934"/>
  </w:style>
  <w:style w:type="paragraph" w:styleId="Fuzeile">
    <w:name w:val="footer"/>
    <w:basedOn w:val="Standard"/>
    <w:link w:val="FuzeileZchn"/>
    <w:uiPriority w:val="99"/>
    <w:unhideWhenUsed/>
    <w:rsid w:val="00A81934"/>
    <w:pPr>
      <w:tabs>
        <w:tab w:val="center" w:pos="4513"/>
        <w:tab w:val="right" w:pos="9026"/>
      </w:tabs>
      <w:autoSpaceDE w:val="0"/>
      <w:autoSpaceDN w:val="0"/>
      <w:adjustRightInd w:val="0"/>
    </w:pPr>
    <w:rPr>
      <w:rFonts w:asciiTheme="minorHAnsi" w:hAnsiTheme="minorHAnsi"/>
      <w:sz w:val="22"/>
      <w:szCs w:val="22"/>
      <w:lang w:val="en-GB"/>
    </w:rPr>
  </w:style>
  <w:style w:type="character" w:customStyle="1" w:styleId="FuzeileZchn">
    <w:name w:val="Fußzeile Zchn"/>
    <w:basedOn w:val="Absatz-Standardschriftart"/>
    <w:link w:val="Fuzeile"/>
    <w:uiPriority w:val="99"/>
    <w:rsid w:val="00A81934"/>
  </w:style>
  <w:style w:type="character" w:styleId="Kommentarzeichen">
    <w:name w:val="annotation reference"/>
    <w:basedOn w:val="Absatz-Standardschriftart"/>
    <w:uiPriority w:val="99"/>
    <w:semiHidden/>
    <w:unhideWhenUsed/>
    <w:rsid w:val="00A81934"/>
    <w:rPr>
      <w:sz w:val="16"/>
      <w:szCs w:val="16"/>
    </w:rPr>
  </w:style>
  <w:style w:type="paragraph" w:styleId="Kommentartext">
    <w:name w:val="annotation text"/>
    <w:basedOn w:val="Standard"/>
    <w:link w:val="KommentartextZchn"/>
    <w:uiPriority w:val="99"/>
    <w:unhideWhenUsed/>
    <w:rsid w:val="00A81934"/>
    <w:pPr>
      <w:autoSpaceDE w:val="0"/>
      <w:autoSpaceDN w:val="0"/>
      <w:adjustRightInd w:val="0"/>
      <w:spacing w:after="120"/>
    </w:pPr>
    <w:rPr>
      <w:rFonts w:asciiTheme="minorHAnsi" w:hAnsiTheme="minorHAnsi"/>
      <w:sz w:val="20"/>
      <w:szCs w:val="20"/>
      <w:lang w:val="en-GB"/>
    </w:rPr>
  </w:style>
  <w:style w:type="character" w:customStyle="1" w:styleId="KommentartextZchn">
    <w:name w:val="Kommentartext Zchn"/>
    <w:basedOn w:val="Absatz-Standardschriftart"/>
    <w:link w:val="Kommentartext"/>
    <w:uiPriority w:val="99"/>
    <w:rsid w:val="00A81934"/>
    <w:rPr>
      <w:sz w:val="20"/>
      <w:szCs w:val="20"/>
    </w:rPr>
  </w:style>
  <w:style w:type="paragraph" w:styleId="Kommentarthema">
    <w:name w:val="annotation subject"/>
    <w:basedOn w:val="Kommentartext"/>
    <w:next w:val="Kommentartext"/>
    <w:link w:val="KommentarthemaZchn"/>
    <w:uiPriority w:val="99"/>
    <w:semiHidden/>
    <w:unhideWhenUsed/>
    <w:rsid w:val="00A81934"/>
    <w:rPr>
      <w:b/>
      <w:bCs/>
    </w:rPr>
  </w:style>
  <w:style w:type="character" w:customStyle="1" w:styleId="KommentarthemaZchn">
    <w:name w:val="Kommentarthema Zchn"/>
    <w:basedOn w:val="KommentartextZchn"/>
    <w:link w:val="Kommentarthema"/>
    <w:uiPriority w:val="99"/>
    <w:semiHidden/>
    <w:rsid w:val="00A81934"/>
    <w:rPr>
      <w:b/>
      <w:bCs/>
      <w:sz w:val="20"/>
      <w:szCs w:val="20"/>
    </w:rPr>
  </w:style>
  <w:style w:type="paragraph" w:styleId="Sprechblasentext">
    <w:name w:val="Balloon Text"/>
    <w:basedOn w:val="Standard"/>
    <w:link w:val="SprechblasentextZchn"/>
    <w:uiPriority w:val="99"/>
    <w:semiHidden/>
    <w:unhideWhenUsed/>
    <w:rsid w:val="00A81934"/>
    <w:pPr>
      <w:autoSpaceDE w:val="0"/>
      <w:autoSpaceDN w:val="0"/>
      <w:adjustRightInd w:val="0"/>
    </w:pPr>
    <w:rPr>
      <w:rFonts w:ascii="Segoe UI" w:hAnsi="Segoe UI" w:cs="Segoe UI"/>
      <w:sz w:val="18"/>
      <w:szCs w:val="18"/>
      <w:lang w:val="en-GB"/>
    </w:rPr>
  </w:style>
  <w:style w:type="character" w:customStyle="1" w:styleId="SprechblasentextZchn">
    <w:name w:val="Sprechblasentext Zchn"/>
    <w:basedOn w:val="Absatz-Standardschriftart"/>
    <w:link w:val="Sprechblasentext"/>
    <w:uiPriority w:val="99"/>
    <w:semiHidden/>
    <w:rsid w:val="00A81934"/>
    <w:rPr>
      <w:rFonts w:ascii="Segoe UI" w:hAnsi="Segoe UI" w:cs="Segoe UI"/>
      <w:sz w:val="18"/>
      <w:szCs w:val="18"/>
    </w:rPr>
  </w:style>
  <w:style w:type="character" w:styleId="Hyperlink">
    <w:name w:val="Hyperlink"/>
    <w:basedOn w:val="Absatz-Standardschriftart"/>
    <w:uiPriority w:val="99"/>
    <w:unhideWhenUsed/>
    <w:rsid w:val="00A81934"/>
    <w:rPr>
      <w:color w:val="0563C1" w:themeColor="hyperlink"/>
      <w:u w:val="single"/>
    </w:rPr>
  </w:style>
  <w:style w:type="paragraph" w:styleId="Listenabsatz">
    <w:name w:val="List Paragraph"/>
    <w:basedOn w:val="Standard"/>
    <w:uiPriority w:val="34"/>
    <w:qFormat/>
    <w:rsid w:val="00A81934"/>
    <w:pPr>
      <w:autoSpaceDE w:val="0"/>
      <w:autoSpaceDN w:val="0"/>
      <w:adjustRightInd w:val="0"/>
      <w:spacing w:after="120" w:line="276" w:lineRule="auto"/>
      <w:ind w:left="720"/>
      <w:contextualSpacing/>
    </w:pPr>
    <w:rPr>
      <w:rFonts w:asciiTheme="minorHAnsi" w:hAnsiTheme="minorHAnsi"/>
      <w:sz w:val="22"/>
      <w:szCs w:val="22"/>
      <w:lang w:val="en-GB"/>
    </w:rPr>
  </w:style>
  <w:style w:type="paragraph" w:styleId="berarbeitung">
    <w:name w:val="Revision"/>
    <w:hidden/>
    <w:uiPriority w:val="99"/>
    <w:semiHidden/>
    <w:rsid w:val="00A81934"/>
    <w:pPr>
      <w:spacing w:after="0" w:line="240" w:lineRule="auto"/>
    </w:pPr>
  </w:style>
  <w:style w:type="paragraph" w:styleId="HTMLVorformatiert">
    <w:name w:val="HTML Preformatted"/>
    <w:basedOn w:val="Standard"/>
    <w:link w:val="HTMLVorformatiertZchn"/>
    <w:uiPriority w:val="99"/>
    <w:unhideWhenUsed/>
    <w:rsid w:val="00A81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VorformatiertZchn">
    <w:name w:val="HTML Vorformatiert Zchn"/>
    <w:basedOn w:val="Absatz-Standardschriftart"/>
    <w:link w:val="HTMLVorformatiert"/>
    <w:uiPriority w:val="99"/>
    <w:rsid w:val="00A81934"/>
    <w:rPr>
      <w:rFonts w:ascii="Courier New" w:eastAsia="Times New Roman" w:hAnsi="Courier New" w:cs="Courier New"/>
      <w:sz w:val="20"/>
      <w:szCs w:val="20"/>
      <w:lang w:eastAsia="en-GB"/>
    </w:rPr>
  </w:style>
  <w:style w:type="paragraph" w:customStyle="1" w:styleId="EndNoteBibliographyTitle">
    <w:name w:val="EndNote Bibliography Title"/>
    <w:basedOn w:val="Standard"/>
    <w:link w:val="EndNoteBibliographyTitleChar"/>
    <w:rsid w:val="00A81934"/>
    <w:pPr>
      <w:autoSpaceDE w:val="0"/>
      <w:autoSpaceDN w:val="0"/>
      <w:adjustRightInd w:val="0"/>
      <w:spacing w:line="276" w:lineRule="auto"/>
      <w:jc w:val="center"/>
    </w:pPr>
    <w:rPr>
      <w:rFonts w:cs="Times New Roman"/>
      <w:noProof/>
      <w:szCs w:val="22"/>
    </w:rPr>
  </w:style>
  <w:style w:type="character" w:customStyle="1" w:styleId="EndNoteBibliographyTitleChar">
    <w:name w:val="EndNote Bibliography Title Char"/>
    <w:basedOn w:val="Absatz-Standardschriftart"/>
    <w:link w:val="EndNoteBibliographyTitle"/>
    <w:rsid w:val="00A81934"/>
    <w:rPr>
      <w:rFonts w:ascii="Times New Roman" w:hAnsi="Times New Roman" w:cs="Times New Roman"/>
      <w:noProof/>
      <w:sz w:val="24"/>
      <w:lang w:val="en-US"/>
    </w:rPr>
  </w:style>
  <w:style w:type="paragraph" w:customStyle="1" w:styleId="EndNoteBibliography">
    <w:name w:val="EndNote Bibliography"/>
    <w:basedOn w:val="Standard"/>
    <w:link w:val="EndNoteBibliographyChar"/>
    <w:rsid w:val="00A81934"/>
    <w:pPr>
      <w:autoSpaceDE w:val="0"/>
      <w:autoSpaceDN w:val="0"/>
      <w:adjustRightInd w:val="0"/>
      <w:spacing w:after="120"/>
    </w:pPr>
    <w:rPr>
      <w:rFonts w:cs="Times New Roman"/>
      <w:noProof/>
      <w:szCs w:val="22"/>
    </w:rPr>
  </w:style>
  <w:style w:type="character" w:customStyle="1" w:styleId="EndNoteBibliographyChar">
    <w:name w:val="EndNote Bibliography Char"/>
    <w:basedOn w:val="Absatz-Standardschriftart"/>
    <w:link w:val="EndNoteBibliography"/>
    <w:rsid w:val="00A81934"/>
    <w:rPr>
      <w:rFonts w:ascii="Times New Roman" w:hAnsi="Times New Roman" w:cs="Times New Roman"/>
      <w:noProof/>
      <w:sz w:val="24"/>
      <w:lang w:val="en-US"/>
    </w:rPr>
  </w:style>
  <w:style w:type="character" w:styleId="Platzhaltertext">
    <w:name w:val="Placeholder Text"/>
    <w:basedOn w:val="Absatz-Standardschriftart"/>
    <w:uiPriority w:val="99"/>
    <w:semiHidden/>
    <w:rsid w:val="00A81934"/>
    <w:rPr>
      <w:color w:val="808080"/>
    </w:rPr>
  </w:style>
  <w:style w:type="character" w:customStyle="1" w:styleId="apple-converted-space">
    <w:name w:val="apple-converted-space"/>
    <w:basedOn w:val="Absatz-Standardschriftart"/>
    <w:rsid w:val="00A81934"/>
  </w:style>
  <w:style w:type="paragraph" w:styleId="Inhaltsverzeichnisberschrift">
    <w:name w:val="TOC Heading"/>
    <w:basedOn w:val="berschrift1"/>
    <w:next w:val="Standard"/>
    <w:uiPriority w:val="39"/>
    <w:unhideWhenUsed/>
    <w:qFormat/>
    <w:rsid w:val="00A81934"/>
    <w:pPr>
      <w:autoSpaceDE/>
      <w:autoSpaceDN/>
      <w:adjustRightInd/>
      <w:spacing w:line="259" w:lineRule="auto"/>
      <w:outlineLvl w:val="9"/>
    </w:pPr>
    <w:rPr>
      <w:rFonts w:asciiTheme="majorHAnsi" w:hAnsiTheme="majorHAnsi"/>
      <w:b w:val="0"/>
      <w:color w:val="2E74B5" w:themeColor="accent1" w:themeShade="BF"/>
      <w:sz w:val="32"/>
      <w:szCs w:val="32"/>
      <w:lang w:val="en-US"/>
    </w:rPr>
  </w:style>
  <w:style w:type="paragraph" w:styleId="Verzeichnis1">
    <w:name w:val="toc 1"/>
    <w:basedOn w:val="Standard"/>
    <w:next w:val="Standard"/>
    <w:autoRedefine/>
    <w:uiPriority w:val="39"/>
    <w:unhideWhenUsed/>
    <w:rsid w:val="00A81934"/>
    <w:pPr>
      <w:autoSpaceDE w:val="0"/>
      <w:autoSpaceDN w:val="0"/>
      <w:adjustRightInd w:val="0"/>
      <w:spacing w:after="100" w:line="276" w:lineRule="auto"/>
    </w:pPr>
    <w:rPr>
      <w:rFonts w:asciiTheme="minorHAnsi" w:hAnsiTheme="minorHAnsi"/>
      <w:sz w:val="22"/>
      <w:szCs w:val="22"/>
      <w:lang w:val="en-GB"/>
    </w:rPr>
  </w:style>
  <w:style w:type="paragraph" w:styleId="Verzeichnis2">
    <w:name w:val="toc 2"/>
    <w:basedOn w:val="Standard"/>
    <w:next w:val="Standard"/>
    <w:autoRedefine/>
    <w:uiPriority w:val="39"/>
    <w:unhideWhenUsed/>
    <w:rsid w:val="00A81934"/>
    <w:pPr>
      <w:autoSpaceDE w:val="0"/>
      <w:autoSpaceDN w:val="0"/>
      <w:adjustRightInd w:val="0"/>
      <w:spacing w:after="100" w:line="276" w:lineRule="auto"/>
      <w:ind w:left="220"/>
    </w:pPr>
    <w:rPr>
      <w:rFonts w:asciiTheme="minorHAnsi" w:hAnsiTheme="minorHAnsi"/>
      <w:sz w:val="22"/>
      <w:szCs w:val="22"/>
      <w:lang w:val="en-GB"/>
    </w:rPr>
  </w:style>
  <w:style w:type="paragraph" w:styleId="Verzeichnis3">
    <w:name w:val="toc 3"/>
    <w:basedOn w:val="Standard"/>
    <w:next w:val="Standard"/>
    <w:autoRedefine/>
    <w:uiPriority w:val="39"/>
    <w:unhideWhenUsed/>
    <w:rsid w:val="00A81934"/>
    <w:pPr>
      <w:autoSpaceDE w:val="0"/>
      <w:autoSpaceDN w:val="0"/>
      <w:adjustRightInd w:val="0"/>
      <w:spacing w:after="100" w:line="276" w:lineRule="auto"/>
      <w:ind w:left="440"/>
    </w:pPr>
    <w:rPr>
      <w:rFonts w:asciiTheme="minorHAnsi" w:hAnsiTheme="minorHAnsi"/>
      <w:sz w:val="22"/>
      <w:szCs w:val="22"/>
      <w:lang w:val="en-GB"/>
    </w:rPr>
  </w:style>
  <w:style w:type="table" w:styleId="Tabellenraster">
    <w:name w:val="Table Grid"/>
    <w:basedOn w:val="NormaleTabelle"/>
    <w:uiPriority w:val="39"/>
    <w:rsid w:val="00A81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A81934"/>
    <w:rPr>
      <w:color w:val="954F72" w:themeColor="followedHyperlink"/>
      <w:u w:val="single"/>
    </w:rPr>
  </w:style>
  <w:style w:type="character" w:styleId="Zeilennummer">
    <w:name w:val="line number"/>
    <w:basedOn w:val="Absatz-Standardschriftart"/>
    <w:uiPriority w:val="99"/>
    <w:semiHidden/>
    <w:unhideWhenUsed/>
    <w:rsid w:val="00A81934"/>
  </w:style>
  <w:style w:type="table" w:customStyle="1" w:styleId="ListTable1Light1">
    <w:name w:val="List Table 1 Light1"/>
    <w:basedOn w:val="NormaleTabelle"/>
    <w:uiPriority w:val="46"/>
    <w:rsid w:val="00A819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eschriftung">
    <w:name w:val="caption"/>
    <w:basedOn w:val="Standard"/>
    <w:next w:val="Standard"/>
    <w:uiPriority w:val="35"/>
    <w:unhideWhenUsed/>
    <w:qFormat/>
    <w:rsid w:val="009F4F88"/>
    <w:pPr>
      <w:keepNext/>
      <w:autoSpaceDE w:val="0"/>
      <w:autoSpaceDN w:val="0"/>
      <w:adjustRightInd w:val="0"/>
    </w:pPr>
    <w:rPr>
      <w:rFonts w:cs="Times New Roman"/>
      <w:b/>
      <w:iCs/>
      <w:lang w:val="en-GB"/>
    </w:rPr>
  </w:style>
  <w:style w:type="paragraph" w:styleId="KeinLeerraum">
    <w:name w:val="No Spacing"/>
    <w:uiPriority w:val="1"/>
    <w:qFormat/>
    <w:rsid w:val="00A81934"/>
    <w:pPr>
      <w:autoSpaceDE w:val="0"/>
      <w:autoSpaceDN w:val="0"/>
      <w:adjustRightInd w:val="0"/>
      <w:spacing w:after="0" w:line="240" w:lineRule="auto"/>
    </w:pPr>
  </w:style>
  <w:style w:type="character" w:customStyle="1" w:styleId="highwire-cite-metadata-doi">
    <w:name w:val="highwire-cite-metadata-doi"/>
    <w:basedOn w:val="Absatz-Standardschriftart"/>
    <w:rsid w:val="00A81934"/>
    <w:rPr>
      <w:sz w:val="24"/>
      <w:szCs w:val="24"/>
      <w:bdr w:val="none" w:sz="0" w:space="0" w:color="auto" w:frame="1"/>
      <w:vertAlign w:val="baseline"/>
    </w:rPr>
  </w:style>
  <w:style w:type="character" w:customStyle="1" w:styleId="metadata-label">
    <w:name w:val="metadata-label"/>
    <w:basedOn w:val="Absatz-Standardschriftart"/>
    <w:rsid w:val="00A81934"/>
    <w:rPr>
      <w:sz w:val="24"/>
      <w:szCs w:val="24"/>
      <w:bdr w:val="none" w:sz="0" w:space="0" w:color="auto" w:frame="1"/>
      <w:vertAlign w:val="baseline"/>
    </w:rPr>
  </w:style>
  <w:style w:type="character" w:customStyle="1" w:styleId="doi1">
    <w:name w:val="doi1"/>
    <w:basedOn w:val="Absatz-Standardschriftart"/>
    <w:rsid w:val="00A81934"/>
  </w:style>
  <w:style w:type="character" w:styleId="Fett">
    <w:name w:val="Strong"/>
    <w:basedOn w:val="Absatz-Standardschriftart"/>
    <w:uiPriority w:val="22"/>
    <w:qFormat/>
    <w:rsid w:val="00A81934"/>
    <w:rPr>
      <w:b/>
      <w:bCs/>
    </w:rPr>
  </w:style>
  <w:style w:type="character" w:customStyle="1" w:styleId="highlight">
    <w:name w:val="highlight"/>
    <w:basedOn w:val="Absatz-Standardschriftart"/>
    <w:rsid w:val="00A81934"/>
  </w:style>
  <w:style w:type="paragraph" w:customStyle="1" w:styleId="xmsonormal">
    <w:name w:val="x_msonormal"/>
    <w:basedOn w:val="Standard"/>
    <w:uiPriority w:val="99"/>
    <w:rsid w:val="00A81934"/>
    <w:rPr>
      <w:rFonts w:cs="Times New Roman"/>
      <w:lang w:val="en-GB" w:eastAsia="en-GB"/>
    </w:rPr>
  </w:style>
  <w:style w:type="character" w:customStyle="1" w:styleId="article-title-and-info">
    <w:name w:val="article-title-and-info"/>
    <w:basedOn w:val="Absatz-Standardschriftart"/>
    <w:rsid w:val="00A81934"/>
  </w:style>
  <w:style w:type="character" w:styleId="Hervorhebung">
    <w:name w:val="Emphasis"/>
    <w:basedOn w:val="Absatz-Standardschriftart"/>
    <w:uiPriority w:val="20"/>
    <w:qFormat/>
    <w:rsid w:val="00A819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1ED4"/>
    <w:pPr>
      <w:spacing w:after="0" w:line="240" w:lineRule="auto"/>
    </w:pPr>
    <w:rPr>
      <w:rFonts w:ascii="Times New Roman" w:hAnsi="Times New Roman"/>
      <w:sz w:val="24"/>
      <w:szCs w:val="24"/>
      <w:lang w:val="en-US"/>
    </w:rPr>
  </w:style>
  <w:style w:type="paragraph" w:styleId="berschrift1">
    <w:name w:val="heading 1"/>
    <w:basedOn w:val="Standard"/>
    <w:next w:val="Standard"/>
    <w:link w:val="berschrift1Zchn"/>
    <w:uiPriority w:val="9"/>
    <w:qFormat/>
    <w:rsid w:val="00A81934"/>
    <w:pPr>
      <w:keepNext/>
      <w:keepLines/>
      <w:autoSpaceDE w:val="0"/>
      <w:autoSpaceDN w:val="0"/>
      <w:adjustRightInd w:val="0"/>
      <w:spacing w:before="240" w:line="276" w:lineRule="auto"/>
      <w:outlineLvl w:val="0"/>
    </w:pPr>
    <w:rPr>
      <w:rFonts w:asciiTheme="minorHAnsi" w:eastAsiaTheme="majorEastAsia" w:hAnsiTheme="minorHAnsi" w:cstheme="majorBidi"/>
      <w:b/>
      <w:lang w:val="en-GB"/>
    </w:rPr>
  </w:style>
  <w:style w:type="paragraph" w:styleId="berschrift2">
    <w:name w:val="heading 2"/>
    <w:basedOn w:val="Standard"/>
    <w:next w:val="Standard"/>
    <w:link w:val="berschrift2Zchn"/>
    <w:uiPriority w:val="9"/>
    <w:unhideWhenUsed/>
    <w:qFormat/>
    <w:rsid w:val="00A81934"/>
    <w:pPr>
      <w:keepNext/>
      <w:autoSpaceDE w:val="0"/>
      <w:autoSpaceDN w:val="0"/>
      <w:adjustRightInd w:val="0"/>
      <w:spacing w:after="120" w:line="276" w:lineRule="auto"/>
      <w:outlineLvl w:val="1"/>
    </w:pPr>
    <w:rPr>
      <w:rFonts w:asciiTheme="minorHAnsi" w:hAnsiTheme="minorHAnsi"/>
      <w:b/>
      <w:sz w:val="22"/>
      <w:szCs w:val="22"/>
      <w:lang w:val="en-GB"/>
    </w:rPr>
  </w:style>
  <w:style w:type="paragraph" w:styleId="berschrift3">
    <w:name w:val="heading 3"/>
    <w:basedOn w:val="berschrift2"/>
    <w:next w:val="Standard"/>
    <w:link w:val="berschrift3Zchn"/>
    <w:uiPriority w:val="9"/>
    <w:unhideWhenUsed/>
    <w:qFormat/>
    <w:rsid w:val="00A81934"/>
    <w:pPr>
      <w:outlineLvl w:val="2"/>
    </w:pPr>
    <w:rPr>
      <w:b w:val="0"/>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1934"/>
    <w:rPr>
      <w:rFonts w:eastAsiaTheme="majorEastAsia" w:cstheme="majorBidi"/>
      <w:b/>
      <w:sz w:val="24"/>
      <w:szCs w:val="24"/>
    </w:rPr>
  </w:style>
  <w:style w:type="character" w:customStyle="1" w:styleId="berschrift2Zchn">
    <w:name w:val="Überschrift 2 Zchn"/>
    <w:basedOn w:val="Absatz-Standardschriftart"/>
    <w:link w:val="berschrift2"/>
    <w:uiPriority w:val="9"/>
    <w:rsid w:val="00A81934"/>
    <w:rPr>
      <w:b/>
    </w:rPr>
  </w:style>
  <w:style w:type="character" w:customStyle="1" w:styleId="berschrift3Zchn">
    <w:name w:val="Überschrift 3 Zchn"/>
    <w:basedOn w:val="Absatz-Standardschriftart"/>
    <w:link w:val="berschrift3"/>
    <w:uiPriority w:val="9"/>
    <w:rsid w:val="00A81934"/>
    <w:rPr>
      <w:i/>
    </w:rPr>
  </w:style>
  <w:style w:type="paragraph" w:customStyle="1" w:styleId="Default">
    <w:name w:val="Default"/>
    <w:rsid w:val="00A81934"/>
    <w:pPr>
      <w:autoSpaceDE w:val="0"/>
      <w:autoSpaceDN w:val="0"/>
      <w:adjustRightInd w:val="0"/>
      <w:spacing w:after="0" w:line="240" w:lineRule="auto"/>
    </w:pPr>
    <w:rPr>
      <w:rFonts w:ascii="Times New Roman" w:hAnsi="Times New Roman" w:cs="Times New Roman"/>
      <w:color w:val="000000"/>
      <w:sz w:val="24"/>
      <w:szCs w:val="24"/>
    </w:rPr>
  </w:style>
  <w:style w:type="paragraph" w:styleId="Kopfzeile">
    <w:name w:val="header"/>
    <w:basedOn w:val="Standard"/>
    <w:link w:val="KopfzeileZchn"/>
    <w:uiPriority w:val="99"/>
    <w:unhideWhenUsed/>
    <w:rsid w:val="00A81934"/>
    <w:pPr>
      <w:tabs>
        <w:tab w:val="center" w:pos="4513"/>
        <w:tab w:val="right" w:pos="9026"/>
      </w:tabs>
      <w:autoSpaceDE w:val="0"/>
      <w:autoSpaceDN w:val="0"/>
      <w:adjustRightInd w:val="0"/>
    </w:pPr>
    <w:rPr>
      <w:rFonts w:asciiTheme="minorHAnsi" w:hAnsiTheme="minorHAnsi"/>
      <w:sz w:val="22"/>
      <w:szCs w:val="22"/>
      <w:lang w:val="en-GB"/>
    </w:rPr>
  </w:style>
  <w:style w:type="character" w:customStyle="1" w:styleId="KopfzeileZchn">
    <w:name w:val="Kopfzeile Zchn"/>
    <w:basedOn w:val="Absatz-Standardschriftart"/>
    <w:link w:val="Kopfzeile"/>
    <w:uiPriority w:val="99"/>
    <w:rsid w:val="00A81934"/>
  </w:style>
  <w:style w:type="paragraph" w:styleId="Fuzeile">
    <w:name w:val="footer"/>
    <w:basedOn w:val="Standard"/>
    <w:link w:val="FuzeileZchn"/>
    <w:uiPriority w:val="99"/>
    <w:unhideWhenUsed/>
    <w:rsid w:val="00A81934"/>
    <w:pPr>
      <w:tabs>
        <w:tab w:val="center" w:pos="4513"/>
        <w:tab w:val="right" w:pos="9026"/>
      </w:tabs>
      <w:autoSpaceDE w:val="0"/>
      <w:autoSpaceDN w:val="0"/>
      <w:adjustRightInd w:val="0"/>
    </w:pPr>
    <w:rPr>
      <w:rFonts w:asciiTheme="minorHAnsi" w:hAnsiTheme="minorHAnsi"/>
      <w:sz w:val="22"/>
      <w:szCs w:val="22"/>
      <w:lang w:val="en-GB"/>
    </w:rPr>
  </w:style>
  <w:style w:type="character" w:customStyle="1" w:styleId="FuzeileZchn">
    <w:name w:val="Fußzeile Zchn"/>
    <w:basedOn w:val="Absatz-Standardschriftart"/>
    <w:link w:val="Fuzeile"/>
    <w:uiPriority w:val="99"/>
    <w:rsid w:val="00A81934"/>
  </w:style>
  <w:style w:type="character" w:styleId="Kommentarzeichen">
    <w:name w:val="annotation reference"/>
    <w:basedOn w:val="Absatz-Standardschriftart"/>
    <w:uiPriority w:val="99"/>
    <w:semiHidden/>
    <w:unhideWhenUsed/>
    <w:rsid w:val="00A81934"/>
    <w:rPr>
      <w:sz w:val="16"/>
      <w:szCs w:val="16"/>
    </w:rPr>
  </w:style>
  <w:style w:type="paragraph" w:styleId="Kommentartext">
    <w:name w:val="annotation text"/>
    <w:basedOn w:val="Standard"/>
    <w:link w:val="KommentartextZchn"/>
    <w:uiPriority w:val="99"/>
    <w:unhideWhenUsed/>
    <w:rsid w:val="00A81934"/>
    <w:pPr>
      <w:autoSpaceDE w:val="0"/>
      <w:autoSpaceDN w:val="0"/>
      <w:adjustRightInd w:val="0"/>
      <w:spacing w:after="120"/>
    </w:pPr>
    <w:rPr>
      <w:rFonts w:asciiTheme="minorHAnsi" w:hAnsiTheme="minorHAnsi"/>
      <w:sz w:val="20"/>
      <w:szCs w:val="20"/>
      <w:lang w:val="en-GB"/>
    </w:rPr>
  </w:style>
  <w:style w:type="character" w:customStyle="1" w:styleId="KommentartextZchn">
    <w:name w:val="Kommentartext Zchn"/>
    <w:basedOn w:val="Absatz-Standardschriftart"/>
    <w:link w:val="Kommentartext"/>
    <w:uiPriority w:val="99"/>
    <w:rsid w:val="00A81934"/>
    <w:rPr>
      <w:sz w:val="20"/>
      <w:szCs w:val="20"/>
    </w:rPr>
  </w:style>
  <w:style w:type="paragraph" w:styleId="Kommentarthema">
    <w:name w:val="annotation subject"/>
    <w:basedOn w:val="Kommentartext"/>
    <w:next w:val="Kommentartext"/>
    <w:link w:val="KommentarthemaZchn"/>
    <w:uiPriority w:val="99"/>
    <w:semiHidden/>
    <w:unhideWhenUsed/>
    <w:rsid w:val="00A81934"/>
    <w:rPr>
      <w:b/>
      <w:bCs/>
    </w:rPr>
  </w:style>
  <w:style w:type="character" w:customStyle="1" w:styleId="KommentarthemaZchn">
    <w:name w:val="Kommentarthema Zchn"/>
    <w:basedOn w:val="KommentartextZchn"/>
    <w:link w:val="Kommentarthema"/>
    <w:uiPriority w:val="99"/>
    <w:semiHidden/>
    <w:rsid w:val="00A81934"/>
    <w:rPr>
      <w:b/>
      <w:bCs/>
      <w:sz w:val="20"/>
      <w:szCs w:val="20"/>
    </w:rPr>
  </w:style>
  <w:style w:type="paragraph" w:styleId="Sprechblasentext">
    <w:name w:val="Balloon Text"/>
    <w:basedOn w:val="Standard"/>
    <w:link w:val="SprechblasentextZchn"/>
    <w:uiPriority w:val="99"/>
    <w:semiHidden/>
    <w:unhideWhenUsed/>
    <w:rsid w:val="00A81934"/>
    <w:pPr>
      <w:autoSpaceDE w:val="0"/>
      <w:autoSpaceDN w:val="0"/>
      <w:adjustRightInd w:val="0"/>
    </w:pPr>
    <w:rPr>
      <w:rFonts w:ascii="Segoe UI" w:hAnsi="Segoe UI" w:cs="Segoe UI"/>
      <w:sz w:val="18"/>
      <w:szCs w:val="18"/>
      <w:lang w:val="en-GB"/>
    </w:rPr>
  </w:style>
  <w:style w:type="character" w:customStyle="1" w:styleId="SprechblasentextZchn">
    <w:name w:val="Sprechblasentext Zchn"/>
    <w:basedOn w:val="Absatz-Standardschriftart"/>
    <w:link w:val="Sprechblasentext"/>
    <w:uiPriority w:val="99"/>
    <w:semiHidden/>
    <w:rsid w:val="00A81934"/>
    <w:rPr>
      <w:rFonts w:ascii="Segoe UI" w:hAnsi="Segoe UI" w:cs="Segoe UI"/>
      <w:sz w:val="18"/>
      <w:szCs w:val="18"/>
    </w:rPr>
  </w:style>
  <w:style w:type="character" w:styleId="Hyperlink">
    <w:name w:val="Hyperlink"/>
    <w:basedOn w:val="Absatz-Standardschriftart"/>
    <w:uiPriority w:val="99"/>
    <w:unhideWhenUsed/>
    <w:rsid w:val="00A81934"/>
    <w:rPr>
      <w:color w:val="0563C1" w:themeColor="hyperlink"/>
      <w:u w:val="single"/>
    </w:rPr>
  </w:style>
  <w:style w:type="paragraph" w:styleId="Listenabsatz">
    <w:name w:val="List Paragraph"/>
    <w:basedOn w:val="Standard"/>
    <w:uiPriority w:val="34"/>
    <w:qFormat/>
    <w:rsid w:val="00A81934"/>
    <w:pPr>
      <w:autoSpaceDE w:val="0"/>
      <w:autoSpaceDN w:val="0"/>
      <w:adjustRightInd w:val="0"/>
      <w:spacing w:after="120" w:line="276" w:lineRule="auto"/>
      <w:ind w:left="720"/>
      <w:contextualSpacing/>
    </w:pPr>
    <w:rPr>
      <w:rFonts w:asciiTheme="minorHAnsi" w:hAnsiTheme="minorHAnsi"/>
      <w:sz w:val="22"/>
      <w:szCs w:val="22"/>
      <w:lang w:val="en-GB"/>
    </w:rPr>
  </w:style>
  <w:style w:type="paragraph" w:styleId="berarbeitung">
    <w:name w:val="Revision"/>
    <w:hidden/>
    <w:uiPriority w:val="99"/>
    <w:semiHidden/>
    <w:rsid w:val="00A81934"/>
    <w:pPr>
      <w:spacing w:after="0" w:line="240" w:lineRule="auto"/>
    </w:pPr>
  </w:style>
  <w:style w:type="paragraph" w:styleId="HTMLVorformatiert">
    <w:name w:val="HTML Preformatted"/>
    <w:basedOn w:val="Standard"/>
    <w:link w:val="HTMLVorformatiertZchn"/>
    <w:uiPriority w:val="99"/>
    <w:unhideWhenUsed/>
    <w:rsid w:val="00A81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VorformatiertZchn">
    <w:name w:val="HTML Vorformatiert Zchn"/>
    <w:basedOn w:val="Absatz-Standardschriftart"/>
    <w:link w:val="HTMLVorformatiert"/>
    <w:uiPriority w:val="99"/>
    <w:rsid w:val="00A81934"/>
    <w:rPr>
      <w:rFonts w:ascii="Courier New" w:eastAsia="Times New Roman" w:hAnsi="Courier New" w:cs="Courier New"/>
      <w:sz w:val="20"/>
      <w:szCs w:val="20"/>
      <w:lang w:eastAsia="en-GB"/>
    </w:rPr>
  </w:style>
  <w:style w:type="paragraph" w:customStyle="1" w:styleId="EndNoteBibliographyTitle">
    <w:name w:val="EndNote Bibliography Title"/>
    <w:basedOn w:val="Standard"/>
    <w:link w:val="EndNoteBibliographyTitleChar"/>
    <w:rsid w:val="00A81934"/>
    <w:pPr>
      <w:autoSpaceDE w:val="0"/>
      <w:autoSpaceDN w:val="0"/>
      <w:adjustRightInd w:val="0"/>
      <w:spacing w:line="276" w:lineRule="auto"/>
      <w:jc w:val="center"/>
    </w:pPr>
    <w:rPr>
      <w:rFonts w:cs="Times New Roman"/>
      <w:noProof/>
      <w:szCs w:val="22"/>
    </w:rPr>
  </w:style>
  <w:style w:type="character" w:customStyle="1" w:styleId="EndNoteBibliographyTitleChar">
    <w:name w:val="EndNote Bibliography Title Char"/>
    <w:basedOn w:val="Absatz-Standardschriftart"/>
    <w:link w:val="EndNoteBibliographyTitle"/>
    <w:rsid w:val="00A81934"/>
    <w:rPr>
      <w:rFonts w:ascii="Times New Roman" w:hAnsi="Times New Roman" w:cs="Times New Roman"/>
      <w:noProof/>
      <w:sz w:val="24"/>
      <w:lang w:val="en-US"/>
    </w:rPr>
  </w:style>
  <w:style w:type="paragraph" w:customStyle="1" w:styleId="EndNoteBibliography">
    <w:name w:val="EndNote Bibliography"/>
    <w:basedOn w:val="Standard"/>
    <w:link w:val="EndNoteBibliographyChar"/>
    <w:rsid w:val="00A81934"/>
    <w:pPr>
      <w:autoSpaceDE w:val="0"/>
      <w:autoSpaceDN w:val="0"/>
      <w:adjustRightInd w:val="0"/>
      <w:spacing w:after="120"/>
    </w:pPr>
    <w:rPr>
      <w:rFonts w:cs="Times New Roman"/>
      <w:noProof/>
      <w:szCs w:val="22"/>
    </w:rPr>
  </w:style>
  <w:style w:type="character" w:customStyle="1" w:styleId="EndNoteBibliographyChar">
    <w:name w:val="EndNote Bibliography Char"/>
    <w:basedOn w:val="Absatz-Standardschriftart"/>
    <w:link w:val="EndNoteBibliography"/>
    <w:rsid w:val="00A81934"/>
    <w:rPr>
      <w:rFonts w:ascii="Times New Roman" w:hAnsi="Times New Roman" w:cs="Times New Roman"/>
      <w:noProof/>
      <w:sz w:val="24"/>
      <w:lang w:val="en-US"/>
    </w:rPr>
  </w:style>
  <w:style w:type="character" w:styleId="Platzhaltertext">
    <w:name w:val="Placeholder Text"/>
    <w:basedOn w:val="Absatz-Standardschriftart"/>
    <w:uiPriority w:val="99"/>
    <w:semiHidden/>
    <w:rsid w:val="00A81934"/>
    <w:rPr>
      <w:color w:val="808080"/>
    </w:rPr>
  </w:style>
  <w:style w:type="character" w:customStyle="1" w:styleId="apple-converted-space">
    <w:name w:val="apple-converted-space"/>
    <w:basedOn w:val="Absatz-Standardschriftart"/>
    <w:rsid w:val="00A81934"/>
  </w:style>
  <w:style w:type="paragraph" w:styleId="Inhaltsverzeichnisberschrift">
    <w:name w:val="TOC Heading"/>
    <w:basedOn w:val="berschrift1"/>
    <w:next w:val="Standard"/>
    <w:uiPriority w:val="39"/>
    <w:unhideWhenUsed/>
    <w:qFormat/>
    <w:rsid w:val="00A81934"/>
    <w:pPr>
      <w:autoSpaceDE/>
      <w:autoSpaceDN/>
      <w:adjustRightInd/>
      <w:spacing w:line="259" w:lineRule="auto"/>
      <w:outlineLvl w:val="9"/>
    </w:pPr>
    <w:rPr>
      <w:rFonts w:asciiTheme="majorHAnsi" w:hAnsiTheme="majorHAnsi"/>
      <w:b w:val="0"/>
      <w:color w:val="2E74B5" w:themeColor="accent1" w:themeShade="BF"/>
      <w:sz w:val="32"/>
      <w:szCs w:val="32"/>
      <w:lang w:val="en-US"/>
    </w:rPr>
  </w:style>
  <w:style w:type="paragraph" w:styleId="Verzeichnis1">
    <w:name w:val="toc 1"/>
    <w:basedOn w:val="Standard"/>
    <w:next w:val="Standard"/>
    <w:autoRedefine/>
    <w:uiPriority w:val="39"/>
    <w:unhideWhenUsed/>
    <w:rsid w:val="00A81934"/>
    <w:pPr>
      <w:autoSpaceDE w:val="0"/>
      <w:autoSpaceDN w:val="0"/>
      <w:adjustRightInd w:val="0"/>
      <w:spacing w:after="100" w:line="276" w:lineRule="auto"/>
    </w:pPr>
    <w:rPr>
      <w:rFonts w:asciiTheme="minorHAnsi" w:hAnsiTheme="minorHAnsi"/>
      <w:sz w:val="22"/>
      <w:szCs w:val="22"/>
      <w:lang w:val="en-GB"/>
    </w:rPr>
  </w:style>
  <w:style w:type="paragraph" w:styleId="Verzeichnis2">
    <w:name w:val="toc 2"/>
    <w:basedOn w:val="Standard"/>
    <w:next w:val="Standard"/>
    <w:autoRedefine/>
    <w:uiPriority w:val="39"/>
    <w:unhideWhenUsed/>
    <w:rsid w:val="00A81934"/>
    <w:pPr>
      <w:autoSpaceDE w:val="0"/>
      <w:autoSpaceDN w:val="0"/>
      <w:adjustRightInd w:val="0"/>
      <w:spacing w:after="100" w:line="276" w:lineRule="auto"/>
      <w:ind w:left="220"/>
    </w:pPr>
    <w:rPr>
      <w:rFonts w:asciiTheme="minorHAnsi" w:hAnsiTheme="minorHAnsi"/>
      <w:sz w:val="22"/>
      <w:szCs w:val="22"/>
      <w:lang w:val="en-GB"/>
    </w:rPr>
  </w:style>
  <w:style w:type="paragraph" w:styleId="Verzeichnis3">
    <w:name w:val="toc 3"/>
    <w:basedOn w:val="Standard"/>
    <w:next w:val="Standard"/>
    <w:autoRedefine/>
    <w:uiPriority w:val="39"/>
    <w:unhideWhenUsed/>
    <w:rsid w:val="00A81934"/>
    <w:pPr>
      <w:autoSpaceDE w:val="0"/>
      <w:autoSpaceDN w:val="0"/>
      <w:adjustRightInd w:val="0"/>
      <w:spacing w:after="100" w:line="276" w:lineRule="auto"/>
      <w:ind w:left="440"/>
    </w:pPr>
    <w:rPr>
      <w:rFonts w:asciiTheme="minorHAnsi" w:hAnsiTheme="minorHAnsi"/>
      <w:sz w:val="22"/>
      <w:szCs w:val="22"/>
      <w:lang w:val="en-GB"/>
    </w:rPr>
  </w:style>
  <w:style w:type="table" w:styleId="Tabellenraster">
    <w:name w:val="Table Grid"/>
    <w:basedOn w:val="NormaleTabelle"/>
    <w:uiPriority w:val="39"/>
    <w:rsid w:val="00A81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A81934"/>
    <w:rPr>
      <w:color w:val="954F72" w:themeColor="followedHyperlink"/>
      <w:u w:val="single"/>
    </w:rPr>
  </w:style>
  <w:style w:type="character" w:styleId="Zeilennummer">
    <w:name w:val="line number"/>
    <w:basedOn w:val="Absatz-Standardschriftart"/>
    <w:uiPriority w:val="99"/>
    <w:semiHidden/>
    <w:unhideWhenUsed/>
    <w:rsid w:val="00A81934"/>
  </w:style>
  <w:style w:type="table" w:customStyle="1" w:styleId="ListTable1Light1">
    <w:name w:val="List Table 1 Light1"/>
    <w:basedOn w:val="NormaleTabelle"/>
    <w:uiPriority w:val="46"/>
    <w:rsid w:val="00A819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eschriftung">
    <w:name w:val="caption"/>
    <w:basedOn w:val="Standard"/>
    <w:next w:val="Standard"/>
    <w:uiPriority w:val="35"/>
    <w:unhideWhenUsed/>
    <w:qFormat/>
    <w:rsid w:val="009F4F88"/>
    <w:pPr>
      <w:keepNext/>
      <w:autoSpaceDE w:val="0"/>
      <w:autoSpaceDN w:val="0"/>
      <w:adjustRightInd w:val="0"/>
    </w:pPr>
    <w:rPr>
      <w:rFonts w:cs="Times New Roman"/>
      <w:b/>
      <w:iCs/>
      <w:lang w:val="en-GB"/>
    </w:rPr>
  </w:style>
  <w:style w:type="paragraph" w:styleId="KeinLeerraum">
    <w:name w:val="No Spacing"/>
    <w:uiPriority w:val="1"/>
    <w:qFormat/>
    <w:rsid w:val="00A81934"/>
    <w:pPr>
      <w:autoSpaceDE w:val="0"/>
      <w:autoSpaceDN w:val="0"/>
      <w:adjustRightInd w:val="0"/>
      <w:spacing w:after="0" w:line="240" w:lineRule="auto"/>
    </w:pPr>
  </w:style>
  <w:style w:type="character" w:customStyle="1" w:styleId="highwire-cite-metadata-doi">
    <w:name w:val="highwire-cite-metadata-doi"/>
    <w:basedOn w:val="Absatz-Standardschriftart"/>
    <w:rsid w:val="00A81934"/>
    <w:rPr>
      <w:sz w:val="24"/>
      <w:szCs w:val="24"/>
      <w:bdr w:val="none" w:sz="0" w:space="0" w:color="auto" w:frame="1"/>
      <w:vertAlign w:val="baseline"/>
    </w:rPr>
  </w:style>
  <w:style w:type="character" w:customStyle="1" w:styleId="metadata-label">
    <w:name w:val="metadata-label"/>
    <w:basedOn w:val="Absatz-Standardschriftart"/>
    <w:rsid w:val="00A81934"/>
    <w:rPr>
      <w:sz w:val="24"/>
      <w:szCs w:val="24"/>
      <w:bdr w:val="none" w:sz="0" w:space="0" w:color="auto" w:frame="1"/>
      <w:vertAlign w:val="baseline"/>
    </w:rPr>
  </w:style>
  <w:style w:type="character" w:customStyle="1" w:styleId="doi1">
    <w:name w:val="doi1"/>
    <w:basedOn w:val="Absatz-Standardschriftart"/>
    <w:rsid w:val="00A81934"/>
  </w:style>
  <w:style w:type="character" w:styleId="Fett">
    <w:name w:val="Strong"/>
    <w:basedOn w:val="Absatz-Standardschriftart"/>
    <w:uiPriority w:val="22"/>
    <w:qFormat/>
    <w:rsid w:val="00A81934"/>
    <w:rPr>
      <w:b/>
      <w:bCs/>
    </w:rPr>
  </w:style>
  <w:style w:type="character" w:customStyle="1" w:styleId="highlight">
    <w:name w:val="highlight"/>
    <w:basedOn w:val="Absatz-Standardschriftart"/>
    <w:rsid w:val="00A81934"/>
  </w:style>
  <w:style w:type="paragraph" w:customStyle="1" w:styleId="xmsonormal">
    <w:name w:val="x_msonormal"/>
    <w:basedOn w:val="Standard"/>
    <w:uiPriority w:val="99"/>
    <w:rsid w:val="00A81934"/>
    <w:rPr>
      <w:rFonts w:cs="Times New Roman"/>
      <w:lang w:val="en-GB" w:eastAsia="en-GB"/>
    </w:rPr>
  </w:style>
  <w:style w:type="character" w:customStyle="1" w:styleId="article-title-and-info">
    <w:name w:val="article-title-and-info"/>
    <w:basedOn w:val="Absatz-Standardschriftart"/>
    <w:rsid w:val="00A81934"/>
  </w:style>
  <w:style w:type="character" w:styleId="Hervorhebung">
    <w:name w:val="Emphasis"/>
    <w:basedOn w:val="Absatz-Standardschriftart"/>
    <w:uiPriority w:val="20"/>
    <w:qFormat/>
    <w:rsid w:val="00A819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3461">
      <w:bodyDiv w:val="1"/>
      <w:marLeft w:val="0"/>
      <w:marRight w:val="0"/>
      <w:marTop w:val="0"/>
      <w:marBottom w:val="0"/>
      <w:divBdr>
        <w:top w:val="none" w:sz="0" w:space="0" w:color="auto"/>
        <w:left w:val="none" w:sz="0" w:space="0" w:color="auto"/>
        <w:bottom w:val="none" w:sz="0" w:space="0" w:color="auto"/>
        <w:right w:val="none" w:sz="0" w:space="0" w:color="auto"/>
      </w:divBdr>
    </w:div>
    <w:div w:id="175657143">
      <w:bodyDiv w:val="1"/>
      <w:marLeft w:val="0"/>
      <w:marRight w:val="0"/>
      <w:marTop w:val="0"/>
      <w:marBottom w:val="0"/>
      <w:divBdr>
        <w:top w:val="none" w:sz="0" w:space="0" w:color="auto"/>
        <w:left w:val="none" w:sz="0" w:space="0" w:color="auto"/>
        <w:bottom w:val="none" w:sz="0" w:space="0" w:color="auto"/>
        <w:right w:val="none" w:sz="0" w:space="0" w:color="auto"/>
      </w:divBdr>
    </w:div>
    <w:div w:id="181364567">
      <w:bodyDiv w:val="1"/>
      <w:marLeft w:val="0"/>
      <w:marRight w:val="0"/>
      <w:marTop w:val="0"/>
      <w:marBottom w:val="0"/>
      <w:divBdr>
        <w:top w:val="none" w:sz="0" w:space="0" w:color="auto"/>
        <w:left w:val="none" w:sz="0" w:space="0" w:color="auto"/>
        <w:bottom w:val="none" w:sz="0" w:space="0" w:color="auto"/>
        <w:right w:val="none" w:sz="0" w:space="0" w:color="auto"/>
      </w:divBdr>
    </w:div>
    <w:div w:id="188878811">
      <w:bodyDiv w:val="1"/>
      <w:marLeft w:val="0"/>
      <w:marRight w:val="0"/>
      <w:marTop w:val="0"/>
      <w:marBottom w:val="0"/>
      <w:divBdr>
        <w:top w:val="none" w:sz="0" w:space="0" w:color="auto"/>
        <w:left w:val="none" w:sz="0" w:space="0" w:color="auto"/>
        <w:bottom w:val="none" w:sz="0" w:space="0" w:color="auto"/>
        <w:right w:val="none" w:sz="0" w:space="0" w:color="auto"/>
      </w:divBdr>
    </w:div>
    <w:div w:id="238517453">
      <w:bodyDiv w:val="1"/>
      <w:marLeft w:val="0"/>
      <w:marRight w:val="0"/>
      <w:marTop w:val="0"/>
      <w:marBottom w:val="0"/>
      <w:divBdr>
        <w:top w:val="none" w:sz="0" w:space="0" w:color="auto"/>
        <w:left w:val="none" w:sz="0" w:space="0" w:color="auto"/>
        <w:bottom w:val="none" w:sz="0" w:space="0" w:color="auto"/>
        <w:right w:val="none" w:sz="0" w:space="0" w:color="auto"/>
      </w:divBdr>
    </w:div>
    <w:div w:id="314263034">
      <w:bodyDiv w:val="1"/>
      <w:marLeft w:val="0"/>
      <w:marRight w:val="0"/>
      <w:marTop w:val="0"/>
      <w:marBottom w:val="0"/>
      <w:divBdr>
        <w:top w:val="none" w:sz="0" w:space="0" w:color="auto"/>
        <w:left w:val="none" w:sz="0" w:space="0" w:color="auto"/>
        <w:bottom w:val="none" w:sz="0" w:space="0" w:color="auto"/>
        <w:right w:val="none" w:sz="0" w:space="0" w:color="auto"/>
      </w:divBdr>
    </w:div>
    <w:div w:id="395671042">
      <w:bodyDiv w:val="1"/>
      <w:marLeft w:val="0"/>
      <w:marRight w:val="0"/>
      <w:marTop w:val="0"/>
      <w:marBottom w:val="0"/>
      <w:divBdr>
        <w:top w:val="none" w:sz="0" w:space="0" w:color="auto"/>
        <w:left w:val="none" w:sz="0" w:space="0" w:color="auto"/>
        <w:bottom w:val="none" w:sz="0" w:space="0" w:color="auto"/>
        <w:right w:val="none" w:sz="0" w:space="0" w:color="auto"/>
      </w:divBdr>
    </w:div>
    <w:div w:id="410079761">
      <w:bodyDiv w:val="1"/>
      <w:marLeft w:val="0"/>
      <w:marRight w:val="0"/>
      <w:marTop w:val="0"/>
      <w:marBottom w:val="0"/>
      <w:divBdr>
        <w:top w:val="none" w:sz="0" w:space="0" w:color="auto"/>
        <w:left w:val="none" w:sz="0" w:space="0" w:color="auto"/>
        <w:bottom w:val="none" w:sz="0" w:space="0" w:color="auto"/>
        <w:right w:val="none" w:sz="0" w:space="0" w:color="auto"/>
      </w:divBdr>
    </w:div>
    <w:div w:id="416102215">
      <w:bodyDiv w:val="1"/>
      <w:marLeft w:val="0"/>
      <w:marRight w:val="0"/>
      <w:marTop w:val="0"/>
      <w:marBottom w:val="0"/>
      <w:divBdr>
        <w:top w:val="none" w:sz="0" w:space="0" w:color="auto"/>
        <w:left w:val="none" w:sz="0" w:space="0" w:color="auto"/>
        <w:bottom w:val="none" w:sz="0" w:space="0" w:color="auto"/>
        <w:right w:val="none" w:sz="0" w:space="0" w:color="auto"/>
      </w:divBdr>
    </w:div>
    <w:div w:id="446848409">
      <w:bodyDiv w:val="1"/>
      <w:marLeft w:val="0"/>
      <w:marRight w:val="0"/>
      <w:marTop w:val="0"/>
      <w:marBottom w:val="0"/>
      <w:divBdr>
        <w:top w:val="none" w:sz="0" w:space="0" w:color="auto"/>
        <w:left w:val="none" w:sz="0" w:space="0" w:color="auto"/>
        <w:bottom w:val="none" w:sz="0" w:space="0" w:color="auto"/>
        <w:right w:val="none" w:sz="0" w:space="0" w:color="auto"/>
      </w:divBdr>
    </w:div>
    <w:div w:id="507646188">
      <w:bodyDiv w:val="1"/>
      <w:marLeft w:val="0"/>
      <w:marRight w:val="0"/>
      <w:marTop w:val="0"/>
      <w:marBottom w:val="0"/>
      <w:divBdr>
        <w:top w:val="none" w:sz="0" w:space="0" w:color="auto"/>
        <w:left w:val="none" w:sz="0" w:space="0" w:color="auto"/>
        <w:bottom w:val="none" w:sz="0" w:space="0" w:color="auto"/>
        <w:right w:val="none" w:sz="0" w:space="0" w:color="auto"/>
      </w:divBdr>
    </w:div>
    <w:div w:id="605770743">
      <w:bodyDiv w:val="1"/>
      <w:marLeft w:val="0"/>
      <w:marRight w:val="0"/>
      <w:marTop w:val="0"/>
      <w:marBottom w:val="0"/>
      <w:divBdr>
        <w:top w:val="none" w:sz="0" w:space="0" w:color="auto"/>
        <w:left w:val="none" w:sz="0" w:space="0" w:color="auto"/>
        <w:bottom w:val="none" w:sz="0" w:space="0" w:color="auto"/>
        <w:right w:val="none" w:sz="0" w:space="0" w:color="auto"/>
      </w:divBdr>
    </w:div>
    <w:div w:id="610820016">
      <w:bodyDiv w:val="1"/>
      <w:marLeft w:val="0"/>
      <w:marRight w:val="0"/>
      <w:marTop w:val="0"/>
      <w:marBottom w:val="0"/>
      <w:divBdr>
        <w:top w:val="none" w:sz="0" w:space="0" w:color="auto"/>
        <w:left w:val="none" w:sz="0" w:space="0" w:color="auto"/>
        <w:bottom w:val="none" w:sz="0" w:space="0" w:color="auto"/>
        <w:right w:val="none" w:sz="0" w:space="0" w:color="auto"/>
      </w:divBdr>
    </w:div>
    <w:div w:id="649136466">
      <w:bodyDiv w:val="1"/>
      <w:marLeft w:val="0"/>
      <w:marRight w:val="0"/>
      <w:marTop w:val="0"/>
      <w:marBottom w:val="0"/>
      <w:divBdr>
        <w:top w:val="none" w:sz="0" w:space="0" w:color="auto"/>
        <w:left w:val="none" w:sz="0" w:space="0" w:color="auto"/>
        <w:bottom w:val="none" w:sz="0" w:space="0" w:color="auto"/>
        <w:right w:val="none" w:sz="0" w:space="0" w:color="auto"/>
      </w:divBdr>
    </w:div>
    <w:div w:id="650476759">
      <w:bodyDiv w:val="1"/>
      <w:marLeft w:val="0"/>
      <w:marRight w:val="0"/>
      <w:marTop w:val="0"/>
      <w:marBottom w:val="0"/>
      <w:divBdr>
        <w:top w:val="none" w:sz="0" w:space="0" w:color="auto"/>
        <w:left w:val="none" w:sz="0" w:space="0" w:color="auto"/>
        <w:bottom w:val="none" w:sz="0" w:space="0" w:color="auto"/>
        <w:right w:val="none" w:sz="0" w:space="0" w:color="auto"/>
      </w:divBdr>
    </w:div>
    <w:div w:id="683895791">
      <w:bodyDiv w:val="1"/>
      <w:marLeft w:val="0"/>
      <w:marRight w:val="0"/>
      <w:marTop w:val="0"/>
      <w:marBottom w:val="0"/>
      <w:divBdr>
        <w:top w:val="none" w:sz="0" w:space="0" w:color="auto"/>
        <w:left w:val="none" w:sz="0" w:space="0" w:color="auto"/>
        <w:bottom w:val="none" w:sz="0" w:space="0" w:color="auto"/>
        <w:right w:val="none" w:sz="0" w:space="0" w:color="auto"/>
      </w:divBdr>
    </w:div>
    <w:div w:id="708647199">
      <w:bodyDiv w:val="1"/>
      <w:marLeft w:val="0"/>
      <w:marRight w:val="0"/>
      <w:marTop w:val="0"/>
      <w:marBottom w:val="0"/>
      <w:divBdr>
        <w:top w:val="none" w:sz="0" w:space="0" w:color="auto"/>
        <w:left w:val="none" w:sz="0" w:space="0" w:color="auto"/>
        <w:bottom w:val="none" w:sz="0" w:space="0" w:color="auto"/>
        <w:right w:val="none" w:sz="0" w:space="0" w:color="auto"/>
      </w:divBdr>
    </w:div>
    <w:div w:id="833960724">
      <w:bodyDiv w:val="1"/>
      <w:marLeft w:val="0"/>
      <w:marRight w:val="0"/>
      <w:marTop w:val="0"/>
      <w:marBottom w:val="0"/>
      <w:divBdr>
        <w:top w:val="none" w:sz="0" w:space="0" w:color="auto"/>
        <w:left w:val="none" w:sz="0" w:space="0" w:color="auto"/>
        <w:bottom w:val="none" w:sz="0" w:space="0" w:color="auto"/>
        <w:right w:val="none" w:sz="0" w:space="0" w:color="auto"/>
      </w:divBdr>
    </w:div>
    <w:div w:id="865947715">
      <w:bodyDiv w:val="1"/>
      <w:marLeft w:val="0"/>
      <w:marRight w:val="0"/>
      <w:marTop w:val="0"/>
      <w:marBottom w:val="0"/>
      <w:divBdr>
        <w:top w:val="none" w:sz="0" w:space="0" w:color="auto"/>
        <w:left w:val="none" w:sz="0" w:space="0" w:color="auto"/>
        <w:bottom w:val="none" w:sz="0" w:space="0" w:color="auto"/>
        <w:right w:val="none" w:sz="0" w:space="0" w:color="auto"/>
      </w:divBdr>
    </w:div>
    <w:div w:id="889612280">
      <w:bodyDiv w:val="1"/>
      <w:marLeft w:val="0"/>
      <w:marRight w:val="0"/>
      <w:marTop w:val="0"/>
      <w:marBottom w:val="0"/>
      <w:divBdr>
        <w:top w:val="none" w:sz="0" w:space="0" w:color="auto"/>
        <w:left w:val="none" w:sz="0" w:space="0" w:color="auto"/>
        <w:bottom w:val="none" w:sz="0" w:space="0" w:color="auto"/>
        <w:right w:val="none" w:sz="0" w:space="0" w:color="auto"/>
      </w:divBdr>
    </w:div>
    <w:div w:id="1008874268">
      <w:bodyDiv w:val="1"/>
      <w:marLeft w:val="0"/>
      <w:marRight w:val="0"/>
      <w:marTop w:val="0"/>
      <w:marBottom w:val="0"/>
      <w:divBdr>
        <w:top w:val="none" w:sz="0" w:space="0" w:color="auto"/>
        <w:left w:val="none" w:sz="0" w:space="0" w:color="auto"/>
        <w:bottom w:val="none" w:sz="0" w:space="0" w:color="auto"/>
        <w:right w:val="none" w:sz="0" w:space="0" w:color="auto"/>
      </w:divBdr>
    </w:div>
    <w:div w:id="1046492817">
      <w:bodyDiv w:val="1"/>
      <w:marLeft w:val="0"/>
      <w:marRight w:val="0"/>
      <w:marTop w:val="0"/>
      <w:marBottom w:val="0"/>
      <w:divBdr>
        <w:top w:val="none" w:sz="0" w:space="0" w:color="auto"/>
        <w:left w:val="none" w:sz="0" w:space="0" w:color="auto"/>
        <w:bottom w:val="none" w:sz="0" w:space="0" w:color="auto"/>
        <w:right w:val="none" w:sz="0" w:space="0" w:color="auto"/>
      </w:divBdr>
    </w:div>
    <w:div w:id="1149135600">
      <w:bodyDiv w:val="1"/>
      <w:marLeft w:val="0"/>
      <w:marRight w:val="0"/>
      <w:marTop w:val="0"/>
      <w:marBottom w:val="0"/>
      <w:divBdr>
        <w:top w:val="none" w:sz="0" w:space="0" w:color="auto"/>
        <w:left w:val="none" w:sz="0" w:space="0" w:color="auto"/>
        <w:bottom w:val="none" w:sz="0" w:space="0" w:color="auto"/>
        <w:right w:val="none" w:sz="0" w:space="0" w:color="auto"/>
      </w:divBdr>
    </w:div>
    <w:div w:id="1161848249">
      <w:bodyDiv w:val="1"/>
      <w:marLeft w:val="0"/>
      <w:marRight w:val="0"/>
      <w:marTop w:val="0"/>
      <w:marBottom w:val="0"/>
      <w:divBdr>
        <w:top w:val="none" w:sz="0" w:space="0" w:color="auto"/>
        <w:left w:val="none" w:sz="0" w:space="0" w:color="auto"/>
        <w:bottom w:val="none" w:sz="0" w:space="0" w:color="auto"/>
        <w:right w:val="none" w:sz="0" w:space="0" w:color="auto"/>
      </w:divBdr>
    </w:div>
    <w:div w:id="1241329709">
      <w:bodyDiv w:val="1"/>
      <w:marLeft w:val="0"/>
      <w:marRight w:val="0"/>
      <w:marTop w:val="0"/>
      <w:marBottom w:val="0"/>
      <w:divBdr>
        <w:top w:val="none" w:sz="0" w:space="0" w:color="auto"/>
        <w:left w:val="none" w:sz="0" w:space="0" w:color="auto"/>
        <w:bottom w:val="none" w:sz="0" w:space="0" w:color="auto"/>
        <w:right w:val="none" w:sz="0" w:space="0" w:color="auto"/>
      </w:divBdr>
    </w:div>
    <w:div w:id="1335570348">
      <w:bodyDiv w:val="1"/>
      <w:marLeft w:val="0"/>
      <w:marRight w:val="0"/>
      <w:marTop w:val="0"/>
      <w:marBottom w:val="0"/>
      <w:divBdr>
        <w:top w:val="none" w:sz="0" w:space="0" w:color="auto"/>
        <w:left w:val="none" w:sz="0" w:space="0" w:color="auto"/>
        <w:bottom w:val="none" w:sz="0" w:space="0" w:color="auto"/>
        <w:right w:val="none" w:sz="0" w:space="0" w:color="auto"/>
      </w:divBdr>
    </w:div>
    <w:div w:id="1341390900">
      <w:bodyDiv w:val="1"/>
      <w:marLeft w:val="0"/>
      <w:marRight w:val="0"/>
      <w:marTop w:val="0"/>
      <w:marBottom w:val="0"/>
      <w:divBdr>
        <w:top w:val="none" w:sz="0" w:space="0" w:color="auto"/>
        <w:left w:val="none" w:sz="0" w:space="0" w:color="auto"/>
        <w:bottom w:val="none" w:sz="0" w:space="0" w:color="auto"/>
        <w:right w:val="none" w:sz="0" w:space="0" w:color="auto"/>
      </w:divBdr>
    </w:div>
    <w:div w:id="1346130445">
      <w:bodyDiv w:val="1"/>
      <w:marLeft w:val="0"/>
      <w:marRight w:val="0"/>
      <w:marTop w:val="0"/>
      <w:marBottom w:val="0"/>
      <w:divBdr>
        <w:top w:val="none" w:sz="0" w:space="0" w:color="auto"/>
        <w:left w:val="none" w:sz="0" w:space="0" w:color="auto"/>
        <w:bottom w:val="none" w:sz="0" w:space="0" w:color="auto"/>
        <w:right w:val="none" w:sz="0" w:space="0" w:color="auto"/>
      </w:divBdr>
    </w:div>
    <w:div w:id="1347051800">
      <w:bodyDiv w:val="1"/>
      <w:marLeft w:val="0"/>
      <w:marRight w:val="0"/>
      <w:marTop w:val="0"/>
      <w:marBottom w:val="0"/>
      <w:divBdr>
        <w:top w:val="none" w:sz="0" w:space="0" w:color="auto"/>
        <w:left w:val="none" w:sz="0" w:space="0" w:color="auto"/>
        <w:bottom w:val="none" w:sz="0" w:space="0" w:color="auto"/>
        <w:right w:val="none" w:sz="0" w:space="0" w:color="auto"/>
      </w:divBdr>
    </w:div>
    <w:div w:id="1594433958">
      <w:bodyDiv w:val="1"/>
      <w:marLeft w:val="0"/>
      <w:marRight w:val="0"/>
      <w:marTop w:val="0"/>
      <w:marBottom w:val="0"/>
      <w:divBdr>
        <w:top w:val="none" w:sz="0" w:space="0" w:color="auto"/>
        <w:left w:val="none" w:sz="0" w:space="0" w:color="auto"/>
        <w:bottom w:val="none" w:sz="0" w:space="0" w:color="auto"/>
        <w:right w:val="none" w:sz="0" w:space="0" w:color="auto"/>
      </w:divBdr>
    </w:div>
    <w:div w:id="1618902392">
      <w:bodyDiv w:val="1"/>
      <w:marLeft w:val="0"/>
      <w:marRight w:val="0"/>
      <w:marTop w:val="0"/>
      <w:marBottom w:val="0"/>
      <w:divBdr>
        <w:top w:val="none" w:sz="0" w:space="0" w:color="auto"/>
        <w:left w:val="none" w:sz="0" w:space="0" w:color="auto"/>
        <w:bottom w:val="none" w:sz="0" w:space="0" w:color="auto"/>
        <w:right w:val="none" w:sz="0" w:space="0" w:color="auto"/>
      </w:divBdr>
    </w:div>
    <w:div w:id="1694184533">
      <w:bodyDiv w:val="1"/>
      <w:marLeft w:val="0"/>
      <w:marRight w:val="0"/>
      <w:marTop w:val="0"/>
      <w:marBottom w:val="0"/>
      <w:divBdr>
        <w:top w:val="none" w:sz="0" w:space="0" w:color="auto"/>
        <w:left w:val="none" w:sz="0" w:space="0" w:color="auto"/>
        <w:bottom w:val="none" w:sz="0" w:space="0" w:color="auto"/>
        <w:right w:val="none" w:sz="0" w:space="0" w:color="auto"/>
      </w:divBdr>
    </w:div>
    <w:div w:id="1737976258">
      <w:bodyDiv w:val="1"/>
      <w:marLeft w:val="0"/>
      <w:marRight w:val="0"/>
      <w:marTop w:val="0"/>
      <w:marBottom w:val="0"/>
      <w:divBdr>
        <w:top w:val="none" w:sz="0" w:space="0" w:color="auto"/>
        <w:left w:val="none" w:sz="0" w:space="0" w:color="auto"/>
        <w:bottom w:val="none" w:sz="0" w:space="0" w:color="auto"/>
        <w:right w:val="none" w:sz="0" w:space="0" w:color="auto"/>
      </w:divBdr>
    </w:div>
    <w:div w:id="1838879740">
      <w:bodyDiv w:val="1"/>
      <w:marLeft w:val="0"/>
      <w:marRight w:val="0"/>
      <w:marTop w:val="0"/>
      <w:marBottom w:val="0"/>
      <w:divBdr>
        <w:top w:val="none" w:sz="0" w:space="0" w:color="auto"/>
        <w:left w:val="none" w:sz="0" w:space="0" w:color="auto"/>
        <w:bottom w:val="none" w:sz="0" w:space="0" w:color="auto"/>
        <w:right w:val="none" w:sz="0" w:space="0" w:color="auto"/>
      </w:divBdr>
    </w:div>
    <w:div w:id="1895971015">
      <w:bodyDiv w:val="1"/>
      <w:marLeft w:val="0"/>
      <w:marRight w:val="0"/>
      <w:marTop w:val="0"/>
      <w:marBottom w:val="0"/>
      <w:divBdr>
        <w:top w:val="none" w:sz="0" w:space="0" w:color="auto"/>
        <w:left w:val="none" w:sz="0" w:space="0" w:color="auto"/>
        <w:bottom w:val="none" w:sz="0" w:space="0" w:color="auto"/>
        <w:right w:val="none" w:sz="0" w:space="0" w:color="auto"/>
      </w:divBdr>
    </w:div>
    <w:div w:id="1922636711">
      <w:bodyDiv w:val="1"/>
      <w:marLeft w:val="0"/>
      <w:marRight w:val="0"/>
      <w:marTop w:val="0"/>
      <w:marBottom w:val="0"/>
      <w:divBdr>
        <w:top w:val="none" w:sz="0" w:space="0" w:color="auto"/>
        <w:left w:val="none" w:sz="0" w:space="0" w:color="auto"/>
        <w:bottom w:val="none" w:sz="0" w:space="0" w:color="auto"/>
        <w:right w:val="none" w:sz="0" w:space="0" w:color="auto"/>
      </w:divBdr>
    </w:div>
    <w:div w:id="1942640968">
      <w:bodyDiv w:val="1"/>
      <w:marLeft w:val="0"/>
      <w:marRight w:val="0"/>
      <w:marTop w:val="0"/>
      <w:marBottom w:val="0"/>
      <w:divBdr>
        <w:top w:val="none" w:sz="0" w:space="0" w:color="auto"/>
        <w:left w:val="none" w:sz="0" w:space="0" w:color="auto"/>
        <w:bottom w:val="none" w:sz="0" w:space="0" w:color="auto"/>
        <w:right w:val="none" w:sz="0" w:space="0" w:color="auto"/>
      </w:divBdr>
    </w:div>
    <w:div w:id="1950430991">
      <w:bodyDiv w:val="1"/>
      <w:marLeft w:val="0"/>
      <w:marRight w:val="0"/>
      <w:marTop w:val="0"/>
      <w:marBottom w:val="0"/>
      <w:divBdr>
        <w:top w:val="none" w:sz="0" w:space="0" w:color="auto"/>
        <w:left w:val="none" w:sz="0" w:space="0" w:color="auto"/>
        <w:bottom w:val="none" w:sz="0" w:space="0" w:color="auto"/>
        <w:right w:val="none" w:sz="0" w:space="0" w:color="auto"/>
      </w:divBdr>
    </w:div>
    <w:div w:id="1951163441">
      <w:bodyDiv w:val="1"/>
      <w:marLeft w:val="0"/>
      <w:marRight w:val="0"/>
      <w:marTop w:val="0"/>
      <w:marBottom w:val="0"/>
      <w:divBdr>
        <w:top w:val="none" w:sz="0" w:space="0" w:color="auto"/>
        <w:left w:val="none" w:sz="0" w:space="0" w:color="auto"/>
        <w:bottom w:val="none" w:sz="0" w:space="0" w:color="auto"/>
        <w:right w:val="none" w:sz="0" w:space="0" w:color="auto"/>
      </w:divBdr>
    </w:div>
    <w:div w:id="1969243803">
      <w:bodyDiv w:val="1"/>
      <w:marLeft w:val="0"/>
      <w:marRight w:val="0"/>
      <w:marTop w:val="0"/>
      <w:marBottom w:val="0"/>
      <w:divBdr>
        <w:top w:val="none" w:sz="0" w:space="0" w:color="auto"/>
        <w:left w:val="none" w:sz="0" w:space="0" w:color="auto"/>
        <w:bottom w:val="none" w:sz="0" w:space="0" w:color="auto"/>
        <w:right w:val="none" w:sz="0" w:space="0" w:color="auto"/>
      </w:divBdr>
    </w:div>
    <w:div w:id="2052921275">
      <w:bodyDiv w:val="1"/>
      <w:marLeft w:val="0"/>
      <w:marRight w:val="0"/>
      <w:marTop w:val="0"/>
      <w:marBottom w:val="0"/>
      <w:divBdr>
        <w:top w:val="none" w:sz="0" w:space="0" w:color="auto"/>
        <w:left w:val="none" w:sz="0" w:space="0" w:color="auto"/>
        <w:bottom w:val="none" w:sz="0" w:space="0" w:color="auto"/>
        <w:right w:val="none" w:sz="0" w:space="0" w:color="auto"/>
      </w:divBdr>
    </w:div>
    <w:div w:id="21126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bi.ac.uk/chembl/drug/indicatio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kbiobank.ac.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ukbiobank.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t47@leicester.ac.uk" TargetMode="External"/><Relationship Id="rId5" Type="http://schemas.openxmlformats.org/officeDocument/2006/relationships/settings" Target="settings.xml"/><Relationship Id="rId15" Type="http://schemas.openxmlformats.org/officeDocument/2006/relationships/hyperlink" Target="https://grasp.nhlbi.nih.gov/Overview.aspx" TargetMode="External"/><Relationship Id="rId10" Type="http://schemas.openxmlformats.org/officeDocument/2006/relationships/hyperlink" Target="mailto:lvw1@leicester.ac.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ebi.ac.uk/gw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495EE-BAE2-4D88-A688-3E6917979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12439</Words>
  <Characters>78369</Characters>
  <Application>Microsoft Office Word</Application>
  <DocSecurity>4</DocSecurity>
  <Lines>653</Lines>
  <Paragraphs>181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Leicester</Company>
  <LinksUpToDate>false</LinksUpToDate>
  <CharactersWithSpaces>90627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Guyatt, Anna L.</dc:creator>
  <cp:lastModifiedBy>katrin.rauner</cp:lastModifiedBy>
  <cp:revision>2</cp:revision>
  <dcterms:created xsi:type="dcterms:W3CDTF">2019-05-09T09:03:00Z</dcterms:created>
  <dcterms:modified xsi:type="dcterms:W3CDTF">2019-05-09T09:03:00Z</dcterms:modified>
</cp:coreProperties>
</file>