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5CB41" w14:textId="2C8511FD" w:rsidR="00754EB9" w:rsidRPr="00683D62" w:rsidRDefault="00754EB9" w:rsidP="00754EB9">
      <w:pPr>
        <w:spacing w:after="0" w:line="480" w:lineRule="auto"/>
        <w:jc w:val="both"/>
        <w:rPr>
          <w:rFonts w:ascii="Times New Roman" w:hAnsi="Times New Roman"/>
          <w:sz w:val="24"/>
          <w:szCs w:val="24"/>
          <w:lang w:val="en-US"/>
        </w:rPr>
      </w:pPr>
      <w:bookmarkStart w:id="0" w:name="_GoBack"/>
      <w:bookmarkEnd w:id="0"/>
      <w:r w:rsidRPr="00683D62">
        <w:rPr>
          <w:rFonts w:ascii="Times New Roman" w:hAnsi="Times New Roman"/>
          <w:sz w:val="24"/>
          <w:szCs w:val="24"/>
          <w:lang w:val="en-US"/>
        </w:rPr>
        <w:t>Age, HLA and sex define a marked risk of organ-specific autoimmunity in first degree relative of patients with type 1 diabetes</w:t>
      </w:r>
    </w:p>
    <w:p w14:paraId="177C4685" w14:textId="77777777" w:rsidR="00F43125" w:rsidRPr="00683D62" w:rsidRDefault="00F43125" w:rsidP="00EC61DD">
      <w:pPr>
        <w:spacing w:after="0" w:line="480" w:lineRule="auto"/>
        <w:jc w:val="both"/>
        <w:rPr>
          <w:rFonts w:ascii="Times New Roman" w:hAnsi="Times New Roman"/>
          <w:sz w:val="24"/>
          <w:szCs w:val="24"/>
          <w:lang w:val="en-US"/>
        </w:rPr>
      </w:pPr>
    </w:p>
    <w:p w14:paraId="2A24C288" w14:textId="3354BB0C" w:rsidR="00FF2781" w:rsidRPr="00683D62" w:rsidRDefault="00FF2781" w:rsidP="00FF2781">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Christiane Winkler PhD*</w:t>
      </w:r>
      <w:r w:rsidRPr="00683D62">
        <w:rPr>
          <w:rFonts w:ascii="Times New Roman" w:hAnsi="Times New Roman"/>
          <w:sz w:val="24"/>
          <w:szCs w:val="24"/>
          <w:vertAlign w:val="superscript"/>
          <w:lang w:val="en-US"/>
        </w:rPr>
        <w:t>1,2</w:t>
      </w:r>
      <w:r w:rsidRPr="00683D62">
        <w:rPr>
          <w:rFonts w:ascii="Times New Roman" w:hAnsi="Times New Roman"/>
          <w:sz w:val="24"/>
          <w:szCs w:val="24"/>
          <w:lang w:val="en-US"/>
        </w:rPr>
        <w:t>, Manja Jolink*</w:t>
      </w:r>
      <w:r w:rsidRPr="00683D62">
        <w:rPr>
          <w:rFonts w:ascii="Times New Roman" w:hAnsi="Times New Roman"/>
          <w:sz w:val="24"/>
          <w:szCs w:val="24"/>
          <w:vertAlign w:val="superscript"/>
          <w:lang w:val="en-US"/>
        </w:rPr>
        <w:t>1</w:t>
      </w:r>
      <w:r w:rsidRPr="00683D62">
        <w:rPr>
          <w:rFonts w:ascii="Times New Roman" w:hAnsi="Times New Roman"/>
          <w:sz w:val="24"/>
          <w:szCs w:val="24"/>
          <w:lang w:val="en-US"/>
        </w:rPr>
        <w:t>, Annette Knopff</w:t>
      </w:r>
      <w:r w:rsidRPr="00683D62">
        <w:rPr>
          <w:rFonts w:ascii="Times New Roman" w:hAnsi="Times New Roman"/>
          <w:sz w:val="24"/>
          <w:szCs w:val="24"/>
          <w:vertAlign w:val="superscript"/>
          <w:lang w:val="en-US"/>
        </w:rPr>
        <w:t>1</w:t>
      </w:r>
      <w:r w:rsidRPr="00683D62">
        <w:rPr>
          <w:rFonts w:ascii="Times New Roman" w:hAnsi="Times New Roman"/>
          <w:sz w:val="24"/>
          <w:szCs w:val="24"/>
          <w:lang w:val="en-US"/>
        </w:rPr>
        <w:t>, Nana-Adjoa Kwarteng</w:t>
      </w:r>
      <w:r w:rsidRPr="00683D62">
        <w:rPr>
          <w:rFonts w:ascii="Times New Roman" w:hAnsi="Times New Roman"/>
          <w:sz w:val="24"/>
          <w:szCs w:val="24"/>
          <w:vertAlign w:val="superscript"/>
          <w:lang w:val="en-US"/>
        </w:rPr>
        <w:t>1</w:t>
      </w:r>
      <w:r w:rsidRPr="00683D62">
        <w:rPr>
          <w:rFonts w:ascii="Times New Roman" w:hAnsi="Times New Roman"/>
          <w:sz w:val="24"/>
          <w:szCs w:val="24"/>
          <w:lang w:val="en-US"/>
        </w:rPr>
        <w:t>, Peter Achenbach MD</w:t>
      </w:r>
      <w:r w:rsidRPr="00683D62">
        <w:rPr>
          <w:rFonts w:ascii="Times New Roman" w:hAnsi="Times New Roman"/>
          <w:sz w:val="24"/>
          <w:szCs w:val="24"/>
          <w:vertAlign w:val="superscript"/>
          <w:lang w:val="en-US"/>
        </w:rPr>
        <w:t>1,2</w:t>
      </w:r>
      <w:r w:rsidR="00832860" w:rsidRPr="00683D62">
        <w:rPr>
          <w:rFonts w:ascii="Times New Roman" w:hAnsi="Times New Roman"/>
          <w:sz w:val="24"/>
          <w:szCs w:val="24"/>
          <w:vertAlign w:val="superscript"/>
          <w:lang w:val="en-US"/>
        </w:rPr>
        <w:t>,3</w:t>
      </w:r>
      <w:r w:rsidRPr="00683D62">
        <w:rPr>
          <w:rFonts w:ascii="Times New Roman" w:hAnsi="Times New Roman"/>
          <w:sz w:val="24"/>
          <w:szCs w:val="24"/>
          <w:lang w:val="en-US"/>
        </w:rPr>
        <w:t>, Ezio Bonifacio PhD</w:t>
      </w:r>
      <w:r w:rsidRPr="00683D62">
        <w:rPr>
          <w:rFonts w:ascii="Times New Roman" w:hAnsi="Times New Roman"/>
          <w:sz w:val="24"/>
          <w:szCs w:val="24"/>
          <w:vertAlign w:val="superscript"/>
          <w:lang w:val="en-US"/>
        </w:rPr>
        <w:t>4</w:t>
      </w:r>
      <w:r w:rsidR="00832860" w:rsidRPr="00683D62">
        <w:rPr>
          <w:rFonts w:ascii="Times New Roman" w:hAnsi="Times New Roman"/>
          <w:sz w:val="24"/>
          <w:szCs w:val="24"/>
          <w:vertAlign w:val="superscript"/>
          <w:lang w:val="en-US"/>
        </w:rPr>
        <w:t>,5</w:t>
      </w:r>
      <w:r w:rsidRPr="00683D62">
        <w:rPr>
          <w:rFonts w:ascii="Times New Roman" w:hAnsi="Times New Roman"/>
          <w:sz w:val="24"/>
          <w:szCs w:val="24"/>
          <w:lang w:val="en-US"/>
        </w:rPr>
        <w:t>, Anette-G. Ziegler MD</w:t>
      </w:r>
      <w:r w:rsidRPr="00683D62">
        <w:rPr>
          <w:rFonts w:ascii="Times New Roman" w:hAnsi="Times New Roman"/>
          <w:sz w:val="24"/>
          <w:szCs w:val="24"/>
          <w:vertAlign w:val="superscript"/>
          <w:lang w:val="en-US"/>
        </w:rPr>
        <w:t>1,2,</w:t>
      </w:r>
      <w:r w:rsidR="00832860" w:rsidRPr="00683D62">
        <w:rPr>
          <w:rFonts w:ascii="Times New Roman" w:hAnsi="Times New Roman"/>
          <w:sz w:val="24"/>
          <w:szCs w:val="24"/>
          <w:vertAlign w:val="superscript"/>
          <w:lang w:val="en-US"/>
        </w:rPr>
        <w:t>3</w:t>
      </w:r>
    </w:p>
    <w:p w14:paraId="5F479B05" w14:textId="2D725250" w:rsidR="00FF2781" w:rsidRPr="00683D62" w:rsidRDefault="00FF2781" w:rsidP="00FF2781">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*Shared first authorship</w:t>
      </w:r>
    </w:p>
    <w:p w14:paraId="5912F0D2" w14:textId="77777777" w:rsidR="00FF2781" w:rsidRPr="00683D62" w:rsidRDefault="00FF2781" w:rsidP="00FF2781">
      <w:pPr>
        <w:spacing w:line="480" w:lineRule="auto"/>
        <w:jc w:val="both"/>
        <w:rPr>
          <w:rFonts w:ascii="Times New Roman" w:hAnsi="Times New Roman"/>
          <w:sz w:val="24"/>
          <w:szCs w:val="24"/>
          <w:lang w:val="en-GB"/>
        </w:rPr>
      </w:pPr>
    </w:p>
    <w:p w14:paraId="46AD989B" w14:textId="77777777" w:rsidR="00FF2781" w:rsidRPr="00683D62" w:rsidRDefault="00FF2781" w:rsidP="00FF2781">
      <w:pPr>
        <w:spacing w:after="0" w:line="480" w:lineRule="auto"/>
        <w:jc w:val="both"/>
        <w:rPr>
          <w:rFonts w:ascii="Times New Roman" w:hAnsi="Times New Roman"/>
          <w:sz w:val="24"/>
          <w:szCs w:val="24"/>
          <w:lang w:val="en-GB"/>
        </w:rPr>
      </w:pPr>
      <w:r w:rsidRPr="00683D62">
        <w:rPr>
          <w:rFonts w:ascii="Times New Roman" w:hAnsi="Times New Roman"/>
          <w:sz w:val="24"/>
          <w:szCs w:val="24"/>
          <w:lang w:val="en-GB"/>
        </w:rPr>
        <w:t>1 Institute of Diabetes Research, Helmholtz Zentrum München, German Research Center for Environmental Health, Munich-Neuherberg, Germany</w:t>
      </w:r>
    </w:p>
    <w:p w14:paraId="0CC456DE" w14:textId="77777777" w:rsidR="00FF2781" w:rsidRPr="00660951" w:rsidRDefault="00FF2781" w:rsidP="00FF2781">
      <w:pPr>
        <w:spacing w:after="0" w:line="480" w:lineRule="auto"/>
        <w:jc w:val="both"/>
        <w:rPr>
          <w:rFonts w:ascii="Times New Roman" w:hAnsi="Times New Roman"/>
          <w:sz w:val="24"/>
          <w:szCs w:val="24"/>
        </w:rPr>
      </w:pPr>
      <w:r w:rsidRPr="00660951">
        <w:rPr>
          <w:rFonts w:ascii="Times New Roman" w:hAnsi="Times New Roman"/>
          <w:sz w:val="24"/>
          <w:szCs w:val="24"/>
        </w:rPr>
        <w:t>2 Forschergruppe Diabetes e.V. at Helmholtz Zentrum München, German Research Center for Environmental Health, Munich-Neuherberg, Germany</w:t>
      </w:r>
    </w:p>
    <w:p w14:paraId="1905B77F" w14:textId="7133073E" w:rsidR="00832860" w:rsidRPr="00683D62" w:rsidRDefault="00832860" w:rsidP="00832860">
      <w:pPr>
        <w:spacing w:after="0" w:line="480" w:lineRule="auto"/>
        <w:jc w:val="both"/>
        <w:rPr>
          <w:rFonts w:ascii="Times New Roman" w:hAnsi="Times New Roman"/>
          <w:sz w:val="24"/>
          <w:szCs w:val="24"/>
        </w:rPr>
      </w:pPr>
      <w:r w:rsidRPr="00683D62">
        <w:rPr>
          <w:rFonts w:ascii="Times New Roman" w:hAnsi="Times New Roman"/>
          <w:sz w:val="24"/>
          <w:szCs w:val="24"/>
        </w:rPr>
        <w:t>3 Forschergruppe Diabetes, Technical University Munich, at Klinikum rechts der Isar, Munich, Germany</w:t>
      </w:r>
    </w:p>
    <w:p w14:paraId="63452CFB" w14:textId="5E5D3CA0" w:rsidR="00FF2781" w:rsidRPr="00683D62" w:rsidRDefault="00832860" w:rsidP="00FF2781">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4</w:t>
      </w:r>
      <w:r w:rsidR="00FF2781" w:rsidRPr="00683D62">
        <w:rPr>
          <w:rFonts w:ascii="Times New Roman" w:hAnsi="Times New Roman"/>
          <w:sz w:val="24"/>
          <w:szCs w:val="24"/>
          <w:lang w:val="en-US"/>
        </w:rPr>
        <w:t xml:space="preserve"> DFG</w:t>
      </w:r>
      <w:r w:rsidR="00A410C7" w:rsidRPr="00683D62">
        <w:rPr>
          <w:rFonts w:ascii="Times New Roman" w:hAnsi="Times New Roman"/>
          <w:sz w:val="24"/>
          <w:szCs w:val="24"/>
          <w:lang w:val="en-US"/>
        </w:rPr>
        <w:t>-</w:t>
      </w:r>
      <w:r w:rsidR="00FF2781" w:rsidRPr="00683D62">
        <w:rPr>
          <w:rFonts w:ascii="Times New Roman" w:hAnsi="Times New Roman"/>
          <w:sz w:val="24"/>
          <w:szCs w:val="24"/>
          <w:lang w:val="en-US"/>
        </w:rPr>
        <w:t>Center for Regenerative Therapies Dresden, Faculty of Medicine, T</w:t>
      </w:r>
      <w:r w:rsidR="00E110FF" w:rsidRPr="00683D62">
        <w:rPr>
          <w:rFonts w:ascii="Times New Roman" w:hAnsi="Times New Roman"/>
          <w:sz w:val="24"/>
          <w:szCs w:val="24"/>
          <w:lang w:val="en-US"/>
        </w:rPr>
        <w:t>U</w:t>
      </w:r>
      <w:r w:rsidR="00FF2781" w:rsidRPr="00683D62">
        <w:rPr>
          <w:rFonts w:ascii="Times New Roman" w:hAnsi="Times New Roman"/>
          <w:sz w:val="24"/>
          <w:szCs w:val="24"/>
          <w:lang w:val="en-US"/>
        </w:rPr>
        <w:t xml:space="preserve"> Dresden, Dresden, Germany</w:t>
      </w:r>
    </w:p>
    <w:p w14:paraId="6FDB8B12" w14:textId="37BF74D3" w:rsidR="00FF2781" w:rsidRPr="00683D62" w:rsidRDefault="00832860" w:rsidP="00FF2781">
      <w:pPr>
        <w:spacing w:after="0" w:line="480" w:lineRule="auto"/>
        <w:jc w:val="both"/>
        <w:rPr>
          <w:rFonts w:ascii="Times New Roman" w:hAnsi="Times New Roman"/>
          <w:sz w:val="24"/>
          <w:lang w:val="en-US"/>
        </w:rPr>
      </w:pPr>
      <w:r w:rsidRPr="00683D62">
        <w:rPr>
          <w:rFonts w:ascii="Times New Roman" w:hAnsi="Times New Roman"/>
          <w:sz w:val="24"/>
          <w:szCs w:val="24"/>
          <w:lang w:val="en-US"/>
        </w:rPr>
        <w:t>5</w:t>
      </w:r>
      <w:r w:rsidR="00FF2781" w:rsidRPr="00683D62">
        <w:rPr>
          <w:rFonts w:ascii="Times New Roman" w:hAnsi="Times New Roman"/>
          <w:sz w:val="24"/>
          <w:szCs w:val="24"/>
          <w:lang w:val="en-US"/>
        </w:rPr>
        <w:t xml:space="preserve"> </w:t>
      </w:r>
      <w:r w:rsidR="00FF2781" w:rsidRPr="00683D62">
        <w:rPr>
          <w:rFonts w:ascii="Times New Roman" w:hAnsi="Times New Roman"/>
          <w:sz w:val="24"/>
          <w:lang w:val="en-US"/>
        </w:rPr>
        <w:t xml:space="preserve">Paul Langerhans Institute Dresden </w:t>
      </w:r>
      <w:r w:rsidR="00FF2781" w:rsidRPr="00683D62">
        <w:rPr>
          <w:rFonts w:ascii="Times New Roman" w:hAnsi="Times New Roman"/>
          <w:sz w:val="24"/>
          <w:shd w:val="clear" w:color="auto" w:fill="FFFFFF"/>
          <w:lang w:val="en-US"/>
        </w:rPr>
        <w:t>of the Helmholtz Center Munich at University Hospital Carl Gustav Carus and Faculty of Medicine, TU Dresden, Germany</w:t>
      </w:r>
    </w:p>
    <w:p w14:paraId="48912607" w14:textId="77777777" w:rsidR="000E0113" w:rsidRPr="00683D62" w:rsidRDefault="000E0113" w:rsidP="000E0113">
      <w:pPr>
        <w:spacing w:after="0" w:line="480" w:lineRule="auto"/>
        <w:jc w:val="both"/>
        <w:rPr>
          <w:rFonts w:ascii="Times New Roman" w:hAnsi="Times New Roman"/>
          <w:sz w:val="24"/>
          <w:szCs w:val="24"/>
          <w:lang w:val="en-US"/>
        </w:rPr>
      </w:pPr>
    </w:p>
    <w:p w14:paraId="27A22762" w14:textId="1889C2FB" w:rsidR="005D0BBE" w:rsidRPr="00683D62" w:rsidRDefault="005D0BBE" w:rsidP="000E0113">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Short title: Familial </w:t>
      </w:r>
      <w:r w:rsidR="00754EB9" w:rsidRPr="00683D62">
        <w:rPr>
          <w:rFonts w:ascii="Times New Roman" w:hAnsi="Times New Roman"/>
          <w:sz w:val="24"/>
          <w:szCs w:val="24"/>
          <w:lang w:val="en-US"/>
        </w:rPr>
        <w:t>risks</w:t>
      </w:r>
      <w:r w:rsidRPr="00683D62">
        <w:rPr>
          <w:rFonts w:ascii="Times New Roman" w:hAnsi="Times New Roman"/>
          <w:sz w:val="24"/>
          <w:szCs w:val="24"/>
          <w:lang w:val="en-US"/>
        </w:rPr>
        <w:t xml:space="preserve"> of autoantibodies</w:t>
      </w:r>
    </w:p>
    <w:p w14:paraId="73B51A1B" w14:textId="77777777" w:rsidR="00B42569" w:rsidRPr="00683D62" w:rsidRDefault="00B42569" w:rsidP="000E0113">
      <w:pPr>
        <w:spacing w:after="0" w:line="480" w:lineRule="auto"/>
        <w:jc w:val="both"/>
        <w:rPr>
          <w:rFonts w:ascii="Times New Roman" w:hAnsi="Times New Roman"/>
          <w:sz w:val="24"/>
          <w:szCs w:val="24"/>
          <w:lang w:val="en-US"/>
        </w:rPr>
      </w:pPr>
    </w:p>
    <w:p w14:paraId="036CABD8" w14:textId="7550DEEB" w:rsidR="00897CCF" w:rsidRPr="00683D62" w:rsidRDefault="00897CCF" w:rsidP="000E0113">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The authors dedicate this work to </w:t>
      </w:r>
      <w:r w:rsidR="00BA2F1F" w:rsidRPr="00683D62">
        <w:rPr>
          <w:rFonts w:ascii="Times New Roman" w:hAnsi="Times New Roman"/>
          <w:sz w:val="24"/>
          <w:szCs w:val="24"/>
          <w:lang w:val="en-US"/>
        </w:rPr>
        <w:t xml:space="preserve">the memory of </w:t>
      </w:r>
      <w:r w:rsidRPr="00683D62">
        <w:rPr>
          <w:rFonts w:ascii="Times New Roman" w:hAnsi="Times New Roman"/>
          <w:sz w:val="24"/>
          <w:szCs w:val="24"/>
          <w:lang w:val="en-US"/>
        </w:rPr>
        <w:t xml:space="preserve">Gian Franco Bottazzo who discovered islet cell autoantibodies in patients with polyendocrine </w:t>
      </w:r>
      <w:r w:rsidR="00BA2F1F" w:rsidRPr="00683D62">
        <w:rPr>
          <w:rFonts w:ascii="Times New Roman" w:hAnsi="Times New Roman"/>
          <w:sz w:val="24"/>
          <w:szCs w:val="24"/>
          <w:lang w:val="en-US"/>
        </w:rPr>
        <w:t>autoimmunity.</w:t>
      </w:r>
    </w:p>
    <w:p w14:paraId="7B093403" w14:textId="77777777" w:rsidR="00897CCF" w:rsidRPr="00683D62" w:rsidRDefault="00897CCF" w:rsidP="00F850AA">
      <w:pPr>
        <w:spacing w:after="0" w:line="480" w:lineRule="auto"/>
        <w:outlineLvl w:val="0"/>
        <w:rPr>
          <w:rFonts w:ascii="Times New Roman" w:hAnsi="Times New Roman"/>
          <w:sz w:val="24"/>
          <w:szCs w:val="24"/>
          <w:lang w:val="en-US"/>
        </w:rPr>
      </w:pPr>
    </w:p>
    <w:p w14:paraId="2B1D6049" w14:textId="77777777" w:rsidR="005C7D11" w:rsidRPr="00683D62" w:rsidRDefault="005C7D11" w:rsidP="00F850AA">
      <w:pPr>
        <w:spacing w:after="0" w:line="480" w:lineRule="auto"/>
        <w:outlineLvl w:val="0"/>
        <w:rPr>
          <w:rFonts w:ascii="Times New Roman" w:hAnsi="Times New Roman"/>
          <w:sz w:val="24"/>
          <w:szCs w:val="24"/>
          <w:lang w:val="en-US"/>
        </w:rPr>
      </w:pPr>
      <w:r w:rsidRPr="00683D62">
        <w:rPr>
          <w:rFonts w:ascii="Times New Roman" w:hAnsi="Times New Roman"/>
          <w:sz w:val="24"/>
          <w:szCs w:val="24"/>
          <w:lang w:val="en-US"/>
        </w:rPr>
        <w:t>Address for correspondence:</w:t>
      </w:r>
    </w:p>
    <w:p w14:paraId="6123AB11" w14:textId="77777777" w:rsidR="00FF2781" w:rsidRPr="00683D62" w:rsidRDefault="00FF2781" w:rsidP="00FF2781">
      <w:pPr>
        <w:spacing w:after="0" w:line="480" w:lineRule="auto"/>
        <w:outlineLvl w:val="0"/>
        <w:rPr>
          <w:rFonts w:ascii="Times New Roman" w:hAnsi="Times New Roman"/>
          <w:sz w:val="24"/>
          <w:szCs w:val="24"/>
        </w:rPr>
      </w:pPr>
      <w:r w:rsidRPr="00683D62">
        <w:rPr>
          <w:rFonts w:ascii="Times New Roman" w:hAnsi="Times New Roman"/>
          <w:sz w:val="24"/>
          <w:szCs w:val="24"/>
          <w:lang w:val="en-US"/>
        </w:rPr>
        <w:lastRenderedPageBreak/>
        <w:t xml:space="preserve">Anette-G. </w:t>
      </w:r>
      <w:r w:rsidRPr="00683D62">
        <w:rPr>
          <w:rFonts w:ascii="Times New Roman" w:hAnsi="Times New Roman"/>
          <w:sz w:val="24"/>
          <w:szCs w:val="24"/>
        </w:rPr>
        <w:t xml:space="preserve">Ziegler, MD </w:t>
      </w:r>
    </w:p>
    <w:p w14:paraId="3066888A" w14:textId="77777777" w:rsidR="00FF2781" w:rsidRPr="00683D62" w:rsidRDefault="00FF2781" w:rsidP="00FF2781">
      <w:pPr>
        <w:spacing w:after="0" w:line="480" w:lineRule="auto"/>
        <w:rPr>
          <w:rFonts w:ascii="Times New Roman" w:hAnsi="Times New Roman"/>
          <w:sz w:val="24"/>
          <w:szCs w:val="24"/>
        </w:rPr>
      </w:pPr>
      <w:r w:rsidRPr="00683D62">
        <w:rPr>
          <w:rFonts w:ascii="Times New Roman" w:hAnsi="Times New Roman"/>
          <w:sz w:val="24"/>
          <w:szCs w:val="24"/>
        </w:rPr>
        <w:t>Institute of Diabetes Research, Helmholtz Zentrum München,</w:t>
      </w:r>
    </w:p>
    <w:p w14:paraId="6890D60B" w14:textId="77777777" w:rsidR="00FF2781" w:rsidRPr="00683D62" w:rsidRDefault="00FF2781" w:rsidP="00FF2781">
      <w:pPr>
        <w:spacing w:after="0" w:line="480" w:lineRule="auto"/>
        <w:rPr>
          <w:rFonts w:ascii="Times New Roman" w:hAnsi="Times New Roman"/>
          <w:sz w:val="24"/>
          <w:szCs w:val="24"/>
        </w:rPr>
      </w:pPr>
      <w:r w:rsidRPr="00683D62">
        <w:rPr>
          <w:rFonts w:ascii="Times New Roman" w:hAnsi="Times New Roman"/>
          <w:sz w:val="24"/>
          <w:szCs w:val="24"/>
        </w:rPr>
        <w:t>Ingolstaedter Landstr. 1, 85764 Neuherberg, Germany</w:t>
      </w:r>
    </w:p>
    <w:p w14:paraId="177061E1" w14:textId="77777777" w:rsidR="00FF2781" w:rsidRPr="00683D62" w:rsidRDefault="00FF2781" w:rsidP="00FF2781">
      <w:pPr>
        <w:pStyle w:val="Textkrper"/>
        <w:spacing w:after="0" w:line="480" w:lineRule="auto"/>
        <w:outlineLvl w:val="0"/>
        <w:rPr>
          <w:sz w:val="24"/>
          <w:szCs w:val="24"/>
        </w:rPr>
      </w:pPr>
      <w:r w:rsidRPr="00683D62">
        <w:rPr>
          <w:sz w:val="24"/>
          <w:szCs w:val="24"/>
        </w:rPr>
        <w:t xml:space="preserve">E-mail: </w:t>
      </w:r>
      <w:hyperlink r:id="rId8" w:history="1">
        <w:r w:rsidRPr="00683D62">
          <w:rPr>
            <w:rStyle w:val="Hyperlink"/>
            <w:color w:val="auto"/>
            <w:sz w:val="24"/>
            <w:szCs w:val="24"/>
          </w:rPr>
          <w:t>anette-g.ziegler@helmholtz-muenchen.de</w:t>
        </w:r>
      </w:hyperlink>
    </w:p>
    <w:p w14:paraId="4D67AE35" w14:textId="77777777" w:rsidR="00FF2781" w:rsidRPr="00683D62" w:rsidRDefault="00FF2781" w:rsidP="00FF2781">
      <w:pPr>
        <w:pStyle w:val="Textkrper"/>
        <w:spacing w:after="0" w:line="480" w:lineRule="auto"/>
        <w:outlineLvl w:val="0"/>
        <w:rPr>
          <w:sz w:val="24"/>
          <w:szCs w:val="24"/>
          <w:lang w:val="en-GB"/>
        </w:rPr>
      </w:pPr>
      <w:r w:rsidRPr="00683D62">
        <w:rPr>
          <w:sz w:val="24"/>
          <w:szCs w:val="24"/>
          <w:lang w:val="en-GB"/>
        </w:rPr>
        <w:t>Phone: 0049 89 3137 2896, Fax: 0049 89 3187 3144</w:t>
      </w:r>
    </w:p>
    <w:p w14:paraId="19E96506" w14:textId="77777777" w:rsidR="00B6151A" w:rsidRPr="00683D62" w:rsidRDefault="00B6151A" w:rsidP="00D03B73">
      <w:pPr>
        <w:spacing w:line="480" w:lineRule="auto"/>
        <w:jc w:val="both"/>
        <w:rPr>
          <w:rFonts w:ascii="Times New Roman" w:hAnsi="Times New Roman"/>
          <w:sz w:val="24"/>
          <w:szCs w:val="24"/>
          <w:lang w:val="en-US"/>
        </w:rPr>
      </w:pPr>
    </w:p>
    <w:p w14:paraId="0ACF8A4B" w14:textId="37009F8C" w:rsidR="007129BE" w:rsidRPr="00683D62" w:rsidRDefault="004B22F0" w:rsidP="00D03B73">
      <w:pPr>
        <w:spacing w:line="480" w:lineRule="auto"/>
        <w:jc w:val="both"/>
        <w:rPr>
          <w:rFonts w:ascii="Times New Roman" w:hAnsi="Times New Roman"/>
          <w:sz w:val="24"/>
          <w:szCs w:val="24"/>
          <w:lang w:val="en-US"/>
        </w:rPr>
      </w:pPr>
      <w:r w:rsidRPr="00683D62">
        <w:rPr>
          <w:rFonts w:ascii="Times New Roman" w:hAnsi="Times New Roman"/>
          <w:sz w:val="24"/>
          <w:szCs w:val="24"/>
          <w:lang w:val="en-US"/>
        </w:rPr>
        <w:t>Word count:</w:t>
      </w:r>
      <w:r w:rsidR="001361CA" w:rsidRPr="00683D62">
        <w:rPr>
          <w:rFonts w:ascii="Times New Roman" w:hAnsi="Times New Roman"/>
          <w:sz w:val="24"/>
          <w:szCs w:val="24"/>
          <w:lang w:val="en-US"/>
        </w:rPr>
        <w:t xml:space="preserve"> 3</w:t>
      </w:r>
      <w:r w:rsidR="009E60E5">
        <w:rPr>
          <w:rFonts w:ascii="Times New Roman" w:hAnsi="Times New Roman"/>
          <w:sz w:val="24"/>
          <w:szCs w:val="24"/>
          <w:lang w:val="en-US"/>
        </w:rPr>
        <w:t>874</w:t>
      </w:r>
    </w:p>
    <w:p w14:paraId="69CC1D75" w14:textId="569303D8" w:rsidR="00B42569" w:rsidRPr="00683D62" w:rsidRDefault="00B42569" w:rsidP="00D03B73">
      <w:pPr>
        <w:spacing w:line="480" w:lineRule="auto"/>
        <w:jc w:val="both"/>
        <w:rPr>
          <w:rFonts w:ascii="Times New Roman" w:hAnsi="Times New Roman"/>
          <w:sz w:val="24"/>
          <w:szCs w:val="24"/>
          <w:lang w:val="en-US"/>
        </w:rPr>
      </w:pPr>
      <w:r w:rsidRPr="00683D62">
        <w:rPr>
          <w:rFonts w:ascii="Times New Roman" w:hAnsi="Times New Roman"/>
          <w:sz w:val="24"/>
          <w:szCs w:val="24"/>
          <w:lang w:val="en-US"/>
        </w:rPr>
        <w:t>Tables/Figures: 4</w:t>
      </w:r>
    </w:p>
    <w:p w14:paraId="56F90469" w14:textId="1839802E" w:rsidR="00A22E5C" w:rsidRPr="00683D62" w:rsidRDefault="007129BE" w:rsidP="00D03B73">
      <w:pPr>
        <w:spacing w:line="480" w:lineRule="auto"/>
        <w:jc w:val="both"/>
        <w:rPr>
          <w:rFonts w:ascii="Times New Roman" w:hAnsi="Times New Roman"/>
          <w:sz w:val="24"/>
          <w:szCs w:val="24"/>
          <w:lang w:val="en-US"/>
        </w:rPr>
      </w:pPr>
      <w:r w:rsidRPr="00683D62">
        <w:rPr>
          <w:rFonts w:ascii="Times New Roman" w:hAnsi="Times New Roman"/>
          <w:sz w:val="24"/>
          <w:szCs w:val="24"/>
          <w:lang w:val="en-US"/>
        </w:rPr>
        <w:br w:type="page"/>
      </w:r>
      <w:r w:rsidR="004B22F0" w:rsidRPr="00683D62">
        <w:rPr>
          <w:rFonts w:ascii="Times New Roman" w:hAnsi="Times New Roman"/>
          <w:sz w:val="24"/>
          <w:szCs w:val="24"/>
          <w:lang w:val="en-US"/>
        </w:rPr>
        <w:lastRenderedPageBreak/>
        <w:t>Abstract</w:t>
      </w:r>
    </w:p>
    <w:p w14:paraId="50B4D403" w14:textId="174D85BF" w:rsidR="007B1EE3" w:rsidRPr="00683D62" w:rsidRDefault="00F43125" w:rsidP="00F43125">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OBJECTIVE </w:t>
      </w:r>
      <w:r w:rsidR="00D50AEF" w:rsidRPr="00683D62">
        <w:rPr>
          <w:rFonts w:ascii="Times New Roman" w:hAnsi="Times New Roman"/>
          <w:sz w:val="24"/>
          <w:szCs w:val="24"/>
          <w:lang w:val="en-US"/>
        </w:rPr>
        <w:t>A</w:t>
      </w:r>
      <w:r w:rsidR="007B1EE3" w:rsidRPr="00683D62">
        <w:rPr>
          <w:rFonts w:ascii="Times New Roman" w:hAnsi="Times New Roman"/>
          <w:sz w:val="24"/>
          <w:szCs w:val="24"/>
          <w:lang w:val="en-US"/>
        </w:rPr>
        <w:t>utoimmune disease</w:t>
      </w:r>
      <w:r w:rsidR="00D50AEF" w:rsidRPr="00683D62">
        <w:rPr>
          <w:rFonts w:ascii="Times New Roman" w:hAnsi="Times New Roman"/>
          <w:sz w:val="24"/>
          <w:szCs w:val="24"/>
          <w:lang w:val="en-US"/>
        </w:rPr>
        <w:t>s can be diagnosed early</w:t>
      </w:r>
      <w:r w:rsidR="005E75BC" w:rsidRPr="00683D62">
        <w:rPr>
          <w:rFonts w:ascii="Times New Roman" w:hAnsi="Times New Roman"/>
          <w:sz w:val="24"/>
          <w:szCs w:val="24"/>
          <w:lang w:val="en-US"/>
        </w:rPr>
        <w:t xml:space="preserve"> through the detection of</w:t>
      </w:r>
      <w:r w:rsidR="007B1EE3" w:rsidRPr="00683D62">
        <w:rPr>
          <w:rFonts w:ascii="Times New Roman" w:hAnsi="Times New Roman"/>
          <w:sz w:val="24"/>
          <w:szCs w:val="24"/>
          <w:lang w:val="en-US"/>
        </w:rPr>
        <w:t xml:space="preserve"> autoantibodies. The aim of this study was to determine the risk </w:t>
      </w:r>
      <w:r w:rsidR="001B501F" w:rsidRPr="00683D62">
        <w:rPr>
          <w:rFonts w:ascii="Times New Roman" w:hAnsi="Times New Roman"/>
          <w:sz w:val="24"/>
          <w:szCs w:val="24"/>
          <w:lang w:val="en-US"/>
        </w:rPr>
        <w:t xml:space="preserve">of </w:t>
      </w:r>
      <w:r w:rsidR="007B1EE3" w:rsidRPr="00683D62">
        <w:rPr>
          <w:rFonts w:ascii="Times New Roman" w:hAnsi="Times New Roman"/>
          <w:sz w:val="24"/>
          <w:szCs w:val="24"/>
          <w:lang w:val="en-US"/>
        </w:rPr>
        <w:t>organ-specific autoimmunity in individuals</w:t>
      </w:r>
      <w:r w:rsidR="00805C31" w:rsidRPr="00683D62">
        <w:rPr>
          <w:rFonts w:ascii="Times New Roman" w:hAnsi="Times New Roman"/>
          <w:sz w:val="24"/>
          <w:szCs w:val="24"/>
          <w:lang w:val="en-US"/>
        </w:rPr>
        <w:t xml:space="preserve"> w</w:t>
      </w:r>
      <w:r w:rsidR="00F9311A" w:rsidRPr="00683D62">
        <w:rPr>
          <w:rFonts w:ascii="Times New Roman" w:hAnsi="Times New Roman"/>
          <w:sz w:val="24"/>
          <w:szCs w:val="24"/>
          <w:lang w:val="en-US"/>
        </w:rPr>
        <w:t xml:space="preserve">ith </w:t>
      </w:r>
      <w:r w:rsidR="00805C31" w:rsidRPr="00683D62">
        <w:rPr>
          <w:rFonts w:ascii="Times New Roman" w:hAnsi="Times New Roman"/>
          <w:sz w:val="24"/>
          <w:szCs w:val="24"/>
          <w:lang w:val="en-US"/>
        </w:rPr>
        <w:t xml:space="preserve">a family history of </w:t>
      </w:r>
      <w:r w:rsidR="00A410C7" w:rsidRPr="00683D62">
        <w:rPr>
          <w:rFonts w:ascii="Times New Roman" w:hAnsi="Times New Roman"/>
          <w:sz w:val="24"/>
          <w:szCs w:val="24"/>
          <w:lang w:val="en-US"/>
        </w:rPr>
        <w:t>type 1 diabetes</w:t>
      </w:r>
      <w:r w:rsidR="007B1EE3" w:rsidRPr="00683D62">
        <w:rPr>
          <w:rFonts w:ascii="Times New Roman" w:hAnsi="Times New Roman"/>
          <w:sz w:val="24"/>
          <w:szCs w:val="24"/>
          <w:lang w:val="en-US"/>
        </w:rPr>
        <w:t>.</w:t>
      </w:r>
    </w:p>
    <w:p w14:paraId="71D45741" w14:textId="078EAD92" w:rsidR="007B1EE3" w:rsidRPr="00683D62" w:rsidRDefault="00F43125" w:rsidP="00F43125">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RESEARCH DESIGN AND METHODS </w:t>
      </w:r>
      <w:r w:rsidR="007B1EE3" w:rsidRPr="00683D62">
        <w:rPr>
          <w:rFonts w:ascii="Times New Roman" w:hAnsi="Times New Roman"/>
          <w:sz w:val="24"/>
          <w:szCs w:val="24"/>
          <w:lang w:val="en-US"/>
        </w:rPr>
        <w:t>The study cohort included 2</w:t>
      </w:r>
      <w:r w:rsidR="00F9311A" w:rsidRPr="00683D62">
        <w:rPr>
          <w:rFonts w:ascii="Times New Roman" w:hAnsi="Times New Roman"/>
          <w:sz w:val="24"/>
          <w:szCs w:val="24"/>
          <w:lang w:val="en-US"/>
        </w:rPr>
        <w:t>,</w:t>
      </w:r>
      <w:r w:rsidR="007B1EE3" w:rsidRPr="00683D62">
        <w:rPr>
          <w:rFonts w:ascii="Times New Roman" w:hAnsi="Times New Roman"/>
          <w:sz w:val="24"/>
          <w:szCs w:val="24"/>
          <w:lang w:val="en-US"/>
        </w:rPr>
        <w:t>441 first-degree relatives of patients with type 1 diabetes</w:t>
      </w:r>
      <w:r w:rsidR="00F9311A" w:rsidRPr="00683D62">
        <w:rPr>
          <w:rFonts w:ascii="Times New Roman" w:hAnsi="Times New Roman"/>
          <w:sz w:val="24"/>
          <w:szCs w:val="24"/>
          <w:lang w:val="en-US"/>
        </w:rPr>
        <w:t>,</w:t>
      </w:r>
      <w:r w:rsidR="007B1EE3" w:rsidRPr="00683D62">
        <w:rPr>
          <w:rFonts w:ascii="Times New Roman" w:hAnsi="Times New Roman"/>
          <w:sz w:val="24"/>
          <w:szCs w:val="24"/>
          <w:lang w:val="en-US"/>
        </w:rPr>
        <w:t xml:space="preserve"> who were prospectively followed from birth </w:t>
      </w:r>
      <w:r w:rsidR="001B501F" w:rsidRPr="00683D62">
        <w:rPr>
          <w:rFonts w:ascii="Times New Roman" w:hAnsi="Times New Roman"/>
          <w:sz w:val="24"/>
          <w:szCs w:val="24"/>
          <w:lang w:val="en-US"/>
        </w:rPr>
        <w:t xml:space="preserve">for </w:t>
      </w:r>
      <w:r w:rsidR="007B1EE3" w:rsidRPr="00683D62">
        <w:rPr>
          <w:rFonts w:ascii="Times New Roman" w:hAnsi="Times New Roman"/>
          <w:sz w:val="24"/>
          <w:szCs w:val="24"/>
          <w:lang w:val="en-US"/>
        </w:rPr>
        <w:t>up to a maximum of</w:t>
      </w:r>
      <w:r w:rsidR="00B94E9E" w:rsidRPr="00683D62">
        <w:rPr>
          <w:rFonts w:ascii="Times New Roman" w:hAnsi="Times New Roman"/>
          <w:sz w:val="24"/>
          <w:szCs w:val="24"/>
          <w:lang w:val="en-US"/>
        </w:rPr>
        <w:t xml:space="preserve"> 28</w:t>
      </w:r>
      <w:r w:rsidR="004A49A7" w:rsidRPr="00683D62">
        <w:rPr>
          <w:rFonts w:ascii="Calibri Light" w:hAnsi="Calibri Light" w:cs="Calibri Light"/>
          <w:lang w:val="en-US"/>
        </w:rPr>
        <w:t>.</w:t>
      </w:r>
      <w:r w:rsidR="00B94E9E" w:rsidRPr="00683D62">
        <w:rPr>
          <w:rFonts w:ascii="Times New Roman" w:hAnsi="Times New Roman"/>
          <w:sz w:val="24"/>
          <w:szCs w:val="24"/>
          <w:lang w:val="en-US"/>
        </w:rPr>
        <w:t>6</w:t>
      </w:r>
      <w:r w:rsidR="007B1EE3" w:rsidRPr="00683D62">
        <w:rPr>
          <w:rFonts w:ascii="Times New Roman" w:hAnsi="Times New Roman"/>
          <w:sz w:val="24"/>
          <w:szCs w:val="24"/>
          <w:lang w:val="en-US"/>
        </w:rPr>
        <w:t xml:space="preserve"> years (median, 13</w:t>
      </w:r>
      <w:r w:rsidR="004A49A7" w:rsidRPr="00683D62">
        <w:rPr>
          <w:rFonts w:ascii="Calibri Light" w:hAnsi="Calibri Light" w:cs="Calibri Light"/>
          <w:lang w:val="en-US"/>
        </w:rPr>
        <w:t>.</w:t>
      </w:r>
      <w:r w:rsidR="007B1EE3" w:rsidRPr="00683D62">
        <w:rPr>
          <w:rFonts w:ascii="Times New Roman" w:hAnsi="Times New Roman"/>
          <w:sz w:val="24"/>
          <w:szCs w:val="24"/>
          <w:lang w:val="en-US"/>
        </w:rPr>
        <w:t>2 years). All were tested regularly for the development of autoantibodies associated with type 1 diabetes (islet), coeliac disease (transglutaminase)</w:t>
      </w:r>
      <w:r w:rsidR="001B501F" w:rsidRPr="00683D62">
        <w:rPr>
          <w:rFonts w:ascii="Times New Roman" w:hAnsi="Times New Roman"/>
          <w:sz w:val="24"/>
          <w:szCs w:val="24"/>
          <w:lang w:val="en-US"/>
        </w:rPr>
        <w:t>,</w:t>
      </w:r>
      <w:r w:rsidR="007B1EE3" w:rsidRPr="00683D62">
        <w:rPr>
          <w:rFonts w:ascii="Times New Roman" w:hAnsi="Times New Roman"/>
          <w:sz w:val="24"/>
          <w:szCs w:val="24"/>
          <w:lang w:val="en-US"/>
        </w:rPr>
        <w:t xml:space="preserve"> </w:t>
      </w:r>
      <w:r w:rsidR="001B501F" w:rsidRPr="00683D62">
        <w:rPr>
          <w:rFonts w:ascii="Times New Roman" w:hAnsi="Times New Roman"/>
          <w:sz w:val="24"/>
          <w:szCs w:val="24"/>
          <w:lang w:val="en-US"/>
        </w:rPr>
        <w:t xml:space="preserve">or </w:t>
      </w:r>
      <w:r w:rsidR="007B1EE3" w:rsidRPr="00683D62">
        <w:rPr>
          <w:rFonts w:ascii="Times New Roman" w:hAnsi="Times New Roman"/>
          <w:sz w:val="24"/>
          <w:szCs w:val="24"/>
          <w:lang w:val="en-US"/>
        </w:rPr>
        <w:t xml:space="preserve">thyroid autoimmunity (thyroid peroxidase). </w:t>
      </w:r>
      <w:r w:rsidR="00F9311A" w:rsidRPr="00683D62">
        <w:rPr>
          <w:rFonts w:ascii="Times New Roman" w:hAnsi="Times New Roman"/>
          <w:sz w:val="24"/>
          <w:szCs w:val="24"/>
          <w:lang w:val="en-US"/>
        </w:rPr>
        <w:t xml:space="preserve">The outcome </w:t>
      </w:r>
      <w:r w:rsidR="007B1EE3" w:rsidRPr="00683D62">
        <w:rPr>
          <w:rFonts w:ascii="Times New Roman" w:hAnsi="Times New Roman"/>
          <w:sz w:val="24"/>
          <w:szCs w:val="24"/>
          <w:lang w:val="en-US"/>
        </w:rPr>
        <w:t xml:space="preserve">was defined as </w:t>
      </w:r>
      <w:r w:rsidR="00F9311A" w:rsidRPr="00683D62">
        <w:rPr>
          <w:rFonts w:ascii="Times New Roman" w:hAnsi="Times New Roman"/>
          <w:sz w:val="24"/>
          <w:szCs w:val="24"/>
          <w:lang w:val="en-US"/>
        </w:rPr>
        <w:t xml:space="preserve">an </w:t>
      </w:r>
      <w:r w:rsidR="001B501F" w:rsidRPr="00683D62">
        <w:rPr>
          <w:rFonts w:ascii="Times New Roman" w:hAnsi="Times New Roman"/>
          <w:sz w:val="24"/>
          <w:szCs w:val="24"/>
          <w:lang w:val="en-US"/>
        </w:rPr>
        <w:t>autoantibody-</w:t>
      </w:r>
      <w:r w:rsidR="007B1EE3" w:rsidRPr="00683D62">
        <w:rPr>
          <w:rFonts w:ascii="Times New Roman" w:hAnsi="Times New Roman"/>
          <w:sz w:val="24"/>
          <w:szCs w:val="24"/>
          <w:lang w:val="en-US"/>
        </w:rPr>
        <w:t>positive</w:t>
      </w:r>
      <w:r w:rsidR="001B501F" w:rsidRPr="00683D62">
        <w:rPr>
          <w:rFonts w:ascii="Times New Roman" w:hAnsi="Times New Roman"/>
          <w:sz w:val="24"/>
          <w:szCs w:val="24"/>
          <w:lang w:val="en-US"/>
        </w:rPr>
        <w:t xml:space="preserve"> status</w:t>
      </w:r>
      <w:r w:rsidR="007B1EE3" w:rsidRPr="00683D62">
        <w:rPr>
          <w:rFonts w:ascii="Times New Roman" w:hAnsi="Times New Roman"/>
          <w:sz w:val="24"/>
          <w:szCs w:val="24"/>
          <w:lang w:val="en-US"/>
        </w:rPr>
        <w:t xml:space="preserve"> </w:t>
      </w:r>
      <w:r w:rsidR="00F9311A" w:rsidRPr="00683D62">
        <w:rPr>
          <w:rFonts w:ascii="Times New Roman" w:hAnsi="Times New Roman"/>
          <w:sz w:val="24"/>
          <w:szCs w:val="24"/>
          <w:lang w:val="en-US"/>
        </w:rPr>
        <w:t>o</w:t>
      </w:r>
      <w:r w:rsidR="001B501F" w:rsidRPr="00683D62">
        <w:rPr>
          <w:rFonts w:ascii="Times New Roman" w:hAnsi="Times New Roman"/>
          <w:sz w:val="24"/>
          <w:szCs w:val="24"/>
          <w:lang w:val="en-US"/>
        </w:rPr>
        <w:t xml:space="preserve">n </w:t>
      </w:r>
      <w:r w:rsidR="007B1EE3" w:rsidRPr="00683D62">
        <w:rPr>
          <w:rFonts w:ascii="Times New Roman" w:hAnsi="Times New Roman"/>
          <w:sz w:val="24"/>
          <w:szCs w:val="24"/>
          <w:lang w:val="en-US"/>
        </w:rPr>
        <w:t>two consecutive samples.</w:t>
      </w:r>
    </w:p>
    <w:p w14:paraId="5AFDCEE2" w14:textId="650D8D34" w:rsidR="007B1EE3" w:rsidRPr="00683D62" w:rsidRDefault="00F43125" w:rsidP="00ED0FD8">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RESULTS </w:t>
      </w:r>
      <w:r w:rsidR="007B1EE3" w:rsidRPr="00683D62">
        <w:rPr>
          <w:rFonts w:ascii="Times New Roman" w:hAnsi="Times New Roman"/>
          <w:sz w:val="24"/>
          <w:szCs w:val="24"/>
          <w:lang w:val="en-US"/>
        </w:rPr>
        <w:t>In total, 394 relatives developed one (353) or more (</w:t>
      </w:r>
      <w:r w:rsidR="00EA7902" w:rsidRPr="00683D62">
        <w:rPr>
          <w:rFonts w:ascii="Times New Roman" w:hAnsi="Times New Roman"/>
          <w:sz w:val="24"/>
          <w:szCs w:val="24"/>
          <w:lang w:val="en-US"/>
        </w:rPr>
        <w:t>41</w:t>
      </w:r>
      <w:r w:rsidR="007B1EE3" w:rsidRPr="00683D62">
        <w:rPr>
          <w:rFonts w:ascii="Times New Roman" w:hAnsi="Times New Roman"/>
          <w:sz w:val="24"/>
          <w:szCs w:val="24"/>
          <w:lang w:val="en-US"/>
        </w:rPr>
        <w:t xml:space="preserve">) of the three </w:t>
      </w:r>
      <w:r w:rsidR="00805C31" w:rsidRPr="00683D62">
        <w:rPr>
          <w:rFonts w:ascii="Times New Roman" w:hAnsi="Times New Roman"/>
          <w:sz w:val="24"/>
          <w:szCs w:val="24"/>
          <w:lang w:val="en-US"/>
        </w:rPr>
        <w:t>disease-</w:t>
      </w:r>
      <w:r w:rsidR="007B1EE3" w:rsidRPr="00683D62">
        <w:rPr>
          <w:rFonts w:ascii="Times New Roman" w:hAnsi="Times New Roman"/>
          <w:sz w:val="24"/>
          <w:szCs w:val="24"/>
          <w:lang w:val="en-US"/>
        </w:rPr>
        <w:t xml:space="preserve">associated autoantibodies during follow-up. </w:t>
      </w:r>
      <w:r w:rsidR="001B501F" w:rsidRPr="00683D62">
        <w:rPr>
          <w:rFonts w:ascii="Times New Roman" w:hAnsi="Times New Roman"/>
          <w:sz w:val="24"/>
          <w:szCs w:val="24"/>
          <w:lang w:val="en-US"/>
        </w:rPr>
        <w:t xml:space="preserve">The risk </w:t>
      </w:r>
      <w:r w:rsidR="007B1EE3" w:rsidRPr="00683D62">
        <w:rPr>
          <w:rFonts w:ascii="Times New Roman" w:hAnsi="Times New Roman"/>
          <w:sz w:val="24"/>
          <w:szCs w:val="24"/>
          <w:lang w:val="en-US"/>
        </w:rPr>
        <w:t xml:space="preserve">by age 20 years was </w:t>
      </w:r>
      <w:r w:rsidR="007B1EE3" w:rsidRPr="00683D62">
        <w:rPr>
          <w:rFonts w:ascii="Times New Roman" w:hAnsi="Times New Roman"/>
          <w:sz w:val="24"/>
          <w:szCs w:val="24"/>
          <w:lang w:val="en-US" w:eastAsia="de-DE"/>
        </w:rPr>
        <w:t>8</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0% (95% CI, 6</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8</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9</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 xml:space="preserve">2%) for </w:t>
      </w:r>
      <w:r w:rsidR="00805C31" w:rsidRPr="00683D62">
        <w:rPr>
          <w:rFonts w:ascii="Times New Roman" w:hAnsi="Times New Roman"/>
          <w:sz w:val="24"/>
          <w:szCs w:val="24"/>
          <w:lang w:val="en-US" w:eastAsia="de-DE"/>
        </w:rPr>
        <w:t>islet autoantibodies</w:t>
      </w:r>
      <w:r w:rsidR="007B1EE3" w:rsidRPr="00683D62">
        <w:rPr>
          <w:rFonts w:ascii="Times New Roman" w:hAnsi="Times New Roman"/>
          <w:sz w:val="24"/>
          <w:szCs w:val="24"/>
          <w:lang w:val="en-US" w:eastAsia="de-DE"/>
        </w:rPr>
        <w:t>, 6</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3% (95% CI, 5</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1</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7</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 xml:space="preserve">5%) for </w:t>
      </w:r>
      <w:r w:rsidR="00805C31" w:rsidRPr="00683D62">
        <w:rPr>
          <w:rFonts w:ascii="Times New Roman" w:hAnsi="Times New Roman"/>
          <w:sz w:val="24"/>
          <w:szCs w:val="24"/>
          <w:lang w:val="en-US" w:eastAsia="de-DE"/>
        </w:rPr>
        <w:t>transglutaminase autoantibodies</w:t>
      </w:r>
      <w:r w:rsidR="007B1EE3" w:rsidRPr="00683D62">
        <w:rPr>
          <w:rFonts w:ascii="Times New Roman" w:hAnsi="Times New Roman"/>
          <w:sz w:val="24"/>
          <w:szCs w:val="24"/>
          <w:lang w:val="en-US" w:eastAsia="de-DE"/>
        </w:rPr>
        <w:t>, 10</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7% (95% CI, 8</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9</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12</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 xml:space="preserve">5%) for </w:t>
      </w:r>
      <w:r w:rsidR="00805C31" w:rsidRPr="00683D62">
        <w:rPr>
          <w:rFonts w:ascii="Times New Roman" w:hAnsi="Times New Roman"/>
          <w:sz w:val="24"/>
          <w:szCs w:val="24"/>
          <w:lang w:val="en-US" w:eastAsia="de-DE"/>
        </w:rPr>
        <w:t>thyroid peroxidase autoantibodies</w:t>
      </w:r>
      <w:r w:rsidR="007B1EE3" w:rsidRPr="00683D62">
        <w:rPr>
          <w:rFonts w:ascii="Times New Roman" w:hAnsi="Times New Roman"/>
          <w:sz w:val="24"/>
          <w:szCs w:val="24"/>
          <w:lang w:val="en-US" w:eastAsia="de-DE"/>
        </w:rPr>
        <w:t>, and 21</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5% (95% CI, 19</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5</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23</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5%) for any of the</w:t>
      </w:r>
      <w:r w:rsidR="00805C31" w:rsidRPr="00683D62">
        <w:rPr>
          <w:rFonts w:ascii="Times New Roman" w:hAnsi="Times New Roman"/>
          <w:sz w:val="24"/>
          <w:szCs w:val="24"/>
          <w:lang w:val="en-US" w:eastAsia="de-DE"/>
        </w:rPr>
        <w:t>se</w:t>
      </w:r>
      <w:r w:rsidR="007B1EE3" w:rsidRPr="00683D62">
        <w:rPr>
          <w:rFonts w:ascii="Times New Roman" w:hAnsi="Times New Roman"/>
          <w:sz w:val="24"/>
          <w:szCs w:val="24"/>
          <w:lang w:val="en-US" w:eastAsia="de-DE"/>
        </w:rPr>
        <w:t xml:space="preserve"> autoantibodies. Each of the three disease-associated autoantibodies was defined by distinct </w:t>
      </w:r>
      <w:r w:rsidR="001B501F" w:rsidRPr="00683D62">
        <w:rPr>
          <w:rFonts w:ascii="Times New Roman" w:hAnsi="Times New Roman"/>
          <w:sz w:val="24"/>
          <w:szCs w:val="24"/>
          <w:lang w:val="en-US" w:eastAsia="de-DE"/>
        </w:rPr>
        <w:t>human leukocyte antigen (</w:t>
      </w:r>
      <w:r w:rsidR="007B1EE3" w:rsidRPr="00683D62">
        <w:rPr>
          <w:rFonts w:ascii="Times New Roman" w:hAnsi="Times New Roman"/>
          <w:sz w:val="24"/>
          <w:szCs w:val="24"/>
          <w:lang w:val="en-US" w:eastAsia="de-DE"/>
        </w:rPr>
        <w:t>HLA</w:t>
      </w:r>
      <w:r w:rsidR="001B501F"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 sex</w:t>
      </w:r>
      <w:r w:rsidR="00805C31" w:rsidRPr="00683D62">
        <w:rPr>
          <w:rFonts w:ascii="Times New Roman" w:hAnsi="Times New Roman"/>
          <w:sz w:val="24"/>
          <w:szCs w:val="24"/>
          <w:lang w:val="en-US" w:eastAsia="de-DE"/>
        </w:rPr>
        <w:t>, genetic,</w:t>
      </w:r>
      <w:r w:rsidR="007B1EE3" w:rsidRPr="00683D62">
        <w:rPr>
          <w:rFonts w:ascii="Times New Roman" w:hAnsi="Times New Roman"/>
          <w:sz w:val="24"/>
          <w:szCs w:val="24"/>
          <w:lang w:val="en-US" w:eastAsia="de-DE"/>
        </w:rPr>
        <w:t xml:space="preserve"> and age profiles. </w:t>
      </w:r>
      <w:r w:rsidR="001B501F" w:rsidRPr="00683D62">
        <w:rPr>
          <w:rFonts w:ascii="Times New Roman" w:hAnsi="Times New Roman"/>
          <w:sz w:val="24"/>
          <w:szCs w:val="24"/>
          <w:lang w:val="en-US" w:eastAsia="de-DE"/>
        </w:rPr>
        <w:t xml:space="preserve">The risk of </w:t>
      </w:r>
      <w:r w:rsidR="00F9311A" w:rsidRPr="00683D62">
        <w:rPr>
          <w:rFonts w:ascii="Times New Roman" w:hAnsi="Times New Roman"/>
          <w:sz w:val="24"/>
          <w:szCs w:val="24"/>
          <w:lang w:val="en-US" w:eastAsia="de-DE"/>
        </w:rPr>
        <w:t xml:space="preserve">developing </w:t>
      </w:r>
      <w:r w:rsidR="007B1EE3" w:rsidRPr="00683D62">
        <w:rPr>
          <w:rFonts w:ascii="Times New Roman" w:hAnsi="Times New Roman"/>
          <w:sz w:val="24"/>
          <w:szCs w:val="24"/>
          <w:lang w:val="en-US" w:eastAsia="de-DE"/>
        </w:rPr>
        <w:t>any of the</w:t>
      </w:r>
      <w:r w:rsidR="00F9311A" w:rsidRPr="00683D62">
        <w:rPr>
          <w:rFonts w:ascii="Times New Roman" w:hAnsi="Times New Roman"/>
          <w:sz w:val="24"/>
          <w:szCs w:val="24"/>
          <w:lang w:val="en-US" w:eastAsia="de-DE"/>
        </w:rPr>
        <w:t>se</w:t>
      </w:r>
      <w:r w:rsidR="007B1EE3" w:rsidRPr="00683D62">
        <w:rPr>
          <w:rFonts w:ascii="Times New Roman" w:hAnsi="Times New Roman"/>
          <w:sz w:val="24"/>
          <w:szCs w:val="24"/>
          <w:lang w:val="en-US" w:eastAsia="de-DE"/>
        </w:rPr>
        <w:t xml:space="preserve"> autoantibodies </w:t>
      </w:r>
      <w:r w:rsidR="00F9311A" w:rsidRPr="00683D62">
        <w:rPr>
          <w:rFonts w:ascii="Times New Roman" w:hAnsi="Times New Roman"/>
          <w:sz w:val="24"/>
          <w:szCs w:val="24"/>
          <w:lang w:val="en-US" w:eastAsia="de-DE"/>
        </w:rPr>
        <w:t xml:space="preserve">was </w:t>
      </w:r>
      <w:r w:rsidR="007B1EE3" w:rsidRPr="00683D62">
        <w:rPr>
          <w:rFonts w:ascii="Times New Roman" w:hAnsi="Times New Roman"/>
          <w:sz w:val="24"/>
          <w:szCs w:val="24"/>
          <w:lang w:val="en-US" w:eastAsia="de-DE"/>
        </w:rPr>
        <w:t>56</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5% (95%</w:t>
      </w:r>
      <w:r w:rsidR="00F9311A" w:rsidRPr="00683D62">
        <w:rPr>
          <w:rFonts w:ascii="Times New Roman" w:hAnsi="Times New Roman"/>
          <w:sz w:val="24"/>
          <w:szCs w:val="24"/>
          <w:lang w:val="en-US" w:eastAsia="de-DE"/>
        </w:rPr>
        <w:t xml:space="preserve"> </w:t>
      </w:r>
      <w:r w:rsidR="007B1EE3" w:rsidRPr="00683D62">
        <w:rPr>
          <w:rFonts w:ascii="Times New Roman" w:hAnsi="Times New Roman"/>
          <w:sz w:val="24"/>
          <w:szCs w:val="24"/>
          <w:lang w:val="en-US" w:eastAsia="de-DE"/>
        </w:rPr>
        <w:t>CI, 40</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8%</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72</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 xml:space="preserve">2%) in </w:t>
      </w:r>
      <w:r w:rsidR="00805C31" w:rsidRPr="00683D62">
        <w:rPr>
          <w:rFonts w:ascii="Times New Roman" w:hAnsi="Times New Roman"/>
          <w:sz w:val="24"/>
          <w:szCs w:val="24"/>
          <w:lang w:val="en-US" w:eastAsia="de-DE"/>
        </w:rPr>
        <w:t xml:space="preserve">HLA </w:t>
      </w:r>
      <w:r w:rsidR="007B1EE3" w:rsidRPr="00683D62">
        <w:rPr>
          <w:rFonts w:ascii="Times New Roman" w:hAnsi="Times New Roman"/>
          <w:sz w:val="24"/>
          <w:szCs w:val="24"/>
          <w:lang w:val="en-US" w:eastAsia="de-DE"/>
        </w:rPr>
        <w:t>DR3/DR3 relatives and 44</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4% (95%</w:t>
      </w:r>
      <w:r w:rsidR="00F9311A" w:rsidRPr="00683D62">
        <w:rPr>
          <w:rFonts w:ascii="Times New Roman" w:hAnsi="Times New Roman"/>
          <w:sz w:val="24"/>
          <w:szCs w:val="24"/>
          <w:lang w:val="en-US" w:eastAsia="de-DE"/>
        </w:rPr>
        <w:t xml:space="preserve"> </w:t>
      </w:r>
      <w:r w:rsidR="007B1EE3" w:rsidRPr="00683D62">
        <w:rPr>
          <w:rFonts w:ascii="Times New Roman" w:hAnsi="Times New Roman"/>
          <w:sz w:val="24"/>
          <w:szCs w:val="24"/>
          <w:lang w:val="en-US" w:eastAsia="de-DE"/>
        </w:rPr>
        <w:t>CI, 36</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6%</w:t>
      </w:r>
      <w:r w:rsidR="00A410C7"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52</w:t>
      </w:r>
      <w:r w:rsidR="00A410C7" w:rsidRPr="00683D62">
        <w:rPr>
          <w:rFonts w:ascii="Calibri Light" w:hAnsi="Calibri Light" w:cs="Calibri Light"/>
          <w:lang w:val="en-US"/>
        </w:rPr>
        <w:t>.</w:t>
      </w:r>
      <w:r w:rsidR="007B1EE3" w:rsidRPr="00683D62">
        <w:rPr>
          <w:rFonts w:ascii="Times New Roman" w:hAnsi="Times New Roman"/>
          <w:sz w:val="24"/>
          <w:szCs w:val="24"/>
          <w:lang w:val="en-US" w:eastAsia="de-DE"/>
        </w:rPr>
        <w:t xml:space="preserve">2%) in </w:t>
      </w:r>
      <w:r w:rsidR="00805C31" w:rsidRPr="00683D62">
        <w:rPr>
          <w:rFonts w:ascii="Times New Roman" w:hAnsi="Times New Roman"/>
          <w:sz w:val="24"/>
          <w:szCs w:val="24"/>
          <w:lang w:val="en-US" w:eastAsia="de-DE"/>
        </w:rPr>
        <w:t xml:space="preserve">HLA </w:t>
      </w:r>
      <w:r w:rsidR="007B1EE3" w:rsidRPr="00683D62">
        <w:rPr>
          <w:rFonts w:ascii="Times New Roman" w:hAnsi="Times New Roman"/>
          <w:sz w:val="24"/>
          <w:szCs w:val="24"/>
          <w:lang w:val="en-US" w:eastAsia="de-DE"/>
        </w:rPr>
        <w:t>DR3/DR4-DQ8 relatives.</w:t>
      </w:r>
    </w:p>
    <w:p w14:paraId="72C67925" w14:textId="652CF937" w:rsidR="007B1EE3" w:rsidRPr="00683D62" w:rsidRDefault="00F43125" w:rsidP="00ED0FD8">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CONCLUSIONS </w:t>
      </w:r>
      <w:r w:rsidR="007B1EE3" w:rsidRPr="00683D62">
        <w:rPr>
          <w:rFonts w:ascii="Times New Roman" w:hAnsi="Times New Roman"/>
          <w:sz w:val="24"/>
          <w:szCs w:val="24"/>
          <w:lang w:val="en-US"/>
        </w:rPr>
        <w:t xml:space="preserve">Relatives of patients with type 1 diabetes have a very high risk </w:t>
      </w:r>
      <w:r w:rsidR="001B501F" w:rsidRPr="00683D62">
        <w:rPr>
          <w:rFonts w:ascii="Times New Roman" w:hAnsi="Times New Roman"/>
          <w:sz w:val="24"/>
          <w:szCs w:val="24"/>
          <w:lang w:val="en-US"/>
        </w:rPr>
        <w:t xml:space="preserve">of </w:t>
      </w:r>
      <w:r w:rsidR="005F2FF3" w:rsidRPr="00683D62">
        <w:rPr>
          <w:rFonts w:ascii="Times New Roman" w:hAnsi="Times New Roman"/>
          <w:sz w:val="24"/>
          <w:szCs w:val="24"/>
          <w:lang w:val="en-US"/>
        </w:rPr>
        <w:t>organ-specific autoimmun</w:t>
      </w:r>
      <w:r w:rsidR="00F7024B" w:rsidRPr="00683D62">
        <w:rPr>
          <w:rFonts w:ascii="Times New Roman" w:hAnsi="Times New Roman"/>
          <w:sz w:val="24"/>
          <w:szCs w:val="24"/>
          <w:lang w:val="en-US"/>
        </w:rPr>
        <w:t>ity</w:t>
      </w:r>
      <w:r w:rsidR="007B1EE3" w:rsidRPr="00683D62">
        <w:rPr>
          <w:rFonts w:ascii="Times New Roman" w:hAnsi="Times New Roman"/>
          <w:sz w:val="24"/>
          <w:szCs w:val="24"/>
          <w:lang w:val="en-US"/>
        </w:rPr>
        <w:t xml:space="preserve">. </w:t>
      </w:r>
      <w:r w:rsidR="00805C31" w:rsidRPr="00683D62">
        <w:rPr>
          <w:rFonts w:ascii="Times New Roman" w:hAnsi="Times New Roman"/>
          <w:sz w:val="24"/>
          <w:szCs w:val="24"/>
          <w:lang w:val="en-US"/>
        </w:rPr>
        <w:t>Appropriate c</w:t>
      </w:r>
      <w:r w:rsidR="007B1EE3" w:rsidRPr="00683D62">
        <w:rPr>
          <w:rFonts w:ascii="Times New Roman" w:hAnsi="Times New Roman"/>
          <w:sz w:val="24"/>
          <w:szCs w:val="24"/>
          <w:lang w:val="en-US"/>
        </w:rPr>
        <w:t xml:space="preserve">ounseling, </w:t>
      </w:r>
      <w:r w:rsidR="001B501F" w:rsidRPr="00683D62">
        <w:rPr>
          <w:rFonts w:ascii="Times New Roman" w:hAnsi="Times New Roman"/>
          <w:sz w:val="24"/>
          <w:szCs w:val="24"/>
          <w:lang w:val="en-US"/>
        </w:rPr>
        <w:t xml:space="preserve">and </w:t>
      </w:r>
      <w:r w:rsidR="007B1EE3" w:rsidRPr="00683D62">
        <w:rPr>
          <w:rFonts w:ascii="Times New Roman" w:hAnsi="Times New Roman"/>
          <w:sz w:val="24"/>
          <w:szCs w:val="24"/>
          <w:lang w:val="en-US"/>
        </w:rPr>
        <w:t>genetic and autoantibody testing for multiple autoimmune diseases may be warranted for relatives of patients with type 1 diabetes.</w:t>
      </w:r>
    </w:p>
    <w:p w14:paraId="14109F25" w14:textId="77777777" w:rsidR="00F43125" w:rsidRPr="00683D62" w:rsidRDefault="00F43125" w:rsidP="007259B0">
      <w:pPr>
        <w:spacing w:after="0" w:line="480" w:lineRule="auto"/>
        <w:jc w:val="both"/>
        <w:rPr>
          <w:rFonts w:ascii="Times New Roman" w:hAnsi="Times New Roman"/>
          <w:sz w:val="24"/>
          <w:szCs w:val="24"/>
          <w:lang w:val="en-US"/>
        </w:rPr>
      </w:pPr>
    </w:p>
    <w:p w14:paraId="5CB60F1A" w14:textId="77777777" w:rsidR="00F43125" w:rsidRPr="00683D62" w:rsidRDefault="00F43125" w:rsidP="007259B0">
      <w:pPr>
        <w:spacing w:after="0" w:line="480" w:lineRule="auto"/>
        <w:jc w:val="both"/>
        <w:rPr>
          <w:rFonts w:ascii="Times New Roman" w:hAnsi="Times New Roman"/>
          <w:sz w:val="24"/>
          <w:szCs w:val="24"/>
          <w:lang w:val="en-US"/>
        </w:rPr>
      </w:pPr>
    </w:p>
    <w:p w14:paraId="65758DA2" w14:textId="7CC4EC05" w:rsidR="00BA1BB7" w:rsidRPr="00683D62" w:rsidRDefault="00BA1BB7" w:rsidP="007259B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lastRenderedPageBreak/>
        <w:t>Prospective studies that follow children from birth have established that autoimmun</w:t>
      </w:r>
      <w:r w:rsidR="00A410C7" w:rsidRPr="00683D62">
        <w:rPr>
          <w:rFonts w:ascii="Times New Roman" w:hAnsi="Times New Roman"/>
          <w:sz w:val="24"/>
          <w:szCs w:val="24"/>
          <w:lang w:val="en-US"/>
        </w:rPr>
        <w:t>ity</w:t>
      </w:r>
      <w:r w:rsidRPr="00683D62">
        <w:rPr>
          <w:rFonts w:ascii="Times New Roman" w:hAnsi="Times New Roman"/>
          <w:sz w:val="24"/>
          <w:szCs w:val="24"/>
          <w:lang w:val="en-US"/>
        </w:rPr>
        <w:t xml:space="preserve"> can start very early in life and ye</w:t>
      </w:r>
      <w:r w:rsidR="00A2232E" w:rsidRPr="00683D62">
        <w:rPr>
          <w:rFonts w:ascii="Times New Roman" w:hAnsi="Times New Roman"/>
          <w:sz w:val="24"/>
          <w:szCs w:val="24"/>
          <w:lang w:val="en-US"/>
        </w:rPr>
        <w:t xml:space="preserve">ars </w:t>
      </w:r>
      <w:r w:rsidR="00235EFE" w:rsidRPr="00683D62">
        <w:rPr>
          <w:rFonts w:ascii="Times New Roman" w:hAnsi="Times New Roman"/>
          <w:sz w:val="24"/>
          <w:szCs w:val="24"/>
          <w:lang w:val="en-US"/>
        </w:rPr>
        <w:t>before</w:t>
      </w:r>
      <w:r w:rsidR="00A2232E" w:rsidRPr="00683D62">
        <w:rPr>
          <w:rFonts w:ascii="Times New Roman" w:hAnsi="Times New Roman"/>
          <w:sz w:val="24"/>
          <w:szCs w:val="24"/>
          <w:lang w:val="en-US"/>
        </w:rPr>
        <w:t xml:space="preserve"> clinical symptoms</w:t>
      </w:r>
      <w:r w:rsidR="00235EFE" w:rsidRPr="00683D62">
        <w:rPr>
          <w:rFonts w:ascii="Times New Roman" w:hAnsi="Times New Roman"/>
          <w:sz w:val="24"/>
          <w:szCs w:val="24"/>
          <w:lang w:val="en-US"/>
        </w:rPr>
        <w:t xml:space="preserve"> appear</w:t>
      </w:r>
      <w:r w:rsidR="00A410C7" w:rsidRPr="00683D62">
        <w:rPr>
          <w:rFonts w:ascii="Times New Roman" w:hAnsi="Times New Roman"/>
          <w:sz w:val="24"/>
          <w:szCs w:val="24"/>
          <w:lang w:val="en-US"/>
        </w:rPr>
        <w:t xml:space="preserve"> (1-3)</w:t>
      </w:r>
      <w:r w:rsidRPr="00683D62">
        <w:rPr>
          <w:rFonts w:ascii="Times New Roman" w:hAnsi="Times New Roman"/>
          <w:sz w:val="24"/>
          <w:szCs w:val="24"/>
          <w:lang w:val="en-US"/>
        </w:rPr>
        <w:t xml:space="preserve">. </w:t>
      </w:r>
      <w:r w:rsidR="005A3E61" w:rsidRPr="00683D62">
        <w:rPr>
          <w:rFonts w:ascii="Times New Roman" w:hAnsi="Times New Roman"/>
          <w:sz w:val="24"/>
          <w:szCs w:val="24"/>
          <w:lang w:val="en-US"/>
        </w:rPr>
        <w:t xml:space="preserve">In </w:t>
      </w:r>
      <w:r w:rsidRPr="00683D62">
        <w:rPr>
          <w:rFonts w:ascii="Times New Roman" w:hAnsi="Times New Roman"/>
          <w:sz w:val="24"/>
          <w:szCs w:val="24"/>
          <w:lang w:val="en-US"/>
        </w:rPr>
        <w:t>type 1 diabetes, autoimmunity often appears between 6 months and 3 years of age</w:t>
      </w:r>
      <w:r w:rsidR="00386A02" w:rsidRPr="00683D62">
        <w:rPr>
          <w:rFonts w:ascii="Times New Roman" w:hAnsi="Times New Roman"/>
          <w:sz w:val="24"/>
          <w:szCs w:val="24"/>
          <w:lang w:val="en-US"/>
        </w:rPr>
        <w:t xml:space="preserve"> (1-</w:t>
      </w:r>
      <w:r w:rsidR="00A410C7" w:rsidRPr="00683D62">
        <w:rPr>
          <w:rFonts w:ascii="Times New Roman" w:hAnsi="Times New Roman"/>
          <w:sz w:val="24"/>
          <w:szCs w:val="24"/>
          <w:lang w:val="en-US"/>
        </w:rPr>
        <w:t>3)</w:t>
      </w:r>
      <w:r w:rsidR="005A3E61" w:rsidRPr="00683D62">
        <w:rPr>
          <w:rFonts w:ascii="Times New Roman" w:hAnsi="Times New Roman"/>
          <w:sz w:val="24"/>
          <w:szCs w:val="24"/>
          <w:lang w:val="en-US"/>
        </w:rPr>
        <w:t>,</w:t>
      </w:r>
      <w:r w:rsidR="00A2232E" w:rsidRPr="00683D62">
        <w:rPr>
          <w:rFonts w:ascii="Times New Roman" w:hAnsi="Times New Roman"/>
          <w:sz w:val="24"/>
          <w:szCs w:val="24"/>
          <w:lang w:val="en-US"/>
        </w:rPr>
        <w:t xml:space="preserve"> </w:t>
      </w:r>
      <w:r w:rsidRPr="00683D62">
        <w:rPr>
          <w:rFonts w:ascii="Times New Roman" w:hAnsi="Times New Roman"/>
          <w:sz w:val="24"/>
          <w:szCs w:val="24"/>
          <w:lang w:val="en-US"/>
        </w:rPr>
        <w:t xml:space="preserve">and the large majority of children who develop </w:t>
      </w:r>
      <w:r w:rsidR="004B7B21" w:rsidRPr="00683D62">
        <w:rPr>
          <w:rFonts w:ascii="Times New Roman" w:hAnsi="Times New Roman"/>
          <w:sz w:val="24"/>
          <w:szCs w:val="24"/>
          <w:lang w:val="en-US"/>
        </w:rPr>
        <w:t>autoantibodies</w:t>
      </w:r>
      <w:r w:rsidRPr="00683D62">
        <w:rPr>
          <w:rFonts w:ascii="Times New Roman" w:hAnsi="Times New Roman"/>
          <w:sz w:val="24"/>
          <w:szCs w:val="24"/>
          <w:lang w:val="en-US"/>
        </w:rPr>
        <w:t xml:space="preserve"> against multiple pancreatic islet antigens </w:t>
      </w:r>
      <w:r w:rsidR="00235EFE" w:rsidRPr="00683D62">
        <w:rPr>
          <w:rFonts w:ascii="Times New Roman" w:hAnsi="Times New Roman"/>
          <w:sz w:val="24"/>
          <w:szCs w:val="24"/>
          <w:lang w:val="en-US"/>
        </w:rPr>
        <w:t xml:space="preserve">at </w:t>
      </w:r>
      <w:r w:rsidRPr="00683D62">
        <w:rPr>
          <w:rFonts w:ascii="Times New Roman" w:hAnsi="Times New Roman"/>
          <w:sz w:val="24"/>
          <w:szCs w:val="24"/>
          <w:lang w:val="en-US"/>
        </w:rPr>
        <w:t>this ag</w:t>
      </w:r>
      <w:r w:rsidR="00A2232E" w:rsidRPr="00683D62">
        <w:rPr>
          <w:rFonts w:ascii="Times New Roman" w:hAnsi="Times New Roman"/>
          <w:sz w:val="24"/>
          <w:szCs w:val="24"/>
          <w:lang w:val="en-US"/>
        </w:rPr>
        <w:t>e progress to clinical disease</w:t>
      </w:r>
      <w:r w:rsidR="00386A02" w:rsidRPr="00683D62">
        <w:rPr>
          <w:rFonts w:ascii="Times New Roman" w:hAnsi="Times New Roman"/>
          <w:sz w:val="24"/>
          <w:szCs w:val="24"/>
          <w:lang w:val="en-US"/>
        </w:rPr>
        <w:t xml:space="preserve"> (4)</w:t>
      </w:r>
      <w:r w:rsidRPr="00683D62">
        <w:rPr>
          <w:rFonts w:ascii="Times New Roman" w:hAnsi="Times New Roman"/>
          <w:sz w:val="24"/>
          <w:szCs w:val="24"/>
          <w:lang w:val="en-US"/>
        </w:rPr>
        <w:t>. New disease paradigms have emerged from such studies, leading to extensive screening</w:t>
      </w:r>
      <w:r w:rsidR="00386A02" w:rsidRPr="00683D62">
        <w:rPr>
          <w:rFonts w:ascii="Times New Roman" w:hAnsi="Times New Roman"/>
          <w:sz w:val="24"/>
          <w:szCs w:val="24"/>
          <w:lang w:val="en-US"/>
        </w:rPr>
        <w:t xml:space="preserve"> (5)</w:t>
      </w:r>
      <w:r w:rsidRPr="00683D62">
        <w:rPr>
          <w:rFonts w:ascii="Times New Roman" w:hAnsi="Times New Roman"/>
          <w:sz w:val="24"/>
          <w:szCs w:val="24"/>
          <w:lang w:val="en-US"/>
        </w:rPr>
        <w:t xml:space="preserve">, </w:t>
      </w:r>
      <w:r w:rsidR="00235EFE" w:rsidRPr="00683D62">
        <w:rPr>
          <w:rFonts w:ascii="Times New Roman" w:hAnsi="Times New Roman"/>
          <w:sz w:val="24"/>
          <w:szCs w:val="24"/>
          <w:lang w:val="en-US"/>
        </w:rPr>
        <w:t xml:space="preserve">the </w:t>
      </w:r>
      <w:r w:rsidRPr="00683D62">
        <w:rPr>
          <w:rFonts w:ascii="Times New Roman" w:hAnsi="Times New Roman"/>
          <w:sz w:val="24"/>
          <w:szCs w:val="24"/>
          <w:lang w:val="en-US"/>
        </w:rPr>
        <w:t>investigation</w:t>
      </w:r>
      <w:r w:rsidR="00A2232E" w:rsidRPr="00683D62">
        <w:rPr>
          <w:rFonts w:ascii="Times New Roman" w:hAnsi="Times New Roman"/>
          <w:sz w:val="24"/>
          <w:szCs w:val="24"/>
          <w:lang w:val="en-US"/>
        </w:rPr>
        <w:t xml:space="preserve"> of potential causes of </w:t>
      </w:r>
      <w:r w:rsidR="00235EFE" w:rsidRPr="00683D62">
        <w:rPr>
          <w:rFonts w:ascii="Times New Roman" w:hAnsi="Times New Roman"/>
          <w:sz w:val="24"/>
          <w:szCs w:val="24"/>
          <w:lang w:val="en-US"/>
        </w:rPr>
        <w:t xml:space="preserve">the </w:t>
      </w:r>
      <w:r w:rsidR="00A2232E" w:rsidRPr="00683D62">
        <w:rPr>
          <w:rFonts w:ascii="Times New Roman" w:hAnsi="Times New Roman"/>
          <w:sz w:val="24"/>
          <w:szCs w:val="24"/>
          <w:lang w:val="en-US"/>
        </w:rPr>
        <w:t>disease</w:t>
      </w:r>
      <w:r w:rsidR="00235EFE" w:rsidRPr="00683D62">
        <w:rPr>
          <w:rFonts w:ascii="Times New Roman" w:hAnsi="Times New Roman"/>
          <w:sz w:val="24"/>
          <w:szCs w:val="24"/>
          <w:lang w:val="en-US"/>
        </w:rPr>
        <w:t>s</w:t>
      </w:r>
      <w:r w:rsidR="00386A02" w:rsidRPr="00683D62">
        <w:rPr>
          <w:rFonts w:ascii="Times New Roman" w:hAnsi="Times New Roman"/>
          <w:sz w:val="24"/>
          <w:szCs w:val="24"/>
          <w:lang w:val="en-US"/>
        </w:rPr>
        <w:t xml:space="preserve"> (</w:t>
      </w:r>
      <w:r w:rsidR="000A7A43" w:rsidRPr="00683D62">
        <w:rPr>
          <w:rFonts w:ascii="Times New Roman" w:hAnsi="Times New Roman"/>
          <w:sz w:val="24"/>
          <w:szCs w:val="24"/>
          <w:lang w:val="en-US"/>
        </w:rPr>
        <w:t>6</w:t>
      </w:r>
      <w:r w:rsidR="00386A02" w:rsidRPr="00683D62">
        <w:rPr>
          <w:rFonts w:ascii="Times New Roman" w:hAnsi="Times New Roman"/>
          <w:sz w:val="24"/>
          <w:szCs w:val="24"/>
          <w:lang w:val="en-US"/>
        </w:rPr>
        <w:t>)</w:t>
      </w:r>
      <w:r w:rsidRPr="00683D62">
        <w:rPr>
          <w:rFonts w:ascii="Times New Roman" w:hAnsi="Times New Roman"/>
          <w:sz w:val="24"/>
          <w:szCs w:val="24"/>
          <w:lang w:val="en-US"/>
        </w:rPr>
        <w:t xml:space="preserve">, and </w:t>
      </w:r>
      <w:r w:rsidR="00B97623" w:rsidRPr="00683D62">
        <w:rPr>
          <w:rFonts w:ascii="Times New Roman" w:hAnsi="Times New Roman"/>
          <w:sz w:val="24"/>
          <w:szCs w:val="24"/>
          <w:lang w:val="en-US"/>
        </w:rPr>
        <w:t xml:space="preserve">consortia </w:t>
      </w:r>
      <w:r w:rsidRPr="00683D62">
        <w:rPr>
          <w:rFonts w:ascii="Times New Roman" w:hAnsi="Times New Roman"/>
          <w:sz w:val="24"/>
          <w:szCs w:val="24"/>
          <w:lang w:val="en-US"/>
        </w:rPr>
        <w:t>that attempt to prevent dise</w:t>
      </w:r>
      <w:r w:rsidR="00A2232E" w:rsidRPr="00683D62">
        <w:rPr>
          <w:rFonts w:ascii="Times New Roman" w:hAnsi="Times New Roman"/>
          <w:sz w:val="24"/>
          <w:szCs w:val="24"/>
          <w:lang w:val="en-US"/>
        </w:rPr>
        <w:t>ase in asymptomatic individuals</w:t>
      </w:r>
      <w:r w:rsidR="00386A02" w:rsidRPr="00683D62">
        <w:rPr>
          <w:rFonts w:ascii="Times New Roman" w:hAnsi="Times New Roman"/>
          <w:sz w:val="24"/>
          <w:szCs w:val="24"/>
          <w:lang w:val="en-US"/>
        </w:rPr>
        <w:t xml:space="preserve"> (</w:t>
      </w:r>
      <w:r w:rsidR="000A7A43" w:rsidRPr="00683D62">
        <w:rPr>
          <w:rFonts w:ascii="Times New Roman" w:hAnsi="Times New Roman"/>
          <w:sz w:val="24"/>
          <w:szCs w:val="24"/>
          <w:lang w:val="en-US"/>
        </w:rPr>
        <w:t>7</w:t>
      </w:r>
      <w:r w:rsidR="00386A02" w:rsidRPr="00683D62">
        <w:rPr>
          <w:rFonts w:ascii="Times New Roman" w:hAnsi="Times New Roman"/>
          <w:sz w:val="24"/>
          <w:szCs w:val="24"/>
          <w:lang w:val="en-US"/>
        </w:rPr>
        <w:t>)</w:t>
      </w:r>
      <w:r w:rsidRPr="00683D62">
        <w:rPr>
          <w:rFonts w:ascii="Times New Roman" w:hAnsi="Times New Roman"/>
          <w:sz w:val="24"/>
          <w:szCs w:val="24"/>
          <w:lang w:val="en-US"/>
        </w:rPr>
        <w:t>.</w:t>
      </w:r>
    </w:p>
    <w:p w14:paraId="5E571E2F" w14:textId="6DDB90DE" w:rsidR="00087FF6" w:rsidRPr="00683D62" w:rsidRDefault="00BA1BB7" w:rsidP="007259B0">
      <w:pPr>
        <w:spacing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The BABYDIAB and subsequent BABYDIET studies were the first of these </w:t>
      </w:r>
      <w:r w:rsidR="00A2232E" w:rsidRPr="00683D62">
        <w:rPr>
          <w:rFonts w:ascii="Times New Roman" w:hAnsi="Times New Roman"/>
          <w:sz w:val="24"/>
          <w:szCs w:val="24"/>
          <w:lang w:val="en-US"/>
        </w:rPr>
        <w:t xml:space="preserve">prospective </w:t>
      </w:r>
      <w:r w:rsidR="00235EFE" w:rsidRPr="00683D62">
        <w:rPr>
          <w:rFonts w:ascii="Times New Roman" w:hAnsi="Times New Roman"/>
          <w:sz w:val="24"/>
          <w:szCs w:val="24"/>
          <w:lang w:val="en-US"/>
        </w:rPr>
        <w:t xml:space="preserve">from-birth </w:t>
      </w:r>
      <w:r w:rsidR="00A2232E" w:rsidRPr="00683D62">
        <w:rPr>
          <w:rFonts w:ascii="Times New Roman" w:hAnsi="Times New Roman"/>
          <w:sz w:val="24"/>
          <w:szCs w:val="24"/>
          <w:lang w:val="en-US"/>
        </w:rPr>
        <w:t>studies</w:t>
      </w:r>
      <w:r w:rsidR="00805C31" w:rsidRPr="00683D62">
        <w:rPr>
          <w:rFonts w:ascii="Times New Roman" w:hAnsi="Times New Roman"/>
          <w:sz w:val="24"/>
          <w:szCs w:val="24"/>
          <w:lang w:val="en-US"/>
        </w:rPr>
        <w:t xml:space="preserve"> </w:t>
      </w:r>
      <w:r w:rsidR="00235EFE" w:rsidRPr="00683D62">
        <w:rPr>
          <w:rFonts w:ascii="Times New Roman" w:hAnsi="Times New Roman"/>
          <w:sz w:val="24"/>
          <w:szCs w:val="24"/>
          <w:lang w:val="en-US"/>
        </w:rPr>
        <w:t xml:space="preserve">of </w:t>
      </w:r>
      <w:r w:rsidR="00805C31" w:rsidRPr="00683D62">
        <w:rPr>
          <w:rFonts w:ascii="Times New Roman" w:hAnsi="Times New Roman"/>
          <w:sz w:val="24"/>
          <w:szCs w:val="24"/>
          <w:lang w:val="en-US"/>
        </w:rPr>
        <w:t>type 1 diabetes</w:t>
      </w:r>
      <w:r w:rsidR="00386A02" w:rsidRPr="00683D62">
        <w:rPr>
          <w:rFonts w:ascii="Times New Roman" w:hAnsi="Times New Roman"/>
          <w:sz w:val="24"/>
          <w:szCs w:val="24"/>
          <w:lang w:val="en-US"/>
        </w:rPr>
        <w:t xml:space="preserve"> (</w:t>
      </w:r>
      <w:r w:rsidR="000A7A43" w:rsidRPr="00683D62">
        <w:rPr>
          <w:rFonts w:ascii="Times New Roman" w:hAnsi="Times New Roman"/>
          <w:sz w:val="24"/>
          <w:szCs w:val="24"/>
          <w:lang w:val="en-US"/>
        </w:rPr>
        <w:t>8</w:t>
      </w:r>
      <w:r w:rsidR="00386A02" w:rsidRPr="00683D62">
        <w:rPr>
          <w:rFonts w:ascii="Times New Roman" w:hAnsi="Times New Roman"/>
          <w:sz w:val="24"/>
          <w:szCs w:val="24"/>
          <w:lang w:val="en-US"/>
        </w:rPr>
        <w:t>,</w:t>
      </w:r>
      <w:r w:rsidR="000A7A43" w:rsidRPr="00683D62">
        <w:rPr>
          <w:rFonts w:ascii="Times New Roman" w:hAnsi="Times New Roman"/>
          <w:sz w:val="24"/>
          <w:szCs w:val="24"/>
          <w:lang w:val="en-US"/>
        </w:rPr>
        <w:t>9</w:t>
      </w:r>
      <w:r w:rsidR="00386A02" w:rsidRPr="00683D62">
        <w:rPr>
          <w:rFonts w:ascii="Times New Roman" w:hAnsi="Times New Roman"/>
          <w:sz w:val="24"/>
          <w:szCs w:val="24"/>
          <w:lang w:val="en-US"/>
        </w:rPr>
        <w:t>).</w:t>
      </w:r>
      <w:r w:rsidRPr="00683D62">
        <w:rPr>
          <w:rFonts w:ascii="Times New Roman" w:hAnsi="Times New Roman"/>
          <w:sz w:val="24"/>
          <w:szCs w:val="24"/>
          <w:lang w:val="en-US"/>
        </w:rPr>
        <w:t xml:space="preserve"> They follow newborn children who have a </w:t>
      </w:r>
      <w:r w:rsidR="00C402AB" w:rsidRPr="00683D62">
        <w:rPr>
          <w:rFonts w:ascii="Times New Roman" w:hAnsi="Times New Roman"/>
          <w:sz w:val="24"/>
          <w:szCs w:val="24"/>
          <w:lang w:val="en-US"/>
        </w:rPr>
        <w:t>first-degree</w:t>
      </w:r>
      <w:r w:rsidRPr="00683D62">
        <w:rPr>
          <w:rFonts w:ascii="Times New Roman" w:hAnsi="Times New Roman"/>
          <w:sz w:val="24"/>
          <w:szCs w:val="24"/>
          <w:lang w:val="en-US"/>
        </w:rPr>
        <w:t xml:space="preserve"> relative</w:t>
      </w:r>
      <w:r w:rsidR="00B97623" w:rsidRPr="00683D62">
        <w:rPr>
          <w:rFonts w:ascii="Times New Roman" w:hAnsi="Times New Roman"/>
          <w:sz w:val="24"/>
          <w:szCs w:val="24"/>
          <w:lang w:val="en-US"/>
        </w:rPr>
        <w:t xml:space="preserve"> with type 1 diabetes</w:t>
      </w:r>
      <w:r w:rsidRPr="00683D62">
        <w:rPr>
          <w:rFonts w:ascii="Times New Roman" w:hAnsi="Times New Roman"/>
          <w:sz w:val="24"/>
          <w:szCs w:val="24"/>
          <w:lang w:val="en-US"/>
        </w:rPr>
        <w:t xml:space="preserve"> on the basis that </w:t>
      </w:r>
      <w:r w:rsidR="00D55485" w:rsidRPr="00683D62">
        <w:rPr>
          <w:rFonts w:ascii="Times New Roman" w:hAnsi="Times New Roman"/>
          <w:sz w:val="24"/>
          <w:szCs w:val="24"/>
          <w:lang w:val="en-US"/>
        </w:rPr>
        <w:t xml:space="preserve">they </w:t>
      </w:r>
      <w:r w:rsidRPr="00683D62">
        <w:rPr>
          <w:rFonts w:ascii="Times New Roman" w:hAnsi="Times New Roman"/>
          <w:sz w:val="24"/>
          <w:szCs w:val="24"/>
          <w:lang w:val="en-US"/>
        </w:rPr>
        <w:t xml:space="preserve">have an elevated risk </w:t>
      </w:r>
      <w:r w:rsidR="00D55485" w:rsidRPr="00683D62">
        <w:rPr>
          <w:rFonts w:ascii="Times New Roman" w:hAnsi="Times New Roman"/>
          <w:sz w:val="24"/>
          <w:szCs w:val="24"/>
          <w:lang w:val="en-US"/>
        </w:rPr>
        <w:t xml:space="preserve">of </w:t>
      </w:r>
      <w:r w:rsidRPr="00683D62">
        <w:rPr>
          <w:rFonts w:ascii="Times New Roman" w:hAnsi="Times New Roman"/>
          <w:sz w:val="24"/>
          <w:szCs w:val="24"/>
          <w:lang w:val="en-US"/>
        </w:rPr>
        <w:t>develop</w:t>
      </w:r>
      <w:r w:rsidR="00D55485" w:rsidRPr="00683D62">
        <w:rPr>
          <w:rFonts w:ascii="Times New Roman" w:hAnsi="Times New Roman"/>
          <w:sz w:val="24"/>
          <w:szCs w:val="24"/>
          <w:lang w:val="en-US"/>
        </w:rPr>
        <w:t>ing</w:t>
      </w:r>
      <w:r w:rsidRPr="00683D62">
        <w:rPr>
          <w:rFonts w:ascii="Times New Roman" w:hAnsi="Times New Roman"/>
          <w:sz w:val="24"/>
          <w:szCs w:val="24"/>
          <w:lang w:val="en-US"/>
        </w:rPr>
        <w:t xml:space="preserve"> the disease. Over the course of follow-up</w:t>
      </w:r>
      <w:r w:rsidR="00571A44" w:rsidRPr="00683D62">
        <w:rPr>
          <w:rFonts w:ascii="Times New Roman" w:hAnsi="Times New Roman"/>
          <w:sz w:val="24"/>
          <w:szCs w:val="24"/>
          <w:lang w:val="en-US"/>
        </w:rPr>
        <w:t>,</w:t>
      </w:r>
      <w:r w:rsidRPr="00683D62">
        <w:rPr>
          <w:rFonts w:ascii="Times New Roman" w:hAnsi="Times New Roman"/>
          <w:sz w:val="24"/>
          <w:szCs w:val="24"/>
          <w:lang w:val="en-US"/>
        </w:rPr>
        <w:t xml:space="preserve"> </w:t>
      </w:r>
      <w:r w:rsidR="00D55485" w:rsidRPr="00683D62">
        <w:rPr>
          <w:rFonts w:ascii="Times New Roman" w:hAnsi="Times New Roman"/>
          <w:sz w:val="24"/>
          <w:szCs w:val="24"/>
          <w:lang w:val="en-US"/>
        </w:rPr>
        <w:t xml:space="preserve">the subjects were also observed to be at </w:t>
      </w:r>
      <w:r w:rsidRPr="00683D62">
        <w:rPr>
          <w:rFonts w:ascii="Times New Roman" w:hAnsi="Times New Roman"/>
          <w:sz w:val="24"/>
          <w:szCs w:val="24"/>
          <w:lang w:val="en-US"/>
        </w:rPr>
        <w:t xml:space="preserve">risk </w:t>
      </w:r>
      <w:r w:rsidR="00D55485" w:rsidRPr="00683D62">
        <w:rPr>
          <w:rFonts w:ascii="Times New Roman" w:hAnsi="Times New Roman"/>
          <w:sz w:val="24"/>
          <w:szCs w:val="24"/>
          <w:lang w:val="en-US"/>
        </w:rPr>
        <w:t>of</w:t>
      </w:r>
      <w:r w:rsidRPr="00683D62">
        <w:rPr>
          <w:rFonts w:ascii="Times New Roman" w:hAnsi="Times New Roman"/>
          <w:sz w:val="24"/>
          <w:szCs w:val="24"/>
          <w:lang w:val="en-US"/>
        </w:rPr>
        <w:t xml:space="preserve"> </w:t>
      </w:r>
      <w:r w:rsidR="00B97623" w:rsidRPr="00683D62">
        <w:rPr>
          <w:rFonts w:ascii="Times New Roman" w:hAnsi="Times New Roman"/>
          <w:sz w:val="24"/>
          <w:szCs w:val="24"/>
          <w:lang w:val="en-US"/>
        </w:rPr>
        <w:t xml:space="preserve">developing </w:t>
      </w:r>
      <w:r w:rsidRPr="00683D62">
        <w:rPr>
          <w:rFonts w:ascii="Times New Roman" w:hAnsi="Times New Roman"/>
          <w:sz w:val="24"/>
          <w:szCs w:val="24"/>
          <w:lang w:val="en-US"/>
        </w:rPr>
        <w:t>other auto</w:t>
      </w:r>
      <w:r w:rsidR="00805C31" w:rsidRPr="00683D62">
        <w:rPr>
          <w:rFonts w:ascii="Times New Roman" w:hAnsi="Times New Roman"/>
          <w:sz w:val="24"/>
          <w:szCs w:val="24"/>
          <w:lang w:val="en-US"/>
        </w:rPr>
        <w:t>antibodies</w:t>
      </w:r>
      <w:r w:rsidR="00386A02" w:rsidRPr="00683D62">
        <w:rPr>
          <w:rFonts w:ascii="Times New Roman" w:hAnsi="Times New Roman"/>
          <w:sz w:val="24"/>
          <w:szCs w:val="24"/>
          <w:lang w:val="en-US"/>
        </w:rPr>
        <w:t xml:space="preserve"> (</w:t>
      </w:r>
      <w:r w:rsidR="000A7A43" w:rsidRPr="00683D62">
        <w:rPr>
          <w:rFonts w:ascii="Times New Roman" w:hAnsi="Times New Roman"/>
          <w:sz w:val="24"/>
          <w:szCs w:val="24"/>
          <w:lang w:val="en-US"/>
        </w:rPr>
        <w:t>10</w:t>
      </w:r>
      <w:r w:rsidR="00386A02" w:rsidRPr="00683D62">
        <w:rPr>
          <w:rFonts w:ascii="Times New Roman" w:hAnsi="Times New Roman"/>
          <w:sz w:val="24"/>
          <w:szCs w:val="24"/>
          <w:lang w:val="en-US"/>
        </w:rPr>
        <w:t>,1</w:t>
      </w:r>
      <w:r w:rsidR="000A7A43" w:rsidRPr="00683D62">
        <w:rPr>
          <w:rFonts w:ascii="Times New Roman" w:hAnsi="Times New Roman"/>
          <w:sz w:val="24"/>
          <w:szCs w:val="24"/>
          <w:lang w:val="en-US"/>
        </w:rPr>
        <w:t>1</w:t>
      </w:r>
      <w:r w:rsidR="00386A02" w:rsidRPr="00683D62">
        <w:rPr>
          <w:rFonts w:ascii="Times New Roman" w:hAnsi="Times New Roman"/>
          <w:sz w:val="24"/>
          <w:szCs w:val="24"/>
          <w:lang w:val="en-US"/>
        </w:rPr>
        <w:t>)</w:t>
      </w:r>
      <w:r w:rsidR="005806E0" w:rsidRPr="00683D62">
        <w:rPr>
          <w:rFonts w:ascii="Times New Roman" w:hAnsi="Times New Roman"/>
          <w:sz w:val="24"/>
          <w:szCs w:val="24"/>
          <w:lang w:val="en-US"/>
        </w:rPr>
        <w:t>, similar to findings in patients with type 1 diabetes (</w:t>
      </w:r>
      <w:r w:rsidR="00BC3AE6" w:rsidRPr="00683D62">
        <w:rPr>
          <w:rFonts w:ascii="Times New Roman" w:hAnsi="Times New Roman"/>
          <w:sz w:val="24"/>
          <w:szCs w:val="24"/>
          <w:lang w:val="en-US"/>
        </w:rPr>
        <w:t>1</w:t>
      </w:r>
      <w:r w:rsidR="000A7A43" w:rsidRPr="00683D62">
        <w:rPr>
          <w:rFonts w:ascii="Times New Roman" w:hAnsi="Times New Roman"/>
          <w:sz w:val="24"/>
          <w:szCs w:val="24"/>
          <w:lang w:val="en-US"/>
        </w:rPr>
        <w:t>2</w:t>
      </w:r>
      <w:r w:rsidR="00BC3AE6" w:rsidRPr="00683D62">
        <w:rPr>
          <w:rFonts w:ascii="Times New Roman" w:hAnsi="Times New Roman"/>
          <w:sz w:val="24"/>
          <w:szCs w:val="24"/>
          <w:lang w:val="en-US"/>
        </w:rPr>
        <w:t>-1</w:t>
      </w:r>
      <w:r w:rsidR="000A7A43" w:rsidRPr="00683D62">
        <w:rPr>
          <w:rFonts w:ascii="Times New Roman" w:hAnsi="Times New Roman"/>
          <w:sz w:val="24"/>
          <w:szCs w:val="24"/>
          <w:lang w:val="en-US"/>
        </w:rPr>
        <w:t>5</w:t>
      </w:r>
      <w:r w:rsidR="005806E0" w:rsidRPr="00683D62">
        <w:rPr>
          <w:rFonts w:ascii="Times New Roman" w:hAnsi="Times New Roman"/>
          <w:sz w:val="24"/>
          <w:szCs w:val="24"/>
          <w:lang w:val="en-US"/>
        </w:rPr>
        <w:t>) and in their family members (</w:t>
      </w:r>
      <w:r w:rsidR="001D7E21" w:rsidRPr="00683D62">
        <w:rPr>
          <w:rFonts w:ascii="Times New Roman" w:hAnsi="Times New Roman"/>
          <w:sz w:val="24"/>
          <w:szCs w:val="24"/>
          <w:lang w:val="en-US"/>
        </w:rPr>
        <w:t>1</w:t>
      </w:r>
      <w:r w:rsidR="000A7A43" w:rsidRPr="00683D62">
        <w:rPr>
          <w:rFonts w:ascii="Times New Roman" w:hAnsi="Times New Roman"/>
          <w:sz w:val="24"/>
          <w:szCs w:val="24"/>
          <w:lang w:val="en-US"/>
        </w:rPr>
        <w:t>6</w:t>
      </w:r>
      <w:r w:rsidR="001D7E21" w:rsidRPr="00683D62">
        <w:rPr>
          <w:rFonts w:ascii="Times New Roman" w:hAnsi="Times New Roman"/>
          <w:sz w:val="24"/>
          <w:szCs w:val="24"/>
          <w:lang w:val="en-US"/>
        </w:rPr>
        <w:t>-</w:t>
      </w:r>
      <w:r w:rsidR="000A7A43" w:rsidRPr="00683D62">
        <w:rPr>
          <w:rFonts w:ascii="Times New Roman" w:hAnsi="Times New Roman"/>
          <w:sz w:val="24"/>
          <w:szCs w:val="24"/>
          <w:lang w:val="en-US"/>
        </w:rPr>
        <w:t>18</w:t>
      </w:r>
      <w:r w:rsidR="005806E0" w:rsidRPr="00683D62">
        <w:rPr>
          <w:rFonts w:ascii="Times New Roman" w:hAnsi="Times New Roman"/>
          <w:sz w:val="24"/>
          <w:szCs w:val="24"/>
          <w:lang w:val="en-US"/>
        </w:rPr>
        <w:t>)</w:t>
      </w:r>
      <w:r w:rsidRPr="00683D62">
        <w:rPr>
          <w:rFonts w:ascii="Times New Roman" w:hAnsi="Times New Roman"/>
          <w:sz w:val="24"/>
          <w:szCs w:val="24"/>
          <w:lang w:val="en-US"/>
        </w:rPr>
        <w:t xml:space="preserve">. The participants </w:t>
      </w:r>
      <w:r w:rsidR="00D55485" w:rsidRPr="00683D62">
        <w:rPr>
          <w:rFonts w:ascii="Times New Roman" w:hAnsi="Times New Roman"/>
          <w:sz w:val="24"/>
          <w:szCs w:val="24"/>
          <w:lang w:val="en-US"/>
        </w:rPr>
        <w:t xml:space="preserve">in </w:t>
      </w:r>
      <w:r w:rsidR="00805C31" w:rsidRPr="00683D62">
        <w:rPr>
          <w:rFonts w:ascii="Times New Roman" w:hAnsi="Times New Roman"/>
          <w:sz w:val="24"/>
          <w:szCs w:val="24"/>
          <w:lang w:val="en-US"/>
        </w:rPr>
        <w:t xml:space="preserve">these </w:t>
      </w:r>
      <w:r w:rsidRPr="00683D62">
        <w:rPr>
          <w:rFonts w:ascii="Times New Roman" w:hAnsi="Times New Roman"/>
          <w:sz w:val="24"/>
          <w:szCs w:val="24"/>
          <w:lang w:val="en-US"/>
        </w:rPr>
        <w:t>stud</w:t>
      </w:r>
      <w:r w:rsidR="00805C31" w:rsidRPr="00683D62">
        <w:rPr>
          <w:rFonts w:ascii="Times New Roman" w:hAnsi="Times New Roman"/>
          <w:sz w:val="24"/>
          <w:szCs w:val="24"/>
          <w:lang w:val="en-US"/>
        </w:rPr>
        <w:t>ies</w:t>
      </w:r>
      <w:r w:rsidRPr="00683D62">
        <w:rPr>
          <w:rFonts w:ascii="Times New Roman" w:hAnsi="Times New Roman"/>
          <w:sz w:val="24"/>
          <w:szCs w:val="24"/>
          <w:lang w:val="en-US"/>
        </w:rPr>
        <w:t xml:space="preserve"> are now approaching 30 years of age, </w:t>
      </w:r>
      <w:r w:rsidR="005A3E61" w:rsidRPr="00683D62">
        <w:rPr>
          <w:rFonts w:ascii="Times New Roman" w:hAnsi="Times New Roman"/>
          <w:sz w:val="24"/>
          <w:szCs w:val="24"/>
          <w:lang w:val="en-US"/>
        </w:rPr>
        <w:t xml:space="preserve">and provide </w:t>
      </w:r>
      <w:r w:rsidRPr="00683D62">
        <w:rPr>
          <w:rFonts w:ascii="Times New Roman" w:hAnsi="Times New Roman"/>
          <w:sz w:val="24"/>
          <w:szCs w:val="24"/>
          <w:lang w:val="en-US"/>
        </w:rPr>
        <w:t xml:space="preserve">a </w:t>
      </w:r>
      <w:r w:rsidR="00805C31" w:rsidRPr="00683D62">
        <w:rPr>
          <w:rFonts w:ascii="Times New Roman" w:hAnsi="Times New Roman"/>
          <w:sz w:val="24"/>
          <w:szCs w:val="24"/>
          <w:lang w:val="en-US"/>
        </w:rPr>
        <w:t xml:space="preserve">unique </w:t>
      </w:r>
      <w:r w:rsidRPr="00683D62">
        <w:rPr>
          <w:rFonts w:ascii="Times New Roman" w:hAnsi="Times New Roman"/>
          <w:sz w:val="24"/>
          <w:szCs w:val="24"/>
          <w:lang w:val="en-US"/>
        </w:rPr>
        <w:t xml:space="preserve">opportunity to track </w:t>
      </w:r>
      <w:r w:rsidR="00805C31" w:rsidRPr="00683D62">
        <w:rPr>
          <w:rFonts w:ascii="Times New Roman" w:hAnsi="Times New Roman"/>
          <w:sz w:val="24"/>
          <w:szCs w:val="24"/>
          <w:lang w:val="en-US"/>
        </w:rPr>
        <w:t xml:space="preserve">the </w:t>
      </w:r>
      <w:r w:rsidRPr="00683D62">
        <w:rPr>
          <w:rFonts w:ascii="Times New Roman" w:hAnsi="Times New Roman"/>
          <w:sz w:val="24"/>
          <w:szCs w:val="24"/>
          <w:lang w:val="en-US"/>
        </w:rPr>
        <w:t xml:space="preserve">course </w:t>
      </w:r>
      <w:r w:rsidR="00805C31" w:rsidRPr="00683D62">
        <w:rPr>
          <w:rFonts w:ascii="Times New Roman" w:hAnsi="Times New Roman"/>
          <w:sz w:val="24"/>
          <w:szCs w:val="24"/>
          <w:lang w:val="en-US"/>
        </w:rPr>
        <w:t xml:space="preserve">of autoimmunity </w:t>
      </w:r>
      <w:r w:rsidRPr="00683D62">
        <w:rPr>
          <w:rFonts w:ascii="Times New Roman" w:hAnsi="Times New Roman"/>
          <w:sz w:val="24"/>
          <w:szCs w:val="24"/>
          <w:lang w:val="en-US"/>
        </w:rPr>
        <w:t xml:space="preserve">from birth to adulthood. </w:t>
      </w:r>
      <w:r w:rsidR="00805C31" w:rsidRPr="00683D62">
        <w:rPr>
          <w:rFonts w:ascii="Times New Roman" w:hAnsi="Times New Roman"/>
          <w:sz w:val="24"/>
          <w:szCs w:val="24"/>
          <w:lang w:val="en-US"/>
        </w:rPr>
        <w:t xml:space="preserve">The aim of this study was to determine the risk </w:t>
      </w:r>
      <w:r w:rsidR="00D55485" w:rsidRPr="00683D62">
        <w:rPr>
          <w:rFonts w:ascii="Times New Roman" w:hAnsi="Times New Roman"/>
          <w:sz w:val="24"/>
          <w:szCs w:val="24"/>
          <w:lang w:val="en-US"/>
        </w:rPr>
        <w:t xml:space="preserve">of </w:t>
      </w:r>
      <w:r w:rsidR="00805C31" w:rsidRPr="00683D62">
        <w:rPr>
          <w:rFonts w:ascii="Times New Roman" w:hAnsi="Times New Roman"/>
          <w:sz w:val="24"/>
          <w:szCs w:val="24"/>
          <w:lang w:val="en-US"/>
        </w:rPr>
        <w:t xml:space="preserve">organ-specific autoimmunity in individuals </w:t>
      </w:r>
      <w:r w:rsidR="00D55485" w:rsidRPr="00683D62">
        <w:rPr>
          <w:rFonts w:ascii="Times New Roman" w:hAnsi="Times New Roman"/>
          <w:sz w:val="24"/>
          <w:szCs w:val="24"/>
          <w:lang w:val="en-US"/>
        </w:rPr>
        <w:t>with</w:t>
      </w:r>
      <w:r w:rsidR="00805C31" w:rsidRPr="00683D62">
        <w:rPr>
          <w:rFonts w:ascii="Times New Roman" w:hAnsi="Times New Roman"/>
          <w:sz w:val="24"/>
          <w:szCs w:val="24"/>
          <w:lang w:val="en-US"/>
        </w:rPr>
        <w:t xml:space="preserve"> a family history of </w:t>
      </w:r>
      <w:r w:rsidR="00B97623" w:rsidRPr="00683D62">
        <w:rPr>
          <w:rFonts w:ascii="Times New Roman" w:hAnsi="Times New Roman"/>
          <w:sz w:val="24"/>
          <w:szCs w:val="24"/>
          <w:lang w:val="en-US"/>
        </w:rPr>
        <w:t>type 1 diabetes</w:t>
      </w:r>
      <w:r w:rsidR="00805C31" w:rsidRPr="00683D62">
        <w:rPr>
          <w:rFonts w:ascii="Times New Roman" w:hAnsi="Times New Roman"/>
          <w:sz w:val="24"/>
          <w:szCs w:val="24"/>
          <w:lang w:val="en-US"/>
        </w:rPr>
        <w:t xml:space="preserve">. </w:t>
      </w:r>
      <w:r w:rsidR="00D55485" w:rsidRPr="00683D62">
        <w:rPr>
          <w:rFonts w:ascii="Times New Roman" w:hAnsi="Times New Roman"/>
          <w:sz w:val="24"/>
          <w:szCs w:val="24"/>
          <w:lang w:val="en-US"/>
        </w:rPr>
        <w:t xml:space="preserve">Our </w:t>
      </w:r>
      <w:r w:rsidRPr="00683D62">
        <w:rPr>
          <w:rFonts w:ascii="Times New Roman" w:hAnsi="Times New Roman"/>
          <w:sz w:val="24"/>
          <w:szCs w:val="24"/>
          <w:lang w:val="en-US"/>
        </w:rPr>
        <w:t>findings demonstrate distinct age, sex, and genetic profiles for</w:t>
      </w:r>
      <w:r w:rsidR="00D55485" w:rsidRPr="00683D62">
        <w:rPr>
          <w:rFonts w:ascii="Times New Roman" w:hAnsi="Times New Roman"/>
          <w:sz w:val="24"/>
          <w:szCs w:val="24"/>
          <w:lang w:val="en-US"/>
        </w:rPr>
        <w:t xml:space="preserve"> the</w:t>
      </w:r>
      <w:r w:rsidRPr="00683D62">
        <w:rPr>
          <w:rFonts w:ascii="Times New Roman" w:hAnsi="Times New Roman"/>
          <w:sz w:val="24"/>
          <w:szCs w:val="24"/>
          <w:lang w:val="en-US"/>
        </w:rPr>
        <w:t xml:space="preserve"> autoantibodies associated with </w:t>
      </w:r>
      <w:r w:rsidR="00D55485" w:rsidRPr="00683D62">
        <w:rPr>
          <w:rFonts w:ascii="Times New Roman" w:hAnsi="Times New Roman"/>
          <w:sz w:val="24"/>
          <w:szCs w:val="24"/>
          <w:lang w:val="en-US"/>
        </w:rPr>
        <w:t xml:space="preserve">the </w:t>
      </w:r>
      <w:r w:rsidRPr="00683D62">
        <w:rPr>
          <w:rFonts w:ascii="Times New Roman" w:hAnsi="Times New Roman"/>
          <w:sz w:val="24"/>
          <w:szCs w:val="24"/>
          <w:lang w:val="en-US"/>
        </w:rPr>
        <w:t>three diseases</w:t>
      </w:r>
      <w:r w:rsidR="005A3E61" w:rsidRPr="00683D62">
        <w:rPr>
          <w:rFonts w:ascii="Times New Roman" w:hAnsi="Times New Roman"/>
          <w:sz w:val="24"/>
          <w:szCs w:val="24"/>
          <w:lang w:val="en-US"/>
        </w:rPr>
        <w:t xml:space="preserve"> examined</w:t>
      </w:r>
      <w:r w:rsidR="00D55485" w:rsidRPr="00683D62">
        <w:rPr>
          <w:rFonts w:ascii="Times New Roman" w:hAnsi="Times New Roman"/>
          <w:sz w:val="24"/>
          <w:szCs w:val="24"/>
          <w:lang w:val="en-US"/>
        </w:rPr>
        <w:t>,</w:t>
      </w:r>
      <w:r w:rsidRPr="00683D62">
        <w:rPr>
          <w:rFonts w:ascii="Times New Roman" w:hAnsi="Times New Roman"/>
          <w:sz w:val="24"/>
          <w:szCs w:val="24"/>
          <w:lang w:val="en-US"/>
        </w:rPr>
        <w:t xml:space="preserve"> </w:t>
      </w:r>
      <w:r w:rsidR="00D55485" w:rsidRPr="00683D62">
        <w:rPr>
          <w:rFonts w:ascii="Times New Roman" w:hAnsi="Times New Roman"/>
          <w:sz w:val="24"/>
          <w:szCs w:val="24"/>
          <w:lang w:val="en-US"/>
        </w:rPr>
        <w:t xml:space="preserve">which </w:t>
      </w:r>
      <w:r w:rsidRPr="00683D62">
        <w:rPr>
          <w:rFonts w:ascii="Times New Roman" w:hAnsi="Times New Roman"/>
          <w:sz w:val="24"/>
          <w:szCs w:val="24"/>
          <w:lang w:val="en-US"/>
        </w:rPr>
        <w:t>occur with surprising</w:t>
      </w:r>
      <w:r w:rsidR="00805C31" w:rsidRPr="00683D62">
        <w:rPr>
          <w:rFonts w:ascii="Times New Roman" w:hAnsi="Times New Roman"/>
          <w:sz w:val="24"/>
          <w:szCs w:val="24"/>
          <w:lang w:val="en-US"/>
        </w:rPr>
        <w:t>ly high</w:t>
      </w:r>
      <w:r w:rsidRPr="00683D62">
        <w:rPr>
          <w:rFonts w:ascii="Times New Roman" w:hAnsi="Times New Roman"/>
          <w:sz w:val="24"/>
          <w:szCs w:val="24"/>
          <w:lang w:val="en-US"/>
        </w:rPr>
        <w:t xml:space="preserve"> frequency </w:t>
      </w:r>
      <w:r w:rsidR="00805C31" w:rsidRPr="00683D62">
        <w:rPr>
          <w:rFonts w:ascii="Times New Roman" w:hAnsi="Times New Roman"/>
          <w:sz w:val="24"/>
          <w:szCs w:val="24"/>
          <w:lang w:val="en-US"/>
        </w:rPr>
        <w:t>in first-degree relatives of patients with type 1 diabetes</w:t>
      </w:r>
      <w:r w:rsidRPr="00683D62">
        <w:rPr>
          <w:rFonts w:ascii="Times New Roman" w:hAnsi="Times New Roman"/>
          <w:sz w:val="24"/>
          <w:szCs w:val="24"/>
          <w:lang w:val="en-US"/>
        </w:rPr>
        <w:t xml:space="preserve">. </w:t>
      </w:r>
      <w:r w:rsidR="005A3E61" w:rsidRPr="00683D62">
        <w:rPr>
          <w:rFonts w:ascii="Times New Roman" w:hAnsi="Times New Roman"/>
          <w:sz w:val="24"/>
          <w:szCs w:val="24"/>
          <w:lang w:val="en-US"/>
        </w:rPr>
        <w:t xml:space="preserve">Our </w:t>
      </w:r>
      <w:r w:rsidRPr="00683D62">
        <w:rPr>
          <w:rFonts w:ascii="Times New Roman" w:hAnsi="Times New Roman"/>
          <w:sz w:val="24"/>
          <w:szCs w:val="24"/>
          <w:lang w:val="en-US"/>
        </w:rPr>
        <w:t xml:space="preserve">findings are relevant to </w:t>
      </w:r>
      <w:r w:rsidR="00D55485" w:rsidRPr="00683D62">
        <w:rPr>
          <w:rFonts w:ascii="Times New Roman" w:hAnsi="Times New Roman"/>
          <w:sz w:val="24"/>
          <w:szCs w:val="24"/>
          <w:lang w:val="en-US"/>
        </w:rPr>
        <w:t xml:space="preserve">the </w:t>
      </w:r>
      <w:r w:rsidRPr="00683D62">
        <w:rPr>
          <w:rFonts w:ascii="Times New Roman" w:hAnsi="Times New Roman"/>
          <w:sz w:val="24"/>
          <w:szCs w:val="24"/>
          <w:lang w:val="en-US"/>
        </w:rPr>
        <w:t xml:space="preserve">causes </w:t>
      </w:r>
      <w:r w:rsidR="00D55485" w:rsidRPr="00683D62">
        <w:rPr>
          <w:rFonts w:ascii="Times New Roman" w:hAnsi="Times New Roman"/>
          <w:sz w:val="24"/>
          <w:szCs w:val="24"/>
          <w:lang w:val="en-US"/>
        </w:rPr>
        <w:t xml:space="preserve">of </w:t>
      </w:r>
      <w:r w:rsidRPr="00683D62">
        <w:rPr>
          <w:rFonts w:ascii="Times New Roman" w:hAnsi="Times New Roman"/>
          <w:sz w:val="24"/>
          <w:szCs w:val="24"/>
          <w:lang w:val="en-US"/>
        </w:rPr>
        <w:t xml:space="preserve">autoimmunity and </w:t>
      </w:r>
      <w:r w:rsidR="009F5720" w:rsidRPr="00683D62">
        <w:rPr>
          <w:rFonts w:ascii="Times New Roman" w:hAnsi="Times New Roman"/>
          <w:sz w:val="24"/>
          <w:szCs w:val="24"/>
          <w:lang w:val="en-US"/>
        </w:rPr>
        <w:t xml:space="preserve">provide a strong rationale and </w:t>
      </w:r>
      <w:r w:rsidR="004B7B21" w:rsidRPr="00683D62">
        <w:rPr>
          <w:rFonts w:ascii="Times New Roman" w:hAnsi="Times New Roman"/>
          <w:sz w:val="24"/>
          <w:szCs w:val="24"/>
          <w:lang w:val="en-US"/>
        </w:rPr>
        <w:t xml:space="preserve">practical </w:t>
      </w:r>
      <w:r w:rsidR="009F5720" w:rsidRPr="00683D62">
        <w:rPr>
          <w:rFonts w:ascii="Times New Roman" w:hAnsi="Times New Roman"/>
          <w:sz w:val="24"/>
          <w:szCs w:val="24"/>
          <w:lang w:val="en-US"/>
        </w:rPr>
        <w:t xml:space="preserve">guidelines for </w:t>
      </w:r>
      <w:r w:rsidR="009F5720" w:rsidRPr="00683D62">
        <w:rPr>
          <w:rFonts w:ascii="Times New Roman" w:eastAsia="Times New Roman" w:hAnsi="Times New Roman"/>
          <w:sz w:val="24"/>
          <w:szCs w:val="24"/>
          <w:lang w:val="en-US"/>
        </w:rPr>
        <w:t>autoantibody testing in members of families</w:t>
      </w:r>
      <w:r w:rsidR="007D14E9" w:rsidRPr="00683D62">
        <w:rPr>
          <w:rFonts w:ascii="Times New Roman" w:hAnsi="Times New Roman"/>
          <w:sz w:val="24"/>
          <w:szCs w:val="24"/>
          <w:lang w:val="en-US"/>
        </w:rPr>
        <w:t xml:space="preserve"> </w:t>
      </w:r>
      <w:r w:rsidR="009F5720" w:rsidRPr="00683D62">
        <w:rPr>
          <w:rFonts w:ascii="Times New Roman" w:hAnsi="Times New Roman"/>
          <w:sz w:val="24"/>
          <w:szCs w:val="24"/>
          <w:lang w:val="en-US"/>
        </w:rPr>
        <w:t>affected by type 1 diabetes</w:t>
      </w:r>
      <w:r w:rsidRPr="00683D62">
        <w:rPr>
          <w:rFonts w:ascii="Times New Roman" w:hAnsi="Times New Roman"/>
          <w:sz w:val="24"/>
          <w:szCs w:val="24"/>
          <w:lang w:val="en-US"/>
        </w:rPr>
        <w:t>.</w:t>
      </w:r>
    </w:p>
    <w:p w14:paraId="4F2DCA3D" w14:textId="77777777" w:rsidR="00087FF6" w:rsidRPr="00683D62" w:rsidRDefault="00087FF6" w:rsidP="00F850AA">
      <w:pPr>
        <w:spacing w:after="0" w:line="480" w:lineRule="auto"/>
        <w:jc w:val="both"/>
        <w:outlineLvl w:val="0"/>
        <w:rPr>
          <w:rFonts w:ascii="Times New Roman" w:hAnsi="Times New Roman"/>
          <w:sz w:val="24"/>
          <w:szCs w:val="24"/>
          <w:lang w:val="en-US"/>
        </w:rPr>
      </w:pPr>
    </w:p>
    <w:p w14:paraId="44919F22" w14:textId="77777777" w:rsidR="001E4BE8" w:rsidRPr="00683D62" w:rsidRDefault="001E4BE8" w:rsidP="00F850AA">
      <w:pPr>
        <w:spacing w:after="0" w:line="480" w:lineRule="auto"/>
        <w:jc w:val="both"/>
        <w:outlineLvl w:val="0"/>
        <w:rPr>
          <w:rFonts w:ascii="Times New Roman" w:hAnsi="Times New Roman"/>
          <w:sz w:val="24"/>
          <w:szCs w:val="24"/>
          <w:lang w:val="en-US"/>
        </w:rPr>
      </w:pPr>
    </w:p>
    <w:p w14:paraId="3427F8B5" w14:textId="77777777" w:rsidR="00E43546" w:rsidRPr="00683D62" w:rsidRDefault="00E43546" w:rsidP="00F850AA">
      <w:pPr>
        <w:spacing w:after="0" w:line="480" w:lineRule="auto"/>
        <w:jc w:val="both"/>
        <w:outlineLvl w:val="0"/>
        <w:rPr>
          <w:rFonts w:ascii="Times New Roman" w:hAnsi="Times New Roman"/>
          <w:sz w:val="24"/>
          <w:szCs w:val="24"/>
          <w:lang w:val="en-US"/>
        </w:rPr>
      </w:pPr>
    </w:p>
    <w:p w14:paraId="258F2DF6" w14:textId="712FF112" w:rsidR="007371CC" w:rsidRPr="00683D62" w:rsidRDefault="00EF2B52" w:rsidP="00F850AA">
      <w:pPr>
        <w:spacing w:after="0" w:line="480" w:lineRule="auto"/>
        <w:jc w:val="both"/>
        <w:outlineLvl w:val="0"/>
        <w:rPr>
          <w:rFonts w:ascii="Times New Roman" w:hAnsi="Times New Roman"/>
          <w:sz w:val="24"/>
          <w:szCs w:val="24"/>
          <w:lang w:val="en-US"/>
        </w:rPr>
      </w:pPr>
      <w:r w:rsidRPr="00683D62">
        <w:rPr>
          <w:rFonts w:ascii="Times New Roman" w:hAnsi="Times New Roman"/>
          <w:sz w:val="24"/>
          <w:szCs w:val="24"/>
          <w:lang w:val="en-US"/>
        </w:rPr>
        <w:lastRenderedPageBreak/>
        <w:t xml:space="preserve">Research Design and </w:t>
      </w:r>
      <w:r w:rsidR="007371CC" w:rsidRPr="00683D62">
        <w:rPr>
          <w:rFonts w:ascii="Times New Roman" w:hAnsi="Times New Roman"/>
          <w:sz w:val="24"/>
          <w:szCs w:val="24"/>
          <w:lang w:val="en-US"/>
        </w:rPr>
        <w:t>Methods</w:t>
      </w:r>
    </w:p>
    <w:p w14:paraId="39D3F690" w14:textId="77777777" w:rsidR="00B42569" w:rsidRPr="00683D62" w:rsidRDefault="00B42569" w:rsidP="00F850AA">
      <w:pPr>
        <w:spacing w:after="0" w:line="480" w:lineRule="auto"/>
        <w:jc w:val="both"/>
        <w:outlineLvl w:val="0"/>
        <w:rPr>
          <w:rFonts w:ascii="Times New Roman" w:hAnsi="Times New Roman"/>
          <w:sz w:val="24"/>
          <w:szCs w:val="24"/>
          <w:lang w:val="en-US"/>
        </w:rPr>
      </w:pPr>
    </w:p>
    <w:p w14:paraId="00E30DD0" w14:textId="7E816795" w:rsidR="00EC71E6" w:rsidRPr="00683D62" w:rsidRDefault="007371CC" w:rsidP="00F850AA">
      <w:pPr>
        <w:spacing w:after="0" w:line="480" w:lineRule="auto"/>
        <w:jc w:val="both"/>
        <w:outlineLvl w:val="0"/>
        <w:rPr>
          <w:rFonts w:ascii="Times New Roman" w:hAnsi="Times New Roman"/>
          <w:i/>
          <w:sz w:val="24"/>
          <w:szCs w:val="24"/>
          <w:lang w:val="en-US"/>
        </w:rPr>
      </w:pPr>
      <w:r w:rsidRPr="00683D62">
        <w:rPr>
          <w:rFonts w:ascii="Times New Roman" w:hAnsi="Times New Roman"/>
          <w:i/>
          <w:sz w:val="24"/>
          <w:szCs w:val="24"/>
          <w:lang w:val="en-US"/>
        </w:rPr>
        <w:t xml:space="preserve">Study </w:t>
      </w:r>
      <w:r w:rsidR="00D55485" w:rsidRPr="00683D62">
        <w:rPr>
          <w:rFonts w:ascii="Times New Roman" w:hAnsi="Times New Roman"/>
          <w:i/>
          <w:sz w:val="24"/>
          <w:szCs w:val="24"/>
          <w:lang w:val="en-US"/>
        </w:rPr>
        <w:t>population</w:t>
      </w:r>
    </w:p>
    <w:p w14:paraId="21959711" w14:textId="5C884297" w:rsidR="00973E98" w:rsidRPr="00683D62" w:rsidRDefault="007371CC" w:rsidP="00EC61DD">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Data from two German birth cohorts</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of individuals with a </w:t>
      </w:r>
      <w:r w:rsidR="00C402AB" w:rsidRPr="00683D62">
        <w:rPr>
          <w:rFonts w:ascii="Times New Roman" w:hAnsi="Times New Roman"/>
          <w:sz w:val="24"/>
          <w:szCs w:val="24"/>
          <w:lang w:val="en-US" w:eastAsia="de-DE"/>
        </w:rPr>
        <w:t>first-degree</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family history of type 1 diabetes</w:t>
      </w:r>
      <w:r w:rsidR="00D55485" w:rsidRPr="00683D62">
        <w:rPr>
          <w:rFonts w:ascii="Times New Roman" w:hAnsi="Times New Roman"/>
          <w:sz w:val="24"/>
          <w:szCs w:val="24"/>
          <w:lang w:val="en-US" w:eastAsia="de-DE"/>
        </w:rPr>
        <w:t>,</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born b</w:t>
      </w:r>
      <w:r w:rsidR="00FA0D6C" w:rsidRPr="00683D62">
        <w:rPr>
          <w:rFonts w:ascii="Times New Roman" w:hAnsi="Times New Roman"/>
          <w:sz w:val="24"/>
          <w:szCs w:val="24"/>
          <w:lang w:val="en-US" w:eastAsia="de-DE"/>
        </w:rPr>
        <w:t>etween 1989 and 2000 (BABYDIA</w:t>
      </w:r>
      <w:r w:rsidR="00386A02" w:rsidRPr="00683D62">
        <w:rPr>
          <w:rFonts w:ascii="Times New Roman" w:hAnsi="Times New Roman"/>
          <w:sz w:val="24"/>
          <w:szCs w:val="24"/>
          <w:lang w:val="en-US" w:eastAsia="de-DE"/>
        </w:rPr>
        <w:t>B</w:t>
      </w:r>
      <w:r w:rsidRPr="00683D62">
        <w:rPr>
          <w:rFonts w:ascii="Times New Roman" w:hAnsi="Times New Roman"/>
          <w:sz w:val="24"/>
          <w:szCs w:val="24"/>
          <w:lang w:val="en-US" w:eastAsia="de-DE"/>
        </w:rPr>
        <w:t xml:space="preserve">) </w:t>
      </w:r>
      <w:r w:rsidR="00D55485" w:rsidRPr="00683D62">
        <w:rPr>
          <w:rFonts w:ascii="Times New Roman" w:hAnsi="Times New Roman"/>
          <w:sz w:val="24"/>
          <w:szCs w:val="24"/>
          <w:lang w:val="en-US" w:eastAsia="de-DE"/>
        </w:rPr>
        <w:t xml:space="preserve">or </w:t>
      </w:r>
      <w:r w:rsidRPr="00683D62">
        <w:rPr>
          <w:rFonts w:ascii="Times New Roman" w:hAnsi="Times New Roman"/>
          <w:sz w:val="24"/>
          <w:szCs w:val="24"/>
          <w:lang w:val="en-US" w:eastAsia="de-DE"/>
        </w:rPr>
        <w:t>between</w:t>
      </w:r>
      <w:r w:rsidR="008427C4" w:rsidRPr="00683D62">
        <w:rPr>
          <w:rFonts w:ascii="Times New Roman" w:hAnsi="Times New Roman"/>
          <w:sz w:val="24"/>
          <w:szCs w:val="24"/>
          <w:lang w:val="en-US" w:eastAsia="de-DE"/>
        </w:rPr>
        <w:t xml:space="preserve"> </w:t>
      </w:r>
      <w:r w:rsidR="00FA0D6C" w:rsidRPr="00683D62">
        <w:rPr>
          <w:rFonts w:ascii="Times New Roman" w:hAnsi="Times New Roman"/>
          <w:sz w:val="24"/>
          <w:szCs w:val="24"/>
          <w:lang w:val="en-US" w:eastAsia="de-DE"/>
        </w:rPr>
        <w:t>2000 a</w:t>
      </w:r>
      <w:r w:rsidR="00A2232E" w:rsidRPr="00683D62">
        <w:rPr>
          <w:rFonts w:ascii="Times New Roman" w:hAnsi="Times New Roman"/>
          <w:sz w:val="24"/>
          <w:szCs w:val="24"/>
          <w:lang w:val="en-US" w:eastAsia="de-DE"/>
        </w:rPr>
        <w:t>nd 2006 (BABYDIET</w:t>
      </w:r>
      <w:r w:rsidRPr="00683D62">
        <w:rPr>
          <w:rFonts w:ascii="Times New Roman" w:hAnsi="Times New Roman"/>
          <w:sz w:val="24"/>
          <w:szCs w:val="24"/>
          <w:lang w:val="en-US" w:eastAsia="de-DE"/>
        </w:rPr>
        <w:t>)</w:t>
      </w:r>
      <w:r w:rsidR="00D55485"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were </w:t>
      </w:r>
      <w:r w:rsidR="005372A5" w:rsidRPr="00683D62">
        <w:rPr>
          <w:rFonts w:ascii="Times New Roman" w:hAnsi="Times New Roman"/>
          <w:sz w:val="24"/>
          <w:szCs w:val="24"/>
          <w:lang w:val="en-US" w:eastAsia="de-DE"/>
        </w:rPr>
        <w:t xml:space="preserve">combined and </w:t>
      </w:r>
      <w:r w:rsidR="00804D15" w:rsidRPr="00683D62">
        <w:rPr>
          <w:rFonts w:ascii="Times New Roman" w:hAnsi="Times New Roman"/>
          <w:sz w:val="24"/>
          <w:szCs w:val="24"/>
          <w:lang w:val="en-US" w:eastAsia="de-DE"/>
        </w:rPr>
        <w:t>analyzed</w:t>
      </w:r>
      <w:r w:rsidR="00386A02" w:rsidRPr="00683D62">
        <w:rPr>
          <w:rFonts w:ascii="Times New Roman" w:hAnsi="Times New Roman"/>
          <w:sz w:val="24"/>
          <w:szCs w:val="24"/>
          <w:lang w:val="en-US" w:eastAsia="de-DE"/>
        </w:rPr>
        <w:t xml:space="preserve"> (</w:t>
      </w:r>
      <w:r w:rsidR="000A7A43" w:rsidRPr="00683D62">
        <w:rPr>
          <w:rFonts w:ascii="Times New Roman" w:hAnsi="Times New Roman"/>
          <w:sz w:val="24"/>
          <w:szCs w:val="24"/>
          <w:lang w:val="en-US" w:eastAsia="de-DE"/>
        </w:rPr>
        <w:t>8</w:t>
      </w:r>
      <w:r w:rsidR="00386A02" w:rsidRPr="00683D62">
        <w:rPr>
          <w:rFonts w:ascii="Times New Roman" w:hAnsi="Times New Roman"/>
          <w:sz w:val="24"/>
          <w:szCs w:val="24"/>
          <w:lang w:val="en-US" w:eastAsia="de-DE"/>
        </w:rPr>
        <w:t>,</w:t>
      </w:r>
      <w:r w:rsidR="000A7A43" w:rsidRPr="00683D62">
        <w:rPr>
          <w:rFonts w:ascii="Times New Roman" w:hAnsi="Times New Roman"/>
          <w:sz w:val="24"/>
          <w:szCs w:val="24"/>
          <w:lang w:val="en-US" w:eastAsia="de-DE"/>
        </w:rPr>
        <w:t>9</w:t>
      </w:r>
      <w:r w:rsidR="00386A02" w:rsidRPr="00683D62">
        <w:rPr>
          <w:rFonts w:ascii="Times New Roman" w:hAnsi="Times New Roman"/>
          <w:sz w:val="24"/>
          <w:szCs w:val="24"/>
          <w:lang w:val="en-US" w:eastAsia="de-DE"/>
        </w:rPr>
        <w:t>)</w:t>
      </w:r>
      <w:r w:rsidRPr="00683D62">
        <w:rPr>
          <w:rFonts w:ascii="Times New Roman" w:hAnsi="Times New Roman"/>
          <w:sz w:val="24"/>
          <w:szCs w:val="24"/>
          <w:lang w:val="en-US" w:eastAsia="de-DE"/>
        </w:rPr>
        <w:t>. Both studies prospectively examine</w:t>
      </w:r>
      <w:r w:rsidR="004A246D" w:rsidRPr="00683D62">
        <w:rPr>
          <w:rFonts w:ascii="Times New Roman" w:hAnsi="Times New Roman"/>
          <w:sz w:val="24"/>
          <w:szCs w:val="24"/>
          <w:lang w:val="en-US" w:eastAsia="de-DE"/>
        </w:rPr>
        <w:t>d</w:t>
      </w:r>
      <w:r w:rsidRPr="00683D62">
        <w:rPr>
          <w:rFonts w:ascii="Times New Roman" w:hAnsi="Times New Roman"/>
          <w:sz w:val="24"/>
          <w:szCs w:val="24"/>
          <w:lang w:val="en-US" w:eastAsia="de-DE"/>
        </w:rPr>
        <w:t xml:space="preserve"> the</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natural history of islet autoimmunity and type 1 diabetes</w:t>
      </w:r>
      <w:r w:rsidR="005D3E0C" w:rsidRPr="00683D62">
        <w:rPr>
          <w:rFonts w:ascii="Times New Roman" w:hAnsi="Times New Roman"/>
          <w:sz w:val="24"/>
          <w:szCs w:val="24"/>
          <w:lang w:val="en-US" w:eastAsia="de-DE"/>
        </w:rPr>
        <w:t xml:space="preserve">, </w:t>
      </w:r>
      <w:r w:rsidR="00D55485" w:rsidRPr="00683D62">
        <w:rPr>
          <w:rFonts w:ascii="Times New Roman" w:hAnsi="Times New Roman"/>
          <w:sz w:val="24"/>
          <w:szCs w:val="24"/>
          <w:lang w:val="en-US" w:eastAsia="de-DE"/>
        </w:rPr>
        <w:t>celiac-</w:t>
      </w:r>
      <w:r w:rsidR="00C402AB" w:rsidRPr="00683D62">
        <w:rPr>
          <w:rFonts w:ascii="Times New Roman" w:hAnsi="Times New Roman"/>
          <w:sz w:val="24"/>
          <w:szCs w:val="24"/>
          <w:lang w:val="en-US" w:eastAsia="de-DE"/>
        </w:rPr>
        <w:t xml:space="preserve">disease-associated </w:t>
      </w:r>
      <w:r w:rsidR="005D3E0C" w:rsidRPr="00683D62">
        <w:rPr>
          <w:rFonts w:ascii="Times New Roman" w:hAnsi="Times New Roman"/>
          <w:sz w:val="24"/>
          <w:szCs w:val="24"/>
          <w:lang w:val="en-US" w:eastAsia="de-DE"/>
        </w:rPr>
        <w:t>autoimmunity</w:t>
      </w:r>
      <w:r w:rsidR="00D55485" w:rsidRPr="00683D62">
        <w:rPr>
          <w:rFonts w:ascii="Times New Roman" w:hAnsi="Times New Roman"/>
          <w:sz w:val="24"/>
          <w:szCs w:val="24"/>
          <w:lang w:val="en-US" w:eastAsia="de-DE"/>
        </w:rPr>
        <w:t>,</w:t>
      </w:r>
      <w:r w:rsidR="005D3E0C" w:rsidRPr="00683D62">
        <w:rPr>
          <w:rFonts w:ascii="Times New Roman" w:hAnsi="Times New Roman"/>
          <w:sz w:val="24"/>
          <w:szCs w:val="24"/>
          <w:lang w:val="en-US" w:eastAsia="de-DE"/>
        </w:rPr>
        <w:t xml:space="preserve"> and thyroid autoimmunity</w:t>
      </w:r>
      <w:r w:rsidRPr="00683D62">
        <w:rPr>
          <w:rFonts w:ascii="Times New Roman" w:hAnsi="Times New Roman"/>
          <w:sz w:val="24"/>
          <w:szCs w:val="24"/>
          <w:lang w:val="en-US" w:eastAsia="de-DE"/>
        </w:rPr>
        <w:t>.</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The BABYDIAB study recruited 1,650 </w:t>
      </w:r>
      <w:r w:rsidR="004A246D" w:rsidRPr="00683D62">
        <w:rPr>
          <w:rFonts w:ascii="Times New Roman" w:hAnsi="Times New Roman"/>
          <w:sz w:val="24"/>
          <w:szCs w:val="24"/>
          <w:lang w:val="en-US" w:eastAsia="de-DE"/>
        </w:rPr>
        <w:t xml:space="preserve">infants </w:t>
      </w:r>
      <w:r w:rsidRPr="00683D62">
        <w:rPr>
          <w:rFonts w:ascii="Times New Roman" w:hAnsi="Times New Roman"/>
          <w:sz w:val="24"/>
          <w:szCs w:val="24"/>
          <w:lang w:val="en-US" w:eastAsia="de-DE"/>
        </w:rPr>
        <w:t>born to a</w:t>
      </w:r>
      <w:r w:rsidR="00D05F6D"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mother</w:t>
      </w:r>
      <w:r w:rsidR="008427C4" w:rsidRPr="00683D62">
        <w:rPr>
          <w:rFonts w:ascii="Times New Roman" w:hAnsi="Times New Roman"/>
          <w:sz w:val="24"/>
          <w:szCs w:val="24"/>
          <w:lang w:val="en-US" w:eastAsia="de-DE"/>
        </w:rPr>
        <w:t xml:space="preserve"> or father with type 1 diabetes, and the </w:t>
      </w:r>
      <w:r w:rsidRPr="00683D62">
        <w:rPr>
          <w:rFonts w:ascii="Times New Roman" w:hAnsi="Times New Roman"/>
          <w:sz w:val="24"/>
          <w:szCs w:val="24"/>
          <w:lang w:val="en-US" w:eastAsia="de-DE"/>
        </w:rPr>
        <w:t>BABYDIET study</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recruited 791 </w:t>
      </w:r>
      <w:r w:rsidR="004A246D" w:rsidRPr="00683D62">
        <w:rPr>
          <w:rFonts w:ascii="Times New Roman" w:hAnsi="Times New Roman"/>
          <w:sz w:val="24"/>
          <w:szCs w:val="24"/>
          <w:lang w:val="en-US" w:eastAsia="de-DE"/>
        </w:rPr>
        <w:t>infants who had a mother, father</w:t>
      </w:r>
      <w:r w:rsidR="00D55485" w:rsidRPr="00683D62">
        <w:rPr>
          <w:rFonts w:ascii="Times New Roman" w:hAnsi="Times New Roman"/>
          <w:sz w:val="24"/>
          <w:szCs w:val="24"/>
          <w:lang w:val="en-US" w:eastAsia="de-DE"/>
        </w:rPr>
        <w:t>,</w:t>
      </w:r>
      <w:r w:rsidR="004A246D" w:rsidRPr="00683D62">
        <w:rPr>
          <w:rFonts w:ascii="Times New Roman" w:hAnsi="Times New Roman"/>
          <w:sz w:val="24"/>
          <w:szCs w:val="24"/>
          <w:lang w:val="en-US" w:eastAsia="de-DE"/>
        </w:rPr>
        <w:t xml:space="preserve"> or sibling</w:t>
      </w:r>
      <w:r w:rsidRPr="00683D62">
        <w:rPr>
          <w:rFonts w:ascii="Times New Roman" w:hAnsi="Times New Roman"/>
          <w:sz w:val="24"/>
          <w:szCs w:val="24"/>
          <w:lang w:val="en-US" w:eastAsia="de-DE"/>
        </w:rPr>
        <w:t xml:space="preserve"> with type 1</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diabetes. A subgroup of 150 children participated in the BABYDIET gluten intervention</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study (ClinicalTrials.gov NCT01115621) to </w:t>
      </w:r>
      <w:r w:rsidR="008427C4" w:rsidRPr="00683D62">
        <w:rPr>
          <w:rFonts w:ascii="Times New Roman" w:hAnsi="Times New Roman"/>
          <w:sz w:val="24"/>
          <w:szCs w:val="24"/>
          <w:lang w:val="en-US" w:eastAsia="de-DE"/>
        </w:rPr>
        <w:t>i</w:t>
      </w:r>
      <w:r w:rsidRPr="00683D62">
        <w:rPr>
          <w:rFonts w:ascii="Times New Roman" w:hAnsi="Times New Roman"/>
          <w:sz w:val="24"/>
          <w:szCs w:val="24"/>
          <w:lang w:val="en-US" w:eastAsia="de-DE"/>
        </w:rPr>
        <w:t>nvestigate</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whether delay</w:t>
      </w:r>
      <w:r w:rsidR="00571A44" w:rsidRPr="00683D62">
        <w:rPr>
          <w:rFonts w:ascii="Times New Roman" w:hAnsi="Times New Roman"/>
          <w:sz w:val="24"/>
          <w:szCs w:val="24"/>
          <w:lang w:val="en-US" w:eastAsia="de-DE"/>
        </w:rPr>
        <w:t>ed</w:t>
      </w:r>
      <w:r w:rsidRPr="00683D62">
        <w:rPr>
          <w:rFonts w:ascii="Times New Roman" w:hAnsi="Times New Roman"/>
          <w:sz w:val="24"/>
          <w:szCs w:val="24"/>
          <w:lang w:val="en-US" w:eastAsia="de-DE"/>
        </w:rPr>
        <w:t xml:space="preserve"> exposure to gluten reduce</w:t>
      </w:r>
      <w:r w:rsidR="0064132A" w:rsidRPr="00683D62">
        <w:rPr>
          <w:rFonts w:ascii="Times New Roman" w:hAnsi="Times New Roman"/>
          <w:sz w:val="24"/>
          <w:szCs w:val="24"/>
          <w:lang w:val="en-US" w:eastAsia="de-DE"/>
        </w:rPr>
        <w:t>s</w:t>
      </w:r>
      <w:r w:rsidRPr="00683D62">
        <w:rPr>
          <w:rFonts w:ascii="Times New Roman" w:hAnsi="Times New Roman"/>
          <w:sz w:val="24"/>
          <w:szCs w:val="24"/>
          <w:lang w:val="en-US" w:eastAsia="de-DE"/>
        </w:rPr>
        <w:t xml:space="preserve"> the risk of</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developing autoantibodies. </w:t>
      </w:r>
      <w:r w:rsidR="0064132A" w:rsidRPr="00683D62">
        <w:rPr>
          <w:rFonts w:ascii="Times New Roman" w:hAnsi="Times New Roman"/>
          <w:sz w:val="24"/>
          <w:szCs w:val="24"/>
          <w:lang w:val="en-US" w:eastAsia="de-DE"/>
        </w:rPr>
        <w:t xml:space="preserve">That </w:t>
      </w:r>
      <w:r w:rsidRPr="00683D62">
        <w:rPr>
          <w:rFonts w:ascii="Times New Roman" w:hAnsi="Times New Roman"/>
          <w:sz w:val="24"/>
          <w:szCs w:val="24"/>
          <w:lang w:val="en-US" w:eastAsia="de-DE"/>
        </w:rPr>
        <w:t>intervention failed to show an</w:t>
      </w:r>
      <w:r w:rsidR="00D55485" w:rsidRPr="00683D62">
        <w:rPr>
          <w:rFonts w:ascii="Times New Roman" w:hAnsi="Times New Roman"/>
          <w:sz w:val="24"/>
          <w:szCs w:val="24"/>
          <w:lang w:val="en-US" w:eastAsia="de-DE"/>
        </w:rPr>
        <w:t>y</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effect on autoantibody development and all </w:t>
      </w:r>
      <w:r w:rsidR="00D55485"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participants</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continued with follow-up examinations according to the natural</w:t>
      </w:r>
      <w:r w:rsidR="008427C4" w:rsidRPr="00683D62">
        <w:rPr>
          <w:rFonts w:ascii="Times New Roman" w:hAnsi="Times New Roman"/>
          <w:sz w:val="24"/>
          <w:szCs w:val="24"/>
          <w:lang w:val="en-US" w:eastAsia="de-DE"/>
        </w:rPr>
        <w:t xml:space="preserve"> </w:t>
      </w:r>
      <w:r w:rsidR="00A2232E" w:rsidRPr="00683D62">
        <w:rPr>
          <w:rFonts w:ascii="Times New Roman" w:hAnsi="Times New Roman"/>
          <w:sz w:val="24"/>
          <w:szCs w:val="24"/>
          <w:lang w:val="en-US" w:eastAsia="de-DE"/>
        </w:rPr>
        <w:t>history protocol</w:t>
      </w:r>
      <w:r w:rsidR="00386A02" w:rsidRPr="00683D62">
        <w:rPr>
          <w:rFonts w:ascii="Times New Roman" w:hAnsi="Times New Roman"/>
          <w:sz w:val="24"/>
          <w:szCs w:val="24"/>
          <w:lang w:val="en-US" w:eastAsia="de-DE"/>
        </w:rPr>
        <w:t xml:space="preserve"> (</w:t>
      </w:r>
      <w:r w:rsidR="000A7A43" w:rsidRPr="00683D62">
        <w:rPr>
          <w:rFonts w:ascii="Times New Roman" w:hAnsi="Times New Roman"/>
          <w:sz w:val="24"/>
          <w:szCs w:val="24"/>
          <w:lang w:val="en-US" w:eastAsia="de-DE"/>
        </w:rPr>
        <w:t>8</w:t>
      </w:r>
      <w:r w:rsidR="00386A02"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B605BC" w:rsidRPr="00683D62">
        <w:rPr>
          <w:rFonts w:ascii="Times New Roman" w:hAnsi="Times New Roman"/>
          <w:sz w:val="24"/>
          <w:szCs w:val="24"/>
          <w:lang w:val="en-US" w:eastAsia="de-DE"/>
        </w:rPr>
        <w:t>The</w:t>
      </w:r>
      <w:r w:rsidRPr="00683D62">
        <w:rPr>
          <w:rFonts w:ascii="Times New Roman" w:hAnsi="Times New Roman"/>
          <w:sz w:val="24"/>
          <w:szCs w:val="24"/>
          <w:lang w:val="en-US" w:eastAsia="de-DE"/>
        </w:rPr>
        <w:t xml:space="preserve"> studies were approved</w:t>
      </w:r>
      <w:r w:rsidR="00D05F6D"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by the </w:t>
      </w:r>
      <w:r w:rsidR="0064132A" w:rsidRPr="00683D62">
        <w:rPr>
          <w:rFonts w:ascii="Times New Roman" w:hAnsi="Times New Roman"/>
          <w:sz w:val="24"/>
          <w:szCs w:val="24"/>
          <w:lang w:val="en-US" w:eastAsia="de-DE"/>
        </w:rPr>
        <w:t>e</w:t>
      </w:r>
      <w:r w:rsidR="00D55485" w:rsidRPr="00683D62">
        <w:rPr>
          <w:rFonts w:ascii="Times New Roman" w:hAnsi="Times New Roman"/>
          <w:sz w:val="24"/>
          <w:szCs w:val="24"/>
          <w:lang w:val="en-US" w:eastAsia="de-DE"/>
        </w:rPr>
        <w:t xml:space="preserve">thics </w:t>
      </w:r>
      <w:r w:rsidR="0064132A" w:rsidRPr="00683D62">
        <w:rPr>
          <w:rFonts w:ascii="Times New Roman" w:hAnsi="Times New Roman"/>
          <w:sz w:val="24"/>
          <w:szCs w:val="24"/>
          <w:lang w:val="en-US" w:eastAsia="de-DE"/>
        </w:rPr>
        <w:t>c</w:t>
      </w:r>
      <w:r w:rsidR="00D55485" w:rsidRPr="00683D62">
        <w:rPr>
          <w:rFonts w:ascii="Times New Roman" w:hAnsi="Times New Roman"/>
          <w:sz w:val="24"/>
          <w:szCs w:val="24"/>
          <w:lang w:val="en-US" w:eastAsia="de-DE"/>
        </w:rPr>
        <w:t>ommittee</w:t>
      </w:r>
      <w:r w:rsidR="0064132A" w:rsidRPr="00683D62">
        <w:rPr>
          <w:rFonts w:ascii="Times New Roman" w:hAnsi="Times New Roman"/>
          <w:sz w:val="24"/>
          <w:szCs w:val="24"/>
          <w:lang w:val="en-US" w:eastAsia="de-DE"/>
        </w:rPr>
        <w:t>s</w:t>
      </w:r>
      <w:r w:rsidR="00D5548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of Bavaria, Germany</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(Bayerische </w:t>
      </w:r>
      <w:r w:rsidR="006869C1" w:rsidRPr="00683D62">
        <w:rPr>
          <w:rFonts w:ascii="Times New Roman" w:hAnsi="Times New Roman"/>
          <w:sz w:val="24"/>
          <w:szCs w:val="24"/>
          <w:lang w:val="en-US" w:eastAsia="de-DE"/>
        </w:rPr>
        <w:t>L</w:t>
      </w:r>
      <w:r w:rsidRPr="00683D62">
        <w:rPr>
          <w:rFonts w:ascii="Times New Roman" w:hAnsi="Times New Roman"/>
          <w:sz w:val="24"/>
          <w:szCs w:val="24"/>
          <w:lang w:val="en-US" w:eastAsia="de-DE"/>
        </w:rPr>
        <w:t xml:space="preserve">andesärztekammer no. 95357 and Ludwig-Maximilians University no. 329/00, respectively) and </w:t>
      </w:r>
      <w:r w:rsidR="00D55485" w:rsidRPr="00683D62">
        <w:rPr>
          <w:rFonts w:ascii="Times New Roman" w:hAnsi="Times New Roman"/>
          <w:sz w:val="24"/>
          <w:szCs w:val="24"/>
          <w:lang w:val="en-US" w:eastAsia="de-DE"/>
        </w:rPr>
        <w:t xml:space="preserve">were </w:t>
      </w:r>
      <w:r w:rsidRPr="00683D62">
        <w:rPr>
          <w:rFonts w:ascii="Times New Roman" w:hAnsi="Times New Roman"/>
          <w:sz w:val="24"/>
          <w:szCs w:val="24"/>
          <w:lang w:val="en-US" w:eastAsia="de-DE"/>
        </w:rPr>
        <w:t>performed</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in accordance with the principles of the Declaration</w:t>
      </w:r>
      <w:r w:rsidR="008427C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of Helsinki, including the provision of written informed consent</w:t>
      </w:r>
      <w:r w:rsidR="00D05F6D"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from </w:t>
      </w:r>
      <w:r w:rsidRPr="00683D62">
        <w:rPr>
          <w:rFonts w:ascii="Times New Roman" w:hAnsi="Times New Roman"/>
          <w:sz w:val="24"/>
          <w:szCs w:val="24"/>
          <w:lang w:val="en-US" w:eastAsia="de-DE"/>
        </w:rPr>
        <w:t>all participants</w:t>
      </w:r>
      <w:r w:rsidR="009F5720" w:rsidRPr="00683D62">
        <w:rPr>
          <w:rFonts w:ascii="Times New Roman" w:hAnsi="Times New Roman"/>
          <w:sz w:val="24"/>
          <w:szCs w:val="24"/>
          <w:lang w:val="en-US" w:eastAsia="de-DE"/>
        </w:rPr>
        <w:t xml:space="preserve"> or their parents</w:t>
      </w:r>
      <w:r w:rsidRPr="00683D62">
        <w:rPr>
          <w:rFonts w:ascii="Times New Roman" w:hAnsi="Times New Roman"/>
          <w:sz w:val="24"/>
          <w:szCs w:val="24"/>
          <w:lang w:val="en-US" w:eastAsia="de-DE"/>
        </w:rPr>
        <w:t>.</w:t>
      </w:r>
      <w:r w:rsidR="003030AC" w:rsidRPr="00683D62">
        <w:rPr>
          <w:rFonts w:ascii="Times New Roman" w:hAnsi="Times New Roman"/>
          <w:sz w:val="24"/>
          <w:szCs w:val="24"/>
          <w:lang w:val="en-US" w:eastAsia="de-DE"/>
        </w:rPr>
        <w:t xml:space="preserve"> </w:t>
      </w:r>
    </w:p>
    <w:p w14:paraId="2D6AF9A6" w14:textId="552E38FE" w:rsidR="0090792E" w:rsidRPr="00683D62" w:rsidRDefault="006869C1" w:rsidP="00EC61DD">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Children were scheduled for follow-up and </w:t>
      </w:r>
      <w:r w:rsidR="006801C6" w:rsidRPr="00683D62">
        <w:rPr>
          <w:rFonts w:ascii="Times New Roman" w:hAnsi="Times New Roman"/>
          <w:sz w:val="24"/>
          <w:szCs w:val="24"/>
          <w:lang w:val="en-US" w:eastAsia="de-DE"/>
        </w:rPr>
        <w:t xml:space="preserve">venous blood collection </w:t>
      </w:r>
      <w:r w:rsidRPr="00683D62">
        <w:rPr>
          <w:rFonts w:ascii="Times New Roman" w:hAnsi="Times New Roman"/>
          <w:sz w:val="24"/>
          <w:szCs w:val="24"/>
          <w:lang w:val="en-US" w:eastAsia="de-DE"/>
        </w:rPr>
        <w:t>at age</w:t>
      </w:r>
      <w:r w:rsidR="003030AC" w:rsidRPr="00683D62">
        <w:rPr>
          <w:rFonts w:ascii="Times New Roman" w:hAnsi="Times New Roman"/>
          <w:sz w:val="24"/>
          <w:szCs w:val="24"/>
          <w:lang w:val="en-US" w:eastAsia="de-DE"/>
        </w:rPr>
        <w:t>s</w:t>
      </w:r>
      <w:r w:rsidRPr="00683D62">
        <w:rPr>
          <w:rFonts w:ascii="Times New Roman" w:hAnsi="Times New Roman"/>
          <w:sz w:val="24"/>
          <w:szCs w:val="24"/>
          <w:lang w:val="en-US" w:eastAsia="de-DE"/>
        </w:rPr>
        <w:t xml:space="preserve"> 9 months, 2 years, and every 3 years thereafter</w:t>
      </w:r>
      <w:r w:rsidR="006801C6" w:rsidRPr="00683D62">
        <w:rPr>
          <w:rFonts w:ascii="Times New Roman" w:hAnsi="Times New Roman"/>
          <w:sz w:val="24"/>
          <w:szCs w:val="24"/>
          <w:lang w:val="en-US" w:eastAsia="de-DE"/>
        </w:rPr>
        <w:t xml:space="preserve">, and </w:t>
      </w:r>
      <w:r w:rsidR="00C402AB" w:rsidRPr="00683D62">
        <w:rPr>
          <w:rFonts w:ascii="Times New Roman" w:hAnsi="Times New Roman"/>
          <w:sz w:val="24"/>
          <w:szCs w:val="24"/>
          <w:lang w:val="en-US" w:eastAsia="de-DE"/>
        </w:rPr>
        <w:t xml:space="preserve">for the 150 children </w:t>
      </w:r>
      <w:r w:rsidR="003030AC" w:rsidRPr="00683D62">
        <w:rPr>
          <w:rFonts w:ascii="Times New Roman" w:hAnsi="Times New Roman"/>
          <w:sz w:val="24"/>
          <w:szCs w:val="24"/>
          <w:lang w:val="en-US" w:eastAsia="de-DE"/>
        </w:rPr>
        <w:t xml:space="preserve">who participated </w:t>
      </w:r>
      <w:r w:rsidR="00C402AB" w:rsidRPr="00683D62">
        <w:rPr>
          <w:rFonts w:ascii="Times New Roman" w:hAnsi="Times New Roman"/>
          <w:sz w:val="24"/>
          <w:szCs w:val="24"/>
          <w:lang w:val="en-US" w:eastAsia="de-DE"/>
        </w:rPr>
        <w:t xml:space="preserve">in </w:t>
      </w:r>
      <w:r w:rsidR="003030AC" w:rsidRPr="00683D62">
        <w:rPr>
          <w:rFonts w:ascii="Times New Roman" w:hAnsi="Times New Roman"/>
          <w:sz w:val="24"/>
          <w:szCs w:val="24"/>
          <w:lang w:val="en-US" w:eastAsia="de-DE"/>
        </w:rPr>
        <w:t xml:space="preserve">the </w:t>
      </w:r>
      <w:r w:rsidR="00C402AB" w:rsidRPr="00683D62">
        <w:rPr>
          <w:rFonts w:ascii="Times New Roman" w:hAnsi="Times New Roman"/>
          <w:sz w:val="24"/>
          <w:szCs w:val="24"/>
          <w:lang w:val="en-US" w:eastAsia="de-DE"/>
        </w:rPr>
        <w:t xml:space="preserve">dietary intervention, </w:t>
      </w:r>
      <w:r w:rsidR="006801C6" w:rsidRPr="00683D62">
        <w:rPr>
          <w:rFonts w:ascii="Times New Roman" w:hAnsi="Times New Roman"/>
          <w:sz w:val="24"/>
          <w:szCs w:val="24"/>
          <w:lang w:val="en-US" w:eastAsia="de-DE"/>
        </w:rPr>
        <w:t>every 3 months until 3 years of age and yearly thereafter</w:t>
      </w:r>
      <w:r w:rsidR="00973E98" w:rsidRPr="00683D62">
        <w:rPr>
          <w:rFonts w:ascii="Times New Roman" w:hAnsi="Times New Roman"/>
          <w:sz w:val="24"/>
          <w:szCs w:val="24"/>
          <w:lang w:val="en-US" w:eastAsia="de-DE"/>
        </w:rPr>
        <w:t>.</w:t>
      </w:r>
      <w:r w:rsidR="004D474E" w:rsidRPr="00683D62">
        <w:rPr>
          <w:rFonts w:ascii="Times New Roman" w:hAnsi="Times New Roman"/>
          <w:sz w:val="24"/>
          <w:szCs w:val="24"/>
          <w:lang w:val="en-US" w:eastAsia="de-DE"/>
        </w:rPr>
        <w:t xml:space="preserve"> </w:t>
      </w:r>
      <w:r w:rsidR="009D0303" w:rsidRPr="00683D62">
        <w:rPr>
          <w:rFonts w:ascii="Times New Roman" w:hAnsi="Times New Roman"/>
          <w:sz w:val="24"/>
          <w:szCs w:val="24"/>
          <w:lang w:val="en-US" w:eastAsia="de-DE"/>
        </w:rPr>
        <w:t xml:space="preserve">The median follow-up </w:t>
      </w:r>
      <w:r w:rsidR="0064132A" w:rsidRPr="00683D62">
        <w:rPr>
          <w:rFonts w:ascii="Times New Roman" w:hAnsi="Times New Roman"/>
          <w:sz w:val="24"/>
          <w:szCs w:val="24"/>
          <w:lang w:val="en-US" w:eastAsia="de-DE"/>
        </w:rPr>
        <w:t xml:space="preserve">period </w:t>
      </w:r>
      <w:r w:rsidR="009D0303" w:rsidRPr="00683D62">
        <w:rPr>
          <w:rFonts w:ascii="Times New Roman" w:hAnsi="Times New Roman"/>
          <w:sz w:val="24"/>
          <w:szCs w:val="24"/>
          <w:lang w:val="en-US" w:eastAsia="de-DE"/>
        </w:rPr>
        <w:t xml:space="preserve">from birth to </w:t>
      </w:r>
      <w:r w:rsidR="003030AC" w:rsidRPr="00683D62">
        <w:rPr>
          <w:rFonts w:ascii="Times New Roman" w:hAnsi="Times New Roman"/>
          <w:sz w:val="24"/>
          <w:szCs w:val="24"/>
          <w:lang w:val="en-US" w:eastAsia="de-DE"/>
        </w:rPr>
        <w:t xml:space="preserve">the </w:t>
      </w:r>
      <w:r w:rsidR="009D0303" w:rsidRPr="00683D62">
        <w:rPr>
          <w:rFonts w:ascii="Times New Roman" w:hAnsi="Times New Roman"/>
          <w:sz w:val="24"/>
          <w:szCs w:val="24"/>
          <w:lang w:val="en-US" w:eastAsia="de-DE"/>
        </w:rPr>
        <w:t xml:space="preserve">last sample was </w:t>
      </w:r>
      <w:r w:rsidR="00D67359" w:rsidRPr="00683D62">
        <w:rPr>
          <w:rFonts w:ascii="Times New Roman" w:hAnsi="Times New Roman"/>
          <w:sz w:val="24"/>
          <w:szCs w:val="24"/>
          <w:lang w:val="en-US" w:eastAsia="de-DE"/>
        </w:rPr>
        <w:t>1</w:t>
      </w:r>
      <w:r w:rsidR="00FA14B7" w:rsidRPr="00683D62">
        <w:rPr>
          <w:rFonts w:ascii="Times New Roman" w:hAnsi="Times New Roman"/>
          <w:sz w:val="24"/>
          <w:szCs w:val="24"/>
          <w:lang w:val="en-US" w:eastAsia="de-DE"/>
        </w:rPr>
        <w:t>3</w:t>
      </w:r>
      <w:r w:rsidR="00A410C7" w:rsidRPr="00683D62">
        <w:rPr>
          <w:rFonts w:ascii="Times New Roman" w:hAnsi="Times New Roman"/>
          <w:sz w:val="24"/>
          <w:szCs w:val="24"/>
          <w:lang w:val="en-US" w:eastAsia="de-DE"/>
        </w:rPr>
        <w:t>.</w:t>
      </w:r>
      <w:r w:rsidR="00371ABA" w:rsidRPr="00683D62">
        <w:rPr>
          <w:rFonts w:ascii="Times New Roman" w:hAnsi="Times New Roman"/>
          <w:sz w:val="24"/>
          <w:szCs w:val="24"/>
          <w:lang w:val="en-US" w:eastAsia="de-DE"/>
        </w:rPr>
        <w:t>2</w:t>
      </w:r>
      <w:r w:rsidR="009D0303" w:rsidRPr="00683D62">
        <w:rPr>
          <w:rFonts w:ascii="Times New Roman" w:hAnsi="Times New Roman"/>
          <w:sz w:val="24"/>
          <w:szCs w:val="24"/>
          <w:lang w:val="en-US" w:eastAsia="de-DE"/>
        </w:rPr>
        <w:t xml:space="preserve"> years (interquartile range</w:t>
      </w:r>
      <w:r w:rsidR="0064132A" w:rsidRPr="00683D62">
        <w:rPr>
          <w:rFonts w:ascii="Times New Roman" w:hAnsi="Times New Roman"/>
          <w:sz w:val="24"/>
          <w:szCs w:val="24"/>
          <w:lang w:val="en-US" w:eastAsia="de-DE"/>
        </w:rPr>
        <w:t xml:space="preserve"> [IQR]</w:t>
      </w:r>
      <w:r w:rsidR="009D0303" w:rsidRPr="00683D62">
        <w:rPr>
          <w:rFonts w:ascii="Times New Roman" w:hAnsi="Times New Roman"/>
          <w:sz w:val="24"/>
          <w:szCs w:val="24"/>
          <w:lang w:val="en-US" w:eastAsia="de-DE"/>
        </w:rPr>
        <w:t xml:space="preserve">, </w:t>
      </w:r>
      <w:r w:rsidR="002862AF" w:rsidRPr="00683D62">
        <w:rPr>
          <w:rFonts w:ascii="Times New Roman" w:hAnsi="Times New Roman"/>
          <w:sz w:val="24"/>
          <w:szCs w:val="24"/>
          <w:lang w:val="en-US" w:eastAsia="de-DE"/>
        </w:rPr>
        <w:t>7</w:t>
      </w:r>
      <w:r w:rsidR="00A410C7" w:rsidRPr="00683D62">
        <w:rPr>
          <w:rFonts w:ascii="Calibri Light" w:hAnsi="Calibri Light" w:cs="Calibri Light"/>
          <w:lang w:val="en-US"/>
        </w:rPr>
        <w:t>.</w:t>
      </w:r>
      <w:r w:rsidR="00371ABA" w:rsidRPr="00683D62">
        <w:rPr>
          <w:rFonts w:ascii="Times New Roman" w:hAnsi="Times New Roman"/>
          <w:sz w:val="24"/>
          <w:szCs w:val="24"/>
          <w:lang w:val="en-US" w:eastAsia="de-DE"/>
        </w:rPr>
        <w:t>4</w:t>
      </w:r>
      <w:r w:rsidR="00A410C7" w:rsidRPr="00683D62">
        <w:rPr>
          <w:rFonts w:ascii="Times New Roman" w:hAnsi="Times New Roman"/>
          <w:sz w:val="24"/>
          <w:szCs w:val="24"/>
          <w:lang w:val="en-US" w:eastAsia="de-DE"/>
        </w:rPr>
        <w:t>-</w:t>
      </w:r>
      <w:r w:rsidR="002862AF" w:rsidRPr="00683D62">
        <w:rPr>
          <w:rFonts w:ascii="Times New Roman" w:hAnsi="Times New Roman"/>
          <w:sz w:val="24"/>
          <w:szCs w:val="24"/>
          <w:lang w:val="en-US" w:eastAsia="de-DE"/>
        </w:rPr>
        <w:t>18</w:t>
      </w:r>
      <w:r w:rsidR="00A410C7" w:rsidRPr="00683D62">
        <w:rPr>
          <w:rFonts w:ascii="Calibri Light" w:hAnsi="Calibri Light" w:cs="Calibri Light"/>
          <w:lang w:val="en-US"/>
        </w:rPr>
        <w:t>.</w:t>
      </w:r>
      <w:r w:rsidR="00371ABA" w:rsidRPr="00683D62">
        <w:rPr>
          <w:rFonts w:ascii="Times New Roman" w:hAnsi="Times New Roman"/>
          <w:sz w:val="24"/>
          <w:szCs w:val="24"/>
          <w:lang w:val="en-US" w:eastAsia="de-DE"/>
        </w:rPr>
        <w:t>2</w:t>
      </w:r>
      <w:r w:rsidR="009D0303" w:rsidRPr="00683D62">
        <w:rPr>
          <w:rFonts w:ascii="Times New Roman" w:hAnsi="Times New Roman"/>
          <w:sz w:val="24"/>
          <w:szCs w:val="24"/>
          <w:lang w:val="en-US" w:eastAsia="de-DE"/>
        </w:rPr>
        <w:t xml:space="preserve"> years) and from birth to </w:t>
      </w:r>
      <w:r w:rsidR="003030AC" w:rsidRPr="00683D62">
        <w:rPr>
          <w:rFonts w:ascii="Times New Roman" w:hAnsi="Times New Roman"/>
          <w:sz w:val="24"/>
          <w:szCs w:val="24"/>
          <w:lang w:val="en-US" w:eastAsia="de-DE"/>
        </w:rPr>
        <w:t xml:space="preserve">the </w:t>
      </w:r>
      <w:r w:rsidR="009D0303" w:rsidRPr="00683D62">
        <w:rPr>
          <w:rFonts w:ascii="Times New Roman" w:hAnsi="Times New Roman"/>
          <w:sz w:val="24"/>
          <w:szCs w:val="24"/>
          <w:lang w:val="en-US" w:eastAsia="de-DE"/>
        </w:rPr>
        <w:t xml:space="preserve">last contact was </w:t>
      </w:r>
      <w:r w:rsidR="00D67359" w:rsidRPr="00683D62">
        <w:rPr>
          <w:rFonts w:ascii="Times New Roman" w:hAnsi="Times New Roman"/>
          <w:sz w:val="24"/>
          <w:szCs w:val="24"/>
          <w:lang w:val="en-US" w:eastAsia="de-DE"/>
        </w:rPr>
        <w:t>16</w:t>
      </w:r>
      <w:r w:rsidR="004A49A7" w:rsidRPr="00683D62">
        <w:rPr>
          <w:rFonts w:ascii="Calibri Light" w:hAnsi="Calibri Light" w:cs="Calibri Light"/>
          <w:lang w:val="en-US"/>
        </w:rPr>
        <w:t>.</w:t>
      </w:r>
      <w:r w:rsidR="00D67359" w:rsidRPr="00683D62">
        <w:rPr>
          <w:rFonts w:ascii="Times New Roman" w:hAnsi="Times New Roman"/>
          <w:sz w:val="24"/>
          <w:szCs w:val="24"/>
          <w:lang w:val="en-US" w:eastAsia="de-DE"/>
        </w:rPr>
        <w:t>1</w:t>
      </w:r>
      <w:r w:rsidR="009D0303" w:rsidRPr="00683D62">
        <w:rPr>
          <w:rFonts w:ascii="Times New Roman" w:hAnsi="Times New Roman"/>
          <w:sz w:val="24"/>
          <w:szCs w:val="24"/>
          <w:lang w:val="en-US" w:eastAsia="de-DE"/>
        </w:rPr>
        <w:t xml:space="preserve"> years (</w:t>
      </w:r>
      <w:r w:rsidR="0064132A" w:rsidRPr="00683D62">
        <w:rPr>
          <w:rFonts w:ascii="Times New Roman" w:hAnsi="Times New Roman"/>
          <w:sz w:val="24"/>
          <w:szCs w:val="24"/>
          <w:lang w:val="en-US" w:eastAsia="de-DE"/>
        </w:rPr>
        <w:t>IQR</w:t>
      </w:r>
      <w:r w:rsidR="009D0303" w:rsidRPr="00683D62">
        <w:rPr>
          <w:rFonts w:ascii="Times New Roman" w:hAnsi="Times New Roman"/>
          <w:sz w:val="24"/>
          <w:szCs w:val="24"/>
          <w:lang w:val="en-US" w:eastAsia="de-DE"/>
        </w:rPr>
        <w:t xml:space="preserve">, </w:t>
      </w:r>
      <w:r w:rsidR="002862AF" w:rsidRPr="00683D62">
        <w:rPr>
          <w:rFonts w:ascii="Times New Roman" w:hAnsi="Times New Roman"/>
          <w:sz w:val="24"/>
          <w:szCs w:val="24"/>
          <w:lang w:val="en-US" w:eastAsia="de-DE"/>
        </w:rPr>
        <w:t>11</w:t>
      </w:r>
      <w:r w:rsidR="00A410C7" w:rsidRPr="00683D62">
        <w:rPr>
          <w:rFonts w:ascii="Calibri Light" w:hAnsi="Calibri Light" w:cs="Calibri Light"/>
          <w:lang w:val="en-US"/>
        </w:rPr>
        <w:t>.</w:t>
      </w:r>
      <w:r w:rsidR="002862AF" w:rsidRPr="00683D62">
        <w:rPr>
          <w:rFonts w:ascii="Times New Roman" w:hAnsi="Times New Roman"/>
          <w:sz w:val="24"/>
          <w:szCs w:val="24"/>
          <w:lang w:val="en-US" w:eastAsia="de-DE"/>
        </w:rPr>
        <w:t>2</w:t>
      </w:r>
      <w:r w:rsidR="00A94090" w:rsidRPr="00683D62">
        <w:rPr>
          <w:rFonts w:ascii="Times New Roman" w:hAnsi="Times New Roman"/>
          <w:sz w:val="24"/>
          <w:szCs w:val="24"/>
          <w:lang w:val="en-US" w:eastAsia="de-DE"/>
        </w:rPr>
        <w:softHyphen/>
      </w:r>
      <w:r w:rsidR="00A410C7" w:rsidRPr="00683D62">
        <w:rPr>
          <w:rFonts w:ascii="Times New Roman" w:hAnsi="Times New Roman"/>
          <w:sz w:val="24"/>
          <w:szCs w:val="24"/>
          <w:lang w:val="en-US" w:eastAsia="de-DE"/>
        </w:rPr>
        <w:t>-</w:t>
      </w:r>
      <w:r w:rsidR="002862AF" w:rsidRPr="00683D62">
        <w:rPr>
          <w:rFonts w:ascii="Times New Roman" w:hAnsi="Times New Roman"/>
          <w:sz w:val="24"/>
          <w:szCs w:val="24"/>
          <w:lang w:val="en-US" w:eastAsia="de-DE"/>
        </w:rPr>
        <w:t>20</w:t>
      </w:r>
      <w:r w:rsidR="00A410C7" w:rsidRPr="00683D62">
        <w:rPr>
          <w:rFonts w:ascii="Calibri Light" w:hAnsi="Calibri Light" w:cs="Calibri Light"/>
          <w:lang w:val="en-US"/>
        </w:rPr>
        <w:t>.</w:t>
      </w:r>
      <w:r w:rsidR="002862AF" w:rsidRPr="00683D62">
        <w:rPr>
          <w:rFonts w:ascii="Times New Roman" w:hAnsi="Times New Roman"/>
          <w:sz w:val="24"/>
          <w:szCs w:val="24"/>
          <w:lang w:val="en-US" w:eastAsia="de-DE"/>
        </w:rPr>
        <w:t>0</w:t>
      </w:r>
      <w:r w:rsidR="009D0303" w:rsidRPr="00683D62">
        <w:rPr>
          <w:rFonts w:ascii="Times New Roman" w:hAnsi="Times New Roman"/>
          <w:sz w:val="24"/>
          <w:szCs w:val="24"/>
          <w:lang w:val="en-US" w:eastAsia="de-DE"/>
        </w:rPr>
        <w:t xml:space="preserve"> years).</w:t>
      </w:r>
    </w:p>
    <w:p w14:paraId="6F1FC04D" w14:textId="77777777" w:rsidR="00386A02" w:rsidRPr="00683D62" w:rsidRDefault="00386A02" w:rsidP="00F850AA">
      <w:pPr>
        <w:autoSpaceDE w:val="0"/>
        <w:autoSpaceDN w:val="0"/>
        <w:adjustRightInd w:val="0"/>
        <w:spacing w:after="0" w:line="480" w:lineRule="auto"/>
        <w:jc w:val="both"/>
        <w:outlineLvl w:val="0"/>
        <w:rPr>
          <w:rFonts w:ascii="Times New Roman" w:hAnsi="Times New Roman"/>
          <w:sz w:val="24"/>
          <w:szCs w:val="24"/>
          <w:lang w:val="en-US" w:eastAsia="de-DE"/>
        </w:rPr>
      </w:pPr>
    </w:p>
    <w:p w14:paraId="5DB3125A" w14:textId="77777777" w:rsidR="00B42569" w:rsidRPr="00683D62" w:rsidRDefault="00B42569" w:rsidP="00F850AA">
      <w:pPr>
        <w:autoSpaceDE w:val="0"/>
        <w:autoSpaceDN w:val="0"/>
        <w:adjustRightInd w:val="0"/>
        <w:spacing w:after="0" w:line="480" w:lineRule="auto"/>
        <w:jc w:val="both"/>
        <w:outlineLvl w:val="0"/>
        <w:rPr>
          <w:rFonts w:ascii="Times New Roman" w:hAnsi="Times New Roman"/>
          <w:sz w:val="24"/>
          <w:szCs w:val="24"/>
          <w:lang w:val="en-US" w:eastAsia="de-DE"/>
        </w:rPr>
      </w:pPr>
    </w:p>
    <w:p w14:paraId="7BF82D4F" w14:textId="77777777" w:rsidR="009D0303" w:rsidRPr="00683D62" w:rsidRDefault="0090792E" w:rsidP="00F850AA">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Autoantibody measurements</w:t>
      </w:r>
    </w:p>
    <w:p w14:paraId="7AEF1A48" w14:textId="2791C696" w:rsidR="00744BE2" w:rsidRPr="00683D62" w:rsidRDefault="004A246D" w:rsidP="003908AB">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The </w:t>
      </w:r>
      <w:r w:rsidR="003030AC" w:rsidRPr="00683D62">
        <w:rPr>
          <w:rFonts w:ascii="Times New Roman" w:hAnsi="Times New Roman"/>
          <w:sz w:val="24"/>
          <w:szCs w:val="24"/>
          <w:lang w:val="en-US" w:eastAsia="de-DE"/>
        </w:rPr>
        <w:t>type</w:t>
      </w:r>
      <w:r w:rsidR="00E503F8"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1</w:t>
      </w:r>
      <w:r w:rsidR="00E503F8"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diabetes-associated i</w:t>
      </w:r>
      <w:r w:rsidR="007371CC" w:rsidRPr="00683D62">
        <w:rPr>
          <w:rFonts w:ascii="Times New Roman" w:hAnsi="Times New Roman"/>
          <w:sz w:val="24"/>
          <w:szCs w:val="24"/>
          <w:lang w:val="en-US" w:eastAsia="de-DE"/>
        </w:rPr>
        <w:t xml:space="preserve">slet autoantibodies </w:t>
      </w:r>
      <w:r w:rsidR="00E111F6" w:rsidRPr="00683D62">
        <w:rPr>
          <w:rFonts w:ascii="Times New Roman" w:hAnsi="Times New Roman"/>
          <w:sz w:val="24"/>
          <w:szCs w:val="24"/>
          <w:lang w:val="en-US" w:eastAsia="de-DE"/>
        </w:rPr>
        <w:t xml:space="preserve">(IA) </w:t>
      </w:r>
      <w:r w:rsidRPr="00683D62">
        <w:rPr>
          <w:rFonts w:ascii="Times New Roman" w:hAnsi="Times New Roman"/>
          <w:sz w:val="24"/>
          <w:szCs w:val="24"/>
          <w:lang w:val="en-US" w:eastAsia="de-DE"/>
        </w:rPr>
        <w:t xml:space="preserve">against insulin </w:t>
      </w:r>
      <w:r w:rsidR="007371CC" w:rsidRPr="00683D62">
        <w:rPr>
          <w:rFonts w:ascii="Times New Roman" w:hAnsi="Times New Roman"/>
          <w:sz w:val="24"/>
          <w:szCs w:val="24"/>
          <w:lang w:val="en-US" w:eastAsia="de-DE"/>
        </w:rPr>
        <w:t>(IAA</w:t>
      </w:r>
      <w:r w:rsidRPr="00683D62">
        <w:rPr>
          <w:rFonts w:ascii="Times New Roman" w:hAnsi="Times New Roman"/>
          <w:sz w:val="24"/>
          <w:szCs w:val="24"/>
          <w:lang w:val="en-US" w:eastAsia="de-DE"/>
        </w:rPr>
        <w:t>), glutamic acid decarboxylase (GADA)</w:t>
      </w:r>
      <w:r w:rsidR="007371CC"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insulinoma antigen 2 (</w:t>
      </w:r>
      <w:r w:rsidR="007371CC" w:rsidRPr="00683D62">
        <w:rPr>
          <w:rFonts w:ascii="Times New Roman" w:hAnsi="Times New Roman"/>
          <w:sz w:val="24"/>
          <w:szCs w:val="24"/>
          <w:lang w:val="en-US" w:eastAsia="de-DE"/>
        </w:rPr>
        <w:t>IA-2A</w:t>
      </w:r>
      <w:r w:rsidRPr="00683D62">
        <w:rPr>
          <w:rFonts w:ascii="Times New Roman" w:hAnsi="Times New Roman"/>
          <w:sz w:val="24"/>
          <w:szCs w:val="24"/>
          <w:lang w:val="en-US" w:eastAsia="de-DE"/>
        </w:rPr>
        <w:t>)</w:t>
      </w:r>
      <w:r w:rsidR="003030AC" w:rsidRPr="00683D62">
        <w:rPr>
          <w:rFonts w:ascii="Times New Roman" w:hAnsi="Times New Roman"/>
          <w:sz w:val="24"/>
          <w:szCs w:val="24"/>
          <w:lang w:val="en-US" w:eastAsia="de-DE"/>
        </w:rPr>
        <w:t>,</w:t>
      </w:r>
      <w:r w:rsidR="007371CC" w:rsidRPr="00683D62">
        <w:rPr>
          <w:rFonts w:ascii="Times New Roman" w:hAnsi="Times New Roman"/>
          <w:sz w:val="24"/>
          <w:szCs w:val="24"/>
          <w:lang w:val="en-US" w:eastAsia="de-DE"/>
        </w:rPr>
        <w:t xml:space="preserve"> and </w:t>
      </w:r>
      <w:r w:rsidRPr="00683D62">
        <w:rPr>
          <w:rFonts w:ascii="Times New Roman" w:hAnsi="Times New Roman"/>
          <w:sz w:val="24"/>
          <w:szCs w:val="24"/>
          <w:lang w:val="en-US" w:eastAsia="de-DE"/>
        </w:rPr>
        <w:t>zinc transporter 8 (</w:t>
      </w:r>
      <w:r w:rsidR="007371CC" w:rsidRPr="00683D62">
        <w:rPr>
          <w:rFonts w:ascii="Times New Roman" w:hAnsi="Times New Roman"/>
          <w:sz w:val="24"/>
          <w:szCs w:val="24"/>
          <w:lang w:val="en-US" w:eastAsia="de-DE"/>
        </w:rPr>
        <w:t>ZnT8A)</w:t>
      </w:r>
      <w:r w:rsidR="007D7D76"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were measured </w:t>
      </w:r>
      <w:r w:rsidR="00B605BC" w:rsidRPr="00683D62">
        <w:rPr>
          <w:rFonts w:ascii="Times New Roman" w:hAnsi="Times New Roman"/>
          <w:sz w:val="24"/>
          <w:szCs w:val="24"/>
          <w:lang w:val="en-US" w:eastAsia="de-DE"/>
        </w:rPr>
        <w:t xml:space="preserve">at the Helmholtz Center, Munich </w:t>
      </w:r>
      <w:r w:rsidR="007371CC" w:rsidRPr="00683D62">
        <w:rPr>
          <w:rFonts w:ascii="Times New Roman" w:hAnsi="Times New Roman"/>
          <w:sz w:val="24"/>
          <w:szCs w:val="24"/>
          <w:lang w:val="en-US" w:eastAsia="de-DE"/>
        </w:rPr>
        <w:t xml:space="preserve">in venous blood samples obtained at </w:t>
      </w:r>
      <w:r w:rsidR="004D474E" w:rsidRPr="00683D62">
        <w:rPr>
          <w:rFonts w:ascii="Times New Roman" w:hAnsi="Times New Roman"/>
          <w:sz w:val="24"/>
          <w:szCs w:val="24"/>
          <w:lang w:val="en-US" w:eastAsia="de-DE"/>
        </w:rPr>
        <w:t xml:space="preserve">all </w:t>
      </w:r>
      <w:r w:rsidR="005E75AD" w:rsidRPr="00683D62">
        <w:rPr>
          <w:rFonts w:ascii="Times New Roman" w:hAnsi="Times New Roman"/>
          <w:sz w:val="24"/>
          <w:szCs w:val="24"/>
          <w:lang w:val="en-US" w:eastAsia="de-DE"/>
        </w:rPr>
        <w:t>completed</w:t>
      </w:r>
      <w:r w:rsidR="009D0303"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visits</w:t>
      </w:r>
      <w:r w:rsidR="005E75AD" w:rsidRPr="00683D62">
        <w:rPr>
          <w:rFonts w:ascii="Times New Roman" w:hAnsi="Times New Roman"/>
          <w:sz w:val="24"/>
          <w:szCs w:val="24"/>
          <w:lang w:val="en-US" w:eastAsia="de-DE"/>
        </w:rPr>
        <w:t xml:space="preserve">. The celiac disease-associated IgA autoantibodies against tissue transglutaminase 2 (TGA), and the thyroid autoimmune disease-associated autoantibodies against thyroid peroxidase (TPOA) were not measured in </w:t>
      </w:r>
      <w:r w:rsidR="00F37803" w:rsidRPr="00683D62">
        <w:rPr>
          <w:rFonts w:ascii="Times New Roman" w:hAnsi="Times New Roman"/>
          <w:sz w:val="24"/>
          <w:szCs w:val="24"/>
          <w:lang w:val="en-US" w:eastAsia="de-DE"/>
        </w:rPr>
        <w:t>4</w:t>
      </w:r>
      <w:r w:rsidR="009F5387">
        <w:rPr>
          <w:rFonts w:ascii="Times New Roman" w:hAnsi="Times New Roman"/>
          <w:sz w:val="24"/>
          <w:szCs w:val="24"/>
          <w:lang w:val="en-US" w:eastAsia="de-DE"/>
        </w:rPr>
        <w:t>6</w:t>
      </w:r>
      <w:r w:rsidR="005E75AD" w:rsidRPr="00683D62">
        <w:rPr>
          <w:rFonts w:ascii="Times New Roman" w:hAnsi="Times New Roman"/>
          <w:sz w:val="24"/>
          <w:szCs w:val="24"/>
          <w:lang w:val="en-US" w:eastAsia="de-DE"/>
        </w:rPr>
        <w:t xml:space="preserve"> and </w:t>
      </w:r>
      <w:r w:rsidR="009F5387">
        <w:rPr>
          <w:rFonts w:ascii="Times New Roman" w:hAnsi="Times New Roman"/>
          <w:sz w:val="24"/>
          <w:szCs w:val="24"/>
          <w:lang w:val="en-US" w:eastAsia="de-DE"/>
        </w:rPr>
        <w:t>30</w:t>
      </w:r>
      <w:r w:rsidR="005E75AD" w:rsidRPr="00683D62">
        <w:rPr>
          <w:rFonts w:ascii="Times New Roman" w:hAnsi="Times New Roman"/>
          <w:sz w:val="24"/>
          <w:szCs w:val="24"/>
          <w:lang w:val="en-US" w:eastAsia="de-DE"/>
        </w:rPr>
        <w:t xml:space="preserve"> children, respectively, because of insufficient sample volume. </w:t>
      </w:r>
      <w:r w:rsidR="007371CC" w:rsidRPr="00683D62">
        <w:rPr>
          <w:rFonts w:ascii="Times New Roman" w:hAnsi="Times New Roman"/>
          <w:sz w:val="24"/>
          <w:szCs w:val="24"/>
          <w:lang w:val="en-US" w:eastAsia="de-DE"/>
        </w:rPr>
        <w:t>Measurement</w:t>
      </w:r>
      <w:r w:rsidR="00B246E9" w:rsidRPr="00683D62">
        <w:rPr>
          <w:rFonts w:ascii="Times New Roman" w:hAnsi="Times New Roman"/>
          <w:sz w:val="24"/>
          <w:szCs w:val="24"/>
          <w:lang w:val="en-US" w:eastAsia="de-DE"/>
        </w:rPr>
        <w:t>s were</w:t>
      </w:r>
      <w:r w:rsidR="007371CC"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made with </w:t>
      </w:r>
      <w:r w:rsidR="00386A02" w:rsidRPr="00683D62">
        <w:rPr>
          <w:rFonts w:ascii="Times New Roman" w:hAnsi="Times New Roman"/>
          <w:sz w:val="24"/>
          <w:szCs w:val="24"/>
          <w:lang w:val="en-US" w:eastAsia="de-DE"/>
        </w:rPr>
        <w:t>radiobinding assays (</w:t>
      </w:r>
      <w:r w:rsidR="000A7A43" w:rsidRPr="00683D62">
        <w:rPr>
          <w:rFonts w:ascii="Times New Roman" w:hAnsi="Times New Roman"/>
          <w:sz w:val="24"/>
          <w:szCs w:val="24"/>
          <w:lang w:val="en-US" w:eastAsia="de-DE"/>
        </w:rPr>
        <w:t>10</w:t>
      </w:r>
      <w:r w:rsidR="007221EA" w:rsidRPr="00683D62">
        <w:rPr>
          <w:rFonts w:ascii="Times New Roman" w:hAnsi="Times New Roman"/>
          <w:sz w:val="24"/>
          <w:szCs w:val="24"/>
          <w:lang w:val="en-US" w:eastAsia="de-DE"/>
        </w:rPr>
        <w:t>,</w:t>
      </w:r>
      <w:r w:rsidR="000A7A43" w:rsidRPr="00683D62">
        <w:rPr>
          <w:rFonts w:ascii="Times New Roman" w:hAnsi="Times New Roman"/>
          <w:sz w:val="24"/>
          <w:szCs w:val="24"/>
          <w:lang w:val="en-US" w:eastAsia="de-DE"/>
        </w:rPr>
        <w:t>11</w:t>
      </w:r>
      <w:r w:rsidR="007221EA" w:rsidRPr="00683D62">
        <w:rPr>
          <w:rFonts w:ascii="Times New Roman" w:hAnsi="Times New Roman"/>
          <w:sz w:val="24"/>
          <w:szCs w:val="24"/>
          <w:lang w:val="en-US" w:eastAsia="de-DE"/>
        </w:rPr>
        <w:t>,</w:t>
      </w:r>
      <w:r w:rsidR="000A7A43" w:rsidRPr="00683D62">
        <w:rPr>
          <w:rFonts w:ascii="Times New Roman" w:hAnsi="Times New Roman"/>
          <w:sz w:val="24"/>
          <w:szCs w:val="24"/>
          <w:lang w:val="en-US" w:eastAsia="de-DE"/>
        </w:rPr>
        <w:t>19</w:t>
      </w:r>
      <w:r w:rsidR="007221EA" w:rsidRPr="00683D62">
        <w:rPr>
          <w:rFonts w:ascii="Times New Roman" w:hAnsi="Times New Roman"/>
          <w:sz w:val="24"/>
          <w:szCs w:val="24"/>
          <w:lang w:val="en-US" w:eastAsia="de-DE"/>
        </w:rPr>
        <w:t>,2</w:t>
      </w:r>
      <w:r w:rsidR="00025199" w:rsidRPr="00683D62">
        <w:rPr>
          <w:rFonts w:ascii="Times New Roman" w:hAnsi="Times New Roman"/>
          <w:sz w:val="24"/>
          <w:szCs w:val="24"/>
          <w:lang w:val="en-US" w:eastAsia="de-DE"/>
        </w:rPr>
        <w:t>0</w:t>
      </w:r>
      <w:r w:rsidR="007371CC"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The </w:t>
      </w:r>
      <w:r w:rsidR="00E111F6" w:rsidRPr="00683D62">
        <w:rPr>
          <w:rFonts w:ascii="Times New Roman" w:hAnsi="Times New Roman"/>
          <w:sz w:val="24"/>
          <w:szCs w:val="24"/>
          <w:lang w:val="en-US" w:eastAsia="de-DE"/>
        </w:rPr>
        <w:t xml:space="preserve">IA </w:t>
      </w:r>
      <w:r w:rsidR="00744BE2" w:rsidRPr="00683D62">
        <w:rPr>
          <w:rFonts w:ascii="Times New Roman" w:hAnsi="Times New Roman"/>
          <w:sz w:val="24"/>
          <w:szCs w:val="24"/>
          <w:lang w:val="en-US" w:eastAsia="de-DE"/>
        </w:rPr>
        <w:t xml:space="preserve">assays </w:t>
      </w:r>
      <w:r w:rsidR="00D3796B" w:rsidRPr="00683D62">
        <w:rPr>
          <w:rFonts w:ascii="Times New Roman" w:hAnsi="Times New Roman"/>
          <w:sz w:val="24"/>
          <w:szCs w:val="24"/>
          <w:lang w:val="en-US" w:eastAsia="de-DE"/>
        </w:rPr>
        <w:t xml:space="preserve">(laboratory 121) </w:t>
      </w:r>
      <w:r w:rsidR="00744BE2" w:rsidRPr="00683D62">
        <w:rPr>
          <w:rFonts w:ascii="Times New Roman" w:hAnsi="Times New Roman"/>
          <w:sz w:val="24"/>
          <w:szCs w:val="24"/>
          <w:lang w:val="en-US" w:eastAsia="de-DE"/>
        </w:rPr>
        <w:t xml:space="preserve">were evaluated </w:t>
      </w:r>
      <w:r w:rsidR="00B605BC" w:rsidRPr="00683D62">
        <w:rPr>
          <w:rFonts w:ascii="Times New Roman" w:hAnsi="Times New Roman"/>
          <w:sz w:val="24"/>
          <w:szCs w:val="24"/>
          <w:lang w:val="en-US" w:eastAsia="de-DE"/>
        </w:rPr>
        <w:t xml:space="preserve">in </w:t>
      </w:r>
      <w:r w:rsidR="00744BE2" w:rsidRPr="00683D62">
        <w:rPr>
          <w:rFonts w:ascii="Times New Roman" w:hAnsi="Times New Roman"/>
          <w:sz w:val="24"/>
          <w:szCs w:val="24"/>
          <w:lang w:val="en-US" w:eastAsia="de-DE"/>
        </w:rPr>
        <w:t>the Diabetes Autoantibody Standardization Program</w:t>
      </w:r>
      <w:r w:rsidR="00613107" w:rsidRPr="00683D62">
        <w:rPr>
          <w:rFonts w:ascii="Times New Roman" w:hAnsi="Times New Roman"/>
          <w:sz w:val="24"/>
          <w:szCs w:val="24"/>
          <w:lang w:val="en-US" w:eastAsia="de-DE"/>
        </w:rPr>
        <w:t>, which included other assays that gave similar performances</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21</w:t>
      </w:r>
      <w:r w:rsidR="00D64DF1" w:rsidRPr="00683D62">
        <w:rPr>
          <w:rFonts w:ascii="Times New Roman" w:hAnsi="Times New Roman"/>
          <w:sz w:val="24"/>
          <w:szCs w:val="24"/>
          <w:lang w:val="en-US" w:eastAsia="de-DE"/>
        </w:rPr>
        <w:t>-</w:t>
      </w:r>
      <w:r w:rsidR="00025199" w:rsidRPr="00683D62">
        <w:rPr>
          <w:rFonts w:ascii="Times New Roman" w:hAnsi="Times New Roman"/>
          <w:sz w:val="24"/>
          <w:szCs w:val="24"/>
          <w:lang w:val="en-US" w:eastAsia="de-DE"/>
        </w:rPr>
        <w:t>23</w:t>
      </w:r>
      <w:r w:rsidR="00386A02" w:rsidRPr="00683D62">
        <w:rPr>
          <w:rFonts w:ascii="Times New Roman" w:hAnsi="Times New Roman"/>
          <w:sz w:val="24"/>
          <w:szCs w:val="24"/>
          <w:lang w:val="en-US" w:eastAsia="de-DE"/>
        </w:rPr>
        <w:t>)</w:t>
      </w:r>
      <w:r w:rsidR="00744BE2" w:rsidRPr="00683D62">
        <w:rPr>
          <w:rFonts w:ascii="Times New Roman" w:hAnsi="Times New Roman"/>
          <w:sz w:val="24"/>
          <w:szCs w:val="24"/>
          <w:lang w:val="en-US" w:eastAsia="de-DE"/>
        </w:rPr>
        <w:t>.</w:t>
      </w:r>
    </w:p>
    <w:p w14:paraId="41D03803" w14:textId="5565650F" w:rsidR="00C22A67" w:rsidRPr="00683D62" w:rsidRDefault="003030AC" w:rsidP="00C22A67">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The genetic </w:t>
      </w:r>
      <w:r w:rsidR="00BE7B76" w:rsidRPr="00683D62">
        <w:rPr>
          <w:rFonts w:ascii="Times New Roman" w:hAnsi="Times New Roman"/>
          <w:sz w:val="24"/>
          <w:szCs w:val="24"/>
          <w:lang w:val="en-US" w:eastAsia="de-DE"/>
        </w:rPr>
        <w:t xml:space="preserve">typing at </w:t>
      </w:r>
      <w:r w:rsidRPr="00683D62">
        <w:rPr>
          <w:rFonts w:ascii="Times New Roman" w:hAnsi="Times New Roman"/>
          <w:sz w:val="24"/>
          <w:szCs w:val="24"/>
          <w:lang w:val="en-US" w:eastAsia="de-DE"/>
        </w:rPr>
        <w:t xml:space="preserve">the </w:t>
      </w:r>
      <w:r w:rsidR="00C22A67" w:rsidRPr="00683D62">
        <w:rPr>
          <w:rFonts w:ascii="Times New Roman" w:hAnsi="Times New Roman"/>
          <w:sz w:val="24"/>
          <w:szCs w:val="24"/>
          <w:lang w:val="en-US" w:eastAsia="de-DE"/>
        </w:rPr>
        <w:t>HLA-</w:t>
      </w:r>
      <w:r w:rsidR="00C22A67" w:rsidRPr="00683D62">
        <w:rPr>
          <w:rFonts w:ascii="Times New Roman" w:hAnsi="Times New Roman"/>
          <w:i/>
          <w:sz w:val="24"/>
          <w:szCs w:val="24"/>
          <w:lang w:val="en-US" w:eastAsia="de-DE"/>
        </w:rPr>
        <w:t>DRB1</w:t>
      </w:r>
      <w:r w:rsidR="00C22A67" w:rsidRPr="00683D62">
        <w:rPr>
          <w:rFonts w:ascii="Times New Roman" w:hAnsi="Times New Roman"/>
          <w:sz w:val="24"/>
          <w:szCs w:val="24"/>
          <w:lang w:val="en-US" w:eastAsia="de-DE"/>
        </w:rPr>
        <w:t>, HLA-</w:t>
      </w:r>
      <w:r w:rsidR="00C22A67" w:rsidRPr="00683D62">
        <w:rPr>
          <w:rFonts w:ascii="Times New Roman" w:hAnsi="Times New Roman"/>
          <w:i/>
          <w:sz w:val="24"/>
          <w:szCs w:val="24"/>
          <w:lang w:val="en-US" w:eastAsia="de-DE"/>
        </w:rPr>
        <w:t>DQA1</w:t>
      </w:r>
      <w:r w:rsidRPr="00683D62">
        <w:rPr>
          <w:rFonts w:ascii="Times New Roman" w:hAnsi="Times New Roman"/>
          <w:sz w:val="24"/>
          <w:szCs w:val="24"/>
          <w:lang w:val="en-US" w:eastAsia="de-DE"/>
        </w:rPr>
        <w:t>,</w:t>
      </w:r>
      <w:r w:rsidR="00C22A67" w:rsidRPr="00683D62">
        <w:rPr>
          <w:rFonts w:ascii="Times New Roman" w:hAnsi="Times New Roman"/>
          <w:sz w:val="24"/>
          <w:szCs w:val="24"/>
          <w:lang w:val="en-US" w:eastAsia="de-DE"/>
        </w:rPr>
        <w:t xml:space="preserve"> and HLA-</w:t>
      </w:r>
      <w:r w:rsidR="00C22A67" w:rsidRPr="00683D62">
        <w:rPr>
          <w:rFonts w:ascii="Times New Roman" w:hAnsi="Times New Roman"/>
          <w:i/>
          <w:sz w:val="24"/>
          <w:szCs w:val="24"/>
          <w:lang w:val="en-US" w:eastAsia="de-DE"/>
        </w:rPr>
        <w:t>DQB1</w:t>
      </w:r>
      <w:r w:rsidR="00C22A67" w:rsidRPr="00683D62">
        <w:rPr>
          <w:rFonts w:ascii="Times New Roman" w:hAnsi="Times New Roman"/>
          <w:sz w:val="24"/>
          <w:szCs w:val="24"/>
          <w:lang w:val="en-US" w:eastAsia="de-DE"/>
        </w:rPr>
        <w:t xml:space="preserve"> </w:t>
      </w:r>
      <w:r w:rsidR="00BE7B76" w:rsidRPr="00683D62">
        <w:rPr>
          <w:rFonts w:ascii="Times New Roman" w:hAnsi="Times New Roman"/>
          <w:sz w:val="24"/>
          <w:szCs w:val="24"/>
          <w:lang w:val="en-US" w:eastAsia="de-DE"/>
        </w:rPr>
        <w:t xml:space="preserve">loci </w:t>
      </w:r>
      <w:r w:rsidR="00F7024B" w:rsidRPr="00683D62">
        <w:rPr>
          <w:rFonts w:ascii="Times New Roman" w:hAnsi="Times New Roman"/>
          <w:sz w:val="24"/>
          <w:szCs w:val="24"/>
          <w:lang w:val="en-US" w:eastAsia="de-DE"/>
        </w:rPr>
        <w:t xml:space="preserve">and at </w:t>
      </w:r>
      <w:r w:rsidRPr="00683D62">
        <w:rPr>
          <w:rFonts w:ascii="Times New Roman" w:hAnsi="Times New Roman"/>
          <w:sz w:val="24"/>
          <w:szCs w:val="24"/>
          <w:lang w:val="en-US" w:eastAsia="de-DE"/>
        </w:rPr>
        <w:t>single-</w:t>
      </w:r>
      <w:r w:rsidR="00F7024B" w:rsidRPr="00683D62">
        <w:rPr>
          <w:rFonts w:ascii="Times New Roman" w:hAnsi="Times New Roman"/>
          <w:sz w:val="24"/>
          <w:szCs w:val="24"/>
          <w:lang w:val="en-US" w:eastAsia="de-DE"/>
        </w:rPr>
        <w:t>nucleotide polymorphisms rs</w:t>
      </w:r>
      <w:r w:rsidR="008906CF" w:rsidRPr="00683D62">
        <w:rPr>
          <w:rFonts w:ascii="Times New Roman" w:hAnsi="Times New Roman"/>
          <w:sz w:val="24"/>
          <w:szCs w:val="24"/>
          <w:lang w:val="en-US" w:eastAsia="de-DE"/>
        </w:rPr>
        <w:t>689</w:t>
      </w:r>
      <w:r w:rsidR="00F7024B" w:rsidRPr="00683D62">
        <w:rPr>
          <w:rFonts w:ascii="Times New Roman" w:hAnsi="Times New Roman"/>
          <w:sz w:val="24"/>
          <w:szCs w:val="24"/>
          <w:lang w:val="en-US" w:eastAsia="de-DE"/>
        </w:rPr>
        <w:t xml:space="preserve"> (</w:t>
      </w:r>
      <w:r w:rsidR="00F7024B" w:rsidRPr="00683D62">
        <w:rPr>
          <w:rFonts w:ascii="Times New Roman" w:hAnsi="Times New Roman"/>
          <w:i/>
          <w:sz w:val="24"/>
          <w:szCs w:val="24"/>
          <w:lang w:val="en-US" w:eastAsia="de-DE"/>
        </w:rPr>
        <w:t>INS</w:t>
      </w:r>
      <w:r w:rsidR="00F7024B" w:rsidRPr="00683D62">
        <w:rPr>
          <w:rFonts w:ascii="Times New Roman" w:hAnsi="Times New Roman"/>
          <w:sz w:val="24"/>
          <w:szCs w:val="24"/>
          <w:lang w:val="en-US" w:eastAsia="de-DE"/>
        </w:rPr>
        <w:t xml:space="preserve"> gene), rs</w:t>
      </w:r>
      <w:r w:rsidR="008906CF" w:rsidRPr="00683D62">
        <w:rPr>
          <w:rFonts w:ascii="Times New Roman" w:hAnsi="Times New Roman"/>
          <w:sz w:val="24"/>
          <w:szCs w:val="24"/>
          <w:lang w:val="en-US" w:eastAsia="de-DE"/>
        </w:rPr>
        <w:t>2476601</w:t>
      </w:r>
      <w:r w:rsidR="00F7024B" w:rsidRPr="00683D62">
        <w:rPr>
          <w:rFonts w:ascii="Times New Roman" w:hAnsi="Times New Roman"/>
          <w:sz w:val="24"/>
          <w:szCs w:val="24"/>
          <w:lang w:val="en-US" w:eastAsia="de-DE"/>
        </w:rPr>
        <w:t xml:space="preserve"> (</w:t>
      </w:r>
      <w:r w:rsidR="00F7024B" w:rsidRPr="00683D62">
        <w:rPr>
          <w:rFonts w:ascii="Times New Roman" w:hAnsi="Times New Roman"/>
          <w:i/>
          <w:sz w:val="24"/>
          <w:szCs w:val="24"/>
          <w:lang w:val="en-US" w:eastAsia="de-DE"/>
        </w:rPr>
        <w:t>PTPN22</w:t>
      </w:r>
      <w:r w:rsidR="00F7024B" w:rsidRPr="00683D62">
        <w:rPr>
          <w:rFonts w:ascii="Times New Roman" w:hAnsi="Times New Roman"/>
          <w:sz w:val="24"/>
          <w:szCs w:val="24"/>
          <w:lang w:val="en-US" w:eastAsia="de-DE"/>
        </w:rPr>
        <w:t xml:space="preserve"> gene), rs</w:t>
      </w:r>
      <w:r w:rsidR="008906CF" w:rsidRPr="00683D62">
        <w:rPr>
          <w:rFonts w:ascii="Times New Roman" w:hAnsi="Times New Roman"/>
          <w:sz w:val="24"/>
          <w:szCs w:val="24"/>
          <w:lang w:val="en-US" w:eastAsia="de-DE"/>
        </w:rPr>
        <w:t xml:space="preserve">1990760 </w:t>
      </w:r>
      <w:r w:rsidR="00F7024B" w:rsidRPr="00683D62">
        <w:rPr>
          <w:rFonts w:ascii="Times New Roman" w:hAnsi="Times New Roman"/>
          <w:sz w:val="24"/>
          <w:szCs w:val="24"/>
          <w:lang w:val="en-US" w:eastAsia="de-DE"/>
        </w:rPr>
        <w:t>(</w:t>
      </w:r>
      <w:r w:rsidR="00F7024B" w:rsidRPr="00683D62">
        <w:rPr>
          <w:rFonts w:ascii="Times New Roman" w:hAnsi="Times New Roman"/>
          <w:i/>
          <w:sz w:val="24"/>
          <w:szCs w:val="24"/>
          <w:lang w:val="en-US" w:eastAsia="de-DE"/>
        </w:rPr>
        <w:t>IFIH1</w:t>
      </w:r>
      <w:r w:rsidR="00F7024B" w:rsidRPr="00683D62">
        <w:rPr>
          <w:rFonts w:ascii="Times New Roman" w:hAnsi="Times New Roman"/>
          <w:sz w:val="24"/>
          <w:szCs w:val="24"/>
          <w:lang w:val="en-US" w:eastAsia="de-DE"/>
        </w:rPr>
        <w:t xml:space="preserve"> gene), and rs</w:t>
      </w:r>
      <w:r w:rsidR="008906CF" w:rsidRPr="00683D62">
        <w:rPr>
          <w:rFonts w:ascii="Times New Roman" w:hAnsi="Times New Roman"/>
          <w:sz w:val="24"/>
          <w:szCs w:val="24"/>
          <w:lang w:val="en-US" w:eastAsia="de-DE"/>
        </w:rPr>
        <w:t xml:space="preserve">3184504 </w:t>
      </w:r>
      <w:r w:rsidR="00F7024B" w:rsidRPr="00683D62">
        <w:rPr>
          <w:rFonts w:ascii="Times New Roman" w:hAnsi="Times New Roman"/>
          <w:sz w:val="24"/>
          <w:szCs w:val="24"/>
          <w:lang w:val="en-US" w:eastAsia="de-DE"/>
        </w:rPr>
        <w:t>(</w:t>
      </w:r>
      <w:r w:rsidR="00F7024B" w:rsidRPr="00683D62">
        <w:rPr>
          <w:rFonts w:ascii="Times New Roman" w:hAnsi="Times New Roman"/>
          <w:i/>
          <w:sz w:val="24"/>
          <w:szCs w:val="24"/>
          <w:lang w:val="en-US" w:eastAsia="de-DE"/>
        </w:rPr>
        <w:t>SH2B3</w:t>
      </w:r>
      <w:r w:rsidR="00F7024B" w:rsidRPr="00683D62">
        <w:rPr>
          <w:rFonts w:ascii="Times New Roman" w:hAnsi="Times New Roman"/>
          <w:sz w:val="24"/>
          <w:szCs w:val="24"/>
          <w:lang w:val="en-US" w:eastAsia="de-DE"/>
        </w:rPr>
        <w:t xml:space="preserve"> gene) </w:t>
      </w:r>
      <w:r w:rsidR="007073EF" w:rsidRPr="00683D62">
        <w:rPr>
          <w:rFonts w:ascii="Times New Roman" w:hAnsi="Times New Roman"/>
          <w:sz w:val="24"/>
          <w:szCs w:val="24"/>
          <w:lang w:val="en-US" w:eastAsia="de-DE"/>
        </w:rPr>
        <w:t xml:space="preserve">was performed in 2290 children (DNA sample was unavailable in the remainder) and </w:t>
      </w:r>
      <w:r w:rsidR="00F7024B" w:rsidRPr="00683D62">
        <w:rPr>
          <w:rFonts w:ascii="Times New Roman" w:hAnsi="Times New Roman"/>
          <w:sz w:val="24"/>
          <w:szCs w:val="24"/>
          <w:lang w:val="en-US" w:eastAsia="de-DE"/>
        </w:rPr>
        <w:t>has been described elsewhere</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24</w:t>
      </w:r>
      <w:r w:rsidR="007221EA" w:rsidRPr="00683D62">
        <w:rPr>
          <w:rFonts w:ascii="Times New Roman" w:hAnsi="Times New Roman"/>
          <w:sz w:val="24"/>
          <w:szCs w:val="24"/>
          <w:lang w:val="en-US" w:eastAsia="de-DE"/>
        </w:rPr>
        <w:t>,</w:t>
      </w:r>
      <w:r w:rsidR="00025199" w:rsidRPr="00683D62">
        <w:rPr>
          <w:rFonts w:ascii="Times New Roman" w:hAnsi="Times New Roman"/>
          <w:sz w:val="24"/>
          <w:szCs w:val="24"/>
          <w:lang w:val="en-US" w:eastAsia="de-DE"/>
        </w:rPr>
        <w:t>25</w:t>
      </w:r>
      <w:r w:rsidR="00386A02" w:rsidRPr="00683D62">
        <w:rPr>
          <w:rFonts w:ascii="Times New Roman" w:hAnsi="Times New Roman"/>
          <w:sz w:val="24"/>
          <w:szCs w:val="24"/>
          <w:lang w:val="en-US" w:eastAsia="de-DE"/>
        </w:rPr>
        <w:t>)</w:t>
      </w:r>
      <w:r w:rsidR="00F7024B" w:rsidRPr="00683D62">
        <w:rPr>
          <w:rFonts w:ascii="Times New Roman" w:hAnsi="Times New Roman"/>
          <w:sz w:val="24"/>
          <w:szCs w:val="24"/>
          <w:lang w:val="en-US" w:eastAsia="de-DE"/>
        </w:rPr>
        <w:t>.</w:t>
      </w:r>
    </w:p>
    <w:p w14:paraId="6C01AEAB" w14:textId="77777777" w:rsidR="00925292" w:rsidRPr="00683D62" w:rsidRDefault="00925292" w:rsidP="00F850AA">
      <w:pPr>
        <w:autoSpaceDE w:val="0"/>
        <w:autoSpaceDN w:val="0"/>
        <w:adjustRightInd w:val="0"/>
        <w:spacing w:after="0" w:line="480" w:lineRule="auto"/>
        <w:jc w:val="both"/>
        <w:outlineLvl w:val="0"/>
        <w:rPr>
          <w:rFonts w:ascii="Times New Roman" w:hAnsi="Times New Roman"/>
          <w:sz w:val="24"/>
          <w:szCs w:val="24"/>
          <w:lang w:val="en-US" w:eastAsia="de-DE"/>
        </w:rPr>
      </w:pPr>
    </w:p>
    <w:p w14:paraId="1796BF53" w14:textId="77777777" w:rsidR="002832F1" w:rsidRPr="00683D62" w:rsidRDefault="00E6798A" w:rsidP="00F850AA">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Outcome definition</w:t>
      </w:r>
    </w:p>
    <w:p w14:paraId="0D368788" w14:textId="5FF2A11B" w:rsidR="00791F0C" w:rsidRPr="00683D62" w:rsidRDefault="00E111F6" w:rsidP="00D3796B">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IA</w:t>
      </w:r>
      <w:r w:rsidR="007371CC" w:rsidRPr="00683D62">
        <w:rPr>
          <w:rFonts w:ascii="Times New Roman" w:hAnsi="Times New Roman"/>
          <w:sz w:val="24"/>
          <w:szCs w:val="24"/>
          <w:lang w:val="en-US" w:eastAsia="de-DE"/>
        </w:rPr>
        <w:t xml:space="preserve"> positivity was defined as the</w:t>
      </w:r>
      <w:r w:rsidR="0015200C"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development of persistent </w:t>
      </w:r>
      <w:r w:rsidR="006555EE" w:rsidRPr="00683D62">
        <w:rPr>
          <w:rFonts w:ascii="Times New Roman" w:hAnsi="Times New Roman"/>
          <w:sz w:val="24"/>
          <w:szCs w:val="24"/>
          <w:lang w:val="en-US" w:eastAsia="de-DE"/>
        </w:rPr>
        <w:t>IAA, GADA, IA2A</w:t>
      </w:r>
      <w:r w:rsidR="003030AC" w:rsidRPr="00683D62">
        <w:rPr>
          <w:rFonts w:ascii="Times New Roman" w:hAnsi="Times New Roman"/>
          <w:sz w:val="24"/>
          <w:szCs w:val="24"/>
          <w:lang w:val="en-US" w:eastAsia="de-DE"/>
        </w:rPr>
        <w:t>,</w:t>
      </w:r>
      <w:r w:rsidR="006555EE" w:rsidRPr="00683D62">
        <w:rPr>
          <w:rFonts w:ascii="Times New Roman" w:hAnsi="Times New Roman"/>
          <w:sz w:val="24"/>
          <w:szCs w:val="24"/>
          <w:lang w:val="en-US" w:eastAsia="de-DE"/>
        </w:rPr>
        <w:t xml:space="preserve"> or ZnT8A</w:t>
      </w:r>
      <w:r w:rsidR="003030AC" w:rsidRPr="00683D62">
        <w:rPr>
          <w:rFonts w:ascii="Times New Roman" w:hAnsi="Times New Roman"/>
          <w:sz w:val="24"/>
          <w:szCs w:val="24"/>
          <w:lang w:val="en-US" w:eastAsia="de-DE"/>
        </w:rPr>
        <w:t>,</w:t>
      </w:r>
      <w:r w:rsidR="007371CC" w:rsidRPr="00683D62">
        <w:rPr>
          <w:rFonts w:ascii="Times New Roman" w:hAnsi="Times New Roman"/>
          <w:sz w:val="24"/>
          <w:szCs w:val="24"/>
          <w:lang w:val="en-US" w:eastAsia="de-DE"/>
        </w:rPr>
        <w:t xml:space="preserve"> with sample</w:t>
      </w:r>
      <w:r w:rsidR="0015200C"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values above the 99th percentile </w:t>
      </w:r>
      <w:r w:rsidR="0064132A" w:rsidRPr="00683D62">
        <w:rPr>
          <w:rFonts w:ascii="Times New Roman" w:hAnsi="Times New Roman"/>
          <w:sz w:val="24"/>
          <w:szCs w:val="24"/>
          <w:lang w:val="en-US" w:eastAsia="de-DE"/>
        </w:rPr>
        <w:t xml:space="preserve">of </w:t>
      </w:r>
      <w:r w:rsidR="007371CC" w:rsidRPr="00683D62">
        <w:rPr>
          <w:rFonts w:ascii="Times New Roman" w:hAnsi="Times New Roman"/>
          <w:sz w:val="24"/>
          <w:szCs w:val="24"/>
          <w:lang w:val="en-US" w:eastAsia="de-DE"/>
        </w:rPr>
        <w:t>control children. Persistence was defined</w:t>
      </w:r>
      <w:r w:rsidR="00F1157F"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as autoantibody positivity in at least two consecutive</w:t>
      </w:r>
      <w:r w:rsidR="0015200C"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samples</w:t>
      </w:r>
      <w:r w:rsidR="00D3796B" w:rsidRPr="00683D62">
        <w:rPr>
          <w:rFonts w:ascii="Times New Roman" w:hAnsi="Times New Roman"/>
          <w:sz w:val="24"/>
          <w:szCs w:val="24"/>
          <w:lang w:val="en-US" w:eastAsia="de-DE"/>
        </w:rPr>
        <w:t xml:space="preserve"> or in the last sample if the participant developed diabetes </w:t>
      </w:r>
      <w:r w:rsidR="003030AC" w:rsidRPr="00683D62">
        <w:rPr>
          <w:rFonts w:ascii="Times New Roman" w:hAnsi="Times New Roman"/>
          <w:sz w:val="24"/>
          <w:szCs w:val="24"/>
          <w:lang w:val="en-US" w:eastAsia="de-DE"/>
        </w:rPr>
        <w:t>before</w:t>
      </w:r>
      <w:r w:rsidR="00D3796B"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providing </w:t>
      </w:r>
      <w:r w:rsidR="00D3796B" w:rsidRPr="00683D62">
        <w:rPr>
          <w:rFonts w:ascii="Times New Roman" w:hAnsi="Times New Roman"/>
          <w:sz w:val="24"/>
          <w:szCs w:val="24"/>
          <w:lang w:val="en-US" w:eastAsia="de-DE"/>
        </w:rPr>
        <w:t>a follow-up sample</w:t>
      </w:r>
      <w:r w:rsidR="007371CC"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The age </w:t>
      </w:r>
      <w:r w:rsidR="007371CC" w:rsidRPr="00683D62">
        <w:rPr>
          <w:rFonts w:ascii="Times New Roman" w:hAnsi="Times New Roman"/>
          <w:sz w:val="24"/>
          <w:szCs w:val="24"/>
          <w:lang w:val="en-US" w:eastAsia="de-DE"/>
        </w:rPr>
        <w:t xml:space="preserve">at the first </w:t>
      </w:r>
      <w:r w:rsidR="003030AC" w:rsidRPr="00683D62">
        <w:rPr>
          <w:rFonts w:ascii="Times New Roman" w:hAnsi="Times New Roman"/>
          <w:sz w:val="24"/>
          <w:szCs w:val="24"/>
          <w:lang w:val="en-US" w:eastAsia="de-DE"/>
        </w:rPr>
        <w:t>IA-</w:t>
      </w:r>
      <w:r w:rsidR="007371CC" w:rsidRPr="00683D62">
        <w:rPr>
          <w:rFonts w:ascii="Times New Roman" w:hAnsi="Times New Roman"/>
          <w:sz w:val="24"/>
          <w:szCs w:val="24"/>
          <w:lang w:val="en-US" w:eastAsia="de-DE"/>
        </w:rPr>
        <w:t>positive sample was</w:t>
      </w:r>
      <w:r w:rsidR="0015200C"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considered the </w:t>
      </w:r>
      <w:r w:rsidR="003030AC" w:rsidRPr="00683D62">
        <w:rPr>
          <w:rFonts w:ascii="Times New Roman" w:hAnsi="Times New Roman"/>
          <w:sz w:val="24"/>
          <w:szCs w:val="24"/>
          <w:lang w:val="en-US" w:eastAsia="de-DE"/>
        </w:rPr>
        <w:t xml:space="preserve">age of </w:t>
      </w:r>
      <w:r w:rsidR="0064132A" w:rsidRPr="00683D62">
        <w:rPr>
          <w:rFonts w:ascii="Times New Roman" w:hAnsi="Times New Roman"/>
          <w:sz w:val="24"/>
          <w:szCs w:val="24"/>
          <w:lang w:val="en-US" w:eastAsia="de-DE"/>
        </w:rPr>
        <w:t>seroconversion</w:t>
      </w:r>
      <w:r w:rsidR="007371CC"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The children </w:t>
      </w:r>
      <w:r w:rsidR="007371CC" w:rsidRPr="00683D62">
        <w:rPr>
          <w:rFonts w:ascii="Times New Roman" w:hAnsi="Times New Roman"/>
          <w:sz w:val="24"/>
          <w:szCs w:val="24"/>
          <w:lang w:val="en-US" w:eastAsia="de-DE"/>
        </w:rPr>
        <w:t xml:space="preserve">were classified as </w:t>
      </w:r>
      <w:r w:rsidR="003030AC" w:rsidRPr="00683D62">
        <w:rPr>
          <w:rFonts w:ascii="Times New Roman" w:hAnsi="Times New Roman"/>
          <w:sz w:val="24"/>
          <w:szCs w:val="24"/>
          <w:lang w:val="en-US" w:eastAsia="de-DE"/>
        </w:rPr>
        <w:t>multiple-</w:t>
      </w:r>
      <w:r w:rsidRPr="00683D62">
        <w:rPr>
          <w:rFonts w:ascii="Times New Roman" w:hAnsi="Times New Roman"/>
          <w:sz w:val="24"/>
          <w:szCs w:val="24"/>
          <w:lang w:val="en-US" w:eastAsia="de-DE"/>
        </w:rPr>
        <w:t>IA</w:t>
      </w:r>
      <w:r w:rsidR="003030AC"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positive</w:t>
      </w:r>
      <w:r w:rsidR="003030AC" w:rsidRPr="00683D62">
        <w:rPr>
          <w:rFonts w:ascii="Times New Roman" w:hAnsi="Times New Roman"/>
          <w:sz w:val="24"/>
          <w:szCs w:val="24"/>
          <w:lang w:val="en-US" w:eastAsia="de-DE"/>
        </w:rPr>
        <w:t>,</w:t>
      </w:r>
      <w:r w:rsidR="007371CC" w:rsidRPr="00683D62">
        <w:rPr>
          <w:rFonts w:ascii="Times New Roman" w:hAnsi="Times New Roman"/>
          <w:sz w:val="24"/>
          <w:szCs w:val="24"/>
          <w:lang w:val="en-US" w:eastAsia="de-DE"/>
        </w:rPr>
        <w:t xml:space="preserve"> if</w:t>
      </w:r>
      <w:r w:rsidR="0015200C" w:rsidRPr="00683D62">
        <w:rPr>
          <w:rFonts w:ascii="Times New Roman" w:hAnsi="Times New Roman"/>
          <w:sz w:val="24"/>
          <w:szCs w:val="24"/>
          <w:lang w:val="en-US" w:eastAsia="de-DE"/>
        </w:rPr>
        <w:t xml:space="preserve"> </w:t>
      </w:r>
      <w:r w:rsidR="006555EE" w:rsidRPr="00683D62">
        <w:rPr>
          <w:rFonts w:ascii="Times New Roman" w:hAnsi="Times New Roman"/>
          <w:sz w:val="24"/>
          <w:szCs w:val="24"/>
          <w:lang w:val="en-US" w:eastAsia="de-DE"/>
        </w:rPr>
        <w:t xml:space="preserve">in addition to persistent </w:t>
      </w:r>
      <w:r w:rsidRPr="00683D62">
        <w:rPr>
          <w:rFonts w:ascii="Times New Roman" w:hAnsi="Times New Roman"/>
          <w:sz w:val="24"/>
          <w:szCs w:val="24"/>
          <w:lang w:val="en-US" w:eastAsia="de-DE"/>
        </w:rPr>
        <w:t>IA</w:t>
      </w:r>
      <w:r w:rsidR="006555EE"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positivity</w:t>
      </w:r>
      <w:r w:rsidR="006555EE"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they tested positive for more than one of the </w:t>
      </w:r>
      <w:r w:rsidRPr="00683D62">
        <w:rPr>
          <w:rFonts w:ascii="Times New Roman" w:hAnsi="Times New Roman"/>
          <w:sz w:val="24"/>
          <w:szCs w:val="24"/>
          <w:lang w:val="en-US" w:eastAsia="de-DE"/>
        </w:rPr>
        <w:t>IA</w:t>
      </w:r>
      <w:r w:rsidR="0046606E" w:rsidRPr="00683D62">
        <w:rPr>
          <w:rFonts w:ascii="Times New Roman" w:hAnsi="Times New Roman"/>
          <w:sz w:val="24"/>
          <w:szCs w:val="24"/>
          <w:lang w:val="en-US" w:eastAsia="de-DE"/>
        </w:rPr>
        <w:t xml:space="preserve"> </w:t>
      </w:r>
      <w:r w:rsidR="007371CC" w:rsidRPr="00683D62">
        <w:rPr>
          <w:rFonts w:ascii="Times New Roman" w:hAnsi="Times New Roman"/>
          <w:sz w:val="24"/>
          <w:szCs w:val="24"/>
          <w:lang w:val="en-US" w:eastAsia="de-DE"/>
        </w:rPr>
        <w:t xml:space="preserve">on at least one occasion. </w:t>
      </w:r>
      <w:r w:rsidR="00111F6B" w:rsidRPr="00683D62">
        <w:rPr>
          <w:rFonts w:ascii="Times New Roman" w:hAnsi="Times New Roman"/>
          <w:sz w:val="24"/>
          <w:szCs w:val="24"/>
          <w:lang w:val="en-US" w:eastAsia="de-DE"/>
        </w:rPr>
        <w:t xml:space="preserve">In children who were positive for GADA in the </w:t>
      </w:r>
      <w:r w:rsidR="00111F6B" w:rsidRPr="00683D62">
        <w:rPr>
          <w:rFonts w:ascii="Times New Roman" w:hAnsi="Times New Roman"/>
          <w:sz w:val="24"/>
          <w:szCs w:val="24"/>
          <w:lang w:val="en-US" w:eastAsia="de-DE"/>
        </w:rPr>
        <w:lastRenderedPageBreak/>
        <w:t xml:space="preserve">absence of other islet autoantibodies, GADA </w:t>
      </w:r>
      <w:r w:rsidR="003030AC" w:rsidRPr="00683D62">
        <w:rPr>
          <w:rFonts w:ascii="Times New Roman" w:hAnsi="Times New Roman"/>
          <w:sz w:val="24"/>
          <w:szCs w:val="24"/>
          <w:lang w:val="en-US" w:eastAsia="de-DE"/>
        </w:rPr>
        <w:t xml:space="preserve">was </w:t>
      </w:r>
      <w:r w:rsidR="00111F6B" w:rsidRPr="00683D62">
        <w:rPr>
          <w:rFonts w:ascii="Times New Roman" w:hAnsi="Times New Roman"/>
          <w:sz w:val="24"/>
          <w:szCs w:val="24"/>
          <w:lang w:val="en-US" w:eastAsia="de-DE"/>
        </w:rPr>
        <w:t>also as</w:t>
      </w:r>
      <w:r w:rsidR="00A2232E" w:rsidRPr="00683D62">
        <w:rPr>
          <w:rFonts w:ascii="Times New Roman" w:hAnsi="Times New Roman"/>
          <w:sz w:val="24"/>
          <w:szCs w:val="24"/>
          <w:lang w:val="en-US" w:eastAsia="de-DE"/>
        </w:rPr>
        <w:t xml:space="preserve">sessed for </w:t>
      </w:r>
      <w:r w:rsidR="0064132A" w:rsidRPr="00683D62">
        <w:rPr>
          <w:rFonts w:ascii="Times New Roman" w:hAnsi="Times New Roman"/>
          <w:sz w:val="24"/>
          <w:szCs w:val="24"/>
          <w:lang w:val="en-US" w:eastAsia="de-DE"/>
        </w:rPr>
        <w:t xml:space="preserve">its </w:t>
      </w:r>
      <w:r w:rsidR="00A2232E" w:rsidRPr="00683D62">
        <w:rPr>
          <w:rFonts w:ascii="Times New Roman" w:hAnsi="Times New Roman"/>
          <w:sz w:val="24"/>
          <w:szCs w:val="24"/>
          <w:lang w:val="en-US" w:eastAsia="de-DE"/>
        </w:rPr>
        <w:t>GAD-binding affinity</w:t>
      </w:r>
      <w:r w:rsidR="00D64DF1"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19</w:t>
      </w:r>
      <w:r w:rsidR="00386A02" w:rsidRPr="00683D62">
        <w:rPr>
          <w:rFonts w:ascii="Times New Roman" w:hAnsi="Times New Roman"/>
          <w:sz w:val="24"/>
          <w:szCs w:val="24"/>
          <w:lang w:val="en-US" w:eastAsia="de-DE"/>
        </w:rPr>
        <w:t>)</w:t>
      </w:r>
      <w:r w:rsidR="00111F6B" w:rsidRPr="00683D62">
        <w:rPr>
          <w:rFonts w:ascii="Times New Roman" w:hAnsi="Times New Roman"/>
          <w:sz w:val="24"/>
          <w:szCs w:val="24"/>
          <w:lang w:val="en-US" w:eastAsia="de-DE"/>
        </w:rPr>
        <w:t xml:space="preserve">, and </w:t>
      </w:r>
      <w:r w:rsidR="0064132A" w:rsidRPr="00683D62">
        <w:rPr>
          <w:rFonts w:ascii="Times New Roman" w:hAnsi="Times New Roman"/>
          <w:sz w:val="24"/>
          <w:szCs w:val="24"/>
          <w:lang w:val="en-US" w:eastAsia="de-DE"/>
        </w:rPr>
        <w:t xml:space="preserve">positivity on an </w:t>
      </w:r>
      <w:r w:rsidR="003030AC" w:rsidRPr="00683D62">
        <w:rPr>
          <w:rFonts w:ascii="Times New Roman" w:hAnsi="Times New Roman"/>
          <w:sz w:val="24"/>
          <w:szCs w:val="24"/>
          <w:lang w:val="en-US" w:eastAsia="de-DE"/>
        </w:rPr>
        <w:t>enzyme-linked immunosorbent assay (</w:t>
      </w:r>
      <w:r w:rsidR="00111F6B" w:rsidRPr="00683D62">
        <w:rPr>
          <w:rFonts w:ascii="Times New Roman" w:hAnsi="Times New Roman"/>
          <w:sz w:val="24"/>
          <w:szCs w:val="24"/>
          <w:lang w:val="en-US" w:eastAsia="de-DE"/>
        </w:rPr>
        <w:t>ELISA</w:t>
      </w:r>
      <w:r w:rsidR="003030AC" w:rsidRPr="00683D62">
        <w:rPr>
          <w:rFonts w:ascii="Times New Roman" w:hAnsi="Times New Roman"/>
          <w:sz w:val="24"/>
          <w:szCs w:val="24"/>
          <w:lang w:val="en-US" w:eastAsia="de-DE"/>
        </w:rPr>
        <w:t>;</w:t>
      </w:r>
      <w:r w:rsidR="00111F6B" w:rsidRPr="00683D62">
        <w:rPr>
          <w:rFonts w:ascii="Times New Roman" w:hAnsi="Times New Roman"/>
          <w:sz w:val="24"/>
          <w:szCs w:val="24"/>
          <w:lang w:val="en-US" w:eastAsia="de-DE"/>
        </w:rPr>
        <w:t xml:space="preserve"> Medizym anti-GAD ELISA Kit, Medipan, Berlin, Germany). </w:t>
      </w:r>
      <w:r w:rsidR="00E974C3" w:rsidRPr="00683D62">
        <w:rPr>
          <w:rFonts w:ascii="Times New Roman" w:hAnsi="Times New Roman"/>
          <w:sz w:val="24"/>
          <w:szCs w:val="24"/>
          <w:lang w:val="en-US" w:eastAsia="de-DE"/>
        </w:rPr>
        <w:t>These c</w:t>
      </w:r>
      <w:r w:rsidR="0015200C" w:rsidRPr="00683D62">
        <w:rPr>
          <w:rFonts w:ascii="Times New Roman" w:hAnsi="Times New Roman"/>
          <w:sz w:val="24"/>
          <w:szCs w:val="24"/>
          <w:lang w:val="en-US" w:eastAsia="de-DE"/>
        </w:rPr>
        <w:t xml:space="preserve">hildren were classified as </w:t>
      </w:r>
      <w:r w:rsidR="003030AC" w:rsidRPr="00683D62">
        <w:rPr>
          <w:rFonts w:ascii="Times New Roman" w:hAnsi="Times New Roman"/>
          <w:sz w:val="24"/>
          <w:szCs w:val="24"/>
          <w:lang w:val="en-US" w:eastAsia="de-DE"/>
        </w:rPr>
        <w:t>single-</w:t>
      </w:r>
      <w:r w:rsidR="00111F6B" w:rsidRPr="00683D62">
        <w:rPr>
          <w:rFonts w:ascii="Times New Roman" w:hAnsi="Times New Roman"/>
          <w:sz w:val="24"/>
          <w:szCs w:val="24"/>
          <w:lang w:val="en-US" w:eastAsia="de-DE"/>
        </w:rPr>
        <w:t>GADA</w:t>
      </w:r>
      <w:r w:rsidR="003030AC" w:rsidRPr="00683D62">
        <w:rPr>
          <w:rFonts w:ascii="Times New Roman" w:hAnsi="Times New Roman"/>
          <w:sz w:val="24"/>
          <w:szCs w:val="24"/>
          <w:lang w:val="en-US" w:eastAsia="de-DE"/>
        </w:rPr>
        <w:t xml:space="preserve"> </w:t>
      </w:r>
      <w:r w:rsidR="0015200C" w:rsidRPr="00683D62">
        <w:rPr>
          <w:rFonts w:ascii="Times New Roman" w:hAnsi="Times New Roman"/>
          <w:sz w:val="24"/>
          <w:szCs w:val="24"/>
          <w:lang w:val="en-US" w:eastAsia="de-DE"/>
        </w:rPr>
        <w:t xml:space="preserve">positive if they </w:t>
      </w:r>
      <w:r w:rsidR="00111F6B" w:rsidRPr="00683D62">
        <w:rPr>
          <w:rFonts w:ascii="Times New Roman" w:hAnsi="Times New Roman"/>
          <w:sz w:val="24"/>
          <w:szCs w:val="24"/>
          <w:lang w:val="en-US" w:eastAsia="de-DE"/>
        </w:rPr>
        <w:t xml:space="preserve">had </w:t>
      </w:r>
      <w:r w:rsidR="00E974C3" w:rsidRPr="00683D62">
        <w:rPr>
          <w:rFonts w:ascii="Times New Roman" w:hAnsi="Times New Roman"/>
          <w:sz w:val="24"/>
          <w:szCs w:val="24"/>
          <w:lang w:val="en-US" w:eastAsia="de-DE"/>
        </w:rPr>
        <w:t xml:space="preserve">GADA </w:t>
      </w:r>
      <w:r w:rsidR="007B3DC1" w:rsidRPr="00683D62">
        <w:rPr>
          <w:rFonts w:ascii="Times New Roman" w:hAnsi="Times New Roman"/>
          <w:sz w:val="24"/>
          <w:szCs w:val="24"/>
          <w:lang w:val="en-US" w:eastAsia="de-DE"/>
        </w:rPr>
        <w:t>with affinity ≥10</w:t>
      </w:r>
      <w:r w:rsidR="007B3DC1" w:rsidRPr="00683D62">
        <w:rPr>
          <w:rFonts w:ascii="Times New Roman" w:hAnsi="Times New Roman"/>
          <w:sz w:val="24"/>
          <w:szCs w:val="24"/>
          <w:vertAlign w:val="superscript"/>
          <w:lang w:val="en-US" w:eastAsia="de-DE"/>
        </w:rPr>
        <w:t>9</w:t>
      </w:r>
      <w:r w:rsidR="007B3DC1" w:rsidRPr="00683D62">
        <w:rPr>
          <w:rFonts w:ascii="Times New Roman" w:hAnsi="Times New Roman"/>
          <w:sz w:val="24"/>
          <w:szCs w:val="24"/>
          <w:lang w:val="en-US" w:eastAsia="de-DE"/>
        </w:rPr>
        <w:t xml:space="preserve"> l/mol </w:t>
      </w:r>
      <w:r w:rsidR="00111F6B" w:rsidRPr="00683D62">
        <w:rPr>
          <w:rFonts w:ascii="Times New Roman" w:hAnsi="Times New Roman"/>
          <w:sz w:val="24"/>
          <w:szCs w:val="24"/>
          <w:lang w:val="en-US" w:eastAsia="de-DE"/>
        </w:rPr>
        <w:t xml:space="preserve">or </w:t>
      </w:r>
      <w:r w:rsidR="0015200C" w:rsidRPr="00683D62">
        <w:rPr>
          <w:rFonts w:ascii="Times New Roman" w:hAnsi="Times New Roman"/>
          <w:sz w:val="24"/>
          <w:szCs w:val="24"/>
          <w:lang w:val="en-US" w:eastAsia="de-DE"/>
        </w:rPr>
        <w:t xml:space="preserve">tested positive </w:t>
      </w:r>
      <w:r w:rsidR="003030AC" w:rsidRPr="00683D62">
        <w:rPr>
          <w:rFonts w:ascii="Times New Roman" w:hAnsi="Times New Roman"/>
          <w:sz w:val="24"/>
          <w:szCs w:val="24"/>
          <w:lang w:val="en-US" w:eastAsia="de-DE"/>
        </w:rPr>
        <w:t xml:space="preserve">on </w:t>
      </w:r>
      <w:r w:rsidR="00111F6B" w:rsidRPr="00683D62">
        <w:rPr>
          <w:rFonts w:ascii="Times New Roman" w:hAnsi="Times New Roman"/>
          <w:sz w:val="24"/>
          <w:szCs w:val="24"/>
          <w:lang w:val="en-US" w:eastAsia="de-DE"/>
        </w:rPr>
        <w:t xml:space="preserve">the RBA </w:t>
      </w:r>
      <w:r w:rsidR="00E974C3" w:rsidRPr="00683D62">
        <w:rPr>
          <w:rFonts w:ascii="Times New Roman" w:hAnsi="Times New Roman"/>
          <w:sz w:val="24"/>
          <w:szCs w:val="24"/>
          <w:lang w:val="en-US" w:eastAsia="de-DE"/>
        </w:rPr>
        <w:t xml:space="preserve">and </w:t>
      </w:r>
      <w:r w:rsidR="00111F6B" w:rsidRPr="00683D62">
        <w:rPr>
          <w:rFonts w:ascii="Times New Roman" w:hAnsi="Times New Roman"/>
          <w:sz w:val="24"/>
          <w:szCs w:val="24"/>
          <w:lang w:val="en-US" w:eastAsia="de-DE"/>
        </w:rPr>
        <w:t>ELISA measurements</w:t>
      </w:r>
      <w:r w:rsidR="00386A02" w:rsidRPr="00683D62">
        <w:rPr>
          <w:rFonts w:ascii="Times New Roman" w:hAnsi="Times New Roman"/>
          <w:sz w:val="24"/>
          <w:szCs w:val="24"/>
          <w:lang w:val="en-US" w:eastAsia="de-DE"/>
        </w:rPr>
        <w:t xml:space="preserve"> (</w:t>
      </w:r>
      <w:r w:rsidR="00D64DF1" w:rsidRPr="00683D62">
        <w:rPr>
          <w:rFonts w:ascii="Times New Roman" w:hAnsi="Times New Roman"/>
          <w:sz w:val="24"/>
          <w:szCs w:val="24"/>
          <w:lang w:val="en-US" w:eastAsia="de-DE"/>
        </w:rPr>
        <w:t>21</w:t>
      </w:r>
      <w:r w:rsidR="00386A02" w:rsidRPr="00683D62">
        <w:rPr>
          <w:rFonts w:ascii="Times New Roman" w:hAnsi="Times New Roman"/>
          <w:sz w:val="24"/>
          <w:szCs w:val="24"/>
          <w:lang w:val="en-US" w:eastAsia="de-DE"/>
        </w:rPr>
        <w:t>)</w:t>
      </w:r>
      <w:r w:rsidR="00111F6B" w:rsidRPr="00683D62">
        <w:rPr>
          <w:rFonts w:ascii="Times New Roman" w:hAnsi="Times New Roman"/>
          <w:sz w:val="24"/>
          <w:szCs w:val="24"/>
          <w:lang w:val="en-US" w:eastAsia="de-DE"/>
        </w:rPr>
        <w:t xml:space="preserve">. </w:t>
      </w:r>
      <w:r w:rsidR="0015200C" w:rsidRPr="00683D62">
        <w:rPr>
          <w:rFonts w:ascii="Times New Roman" w:hAnsi="Times New Roman"/>
          <w:sz w:val="24"/>
          <w:szCs w:val="24"/>
          <w:lang w:val="en-US" w:eastAsia="de-DE"/>
        </w:rPr>
        <w:t>In children who were positive</w:t>
      </w:r>
      <w:r w:rsidR="00111F6B" w:rsidRPr="00683D62">
        <w:rPr>
          <w:rFonts w:ascii="Times New Roman" w:hAnsi="Times New Roman"/>
          <w:sz w:val="24"/>
          <w:szCs w:val="24"/>
          <w:lang w:val="en-US" w:eastAsia="de-DE"/>
        </w:rPr>
        <w:t xml:space="preserve"> </w:t>
      </w:r>
      <w:r w:rsidR="0015200C" w:rsidRPr="00683D62">
        <w:rPr>
          <w:rFonts w:ascii="Times New Roman" w:hAnsi="Times New Roman"/>
          <w:sz w:val="24"/>
          <w:szCs w:val="24"/>
          <w:lang w:val="en-US" w:eastAsia="de-DE"/>
        </w:rPr>
        <w:t xml:space="preserve">for IAA in the absence of other </w:t>
      </w:r>
      <w:r w:rsidRPr="00683D62">
        <w:rPr>
          <w:rFonts w:ascii="Times New Roman" w:hAnsi="Times New Roman"/>
          <w:sz w:val="24"/>
          <w:szCs w:val="24"/>
          <w:lang w:val="en-US" w:eastAsia="de-DE"/>
        </w:rPr>
        <w:t>IA</w:t>
      </w:r>
      <w:r w:rsidR="0015200C" w:rsidRPr="00683D62">
        <w:rPr>
          <w:rFonts w:ascii="Times New Roman" w:hAnsi="Times New Roman"/>
          <w:sz w:val="24"/>
          <w:szCs w:val="24"/>
          <w:lang w:val="en-US" w:eastAsia="de-DE"/>
        </w:rPr>
        <w:t>, IAA</w:t>
      </w:r>
      <w:r w:rsidR="00111F6B" w:rsidRPr="00683D62">
        <w:rPr>
          <w:rFonts w:ascii="Times New Roman" w:hAnsi="Times New Roman"/>
          <w:sz w:val="24"/>
          <w:szCs w:val="24"/>
          <w:lang w:val="en-US" w:eastAsia="de-DE"/>
        </w:rPr>
        <w:t xml:space="preserve"> </w:t>
      </w:r>
      <w:r w:rsidR="003030AC" w:rsidRPr="00683D62">
        <w:rPr>
          <w:rFonts w:ascii="Times New Roman" w:hAnsi="Times New Roman"/>
          <w:sz w:val="24"/>
          <w:szCs w:val="24"/>
          <w:lang w:val="en-US" w:eastAsia="de-DE"/>
        </w:rPr>
        <w:t xml:space="preserve">were </w:t>
      </w:r>
      <w:r w:rsidR="0015200C" w:rsidRPr="00683D62">
        <w:rPr>
          <w:rFonts w:ascii="Times New Roman" w:hAnsi="Times New Roman"/>
          <w:sz w:val="24"/>
          <w:szCs w:val="24"/>
          <w:lang w:val="en-US" w:eastAsia="de-DE"/>
        </w:rPr>
        <w:t xml:space="preserve">assessed for </w:t>
      </w:r>
      <w:r w:rsidR="003030AC" w:rsidRPr="00683D62">
        <w:rPr>
          <w:rFonts w:ascii="Times New Roman" w:hAnsi="Times New Roman"/>
          <w:sz w:val="24"/>
          <w:szCs w:val="24"/>
          <w:lang w:val="en-US" w:eastAsia="de-DE"/>
        </w:rPr>
        <w:t xml:space="preserve">their </w:t>
      </w:r>
      <w:r w:rsidR="0015200C" w:rsidRPr="00683D62">
        <w:rPr>
          <w:rFonts w:ascii="Times New Roman" w:hAnsi="Times New Roman"/>
          <w:sz w:val="24"/>
          <w:szCs w:val="24"/>
          <w:lang w:val="en-US" w:eastAsia="de-DE"/>
        </w:rPr>
        <w:t>insulin-binding affinity</w:t>
      </w:r>
      <w:r w:rsidR="00391B82" w:rsidRPr="00683D62">
        <w:rPr>
          <w:rFonts w:ascii="Times New Roman" w:hAnsi="Times New Roman"/>
          <w:sz w:val="24"/>
          <w:szCs w:val="24"/>
          <w:lang w:val="en-US" w:eastAsia="de-DE"/>
        </w:rPr>
        <w:t>,</w:t>
      </w:r>
      <w:r w:rsidR="0015200C" w:rsidRPr="00683D62">
        <w:rPr>
          <w:rFonts w:ascii="Times New Roman" w:hAnsi="Times New Roman"/>
          <w:sz w:val="24"/>
          <w:szCs w:val="24"/>
          <w:lang w:val="en-US" w:eastAsia="de-DE"/>
        </w:rPr>
        <w:t xml:space="preserve"> </w:t>
      </w:r>
      <w:r w:rsidR="00391B82" w:rsidRPr="00683D62">
        <w:rPr>
          <w:rFonts w:ascii="Times New Roman" w:hAnsi="Times New Roman"/>
          <w:sz w:val="24"/>
          <w:szCs w:val="24"/>
          <w:lang w:val="en-US" w:eastAsia="de-DE"/>
        </w:rPr>
        <w:t>and</w:t>
      </w:r>
      <w:r w:rsidR="00111F6B" w:rsidRPr="00683D62">
        <w:rPr>
          <w:rFonts w:ascii="Times New Roman" w:hAnsi="Times New Roman"/>
          <w:sz w:val="24"/>
          <w:szCs w:val="24"/>
          <w:lang w:val="en-US" w:eastAsia="de-DE"/>
        </w:rPr>
        <w:t xml:space="preserve"> were classified as </w:t>
      </w:r>
      <w:r w:rsidR="00067A3D" w:rsidRPr="00683D62">
        <w:rPr>
          <w:rFonts w:ascii="Times New Roman" w:hAnsi="Times New Roman"/>
          <w:sz w:val="24"/>
          <w:szCs w:val="24"/>
          <w:lang w:val="en-US" w:eastAsia="de-DE"/>
        </w:rPr>
        <w:t>single-</w:t>
      </w:r>
      <w:r w:rsidR="00111F6B" w:rsidRPr="00683D62">
        <w:rPr>
          <w:rFonts w:ascii="Times New Roman" w:hAnsi="Times New Roman"/>
          <w:sz w:val="24"/>
          <w:szCs w:val="24"/>
          <w:lang w:val="en-US" w:eastAsia="de-DE"/>
        </w:rPr>
        <w:t>IAA</w:t>
      </w:r>
      <w:r w:rsidR="00067A3D" w:rsidRPr="00683D62">
        <w:rPr>
          <w:rFonts w:ascii="Times New Roman" w:hAnsi="Times New Roman"/>
          <w:sz w:val="24"/>
          <w:szCs w:val="24"/>
          <w:lang w:val="en-US" w:eastAsia="de-DE"/>
        </w:rPr>
        <w:t xml:space="preserve"> </w:t>
      </w:r>
      <w:r w:rsidR="00111F6B" w:rsidRPr="00683D62">
        <w:rPr>
          <w:rFonts w:ascii="Times New Roman" w:hAnsi="Times New Roman"/>
          <w:sz w:val="24"/>
          <w:szCs w:val="24"/>
          <w:lang w:val="en-US" w:eastAsia="de-DE"/>
        </w:rPr>
        <w:t xml:space="preserve">positive if they </w:t>
      </w:r>
      <w:r w:rsidR="006555EE" w:rsidRPr="00683D62">
        <w:rPr>
          <w:rFonts w:ascii="Times New Roman" w:hAnsi="Times New Roman"/>
          <w:sz w:val="24"/>
          <w:szCs w:val="24"/>
          <w:lang w:val="en-US" w:eastAsia="de-DE"/>
        </w:rPr>
        <w:t>had IAA with</w:t>
      </w:r>
      <w:r w:rsidR="0015200C" w:rsidRPr="00683D62">
        <w:rPr>
          <w:rFonts w:ascii="Times New Roman" w:hAnsi="Times New Roman"/>
          <w:sz w:val="24"/>
          <w:szCs w:val="24"/>
          <w:lang w:val="en-US" w:eastAsia="de-DE"/>
        </w:rPr>
        <w:t xml:space="preserve"> affinity ≥</w:t>
      </w:r>
      <w:r w:rsidR="00067A3D" w:rsidRPr="00683D62">
        <w:rPr>
          <w:rFonts w:ascii="Times New Roman" w:hAnsi="Times New Roman"/>
          <w:sz w:val="24"/>
          <w:szCs w:val="24"/>
          <w:lang w:val="en-US" w:eastAsia="de-DE"/>
        </w:rPr>
        <w:t xml:space="preserve"> </w:t>
      </w:r>
      <w:r w:rsidR="0015200C" w:rsidRPr="00683D62">
        <w:rPr>
          <w:rFonts w:ascii="Times New Roman" w:hAnsi="Times New Roman"/>
          <w:sz w:val="24"/>
          <w:szCs w:val="24"/>
          <w:lang w:val="en-US" w:eastAsia="de-DE"/>
        </w:rPr>
        <w:t>10</w:t>
      </w:r>
      <w:r w:rsidR="0015200C" w:rsidRPr="00683D62">
        <w:rPr>
          <w:rFonts w:ascii="Times New Roman" w:hAnsi="Times New Roman"/>
          <w:sz w:val="24"/>
          <w:szCs w:val="24"/>
          <w:vertAlign w:val="superscript"/>
          <w:lang w:val="en-US" w:eastAsia="de-DE"/>
        </w:rPr>
        <w:t>9</w:t>
      </w:r>
      <w:r w:rsidR="0015200C" w:rsidRPr="00683D62">
        <w:rPr>
          <w:rFonts w:ascii="Times New Roman" w:hAnsi="Times New Roman"/>
          <w:sz w:val="24"/>
          <w:szCs w:val="24"/>
          <w:lang w:val="en-US" w:eastAsia="de-DE"/>
        </w:rPr>
        <w:t xml:space="preserve"> l/mol</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19</w:t>
      </w:r>
      <w:r w:rsidR="00386A02" w:rsidRPr="00683D62">
        <w:rPr>
          <w:rFonts w:ascii="Times New Roman" w:hAnsi="Times New Roman"/>
          <w:sz w:val="24"/>
          <w:szCs w:val="24"/>
          <w:lang w:val="en-US" w:eastAsia="de-DE"/>
        </w:rPr>
        <w:t>)</w:t>
      </w:r>
      <w:r w:rsidR="00111F6B" w:rsidRPr="00683D62">
        <w:rPr>
          <w:rFonts w:ascii="Times New Roman" w:hAnsi="Times New Roman"/>
          <w:sz w:val="24"/>
          <w:szCs w:val="24"/>
          <w:lang w:val="en-US" w:eastAsia="de-DE"/>
        </w:rPr>
        <w:t xml:space="preserve">. </w:t>
      </w:r>
      <w:r w:rsidR="006403E5" w:rsidRPr="00683D62">
        <w:rPr>
          <w:rFonts w:ascii="Times New Roman" w:hAnsi="Times New Roman"/>
          <w:sz w:val="24"/>
          <w:szCs w:val="24"/>
          <w:lang w:val="en-US" w:eastAsia="de-DE"/>
        </w:rPr>
        <w:t xml:space="preserve">TGA positivity was defined as the development of persistent antibodies above a threshold </w:t>
      </w:r>
      <w:r w:rsidR="005372A5" w:rsidRPr="00683D62">
        <w:rPr>
          <w:rFonts w:ascii="Times New Roman" w:hAnsi="Times New Roman"/>
          <w:sz w:val="24"/>
          <w:szCs w:val="24"/>
          <w:lang w:val="en-US" w:eastAsia="de-DE"/>
        </w:rPr>
        <w:t>r</w:t>
      </w:r>
      <w:r w:rsidR="006403E5" w:rsidRPr="00683D62">
        <w:rPr>
          <w:rFonts w:ascii="Times New Roman" w:hAnsi="Times New Roman"/>
          <w:sz w:val="24"/>
          <w:szCs w:val="24"/>
          <w:lang w:val="en-US" w:eastAsia="de-DE"/>
        </w:rPr>
        <w:t xml:space="preserve">epresenting the </w:t>
      </w:r>
      <w:r w:rsidR="007450A4" w:rsidRPr="00683D62">
        <w:rPr>
          <w:rFonts w:ascii="Times New Roman" w:hAnsi="Times New Roman"/>
          <w:sz w:val="24"/>
          <w:szCs w:val="24"/>
          <w:lang w:val="en-US" w:eastAsia="de-DE"/>
        </w:rPr>
        <w:t>99th</w:t>
      </w:r>
      <w:r w:rsidR="006403E5" w:rsidRPr="00683D62">
        <w:rPr>
          <w:rFonts w:ascii="Times New Roman" w:hAnsi="Times New Roman"/>
          <w:sz w:val="24"/>
          <w:szCs w:val="24"/>
          <w:lang w:val="en-US" w:eastAsia="de-DE"/>
        </w:rPr>
        <w:t xml:space="preserve"> </w:t>
      </w:r>
      <w:r w:rsidR="00067A3D" w:rsidRPr="00683D62">
        <w:rPr>
          <w:rFonts w:ascii="Times New Roman" w:hAnsi="Times New Roman"/>
          <w:sz w:val="24"/>
          <w:szCs w:val="24"/>
          <w:lang w:val="en-US" w:eastAsia="de-DE"/>
        </w:rPr>
        <w:t>per</w:t>
      </w:r>
      <w:r w:rsidR="006403E5" w:rsidRPr="00683D62">
        <w:rPr>
          <w:rFonts w:ascii="Times New Roman" w:hAnsi="Times New Roman"/>
          <w:sz w:val="24"/>
          <w:szCs w:val="24"/>
          <w:lang w:val="en-US" w:eastAsia="de-DE"/>
        </w:rPr>
        <w:t>centile of control children</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10</w:t>
      </w:r>
      <w:r w:rsidR="00386A02" w:rsidRPr="00683D62">
        <w:rPr>
          <w:rFonts w:ascii="Times New Roman" w:hAnsi="Times New Roman"/>
          <w:sz w:val="24"/>
          <w:szCs w:val="24"/>
          <w:lang w:val="en-US" w:eastAsia="de-DE"/>
        </w:rPr>
        <w:t>,1</w:t>
      </w:r>
      <w:r w:rsidR="00025199" w:rsidRPr="00683D62">
        <w:rPr>
          <w:rFonts w:ascii="Times New Roman" w:hAnsi="Times New Roman"/>
          <w:sz w:val="24"/>
          <w:szCs w:val="24"/>
          <w:lang w:val="en-US" w:eastAsia="de-DE"/>
        </w:rPr>
        <w:t>1</w:t>
      </w:r>
      <w:r w:rsidR="00386A02" w:rsidRPr="00683D62">
        <w:rPr>
          <w:rFonts w:ascii="Times New Roman" w:hAnsi="Times New Roman"/>
          <w:sz w:val="24"/>
          <w:szCs w:val="24"/>
          <w:lang w:val="en-US" w:eastAsia="de-DE"/>
        </w:rPr>
        <w:t>)</w:t>
      </w:r>
      <w:r w:rsidR="0024552A" w:rsidRPr="00683D62">
        <w:rPr>
          <w:rFonts w:ascii="Times New Roman" w:hAnsi="Times New Roman"/>
          <w:sz w:val="24"/>
          <w:szCs w:val="24"/>
          <w:lang w:val="en-US" w:eastAsia="de-DE"/>
        </w:rPr>
        <w:t>.</w:t>
      </w:r>
      <w:r w:rsidR="006403E5" w:rsidRPr="00683D62">
        <w:rPr>
          <w:rFonts w:ascii="Times New Roman" w:hAnsi="Times New Roman"/>
          <w:sz w:val="24"/>
          <w:szCs w:val="24"/>
          <w:lang w:val="en-US" w:eastAsia="de-DE"/>
        </w:rPr>
        <w:t xml:space="preserve"> </w:t>
      </w:r>
      <w:r w:rsidR="001E197B" w:rsidRPr="00683D62">
        <w:rPr>
          <w:rFonts w:ascii="Times New Roman" w:hAnsi="Times New Roman"/>
          <w:sz w:val="24"/>
          <w:szCs w:val="24"/>
          <w:lang w:val="en-US" w:eastAsia="de-DE"/>
        </w:rPr>
        <w:t xml:space="preserve">TPOA </w:t>
      </w:r>
      <w:r w:rsidR="00E974C3" w:rsidRPr="00683D62">
        <w:rPr>
          <w:rFonts w:ascii="Times New Roman" w:hAnsi="Times New Roman"/>
          <w:sz w:val="24"/>
          <w:szCs w:val="24"/>
          <w:lang w:val="en-US" w:eastAsia="de-DE"/>
        </w:rPr>
        <w:t xml:space="preserve">positivity was defined as the development of persistent antibodies </w:t>
      </w:r>
      <w:r w:rsidR="006175F8" w:rsidRPr="00683D62">
        <w:rPr>
          <w:rFonts w:ascii="Times New Roman" w:hAnsi="Times New Roman"/>
          <w:sz w:val="24"/>
          <w:szCs w:val="24"/>
          <w:lang w:val="en-US" w:eastAsia="de-DE"/>
        </w:rPr>
        <w:t>above a threshold of 50 U/ml</w:t>
      </w:r>
      <w:r w:rsidR="00067A3D" w:rsidRPr="00683D62">
        <w:rPr>
          <w:rFonts w:ascii="Times New Roman" w:hAnsi="Times New Roman"/>
          <w:sz w:val="24"/>
          <w:szCs w:val="24"/>
          <w:lang w:val="en-US" w:eastAsia="de-DE"/>
        </w:rPr>
        <w:t>,</w:t>
      </w:r>
      <w:r w:rsidR="006175F8" w:rsidRPr="00683D62">
        <w:rPr>
          <w:rFonts w:ascii="Times New Roman" w:hAnsi="Times New Roman"/>
          <w:sz w:val="24"/>
          <w:szCs w:val="24"/>
          <w:lang w:val="en-US" w:eastAsia="de-DE"/>
        </w:rPr>
        <w:t xml:space="preserve"> as </w:t>
      </w:r>
      <w:r w:rsidR="00E503F8" w:rsidRPr="00683D62">
        <w:rPr>
          <w:rFonts w:ascii="Times New Roman" w:hAnsi="Times New Roman"/>
          <w:sz w:val="24"/>
          <w:szCs w:val="24"/>
          <w:lang w:val="en-US" w:eastAsia="de-DE"/>
        </w:rPr>
        <w:t>defined</w:t>
      </w:r>
      <w:r w:rsidR="006175F8" w:rsidRPr="00683D62">
        <w:rPr>
          <w:rFonts w:ascii="Times New Roman" w:hAnsi="Times New Roman"/>
          <w:sz w:val="24"/>
          <w:szCs w:val="24"/>
          <w:lang w:val="en-US" w:eastAsia="de-DE"/>
        </w:rPr>
        <w:t xml:space="preserve"> </w:t>
      </w:r>
      <w:r w:rsidR="00067A3D" w:rsidRPr="00683D62">
        <w:rPr>
          <w:rFonts w:ascii="Times New Roman" w:hAnsi="Times New Roman"/>
          <w:sz w:val="24"/>
          <w:szCs w:val="24"/>
          <w:lang w:val="en-US" w:eastAsia="de-DE"/>
        </w:rPr>
        <w:t xml:space="preserve">with a </w:t>
      </w:r>
      <w:r w:rsidR="0064132A" w:rsidRPr="00683D62">
        <w:rPr>
          <w:rFonts w:ascii="Times New Roman" w:hAnsi="Times New Roman"/>
          <w:sz w:val="24"/>
          <w:szCs w:val="24"/>
          <w:lang w:val="en-US" w:eastAsia="de-DE"/>
        </w:rPr>
        <w:t>quantile</w:t>
      </w:r>
      <w:r w:rsidR="00A410C7" w:rsidRPr="00683D62">
        <w:rPr>
          <w:rFonts w:ascii="Times New Roman" w:hAnsi="Times New Roman"/>
          <w:sz w:val="24"/>
          <w:szCs w:val="24"/>
          <w:lang w:val="en-US" w:eastAsia="de-DE"/>
        </w:rPr>
        <w:t>-</w:t>
      </w:r>
      <w:r w:rsidR="0064132A" w:rsidRPr="00683D62">
        <w:rPr>
          <w:rFonts w:ascii="Times New Roman" w:hAnsi="Times New Roman"/>
          <w:sz w:val="24"/>
          <w:szCs w:val="24"/>
          <w:lang w:val="en-US" w:eastAsia="de-DE"/>
        </w:rPr>
        <w:t>quantile (</w:t>
      </w:r>
      <w:r w:rsidR="006175F8" w:rsidRPr="00683D62">
        <w:rPr>
          <w:rFonts w:ascii="Times New Roman" w:hAnsi="Times New Roman"/>
          <w:sz w:val="24"/>
          <w:szCs w:val="24"/>
          <w:lang w:val="en-US" w:eastAsia="de-DE"/>
        </w:rPr>
        <w:t>QQ</w:t>
      </w:r>
      <w:r w:rsidR="0064132A" w:rsidRPr="00683D62">
        <w:rPr>
          <w:rFonts w:ascii="Times New Roman" w:hAnsi="Times New Roman"/>
          <w:sz w:val="24"/>
          <w:szCs w:val="24"/>
          <w:lang w:val="en-US" w:eastAsia="de-DE"/>
        </w:rPr>
        <w:t xml:space="preserve">) </w:t>
      </w:r>
      <w:r w:rsidR="006175F8" w:rsidRPr="00683D62">
        <w:rPr>
          <w:rFonts w:ascii="Times New Roman" w:hAnsi="Times New Roman"/>
          <w:sz w:val="24"/>
          <w:szCs w:val="24"/>
          <w:lang w:val="en-US" w:eastAsia="de-DE"/>
        </w:rPr>
        <w:t>plot analysis</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11</w:t>
      </w:r>
      <w:r w:rsidR="00386A02" w:rsidRPr="00683D62">
        <w:rPr>
          <w:rFonts w:ascii="Times New Roman" w:hAnsi="Times New Roman"/>
          <w:sz w:val="24"/>
          <w:szCs w:val="24"/>
          <w:lang w:val="en-US" w:eastAsia="de-DE"/>
        </w:rPr>
        <w:t>)</w:t>
      </w:r>
      <w:r w:rsidR="00A2232E" w:rsidRPr="00683D62">
        <w:rPr>
          <w:rFonts w:ascii="Times New Roman" w:hAnsi="Times New Roman"/>
          <w:sz w:val="24"/>
          <w:szCs w:val="24"/>
          <w:lang w:val="en-US" w:eastAsia="de-DE"/>
        </w:rPr>
        <w:t>.</w:t>
      </w:r>
      <w:r w:rsidR="007C0504" w:rsidRPr="00683D62">
        <w:rPr>
          <w:rFonts w:ascii="Times New Roman" w:hAnsi="Times New Roman"/>
          <w:sz w:val="24"/>
          <w:szCs w:val="24"/>
          <w:lang w:val="en-US" w:eastAsia="de-DE"/>
        </w:rPr>
        <w:t xml:space="preserve"> </w:t>
      </w:r>
      <w:r w:rsidR="00E974C3" w:rsidRPr="00683D62">
        <w:rPr>
          <w:rFonts w:ascii="Times New Roman" w:hAnsi="Times New Roman"/>
          <w:sz w:val="24"/>
          <w:szCs w:val="24"/>
          <w:lang w:val="en-US" w:eastAsia="de-DE"/>
        </w:rPr>
        <w:t xml:space="preserve">For TPOA and TGA, persistence was defined as </w:t>
      </w:r>
      <w:r w:rsidR="00067A3D" w:rsidRPr="00683D62">
        <w:rPr>
          <w:rFonts w:ascii="Times New Roman" w:hAnsi="Times New Roman"/>
          <w:sz w:val="24"/>
          <w:szCs w:val="24"/>
          <w:lang w:val="en-US" w:eastAsia="de-DE"/>
        </w:rPr>
        <w:t xml:space="preserve">a </w:t>
      </w:r>
      <w:r w:rsidR="00E974C3" w:rsidRPr="00683D62">
        <w:rPr>
          <w:rFonts w:ascii="Times New Roman" w:hAnsi="Times New Roman"/>
          <w:sz w:val="24"/>
          <w:szCs w:val="24"/>
          <w:lang w:val="en-US" w:eastAsia="de-DE"/>
        </w:rPr>
        <w:t>positive</w:t>
      </w:r>
      <w:r w:rsidR="00067A3D" w:rsidRPr="00683D62">
        <w:rPr>
          <w:rFonts w:ascii="Times New Roman" w:hAnsi="Times New Roman"/>
          <w:sz w:val="24"/>
          <w:szCs w:val="24"/>
          <w:lang w:val="en-US" w:eastAsia="de-DE"/>
        </w:rPr>
        <w:t xml:space="preserve"> result</w:t>
      </w:r>
      <w:r w:rsidR="00E974C3" w:rsidRPr="00683D62">
        <w:rPr>
          <w:rFonts w:ascii="Times New Roman" w:hAnsi="Times New Roman"/>
          <w:sz w:val="24"/>
          <w:szCs w:val="24"/>
          <w:lang w:val="en-US" w:eastAsia="de-DE"/>
        </w:rPr>
        <w:t xml:space="preserve"> in two consecutive samples or </w:t>
      </w:r>
      <w:r w:rsidR="0064132A" w:rsidRPr="00683D62">
        <w:rPr>
          <w:rFonts w:ascii="Times New Roman" w:hAnsi="Times New Roman"/>
          <w:sz w:val="24"/>
          <w:szCs w:val="24"/>
          <w:lang w:val="en-US" w:eastAsia="de-DE"/>
        </w:rPr>
        <w:t xml:space="preserve">autoantibody levels of </w:t>
      </w:r>
      <w:r w:rsidR="007B3DC1" w:rsidRPr="00683D62">
        <w:rPr>
          <w:rFonts w:ascii="Times New Roman" w:hAnsi="Times New Roman"/>
          <w:sz w:val="24"/>
          <w:szCs w:val="24"/>
          <w:lang w:val="en-US" w:eastAsia="de-DE"/>
        </w:rPr>
        <w:t>&gt;</w:t>
      </w:r>
      <w:r w:rsidR="00067A3D" w:rsidRPr="00683D62">
        <w:rPr>
          <w:rFonts w:ascii="Times New Roman" w:hAnsi="Times New Roman"/>
          <w:sz w:val="24"/>
          <w:szCs w:val="24"/>
          <w:lang w:val="en-US" w:eastAsia="de-DE"/>
        </w:rPr>
        <w:t xml:space="preserve"> </w:t>
      </w:r>
      <w:r w:rsidR="006302DA" w:rsidRPr="00683D62">
        <w:rPr>
          <w:rFonts w:ascii="Times New Roman" w:hAnsi="Times New Roman"/>
          <w:sz w:val="24"/>
          <w:szCs w:val="24"/>
          <w:lang w:val="en-US" w:eastAsia="de-DE"/>
        </w:rPr>
        <w:t xml:space="preserve">10 U/ml </w:t>
      </w:r>
      <w:r w:rsidR="007B3DC1" w:rsidRPr="00683D62">
        <w:rPr>
          <w:rFonts w:ascii="Times New Roman" w:hAnsi="Times New Roman"/>
          <w:sz w:val="24"/>
          <w:szCs w:val="24"/>
          <w:lang w:val="en-US" w:eastAsia="de-DE"/>
        </w:rPr>
        <w:t xml:space="preserve">(TGA) or </w:t>
      </w:r>
      <w:r w:rsidR="00D3796B" w:rsidRPr="00683D62">
        <w:rPr>
          <w:rFonts w:ascii="Times New Roman" w:hAnsi="Times New Roman"/>
          <w:sz w:val="24"/>
          <w:szCs w:val="24"/>
          <w:lang w:val="en-US" w:eastAsia="de-DE"/>
        </w:rPr>
        <w:t>&gt;</w:t>
      </w:r>
      <w:r w:rsidR="00067A3D" w:rsidRPr="00683D62">
        <w:rPr>
          <w:rFonts w:ascii="Times New Roman" w:hAnsi="Times New Roman"/>
          <w:sz w:val="24"/>
          <w:szCs w:val="24"/>
          <w:lang w:val="en-US" w:eastAsia="de-DE"/>
        </w:rPr>
        <w:t xml:space="preserve"> </w:t>
      </w:r>
      <w:r w:rsidR="00D3796B" w:rsidRPr="00683D62">
        <w:rPr>
          <w:rFonts w:ascii="Times New Roman" w:hAnsi="Times New Roman"/>
          <w:sz w:val="24"/>
          <w:szCs w:val="24"/>
          <w:lang w:val="en-US" w:eastAsia="de-DE"/>
        </w:rPr>
        <w:t>100 U/ml</w:t>
      </w:r>
      <w:r w:rsidR="007B3DC1" w:rsidRPr="00683D62">
        <w:rPr>
          <w:rFonts w:ascii="Times New Roman" w:hAnsi="Times New Roman"/>
          <w:sz w:val="24"/>
          <w:szCs w:val="24"/>
          <w:lang w:val="en-US" w:eastAsia="de-DE"/>
        </w:rPr>
        <w:t xml:space="preserve"> (TPOA)</w:t>
      </w:r>
      <w:r w:rsidR="00D3796B" w:rsidRPr="00683D62">
        <w:rPr>
          <w:rFonts w:ascii="Times New Roman" w:hAnsi="Times New Roman"/>
          <w:sz w:val="24"/>
          <w:szCs w:val="24"/>
          <w:lang w:val="en-US" w:eastAsia="de-DE"/>
        </w:rPr>
        <w:t xml:space="preserve"> </w:t>
      </w:r>
      <w:r w:rsidR="00E974C3" w:rsidRPr="00683D62">
        <w:rPr>
          <w:rFonts w:ascii="Times New Roman" w:hAnsi="Times New Roman"/>
          <w:sz w:val="24"/>
          <w:szCs w:val="24"/>
          <w:lang w:val="en-US" w:eastAsia="de-DE"/>
        </w:rPr>
        <w:t xml:space="preserve">in the last measured sample if </w:t>
      </w:r>
      <w:r w:rsidR="002C0681" w:rsidRPr="00683D62">
        <w:rPr>
          <w:rFonts w:ascii="Times New Roman" w:hAnsi="Times New Roman"/>
          <w:sz w:val="24"/>
          <w:szCs w:val="24"/>
          <w:lang w:val="en-US" w:eastAsia="de-DE"/>
        </w:rPr>
        <w:t xml:space="preserve">a second </w:t>
      </w:r>
      <w:r w:rsidR="00E974C3" w:rsidRPr="00683D62">
        <w:rPr>
          <w:rFonts w:ascii="Times New Roman" w:hAnsi="Times New Roman"/>
          <w:sz w:val="24"/>
          <w:szCs w:val="24"/>
          <w:lang w:val="en-US" w:eastAsia="de-DE"/>
        </w:rPr>
        <w:t xml:space="preserve">sample was </w:t>
      </w:r>
      <w:r w:rsidR="002C0681" w:rsidRPr="00683D62">
        <w:rPr>
          <w:rFonts w:ascii="Times New Roman" w:hAnsi="Times New Roman"/>
          <w:sz w:val="24"/>
          <w:szCs w:val="24"/>
          <w:lang w:val="en-US" w:eastAsia="de-DE"/>
        </w:rPr>
        <w:t>un</w:t>
      </w:r>
      <w:r w:rsidR="00E974C3" w:rsidRPr="00683D62">
        <w:rPr>
          <w:rFonts w:ascii="Times New Roman" w:hAnsi="Times New Roman"/>
          <w:sz w:val="24"/>
          <w:szCs w:val="24"/>
          <w:lang w:val="en-US" w:eastAsia="de-DE"/>
        </w:rPr>
        <w:t xml:space="preserve">available for </w:t>
      </w:r>
      <w:r w:rsidR="0064132A" w:rsidRPr="00683D62">
        <w:rPr>
          <w:rFonts w:ascii="Times New Roman" w:hAnsi="Times New Roman"/>
          <w:sz w:val="24"/>
          <w:szCs w:val="24"/>
          <w:lang w:val="en-US" w:eastAsia="de-DE"/>
        </w:rPr>
        <w:t>testing</w:t>
      </w:r>
      <w:r w:rsidR="00E974C3" w:rsidRPr="00683D62">
        <w:rPr>
          <w:rFonts w:ascii="Times New Roman" w:hAnsi="Times New Roman"/>
          <w:sz w:val="24"/>
          <w:szCs w:val="24"/>
          <w:lang w:val="en-US" w:eastAsia="de-DE"/>
        </w:rPr>
        <w:t>.</w:t>
      </w:r>
    </w:p>
    <w:p w14:paraId="58FD8C32" w14:textId="30D479C7" w:rsidR="00340E73" w:rsidRPr="00683D62" w:rsidRDefault="00C22A67" w:rsidP="00340E73">
      <w:pPr>
        <w:autoSpaceDE w:val="0"/>
        <w:autoSpaceDN w:val="0"/>
        <w:spacing w:after="0" w:line="480" w:lineRule="auto"/>
        <w:jc w:val="both"/>
        <w:rPr>
          <w:rFonts w:ascii="Berkeley-Medium" w:hAnsi="Berkeley-Medium"/>
          <w:sz w:val="20"/>
          <w:szCs w:val="20"/>
          <w:lang w:val="en-US"/>
        </w:rPr>
      </w:pPr>
      <w:r w:rsidRPr="00683D62">
        <w:rPr>
          <w:rFonts w:ascii="Times New Roman" w:hAnsi="Times New Roman"/>
          <w:sz w:val="24"/>
          <w:szCs w:val="24"/>
          <w:lang w:val="en-US" w:eastAsia="de-DE"/>
        </w:rPr>
        <w:t>Type 1 diabetes was diagnosed according to the</w:t>
      </w:r>
      <w:r w:rsidR="00067A3D" w:rsidRPr="00683D62">
        <w:rPr>
          <w:rFonts w:ascii="Times New Roman" w:hAnsi="Times New Roman"/>
          <w:sz w:val="24"/>
          <w:szCs w:val="24"/>
          <w:lang w:val="en-US" w:eastAsia="de-DE"/>
        </w:rPr>
        <w:t xml:space="preserve"> criteria of the</w:t>
      </w:r>
      <w:r w:rsidRPr="00683D62">
        <w:rPr>
          <w:rFonts w:ascii="Times New Roman" w:hAnsi="Times New Roman"/>
          <w:sz w:val="24"/>
          <w:szCs w:val="24"/>
          <w:lang w:val="en-US" w:eastAsia="de-DE"/>
        </w:rPr>
        <w:t xml:space="preserve"> American Diabetes Association Expert Committee</w:t>
      </w:r>
      <w:r w:rsidR="00386A02" w:rsidRPr="00683D62">
        <w:rPr>
          <w:rFonts w:ascii="Times New Roman" w:hAnsi="Times New Roman"/>
          <w:sz w:val="24"/>
          <w:szCs w:val="24"/>
          <w:lang w:val="en-US" w:eastAsia="de-DE"/>
        </w:rPr>
        <w:t xml:space="preserve"> (</w:t>
      </w:r>
      <w:r w:rsidR="00025199" w:rsidRPr="00683D62">
        <w:rPr>
          <w:rFonts w:ascii="Times New Roman" w:hAnsi="Times New Roman"/>
          <w:sz w:val="24"/>
          <w:szCs w:val="24"/>
          <w:lang w:val="en-US" w:eastAsia="de-DE"/>
        </w:rPr>
        <w:t>26</w:t>
      </w:r>
      <w:r w:rsidR="00386A02" w:rsidRPr="00683D62">
        <w:rPr>
          <w:rFonts w:ascii="Times New Roman" w:hAnsi="Times New Roman"/>
          <w:sz w:val="24"/>
          <w:szCs w:val="24"/>
          <w:lang w:val="en-US" w:eastAsia="de-DE"/>
        </w:rPr>
        <w:t>)</w:t>
      </w:r>
      <w:r w:rsidR="00A2232E" w:rsidRPr="00683D62">
        <w:rPr>
          <w:rFonts w:ascii="Times New Roman" w:hAnsi="Times New Roman"/>
          <w:sz w:val="24"/>
          <w:szCs w:val="24"/>
          <w:lang w:val="en-US" w:eastAsia="de-DE"/>
        </w:rPr>
        <w:t>.</w:t>
      </w:r>
      <w:r w:rsidR="00386A02" w:rsidRPr="00683D62">
        <w:rPr>
          <w:rFonts w:ascii="Times New Roman" w:hAnsi="Times New Roman"/>
          <w:sz w:val="24"/>
          <w:szCs w:val="24"/>
          <w:vertAlign w:val="superscript"/>
          <w:lang w:val="en-US" w:eastAsia="de-DE"/>
        </w:rPr>
        <w:t xml:space="preserve"> </w:t>
      </w:r>
      <w:r w:rsidR="00340E73" w:rsidRPr="00683D62">
        <w:rPr>
          <w:rFonts w:ascii="Times New Roman" w:hAnsi="Times New Roman"/>
          <w:sz w:val="24"/>
          <w:szCs w:val="24"/>
          <w:lang w:val="en-US"/>
        </w:rPr>
        <w:t xml:space="preserve">Families were asked to report the occurrence of diabetes symptoms. In children with islet autoantibodies, an annual oral glucose tolerance test was performed. Type 1 diabetes onset was defined as unequivocal hyperglycemia with acute metabolic decompensation; the observation on at least 2 occasions of a 2-hour plasma glucose greater than 200 mg/dL after an oral glucose test; or a random blood glucose concentration greater than 200 mg/dL accompanied by unequivocal symptoms. </w:t>
      </w:r>
      <w:r w:rsidR="00C2307F">
        <w:rPr>
          <w:rFonts w:ascii="Times New Roman" w:hAnsi="Times New Roman"/>
          <w:sz w:val="24"/>
          <w:szCs w:val="24"/>
          <w:lang w:val="en-US"/>
        </w:rPr>
        <w:t>In</w:t>
      </w:r>
      <w:r w:rsidR="00340E73" w:rsidRPr="00683D62">
        <w:rPr>
          <w:rFonts w:ascii="Times New Roman" w:hAnsi="Times New Roman"/>
          <w:sz w:val="24"/>
          <w:szCs w:val="24"/>
          <w:lang w:val="en-US"/>
        </w:rPr>
        <w:t xml:space="preserve"> 1997, fasting blood glucose greater than 126 mg/dL on 2 occasions was added to the diabetes diagnosis criteria. </w:t>
      </w:r>
    </w:p>
    <w:p w14:paraId="7FFA1E9B" w14:textId="5618C6CC" w:rsidR="006667B4" w:rsidRPr="00683D62" w:rsidRDefault="006667B4" w:rsidP="00C22A67">
      <w:pPr>
        <w:autoSpaceDE w:val="0"/>
        <w:autoSpaceDN w:val="0"/>
        <w:spacing w:after="0" w:line="480" w:lineRule="auto"/>
        <w:jc w:val="both"/>
        <w:rPr>
          <w:rFonts w:ascii="Berkeley-Medium" w:hAnsi="Berkeley-Medium"/>
          <w:sz w:val="20"/>
          <w:szCs w:val="20"/>
          <w:lang w:val="en-US"/>
        </w:rPr>
      </w:pPr>
      <w:r w:rsidRPr="00683D62">
        <w:rPr>
          <w:rFonts w:ascii="Times New Roman" w:hAnsi="Times New Roman"/>
          <w:sz w:val="24"/>
          <w:szCs w:val="24"/>
          <w:lang w:val="en-US"/>
        </w:rPr>
        <w:t>Families of children who</w:t>
      </w:r>
      <w:r w:rsidR="00A01933" w:rsidRPr="00683D62">
        <w:rPr>
          <w:rFonts w:ascii="Times New Roman" w:hAnsi="Times New Roman"/>
          <w:sz w:val="24"/>
          <w:szCs w:val="24"/>
          <w:lang w:val="en-US"/>
        </w:rPr>
        <w:t xml:space="preserve"> </w:t>
      </w:r>
      <w:r w:rsidR="00E974C3" w:rsidRPr="00683D62">
        <w:rPr>
          <w:rFonts w:ascii="Times New Roman" w:hAnsi="Times New Roman"/>
          <w:sz w:val="24"/>
          <w:szCs w:val="24"/>
          <w:lang w:val="en-US"/>
        </w:rPr>
        <w:t>were no longer in follow-up</w:t>
      </w:r>
      <w:r w:rsidRPr="00683D62">
        <w:rPr>
          <w:rFonts w:ascii="Times New Roman" w:hAnsi="Times New Roman"/>
          <w:sz w:val="24"/>
          <w:szCs w:val="24"/>
          <w:lang w:val="en-US"/>
        </w:rPr>
        <w:t xml:space="preserve"> or refused to</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provide blood samples or perform oral</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glucose tolerance tests were regularly</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 xml:space="preserve">contacted by telephone </w:t>
      </w:r>
      <w:r w:rsidR="0064132A" w:rsidRPr="00683D62">
        <w:rPr>
          <w:rFonts w:ascii="Times New Roman" w:hAnsi="Times New Roman"/>
          <w:sz w:val="24"/>
          <w:szCs w:val="24"/>
          <w:lang w:val="en-US"/>
        </w:rPr>
        <w:t>to</w:t>
      </w:r>
      <w:r w:rsidRPr="00683D62">
        <w:rPr>
          <w:rFonts w:ascii="Times New Roman" w:hAnsi="Times New Roman"/>
          <w:sz w:val="24"/>
          <w:szCs w:val="24"/>
          <w:lang w:val="en-US"/>
        </w:rPr>
        <w:t xml:space="preserve"> ask</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if the child had developed diabetes. In</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case</w:t>
      </w:r>
      <w:r w:rsidR="00067A3D" w:rsidRPr="00683D62">
        <w:rPr>
          <w:rFonts w:ascii="Times New Roman" w:hAnsi="Times New Roman"/>
          <w:sz w:val="24"/>
          <w:szCs w:val="24"/>
          <w:lang w:val="en-US"/>
        </w:rPr>
        <w:t>s</w:t>
      </w:r>
      <w:r w:rsidRPr="00683D62">
        <w:rPr>
          <w:rFonts w:ascii="Times New Roman" w:hAnsi="Times New Roman"/>
          <w:sz w:val="24"/>
          <w:szCs w:val="24"/>
          <w:lang w:val="en-US"/>
        </w:rPr>
        <w:t xml:space="preserve"> of loss to follow-up, local diabetes</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 xml:space="preserve">registries or cohort </w:t>
      </w:r>
      <w:r w:rsidRPr="00683D62">
        <w:rPr>
          <w:rFonts w:ascii="Times New Roman" w:hAnsi="Times New Roman"/>
          <w:sz w:val="24"/>
          <w:szCs w:val="24"/>
          <w:lang w:val="en-US"/>
        </w:rPr>
        <w:lastRenderedPageBreak/>
        <w:t>studies were used</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 xml:space="preserve">as a second source </w:t>
      </w:r>
      <w:r w:rsidR="0064132A" w:rsidRPr="00683D62">
        <w:rPr>
          <w:rFonts w:ascii="Times New Roman" w:hAnsi="Times New Roman"/>
          <w:sz w:val="24"/>
          <w:szCs w:val="24"/>
          <w:lang w:val="en-US"/>
        </w:rPr>
        <w:t>of</w:t>
      </w:r>
      <w:r w:rsidRPr="00683D62">
        <w:rPr>
          <w:rFonts w:ascii="Times New Roman" w:hAnsi="Times New Roman"/>
          <w:sz w:val="24"/>
          <w:szCs w:val="24"/>
          <w:lang w:val="en-US"/>
        </w:rPr>
        <w:t xml:space="preserve"> information</w:t>
      </w:r>
      <w:r w:rsidR="00A01933" w:rsidRPr="00683D62">
        <w:rPr>
          <w:rFonts w:ascii="Times New Roman" w:hAnsi="Times New Roman"/>
          <w:sz w:val="24"/>
          <w:szCs w:val="24"/>
          <w:lang w:val="en-US"/>
        </w:rPr>
        <w:t xml:space="preserve"> </w:t>
      </w:r>
      <w:r w:rsidRPr="00683D62">
        <w:rPr>
          <w:rFonts w:ascii="Times New Roman" w:hAnsi="Times New Roman"/>
          <w:sz w:val="24"/>
          <w:szCs w:val="24"/>
          <w:lang w:val="en-US"/>
        </w:rPr>
        <w:t>on</w:t>
      </w:r>
      <w:r w:rsidR="00067A3D" w:rsidRPr="00683D62">
        <w:rPr>
          <w:rFonts w:ascii="Times New Roman" w:hAnsi="Times New Roman"/>
          <w:sz w:val="24"/>
          <w:szCs w:val="24"/>
          <w:lang w:val="en-US"/>
        </w:rPr>
        <w:t xml:space="preserve"> the development of </w:t>
      </w:r>
      <w:r w:rsidR="00C22A67" w:rsidRPr="00683D62">
        <w:rPr>
          <w:rFonts w:ascii="Times New Roman" w:hAnsi="Times New Roman"/>
          <w:sz w:val="24"/>
          <w:szCs w:val="24"/>
          <w:lang w:val="en-US"/>
        </w:rPr>
        <w:t xml:space="preserve">type 1 </w:t>
      </w:r>
      <w:r w:rsidRPr="00683D62">
        <w:rPr>
          <w:rFonts w:ascii="Times New Roman" w:hAnsi="Times New Roman"/>
          <w:sz w:val="24"/>
          <w:szCs w:val="24"/>
          <w:lang w:val="en-US"/>
        </w:rPr>
        <w:t xml:space="preserve">diabetes </w:t>
      </w:r>
      <w:r w:rsidR="00067A3D" w:rsidRPr="00683D62">
        <w:rPr>
          <w:rFonts w:ascii="Times New Roman" w:hAnsi="Times New Roman"/>
          <w:sz w:val="24"/>
          <w:szCs w:val="24"/>
          <w:lang w:val="en-US"/>
        </w:rPr>
        <w:t>in the</w:t>
      </w:r>
      <w:r w:rsidRPr="00683D62">
        <w:rPr>
          <w:rFonts w:ascii="Times New Roman" w:hAnsi="Times New Roman"/>
          <w:sz w:val="24"/>
          <w:szCs w:val="24"/>
          <w:lang w:val="en-US"/>
        </w:rPr>
        <w:t xml:space="preserve"> study participants.</w:t>
      </w:r>
    </w:p>
    <w:p w14:paraId="397514F9" w14:textId="120826D5" w:rsidR="00741420" w:rsidRPr="00683D62" w:rsidRDefault="00741420" w:rsidP="00EC61DD">
      <w:pPr>
        <w:autoSpaceDE w:val="0"/>
        <w:autoSpaceDN w:val="0"/>
        <w:adjustRightInd w:val="0"/>
        <w:spacing w:after="0" w:line="480" w:lineRule="auto"/>
        <w:jc w:val="both"/>
        <w:rPr>
          <w:rFonts w:ascii="Times New Roman" w:hAnsi="Times New Roman"/>
          <w:sz w:val="24"/>
          <w:szCs w:val="24"/>
          <w:lang w:val="en-US" w:eastAsia="de-DE"/>
        </w:rPr>
      </w:pPr>
    </w:p>
    <w:p w14:paraId="5DC6618A" w14:textId="77777777" w:rsidR="00D27F96" w:rsidRPr="00683D62" w:rsidRDefault="00D27F96" w:rsidP="00EC61DD">
      <w:pPr>
        <w:autoSpaceDE w:val="0"/>
        <w:autoSpaceDN w:val="0"/>
        <w:adjustRightInd w:val="0"/>
        <w:spacing w:after="0" w:line="480" w:lineRule="auto"/>
        <w:jc w:val="both"/>
        <w:rPr>
          <w:rFonts w:ascii="Times New Roman" w:hAnsi="Times New Roman"/>
          <w:sz w:val="24"/>
          <w:szCs w:val="24"/>
          <w:lang w:val="en-US" w:eastAsia="de-DE"/>
        </w:rPr>
      </w:pPr>
    </w:p>
    <w:p w14:paraId="5BB26740" w14:textId="59B53DC4" w:rsidR="0074090C" w:rsidRPr="00683D62" w:rsidRDefault="007371CC" w:rsidP="00F850AA">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Statistical analysis</w:t>
      </w:r>
    </w:p>
    <w:p w14:paraId="662FF770" w14:textId="75A3659C" w:rsidR="00B661B1" w:rsidRPr="00683D62" w:rsidRDefault="00D3796B" w:rsidP="00D5396F">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Children in the BABYDIAB and BABYDIET cohorts were </w:t>
      </w:r>
      <w:r w:rsidR="00A4089F" w:rsidRPr="00683D62">
        <w:rPr>
          <w:rFonts w:ascii="Times New Roman" w:hAnsi="Times New Roman"/>
          <w:sz w:val="24"/>
          <w:szCs w:val="24"/>
          <w:lang w:val="en-US" w:eastAsia="de-DE"/>
        </w:rPr>
        <w:t>analyzed</w:t>
      </w:r>
      <w:r w:rsidRPr="00683D62">
        <w:rPr>
          <w:rFonts w:ascii="Times New Roman" w:hAnsi="Times New Roman"/>
          <w:sz w:val="24"/>
          <w:szCs w:val="24"/>
          <w:lang w:val="en-US" w:eastAsia="de-DE"/>
        </w:rPr>
        <w:t xml:space="preserve"> together. </w:t>
      </w:r>
      <w:r w:rsidR="00475E72" w:rsidRPr="00683D62">
        <w:rPr>
          <w:rFonts w:ascii="Times New Roman" w:hAnsi="Times New Roman"/>
          <w:sz w:val="24"/>
          <w:szCs w:val="24"/>
          <w:lang w:val="en-US" w:eastAsia="de-DE"/>
        </w:rPr>
        <w:t>The cumulative dropout rate and the c</w:t>
      </w:r>
      <w:r w:rsidR="00B661B1" w:rsidRPr="00683D62">
        <w:rPr>
          <w:rFonts w:ascii="Times New Roman" w:hAnsi="Times New Roman"/>
          <w:sz w:val="24"/>
          <w:szCs w:val="24"/>
          <w:lang w:val="en-US" w:eastAsia="de-DE"/>
        </w:rPr>
        <w:t xml:space="preserve">umulative risks </w:t>
      </w:r>
      <w:r w:rsidR="00C9329C" w:rsidRPr="00683D62">
        <w:rPr>
          <w:rFonts w:ascii="Times New Roman" w:hAnsi="Times New Roman"/>
          <w:sz w:val="24"/>
          <w:szCs w:val="24"/>
          <w:lang w:val="en-US" w:eastAsia="de-DE"/>
        </w:rPr>
        <w:t xml:space="preserve">of </w:t>
      </w:r>
      <w:r w:rsidR="00B661B1" w:rsidRPr="00683D62">
        <w:rPr>
          <w:rFonts w:ascii="Times New Roman" w:hAnsi="Times New Roman"/>
          <w:sz w:val="24"/>
          <w:szCs w:val="24"/>
          <w:lang w:val="en-US" w:eastAsia="de-DE"/>
        </w:rPr>
        <w:t>developing autoantibodies</w:t>
      </w:r>
      <w:r w:rsidR="00475E72"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475E72" w:rsidRPr="00683D62">
        <w:rPr>
          <w:rFonts w:ascii="Times New Roman" w:hAnsi="Times New Roman"/>
          <w:sz w:val="24"/>
          <w:szCs w:val="24"/>
          <w:lang w:val="en-US" w:eastAsia="de-DE"/>
        </w:rPr>
        <w:t xml:space="preserve">, </w:t>
      </w:r>
      <w:r w:rsidR="007C0504" w:rsidRPr="00683D62">
        <w:rPr>
          <w:rFonts w:ascii="Times New Roman" w:hAnsi="Times New Roman"/>
          <w:sz w:val="24"/>
          <w:szCs w:val="24"/>
          <w:lang w:val="en-US" w:eastAsia="de-DE"/>
        </w:rPr>
        <w:t xml:space="preserve">TGA, </w:t>
      </w:r>
      <w:r w:rsidR="0064132A" w:rsidRPr="00683D62">
        <w:rPr>
          <w:rFonts w:ascii="Times New Roman" w:hAnsi="Times New Roman"/>
          <w:sz w:val="24"/>
          <w:szCs w:val="24"/>
          <w:lang w:val="en-US" w:eastAsia="de-DE"/>
        </w:rPr>
        <w:t xml:space="preserve">or </w:t>
      </w:r>
      <w:r w:rsidR="00475E72" w:rsidRPr="00683D62">
        <w:rPr>
          <w:rFonts w:ascii="Times New Roman" w:hAnsi="Times New Roman"/>
          <w:sz w:val="24"/>
          <w:szCs w:val="24"/>
          <w:lang w:val="en-US" w:eastAsia="de-DE"/>
        </w:rPr>
        <w:t>TPO</w:t>
      </w:r>
      <w:r w:rsidR="00CC3357" w:rsidRPr="00683D62">
        <w:rPr>
          <w:rFonts w:ascii="Times New Roman" w:hAnsi="Times New Roman"/>
          <w:sz w:val="24"/>
          <w:szCs w:val="24"/>
          <w:lang w:val="en-US" w:eastAsia="de-DE"/>
        </w:rPr>
        <w:t>A</w:t>
      </w:r>
      <w:r w:rsidR="00475E72" w:rsidRPr="00683D62">
        <w:rPr>
          <w:rFonts w:ascii="Times New Roman" w:hAnsi="Times New Roman"/>
          <w:sz w:val="24"/>
          <w:szCs w:val="24"/>
          <w:lang w:val="en-US" w:eastAsia="de-DE"/>
        </w:rPr>
        <w:t>)</w:t>
      </w:r>
      <w:r w:rsidR="00B661B1" w:rsidRPr="00683D62">
        <w:rPr>
          <w:rFonts w:ascii="Times New Roman" w:hAnsi="Times New Roman"/>
          <w:sz w:val="24"/>
          <w:szCs w:val="24"/>
          <w:lang w:val="en-US" w:eastAsia="de-DE"/>
        </w:rPr>
        <w:t xml:space="preserve">, multiple </w:t>
      </w:r>
      <w:r w:rsidR="00E111F6" w:rsidRPr="00683D62">
        <w:rPr>
          <w:rFonts w:ascii="Times New Roman" w:hAnsi="Times New Roman"/>
          <w:sz w:val="24"/>
          <w:szCs w:val="24"/>
          <w:lang w:val="en-US" w:eastAsia="de-DE"/>
        </w:rPr>
        <w:t>IA</w:t>
      </w:r>
      <w:r w:rsidR="00B661B1" w:rsidRPr="00683D62">
        <w:rPr>
          <w:rFonts w:ascii="Times New Roman" w:hAnsi="Times New Roman"/>
          <w:sz w:val="24"/>
          <w:szCs w:val="24"/>
          <w:lang w:val="en-US" w:eastAsia="de-DE"/>
        </w:rPr>
        <w:t xml:space="preserve">, or type 1 diabetes were estimated </w:t>
      </w:r>
      <w:r w:rsidR="00C9329C" w:rsidRPr="00683D62">
        <w:rPr>
          <w:rFonts w:ascii="Times New Roman" w:hAnsi="Times New Roman"/>
          <w:sz w:val="24"/>
          <w:szCs w:val="24"/>
          <w:lang w:val="en-US" w:eastAsia="de-DE"/>
        </w:rPr>
        <w:t xml:space="preserve">with </w:t>
      </w:r>
      <w:r w:rsidR="00B661B1" w:rsidRPr="00683D62">
        <w:rPr>
          <w:rFonts w:ascii="Times New Roman" w:hAnsi="Times New Roman"/>
          <w:sz w:val="24"/>
          <w:szCs w:val="24"/>
          <w:lang w:val="en-US" w:eastAsia="de-DE"/>
        </w:rPr>
        <w:t>the Kaplan</w:t>
      </w:r>
      <w:r w:rsidR="00A410C7" w:rsidRPr="00683D62">
        <w:rPr>
          <w:rFonts w:ascii="Times New Roman" w:hAnsi="Times New Roman"/>
          <w:sz w:val="24"/>
          <w:szCs w:val="24"/>
          <w:lang w:val="en-US" w:eastAsia="de-DE"/>
        </w:rPr>
        <w:t>-</w:t>
      </w:r>
      <w:r w:rsidR="00B661B1" w:rsidRPr="00683D62">
        <w:rPr>
          <w:rFonts w:ascii="Times New Roman" w:hAnsi="Times New Roman"/>
          <w:sz w:val="24"/>
          <w:szCs w:val="24"/>
          <w:lang w:val="en-US" w:eastAsia="de-DE"/>
        </w:rPr>
        <w:t>Meier method</w:t>
      </w:r>
      <w:r w:rsidR="00D5396F" w:rsidRPr="00683D62">
        <w:rPr>
          <w:rFonts w:ascii="Times New Roman" w:hAnsi="Times New Roman"/>
          <w:sz w:val="24"/>
          <w:szCs w:val="24"/>
          <w:lang w:val="en-US" w:eastAsia="de-DE"/>
        </w:rPr>
        <w:t>. The log</w:t>
      </w:r>
      <w:r w:rsidR="007B27C8" w:rsidRPr="00683D62">
        <w:rPr>
          <w:rFonts w:ascii="Times New Roman" w:hAnsi="Times New Roman"/>
          <w:sz w:val="24"/>
          <w:szCs w:val="24"/>
          <w:lang w:val="en-US" w:eastAsia="de-DE"/>
        </w:rPr>
        <w:t xml:space="preserve"> </w:t>
      </w:r>
      <w:r w:rsidR="00D5396F" w:rsidRPr="00683D62">
        <w:rPr>
          <w:rFonts w:ascii="Times New Roman" w:hAnsi="Times New Roman"/>
          <w:sz w:val="24"/>
          <w:szCs w:val="24"/>
          <w:lang w:val="en-US" w:eastAsia="de-DE"/>
        </w:rPr>
        <w:t>rank test was used to compare categories in the Kaplan</w:t>
      </w:r>
      <w:r w:rsidR="00A410C7" w:rsidRPr="00683D62">
        <w:rPr>
          <w:rFonts w:ascii="Times New Roman" w:hAnsi="Times New Roman"/>
          <w:sz w:val="24"/>
          <w:szCs w:val="24"/>
          <w:lang w:val="en-US" w:eastAsia="de-DE"/>
        </w:rPr>
        <w:t>-</w:t>
      </w:r>
      <w:r w:rsidR="00D5396F" w:rsidRPr="00683D62">
        <w:rPr>
          <w:rFonts w:ascii="Times New Roman" w:hAnsi="Times New Roman"/>
          <w:sz w:val="24"/>
          <w:szCs w:val="24"/>
          <w:lang w:val="en-US" w:eastAsia="de-DE"/>
        </w:rPr>
        <w:t>Meier analysis.</w:t>
      </w:r>
      <w:r w:rsidR="00B661B1" w:rsidRPr="00683D62">
        <w:rPr>
          <w:rFonts w:ascii="Times New Roman" w:hAnsi="Times New Roman"/>
          <w:sz w:val="24"/>
          <w:szCs w:val="24"/>
          <w:lang w:val="en-US" w:eastAsia="de-DE"/>
        </w:rPr>
        <w:t xml:space="preserve"> Follow-up was calculated from birth to the age of diagnosis of diabetes</w:t>
      </w:r>
      <w:r w:rsidR="0064132A" w:rsidRPr="00683D62">
        <w:rPr>
          <w:rFonts w:ascii="Times New Roman" w:hAnsi="Times New Roman"/>
          <w:sz w:val="24"/>
          <w:szCs w:val="24"/>
          <w:lang w:val="en-US" w:eastAsia="de-DE"/>
        </w:rPr>
        <w:t>,</w:t>
      </w:r>
      <w:r w:rsidR="00B661B1" w:rsidRPr="00683D62">
        <w:rPr>
          <w:rFonts w:ascii="Times New Roman" w:hAnsi="Times New Roman"/>
          <w:sz w:val="24"/>
          <w:szCs w:val="24"/>
          <w:lang w:val="en-US" w:eastAsia="de-DE"/>
        </w:rPr>
        <w:t xml:space="preserve"> </w:t>
      </w:r>
      <w:r w:rsidR="0064132A" w:rsidRPr="00683D62">
        <w:rPr>
          <w:rFonts w:ascii="Times New Roman" w:hAnsi="Times New Roman"/>
          <w:sz w:val="24"/>
          <w:szCs w:val="24"/>
          <w:lang w:val="en-US" w:eastAsia="de-DE"/>
        </w:rPr>
        <w:t xml:space="preserve">to </w:t>
      </w:r>
      <w:r w:rsidR="00B661B1" w:rsidRPr="00683D62">
        <w:rPr>
          <w:rFonts w:ascii="Times New Roman" w:hAnsi="Times New Roman"/>
          <w:sz w:val="24"/>
          <w:szCs w:val="24"/>
          <w:lang w:val="en-US" w:eastAsia="de-DE"/>
        </w:rPr>
        <w:t>the age when autoimmunity first developed, or to the last contact</w:t>
      </w:r>
      <w:r w:rsidR="00C9329C" w:rsidRPr="00683D62">
        <w:rPr>
          <w:rFonts w:ascii="Times New Roman" w:hAnsi="Times New Roman"/>
          <w:sz w:val="24"/>
          <w:szCs w:val="24"/>
          <w:lang w:val="en-US" w:eastAsia="de-DE"/>
        </w:rPr>
        <w:t xml:space="preserve"> or </w:t>
      </w:r>
      <w:r w:rsidR="00B661B1" w:rsidRPr="00683D62">
        <w:rPr>
          <w:rFonts w:ascii="Times New Roman" w:hAnsi="Times New Roman"/>
          <w:sz w:val="24"/>
          <w:szCs w:val="24"/>
          <w:lang w:val="en-US" w:eastAsia="de-DE"/>
        </w:rPr>
        <w:t xml:space="preserve">sample. Within </w:t>
      </w:r>
      <w:r w:rsidR="00C9329C" w:rsidRPr="00683D62">
        <w:rPr>
          <w:rFonts w:ascii="Times New Roman" w:hAnsi="Times New Roman"/>
          <w:sz w:val="24"/>
          <w:szCs w:val="24"/>
          <w:lang w:val="en-US" w:eastAsia="de-DE"/>
        </w:rPr>
        <w:t>IA-</w:t>
      </w:r>
      <w:r w:rsidR="00B661B1" w:rsidRPr="00683D62">
        <w:rPr>
          <w:rFonts w:ascii="Times New Roman" w:hAnsi="Times New Roman"/>
          <w:sz w:val="24"/>
          <w:szCs w:val="24"/>
          <w:lang w:val="en-US" w:eastAsia="de-DE"/>
        </w:rPr>
        <w:t xml:space="preserve">positive children, </w:t>
      </w:r>
      <w:r w:rsidR="00C9329C" w:rsidRPr="00683D62">
        <w:rPr>
          <w:rFonts w:ascii="Times New Roman" w:hAnsi="Times New Roman"/>
          <w:sz w:val="24"/>
          <w:szCs w:val="24"/>
          <w:lang w:val="en-US" w:eastAsia="de-DE"/>
        </w:rPr>
        <w:t xml:space="preserve">the </w:t>
      </w:r>
      <w:r w:rsidR="00531966" w:rsidRPr="00683D62">
        <w:rPr>
          <w:rFonts w:ascii="Times New Roman" w:hAnsi="Times New Roman"/>
          <w:sz w:val="24"/>
          <w:szCs w:val="24"/>
          <w:lang w:val="en-US" w:eastAsia="de-DE"/>
        </w:rPr>
        <w:t>Kaplan</w:t>
      </w:r>
      <w:r w:rsidR="00A410C7" w:rsidRPr="00683D62">
        <w:rPr>
          <w:rFonts w:ascii="Times New Roman" w:hAnsi="Times New Roman"/>
          <w:sz w:val="24"/>
          <w:szCs w:val="24"/>
          <w:lang w:val="en-US" w:eastAsia="de-DE"/>
        </w:rPr>
        <w:t>-</w:t>
      </w:r>
      <w:r w:rsidR="00531966" w:rsidRPr="00683D62">
        <w:rPr>
          <w:rFonts w:ascii="Times New Roman" w:hAnsi="Times New Roman"/>
          <w:sz w:val="24"/>
          <w:szCs w:val="24"/>
          <w:lang w:val="en-US" w:eastAsia="de-DE"/>
        </w:rPr>
        <w:t xml:space="preserve">Meier </w:t>
      </w:r>
      <w:r w:rsidR="00B661B1" w:rsidRPr="00683D62">
        <w:rPr>
          <w:rFonts w:ascii="Times New Roman" w:hAnsi="Times New Roman"/>
          <w:sz w:val="24"/>
          <w:szCs w:val="24"/>
          <w:lang w:val="en-US" w:eastAsia="de-DE"/>
        </w:rPr>
        <w:t xml:space="preserve">analysis was used to calculate the risk of progression to type 1 diabetes. </w:t>
      </w:r>
      <w:r w:rsidR="001E3259" w:rsidRPr="00683D62">
        <w:rPr>
          <w:rFonts w:ascii="Times New Roman" w:hAnsi="Times New Roman"/>
          <w:sz w:val="24"/>
          <w:szCs w:val="24"/>
          <w:lang w:val="en-US" w:eastAsia="de-DE"/>
        </w:rPr>
        <w:t xml:space="preserve">Cox proportional hazard models were used to determine </w:t>
      </w:r>
      <w:r w:rsidR="00C9329C" w:rsidRPr="00683D62">
        <w:rPr>
          <w:rFonts w:ascii="Times New Roman" w:hAnsi="Times New Roman"/>
          <w:sz w:val="24"/>
          <w:szCs w:val="24"/>
          <w:lang w:val="en-US" w:eastAsia="de-DE"/>
        </w:rPr>
        <w:t xml:space="preserve">the </w:t>
      </w:r>
      <w:r w:rsidR="001E3259" w:rsidRPr="00683D62">
        <w:rPr>
          <w:rFonts w:ascii="Times New Roman" w:hAnsi="Times New Roman"/>
          <w:sz w:val="24"/>
          <w:szCs w:val="24"/>
          <w:lang w:val="en-US" w:eastAsia="de-DE"/>
        </w:rPr>
        <w:t xml:space="preserve">multivariable hazard ratios </w:t>
      </w:r>
      <w:r w:rsidR="0064132A" w:rsidRPr="00683D62">
        <w:rPr>
          <w:rFonts w:ascii="Times New Roman" w:hAnsi="Times New Roman"/>
          <w:sz w:val="24"/>
          <w:szCs w:val="24"/>
          <w:lang w:val="en-US" w:eastAsia="de-DE"/>
        </w:rPr>
        <w:t xml:space="preserve">(HRs) </w:t>
      </w:r>
      <w:r w:rsidR="007E0153">
        <w:rPr>
          <w:rFonts w:ascii="Times New Roman" w:hAnsi="Times New Roman"/>
          <w:sz w:val="24"/>
          <w:szCs w:val="24"/>
          <w:lang w:val="en-US" w:eastAsia="de-DE"/>
        </w:rPr>
        <w:t xml:space="preserve">with 95% confidence intervals (CI) </w:t>
      </w:r>
      <w:r w:rsidR="001E3259" w:rsidRPr="00683D62">
        <w:rPr>
          <w:rFonts w:ascii="Times New Roman" w:hAnsi="Times New Roman"/>
          <w:sz w:val="24"/>
          <w:szCs w:val="24"/>
          <w:lang w:val="en-US" w:eastAsia="de-DE"/>
        </w:rPr>
        <w:t xml:space="preserve">for autoantibody risks and to determine </w:t>
      </w:r>
      <w:r w:rsidR="00C9329C" w:rsidRPr="00683D62">
        <w:rPr>
          <w:rFonts w:ascii="Times New Roman" w:hAnsi="Times New Roman"/>
          <w:sz w:val="24"/>
          <w:szCs w:val="24"/>
          <w:lang w:val="en-US" w:eastAsia="de-DE"/>
        </w:rPr>
        <w:t xml:space="preserve">the effect of the </w:t>
      </w:r>
      <w:r w:rsidR="001E3259" w:rsidRPr="00683D62">
        <w:rPr>
          <w:rFonts w:ascii="Times New Roman" w:hAnsi="Times New Roman"/>
          <w:sz w:val="24"/>
          <w:szCs w:val="24"/>
          <w:lang w:val="en-US" w:eastAsia="de-DE"/>
        </w:rPr>
        <w:t xml:space="preserve">interaction between sex and HLA genotype on the risk </w:t>
      </w:r>
      <w:r w:rsidR="00C9329C" w:rsidRPr="00683D62">
        <w:rPr>
          <w:rFonts w:ascii="Times New Roman" w:hAnsi="Times New Roman"/>
          <w:sz w:val="24"/>
          <w:szCs w:val="24"/>
          <w:lang w:val="en-US" w:eastAsia="de-DE"/>
        </w:rPr>
        <w:t xml:space="preserve">of </w:t>
      </w:r>
      <w:r w:rsidR="001E3259" w:rsidRPr="00683D62">
        <w:rPr>
          <w:rFonts w:ascii="Times New Roman" w:hAnsi="Times New Roman"/>
          <w:sz w:val="24"/>
          <w:szCs w:val="24"/>
          <w:lang w:val="en-US" w:eastAsia="de-DE"/>
        </w:rPr>
        <w:t>autoantibodies.</w:t>
      </w:r>
      <w:r w:rsidR="00DB2AF1" w:rsidRPr="00683D62">
        <w:rPr>
          <w:rFonts w:ascii="Times New Roman" w:hAnsi="Times New Roman"/>
          <w:sz w:val="24"/>
          <w:szCs w:val="24"/>
          <w:lang w:val="en-US" w:eastAsia="de-DE"/>
        </w:rPr>
        <w:t xml:space="preserve"> Relatives </w:t>
      </w:r>
      <w:r w:rsidR="00DB2AF1" w:rsidRPr="00683D62">
        <w:rPr>
          <w:rFonts w:ascii="Times New Roman" w:hAnsi="Times New Roman"/>
          <w:sz w:val="24"/>
          <w:szCs w:val="24"/>
          <w:lang w:val="en-US"/>
        </w:rPr>
        <w:t>with missing data were not included in the models.</w:t>
      </w:r>
    </w:p>
    <w:p w14:paraId="593460D2" w14:textId="34781ABE" w:rsidR="008F668A" w:rsidRPr="00683D62" w:rsidRDefault="008F668A" w:rsidP="005709D6">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In accordance with the timing of the visit schedule, </w:t>
      </w:r>
      <w:r w:rsidR="00C9329C" w:rsidRPr="00683D62">
        <w:rPr>
          <w:rFonts w:ascii="Times New Roman" w:hAnsi="Times New Roman"/>
          <w:sz w:val="24"/>
          <w:szCs w:val="24"/>
          <w:lang w:val="en-US"/>
        </w:rPr>
        <w:t xml:space="preserve">the incidence of </w:t>
      </w:r>
      <w:r w:rsidRPr="00683D62">
        <w:rPr>
          <w:rFonts w:ascii="Times New Roman" w:hAnsi="Times New Roman"/>
          <w:sz w:val="24"/>
          <w:szCs w:val="24"/>
          <w:lang w:val="en-US"/>
        </w:rPr>
        <w:t>antibod</w:t>
      </w:r>
      <w:r w:rsidR="00C9329C" w:rsidRPr="00683D62">
        <w:rPr>
          <w:rFonts w:ascii="Times New Roman" w:hAnsi="Times New Roman"/>
          <w:sz w:val="24"/>
          <w:szCs w:val="24"/>
          <w:lang w:val="en-US"/>
        </w:rPr>
        <w:t>ies</w:t>
      </w:r>
      <w:r w:rsidRPr="00683D62">
        <w:rPr>
          <w:rFonts w:ascii="Times New Roman" w:hAnsi="Times New Roman"/>
          <w:sz w:val="24"/>
          <w:szCs w:val="24"/>
          <w:lang w:val="en-US"/>
        </w:rPr>
        <w:t xml:space="preserve"> per</w:t>
      </w:r>
      <w:r w:rsidR="007C0504" w:rsidRPr="00683D62">
        <w:rPr>
          <w:rFonts w:ascii="Times New Roman" w:hAnsi="Times New Roman"/>
          <w:sz w:val="24"/>
          <w:szCs w:val="24"/>
          <w:lang w:val="en-US"/>
        </w:rPr>
        <w:t xml:space="preserve"> </w:t>
      </w:r>
      <w:r w:rsidR="00A94090" w:rsidRPr="00683D62">
        <w:rPr>
          <w:rFonts w:ascii="Times New Roman" w:hAnsi="Times New Roman"/>
          <w:sz w:val="24"/>
          <w:szCs w:val="24"/>
          <w:lang w:val="en-US"/>
        </w:rPr>
        <w:t>1,000 person-</w:t>
      </w:r>
      <w:r w:rsidRPr="00683D62">
        <w:rPr>
          <w:rFonts w:ascii="Times New Roman" w:hAnsi="Times New Roman"/>
          <w:sz w:val="24"/>
          <w:szCs w:val="24"/>
          <w:lang w:val="en-US"/>
        </w:rPr>
        <w:t>years was calculated from samples obtained within the following age intervals: 0</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rPr>
        <w:t>18 months, 18</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rPr>
        <w:t>42 months, 42</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rPr>
        <w:t>78 months, 78</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rPr>
        <w:t>114 months, 114</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rPr>
        <w:t>150 months, 150</w:t>
      </w:r>
      <w:r w:rsidR="00A410C7" w:rsidRPr="00683D62">
        <w:rPr>
          <w:rFonts w:ascii="Times New Roman" w:hAnsi="Times New Roman"/>
          <w:sz w:val="24"/>
          <w:szCs w:val="24"/>
          <w:lang w:val="en-US"/>
        </w:rPr>
        <w:t>-</w:t>
      </w:r>
      <w:r w:rsidRPr="00683D62">
        <w:rPr>
          <w:rFonts w:ascii="Times New Roman" w:hAnsi="Times New Roman"/>
          <w:sz w:val="24"/>
          <w:szCs w:val="24"/>
          <w:lang w:val="en-US"/>
        </w:rPr>
        <w:t>186 months</w:t>
      </w:r>
      <w:r w:rsidR="00C9329C" w:rsidRPr="00683D62">
        <w:rPr>
          <w:rFonts w:ascii="Times New Roman" w:hAnsi="Times New Roman"/>
          <w:sz w:val="24"/>
          <w:szCs w:val="24"/>
          <w:lang w:val="en-US"/>
        </w:rPr>
        <w:t>,</w:t>
      </w:r>
      <w:r w:rsidRPr="00683D62">
        <w:rPr>
          <w:rFonts w:ascii="Times New Roman" w:hAnsi="Times New Roman"/>
          <w:sz w:val="24"/>
          <w:szCs w:val="24"/>
          <w:lang w:val="en-US"/>
        </w:rPr>
        <w:t xml:space="preserve"> and 186</w:t>
      </w:r>
      <w:r w:rsidR="00A410C7" w:rsidRPr="00683D62">
        <w:rPr>
          <w:rFonts w:ascii="Times New Roman" w:hAnsi="Times New Roman"/>
          <w:sz w:val="24"/>
          <w:szCs w:val="24"/>
          <w:lang w:val="en-US"/>
        </w:rPr>
        <w:t>-</w:t>
      </w:r>
      <w:r w:rsidRPr="00683D62">
        <w:rPr>
          <w:rFonts w:ascii="Times New Roman" w:hAnsi="Times New Roman"/>
          <w:sz w:val="24"/>
          <w:szCs w:val="24"/>
          <w:lang w:val="en-US"/>
        </w:rPr>
        <w:t>204 months</w:t>
      </w:r>
      <w:r w:rsidR="00F270B1" w:rsidRPr="00683D62">
        <w:rPr>
          <w:rFonts w:ascii="Times New Roman" w:hAnsi="Times New Roman"/>
          <w:sz w:val="24"/>
          <w:szCs w:val="24"/>
          <w:lang w:val="en-US"/>
        </w:rPr>
        <w:t>.</w:t>
      </w:r>
      <w:r w:rsidR="00F270B1" w:rsidRPr="00683D62">
        <w:rPr>
          <w:rFonts w:ascii="Times New Roman" w:hAnsi="Times New Roman"/>
          <w:sz w:val="24"/>
          <w:szCs w:val="24"/>
          <w:vertAlign w:val="superscript"/>
          <w:lang w:val="en-US"/>
        </w:rPr>
        <w:t>1</w:t>
      </w:r>
      <w:r w:rsidRPr="00683D62">
        <w:rPr>
          <w:rFonts w:ascii="Times New Roman" w:hAnsi="Times New Roman"/>
          <w:sz w:val="24"/>
          <w:szCs w:val="24"/>
          <w:lang w:val="en-US"/>
        </w:rPr>
        <w:t xml:space="preserve"> </w:t>
      </w:r>
      <w:r w:rsidR="00BA7CF8" w:rsidRPr="00683D62">
        <w:rPr>
          <w:rFonts w:ascii="Times New Roman" w:hAnsi="Times New Roman"/>
          <w:sz w:val="24"/>
          <w:szCs w:val="24"/>
          <w:lang w:val="en-US"/>
        </w:rPr>
        <w:t xml:space="preserve">The </w:t>
      </w:r>
      <w:r w:rsidR="00C9329C" w:rsidRPr="00683D62">
        <w:rPr>
          <w:rFonts w:ascii="Times New Roman" w:hAnsi="Times New Roman"/>
          <w:sz w:val="24"/>
          <w:szCs w:val="24"/>
          <w:lang w:val="en-US"/>
        </w:rPr>
        <w:t xml:space="preserve">incidence of </w:t>
      </w:r>
      <w:r w:rsidR="00BA7CF8" w:rsidRPr="00683D62">
        <w:rPr>
          <w:rFonts w:ascii="Times New Roman" w:hAnsi="Times New Roman"/>
          <w:sz w:val="24"/>
          <w:szCs w:val="24"/>
          <w:lang w:val="en-US"/>
        </w:rPr>
        <w:t xml:space="preserve">type 1 diabetes was calculated from the number of children who were newly diagnosed with type 1 diabetes and the number of children followed </w:t>
      </w:r>
      <w:r w:rsidR="00C9329C" w:rsidRPr="00683D62">
        <w:rPr>
          <w:rFonts w:ascii="Times New Roman" w:hAnsi="Times New Roman"/>
          <w:sz w:val="24"/>
          <w:szCs w:val="24"/>
          <w:lang w:val="en-US"/>
        </w:rPr>
        <w:t xml:space="preserve">in </w:t>
      </w:r>
      <w:r w:rsidR="00BA7CF8" w:rsidRPr="00683D62">
        <w:rPr>
          <w:rFonts w:ascii="Times New Roman" w:hAnsi="Times New Roman"/>
          <w:sz w:val="24"/>
          <w:szCs w:val="24"/>
          <w:lang w:val="en-US"/>
        </w:rPr>
        <w:t>each time interval</w:t>
      </w:r>
      <w:r w:rsidR="0064132A" w:rsidRPr="00683D62">
        <w:rPr>
          <w:rFonts w:ascii="Times New Roman" w:hAnsi="Times New Roman"/>
          <w:sz w:val="24"/>
          <w:szCs w:val="24"/>
          <w:lang w:val="en-US"/>
        </w:rPr>
        <w:t>,</w:t>
      </w:r>
      <w:r w:rsidR="00BA7CF8" w:rsidRPr="00683D62">
        <w:rPr>
          <w:rFonts w:ascii="Times New Roman" w:hAnsi="Times New Roman"/>
          <w:sz w:val="24"/>
          <w:szCs w:val="24"/>
          <w:lang w:val="en-US"/>
        </w:rPr>
        <w:t xml:space="preserve"> as cases per 1,000 per year (per 1,000 person</w:t>
      </w:r>
      <w:r w:rsidR="00A410C7" w:rsidRPr="00683D62">
        <w:rPr>
          <w:rFonts w:ascii="Times New Roman" w:hAnsi="Times New Roman"/>
          <w:sz w:val="24"/>
          <w:szCs w:val="24"/>
          <w:lang w:val="en-US" w:eastAsia="de-DE"/>
        </w:rPr>
        <w:t>-</w:t>
      </w:r>
      <w:r w:rsidR="00BA7CF8" w:rsidRPr="00683D62">
        <w:rPr>
          <w:rFonts w:ascii="Times New Roman" w:hAnsi="Times New Roman"/>
          <w:sz w:val="24"/>
          <w:szCs w:val="24"/>
          <w:lang w:val="en-US"/>
        </w:rPr>
        <w:t xml:space="preserve">years) for each time interval. </w:t>
      </w:r>
      <w:r w:rsidRPr="00683D62">
        <w:rPr>
          <w:rFonts w:ascii="Times New Roman" w:hAnsi="Times New Roman"/>
          <w:sz w:val="24"/>
          <w:szCs w:val="24"/>
          <w:lang w:val="en-US"/>
        </w:rPr>
        <w:t>Standard errors (SE) were calculated based on the Cooper</w:t>
      </w:r>
      <w:r w:rsidR="00A410C7" w:rsidRPr="00683D62">
        <w:rPr>
          <w:rFonts w:ascii="Times New Roman" w:hAnsi="Times New Roman"/>
          <w:sz w:val="24"/>
          <w:szCs w:val="24"/>
          <w:lang w:val="en-US"/>
        </w:rPr>
        <w:t>-</w:t>
      </w:r>
      <w:r w:rsidRPr="00683D62">
        <w:rPr>
          <w:rFonts w:ascii="Times New Roman" w:hAnsi="Times New Roman"/>
          <w:sz w:val="24"/>
          <w:szCs w:val="24"/>
          <w:lang w:val="en-US"/>
        </w:rPr>
        <w:t>Pearson method.</w:t>
      </w:r>
      <w:r w:rsidR="005709D6" w:rsidRPr="00683D62">
        <w:rPr>
          <w:rFonts w:ascii="Times New Roman" w:hAnsi="Times New Roman"/>
          <w:sz w:val="24"/>
          <w:szCs w:val="24"/>
          <w:lang w:val="en-US"/>
        </w:rPr>
        <w:t xml:space="preserve"> Comparisons of islet autoantibody incidence between age groups were performed using </w:t>
      </w:r>
      <w:r w:rsidR="005709D6" w:rsidRPr="00683D62">
        <w:rPr>
          <w:rFonts w:ascii="Times New Roman" w:hAnsi="Times New Roman"/>
          <w:sz w:val="24"/>
          <w:szCs w:val="24"/>
          <w:lang w:val="en-US"/>
        </w:rPr>
        <w:lastRenderedPageBreak/>
        <w:t>Fisher’s exact test</w:t>
      </w:r>
      <w:r w:rsidR="00025199" w:rsidRPr="00683D62">
        <w:rPr>
          <w:rFonts w:ascii="Times New Roman" w:hAnsi="Times New Roman"/>
          <w:sz w:val="24"/>
          <w:szCs w:val="24"/>
          <w:lang w:val="en-US"/>
        </w:rPr>
        <w:t xml:space="preserve"> and the age of autoantibody development was compared between IA, TGA, and TPOA using the Mann-Whitney U test</w:t>
      </w:r>
      <w:r w:rsidR="005709D6" w:rsidRPr="00683D62">
        <w:rPr>
          <w:rFonts w:ascii="Times New Roman" w:hAnsi="Times New Roman"/>
          <w:sz w:val="24"/>
          <w:szCs w:val="24"/>
          <w:lang w:val="en-US"/>
        </w:rPr>
        <w:t>.</w:t>
      </w:r>
    </w:p>
    <w:p w14:paraId="49735006" w14:textId="68F62D6C" w:rsidR="00B661B1" w:rsidRPr="00683D62" w:rsidRDefault="00B661B1" w:rsidP="00B661B1">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All statistical analyses were performed </w:t>
      </w:r>
      <w:r w:rsidR="00C9329C" w:rsidRPr="00683D62">
        <w:rPr>
          <w:rFonts w:ascii="Times New Roman" w:hAnsi="Times New Roman"/>
          <w:sz w:val="24"/>
          <w:szCs w:val="24"/>
          <w:lang w:val="en-US" w:eastAsia="de-DE"/>
        </w:rPr>
        <w:t xml:space="preserve">with </w:t>
      </w:r>
      <w:r w:rsidRPr="00683D62">
        <w:rPr>
          <w:rFonts w:ascii="Times New Roman" w:hAnsi="Times New Roman"/>
          <w:sz w:val="24"/>
          <w:szCs w:val="24"/>
          <w:lang w:val="en-US" w:eastAsia="de-DE"/>
        </w:rPr>
        <w:t>IBM SPSS version 25</w:t>
      </w:r>
      <w:r w:rsidR="004A49A7" w:rsidRPr="00683D62">
        <w:rPr>
          <w:rFonts w:ascii="Calibri Light" w:hAnsi="Calibri Light" w:cs="Calibri Light"/>
          <w:lang w:val="en-US"/>
        </w:rPr>
        <w:t>.</w:t>
      </w:r>
      <w:r w:rsidRPr="00683D62">
        <w:rPr>
          <w:rFonts w:ascii="Times New Roman" w:hAnsi="Times New Roman"/>
          <w:sz w:val="24"/>
          <w:szCs w:val="24"/>
          <w:lang w:val="en-US" w:eastAsia="de-DE"/>
        </w:rPr>
        <w:t>0 (IBM Corp.</w:t>
      </w:r>
      <w:r w:rsidR="00264424" w:rsidRPr="00683D62">
        <w:rPr>
          <w:rFonts w:ascii="Times New Roman" w:hAnsi="Times New Roman"/>
          <w:sz w:val="24"/>
          <w:szCs w:val="24"/>
          <w:lang w:val="en-US" w:eastAsia="de-DE"/>
        </w:rPr>
        <w:t>, Armonk, NY</w:t>
      </w:r>
      <w:r w:rsidRPr="00683D62">
        <w:rPr>
          <w:rFonts w:ascii="Times New Roman" w:hAnsi="Times New Roman"/>
          <w:sz w:val="24"/>
          <w:szCs w:val="24"/>
          <w:lang w:val="en-US" w:eastAsia="de-DE"/>
        </w:rPr>
        <w:t>), and SAS 9</w:t>
      </w:r>
      <w:r w:rsidR="004A49A7" w:rsidRPr="00683D62">
        <w:rPr>
          <w:rFonts w:ascii="Calibri Light" w:hAnsi="Calibri Light" w:cs="Calibri Light"/>
          <w:lang w:val="en-US"/>
        </w:rPr>
        <w:t>.</w:t>
      </w:r>
      <w:r w:rsidRPr="00683D62">
        <w:rPr>
          <w:rFonts w:ascii="Times New Roman" w:hAnsi="Times New Roman"/>
          <w:sz w:val="24"/>
          <w:szCs w:val="24"/>
          <w:lang w:val="en-US" w:eastAsia="de-DE"/>
        </w:rPr>
        <w:t>4 (SAS Institute, Cary, NC).</w:t>
      </w:r>
    </w:p>
    <w:p w14:paraId="40A4C119" w14:textId="071806AA" w:rsidR="00A2232E" w:rsidRPr="00683D62" w:rsidRDefault="00A2232E" w:rsidP="00F850AA">
      <w:pPr>
        <w:autoSpaceDE w:val="0"/>
        <w:autoSpaceDN w:val="0"/>
        <w:adjustRightInd w:val="0"/>
        <w:spacing w:after="0" w:line="480" w:lineRule="auto"/>
        <w:jc w:val="both"/>
        <w:outlineLvl w:val="0"/>
        <w:rPr>
          <w:rFonts w:ascii="Times New Roman" w:hAnsi="Times New Roman"/>
          <w:sz w:val="24"/>
          <w:szCs w:val="24"/>
          <w:lang w:val="en-US" w:eastAsia="de-DE"/>
        </w:rPr>
      </w:pPr>
    </w:p>
    <w:p w14:paraId="3FC4547E" w14:textId="77777777" w:rsidR="00D27F96" w:rsidRPr="00683D62" w:rsidRDefault="00D27F96" w:rsidP="00F850AA">
      <w:pPr>
        <w:autoSpaceDE w:val="0"/>
        <w:autoSpaceDN w:val="0"/>
        <w:adjustRightInd w:val="0"/>
        <w:spacing w:after="0" w:line="480" w:lineRule="auto"/>
        <w:jc w:val="both"/>
        <w:outlineLvl w:val="0"/>
        <w:rPr>
          <w:rFonts w:ascii="Times New Roman" w:hAnsi="Times New Roman"/>
          <w:sz w:val="24"/>
          <w:szCs w:val="24"/>
          <w:lang w:val="en-US" w:eastAsia="de-DE"/>
        </w:rPr>
      </w:pPr>
    </w:p>
    <w:p w14:paraId="0B90A4FE" w14:textId="77777777" w:rsidR="00B06F5C" w:rsidRPr="00683D62" w:rsidRDefault="00B06F5C" w:rsidP="00F850AA">
      <w:pPr>
        <w:autoSpaceDE w:val="0"/>
        <w:autoSpaceDN w:val="0"/>
        <w:adjustRightInd w:val="0"/>
        <w:spacing w:after="0" w:line="480" w:lineRule="auto"/>
        <w:jc w:val="both"/>
        <w:outlineLvl w:val="0"/>
        <w:rPr>
          <w:rFonts w:ascii="Times New Roman" w:hAnsi="Times New Roman"/>
          <w:sz w:val="24"/>
          <w:szCs w:val="24"/>
          <w:lang w:val="en-US" w:eastAsia="de-DE"/>
        </w:rPr>
      </w:pPr>
      <w:r w:rsidRPr="00683D62">
        <w:rPr>
          <w:rFonts w:ascii="Times New Roman" w:hAnsi="Times New Roman"/>
          <w:sz w:val="24"/>
          <w:szCs w:val="24"/>
          <w:lang w:val="en-US" w:eastAsia="de-DE"/>
        </w:rPr>
        <w:t>Results</w:t>
      </w:r>
    </w:p>
    <w:p w14:paraId="47164DA2" w14:textId="7A2DBE36" w:rsidR="007E185D" w:rsidRPr="00683D62" w:rsidRDefault="00BC3679" w:rsidP="00B661B1">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In total</w:t>
      </w:r>
      <w:r w:rsidR="00B06F5C" w:rsidRPr="00683D62">
        <w:rPr>
          <w:rFonts w:ascii="Times New Roman" w:hAnsi="Times New Roman"/>
          <w:sz w:val="24"/>
          <w:szCs w:val="24"/>
          <w:lang w:val="en-US" w:eastAsia="de-DE"/>
        </w:rPr>
        <w:t xml:space="preserve">, </w:t>
      </w:r>
      <w:r w:rsidR="00F14911" w:rsidRPr="00683D62">
        <w:rPr>
          <w:rFonts w:ascii="Times New Roman" w:hAnsi="Times New Roman"/>
          <w:sz w:val="24"/>
          <w:szCs w:val="24"/>
          <w:lang w:val="en-US" w:eastAsia="de-DE"/>
        </w:rPr>
        <w:t>2</w:t>
      </w:r>
      <w:r w:rsidR="00C9329C" w:rsidRPr="00683D62">
        <w:rPr>
          <w:rFonts w:ascii="Times New Roman" w:hAnsi="Times New Roman"/>
          <w:sz w:val="24"/>
          <w:szCs w:val="24"/>
          <w:lang w:val="en-US" w:eastAsia="de-DE"/>
        </w:rPr>
        <w:t>,</w:t>
      </w:r>
      <w:r w:rsidR="00F14911" w:rsidRPr="00683D62">
        <w:rPr>
          <w:rFonts w:ascii="Times New Roman" w:hAnsi="Times New Roman"/>
          <w:sz w:val="24"/>
          <w:szCs w:val="24"/>
          <w:lang w:val="en-US" w:eastAsia="de-DE"/>
        </w:rPr>
        <w:t>441</w:t>
      </w:r>
      <w:r w:rsidR="00B06F5C" w:rsidRPr="00683D62">
        <w:rPr>
          <w:rFonts w:ascii="Times New Roman" w:hAnsi="Times New Roman"/>
          <w:sz w:val="24"/>
          <w:szCs w:val="24"/>
          <w:lang w:val="en-US" w:eastAsia="de-DE"/>
        </w:rPr>
        <w:t xml:space="preserve"> children </w:t>
      </w:r>
      <w:r w:rsidR="007B1EE3" w:rsidRPr="00683D62">
        <w:rPr>
          <w:rFonts w:ascii="Times New Roman" w:hAnsi="Times New Roman"/>
          <w:sz w:val="24"/>
          <w:szCs w:val="24"/>
          <w:lang w:val="en-US" w:eastAsia="de-DE"/>
        </w:rPr>
        <w:t>(1</w:t>
      </w:r>
      <w:r w:rsidR="00C9329C" w:rsidRPr="00683D62">
        <w:rPr>
          <w:rFonts w:ascii="Times New Roman" w:hAnsi="Times New Roman"/>
          <w:sz w:val="24"/>
          <w:szCs w:val="24"/>
          <w:lang w:val="en-US" w:eastAsia="de-DE"/>
        </w:rPr>
        <w:t>,</w:t>
      </w:r>
      <w:r w:rsidR="007B1EE3" w:rsidRPr="00683D62">
        <w:rPr>
          <w:rFonts w:ascii="Times New Roman" w:hAnsi="Times New Roman"/>
          <w:sz w:val="24"/>
          <w:szCs w:val="24"/>
          <w:lang w:val="en-US" w:eastAsia="de-DE"/>
        </w:rPr>
        <w:t xml:space="preserve">188 girls) </w:t>
      </w:r>
      <w:r w:rsidRPr="00683D62">
        <w:rPr>
          <w:rFonts w:ascii="Times New Roman" w:hAnsi="Times New Roman"/>
          <w:sz w:val="24"/>
          <w:szCs w:val="24"/>
          <w:lang w:val="en-US" w:eastAsia="de-DE"/>
        </w:rPr>
        <w:t xml:space="preserve">were </w:t>
      </w:r>
      <w:r w:rsidR="00B06F5C" w:rsidRPr="00683D62">
        <w:rPr>
          <w:rFonts w:ascii="Times New Roman" w:hAnsi="Times New Roman"/>
          <w:sz w:val="24"/>
          <w:szCs w:val="24"/>
          <w:lang w:val="en-US" w:eastAsia="de-DE"/>
        </w:rPr>
        <w:t>enrolled in the</w:t>
      </w:r>
      <w:r w:rsidR="00C9329C" w:rsidRPr="00683D62">
        <w:rPr>
          <w:rFonts w:ascii="Times New Roman" w:hAnsi="Times New Roman"/>
          <w:sz w:val="24"/>
          <w:szCs w:val="24"/>
          <w:lang w:val="en-US" w:eastAsia="de-DE"/>
        </w:rPr>
        <w:t xml:space="preserve"> prospective</w:t>
      </w:r>
      <w:r w:rsidR="00B06F5C" w:rsidRPr="00683D62">
        <w:rPr>
          <w:rFonts w:ascii="Times New Roman" w:hAnsi="Times New Roman"/>
          <w:sz w:val="24"/>
          <w:szCs w:val="24"/>
          <w:lang w:val="en-US" w:eastAsia="de-DE"/>
        </w:rPr>
        <w:t xml:space="preserve"> BABYDIAB and BABYDIET </w:t>
      </w:r>
      <w:r w:rsidR="00D3796B" w:rsidRPr="00683D62">
        <w:rPr>
          <w:rFonts w:ascii="Times New Roman" w:hAnsi="Times New Roman"/>
          <w:sz w:val="24"/>
          <w:szCs w:val="24"/>
          <w:lang w:val="en-US" w:eastAsia="de-DE"/>
        </w:rPr>
        <w:t xml:space="preserve">studies </w:t>
      </w:r>
      <w:r w:rsidRPr="00683D62">
        <w:rPr>
          <w:rFonts w:ascii="Times New Roman" w:hAnsi="Times New Roman"/>
          <w:sz w:val="24"/>
          <w:szCs w:val="24"/>
          <w:lang w:val="en-US" w:eastAsia="de-DE"/>
        </w:rPr>
        <w:t xml:space="preserve">and </w:t>
      </w:r>
      <w:r w:rsidR="00B06F5C" w:rsidRPr="00683D62">
        <w:rPr>
          <w:rFonts w:ascii="Times New Roman" w:hAnsi="Times New Roman"/>
          <w:sz w:val="24"/>
          <w:szCs w:val="24"/>
          <w:lang w:val="en-US" w:eastAsia="de-DE"/>
        </w:rPr>
        <w:t xml:space="preserve">tested for </w:t>
      </w:r>
      <w:r w:rsidR="00E111F6" w:rsidRPr="00683D62">
        <w:rPr>
          <w:rFonts w:ascii="Times New Roman" w:hAnsi="Times New Roman"/>
          <w:sz w:val="24"/>
          <w:szCs w:val="24"/>
          <w:lang w:val="en-US" w:eastAsia="de-DE"/>
        </w:rPr>
        <w:t>IA</w:t>
      </w:r>
      <w:r w:rsidR="00F20CC7" w:rsidRPr="00683D62">
        <w:rPr>
          <w:rFonts w:ascii="Times New Roman" w:hAnsi="Times New Roman"/>
          <w:sz w:val="24"/>
          <w:szCs w:val="24"/>
          <w:lang w:val="en-US" w:eastAsia="de-DE"/>
        </w:rPr>
        <w:t xml:space="preserve"> (n = 2441)</w:t>
      </w:r>
      <w:r w:rsidR="00B06F5C"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TGA</w:t>
      </w:r>
      <w:r w:rsidR="00F20CC7" w:rsidRPr="00683D62">
        <w:rPr>
          <w:rFonts w:ascii="Times New Roman" w:hAnsi="Times New Roman"/>
          <w:sz w:val="24"/>
          <w:szCs w:val="24"/>
          <w:lang w:val="en-US" w:eastAsia="de-DE"/>
        </w:rPr>
        <w:t xml:space="preserve"> (n = </w:t>
      </w:r>
      <w:r w:rsidR="00EA5228" w:rsidRPr="00683D62">
        <w:rPr>
          <w:rFonts w:ascii="Times New Roman" w:hAnsi="Times New Roman"/>
          <w:sz w:val="24"/>
          <w:szCs w:val="24"/>
          <w:lang w:val="en-US" w:eastAsia="de-DE"/>
        </w:rPr>
        <w:t>2395</w:t>
      </w:r>
      <w:r w:rsidR="00D64DF1" w:rsidRPr="00683D62">
        <w:rPr>
          <w:rFonts w:ascii="Times New Roman" w:hAnsi="Times New Roman"/>
          <w:sz w:val="24"/>
          <w:szCs w:val="24"/>
          <w:lang w:val="en-US" w:eastAsia="de-DE"/>
        </w:rPr>
        <w:t>, 11</w:t>
      </w:r>
      <w:r w:rsidR="004B5C83">
        <w:rPr>
          <w:rFonts w:ascii="Times New Roman" w:hAnsi="Times New Roman"/>
          <w:sz w:val="24"/>
          <w:szCs w:val="24"/>
          <w:lang w:val="en-US" w:eastAsia="de-DE"/>
        </w:rPr>
        <w:t>66</w:t>
      </w:r>
      <w:r w:rsidR="00D64DF1" w:rsidRPr="00683D62">
        <w:rPr>
          <w:rFonts w:ascii="Times New Roman" w:hAnsi="Times New Roman"/>
          <w:sz w:val="24"/>
          <w:szCs w:val="24"/>
          <w:lang w:val="en-US" w:eastAsia="de-DE"/>
        </w:rPr>
        <w:t xml:space="preserve"> girls</w:t>
      </w:r>
      <w:r w:rsidR="00F20CC7" w:rsidRPr="00683D62">
        <w:rPr>
          <w:rFonts w:ascii="Times New Roman" w:hAnsi="Times New Roman"/>
          <w:sz w:val="24"/>
          <w:szCs w:val="24"/>
          <w:lang w:val="en-US" w:eastAsia="de-DE"/>
        </w:rPr>
        <w:t>)</w:t>
      </w:r>
      <w:r w:rsidR="00B06F5C" w:rsidRPr="00683D62">
        <w:rPr>
          <w:rFonts w:ascii="Times New Roman" w:hAnsi="Times New Roman"/>
          <w:sz w:val="24"/>
          <w:szCs w:val="24"/>
          <w:lang w:val="en-US" w:eastAsia="de-DE"/>
        </w:rPr>
        <w:t xml:space="preserve">, and </w:t>
      </w:r>
      <w:r w:rsidR="00E111F6" w:rsidRPr="00683D62">
        <w:rPr>
          <w:rFonts w:ascii="Times New Roman" w:hAnsi="Times New Roman"/>
          <w:sz w:val="24"/>
          <w:szCs w:val="24"/>
          <w:lang w:val="en-US" w:eastAsia="de-DE"/>
        </w:rPr>
        <w:t>TPOA</w:t>
      </w:r>
      <w:r w:rsidR="009379D1" w:rsidRPr="00683D62">
        <w:rPr>
          <w:rFonts w:ascii="Times New Roman" w:hAnsi="Times New Roman"/>
          <w:sz w:val="24"/>
          <w:szCs w:val="24"/>
          <w:lang w:val="en-US" w:eastAsia="de-DE"/>
        </w:rPr>
        <w:t xml:space="preserve"> </w:t>
      </w:r>
      <w:r w:rsidR="00F20CC7" w:rsidRPr="00683D62">
        <w:rPr>
          <w:rFonts w:ascii="Times New Roman" w:hAnsi="Times New Roman"/>
          <w:sz w:val="24"/>
          <w:szCs w:val="24"/>
          <w:lang w:val="en-US" w:eastAsia="de-DE"/>
        </w:rPr>
        <w:t xml:space="preserve">(n = </w:t>
      </w:r>
      <w:r w:rsidR="00D64DF1" w:rsidRPr="00683D62">
        <w:rPr>
          <w:rFonts w:ascii="Times New Roman" w:hAnsi="Times New Roman"/>
          <w:sz w:val="24"/>
          <w:szCs w:val="24"/>
          <w:lang w:val="en-US" w:eastAsia="de-DE"/>
        </w:rPr>
        <w:t>2</w:t>
      </w:r>
      <w:r w:rsidR="00F37803" w:rsidRPr="00683D62">
        <w:rPr>
          <w:rFonts w:ascii="Times New Roman" w:hAnsi="Times New Roman"/>
          <w:sz w:val="24"/>
          <w:szCs w:val="24"/>
          <w:lang w:val="en-US" w:eastAsia="de-DE"/>
        </w:rPr>
        <w:t>41</w:t>
      </w:r>
      <w:r w:rsidR="00EA5228" w:rsidRPr="00683D62">
        <w:rPr>
          <w:rFonts w:ascii="Times New Roman" w:hAnsi="Times New Roman"/>
          <w:sz w:val="24"/>
          <w:szCs w:val="24"/>
          <w:lang w:val="en-US" w:eastAsia="de-DE"/>
        </w:rPr>
        <w:t>1</w:t>
      </w:r>
      <w:r w:rsidR="00D64DF1" w:rsidRPr="00683D62">
        <w:rPr>
          <w:rFonts w:ascii="Times New Roman" w:hAnsi="Times New Roman"/>
          <w:sz w:val="24"/>
          <w:szCs w:val="24"/>
          <w:lang w:val="en-US" w:eastAsia="de-DE"/>
        </w:rPr>
        <w:t xml:space="preserve">, </w:t>
      </w:r>
      <w:r w:rsidR="004B5C83">
        <w:rPr>
          <w:rFonts w:ascii="Times New Roman" w:hAnsi="Times New Roman"/>
          <w:sz w:val="24"/>
          <w:szCs w:val="24"/>
          <w:lang w:val="en-US" w:eastAsia="de-DE"/>
        </w:rPr>
        <w:t>1172</w:t>
      </w:r>
      <w:r w:rsidR="00D64DF1" w:rsidRPr="00683D62">
        <w:rPr>
          <w:rFonts w:ascii="Times New Roman" w:hAnsi="Times New Roman"/>
          <w:sz w:val="24"/>
          <w:szCs w:val="24"/>
          <w:lang w:val="en-US" w:eastAsia="de-DE"/>
        </w:rPr>
        <w:t xml:space="preserve"> girls</w:t>
      </w:r>
      <w:r w:rsidR="00F20CC7" w:rsidRPr="00683D62">
        <w:rPr>
          <w:rFonts w:ascii="Times New Roman" w:hAnsi="Times New Roman"/>
          <w:sz w:val="24"/>
          <w:szCs w:val="24"/>
          <w:lang w:val="en-US" w:eastAsia="de-DE"/>
        </w:rPr>
        <w:t xml:space="preserve">) </w:t>
      </w:r>
      <w:r w:rsidR="00F14911" w:rsidRPr="00683D62">
        <w:rPr>
          <w:rFonts w:ascii="Times New Roman" w:hAnsi="Times New Roman"/>
          <w:sz w:val="24"/>
          <w:szCs w:val="24"/>
          <w:lang w:val="en-US" w:eastAsia="de-DE"/>
        </w:rPr>
        <w:t>at scheduled visits.</w:t>
      </w:r>
      <w:r w:rsidR="00AF3C20"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Of these</w:t>
      </w:r>
      <w:r w:rsidR="00C9329C" w:rsidRPr="00683D62">
        <w:rPr>
          <w:rFonts w:ascii="Times New Roman" w:hAnsi="Times New Roman"/>
          <w:sz w:val="24"/>
          <w:szCs w:val="24"/>
          <w:lang w:val="en-US" w:eastAsia="de-DE"/>
        </w:rPr>
        <w:t xml:space="preserve"> children</w:t>
      </w:r>
      <w:r w:rsidRPr="00683D62">
        <w:rPr>
          <w:rFonts w:ascii="Times New Roman" w:hAnsi="Times New Roman"/>
          <w:sz w:val="24"/>
          <w:szCs w:val="24"/>
          <w:lang w:val="en-US" w:eastAsia="de-DE"/>
        </w:rPr>
        <w:t>,</w:t>
      </w:r>
      <w:r w:rsidR="00AF3C20" w:rsidRPr="00683D62">
        <w:rPr>
          <w:rFonts w:ascii="Times New Roman" w:hAnsi="Times New Roman"/>
          <w:sz w:val="24"/>
          <w:szCs w:val="24"/>
          <w:lang w:val="en-US" w:eastAsia="de-DE"/>
        </w:rPr>
        <w:t xml:space="preserve"> </w:t>
      </w:r>
      <w:r w:rsidR="00CC7267" w:rsidRPr="00683D62">
        <w:rPr>
          <w:rFonts w:ascii="Times New Roman" w:hAnsi="Times New Roman"/>
          <w:sz w:val="24"/>
          <w:szCs w:val="24"/>
          <w:lang w:val="en-US" w:eastAsia="de-DE"/>
        </w:rPr>
        <w:t>39</w:t>
      </w:r>
      <w:r w:rsidR="00F850AA" w:rsidRPr="00683D62">
        <w:rPr>
          <w:rFonts w:ascii="Times New Roman" w:hAnsi="Times New Roman"/>
          <w:sz w:val="24"/>
          <w:szCs w:val="24"/>
          <w:lang w:val="en-US" w:eastAsia="de-DE"/>
        </w:rPr>
        <w:t>4</w:t>
      </w:r>
      <w:r w:rsidRPr="00683D62">
        <w:rPr>
          <w:rFonts w:ascii="Times New Roman" w:hAnsi="Times New Roman"/>
          <w:sz w:val="24"/>
          <w:szCs w:val="24"/>
          <w:lang w:val="en-US" w:eastAsia="de-DE"/>
        </w:rPr>
        <w:t xml:space="preserve"> developed one o</w:t>
      </w:r>
      <w:r w:rsidR="009F7DD7" w:rsidRPr="00683D62">
        <w:rPr>
          <w:rFonts w:ascii="Times New Roman" w:hAnsi="Times New Roman"/>
          <w:sz w:val="24"/>
          <w:szCs w:val="24"/>
          <w:lang w:val="en-US" w:eastAsia="de-DE"/>
        </w:rPr>
        <w:t>r</w:t>
      </w:r>
      <w:r w:rsidRPr="00683D62">
        <w:rPr>
          <w:rFonts w:ascii="Times New Roman" w:hAnsi="Times New Roman"/>
          <w:sz w:val="24"/>
          <w:szCs w:val="24"/>
          <w:lang w:val="en-US" w:eastAsia="de-DE"/>
        </w:rPr>
        <w:t xml:space="preserve"> more autoantibodies</w:t>
      </w:r>
      <w:r w:rsidR="00264424" w:rsidRPr="00683D62">
        <w:rPr>
          <w:rFonts w:ascii="Times New Roman" w:hAnsi="Times New Roman"/>
          <w:sz w:val="24"/>
          <w:szCs w:val="24"/>
          <w:lang w:val="en-US" w:eastAsia="de-DE"/>
        </w:rPr>
        <w:t xml:space="preserve"> (</w:t>
      </w:r>
      <w:r w:rsidR="00613D24" w:rsidRPr="00683D62">
        <w:rPr>
          <w:rFonts w:ascii="Times New Roman" w:hAnsi="Times New Roman"/>
          <w:sz w:val="24"/>
          <w:szCs w:val="24"/>
          <w:lang w:val="en-US" w:eastAsia="de-DE"/>
        </w:rPr>
        <w:t xml:space="preserve">Table 1, </w:t>
      </w:r>
      <w:r w:rsidR="00C9329C" w:rsidRPr="00683D62">
        <w:rPr>
          <w:rFonts w:ascii="Times New Roman" w:hAnsi="Times New Roman"/>
          <w:sz w:val="24"/>
          <w:szCs w:val="24"/>
          <w:lang w:val="en-US" w:eastAsia="de-DE"/>
        </w:rPr>
        <w:t xml:space="preserve">Figure </w:t>
      </w:r>
      <w:r w:rsidR="006858F4" w:rsidRPr="00683D62">
        <w:rPr>
          <w:rFonts w:ascii="Times New Roman" w:hAnsi="Times New Roman"/>
          <w:sz w:val="24"/>
          <w:szCs w:val="24"/>
          <w:lang w:val="en-US" w:eastAsia="de-DE"/>
        </w:rPr>
        <w:t>S</w:t>
      </w:r>
      <w:r w:rsidR="00264424" w:rsidRPr="00683D62">
        <w:rPr>
          <w:rFonts w:ascii="Times New Roman" w:hAnsi="Times New Roman"/>
          <w:sz w:val="24"/>
          <w:szCs w:val="24"/>
          <w:lang w:val="en-US" w:eastAsia="de-DE"/>
        </w:rPr>
        <w:t>1)</w:t>
      </w:r>
      <w:r w:rsidRPr="00683D62">
        <w:rPr>
          <w:rFonts w:ascii="Times New Roman" w:hAnsi="Times New Roman"/>
          <w:sz w:val="24"/>
          <w:szCs w:val="24"/>
          <w:lang w:val="en-US" w:eastAsia="de-DE"/>
        </w:rPr>
        <w:t xml:space="preserve">, including </w:t>
      </w:r>
      <w:r w:rsidR="00F850AA" w:rsidRPr="00683D62">
        <w:rPr>
          <w:rFonts w:ascii="Times New Roman" w:hAnsi="Times New Roman"/>
          <w:sz w:val="24"/>
          <w:szCs w:val="24"/>
          <w:lang w:val="en-US" w:eastAsia="de-DE"/>
        </w:rPr>
        <w:t xml:space="preserve">165 </w:t>
      </w:r>
      <w:r w:rsidR="00AF3C20" w:rsidRPr="00683D62">
        <w:rPr>
          <w:rFonts w:ascii="Times New Roman" w:hAnsi="Times New Roman"/>
          <w:sz w:val="24"/>
          <w:szCs w:val="24"/>
          <w:lang w:val="en-US" w:eastAsia="de-DE"/>
        </w:rPr>
        <w:t>(</w:t>
      </w:r>
      <w:r w:rsidR="00CE300E" w:rsidRPr="00683D62">
        <w:rPr>
          <w:rFonts w:ascii="Times New Roman" w:hAnsi="Times New Roman"/>
          <w:sz w:val="24"/>
          <w:szCs w:val="24"/>
          <w:lang w:val="en-US" w:eastAsia="de-DE"/>
        </w:rPr>
        <w:t>6</w:t>
      </w:r>
      <w:r w:rsidR="00A410C7" w:rsidRPr="00683D62">
        <w:rPr>
          <w:rFonts w:ascii="Times New Roman" w:hAnsi="Times New Roman"/>
          <w:sz w:val="24"/>
          <w:szCs w:val="24"/>
          <w:lang w:val="en-US" w:eastAsia="de-DE"/>
        </w:rPr>
        <w:t>.</w:t>
      </w:r>
      <w:r w:rsidR="00F850AA" w:rsidRPr="00683D62">
        <w:rPr>
          <w:rFonts w:ascii="Times New Roman" w:hAnsi="Times New Roman"/>
          <w:sz w:val="24"/>
          <w:szCs w:val="24"/>
          <w:lang w:val="en-US" w:eastAsia="de-DE"/>
        </w:rPr>
        <w:t>8</w:t>
      </w:r>
      <w:r w:rsidR="00AF3C20"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who </w:t>
      </w:r>
      <w:r w:rsidR="00AF3C20" w:rsidRPr="00683D62">
        <w:rPr>
          <w:rFonts w:ascii="Times New Roman" w:hAnsi="Times New Roman"/>
          <w:sz w:val="24"/>
          <w:szCs w:val="24"/>
          <w:lang w:val="en-US" w:eastAsia="de-DE"/>
        </w:rPr>
        <w:t xml:space="preserve">seroconverted to </w:t>
      </w:r>
      <w:r w:rsidR="00E111F6" w:rsidRPr="00683D62">
        <w:rPr>
          <w:rFonts w:ascii="Times New Roman" w:hAnsi="Times New Roman"/>
          <w:sz w:val="24"/>
          <w:szCs w:val="24"/>
          <w:lang w:val="en-US" w:eastAsia="de-DE"/>
        </w:rPr>
        <w:t>IA</w:t>
      </w:r>
      <w:r w:rsidR="00AF3C20" w:rsidRPr="00683D62">
        <w:rPr>
          <w:rFonts w:ascii="Times New Roman" w:hAnsi="Times New Roman"/>
          <w:sz w:val="24"/>
          <w:szCs w:val="24"/>
          <w:lang w:val="en-US" w:eastAsia="de-DE"/>
        </w:rPr>
        <w:t xml:space="preserve"> </w:t>
      </w:r>
      <w:r w:rsidR="00C9329C" w:rsidRPr="00683D62">
        <w:rPr>
          <w:rFonts w:ascii="Times New Roman" w:hAnsi="Times New Roman"/>
          <w:sz w:val="24"/>
          <w:szCs w:val="24"/>
          <w:lang w:val="en-US" w:eastAsia="de-DE"/>
        </w:rPr>
        <w:t xml:space="preserve">positivity </w:t>
      </w:r>
      <w:r w:rsidR="00AF3C20" w:rsidRPr="00683D62">
        <w:rPr>
          <w:rFonts w:ascii="Times New Roman" w:hAnsi="Times New Roman"/>
          <w:sz w:val="24"/>
          <w:szCs w:val="24"/>
          <w:lang w:val="en-US" w:eastAsia="de-DE"/>
        </w:rPr>
        <w:t>(</w:t>
      </w:r>
      <w:r w:rsidR="00A340DE" w:rsidRPr="00683D62">
        <w:rPr>
          <w:rFonts w:ascii="Times New Roman" w:hAnsi="Times New Roman"/>
          <w:sz w:val="24"/>
          <w:szCs w:val="24"/>
          <w:lang w:val="en-US" w:eastAsia="de-DE"/>
        </w:rPr>
        <w:t>76</w:t>
      </w:r>
      <w:r w:rsidR="00AF3C20" w:rsidRPr="00683D62">
        <w:rPr>
          <w:rFonts w:ascii="Times New Roman" w:hAnsi="Times New Roman"/>
          <w:sz w:val="24"/>
          <w:szCs w:val="24"/>
          <w:lang w:val="en-US" w:eastAsia="de-DE"/>
        </w:rPr>
        <w:t xml:space="preserve">; </w:t>
      </w:r>
      <w:r w:rsidR="0003020C" w:rsidRPr="00683D62">
        <w:rPr>
          <w:rFonts w:ascii="Times New Roman" w:hAnsi="Times New Roman"/>
          <w:sz w:val="24"/>
          <w:szCs w:val="24"/>
          <w:lang w:val="en-US" w:eastAsia="de-DE"/>
        </w:rPr>
        <w:t>46</w:t>
      </w:r>
      <w:r w:rsidR="00A410C7" w:rsidRPr="00683D62">
        <w:rPr>
          <w:rFonts w:ascii="Times New Roman" w:hAnsi="Times New Roman"/>
          <w:sz w:val="24"/>
          <w:szCs w:val="24"/>
          <w:lang w:val="en-US"/>
        </w:rPr>
        <w:t>.</w:t>
      </w:r>
      <w:r w:rsidR="00F850AA" w:rsidRPr="00683D62">
        <w:rPr>
          <w:rFonts w:ascii="Times New Roman" w:hAnsi="Times New Roman"/>
          <w:sz w:val="24"/>
          <w:szCs w:val="24"/>
          <w:lang w:val="en-US" w:eastAsia="de-DE"/>
        </w:rPr>
        <w:t>1</w:t>
      </w:r>
      <w:r w:rsidR="00AF3C20" w:rsidRPr="00683D62">
        <w:rPr>
          <w:rFonts w:ascii="Times New Roman" w:hAnsi="Times New Roman"/>
          <w:sz w:val="24"/>
          <w:szCs w:val="24"/>
          <w:lang w:val="en-US" w:eastAsia="de-DE"/>
        </w:rPr>
        <w:t xml:space="preserve">% girls), </w:t>
      </w:r>
      <w:r w:rsidR="00CC7267" w:rsidRPr="00683D62">
        <w:rPr>
          <w:rFonts w:ascii="Times New Roman" w:hAnsi="Times New Roman"/>
          <w:sz w:val="24"/>
          <w:szCs w:val="24"/>
          <w:lang w:val="en-US" w:eastAsia="de-DE"/>
        </w:rPr>
        <w:t>11</w:t>
      </w:r>
      <w:r w:rsidR="00F850AA" w:rsidRPr="00683D62">
        <w:rPr>
          <w:rFonts w:ascii="Times New Roman" w:hAnsi="Times New Roman"/>
          <w:sz w:val="24"/>
          <w:szCs w:val="24"/>
          <w:lang w:val="en-US" w:eastAsia="de-DE"/>
        </w:rPr>
        <w:t>7</w:t>
      </w:r>
      <w:r w:rsidR="00CE300E" w:rsidRPr="00683D62">
        <w:rPr>
          <w:rFonts w:ascii="Times New Roman" w:hAnsi="Times New Roman"/>
          <w:sz w:val="24"/>
          <w:szCs w:val="24"/>
          <w:lang w:val="en-US" w:eastAsia="de-DE"/>
        </w:rPr>
        <w:t xml:space="preserve"> </w:t>
      </w:r>
      <w:r w:rsidR="00AF3C20" w:rsidRPr="00683D62">
        <w:rPr>
          <w:rFonts w:ascii="Times New Roman" w:hAnsi="Times New Roman"/>
          <w:sz w:val="24"/>
          <w:szCs w:val="24"/>
          <w:lang w:val="en-US" w:eastAsia="de-DE"/>
        </w:rPr>
        <w:t>(</w:t>
      </w:r>
      <w:r w:rsidR="00F37803" w:rsidRPr="00683D62">
        <w:rPr>
          <w:rFonts w:ascii="Times New Roman" w:hAnsi="Times New Roman"/>
          <w:sz w:val="24"/>
          <w:szCs w:val="24"/>
          <w:lang w:val="en-US" w:eastAsia="de-DE"/>
        </w:rPr>
        <w:t>4.9</w:t>
      </w:r>
      <w:r w:rsidR="00AF3C20" w:rsidRPr="00683D62">
        <w:rPr>
          <w:rFonts w:ascii="Times New Roman" w:hAnsi="Times New Roman"/>
          <w:sz w:val="24"/>
          <w:szCs w:val="24"/>
          <w:lang w:val="en-US" w:eastAsia="de-DE"/>
        </w:rPr>
        <w:t xml:space="preserve">%) to TGA </w:t>
      </w:r>
      <w:r w:rsidR="00C9329C" w:rsidRPr="00683D62">
        <w:rPr>
          <w:rFonts w:ascii="Times New Roman" w:hAnsi="Times New Roman"/>
          <w:sz w:val="24"/>
          <w:szCs w:val="24"/>
          <w:lang w:val="en-US" w:eastAsia="de-DE"/>
        </w:rPr>
        <w:t xml:space="preserve">positivity </w:t>
      </w:r>
      <w:r w:rsidR="00AF3C20" w:rsidRPr="00683D62">
        <w:rPr>
          <w:rFonts w:ascii="Times New Roman" w:hAnsi="Times New Roman"/>
          <w:sz w:val="24"/>
          <w:szCs w:val="24"/>
          <w:lang w:val="en-US" w:eastAsia="de-DE"/>
        </w:rPr>
        <w:t>(</w:t>
      </w:r>
      <w:r w:rsidR="00CC7267" w:rsidRPr="00683D62">
        <w:rPr>
          <w:rFonts w:ascii="Times New Roman" w:hAnsi="Times New Roman"/>
          <w:sz w:val="24"/>
          <w:szCs w:val="24"/>
          <w:lang w:val="en-US" w:eastAsia="de-DE"/>
        </w:rPr>
        <w:t>7</w:t>
      </w:r>
      <w:r w:rsidR="00520C50" w:rsidRPr="00683D62">
        <w:rPr>
          <w:rFonts w:ascii="Times New Roman" w:hAnsi="Times New Roman"/>
          <w:sz w:val="24"/>
          <w:szCs w:val="24"/>
          <w:lang w:val="en-US" w:eastAsia="de-DE"/>
        </w:rPr>
        <w:t>2</w:t>
      </w:r>
      <w:r w:rsidR="00AF3C20" w:rsidRPr="00683D62">
        <w:rPr>
          <w:rFonts w:ascii="Times New Roman" w:hAnsi="Times New Roman"/>
          <w:sz w:val="24"/>
          <w:szCs w:val="24"/>
          <w:lang w:val="en-US" w:eastAsia="de-DE"/>
        </w:rPr>
        <w:t xml:space="preserve">; </w:t>
      </w:r>
      <w:r w:rsidR="00CC7267" w:rsidRPr="00683D62">
        <w:rPr>
          <w:rFonts w:ascii="Times New Roman" w:hAnsi="Times New Roman"/>
          <w:sz w:val="24"/>
          <w:szCs w:val="24"/>
          <w:lang w:val="en-US" w:eastAsia="de-DE"/>
        </w:rPr>
        <w:t>6</w:t>
      </w:r>
      <w:r w:rsidR="00520C50" w:rsidRPr="00683D62">
        <w:rPr>
          <w:rFonts w:ascii="Times New Roman" w:hAnsi="Times New Roman"/>
          <w:sz w:val="24"/>
          <w:szCs w:val="24"/>
          <w:lang w:val="en-US" w:eastAsia="de-DE"/>
        </w:rPr>
        <w:t>1</w:t>
      </w:r>
      <w:r w:rsidR="00A410C7" w:rsidRPr="00683D62">
        <w:rPr>
          <w:rFonts w:ascii="Calibri Light" w:hAnsi="Calibri Light" w:cs="Calibri Light"/>
          <w:lang w:val="en-US"/>
        </w:rPr>
        <w:t>.</w:t>
      </w:r>
      <w:r w:rsidR="00520C50" w:rsidRPr="00683D62">
        <w:rPr>
          <w:rFonts w:ascii="Times New Roman" w:hAnsi="Times New Roman"/>
          <w:sz w:val="24"/>
          <w:szCs w:val="24"/>
          <w:lang w:val="en-US" w:eastAsia="de-DE"/>
        </w:rPr>
        <w:t>5</w:t>
      </w:r>
      <w:r w:rsidR="00AF3C20" w:rsidRPr="00683D62">
        <w:rPr>
          <w:rFonts w:ascii="Times New Roman" w:hAnsi="Times New Roman"/>
          <w:sz w:val="24"/>
          <w:szCs w:val="24"/>
          <w:lang w:val="en-US" w:eastAsia="de-DE"/>
        </w:rPr>
        <w:t xml:space="preserve">% girls), and </w:t>
      </w:r>
      <w:r w:rsidR="00CC7267" w:rsidRPr="00683D62">
        <w:rPr>
          <w:rFonts w:ascii="Times New Roman" w:hAnsi="Times New Roman"/>
          <w:sz w:val="24"/>
          <w:szCs w:val="24"/>
          <w:lang w:val="en-US" w:eastAsia="de-DE"/>
        </w:rPr>
        <w:t>15</w:t>
      </w:r>
      <w:r w:rsidR="00F850AA" w:rsidRPr="00683D62">
        <w:rPr>
          <w:rFonts w:ascii="Times New Roman" w:hAnsi="Times New Roman"/>
          <w:sz w:val="24"/>
          <w:szCs w:val="24"/>
          <w:lang w:val="en-US" w:eastAsia="de-DE"/>
        </w:rPr>
        <w:t>4</w:t>
      </w:r>
      <w:r w:rsidR="00AF3C20" w:rsidRPr="00683D62">
        <w:rPr>
          <w:rFonts w:ascii="Times New Roman" w:hAnsi="Times New Roman"/>
          <w:sz w:val="24"/>
          <w:szCs w:val="24"/>
          <w:lang w:val="en-US" w:eastAsia="de-DE"/>
        </w:rPr>
        <w:t xml:space="preserve"> </w:t>
      </w:r>
      <w:r w:rsidR="00CE300E" w:rsidRPr="00683D62">
        <w:rPr>
          <w:rFonts w:ascii="Times New Roman" w:hAnsi="Times New Roman"/>
          <w:sz w:val="24"/>
          <w:szCs w:val="24"/>
          <w:lang w:val="en-US" w:eastAsia="de-DE"/>
        </w:rPr>
        <w:t>(</w:t>
      </w:r>
      <w:r w:rsidR="0060126C" w:rsidRPr="00683D62">
        <w:rPr>
          <w:rFonts w:ascii="Times New Roman" w:hAnsi="Times New Roman"/>
          <w:sz w:val="24"/>
          <w:szCs w:val="24"/>
          <w:lang w:val="en-US" w:eastAsia="de-DE"/>
        </w:rPr>
        <w:t>6</w:t>
      </w:r>
      <w:r w:rsidR="00A410C7" w:rsidRPr="00683D62">
        <w:rPr>
          <w:rFonts w:ascii="Calibri Light" w:hAnsi="Calibri Light" w:cs="Calibri Light"/>
          <w:lang w:val="en-US"/>
        </w:rPr>
        <w:t>.</w:t>
      </w:r>
      <w:r w:rsidR="00F37803" w:rsidRPr="00683D62">
        <w:rPr>
          <w:rFonts w:ascii="Times New Roman" w:hAnsi="Times New Roman"/>
          <w:sz w:val="24"/>
          <w:szCs w:val="24"/>
          <w:lang w:val="en-US" w:eastAsia="de-DE"/>
        </w:rPr>
        <w:t>4</w:t>
      </w:r>
      <w:r w:rsidRPr="00683D62">
        <w:rPr>
          <w:rFonts w:ascii="Times New Roman" w:hAnsi="Times New Roman"/>
          <w:sz w:val="24"/>
          <w:szCs w:val="24"/>
          <w:lang w:val="en-US" w:eastAsia="de-DE"/>
        </w:rPr>
        <w:t>%</w:t>
      </w:r>
      <w:r w:rsidR="00AF3C20" w:rsidRPr="00683D62">
        <w:rPr>
          <w:rFonts w:ascii="Times New Roman" w:hAnsi="Times New Roman"/>
          <w:sz w:val="24"/>
          <w:szCs w:val="24"/>
          <w:lang w:val="en-US" w:eastAsia="de-DE"/>
        </w:rPr>
        <w:t>) to TPO</w:t>
      </w:r>
      <w:r w:rsidR="00E111F6" w:rsidRPr="00683D62">
        <w:rPr>
          <w:rFonts w:ascii="Times New Roman" w:hAnsi="Times New Roman"/>
          <w:sz w:val="24"/>
          <w:szCs w:val="24"/>
          <w:lang w:val="en-US" w:eastAsia="de-DE"/>
        </w:rPr>
        <w:t xml:space="preserve">A </w:t>
      </w:r>
      <w:r w:rsidR="00C9329C" w:rsidRPr="00683D62">
        <w:rPr>
          <w:rFonts w:ascii="Times New Roman" w:hAnsi="Times New Roman"/>
          <w:sz w:val="24"/>
          <w:szCs w:val="24"/>
          <w:lang w:val="en-US" w:eastAsia="de-DE"/>
        </w:rPr>
        <w:t xml:space="preserve">positivity </w:t>
      </w:r>
      <w:r w:rsidR="00AF3C20" w:rsidRPr="00683D62">
        <w:rPr>
          <w:rFonts w:ascii="Times New Roman" w:hAnsi="Times New Roman"/>
          <w:sz w:val="24"/>
          <w:szCs w:val="24"/>
          <w:lang w:val="en-US" w:eastAsia="de-DE"/>
        </w:rPr>
        <w:t>(</w:t>
      </w:r>
      <w:r w:rsidR="00CC7267" w:rsidRPr="00683D62">
        <w:rPr>
          <w:rFonts w:ascii="Times New Roman" w:hAnsi="Times New Roman"/>
          <w:sz w:val="24"/>
          <w:szCs w:val="24"/>
          <w:lang w:val="en-US" w:eastAsia="de-DE"/>
        </w:rPr>
        <w:t>10</w:t>
      </w:r>
      <w:r w:rsidR="00F850AA" w:rsidRPr="00683D62">
        <w:rPr>
          <w:rFonts w:ascii="Times New Roman" w:hAnsi="Times New Roman"/>
          <w:sz w:val="24"/>
          <w:szCs w:val="24"/>
          <w:lang w:val="en-US" w:eastAsia="de-DE"/>
        </w:rPr>
        <w:t>7</w:t>
      </w:r>
      <w:r w:rsidR="00AF3C20" w:rsidRPr="00683D62">
        <w:rPr>
          <w:rFonts w:ascii="Times New Roman" w:hAnsi="Times New Roman"/>
          <w:sz w:val="24"/>
          <w:szCs w:val="24"/>
          <w:lang w:val="en-US" w:eastAsia="de-DE"/>
        </w:rPr>
        <w:t xml:space="preserve">; </w:t>
      </w:r>
      <w:r w:rsidR="0060126C" w:rsidRPr="00683D62">
        <w:rPr>
          <w:rFonts w:ascii="Times New Roman" w:hAnsi="Times New Roman"/>
          <w:sz w:val="24"/>
          <w:szCs w:val="24"/>
          <w:lang w:val="en-US" w:eastAsia="de-DE"/>
        </w:rPr>
        <w:t>6</w:t>
      </w:r>
      <w:r w:rsidR="00F850AA" w:rsidRPr="00683D62">
        <w:rPr>
          <w:rFonts w:ascii="Times New Roman" w:hAnsi="Times New Roman"/>
          <w:sz w:val="24"/>
          <w:szCs w:val="24"/>
          <w:lang w:val="en-US" w:eastAsia="de-DE"/>
        </w:rPr>
        <w:t>9</w:t>
      </w:r>
      <w:r w:rsidR="00A410C7" w:rsidRPr="00683D62">
        <w:rPr>
          <w:rFonts w:ascii="Calibri Light" w:hAnsi="Calibri Light" w:cs="Calibri Light"/>
          <w:lang w:val="en-US"/>
        </w:rPr>
        <w:t>.</w:t>
      </w:r>
      <w:r w:rsidR="00F850AA" w:rsidRPr="00683D62">
        <w:rPr>
          <w:rFonts w:ascii="Times New Roman" w:hAnsi="Times New Roman"/>
          <w:sz w:val="24"/>
          <w:szCs w:val="24"/>
          <w:lang w:val="en-US" w:eastAsia="de-DE"/>
        </w:rPr>
        <w:t>5</w:t>
      </w:r>
      <w:r w:rsidR="00AF3C20" w:rsidRPr="00683D62">
        <w:rPr>
          <w:rFonts w:ascii="Times New Roman" w:hAnsi="Times New Roman"/>
          <w:sz w:val="24"/>
          <w:szCs w:val="24"/>
          <w:lang w:val="en-US" w:eastAsia="de-DE"/>
        </w:rPr>
        <w:t>% girls)</w:t>
      </w:r>
      <w:r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This included</w:t>
      </w:r>
      <w:r w:rsidRPr="00683D62">
        <w:rPr>
          <w:rFonts w:ascii="Times New Roman" w:hAnsi="Times New Roman"/>
          <w:sz w:val="24"/>
          <w:szCs w:val="24"/>
          <w:lang w:val="en-US" w:eastAsia="de-DE"/>
        </w:rPr>
        <w:t xml:space="preserve"> </w:t>
      </w:r>
      <w:r w:rsidR="00E87454" w:rsidRPr="00683D62">
        <w:rPr>
          <w:rFonts w:ascii="Times New Roman" w:hAnsi="Times New Roman"/>
          <w:sz w:val="24"/>
          <w:szCs w:val="24"/>
          <w:lang w:val="en-US" w:eastAsia="de-DE"/>
        </w:rPr>
        <w:t>41</w:t>
      </w:r>
      <w:r w:rsidRPr="00683D62">
        <w:rPr>
          <w:rFonts w:ascii="Times New Roman" w:hAnsi="Times New Roman"/>
          <w:sz w:val="24"/>
          <w:szCs w:val="24"/>
          <w:lang w:val="en-US" w:eastAsia="de-DE"/>
        </w:rPr>
        <w:t xml:space="preserve"> children</w:t>
      </w:r>
      <w:r w:rsidR="00D64DF1" w:rsidRPr="00683D62">
        <w:rPr>
          <w:rFonts w:ascii="Times New Roman" w:hAnsi="Times New Roman"/>
          <w:sz w:val="24"/>
          <w:szCs w:val="24"/>
          <w:lang w:val="en-US" w:eastAsia="de-DE"/>
        </w:rPr>
        <w:t xml:space="preserve"> (29 girls)</w:t>
      </w:r>
      <w:r w:rsidRPr="00683D62">
        <w:rPr>
          <w:rFonts w:ascii="Times New Roman" w:hAnsi="Times New Roman"/>
          <w:sz w:val="24"/>
          <w:szCs w:val="24"/>
          <w:lang w:val="en-US" w:eastAsia="de-DE"/>
        </w:rPr>
        <w:t xml:space="preserve"> </w:t>
      </w:r>
      <w:r w:rsidR="00C9329C" w:rsidRPr="00683D62">
        <w:rPr>
          <w:rFonts w:ascii="Times New Roman" w:hAnsi="Times New Roman"/>
          <w:sz w:val="24"/>
          <w:szCs w:val="24"/>
          <w:lang w:val="en-US" w:eastAsia="de-DE"/>
        </w:rPr>
        <w:t xml:space="preserve">who </w:t>
      </w:r>
      <w:r w:rsidRPr="00683D62">
        <w:rPr>
          <w:rFonts w:ascii="Times New Roman" w:hAnsi="Times New Roman"/>
          <w:sz w:val="24"/>
          <w:szCs w:val="24"/>
          <w:lang w:val="en-US" w:eastAsia="de-DE"/>
        </w:rPr>
        <w:t xml:space="preserve">developed autoantibodies </w:t>
      </w:r>
      <w:r w:rsidR="00C9329C" w:rsidRPr="00683D62">
        <w:rPr>
          <w:rFonts w:ascii="Times New Roman" w:hAnsi="Times New Roman"/>
          <w:sz w:val="24"/>
          <w:szCs w:val="24"/>
          <w:lang w:val="en-US" w:eastAsia="de-DE"/>
        </w:rPr>
        <w:t xml:space="preserve">associated with </w:t>
      </w:r>
      <w:r w:rsidRPr="00683D62">
        <w:rPr>
          <w:rFonts w:ascii="Times New Roman" w:hAnsi="Times New Roman"/>
          <w:sz w:val="24"/>
          <w:szCs w:val="24"/>
          <w:lang w:val="en-US" w:eastAsia="de-DE"/>
        </w:rPr>
        <w:t xml:space="preserve">multiple </w:t>
      </w:r>
      <w:r w:rsidR="009379D1" w:rsidRPr="00683D62">
        <w:rPr>
          <w:rFonts w:ascii="Times New Roman" w:hAnsi="Times New Roman"/>
          <w:sz w:val="24"/>
          <w:szCs w:val="24"/>
          <w:lang w:val="en-US" w:eastAsia="de-DE"/>
        </w:rPr>
        <w:t>diseases</w:t>
      </w:r>
      <w:r w:rsidRPr="00683D62">
        <w:rPr>
          <w:rFonts w:ascii="Times New Roman" w:hAnsi="Times New Roman"/>
          <w:sz w:val="24"/>
          <w:szCs w:val="24"/>
          <w:lang w:val="en-US" w:eastAsia="de-DE"/>
        </w:rPr>
        <w:t xml:space="preserve"> (</w:t>
      </w:r>
      <w:r w:rsidR="00C9329C" w:rsidRPr="00683D62">
        <w:rPr>
          <w:rFonts w:ascii="Times New Roman" w:hAnsi="Times New Roman"/>
          <w:sz w:val="24"/>
          <w:szCs w:val="24"/>
          <w:lang w:val="en-US" w:eastAsia="de-DE"/>
        </w:rPr>
        <w:t xml:space="preserve">six with </w:t>
      </w:r>
      <w:r w:rsidR="00E111F6" w:rsidRPr="00683D62">
        <w:rPr>
          <w:rFonts w:ascii="Times New Roman" w:hAnsi="Times New Roman"/>
          <w:sz w:val="24"/>
          <w:szCs w:val="24"/>
          <w:lang w:val="en-US" w:eastAsia="de-DE"/>
        </w:rPr>
        <w:t>IA</w:t>
      </w:r>
      <w:r w:rsidRPr="00683D62">
        <w:rPr>
          <w:rFonts w:ascii="Times New Roman" w:hAnsi="Times New Roman"/>
          <w:sz w:val="24"/>
          <w:szCs w:val="24"/>
          <w:lang w:val="en-US" w:eastAsia="de-DE"/>
        </w:rPr>
        <w:t xml:space="preserve"> and TGA, </w:t>
      </w:r>
      <w:r w:rsidR="00F850AA" w:rsidRPr="00683D62">
        <w:rPr>
          <w:rFonts w:ascii="Times New Roman" w:hAnsi="Times New Roman"/>
          <w:sz w:val="24"/>
          <w:szCs w:val="24"/>
          <w:lang w:val="en-US" w:eastAsia="de-DE"/>
        </w:rPr>
        <w:t>23</w:t>
      </w:r>
      <w:r w:rsidR="00C9329C" w:rsidRPr="00683D62">
        <w:rPr>
          <w:rFonts w:ascii="Times New Roman" w:hAnsi="Times New Roman"/>
          <w:sz w:val="24"/>
          <w:szCs w:val="24"/>
          <w:lang w:val="en-US" w:eastAsia="de-DE"/>
        </w:rPr>
        <w:t xml:space="preserve"> with</w:t>
      </w:r>
      <w:r w:rsidR="00F850AA"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F850AA" w:rsidRPr="00683D62">
        <w:rPr>
          <w:rFonts w:ascii="Times New Roman" w:hAnsi="Times New Roman"/>
          <w:sz w:val="24"/>
          <w:szCs w:val="24"/>
          <w:lang w:val="en-US" w:eastAsia="de-DE"/>
        </w:rPr>
        <w:t xml:space="preserve"> and TPO</w:t>
      </w:r>
      <w:r w:rsidR="00E111F6" w:rsidRPr="00683D62">
        <w:rPr>
          <w:rFonts w:ascii="Times New Roman" w:hAnsi="Times New Roman"/>
          <w:sz w:val="24"/>
          <w:szCs w:val="24"/>
          <w:lang w:val="en-US" w:eastAsia="de-DE"/>
        </w:rPr>
        <w:t>A</w:t>
      </w:r>
      <w:r w:rsidR="00F850AA" w:rsidRPr="00683D62">
        <w:rPr>
          <w:rFonts w:ascii="Times New Roman" w:hAnsi="Times New Roman"/>
          <w:sz w:val="24"/>
          <w:szCs w:val="24"/>
          <w:lang w:val="en-US" w:eastAsia="de-DE"/>
        </w:rPr>
        <w:t xml:space="preserve">, </w:t>
      </w:r>
      <w:r w:rsidR="00BD1C44" w:rsidRPr="00683D62">
        <w:rPr>
          <w:rFonts w:ascii="Times New Roman" w:hAnsi="Times New Roman"/>
          <w:sz w:val="24"/>
          <w:szCs w:val="24"/>
          <w:lang w:val="en-US" w:eastAsia="de-DE"/>
        </w:rPr>
        <w:t>11</w:t>
      </w:r>
      <w:r w:rsidR="00E111F6" w:rsidRPr="00683D62">
        <w:rPr>
          <w:rFonts w:ascii="Times New Roman" w:hAnsi="Times New Roman"/>
          <w:sz w:val="24"/>
          <w:szCs w:val="24"/>
          <w:lang w:val="en-US" w:eastAsia="de-DE"/>
        </w:rPr>
        <w:t xml:space="preserve"> </w:t>
      </w:r>
      <w:r w:rsidR="00C9329C" w:rsidRPr="00683D62">
        <w:rPr>
          <w:rFonts w:ascii="Times New Roman" w:hAnsi="Times New Roman"/>
          <w:sz w:val="24"/>
          <w:szCs w:val="24"/>
          <w:lang w:val="en-US" w:eastAsia="de-DE"/>
        </w:rPr>
        <w:t xml:space="preserve">with </w:t>
      </w:r>
      <w:r w:rsidR="00E111F6" w:rsidRPr="00683D62">
        <w:rPr>
          <w:rFonts w:ascii="Times New Roman" w:hAnsi="Times New Roman"/>
          <w:sz w:val="24"/>
          <w:szCs w:val="24"/>
          <w:lang w:val="en-US" w:eastAsia="de-DE"/>
        </w:rPr>
        <w:t>TGA</w:t>
      </w:r>
      <w:r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and TPOA</w:t>
      </w:r>
      <w:r w:rsidRPr="00683D62">
        <w:rPr>
          <w:rFonts w:ascii="Times New Roman" w:hAnsi="Times New Roman"/>
          <w:sz w:val="24"/>
          <w:szCs w:val="24"/>
          <w:lang w:val="en-US" w:eastAsia="de-DE"/>
        </w:rPr>
        <w:t xml:space="preserve">, and </w:t>
      </w:r>
      <w:r w:rsidR="00C9329C" w:rsidRPr="00683D62">
        <w:rPr>
          <w:rFonts w:ascii="Times New Roman" w:hAnsi="Times New Roman"/>
          <w:sz w:val="24"/>
          <w:szCs w:val="24"/>
          <w:lang w:val="en-US" w:eastAsia="de-DE"/>
        </w:rPr>
        <w:t xml:space="preserve">one with </w:t>
      </w:r>
      <w:r w:rsidR="00D27D4C" w:rsidRPr="00683D62">
        <w:rPr>
          <w:rFonts w:ascii="Times New Roman" w:hAnsi="Times New Roman"/>
          <w:sz w:val="24"/>
          <w:szCs w:val="24"/>
          <w:lang w:val="en-US" w:eastAsia="de-DE"/>
        </w:rPr>
        <w:t>IA, TGA</w:t>
      </w:r>
      <w:r w:rsidR="00C9329C" w:rsidRPr="00683D62">
        <w:rPr>
          <w:rFonts w:ascii="Times New Roman" w:hAnsi="Times New Roman"/>
          <w:sz w:val="24"/>
          <w:szCs w:val="24"/>
          <w:lang w:val="en-US" w:eastAsia="de-DE"/>
        </w:rPr>
        <w:t>,</w:t>
      </w:r>
      <w:r w:rsidR="00D27D4C" w:rsidRPr="00683D62">
        <w:rPr>
          <w:rFonts w:ascii="Times New Roman" w:hAnsi="Times New Roman"/>
          <w:sz w:val="24"/>
          <w:szCs w:val="24"/>
          <w:lang w:val="en-US" w:eastAsia="de-DE"/>
        </w:rPr>
        <w:t xml:space="preserve"> and TPOA</w:t>
      </w:r>
      <w:r w:rsidRPr="00683D62">
        <w:rPr>
          <w:rFonts w:ascii="Times New Roman" w:hAnsi="Times New Roman"/>
          <w:sz w:val="24"/>
          <w:szCs w:val="24"/>
          <w:lang w:val="en-US" w:eastAsia="de-DE"/>
        </w:rPr>
        <w:t>).</w:t>
      </w:r>
    </w:p>
    <w:p w14:paraId="3DAD23E2" w14:textId="19C6AE0F" w:rsidR="00B06F5C" w:rsidRPr="00683D62" w:rsidRDefault="00562FC9" w:rsidP="00B661B1">
      <w:pPr>
        <w:autoSpaceDE w:val="0"/>
        <w:autoSpaceDN w:val="0"/>
        <w:adjustRightInd w:val="0"/>
        <w:spacing w:after="0" w:line="480" w:lineRule="auto"/>
        <w:jc w:val="both"/>
        <w:rPr>
          <w:rFonts w:ascii="Times New Roman" w:hAnsi="Times New Roman"/>
          <w:i/>
          <w:sz w:val="24"/>
          <w:szCs w:val="24"/>
          <w:lang w:val="en-US" w:eastAsia="de-DE"/>
        </w:rPr>
      </w:pPr>
      <w:r w:rsidRPr="00683D62">
        <w:rPr>
          <w:rFonts w:ascii="Times New Roman" w:hAnsi="Times New Roman"/>
          <w:sz w:val="24"/>
          <w:szCs w:val="24"/>
          <w:lang w:val="en-US" w:eastAsia="de-DE"/>
        </w:rPr>
        <w:t>Of the 16</w:t>
      </w:r>
      <w:r w:rsidR="00F850AA" w:rsidRPr="00683D62">
        <w:rPr>
          <w:rFonts w:ascii="Times New Roman" w:hAnsi="Times New Roman"/>
          <w:sz w:val="24"/>
          <w:szCs w:val="24"/>
          <w:lang w:val="en-US" w:eastAsia="de-DE"/>
        </w:rPr>
        <w:t>5</w:t>
      </w:r>
      <w:r w:rsidRPr="00683D62">
        <w:rPr>
          <w:rFonts w:ascii="Times New Roman" w:hAnsi="Times New Roman"/>
          <w:sz w:val="24"/>
          <w:szCs w:val="24"/>
          <w:lang w:val="en-US" w:eastAsia="de-DE"/>
        </w:rPr>
        <w:t xml:space="preserve"> children with </w:t>
      </w:r>
      <w:r w:rsidR="00E111F6" w:rsidRPr="00683D62">
        <w:rPr>
          <w:rFonts w:ascii="Times New Roman" w:hAnsi="Times New Roman"/>
          <w:sz w:val="24"/>
          <w:szCs w:val="24"/>
          <w:lang w:val="en-US" w:eastAsia="de-DE"/>
        </w:rPr>
        <w:t>IA</w:t>
      </w:r>
      <w:r w:rsidRPr="00683D62">
        <w:rPr>
          <w:rFonts w:ascii="Times New Roman" w:hAnsi="Times New Roman"/>
          <w:sz w:val="24"/>
          <w:szCs w:val="24"/>
          <w:lang w:val="en-US" w:eastAsia="de-DE"/>
        </w:rPr>
        <w:t xml:space="preserve">, </w:t>
      </w:r>
      <w:r w:rsidR="00CE300E" w:rsidRPr="00683D62">
        <w:rPr>
          <w:rFonts w:ascii="Times New Roman" w:hAnsi="Times New Roman"/>
          <w:sz w:val="24"/>
          <w:szCs w:val="24"/>
          <w:lang w:val="en-US" w:eastAsia="de-DE"/>
        </w:rPr>
        <w:t>1</w:t>
      </w:r>
      <w:r w:rsidR="00F850AA" w:rsidRPr="00683D62">
        <w:rPr>
          <w:rFonts w:ascii="Times New Roman" w:hAnsi="Times New Roman"/>
          <w:sz w:val="24"/>
          <w:szCs w:val="24"/>
          <w:lang w:val="en-US" w:eastAsia="de-DE"/>
        </w:rPr>
        <w:t>28</w:t>
      </w:r>
      <w:r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77</w:t>
      </w:r>
      <w:r w:rsidR="00A410C7" w:rsidRPr="00683D62">
        <w:rPr>
          <w:rFonts w:ascii="Calibri Light" w:hAnsi="Calibri Light" w:cs="Calibri Light"/>
          <w:lang w:val="en-US"/>
        </w:rPr>
        <w:t>.</w:t>
      </w:r>
      <w:r w:rsidR="00F850AA" w:rsidRPr="00683D62">
        <w:rPr>
          <w:rFonts w:ascii="Times New Roman" w:hAnsi="Times New Roman"/>
          <w:sz w:val="24"/>
          <w:szCs w:val="24"/>
          <w:lang w:val="en-US" w:eastAsia="de-DE"/>
        </w:rPr>
        <w:t>6</w:t>
      </w:r>
      <w:r w:rsidRPr="00683D62">
        <w:rPr>
          <w:rFonts w:ascii="Times New Roman" w:hAnsi="Times New Roman"/>
          <w:sz w:val="24"/>
          <w:szCs w:val="24"/>
          <w:lang w:val="en-US" w:eastAsia="de-DE"/>
        </w:rPr>
        <w:t>%) developed multiple</w:t>
      </w:r>
      <w:r w:rsidR="00235BC1"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5C3D46"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 xml:space="preserve">23 </w:t>
      </w:r>
      <w:r w:rsidR="00C005F2" w:rsidRPr="00683D62">
        <w:rPr>
          <w:rFonts w:ascii="Times New Roman" w:hAnsi="Times New Roman"/>
          <w:sz w:val="24"/>
          <w:szCs w:val="24"/>
          <w:lang w:val="en-US" w:eastAsia="de-DE"/>
        </w:rPr>
        <w:t xml:space="preserve">developed </w:t>
      </w:r>
      <w:r w:rsidR="00F850AA" w:rsidRPr="00683D62">
        <w:rPr>
          <w:rFonts w:ascii="Times New Roman" w:hAnsi="Times New Roman"/>
          <w:sz w:val="24"/>
          <w:szCs w:val="24"/>
          <w:lang w:val="en-US" w:eastAsia="de-DE"/>
        </w:rPr>
        <w:t>two</w:t>
      </w:r>
      <w:r w:rsidR="00C005F2"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5C3D46" w:rsidRPr="00683D62">
        <w:rPr>
          <w:rFonts w:ascii="Times New Roman" w:hAnsi="Times New Roman"/>
          <w:sz w:val="24"/>
          <w:szCs w:val="24"/>
          <w:lang w:val="en-US" w:eastAsia="de-DE"/>
        </w:rPr>
        <w:t xml:space="preserve">, </w:t>
      </w:r>
      <w:r w:rsidR="0060126C" w:rsidRPr="00683D62">
        <w:rPr>
          <w:rFonts w:ascii="Times New Roman" w:hAnsi="Times New Roman"/>
          <w:sz w:val="24"/>
          <w:szCs w:val="24"/>
          <w:lang w:val="en-US" w:eastAsia="de-DE"/>
        </w:rPr>
        <w:t>4</w:t>
      </w:r>
      <w:r w:rsidR="00F850AA" w:rsidRPr="00683D62">
        <w:rPr>
          <w:rFonts w:ascii="Times New Roman" w:hAnsi="Times New Roman"/>
          <w:sz w:val="24"/>
          <w:szCs w:val="24"/>
          <w:lang w:val="en-US" w:eastAsia="de-DE"/>
        </w:rPr>
        <w:t>7</w:t>
      </w:r>
      <w:r w:rsidR="00CE300E" w:rsidRPr="00683D62">
        <w:rPr>
          <w:rFonts w:ascii="Times New Roman" w:hAnsi="Times New Roman"/>
          <w:sz w:val="24"/>
          <w:szCs w:val="24"/>
          <w:lang w:val="en-US" w:eastAsia="de-DE"/>
        </w:rPr>
        <w:t xml:space="preserve"> </w:t>
      </w:r>
      <w:r w:rsidR="00C005F2" w:rsidRPr="00683D62">
        <w:rPr>
          <w:rFonts w:ascii="Times New Roman" w:hAnsi="Times New Roman"/>
          <w:sz w:val="24"/>
          <w:szCs w:val="24"/>
          <w:lang w:val="en-US" w:eastAsia="de-DE"/>
        </w:rPr>
        <w:t>d</w:t>
      </w:r>
      <w:r w:rsidR="0060126C" w:rsidRPr="00683D62">
        <w:rPr>
          <w:rFonts w:ascii="Times New Roman" w:hAnsi="Times New Roman"/>
          <w:sz w:val="24"/>
          <w:szCs w:val="24"/>
          <w:lang w:val="en-US" w:eastAsia="de-DE"/>
        </w:rPr>
        <w:t xml:space="preserve">eveloped </w:t>
      </w:r>
      <w:r w:rsidR="00F850AA" w:rsidRPr="00683D62">
        <w:rPr>
          <w:rFonts w:ascii="Times New Roman" w:hAnsi="Times New Roman"/>
          <w:sz w:val="24"/>
          <w:szCs w:val="24"/>
          <w:lang w:val="en-US" w:eastAsia="de-DE"/>
        </w:rPr>
        <w:t>three</w:t>
      </w:r>
      <w:r w:rsidR="0060126C"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5C3D46" w:rsidRPr="00683D62">
        <w:rPr>
          <w:rFonts w:ascii="Times New Roman" w:hAnsi="Times New Roman"/>
          <w:sz w:val="24"/>
          <w:szCs w:val="24"/>
          <w:lang w:val="en-US" w:eastAsia="de-DE"/>
        </w:rPr>
        <w:t xml:space="preserve">, </w:t>
      </w:r>
      <w:r w:rsidR="00CE300E" w:rsidRPr="00683D62">
        <w:rPr>
          <w:rFonts w:ascii="Times New Roman" w:hAnsi="Times New Roman"/>
          <w:sz w:val="24"/>
          <w:szCs w:val="24"/>
          <w:lang w:val="en-US" w:eastAsia="de-DE"/>
        </w:rPr>
        <w:t>5</w:t>
      </w:r>
      <w:r w:rsidR="00F850AA" w:rsidRPr="00683D62">
        <w:rPr>
          <w:rFonts w:ascii="Times New Roman" w:hAnsi="Times New Roman"/>
          <w:sz w:val="24"/>
          <w:szCs w:val="24"/>
          <w:lang w:val="en-US" w:eastAsia="de-DE"/>
        </w:rPr>
        <w:t>8</w:t>
      </w:r>
      <w:r w:rsidR="00CE300E" w:rsidRPr="00683D62">
        <w:rPr>
          <w:rFonts w:ascii="Times New Roman" w:hAnsi="Times New Roman"/>
          <w:sz w:val="24"/>
          <w:szCs w:val="24"/>
          <w:lang w:val="en-US" w:eastAsia="de-DE"/>
        </w:rPr>
        <w:t xml:space="preserve"> </w:t>
      </w:r>
      <w:r w:rsidR="00C005F2" w:rsidRPr="00683D62">
        <w:rPr>
          <w:rFonts w:ascii="Times New Roman" w:hAnsi="Times New Roman"/>
          <w:sz w:val="24"/>
          <w:szCs w:val="24"/>
          <w:lang w:val="en-US" w:eastAsia="de-DE"/>
        </w:rPr>
        <w:t xml:space="preserve">developed </w:t>
      </w:r>
      <w:r w:rsidR="00F850AA" w:rsidRPr="00683D62">
        <w:rPr>
          <w:rFonts w:ascii="Times New Roman" w:hAnsi="Times New Roman"/>
          <w:sz w:val="24"/>
          <w:szCs w:val="24"/>
          <w:lang w:val="en-US" w:eastAsia="de-DE"/>
        </w:rPr>
        <w:t>four</w:t>
      </w:r>
      <w:r w:rsidR="00C005F2" w:rsidRPr="00683D62">
        <w:rPr>
          <w:rFonts w:ascii="Times New Roman" w:hAnsi="Times New Roman"/>
          <w:sz w:val="24"/>
          <w:szCs w:val="24"/>
          <w:lang w:val="en-US" w:eastAsia="de-DE"/>
        </w:rPr>
        <w:t xml:space="preserve"> </w:t>
      </w:r>
      <w:r w:rsidR="00E111F6" w:rsidRPr="00683D62">
        <w:rPr>
          <w:rFonts w:ascii="Times New Roman" w:hAnsi="Times New Roman"/>
          <w:sz w:val="24"/>
          <w:szCs w:val="24"/>
          <w:lang w:val="en-US" w:eastAsia="de-DE"/>
        </w:rPr>
        <w:t>IA</w:t>
      </w:r>
      <w:r w:rsidR="005C3D46"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and </w:t>
      </w:r>
      <w:r w:rsidR="00CE300E" w:rsidRPr="00683D62">
        <w:rPr>
          <w:rFonts w:ascii="Times New Roman" w:hAnsi="Times New Roman"/>
          <w:sz w:val="24"/>
          <w:szCs w:val="24"/>
          <w:lang w:val="en-US" w:eastAsia="de-DE"/>
        </w:rPr>
        <w:t>3</w:t>
      </w:r>
      <w:r w:rsidR="00F850AA" w:rsidRPr="00683D62">
        <w:rPr>
          <w:rFonts w:ascii="Times New Roman" w:hAnsi="Times New Roman"/>
          <w:sz w:val="24"/>
          <w:szCs w:val="24"/>
          <w:lang w:val="en-US" w:eastAsia="de-DE"/>
        </w:rPr>
        <w:t>7</w:t>
      </w:r>
      <w:r w:rsidRPr="00683D62">
        <w:rPr>
          <w:rFonts w:ascii="Times New Roman" w:hAnsi="Times New Roman"/>
          <w:sz w:val="24"/>
          <w:szCs w:val="24"/>
          <w:lang w:val="en-US" w:eastAsia="de-DE"/>
        </w:rPr>
        <w:t xml:space="preserve"> </w:t>
      </w:r>
      <w:r w:rsidR="00095511" w:rsidRPr="00683D62">
        <w:rPr>
          <w:rFonts w:ascii="Times New Roman" w:hAnsi="Times New Roman"/>
          <w:sz w:val="24"/>
          <w:szCs w:val="24"/>
          <w:lang w:val="en-US" w:eastAsia="de-DE"/>
        </w:rPr>
        <w:t xml:space="preserve">children </w:t>
      </w:r>
      <w:r w:rsidRPr="00683D62">
        <w:rPr>
          <w:rFonts w:ascii="Times New Roman" w:hAnsi="Times New Roman"/>
          <w:sz w:val="24"/>
          <w:szCs w:val="24"/>
          <w:lang w:val="en-US" w:eastAsia="de-DE"/>
        </w:rPr>
        <w:t>(</w:t>
      </w:r>
      <w:r w:rsidR="00F850AA" w:rsidRPr="00683D62">
        <w:rPr>
          <w:rFonts w:ascii="Times New Roman" w:hAnsi="Times New Roman"/>
          <w:sz w:val="24"/>
          <w:szCs w:val="24"/>
          <w:lang w:val="en-US" w:eastAsia="de-DE"/>
        </w:rPr>
        <w:t>22</w:t>
      </w:r>
      <w:r w:rsidR="00A410C7" w:rsidRPr="00683D62">
        <w:rPr>
          <w:rFonts w:ascii="Calibri Light" w:hAnsi="Calibri Light" w:cs="Calibri Light"/>
          <w:lang w:val="en-US"/>
        </w:rPr>
        <w:t>.</w:t>
      </w:r>
      <w:r w:rsidR="00F850AA" w:rsidRPr="00683D62">
        <w:rPr>
          <w:rFonts w:ascii="Times New Roman" w:hAnsi="Times New Roman"/>
          <w:sz w:val="24"/>
          <w:szCs w:val="24"/>
          <w:lang w:val="en-US" w:eastAsia="de-DE"/>
        </w:rPr>
        <w:t>4</w:t>
      </w:r>
      <w:r w:rsidRPr="00683D62">
        <w:rPr>
          <w:rFonts w:ascii="Times New Roman" w:hAnsi="Times New Roman"/>
          <w:sz w:val="24"/>
          <w:szCs w:val="24"/>
          <w:lang w:val="en-US" w:eastAsia="de-DE"/>
        </w:rPr>
        <w:t xml:space="preserve">%) </w:t>
      </w:r>
      <w:r w:rsidR="00095511" w:rsidRPr="00683D62">
        <w:rPr>
          <w:rFonts w:ascii="Times New Roman" w:hAnsi="Times New Roman"/>
          <w:sz w:val="24"/>
          <w:szCs w:val="24"/>
          <w:lang w:val="en-US" w:eastAsia="de-DE"/>
        </w:rPr>
        <w:t xml:space="preserve">developed </w:t>
      </w:r>
      <w:r w:rsidRPr="00683D62">
        <w:rPr>
          <w:rFonts w:ascii="Times New Roman" w:hAnsi="Times New Roman"/>
          <w:sz w:val="24"/>
          <w:szCs w:val="24"/>
          <w:lang w:val="en-US" w:eastAsia="de-DE"/>
        </w:rPr>
        <w:t xml:space="preserve">single </w:t>
      </w:r>
      <w:r w:rsidR="00E111F6" w:rsidRPr="00683D62">
        <w:rPr>
          <w:rFonts w:ascii="Times New Roman" w:hAnsi="Times New Roman"/>
          <w:sz w:val="24"/>
          <w:szCs w:val="24"/>
          <w:lang w:val="en-US" w:eastAsia="de-DE"/>
        </w:rPr>
        <w:t>IA</w:t>
      </w:r>
      <w:r w:rsidR="00E04DF9" w:rsidRPr="00683D62">
        <w:rPr>
          <w:rFonts w:ascii="Times New Roman" w:hAnsi="Times New Roman"/>
          <w:sz w:val="24"/>
          <w:szCs w:val="24"/>
          <w:lang w:val="en-US" w:eastAsia="de-DE"/>
        </w:rPr>
        <w:t xml:space="preserve"> (Figure S1)</w:t>
      </w:r>
      <w:r w:rsidR="006E2AA7"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Diabetes was diagnosed in</w:t>
      </w:r>
      <w:r w:rsidR="00095511" w:rsidRPr="00683D62">
        <w:rPr>
          <w:rFonts w:ascii="Times New Roman" w:hAnsi="Times New Roman"/>
          <w:sz w:val="24"/>
          <w:szCs w:val="24"/>
          <w:lang w:val="en-US" w:eastAsia="de-DE"/>
        </w:rPr>
        <w:t xml:space="preserve"> </w:t>
      </w:r>
      <w:r w:rsidR="00010455" w:rsidRPr="00683D62">
        <w:rPr>
          <w:rFonts w:ascii="Times New Roman" w:hAnsi="Times New Roman"/>
          <w:sz w:val="24"/>
          <w:szCs w:val="24"/>
          <w:lang w:val="en-US" w:eastAsia="de-DE"/>
        </w:rPr>
        <w:t xml:space="preserve">115 </w:t>
      </w:r>
      <w:r w:rsidR="00095511" w:rsidRPr="00683D62">
        <w:rPr>
          <w:rFonts w:ascii="Times New Roman" w:hAnsi="Times New Roman"/>
          <w:sz w:val="24"/>
          <w:szCs w:val="24"/>
          <w:lang w:val="en-US" w:eastAsia="de-DE"/>
        </w:rPr>
        <w:t>children (</w:t>
      </w:r>
      <w:r w:rsidR="00010455" w:rsidRPr="00683D62">
        <w:rPr>
          <w:rFonts w:ascii="Times New Roman" w:hAnsi="Times New Roman"/>
          <w:sz w:val="24"/>
          <w:szCs w:val="24"/>
          <w:lang w:val="en-US" w:eastAsia="de-DE"/>
        </w:rPr>
        <w:t>4</w:t>
      </w:r>
      <w:r w:rsidR="00A410C7" w:rsidRPr="00683D62">
        <w:rPr>
          <w:rFonts w:ascii="Calibri Light" w:hAnsi="Calibri Light" w:cs="Calibri Light"/>
          <w:lang w:val="en-US"/>
        </w:rPr>
        <w:t>.</w:t>
      </w:r>
      <w:r w:rsidR="00010455" w:rsidRPr="00683D62">
        <w:rPr>
          <w:rFonts w:ascii="Times New Roman" w:hAnsi="Times New Roman"/>
          <w:sz w:val="24"/>
          <w:szCs w:val="24"/>
          <w:lang w:val="en-US" w:eastAsia="de-DE"/>
        </w:rPr>
        <w:t>7</w:t>
      </w:r>
      <w:r w:rsidR="00095511" w:rsidRPr="00683D62">
        <w:rPr>
          <w:rFonts w:ascii="Times New Roman" w:hAnsi="Times New Roman"/>
          <w:sz w:val="24"/>
          <w:szCs w:val="24"/>
          <w:lang w:val="en-US" w:eastAsia="de-DE"/>
        </w:rPr>
        <w:t>%</w:t>
      </w:r>
      <w:r w:rsidR="007C3403" w:rsidRPr="00683D62">
        <w:rPr>
          <w:rFonts w:ascii="Times New Roman" w:hAnsi="Times New Roman"/>
          <w:sz w:val="24"/>
          <w:szCs w:val="24"/>
          <w:lang w:val="en-US" w:eastAsia="de-DE"/>
        </w:rPr>
        <w:t>, 51 girls</w:t>
      </w:r>
      <w:r w:rsidR="00095511" w:rsidRPr="00683D62">
        <w:rPr>
          <w:rFonts w:ascii="Times New Roman" w:hAnsi="Times New Roman"/>
          <w:sz w:val="24"/>
          <w:szCs w:val="24"/>
          <w:lang w:val="en-US" w:eastAsia="de-DE"/>
        </w:rPr>
        <w:t xml:space="preserve">), including </w:t>
      </w:r>
      <w:r w:rsidR="00010455" w:rsidRPr="00683D62">
        <w:rPr>
          <w:rFonts w:ascii="Times New Roman" w:hAnsi="Times New Roman"/>
          <w:sz w:val="24"/>
          <w:szCs w:val="24"/>
          <w:lang w:val="en-US" w:eastAsia="de-DE"/>
        </w:rPr>
        <w:t>1</w:t>
      </w:r>
      <w:r w:rsidR="0005031E" w:rsidRPr="00683D62">
        <w:rPr>
          <w:rFonts w:ascii="Times New Roman" w:hAnsi="Times New Roman"/>
          <w:sz w:val="24"/>
          <w:szCs w:val="24"/>
          <w:lang w:val="en-US" w:eastAsia="de-DE"/>
        </w:rPr>
        <w:t>0</w:t>
      </w:r>
      <w:r w:rsidR="00095511" w:rsidRPr="00683D62">
        <w:rPr>
          <w:rFonts w:ascii="Times New Roman" w:hAnsi="Times New Roman"/>
          <w:sz w:val="24"/>
          <w:szCs w:val="24"/>
          <w:lang w:val="en-US" w:eastAsia="de-DE"/>
        </w:rPr>
        <w:t xml:space="preserve"> who progressed to diabetes without an </w:t>
      </w:r>
      <w:r w:rsidR="00E111F6" w:rsidRPr="00683D62">
        <w:rPr>
          <w:rFonts w:ascii="Times New Roman" w:hAnsi="Times New Roman"/>
          <w:sz w:val="24"/>
          <w:szCs w:val="24"/>
          <w:lang w:val="en-US" w:eastAsia="de-DE"/>
        </w:rPr>
        <w:t>IA</w:t>
      </w:r>
      <w:r w:rsidR="00095511" w:rsidRPr="00683D62">
        <w:rPr>
          <w:rFonts w:ascii="Times New Roman" w:hAnsi="Times New Roman"/>
          <w:sz w:val="24"/>
          <w:szCs w:val="24"/>
          <w:lang w:val="en-US" w:eastAsia="de-DE"/>
        </w:rPr>
        <w:t xml:space="preserve">-positive sample </w:t>
      </w:r>
      <w:r w:rsidR="00C9329C" w:rsidRPr="00683D62">
        <w:rPr>
          <w:rFonts w:ascii="Times New Roman" w:hAnsi="Times New Roman"/>
          <w:sz w:val="24"/>
          <w:szCs w:val="24"/>
          <w:lang w:val="en-US" w:eastAsia="de-DE"/>
        </w:rPr>
        <w:t>before the onset of</w:t>
      </w:r>
      <w:r w:rsidR="00095511" w:rsidRPr="00683D62">
        <w:rPr>
          <w:rFonts w:ascii="Times New Roman" w:hAnsi="Times New Roman"/>
          <w:sz w:val="24"/>
          <w:szCs w:val="24"/>
          <w:lang w:val="en-US" w:eastAsia="de-DE"/>
        </w:rPr>
        <w:t xml:space="preserve"> diabetes</w:t>
      </w:r>
      <w:r w:rsidR="006E2AA7"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 xml:space="preserve">Six children who developed diabetes had </w:t>
      </w:r>
      <w:r w:rsidR="00E111F6" w:rsidRPr="00683D62">
        <w:rPr>
          <w:rFonts w:ascii="Times New Roman" w:hAnsi="Times New Roman"/>
          <w:sz w:val="24"/>
          <w:szCs w:val="24"/>
          <w:lang w:val="en-US" w:eastAsia="de-DE"/>
        </w:rPr>
        <w:t>TGA</w:t>
      </w:r>
      <w:r w:rsidR="00F850AA" w:rsidRPr="00683D62">
        <w:rPr>
          <w:rFonts w:ascii="Times New Roman" w:hAnsi="Times New Roman"/>
          <w:sz w:val="24"/>
          <w:szCs w:val="24"/>
          <w:lang w:val="en-US" w:eastAsia="de-DE"/>
        </w:rPr>
        <w:t xml:space="preserve"> (all were </w:t>
      </w:r>
      <w:r w:rsidR="00E111F6" w:rsidRPr="00683D62">
        <w:rPr>
          <w:rFonts w:ascii="Times New Roman" w:hAnsi="Times New Roman"/>
          <w:sz w:val="24"/>
          <w:szCs w:val="24"/>
          <w:lang w:val="en-US" w:eastAsia="de-DE"/>
        </w:rPr>
        <w:t>IA</w:t>
      </w:r>
      <w:r w:rsidR="00F850AA" w:rsidRPr="00683D62">
        <w:rPr>
          <w:rFonts w:ascii="Times New Roman" w:hAnsi="Times New Roman"/>
          <w:sz w:val="24"/>
          <w:szCs w:val="24"/>
          <w:lang w:val="en-US" w:eastAsia="de-DE"/>
        </w:rPr>
        <w:t xml:space="preserve"> positive) and 13 had TPO</w:t>
      </w:r>
      <w:r w:rsidR="00E111F6" w:rsidRPr="00683D62">
        <w:rPr>
          <w:rFonts w:ascii="Times New Roman" w:hAnsi="Times New Roman"/>
          <w:sz w:val="24"/>
          <w:szCs w:val="24"/>
          <w:lang w:val="en-US" w:eastAsia="de-DE"/>
        </w:rPr>
        <w:t>A</w:t>
      </w:r>
      <w:r w:rsidR="00F850AA" w:rsidRPr="00683D62">
        <w:rPr>
          <w:rFonts w:ascii="Times New Roman" w:hAnsi="Times New Roman"/>
          <w:sz w:val="24"/>
          <w:szCs w:val="24"/>
          <w:lang w:val="en-US" w:eastAsia="de-DE"/>
        </w:rPr>
        <w:t xml:space="preserve">, including </w:t>
      </w:r>
      <w:r w:rsidR="003F685F" w:rsidRPr="00683D62">
        <w:rPr>
          <w:rFonts w:ascii="Times New Roman" w:hAnsi="Times New Roman"/>
          <w:sz w:val="24"/>
          <w:szCs w:val="24"/>
          <w:lang w:val="en-US" w:eastAsia="de-DE"/>
        </w:rPr>
        <w:t xml:space="preserve">two </w:t>
      </w:r>
      <w:r w:rsidR="00F850AA" w:rsidRPr="00683D62">
        <w:rPr>
          <w:rFonts w:ascii="Times New Roman" w:hAnsi="Times New Roman"/>
          <w:sz w:val="24"/>
          <w:szCs w:val="24"/>
          <w:lang w:val="en-US" w:eastAsia="de-DE"/>
        </w:rPr>
        <w:t xml:space="preserve">of the 10 children without prior autoantibodies. </w:t>
      </w:r>
      <w:r w:rsidR="00C22141" w:rsidRPr="00683D62">
        <w:rPr>
          <w:rFonts w:ascii="Times New Roman" w:hAnsi="Times New Roman"/>
          <w:sz w:val="24"/>
          <w:szCs w:val="24"/>
          <w:lang w:val="en-US" w:eastAsia="de-DE"/>
        </w:rPr>
        <w:t xml:space="preserve">The </w:t>
      </w:r>
      <w:r w:rsidR="00985008" w:rsidRPr="00683D62">
        <w:rPr>
          <w:rFonts w:ascii="Times New Roman" w:hAnsi="Times New Roman"/>
          <w:sz w:val="24"/>
          <w:szCs w:val="24"/>
          <w:lang w:val="en-US" w:eastAsia="de-DE"/>
        </w:rPr>
        <w:t>cumulative</w:t>
      </w:r>
      <w:r w:rsidR="00071247" w:rsidRPr="00683D62">
        <w:rPr>
          <w:rFonts w:ascii="Times New Roman" w:hAnsi="Times New Roman"/>
          <w:sz w:val="24"/>
          <w:szCs w:val="24"/>
          <w:lang w:val="en-US" w:eastAsia="de-DE"/>
        </w:rPr>
        <w:t xml:space="preserve"> </w:t>
      </w:r>
      <w:r w:rsidR="003F685F" w:rsidRPr="00683D62">
        <w:rPr>
          <w:rFonts w:ascii="Times New Roman" w:hAnsi="Times New Roman"/>
          <w:sz w:val="24"/>
          <w:szCs w:val="24"/>
          <w:lang w:val="en-US" w:eastAsia="de-DE"/>
        </w:rPr>
        <w:t xml:space="preserve">rate of </w:t>
      </w:r>
      <w:r w:rsidR="00071247" w:rsidRPr="00683D62">
        <w:rPr>
          <w:rFonts w:ascii="Times New Roman" w:hAnsi="Times New Roman"/>
          <w:sz w:val="24"/>
          <w:szCs w:val="24"/>
          <w:lang w:val="en-US" w:eastAsia="de-DE"/>
        </w:rPr>
        <w:t xml:space="preserve">withdrawal or </w:t>
      </w:r>
      <w:r w:rsidR="003F685F" w:rsidRPr="00683D62">
        <w:rPr>
          <w:rFonts w:ascii="Times New Roman" w:hAnsi="Times New Roman"/>
          <w:sz w:val="24"/>
          <w:szCs w:val="24"/>
          <w:lang w:val="en-US" w:eastAsia="de-DE"/>
        </w:rPr>
        <w:t xml:space="preserve">loss </w:t>
      </w:r>
      <w:r w:rsidR="00071247" w:rsidRPr="00683D62">
        <w:rPr>
          <w:rFonts w:ascii="Times New Roman" w:hAnsi="Times New Roman"/>
          <w:sz w:val="24"/>
          <w:szCs w:val="24"/>
          <w:lang w:val="en-US" w:eastAsia="de-DE"/>
        </w:rPr>
        <w:t>to follow-up</w:t>
      </w:r>
      <w:r w:rsidR="00985008" w:rsidRPr="00683D62">
        <w:rPr>
          <w:rFonts w:ascii="Times New Roman" w:hAnsi="Times New Roman"/>
          <w:sz w:val="24"/>
          <w:szCs w:val="24"/>
          <w:lang w:val="en-US" w:eastAsia="de-DE"/>
        </w:rPr>
        <w:t xml:space="preserve"> </w:t>
      </w:r>
      <w:r w:rsidR="00F335D9" w:rsidRPr="00683D62">
        <w:rPr>
          <w:rFonts w:ascii="Times New Roman" w:hAnsi="Times New Roman"/>
          <w:sz w:val="24"/>
          <w:szCs w:val="24"/>
          <w:lang w:val="en-US" w:eastAsia="de-DE"/>
        </w:rPr>
        <w:t xml:space="preserve">by age 20 years </w:t>
      </w:r>
      <w:r w:rsidR="00C22141" w:rsidRPr="00683D62">
        <w:rPr>
          <w:rFonts w:ascii="Times New Roman" w:hAnsi="Times New Roman"/>
          <w:sz w:val="24"/>
          <w:szCs w:val="24"/>
          <w:lang w:val="en-US" w:eastAsia="de-DE"/>
        </w:rPr>
        <w:t xml:space="preserve">was </w:t>
      </w:r>
      <w:r w:rsidR="00CD6E6A" w:rsidRPr="00683D62">
        <w:rPr>
          <w:rFonts w:ascii="Times New Roman" w:hAnsi="Times New Roman"/>
          <w:sz w:val="24"/>
          <w:szCs w:val="24"/>
          <w:lang w:val="en-US" w:eastAsia="de-DE"/>
        </w:rPr>
        <w:t>38</w:t>
      </w:r>
      <w:r w:rsidR="00A410C7" w:rsidRPr="00683D62">
        <w:rPr>
          <w:rFonts w:ascii="Times New Roman" w:hAnsi="Times New Roman"/>
          <w:sz w:val="24"/>
          <w:szCs w:val="24"/>
          <w:lang w:val="en-US" w:eastAsia="de-DE"/>
        </w:rPr>
        <w:t>.</w:t>
      </w:r>
      <w:r w:rsidR="0003020C" w:rsidRPr="00683D62">
        <w:rPr>
          <w:rFonts w:ascii="Times New Roman" w:hAnsi="Times New Roman"/>
          <w:sz w:val="24"/>
          <w:szCs w:val="24"/>
          <w:lang w:val="en-US" w:eastAsia="de-DE"/>
        </w:rPr>
        <w:t>0</w:t>
      </w:r>
      <w:r w:rsidR="00F335D9" w:rsidRPr="00683D62">
        <w:rPr>
          <w:rFonts w:ascii="Times New Roman" w:hAnsi="Times New Roman"/>
          <w:sz w:val="24"/>
          <w:szCs w:val="24"/>
          <w:lang w:val="en-US" w:eastAsia="de-DE"/>
        </w:rPr>
        <w:t>% (95% CI</w:t>
      </w:r>
      <w:r w:rsidR="003F685F" w:rsidRPr="00683D62">
        <w:rPr>
          <w:rFonts w:ascii="Times New Roman" w:hAnsi="Times New Roman"/>
          <w:sz w:val="24"/>
          <w:szCs w:val="24"/>
          <w:lang w:val="en-US" w:eastAsia="de-DE"/>
        </w:rPr>
        <w:t>,</w:t>
      </w:r>
      <w:r w:rsidR="00F335D9" w:rsidRPr="00683D62">
        <w:rPr>
          <w:rFonts w:ascii="Times New Roman" w:hAnsi="Times New Roman"/>
          <w:sz w:val="24"/>
          <w:szCs w:val="24"/>
          <w:lang w:val="en-US" w:eastAsia="de-DE"/>
        </w:rPr>
        <w:t xml:space="preserve"> </w:t>
      </w:r>
      <w:r w:rsidR="0003020C" w:rsidRPr="00683D62">
        <w:rPr>
          <w:rFonts w:ascii="Times New Roman" w:hAnsi="Times New Roman"/>
          <w:sz w:val="24"/>
          <w:szCs w:val="24"/>
          <w:lang w:val="en-US" w:eastAsia="de-DE"/>
        </w:rPr>
        <w:t>35</w:t>
      </w:r>
      <w:r w:rsidR="00A410C7" w:rsidRPr="00683D62">
        <w:rPr>
          <w:rFonts w:ascii="Calibri Light" w:hAnsi="Calibri Light" w:cs="Calibri Light"/>
          <w:lang w:val="en-US"/>
        </w:rPr>
        <w:t>.</w:t>
      </w:r>
      <w:r w:rsidR="0003020C" w:rsidRPr="00683D62">
        <w:rPr>
          <w:rFonts w:ascii="Times New Roman" w:hAnsi="Times New Roman"/>
          <w:sz w:val="24"/>
          <w:szCs w:val="24"/>
          <w:lang w:val="en-US" w:eastAsia="de-DE"/>
        </w:rPr>
        <w:t>8</w:t>
      </w:r>
      <w:r w:rsidR="00A410C7" w:rsidRPr="00683D62">
        <w:rPr>
          <w:rFonts w:ascii="Times New Roman" w:hAnsi="Times New Roman"/>
          <w:sz w:val="24"/>
          <w:szCs w:val="24"/>
          <w:lang w:val="en-US" w:eastAsia="de-DE"/>
        </w:rPr>
        <w:t>-</w:t>
      </w:r>
      <w:r w:rsidR="0003020C" w:rsidRPr="00683D62">
        <w:rPr>
          <w:rFonts w:ascii="Times New Roman" w:hAnsi="Times New Roman"/>
          <w:sz w:val="24"/>
          <w:szCs w:val="24"/>
          <w:lang w:val="en-US" w:eastAsia="de-DE"/>
        </w:rPr>
        <w:t>40</w:t>
      </w:r>
      <w:r w:rsidR="00A410C7" w:rsidRPr="00683D62">
        <w:rPr>
          <w:rFonts w:ascii="Calibri Light" w:hAnsi="Calibri Light" w:cs="Calibri Light"/>
          <w:lang w:val="en-US"/>
        </w:rPr>
        <w:t>.</w:t>
      </w:r>
      <w:r w:rsidR="0003020C" w:rsidRPr="00683D62">
        <w:rPr>
          <w:rFonts w:ascii="Times New Roman" w:hAnsi="Times New Roman"/>
          <w:sz w:val="24"/>
          <w:szCs w:val="24"/>
          <w:lang w:val="en-US" w:eastAsia="de-DE"/>
        </w:rPr>
        <w:t>2%</w:t>
      </w:r>
      <w:r w:rsidR="00AB0A2A" w:rsidRPr="00683D62">
        <w:rPr>
          <w:rFonts w:ascii="Times New Roman" w:hAnsi="Times New Roman"/>
          <w:sz w:val="24"/>
          <w:szCs w:val="24"/>
          <w:lang w:val="en-US" w:eastAsia="de-DE"/>
        </w:rPr>
        <w:t>)</w:t>
      </w:r>
      <w:r w:rsidR="00985008" w:rsidRPr="00683D62">
        <w:rPr>
          <w:rFonts w:ascii="Times New Roman" w:hAnsi="Times New Roman"/>
          <w:sz w:val="24"/>
          <w:szCs w:val="24"/>
          <w:lang w:val="en-US" w:eastAsia="de-DE"/>
        </w:rPr>
        <w:t>.</w:t>
      </w:r>
    </w:p>
    <w:p w14:paraId="36465B63" w14:textId="77777777" w:rsidR="00B06F5C" w:rsidRPr="00683D62" w:rsidRDefault="00B06F5C" w:rsidP="00B661B1">
      <w:pPr>
        <w:autoSpaceDE w:val="0"/>
        <w:autoSpaceDN w:val="0"/>
        <w:adjustRightInd w:val="0"/>
        <w:spacing w:after="0" w:line="480" w:lineRule="auto"/>
        <w:jc w:val="both"/>
        <w:rPr>
          <w:rFonts w:ascii="Times New Roman" w:hAnsi="Times New Roman"/>
          <w:sz w:val="24"/>
          <w:szCs w:val="24"/>
          <w:lang w:val="en-US" w:eastAsia="de-DE"/>
        </w:rPr>
      </w:pPr>
    </w:p>
    <w:p w14:paraId="442CA6FA" w14:textId="518FF516" w:rsidR="007F2F21" w:rsidRPr="00683D62" w:rsidRDefault="007F2F21" w:rsidP="00F850AA">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 xml:space="preserve">Risk of developing </w:t>
      </w:r>
      <w:r w:rsidR="00042F2D" w:rsidRPr="00683D62">
        <w:rPr>
          <w:rFonts w:ascii="Times New Roman" w:hAnsi="Times New Roman"/>
          <w:i/>
          <w:sz w:val="24"/>
          <w:szCs w:val="24"/>
          <w:lang w:val="en-US" w:eastAsia="de-DE"/>
        </w:rPr>
        <w:t>islet, celiac</w:t>
      </w:r>
      <w:r w:rsidR="00D537B9" w:rsidRPr="00683D62">
        <w:rPr>
          <w:rFonts w:ascii="Times New Roman" w:hAnsi="Times New Roman"/>
          <w:i/>
          <w:sz w:val="24"/>
          <w:szCs w:val="24"/>
          <w:lang w:val="en-US" w:eastAsia="de-DE"/>
        </w:rPr>
        <w:t xml:space="preserve"> disease</w:t>
      </w:r>
      <w:r w:rsidR="00A34C8C" w:rsidRPr="00683D62">
        <w:rPr>
          <w:rFonts w:ascii="Times New Roman" w:hAnsi="Times New Roman"/>
          <w:i/>
          <w:sz w:val="24"/>
          <w:szCs w:val="24"/>
          <w:lang w:val="en-US" w:eastAsia="de-DE"/>
        </w:rPr>
        <w:t xml:space="preserve">, or </w:t>
      </w:r>
      <w:r w:rsidR="00042F2D" w:rsidRPr="00683D62">
        <w:rPr>
          <w:rFonts w:ascii="Times New Roman" w:hAnsi="Times New Roman"/>
          <w:i/>
          <w:sz w:val="24"/>
          <w:szCs w:val="24"/>
          <w:lang w:val="en-US" w:eastAsia="de-DE"/>
        </w:rPr>
        <w:t>thyroid autoimmunity</w:t>
      </w:r>
    </w:p>
    <w:p w14:paraId="000E9FA3" w14:textId="20ED5537" w:rsidR="008A6428" w:rsidRPr="00683D62" w:rsidRDefault="00F56A70" w:rsidP="004307CB">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lastRenderedPageBreak/>
        <w:t xml:space="preserve">By 20 years of age, the </w:t>
      </w:r>
      <w:r w:rsidR="00E111F6" w:rsidRPr="00683D62">
        <w:rPr>
          <w:rFonts w:ascii="Times New Roman" w:hAnsi="Times New Roman"/>
          <w:sz w:val="24"/>
          <w:szCs w:val="24"/>
          <w:lang w:val="en-US" w:eastAsia="de-DE"/>
        </w:rPr>
        <w:t>IA</w:t>
      </w:r>
      <w:r w:rsidR="00AB0A2A" w:rsidRPr="00683D62">
        <w:rPr>
          <w:rFonts w:ascii="Times New Roman" w:hAnsi="Times New Roman"/>
          <w:sz w:val="24"/>
          <w:szCs w:val="24"/>
          <w:lang w:val="en-US" w:eastAsia="de-DE"/>
        </w:rPr>
        <w:t xml:space="preserve"> risk was </w:t>
      </w:r>
      <w:r w:rsidR="00C22141" w:rsidRPr="00683D62">
        <w:rPr>
          <w:rFonts w:ascii="Times New Roman" w:hAnsi="Times New Roman"/>
          <w:sz w:val="24"/>
          <w:szCs w:val="24"/>
          <w:lang w:val="en-US" w:eastAsia="de-DE"/>
        </w:rPr>
        <w:t>8</w:t>
      </w:r>
      <w:r w:rsidR="00A410C7" w:rsidRPr="00683D62">
        <w:rPr>
          <w:rFonts w:ascii="Calibri Light" w:hAnsi="Calibri Light" w:cs="Calibri Light"/>
          <w:lang w:val="en-US"/>
        </w:rPr>
        <w:t>.</w:t>
      </w:r>
      <w:r w:rsidR="00C22141" w:rsidRPr="00683D62">
        <w:rPr>
          <w:rFonts w:ascii="Times New Roman" w:hAnsi="Times New Roman"/>
          <w:sz w:val="24"/>
          <w:szCs w:val="24"/>
          <w:lang w:val="en-US" w:eastAsia="de-DE"/>
        </w:rPr>
        <w:t>0</w:t>
      </w:r>
      <w:r w:rsidR="00AB0A2A" w:rsidRPr="00683D62">
        <w:rPr>
          <w:rFonts w:ascii="Times New Roman" w:hAnsi="Times New Roman"/>
          <w:sz w:val="24"/>
          <w:szCs w:val="24"/>
          <w:lang w:val="en-US" w:eastAsia="de-DE"/>
        </w:rPr>
        <w:t>% (95% CI</w:t>
      </w:r>
      <w:r w:rsidR="00C22141" w:rsidRPr="00683D62">
        <w:rPr>
          <w:rFonts w:ascii="Times New Roman" w:hAnsi="Times New Roman"/>
          <w:sz w:val="24"/>
          <w:szCs w:val="24"/>
          <w:lang w:val="en-US" w:eastAsia="de-DE"/>
        </w:rPr>
        <w:t>,</w:t>
      </w:r>
      <w:r w:rsidR="00AB0A2A" w:rsidRPr="00683D62">
        <w:rPr>
          <w:rFonts w:ascii="Times New Roman" w:hAnsi="Times New Roman"/>
          <w:sz w:val="24"/>
          <w:szCs w:val="24"/>
          <w:lang w:val="en-US" w:eastAsia="de-DE"/>
        </w:rPr>
        <w:t xml:space="preserve"> </w:t>
      </w:r>
      <w:r w:rsidR="00C22141" w:rsidRPr="00683D62">
        <w:rPr>
          <w:rFonts w:ascii="Times New Roman" w:hAnsi="Times New Roman"/>
          <w:sz w:val="24"/>
          <w:szCs w:val="24"/>
          <w:lang w:val="en-US" w:eastAsia="de-DE"/>
        </w:rPr>
        <w:t>6</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8</w:t>
      </w:r>
      <w:r w:rsidR="00A410C7" w:rsidRPr="00683D62">
        <w:rPr>
          <w:rFonts w:ascii="Times New Roman" w:hAnsi="Times New Roman"/>
          <w:sz w:val="24"/>
          <w:szCs w:val="24"/>
          <w:lang w:val="en-US" w:eastAsia="de-DE"/>
        </w:rPr>
        <w:t>-</w:t>
      </w:r>
      <w:r w:rsidR="00C22141" w:rsidRPr="00683D62">
        <w:rPr>
          <w:rFonts w:ascii="Times New Roman" w:hAnsi="Times New Roman"/>
          <w:sz w:val="24"/>
          <w:szCs w:val="24"/>
          <w:lang w:val="en-US" w:eastAsia="de-DE"/>
        </w:rPr>
        <w:t>9</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2</w:t>
      </w:r>
      <w:r w:rsidR="00C22141" w:rsidRPr="00683D62">
        <w:rPr>
          <w:rFonts w:ascii="Times New Roman" w:hAnsi="Times New Roman"/>
          <w:sz w:val="24"/>
          <w:szCs w:val="24"/>
          <w:lang w:val="en-US" w:eastAsia="de-DE"/>
        </w:rPr>
        <w:t>%</w:t>
      </w:r>
      <w:r w:rsidR="00AB0A2A" w:rsidRPr="00683D62">
        <w:rPr>
          <w:rFonts w:ascii="Times New Roman" w:hAnsi="Times New Roman"/>
          <w:sz w:val="24"/>
          <w:szCs w:val="24"/>
          <w:lang w:val="en-US" w:eastAsia="de-DE"/>
        </w:rPr>
        <w:t>)</w:t>
      </w:r>
      <w:r w:rsidR="007E185D"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the </w:t>
      </w:r>
      <w:r w:rsidR="002E4B87" w:rsidRPr="00683D62">
        <w:rPr>
          <w:rFonts w:ascii="Times New Roman" w:hAnsi="Times New Roman"/>
          <w:sz w:val="24"/>
          <w:szCs w:val="24"/>
          <w:lang w:val="en-US" w:eastAsia="de-DE"/>
        </w:rPr>
        <w:t xml:space="preserve">TGA risk was </w:t>
      </w:r>
      <w:r w:rsidR="00C22141" w:rsidRPr="00683D62">
        <w:rPr>
          <w:rFonts w:ascii="Times New Roman" w:hAnsi="Times New Roman"/>
          <w:sz w:val="24"/>
          <w:szCs w:val="24"/>
          <w:lang w:val="en-US" w:eastAsia="de-DE"/>
        </w:rPr>
        <w:t>6</w:t>
      </w:r>
      <w:r w:rsidR="00A410C7" w:rsidRPr="00683D62">
        <w:rPr>
          <w:rFonts w:ascii="Calibri Light" w:hAnsi="Calibri Light" w:cs="Calibri Light"/>
          <w:lang w:val="en-US"/>
        </w:rPr>
        <w:t>.</w:t>
      </w:r>
      <w:r w:rsidR="00F850AA" w:rsidRPr="00683D62">
        <w:rPr>
          <w:rFonts w:ascii="Times New Roman" w:hAnsi="Times New Roman"/>
          <w:sz w:val="24"/>
          <w:szCs w:val="24"/>
          <w:lang w:val="en-US" w:eastAsia="de-DE"/>
        </w:rPr>
        <w:t>3</w:t>
      </w:r>
      <w:r w:rsidR="002E4B87" w:rsidRPr="00683D62">
        <w:rPr>
          <w:rFonts w:ascii="Times New Roman" w:hAnsi="Times New Roman"/>
          <w:sz w:val="24"/>
          <w:szCs w:val="24"/>
          <w:lang w:val="en-US" w:eastAsia="de-DE"/>
        </w:rPr>
        <w:t>% (95% CI</w:t>
      </w:r>
      <w:r w:rsidR="00C22141" w:rsidRPr="00683D62">
        <w:rPr>
          <w:rFonts w:ascii="Times New Roman" w:hAnsi="Times New Roman"/>
          <w:sz w:val="24"/>
          <w:szCs w:val="24"/>
          <w:lang w:val="en-US" w:eastAsia="de-DE"/>
        </w:rPr>
        <w:t>, 5</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1</w:t>
      </w:r>
      <w:r w:rsidR="00A410C7" w:rsidRPr="00683D62">
        <w:rPr>
          <w:rFonts w:ascii="Times New Roman" w:hAnsi="Times New Roman"/>
          <w:sz w:val="24"/>
          <w:szCs w:val="24"/>
          <w:lang w:val="en-US" w:eastAsia="de-DE"/>
        </w:rPr>
        <w:t>-</w:t>
      </w:r>
      <w:r w:rsidR="00C22141" w:rsidRPr="00683D62">
        <w:rPr>
          <w:rFonts w:ascii="Times New Roman" w:hAnsi="Times New Roman"/>
          <w:sz w:val="24"/>
          <w:szCs w:val="24"/>
          <w:lang w:val="en-US" w:eastAsia="de-DE"/>
        </w:rPr>
        <w:t>7</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5</w:t>
      </w:r>
      <w:r w:rsidR="00C22141" w:rsidRPr="00683D62">
        <w:rPr>
          <w:rFonts w:ascii="Times New Roman" w:hAnsi="Times New Roman"/>
          <w:sz w:val="24"/>
          <w:szCs w:val="24"/>
          <w:lang w:val="en-US" w:eastAsia="de-DE"/>
        </w:rPr>
        <w:t>%</w:t>
      </w:r>
      <w:r w:rsidR="000E6EFF" w:rsidRPr="00683D62">
        <w:rPr>
          <w:rFonts w:ascii="Times New Roman" w:hAnsi="Times New Roman"/>
          <w:sz w:val="24"/>
          <w:szCs w:val="24"/>
          <w:lang w:val="en-US" w:eastAsia="de-DE"/>
        </w:rPr>
        <w:t>), and</w:t>
      </w:r>
      <w:r w:rsidRPr="00683D62">
        <w:rPr>
          <w:rFonts w:ascii="Times New Roman" w:hAnsi="Times New Roman"/>
          <w:sz w:val="24"/>
          <w:szCs w:val="24"/>
          <w:lang w:val="en-US" w:eastAsia="de-DE"/>
        </w:rPr>
        <w:t xml:space="preserve"> the</w:t>
      </w:r>
      <w:r w:rsidR="000E6EFF" w:rsidRPr="00683D62">
        <w:rPr>
          <w:rFonts w:ascii="Times New Roman" w:hAnsi="Times New Roman"/>
          <w:sz w:val="24"/>
          <w:szCs w:val="24"/>
          <w:lang w:val="en-US" w:eastAsia="de-DE"/>
        </w:rPr>
        <w:t xml:space="preserve"> TPOA </w:t>
      </w:r>
      <w:r w:rsidR="002E4B87" w:rsidRPr="00683D62">
        <w:rPr>
          <w:rFonts w:ascii="Times New Roman" w:hAnsi="Times New Roman"/>
          <w:sz w:val="24"/>
          <w:szCs w:val="24"/>
          <w:lang w:val="en-US" w:eastAsia="de-DE"/>
        </w:rPr>
        <w:t xml:space="preserve">risk was </w:t>
      </w:r>
      <w:r w:rsidR="006316AD" w:rsidRPr="00683D62">
        <w:rPr>
          <w:rFonts w:ascii="Times New Roman" w:hAnsi="Times New Roman"/>
          <w:sz w:val="24"/>
          <w:szCs w:val="24"/>
          <w:lang w:val="en-US" w:eastAsia="de-DE"/>
        </w:rPr>
        <w:t>10</w:t>
      </w:r>
      <w:r w:rsidR="00A410C7" w:rsidRPr="00683D62">
        <w:rPr>
          <w:rFonts w:ascii="Calibri Light" w:hAnsi="Calibri Light" w:cs="Calibri Light"/>
          <w:lang w:val="en-US"/>
        </w:rPr>
        <w:t>.</w:t>
      </w:r>
      <w:r w:rsidR="006316AD" w:rsidRPr="00683D62">
        <w:rPr>
          <w:rFonts w:ascii="Times New Roman" w:hAnsi="Times New Roman"/>
          <w:sz w:val="24"/>
          <w:szCs w:val="24"/>
          <w:lang w:val="en-US" w:eastAsia="de-DE"/>
        </w:rPr>
        <w:t>7</w:t>
      </w:r>
      <w:r w:rsidR="00091EEF" w:rsidRPr="00683D62">
        <w:rPr>
          <w:rFonts w:ascii="Times New Roman" w:hAnsi="Times New Roman"/>
          <w:sz w:val="24"/>
          <w:szCs w:val="24"/>
          <w:lang w:val="en-US" w:eastAsia="de-DE"/>
        </w:rPr>
        <w:t>% (95% CI, 8</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9</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12</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5</w:t>
      </w:r>
      <w:r w:rsidR="00C22141"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Figure </w:t>
      </w:r>
      <w:r w:rsidR="00E84ACA" w:rsidRPr="00683D62">
        <w:rPr>
          <w:rFonts w:ascii="Times New Roman" w:hAnsi="Times New Roman"/>
          <w:sz w:val="24"/>
          <w:szCs w:val="24"/>
          <w:lang w:val="en-US" w:eastAsia="de-DE"/>
        </w:rPr>
        <w:t>1A</w:t>
      </w:r>
      <w:r w:rsidR="00A410C7" w:rsidRPr="00683D62">
        <w:rPr>
          <w:rFonts w:ascii="Times New Roman" w:hAnsi="Times New Roman"/>
          <w:sz w:val="24"/>
          <w:szCs w:val="24"/>
          <w:lang w:val="en-US" w:eastAsia="de-DE"/>
        </w:rPr>
        <w:t>-</w:t>
      </w:r>
      <w:r w:rsidR="00E84ACA" w:rsidRPr="00683D62">
        <w:rPr>
          <w:rFonts w:ascii="Times New Roman" w:hAnsi="Times New Roman"/>
          <w:sz w:val="24"/>
          <w:szCs w:val="24"/>
          <w:lang w:val="en-US" w:eastAsia="de-DE"/>
        </w:rPr>
        <w:t>C</w:t>
      </w:r>
      <w:r w:rsidR="002E4B87" w:rsidRPr="00683D62">
        <w:rPr>
          <w:rFonts w:ascii="Times New Roman" w:hAnsi="Times New Roman"/>
          <w:sz w:val="24"/>
          <w:szCs w:val="24"/>
          <w:lang w:val="en-US" w:eastAsia="de-DE"/>
        </w:rPr>
        <w:t xml:space="preserve">). </w:t>
      </w:r>
      <w:r w:rsidR="004307CB" w:rsidRPr="00683D62">
        <w:rPr>
          <w:rFonts w:ascii="Times New Roman" w:hAnsi="Times New Roman"/>
          <w:sz w:val="24"/>
          <w:szCs w:val="24"/>
          <w:lang w:val="en-US" w:eastAsia="de-DE"/>
        </w:rPr>
        <w:t xml:space="preserve">The risk of developing any </w:t>
      </w:r>
      <w:r w:rsidR="00BC3679" w:rsidRPr="00683D62">
        <w:rPr>
          <w:rFonts w:ascii="Times New Roman" w:hAnsi="Times New Roman"/>
          <w:sz w:val="24"/>
          <w:szCs w:val="24"/>
          <w:lang w:val="en-US" w:eastAsia="de-DE"/>
        </w:rPr>
        <w:t xml:space="preserve">of these autoantibodies </w:t>
      </w:r>
      <w:r w:rsidR="004307CB" w:rsidRPr="00683D62">
        <w:rPr>
          <w:rFonts w:ascii="Times New Roman" w:hAnsi="Times New Roman"/>
          <w:sz w:val="24"/>
          <w:szCs w:val="24"/>
          <w:lang w:val="en-US" w:eastAsia="de-DE"/>
        </w:rPr>
        <w:t xml:space="preserve">was </w:t>
      </w:r>
      <w:r w:rsidR="00C22141" w:rsidRPr="00683D62">
        <w:rPr>
          <w:rFonts w:ascii="Times New Roman" w:hAnsi="Times New Roman"/>
          <w:sz w:val="24"/>
          <w:szCs w:val="24"/>
          <w:lang w:val="en-US" w:eastAsia="de-DE"/>
        </w:rPr>
        <w:t>21</w:t>
      </w:r>
      <w:r w:rsidR="00A410C7" w:rsidRPr="00683D62">
        <w:rPr>
          <w:rFonts w:ascii="Calibri Light" w:hAnsi="Calibri Light" w:cs="Calibri Light"/>
          <w:lang w:val="en-US"/>
        </w:rPr>
        <w:t>.</w:t>
      </w:r>
      <w:r w:rsidR="006316AD" w:rsidRPr="00683D62">
        <w:rPr>
          <w:rFonts w:ascii="Times New Roman" w:hAnsi="Times New Roman"/>
          <w:sz w:val="24"/>
          <w:szCs w:val="24"/>
          <w:lang w:val="en-US" w:eastAsia="de-DE"/>
        </w:rPr>
        <w:t>5</w:t>
      </w:r>
      <w:r w:rsidR="004307CB" w:rsidRPr="00683D62">
        <w:rPr>
          <w:rFonts w:ascii="Times New Roman" w:hAnsi="Times New Roman"/>
          <w:sz w:val="24"/>
          <w:szCs w:val="24"/>
          <w:lang w:val="en-US" w:eastAsia="de-DE"/>
        </w:rPr>
        <w:t>%</w:t>
      </w:r>
      <w:r w:rsidR="00CD6E6A"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by 20 years of age</w:t>
      </w:r>
      <w:r w:rsidR="004307CB" w:rsidRPr="00683D62">
        <w:rPr>
          <w:rFonts w:ascii="Times New Roman" w:hAnsi="Times New Roman"/>
          <w:sz w:val="24"/>
          <w:szCs w:val="24"/>
          <w:lang w:val="en-US" w:eastAsia="de-DE"/>
        </w:rPr>
        <w:t xml:space="preserve"> (95% CI</w:t>
      </w:r>
      <w:r w:rsidR="00C22141" w:rsidRPr="00683D62">
        <w:rPr>
          <w:rFonts w:ascii="Times New Roman" w:hAnsi="Times New Roman"/>
          <w:sz w:val="24"/>
          <w:szCs w:val="24"/>
          <w:lang w:val="en-US" w:eastAsia="de-DE"/>
        </w:rPr>
        <w:t>, 19</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5</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23</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5</w:t>
      </w:r>
      <w:r w:rsidR="00C22141" w:rsidRPr="00683D62">
        <w:rPr>
          <w:rFonts w:ascii="Times New Roman" w:hAnsi="Times New Roman"/>
          <w:sz w:val="24"/>
          <w:szCs w:val="24"/>
          <w:lang w:val="en-US" w:eastAsia="de-DE"/>
        </w:rPr>
        <w:t>%</w:t>
      </w:r>
      <w:r w:rsidR="004307CB" w:rsidRPr="00683D62">
        <w:rPr>
          <w:rFonts w:ascii="Times New Roman" w:hAnsi="Times New Roman"/>
          <w:sz w:val="24"/>
          <w:szCs w:val="24"/>
          <w:lang w:val="en-US" w:eastAsia="de-DE"/>
        </w:rPr>
        <w:t>) (</w:t>
      </w:r>
      <w:r w:rsidRPr="00683D62">
        <w:rPr>
          <w:rFonts w:ascii="Times New Roman" w:hAnsi="Times New Roman"/>
          <w:sz w:val="24"/>
          <w:szCs w:val="24"/>
          <w:lang w:val="en-US" w:eastAsia="de-DE"/>
        </w:rPr>
        <w:t xml:space="preserve">Figure </w:t>
      </w:r>
      <w:r w:rsidR="00E84ACA" w:rsidRPr="00683D62">
        <w:rPr>
          <w:rFonts w:ascii="Times New Roman" w:hAnsi="Times New Roman"/>
          <w:sz w:val="24"/>
          <w:szCs w:val="24"/>
          <w:lang w:val="en-US" w:eastAsia="de-DE"/>
        </w:rPr>
        <w:t>1D</w:t>
      </w:r>
      <w:r w:rsidR="004307CB" w:rsidRPr="00683D62">
        <w:rPr>
          <w:rFonts w:ascii="Times New Roman" w:hAnsi="Times New Roman"/>
          <w:sz w:val="24"/>
          <w:szCs w:val="24"/>
          <w:lang w:val="en-US" w:eastAsia="de-DE"/>
        </w:rPr>
        <w:t>).</w:t>
      </w:r>
    </w:p>
    <w:p w14:paraId="2945302B" w14:textId="3E402CE3" w:rsidR="000F5900" w:rsidRPr="00683D62" w:rsidRDefault="000F5900" w:rsidP="004307CB">
      <w:pPr>
        <w:autoSpaceDE w:val="0"/>
        <w:autoSpaceDN w:val="0"/>
        <w:adjustRightInd w:val="0"/>
        <w:spacing w:after="0" w:line="480" w:lineRule="auto"/>
        <w:jc w:val="both"/>
        <w:rPr>
          <w:rFonts w:ascii="Times New Roman" w:hAnsi="Times New Roman"/>
          <w:sz w:val="24"/>
          <w:szCs w:val="24"/>
          <w:lang w:val="en-US" w:eastAsia="de-DE"/>
        </w:rPr>
      </w:pPr>
    </w:p>
    <w:p w14:paraId="3F06DFA0" w14:textId="416FC4FE" w:rsidR="00D27F96" w:rsidRPr="00683D62" w:rsidRDefault="00D27F96" w:rsidP="004307CB">
      <w:pPr>
        <w:autoSpaceDE w:val="0"/>
        <w:autoSpaceDN w:val="0"/>
        <w:adjustRightInd w:val="0"/>
        <w:spacing w:after="0" w:line="480" w:lineRule="auto"/>
        <w:jc w:val="both"/>
        <w:rPr>
          <w:rFonts w:ascii="Times New Roman" w:hAnsi="Times New Roman"/>
          <w:sz w:val="24"/>
          <w:szCs w:val="24"/>
          <w:lang w:val="en-US" w:eastAsia="de-DE"/>
        </w:rPr>
      </w:pPr>
    </w:p>
    <w:p w14:paraId="77E50EC0" w14:textId="77777777" w:rsidR="00D27F96" w:rsidRPr="00683D62" w:rsidRDefault="00D27F96" w:rsidP="004307CB">
      <w:pPr>
        <w:autoSpaceDE w:val="0"/>
        <w:autoSpaceDN w:val="0"/>
        <w:adjustRightInd w:val="0"/>
        <w:spacing w:after="0" w:line="480" w:lineRule="auto"/>
        <w:jc w:val="both"/>
        <w:rPr>
          <w:rFonts w:ascii="Times New Roman" w:hAnsi="Times New Roman"/>
          <w:sz w:val="24"/>
          <w:szCs w:val="24"/>
          <w:lang w:val="en-US" w:eastAsia="de-DE"/>
        </w:rPr>
      </w:pPr>
    </w:p>
    <w:p w14:paraId="731C4524" w14:textId="45F431D3" w:rsidR="006368D3" w:rsidRPr="00683D62" w:rsidRDefault="00E84ACA" w:rsidP="008B2E42">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A</w:t>
      </w:r>
      <w:r w:rsidR="006368D3" w:rsidRPr="00683D62">
        <w:rPr>
          <w:rFonts w:ascii="Times New Roman" w:hAnsi="Times New Roman"/>
          <w:i/>
          <w:sz w:val="24"/>
          <w:szCs w:val="24"/>
          <w:lang w:val="en-US" w:eastAsia="de-DE"/>
        </w:rPr>
        <w:t>ge of seroconversion</w:t>
      </w:r>
      <w:r w:rsidRPr="00683D62">
        <w:rPr>
          <w:rFonts w:ascii="Times New Roman" w:hAnsi="Times New Roman"/>
          <w:i/>
          <w:sz w:val="24"/>
          <w:szCs w:val="24"/>
          <w:lang w:val="en-US" w:eastAsia="de-DE"/>
        </w:rPr>
        <w:t>, HLA, and sex</w:t>
      </w:r>
      <w:r w:rsidR="006368D3" w:rsidRPr="00683D62">
        <w:rPr>
          <w:rFonts w:ascii="Times New Roman" w:hAnsi="Times New Roman"/>
          <w:i/>
          <w:sz w:val="24"/>
          <w:szCs w:val="24"/>
          <w:lang w:val="en-US" w:eastAsia="de-DE"/>
        </w:rPr>
        <w:t xml:space="preserve"> </w:t>
      </w:r>
      <w:r w:rsidR="00F168FB" w:rsidRPr="00683D62">
        <w:rPr>
          <w:rFonts w:ascii="Times New Roman" w:hAnsi="Times New Roman"/>
          <w:i/>
          <w:sz w:val="24"/>
          <w:szCs w:val="24"/>
          <w:lang w:val="en-US" w:eastAsia="de-DE"/>
        </w:rPr>
        <w:t xml:space="preserve">distinctly </w:t>
      </w:r>
      <w:r w:rsidR="006368D3" w:rsidRPr="00683D62">
        <w:rPr>
          <w:rFonts w:ascii="Times New Roman" w:hAnsi="Times New Roman"/>
          <w:i/>
          <w:sz w:val="24"/>
          <w:szCs w:val="24"/>
          <w:lang w:val="en-US" w:eastAsia="de-DE"/>
        </w:rPr>
        <w:t xml:space="preserve">define </w:t>
      </w:r>
      <w:r w:rsidR="00BA2F1F" w:rsidRPr="00683D62">
        <w:rPr>
          <w:rFonts w:ascii="Times New Roman" w:hAnsi="Times New Roman"/>
          <w:i/>
          <w:sz w:val="24"/>
          <w:szCs w:val="24"/>
          <w:lang w:val="en-US" w:eastAsia="de-DE"/>
        </w:rPr>
        <w:t xml:space="preserve">the </w:t>
      </w:r>
      <w:r w:rsidR="006368D3" w:rsidRPr="00683D62">
        <w:rPr>
          <w:rFonts w:ascii="Times New Roman" w:hAnsi="Times New Roman"/>
          <w:i/>
          <w:sz w:val="24"/>
          <w:szCs w:val="24"/>
          <w:lang w:val="en-US" w:eastAsia="de-DE"/>
        </w:rPr>
        <w:t xml:space="preserve">risk </w:t>
      </w:r>
      <w:r w:rsidR="00F168FB" w:rsidRPr="00683D62">
        <w:rPr>
          <w:rFonts w:ascii="Times New Roman" w:hAnsi="Times New Roman"/>
          <w:i/>
          <w:sz w:val="24"/>
          <w:szCs w:val="24"/>
          <w:lang w:val="en-US" w:eastAsia="de-DE"/>
        </w:rPr>
        <w:t>of</w:t>
      </w:r>
      <w:r w:rsidR="006368D3" w:rsidRPr="00683D62">
        <w:rPr>
          <w:rFonts w:ascii="Times New Roman" w:hAnsi="Times New Roman"/>
          <w:i/>
          <w:sz w:val="24"/>
          <w:szCs w:val="24"/>
          <w:lang w:val="en-US" w:eastAsia="de-DE"/>
        </w:rPr>
        <w:t xml:space="preserve"> each </w:t>
      </w:r>
      <w:r w:rsidR="00DD6C3E" w:rsidRPr="00683D62">
        <w:rPr>
          <w:rFonts w:ascii="Times New Roman" w:hAnsi="Times New Roman"/>
          <w:i/>
          <w:sz w:val="24"/>
          <w:szCs w:val="24"/>
          <w:lang w:val="en-US" w:eastAsia="de-DE"/>
        </w:rPr>
        <w:t>autoimmun</w:t>
      </w:r>
      <w:r w:rsidR="009A6EBC" w:rsidRPr="00683D62">
        <w:rPr>
          <w:rFonts w:ascii="Times New Roman" w:hAnsi="Times New Roman"/>
          <w:i/>
          <w:sz w:val="24"/>
          <w:szCs w:val="24"/>
          <w:lang w:val="en-US" w:eastAsia="de-DE"/>
        </w:rPr>
        <w:t>ity</w:t>
      </w:r>
    </w:p>
    <w:p w14:paraId="2DFD3050" w14:textId="629282F6" w:rsidR="00E84ACA" w:rsidRPr="00683D62" w:rsidRDefault="00E84ACA" w:rsidP="00E84ACA">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Age was the most disparate feature between the three disease-associated autoantibodies (Figure 1E). The incidence of IA seroconversion was highest at ages of 9 months (incidence 16</w:t>
      </w:r>
      <w:r w:rsidRPr="00683D62">
        <w:rPr>
          <w:rFonts w:ascii="Calibri Light" w:hAnsi="Calibri Light" w:cs="Calibri Light"/>
          <w:lang w:val="en-US"/>
        </w:rPr>
        <w:t>.</w:t>
      </w:r>
      <w:r w:rsidRPr="00683D62">
        <w:rPr>
          <w:rFonts w:ascii="Times New Roman" w:hAnsi="Times New Roman"/>
          <w:sz w:val="24"/>
          <w:szCs w:val="24"/>
          <w:lang w:val="en-US" w:eastAsia="de-DE"/>
        </w:rPr>
        <w:t>4 per 1,000 person-years; SE, ± 2</w:t>
      </w:r>
      <w:r w:rsidRPr="00683D62">
        <w:rPr>
          <w:rFonts w:ascii="Calibri Light" w:hAnsi="Calibri Light" w:cs="Calibri Light"/>
          <w:lang w:val="en-US"/>
        </w:rPr>
        <w:t>.</w:t>
      </w:r>
      <w:r w:rsidRPr="00683D62">
        <w:rPr>
          <w:rFonts w:ascii="Times New Roman" w:hAnsi="Times New Roman"/>
          <w:sz w:val="24"/>
          <w:szCs w:val="24"/>
          <w:lang w:val="en-US" w:eastAsia="de-DE"/>
        </w:rPr>
        <w:t>8) and 2 years (incidence, 18 per 1,000 person-years; SE, ± 2</w:t>
      </w:r>
      <w:r w:rsidRPr="00683D62">
        <w:rPr>
          <w:rFonts w:ascii="Calibri Light" w:hAnsi="Calibri Light" w:cs="Calibri Light"/>
          <w:lang w:val="en-US"/>
        </w:rPr>
        <w:t>.</w:t>
      </w:r>
      <w:r w:rsidRPr="00683D62">
        <w:rPr>
          <w:rFonts w:ascii="Times New Roman" w:hAnsi="Times New Roman"/>
          <w:sz w:val="24"/>
          <w:szCs w:val="24"/>
          <w:lang w:val="en-US" w:eastAsia="de-DE"/>
        </w:rPr>
        <w:t>6), and decreased thereafter</w:t>
      </w:r>
      <w:r w:rsidR="000F5900" w:rsidRPr="00683D62">
        <w:rPr>
          <w:rFonts w:ascii="Times New Roman" w:hAnsi="Times New Roman"/>
          <w:sz w:val="24"/>
          <w:szCs w:val="24"/>
          <w:lang w:val="en-US" w:eastAsia="de-DE"/>
        </w:rPr>
        <w:t xml:space="preserve"> (p </w:t>
      </w:r>
      <w:r w:rsidR="005709D6" w:rsidRPr="00683D62">
        <w:rPr>
          <w:rFonts w:ascii="Times New Roman" w:hAnsi="Times New Roman"/>
          <w:sz w:val="24"/>
          <w:szCs w:val="24"/>
          <w:lang w:val="en-US" w:eastAsia="de-DE"/>
        </w:rPr>
        <w:t>&lt;</w:t>
      </w:r>
      <w:r w:rsidR="000F5900" w:rsidRPr="00683D62">
        <w:rPr>
          <w:rFonts w:ascii="Times New Roman" w:hAnsi="Times New Roman"/>
          <w:sz w:val="24"/>
          <w:szCs w:val="24"/>
          <w:lang w:val="en-US" w:eastAsia="de-DE"/>
        </w:rPr>
        <w:t>0.0</w:t>
      </w:r>
      <w:r w:rsidR="005709D6" w:rsidRPr="00683D62">
        <w:rPr>
          <w:rFonts w:ascii="Times New Roman" w:hAnsi="Times New Roman"/>
          <w:sz w:val="24"/>
          <w:szCs w:val="24"/>
          <w:lang w:val="en-US" w:eastAsia="de-DE"/>
        </w:rPr>
        <w:t xml:space="preserve">001 </w:t>
      </w:r>
      <w:r w:rsidR="000F5900" w:rsidRPr="00683D62">
        <w:rPr>
          <w:rFonts w:ascii="Times New Roman" w:hAnsi="Times New Roman"/>
          <w:sz w:val="24"/>
          <w:szCs w:val="24"/>
          <w:lang w:val="en-US" w:eastAsia="de-DE"/>
        </w:rPr>
        <w:t>incidence in first 2 years vs later)</w:t>
      </w:r>
      <w:r w:rsidRPr="00683D62">
        <w:rPr>
          <w:rFonts w:ascii="Times New Roman" w:hAnsi="Times New Roman"/>
          <w:sz w:val="24"/>
          <w:szCs w:val="24"/>
          <w:lang w:val="en-US" w:eastAsia="de-DE"/>
        </w:rPr>
        <w:t>. The peak incidence of seroconversion to TGA occurred at an age of 2 years (13</w:t>
      </w:r>
      <w:r w:rsidRPr="00683D62">
        <w:rPr>
          <w:rFonts w:ascii="Calibri Light" w:hAnsi="Calibri Light" w:cs="Calibri Light"/>
          <w:lang w:val="en-US"/>
        </w:rPr>
        <w:t>.</w:t>
      </w:r>
      <w:r w:rsidRPr="00683D62">
        <w:rPr>
          <w:rFonts w:ascii="Times New Roman" w:hAnsi="Times New Roman"/>
          <w:sz w:val="24"/>
          <w:szCs w:val="24"/>
          <w:lang w:val="en-US" w:eastAsia="de-DE"/>
        </w:rPr>
        <w:t>9 per 1,000 person-years; SE, ± 2.3), and the highest incidence of seroconversion to TPOA occurred broadly between the ages of 11 to 17 years (peak incidence at 14 years, 10</w:t>
      </w:r>
      <w:r w:rsidRPr="00683D62">
        <w:rPr>
          <w:rFonts w:ascii="Calibri Light" w:hAnsi="Calibri Light" w:cs="Calibri Light"/>
          <w:lang w:val="en-US"/>
        </w:rPr>
        <w:t>.</w:t>
      </w:r>
      <w:r w:rsidRPr="00683D62">
        <w:rPr>
          <w:rFonts w:ascii="Times New Roman" w:hAnsi="Times New Roman"/>
          <w:sz w:val="24"/>
          <w:szCs w:val="24"/>
          <w:lang w:val="en-US" w:eastAsia="de-DE"/>
        </w:rPr>
        <w:t>4 per 1,000 person-years; SE, ± 1.8). The median age of seroconversion to IA was 3</w:t>
      </w:r>
      <w:r w:rsidRPr="00683D62">
        <w:rPr>
          <w:rFonts w:ascii="Calibri Light" w:hAnsi="Calibri Light" w:cs="Calibri Light"/>
          <w:lang w:val="en-US"/>
        </w:rPr>
        <w:t>.</w:t>
      </w:r>
      <w:r w:rsidRPr="00683D62">
        <w:rPr>
          <w:rFonts w:ascii="Times New Roman" w:hAnsi="Times New Roman"/>
          <w:sz w:val="24"/>
          <w:szCs w:val="24"/>
          <w:lang w:val="en-US" w:eastAsia="de-DE"/>
        </w:rPr>
        <w:t>8 years (IQR, 1</w:t>
      </w:r>
      <w:r w:rsidRPr="00683D62">
        <w:rPr>
          <w:rFonts w:ascii="Calibri Light" w:hAnsi="Calibri Light" w:cs="Calibri Light"/>
          <w:lang w:val="en-US"/>
        </w:rPr>
        <w:t>.</w:t>
      </w:r>
      <w:r w:rsidRPr="00683D62">
        <w:rPr>
          <w:rFonts w:ascii="Times New Roman" w:hAnsi="Times New Roman"/>
          <w:sz w:val="24"/>
          <w:szCs w:val="24"/>
          <w:lang w:val="en-US" w:eastAsia="de-DE"/>
        </w:rPr>
        <w:t>8-7</w:t>
      </w:r>
      <w:r w:rsidRPr="00683D62">
        <w:rPr>
          <w:rFonts w:ascii="Calibri Light" w:hAnsi="Calibri Light" w:cs="Calibri Light"/>
          <w:lang w:val="en-US"/>
        </w:rPr>
        <w:t>.</w:t>
      </w:r>
      <w:r w:rsidRPr="00683D62">
        <w:rPr>
          <w:rFonts w:ascii="Times New Roman" w:hAnsi="Times New Roman"/>
          <w:sz w:val="24"/>
          <w:szCs w:val="24"/>
          <w:lang w:val="en-US" w:eastAsia="de-DE"/>
        </w:rPr>
        <w:t>6 years), to TGA was 5</w:t>
      </w:r>
      <w:r w:rsidRPr="00683D62">
        <w:rPr>
          <w:rFonts w:ascii="Calibri Light" w:hAnsi="Calibri Light" w:cs="Calibri Light"/>
          <w:lang w:val="en-US"/>
        </w:rPr>
        <w:t>.</w:t>
      </w:r>
      <w:r w:rsidRPr="00683D62">
        <w:rPr>
          <w:rFonts w:ascii="Times New Roman" w:hAnsi="Times New Roman"/>
          <w:sz w:val="24"/>
          <w:szCs w:val="24"/>
          <w:lang w:val="en-US" w:eastAsia="de-DE"/>
        </w:rPr>
        <w:t>1 years (IQR, 3</w:t>
      </w:r>
      <w:r w:rsidRPr="00683D62">
        <w:rPr>
          <w:rFonts w:ascii="Calibri Light" w:hAnsi="Calibri Light" w:cs="Calibri Light"/>
          <w:lang w:val="en-US"/>
        </w:rPr>
        <w:t>.</w:t>
      </w:r>
      <w:r w:rsidRPr="00683D62">
        <w:rPr>
          <w:rFonts w:ascii="Times New Roman" w:hAnsi="Times New Roman"/>
          <w:sz w:val="24"/>
          <w:szCs w:val="24"/>
          <w:lang w:val="en-US" w:eastAsia="de-DE"/>
        </w:rPr>
        <w:t>0-8</w:t>
      </w:r>
      <w:r w:rsidRPr="00683D62">
        <w:rPr>
          <w:rFonts w:ascii="Calibri Light" w:hAnsi="Calibri Light" w:cs="Calibri Light"/>
          <w:lang w:val="en-US"/>
        </w:rPr>
        <w:t>.</w:t>
      </w:r>
      <w:r w:rsidRPr="00683D62">
        <w:rPr>
          <w:rFonts w:ascii="Times New Roman" w:hAnsi="Times New Roman"/>
          <w:sz w:val="24"/>
          <w:szCs w:val="24"/>
          <w:lang w:val="en-US" w:eastAsia="de-DE"/>
        </w:rPr>
        <w:t>0 years</w:t>
      </w:r>
      <w:r w:rsidR="00464E93" w:rsidRPr="00751E57">
        <w:rPr>
          <w:rFonts w:ascii="Times New Roman" w:hAnsi="Times New Roman"/>
          <w:sz w:val="24"/>
          <w:szCs w:val="24"/>
          <w:lang w:val="en-US" w:eastAsia="de-DE"/>
        </w:rPr>
        <w:t>; p=</w:t>
      </w:r>
      <w:r w:rsidR="00751E57" w:rsidRPr="00751E57">
        <w:rPr>
          <w:rFonts w:ascii="Times New Roman" w:hAnsi="Times New Roman"/>
          <w:sz w:val="24"/>
          <w:szCs w:val="24"/>
          <w:lang w:val="en-US" w:eastAsia="de-DE"/>
        </w:rPr>
        <w:t xml:space="preserve">&lt;0.0001 </w:t>
      </w:r>
      <w:r w:rsidR="00464E93" w:rsidRPr="00751E57">
        <w:rPr>
          <w:rFonts w:ascii="Times New Roman" w:hAnsi="Times New Roman"/>
          <w:sz w:val="24"/>
          <w:szCs w:val="24"/>
          <w:lang w:val="en-US" w:eastAsia="de-DE"/>
        </w:rPr>
        <w:t>vs IA</w:t>
      </w:r>
      <w:r w:rsidRPr="00751E57">
        <w:rPr>
          <w:rFonts w:ascii="Times New Roman" w:hAnsi="Times New Roman"/>
          <w:sz w:val="24"/>
          <w:szCs w:val="24"/>
          <w:lang w:val="en-US" w:eastAsia="de-DE"/>
        </w:rPr>
        <w:t>), and to TPOA was 11</w:t>
      </w:r>
      <w:r w:rsidRPr="00751E57">
        <w:rPr>
          <w:rFonts w:ascii="Calibri Light" w:hAnsi="Calibri Light" w:cs="Calibri Light"/>
          <w:lang w:val="en-US"/>
        </w:rPr>
        <w:t>.</w:t>
      </w:r>
      <w:r w:rsidRPr="00751E57">
        <w:rPr>
          <w:rFonts w:ascii="Times New Roman" w:hAnsi="Times New Roman"/>
          <w:sz w:val="24"/>
          <w:szCs w:val="24"/>
          <w:lang w:val="en-US" w:eastAsia="de-DE"/>
        </w:rPr>
        <w:t>3 years (IQR, 8</w:t>
      </w:r>
      <w:r w:rsidRPr="00751E57">
        <w:rPr>
          <w:rFonts w:ascii="Calibri Light" w:hAnsi="Calibri Light" w:cs="Calibri Light"/>
          <w:lang w:val="en-US"/>
        </w:rPr>
        <w:t>.</w:t>
      </w:r>
      <w:r w:rsidRPr="00751E57">
        <w:rPr>
          <w:rFonts w:ascii="Times New Roman" w:hAnsi="Times New Roman"/>
          <w:sz w:val="24"/>
          <w:szCs w:val="24"/>
          <w:lang w:val="en-US" w:eastAsia="de-DE"/>
        </w:rPr>
        <w:t>3-14</w:t>
      </w:r>
      <w:r w:rsidRPr="00751E57">
        <w:rPr>
          <w:rFonts w:ascii="Calibri Light" w:hAnsi="Calibri Light" w:cs="Calibri Light"/>
          <w:lang w:val="en-US"/>
        </w:rPr>
        <w:t>.</w:t>
      </w:r>
      <w:r w:rsidRPr="00751E57">
        <w:rPr>
          <w:rFonts w:ascii="Times New Roman" w:hAnsi="Times New Roman"/>
          <w:sz w:val="24"/>
          <w:szCs w:val="24"/>
          <w:lang w:val="en-US" w:eastAsia="de-DE"/>
        </w:rPr>
        <w:t>5 years</w:t>
      </w:r>
      <w:r w:rsidR="00464E93" w:rsidRPr="00751E57">
        <w:rPr>
          <w:rFonts w:ascii="Times New Roman" w:hAnsi="Times New Roman"/>
          <w:sz w:val="24"/>
          <w:szCs w:val="24"/>
          <w:lang w:val="en-US" w:eastAsia="de-DE"/>
        </w:rPr>
        <w:t xml:space="preserve">; </w:t>
      </w:r>
      <w:r w:rsidR="00751E57" w:rsidRPr="00751E57">
        <w:rPr>
          <w:rFonts w:ascii="Times New Roman" w:hAnsi="Times New Roman"/>
          <w:sz w:val="24"/>
          <w:szCs w:val="24"/>
          <w:lang w:val="en-US" w:eastAsia="de-DE"/>
        </w:rPr>
        <w:t xml:space="preserve">p=&lt;0.0001 </w:t>
      </w:r>
      <w:r w:rsidR="00464E93" w:rsidRPr="00751E57">
        <w:rPr>
          <w:rFonts w:ascii="Times New Roman" w:hAnsi="Times New Roman"/>
          <w:sz w:val="24"/>
          <w:szCs w:val="24"/>
          <w:lang w:val="en-US" w:eastAsia="de-DE"/>
        </w:rPr>
        <w:t xml:space="preserve">vs IA; </w:t>
      </w:r>
      <w:r w:rsidR="00751E57" w:rsidRPr="00751E57">
        <w:rPr>
          <w:rFonts w:ascii="Times New Roman" w:hAnsi="Times New Roman"/>
          <w:sz w:val="24"/>
          <w:szCs w:val="24"/>
          <w:lang w:val="en-US" w:eastAsia="de-DE"/>
        </w:rPr>
        <w:t xml:space="preserve">p=&lt;0.0001 </w:t>
      </w:r>
      <w:r w:rsidR="00464E93" w:rsidRPr="00751E57">
        <w:rPr>
          <w:rFonts w:ascii="Times New Roman" w:hAnsi="Times New Roman"/>
          <w:sz w:val="24"/>
          <w:szCs w:val="24"/>
          <w:lang w:val="en-US" w:eastAsia="de-DE"/>
        </w:rPr>
        <w:t>vs TGA</w:t>
      </w:r>
      <w:r w:rsidRPr="00751E57">
        <w:rPr>
          <w:rFonts w:ascii="Times New Roman" w:hAnsi="Times New Roman"/>
          <w:sz w:val="24"/>
          <w:szCs w:val="24"/>
          <w:lang w:val="en-US" w:eastAsia="de-DE"/>
        </w:rPr>
        <w:t>).</w:t>
      </w:r>
    </w:p>
    <w:p w14:paraId="1E957D2D" w14:textId="3BF3C91D" w:rsidR="009C4280" w:rsidRPr="00683D62" w:rsidRDefault="00F20CC7" w:rsidP="008B2E42">
      <w:pPr>
        <w:pStyle w:val="Kommentartext"/>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IA, TGA, and TPOA</w:t>
      </w:r>
      <w:r w:rsidR="009379D1"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were</w:t>
      </w:r>
      <w:r w:rsidR="00597B74" w:rsidRPr="00683D62">
        <w:rPr>
          <w:rFonts w:ascii="Times New Roman" w:hAnsi="Times New Roman"/>
          <w:sz w:val="24"/>
          <w:szCs w:val="24"/>
          <w:lang w:val="en-US" w:eastAsia="de-DE"/>
        </w:rPr>
        <w:t xml:space="preserve"> </w:t>
      </w:r>
      <w:r w:rsidR="00746AC0" w:rsidRPr="00683D62">
        <w:rPr>
          <w:rFonts w:ascii="Times New Roman" w:hAnsi="Times New Roman"/>
          <w:sz w:val="24"/>
          <w:szCs w:val="24"/>
          <w:lang w:val="en-US" w:eastAsia="de-DE"/>
        </w:rPr>
        <w:t xml:space="preserve">also </w:t>
      </w:r>
      <w:r w:rsidR="009379D1" w:rsidRPr="00683D62">
        <w:rPr>
          <w:rFonts w:ascii="Times New Roman" w:hAnsi="Times New Roman"/>
          <w:sz w:val="24"/>
          <w:szCs w:val="24"/>
          <w:lang w:val="en-US" w:eastAsia="de-DE"/>
        </w:rPr>
        <w:t>defined by distinct HLA</w:t>
      </w:r>
      <w:r w:rsidR="00746AC0" w:rsidRPr="00683D62">
        <w:rPr>
          <w:rFonts w:ascii="Times New Roman" w:hAnsi="Times New Roman"/>
          <w:sz w:val="24"/>
          <w:szCs w:val="24"/>
          <w:lang w:val="en-US" w:eastAsia="de-DE"/>
        </w:rPr>
        <w:t xml:space="preserve"> and</w:t>
      </w:r>
      <w:r w:rsidR="009379D1" w:rsidRPr="00683D62">
        <w:rPr>
          <w:rFonts w:ascii="Times New Roman" w:hAnsi="Times New Roman"/>
          <w:sz w:val="24"/>
          <w:szCs w:val="24"/>
          <w:lang w:val="en-US" w:eastAsia="de-DE"/>
        </w:rPr>
        <w:t xml:space="preserve"> sex profiles</w:t>
      </w:r>
      <w:r w:rsidR="007E185D" w:rsidRPr="00683D62">
        <w:rPr>
          <w:rFonts w:ascii="Times New Roman" w:hAnsi="Times New Roman"/>
          <w:sz w:val="24"/>
          <w:szCs w:val="24"/>
          <w:lang w:val="en-US" w:eastAsia="de-DE"/>
        </w:rPr>
        <w:t xml:space="preserve"> (</w:t>
      </w:r>
      <w:r w:rsidR="00597B74" w:rsidRPr="00683D62">
        <w:rPr>
          <w:rFonts w:ascii="Times New Roman" w:hAnsi="Times New Roman"/>
          <w:sz w:val="24"/>
          <w:szCs w:val="24"/>
          <w:lang w:val="en-US" w:eastAsia="de-DE"/>
        </w:rPr>
        <w:t xml:space="preserve">Figures </w:t>
      </w:r>
      <w:r w:rsidR="00264424" w:rsidRPr="00683D62">
        <w:rPr>
          <w:rFonts w:ascii="Times New Roman" w:hAnsi="Times New Roman"/>
          <w:sz w:val="24"/>
          <w:szCs w:val="24"/>
          <w:lang w:val="en-US" w:eastAsia="de-DE"/>
        </w:rPr>
        <w:t>S</w:t>
      </w:r>
      <w:r w:rsidR="00E84ACA" w:rsidRPr="00683D62">
        <w:rPr>
          <w:rFonts w:ascii="Times New Roman" w:hAnsi="Times New Roman"/>
          <w:sz w:val="24"/>
          <w:szCs w:val="24"/>
          <w:lang w:val="en-US" w:eastAsia="de-DE"/>
        </w:rPr>
        <w:t>2</w:t>
      </w:r>
      <w:r w:rsidR="00264424" w:rsidRPr="00683D62">
        <w:rPr>
          <w:rFonts w:ascii="Times New Roman" w:hAnsi="Times New Roman"/>
          <w:sz w:val="24"/>
          <w:szCs w:val="24"/>
          <w:lang w:val="en-US" w:eastAsia="de-DE"/>
        </w:rPr>
        <w:t>,</w:t>
      </w:r>
      <w:r w:rsidR="00597B74" w:rsidRPr="00683D62">
        <w:rPr>
          <w:rFonts w:ascii="Times New Roman" w:hAnsi="Times New Roman"/>
          <w:sz w:val="24"/>
          <w:szCs w:val="24"/>
          <w:lang w:val="en-US" w:eastAsia="de-DE"/>
        </w:rPr>
        <w:t xml:space="preserve"> </w:t>
      </w:r>
      <w:r w:rsidR="00E84ACA" w:rsidRPr="00683D62">
        <w:rPr>
          <w:rFonts w:ascii="Times New Roman" w:hAnsi="Times New Roman"/>
          <w:sz w:val="24"/>
          <w:szCs w:val="24"/>
          <w:lang w:val="en-US" w:eastAsia="de-DE"/>
        </w:rPr>
        <w:t>S3</w:t>
      </w:r>
      <w:r w:rsidR="007E185D" w:rsidRPr="00683D62">
        <w:rPr>
          <w:rFonts w:ascii="Times New Roman" w:hAnsi="Times New Roman"/>
          <w:sz w:val="24"/>
          <w:szCs w:val="24"/>
          <w:lang w:val="en-US" w:eastAsia="de-DE"/>
        </w:rPr>
        <w:t>)</w:t>
      </w:r>
      <w:r w:rsidR="009379D1" w:rsidRPr="00683D62">
        <w:rPr>
          <w:rFonts w:ascii="Times New Roman" w:hAnsi="Times New Roman"/>
          <w:sz w:val="24"/>
          <w:szCs w:val="24"/>
          <w:lang w:val="en-US" w:eastAsia="de-DE"/>
        </w:rPr>
        <w:t xml:space="preserve">. </w:t>
      </w:r>
      <w:r w:rsidR="000F5900" w:rsidRPr="00683D62">
        <w:rPr>
          <w:rFonts w:ascii="Times New Roman" w:hAnsi="Times New Roman"/>
          <w:sz w:val="24"/>
          <w:szCs w:val="24"/>
          <w:lang w:val="en-US" w:eastAsia="de-DE"/>
        </w:rPr>
        <w:t xml:space="preserve">The risk for </w:t>
      </w:r>
      <w:r w:rsidR="000E6EFF" w:rsidRPr="00683D62">
        <w:rPr>
          <w:rFonts w:ascii="Times New Roman" w:hAnsi="Times New Roman"/>
          <w:sz w:val="24"/>
          <w:szCs w:val="24"/>
          <w:lang w:val="en-US" w:eastAsia="de-DE"/>
        </w:rPr>
        <w:t>IA</w:t>
      </w:r>
      <w:r w:rsidR="00FA33D2" w:rsidRPr="00683D62">
        <w:rPr>
          <w:rFonts w:ascii="Times New Roman" w:hAnsi="Times New Roman"/>
          <w:sz w:val="24"/>
          <w:szCs w:val="24"/>
          <w:lang w:val="en-US" w:eastAsia="de-DE"/>
        </w:rPr>
        <w:t xml:space="preserve"> was associated with </w:t>
      </w:r>
      <w:r w:rsidR="00D537B9" w:rsidRPr="00683D62">
        <w:rPr>
          <w:rFonts w:ascii="Times New Roman" w:hAnsi="Times New Roman"/>
          <w:sz w:val="24"/>
          <w:szCs w:val="24"/>
          <w:lang w:val="en-US" w:eastAsia="de-DE"/>
        </w:rPr>
        <w:t xml:space="preserve">HLA </w:t>
      </w:r>
      <w:r w:rsidR="00FA33D2" w:rsidRPr="00683D62">
        <w:rPr>
          <w:rFonts w:ascii="Times New Roman" w:hAnsi="Times New Roman"/>
          <w:sz w:val="24"/>
          <w:szCs w:val="24"/>
          <w:lang w:val="en-US" w:eastAsia="de-DE"/>
        </w:rPr>
        <w:t>DR3/DR4-DQ8</w:t>
      </w:r>
      <w:r w:rsidR="007E185D" w:rsidRPr="00683D62">
        <w:rPr>
          <w:rFonts w:ascii="Times New Roman" w:hAnsi="Times New Roman"/>
          <w:sz w:val="24"/>
          <w:szCs w:val="24"/>
          <w:lang w:val="en-US" w:eastAsia="de-DE"/>
        </w:rPr>
        <w:t xml:space="preserve"> (27</w:t>
      </w:r>
      <w:r w:rsidR="00A410C7" w:rsidRPr="00683D62">
        <w:rPr>
          <w:rFonts w:ascii="Calibri Light" w:hAnsi="Calibri Light" w:cs="Calibri Light"/>
          <w:lang w:val="en-US"/>
        </w:rPr>
        <w:t>.</w:t>
      </w:r>
      <w:r w:rsidR="007E185D" w:rsidRPr="00683D62">
        <w:rPr>
          <w:rFonts w:ascii="Times New Roman" w:hAnsi="Times New Roman"/>
          <w:sz w:val="24"/>
          <w:szCs w:val="24"/>
          <w:lang w:val="en-US" w:eastAsia="de-DE"/>
        </w:rPr>
        <w:t>2</w:t>
      </w:r>
      <w:r w:rsidR="00091EEF" w:rsidRPr="00683D62">
        <w:rPr>
          <w:rFonts w:ascii="Times New Roman" w:hAnsi="Times New Roman"/>
          <w:sz w:val="24"/>
          <w:szCs w:val="24"/>
          <w:lang w:val="en-US" w:eastAsia="de-DE"/>
        </w:rPr>
        <w:t>% by 20 years of age; 95%</w:t>
      </w:r>
      <w:r w:rsidR="00CD6E6A" w:rsidRPr="00683D62">
        <w:rPr>
          <w:rFonts w:ascii="Times New Roman" w:hAnsi="Times New Roman"/>
          <w:sz w:val="24"/>
          <w:szCs w:val="24"/>
          <w:lang w:val="en-US" w:eastAsia="de-DE"/>
        </w:rPr>
        <w:t xml:space="preserve"> </w:t>
      </w:r>
      <w:r w:rsidR="00091EEF" w:rsidRPr="00683D62">
        <w:rPr>
          <w:rFonts w:ascii="Times New Roman" w:hAnsi="Times New Roman"/>
          <w:sz w:val="24"/>
          <w:szCs w:val="24"/>
          <w:lang w:val="en-US" w:eastAsia="de-DE"/>
        </w:rPr>
        <w:t>CI, 20</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3%</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34</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1</w:t>
      </w:r>
      <w:r w:rsidR="007E185D" w:rsidRPr="00683D62">
        <w:rPr>
          <w:rFonts w:ascii="Times New Roman" w:hAnsi="Times New Roman"/>
          <w:sz w:val="24"/>
          <w:szCs w:val="24"/>
          <w:lang w:val="en-US" w:eastAsia="de-DE"/>
        </w:rPr>
        <w:t>%</w:t>
      </w:r>
      <w:r w:rsidR="000F5900" w:rsidRPr="00683D62">
        <w:rPr>
          <w:rFonts w:ascii="Times New Roman" w:hAnsi="Times New Roman"/>
          <w:sz w:val="24"/>
          <w:szCs w:val="24"/>
          <w:lang w:val="en-US" w:eastAsia="de-DE"/>
        </w:rPr>
        <w:t xml:space="preserve"> in children with HLA DR3/DR4-DQ8; </w:t>
      </w:r>
      <w:r w:rsidR="007137E1" w:rsidRPr="00683D62">
        <w:rPr>
          <w:rFonts w:ascii="Times New Roman" w:hAnsi="Times New Roman"/>
          <w:sz w:val="24"/>
          <w:szCs w:val="24"/>
          <w:lang w:val="en-US" w:eastAsia="de-DE"/>
        </w:rPr>
        <w:t xml:space="preserve">p&lt;0.0001 </w:t>
      </w:r>
      <w:r w:rsidR="000F5900" w:rsidRPr="00683D62">
        <w:rPr>
          <w:rFonts w:ascii="Times New Roman" w:hAnsi="Times New Roman"/>
          <w:sz w:val="24"/>
          <w:szCs w:val="24"/>
          <w:lang w:val="en-US" w:eastAsia="de-DE"/>
        </w:rPr>
        <w:t>vs rest</w:t>
      </w:r>
      <w:r w:rsidR="007E185D" w:rsidRPr="00683D62">
        <w:rPr>
          <w:rFonts w:ascii="Times New Roman" w:hAnsi="Times New Roman"/>
          <w:sz w:val="24"/>
          <w:szCs w:val="24"/>
          <w:lang w:val="en-US" w:eastAsia="de-DE"/>
        </w:rPr>
        <w:t>)</w:t>
      </w:r>
      <w:r w:rsidR="00597B74" w:rsidRPr="00683D62">
        <w:rPr>
          <w:rFonts w:ascii="Times New Roman" w:hAnsi="Times New Roman"/>
          <w:sz w:val="24"/>
          <w:szCs w:val="24"/>
          <w:lang w:val="en-US" w:eastAsia="de-DE"/>
        </w:rPr>
        <w:t>,</w:t>
      </w:r>
      <w:r w:rsidR="007E185D" w:rsidRPr="00683D62">
        <w:rPr>
          <w:rFonts w:ascii="Times New Roman" w:hAnsi="Times New Roman"/>
          <w:sz w:val="24"/>
          <w:szCs w:val="24"/>
          <w:lang w:val="en-US" w:eastAsia="de-DE"/>
        </w:rPr>
        <w:t xml:space="preserve"> </w:t>
      </w:r>
      <w:r w:rsidR="000F5900" w:rsidRPr="00683D62">
        <w:rPr>
          <w:rFonts w:ascii="Times New Roman" w:hAnsi="Times New Roman"/>
          <w:sz w:val="24"/>
          <w:szCs w:val="24"/>
          <w:lang w:val="en-US" w:eastAsia="de-DE"/>
        </w:rPr>
        <w:t xml:space="preserve">and </w:t>
      </w:r>
      <w:r w:rsidR="007E185D" w:rsidRPr="00683D62">
        <w:rPr>
          <w:rFonts w:ascii="Times New Roman" w:hAnsi="Times New Roman"/>
          <w:sz w:val="24"/>
          <w:szCs w:val="24"/>
          <w:lang w:val="en-US" w:eastAsia="de-DE"/>
        </w:rPr>
        <w:t>no</w:t>
      </w:r>
      <w:r w:rsidR="000F5900" w:rsidRPr="00683D62">
        <w:rPr>
          <w:rFonts w:ascii="Times New Roman" w:hAnsi="Times New Roman"/>
          <w:sz w:val="24"/>
          <w:szCs w:val="24"/>
          <w:lang w:val="en-US" w:eastAsia="de-DE"/>
        </w:rPr>
        <w:t>t with</w:t>
      </w:r>
      <w:r w:rsidR="007E185D" w:rsidRPr="00683D62">
        <w:rPr>
          <w:rFonts w:ascii="Times New Roman" w:hAnsi="Times New Roman"/>
          <w:sz w:val="24"/>
          <w:szCs w:val="24"/>
          <w:lang w:val="en-US" w:eastAsia="de-DE"/>
        </w:rPr>
        <w:t xml:space="preserve"> sex.</w:t>
      </w:r>
      <w:r w:rsidR="00597B74" w:rsidRPr="00683D62">
        <w:rPr>
          <w:rFonts w:ascii="Times New Roman" w:hAnsi="Times New Roman"/>
          <w:sz w:val="24"/>
          <w:szCs w:val="24"/>
          <w:lang w:val="en-US" w:eastAsia="de-DE"/>
        </w:rPr>
        <w:t xml:space="preserve"> </w:t>
      </w:r>
      <w:r w:rsidR="00FA33D2" w:rsidRPr="00683D62">
        <w:rPr>
          <w:rFonts w:ascii="Times New Roman" w:hAnsi="Times New Roman"/>
          <w:sz w:val="24"/>
          <w:szCs w:val="24"/>
          <w:lang w:val="en-US" w:eastAsia="de-DE"/>
        </w:rPr>
        <w:t>TGA positivity was associated with HLA DR3/3</w:t>
      </w:r>
      <w:r w:rsidR="007E185D" w:rsidRPr="00683D62">
        <w:rPr>
          <w:rFonts w:ascii="Times New Roman" w:hAnsi="Times New Roman"/>
          <w:sz w:val="24"/>
          <w:szCs w:val="24"/>
          <w:lang w:val="en-US" w:eastAsia="de-DE"/>
        </w:rPr>
        <w:t xml:space="preserve"> (35</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9% by 20 years of age; 95%</w:t>
      </w:r>
      <w:r w:rsidR="00597B74" w:rsidRPr="00683D62">
        <w:rPr>
          <w:rFonts w:ascii="Times New Roman" w:hAnsi="Times New Roman"/>
          <w:sz w:val="24"/>
          <w:szCs w:val="24"/>
          <w:lang w:val="en-US" w:eastAsia="de-DE"/>
        </w:rPr>
        <w:t xml:space="preserve"> </w:t>
      </w:r>
      <w:r w:rsidR="00091EEF" w:rsidRPr="00683D62">
        <w:rPr>
          <w:rFonts w:ascii="Times New Roman" w:hAnsi="Times New Roman"/>
          <w:sz w:val="24"/>
          <w:szCs w:val="24"/>
          <w:lang w:val="en-US" w:eastAsia="de-DE"/>
        </w:rPr>
        <w:t>CI, 22</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4%</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49</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4</w:t>
      </w:r>
      <w:r w:rsidR="007E185D" w:rsidRPr="00683D62">
        <w:rPr>
          <w:rFonts w:ascii="Times New Roman" w:hAnsi="Times New Roman"/>
          <w:sz w:val="24"/>
          <w:szCs w:val="24"/>
          <w:lang w:val="en-US" w:eastAsia="de-DE"/>
        </w:rPr>
        <w:t>%</w:t>
      </w:r>
      <w:r w:rsidR="000F5900" w:rsidRPr="00683D62">
        <w:rPr>
          <w:rFonts w:ascii="Times New Roman" w:hAnsi="Times New Roman"/>
          <w:sz w:val="24"/>
          <w:szCs w:val="24"/>
          <w:lang w:val="en-US" w:eastAsia="de-DE"/>
        </w:rPr>
        <w:t xml:space="preserve"> in HLA DR3/3 children; </w:t>
      </w:r>
      <w:r w:rsidR="007137E1" w:rsidRPr="00683D62">
        <w:rPr>
          <w:rFonts w:ascii="Times New Roman" w:hAnsi="Times New Roman"/>
          <w:sz w:val="24"/>
          <w:szCs w:val="24"/>
          <w:lang w:val="en-US" w:eastAsia="de-DE"/>
        </w:rPr>
        <w:t xml:space="preserve">p&lt;0.0001 </w:t>
      </w:r>
      <w:r w:rsidR="000F5900" w:rsidRPr="00683D62">
        <w:rPr>
          <w:rFonts w:ascii="Times New Roman" w:hAnsi="Times New Roman"/>
          <w:sz w:val="24"/>
          <w:szCs w:val="24"/>
          <w:lang w:val="en-US" w:eastAsia="de-DE"/>
        </w:rPr>
        <w:t>vs rest</w:t>
      </w:r>
      <w:r w:rsidR="007E185D" w:rsidRPr="00683D62">
        <w:rPr>
          <w:rFonts w:ascii="Times New Roman" w:hAnsi="Times New Roman"/>
          <w:sz w:val="24"/>
          <w:szCs w:val="24"/>
          <w:lang w:val="en-US" w:eastAsia="de-DE"/>
        </w:rPr>
        <w:t>) and was higher in</w:t>
      </w:r>
      <w:r w:rsidR="00FA33D2" w:rsidRPr="00683D62">
        <w:rPr>
          <w:rFonts w:ascii="Times New Roman" w:hAnsi="Times New Roman"/>
          <w:sz w:val="24"/>
          <w:szCs w:val="24"/>
          <w:lang w:val="en-US" w:eastAsia="de-DE"/>
        </w:rPr>
        <w:t xml:space="preserve"> females</w:t>
      </w:r>
      <w:r w:rsidR="007E185D" w:rsidRPr="00683D62">
        <w:rPr>
          <w:rFonts w:ascii="Times New Roman" w:hAnsi="Times New Roman"/>
          <w:sz w:val="24"/>
          <w:szCs w:val="24"/>
          <w:lang w:val="en-US" w:eastAsia="de-DE"/>
        </w:rPr>
        <w:t xml:space="preserve"> (</w:t>
      </w:r>
      <w:r w:rsidR="00642B9E" w:rsidRPr="00683D62">
        <w:rPr>
          <w:rFonts w:ascii="Times New Roman" w:hAnsi="Times New Roman"/>
          <w:sz w:val="24"/>
          <w:szCs w:val="24"/>
          <w:lang w:val="en-US" w:eastAsia="de-DE"/>
        </w:rPr>
        <w:t>7</w:t>
      </w:r>
      <w:r w:rsidR="00A410C7" w:rsidRPr="00683D62">
        <w:rPr>
          <w:rFonts w:ascii="Calibri Light" w:hAnsi="Calibri Light" w:cs="Calibri Light"/>
          <w:lang w:val="en-US"/>
        </w:rPr>
        <w:t>.</w:t>
      </w:r>
      <w:r w:rsidR="00642B9E" w:rsidRPr="00683D62">
        <w:rPr>
          <w:rFonts w:ascii="Times New Roman" w:hAnsi="Times New Roman"/>
          <w:sz w:val="24"/>
          <w:szCs w:val="24"/>
          <w:lang w:val="en-US" w:eastAsia="de-DE"/>
        </w:rPr>
        <w:t>9</w:t>
      </w:r>
      <w:r w:rsidR="007E185D" w:rsidRPr="00683D62">
        <w:rPr>
          <w:rFonts w:ascii="Times New Roman" w:hAnsi="Times New Roman"/>
          <w:sz w:val="24"/>
          <w:szCs w:val="24"/>
          <w:lang w:val="en-US" w:eastAsia="de-DE"/>
        </w:rPr>
        <w:t>%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CI, 6</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1</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9</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7</w:t>
      </w:r>
      <w:r w:rsidR="007E185D" w:rsidRPr="00683D62">
        <w:rPr>
          <w:rFonts w:ascii="Times New Roman" w:hAnsi="Times New Roman"/>
          <w:sz w:val="24"/>
          <w:szCs w:val="24"/>
          <w:lang w:val="en-US" w:eastAsia="de-DE"/>
        </w:rPr>
        <w:t>%) than males (4</w:t>
      </w:r>
      <w:r w:rsidR="00A410C7" w:rsidRPr="00683D62">
        <w:rPr>
          <w:rFonts w:ascii="Calibri Light" w:hAnsi="Calibri Light" w:cs="Calibri Light"/>
          <w:lang w:val="en-US"/>
        </w:rPr>
        <w:t>.</w:t>
      </w:r>
      <w:r w:rsidR="00E653FB" w:rsidRPr="00683D62">
        <w:rPr>
          <w:rFonts w:ascii="Times New Roman" w:hAnsi="Times New Roman"/>
          <w:sz w:val="24"/>
          <w:szCs w:val="24"/>
          <w:lang w:val="en-US" w:eastAsia="de-DE"/>
        </w:rPr>
        <w:t>8</w:t>
      </w:r>
      <w:r w:rsidR="007E185D" w:rsidRPr="00683D62">
        <w:rPr>
          <w:rFonts w:ascii="Times New Roman" w:hAnsi="Times New Roman"/>
          <w:sz w:val="24"/>
          <w:szCs w:val="24"/>
          <w:lang w:val="en-US" w:eastAsia="de-DE"/>
        </w:rPr>
        <w:t>%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 xml:space="preserve">CI, </w:t>
      </w:r>
      <w:r w:rsidR="00091EEF" w:rsidRPr="00683D62">
        <w:rPr>
          <w:rFonts w:ascii="Times New Roman" w:hAnsi="Times New Roman"/>
          <w:sz w:val="24"/>
          <w:szCs w:val="24"/>
          <w:lang w:val="en-US" w:eastAsia="de-DE"/>
        </w:rPr>
        <w:t>3</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4</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091EEF" w:rsidRPr="00683D62">
        <w:rPr>
          <w:rFonts w:ascii="Times New Roman" w:hAnsi="Times New Roman"/>
          <w:sz w:val="24"/>
          <w:szCs w:val="24"/>
          <w:lang w:val="en-US" w:eastAsia="de-DE"/>
        </w:rPr>
        <w:t>6</w:t>
      </w:r>
      <w:r w:rsidR="00A410C7" w:rsidRPr="00683D62">
        <w:rPr>
          <w:rFonts w:ascii="Calibri Light" w:hAnsi="Calibri Light" w:cs="Calibri Light"/>
          <w:lang w:val="en-US"/>
        </w:rPr>
        <w:t>.</w:t>
      </w:r>
      <w:r w:rsidR="00091EEF" w:rsidRPr="00683D62">
        <w:rPr>
          <w:rFonts w:ascii="Times New Roman" w:hAnsi="Times New Roman"/>
          <w:sz w:val="24"/>
          <w:szCs w:val="24"/>
          <w:lang w:val="en-US" w:eastAsia="de-DE"/>
        </w:rPr>
        <w:t>2</w:t>
      </w:r>
      <w:r w:rsidR="007E185D" w:rsidRPr="00683D62">
        <w:rPr>
          <w:rFonts w:ascii="Times New Roman" w:hAnsi="Times New Roman"/>
          <w:sz w:val="24"/>
          <w:szCs w:val="24"/>
          <w:lang w:val="en-US" w:eastAsia="de-DE"/>
        </w:rPr>
        <w:t>%; p</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7E185D" w:rsidRPr="00683D62">
        <w:rPr>
          <w:rFonts w:ascii="Times New Roman" w:hAnsi="Times New Roman"/>
          <w:sz w:val="24"/>
          <w:szCs w:val="24"/>
          <w:lang w:val="en-US" w:eastAsia="de-DE"/>
        </w:rPr>
        <w:t>0</w:t>
      </w:r>
      <w:r w:rsidR="00F850AA" w:rsidRPr="00683D62">
        <w:rPr>
          <w:rFonts w:ascii="Times New Roman" w:hAnsi="Times New Roman"/>
          <w:sz w:val="24"/>
          <w:szCs w:val="24"/>
          <w:lang w:val="en-US" w:eastAsia="de-DE"/>
        </w:rPr>
        <w:t>0</w:t>
      </w:r>
      <w:r w:rsidR="00B8421D" w:rsidRPr="00683D62">
        <w:rPr>
          <w:rFonts w:ascii="Times New Roman" w:hAnsi="Times New Roman"/>
          <w:sz w:val="24"/>
          <w:szCs w:val="24"/>
          <w:lang w:val="en-US" w:eastAsia="de-DE"/>
        </w:rPr>
        <w:t>5</w:t>
      </w:r>
      <w:r w:rsidR="007E185D" w:rsidRPr="00683D62">
        <w:rPr>
          <w:rFonts w:ascii="Times New Roman" w:hAnsi="Times New Roman"/>
          <w:sz w:val="24"/>
          <w:szCs w:val="24"/>
          <w:lang w:val="en-US" w:eastAsia="de-DE"/>
        </w:rPr>
        <w:t xml:space="preserve">). </w:t>
      </w:r>
      <w:r w:rsidR="000E6EFF" w:rsidRPr="00683D62">
        <w:rPr>
          <w:rFonts w:ascii="Times New Roman" w:hAnsi="Times New Roman"/>
          <w:sz w:val="24"/>
          <w:szCs w:val="24"/>
          <w:lang w:val="en-US" w:eastAsia="de-DE"/>
        </w:rPr>
        <w:t>TPOA</w:t>
      </w:r>
      <w:r w:rsidR="00FA33D2" w:rsidRPr="00683D62">
        <w:rPr>
          <w:rFonts w:ascii="Times New Roman" w:hAnsi="Times New Roman"/>
          <w:sz w:val="24"/>
          <w:szCs w:val="24"/>
          <w:lang w:val="en-US" w:eastAsia="de-DE"/>
        </w:rPr>
        <w:t xml:space="preserve"> positivity </w:t>
      </w:r>
      <w:r w:rsidR="007E185D" w:rsidRPr="00683D62">
        <w:rPr>
          <w:rFonts w:ascii="Times New Roman" w:hAnsi="Times New Roman"/>
          <w:sz w:val="24"/>
          <w:szCs w:val="24"/>
          <w:lang w:val="en-US" w:eastAsia="de-DE"/>
        </w:rPr>
        <w:t>was also higher in</w:t>
      </w:r>
      <w:r w:rsidR="00FA33D2" w:rsidRPr="00683D62">
        <w:rPr>
          <w:rFonts w:ascii="Times New Roman" w:hAnsi="Times New Roman"/>
          <w:sz w:val="24"/>
          <w:szCs w:val="24"/>
          <w:lang w:val="en-US" w:eastAsia="de-DE"/>
        </w:rPr>
        <w:t xml:space="preserve"> females</w:t>
      </w:r>
      <w:r w:rsidR="007E185D" w:rsidRPr="00683D62">
        <w:rPr>
          <w:rFonts w:ascii="Times New Roman" w:hAnsi="Times New Roman"/>
          <w:sz w:val="24"/>
          <w:szCs w:val="24"/>
          <w:lang w:val="en-US" w:eastAsia="de-DE"/>
        </w:rPr>
        <w:t xml:space="preserve"> (15</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2</w:t>
      </w:r>
      <w:r w:rsidR="007E185D" w:rsidRPr="00683D62">
        <w:rPr>
          <w:rFonts w:ascii="Times New Roman" w:hAnsi="Times New Roman"/>
          <w:sz w:val="24"/>
          <w:szCs w:val="24"/>
          <w:lang w:val="en-US" w:eastAsia="de-DE"/>
        </w:rPr>
        <w:t>%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 xml:space="preserve">CI, </w:t>
      </w:r>
      <w:r w:rsidR="007E185D" w:rsidRPr="00683D62">
        <w:rPr>
          <w:rFonts w:ascii="Times New Roman" w:hAnsi="Times New Roman"/>
          <w:sz w:val="24"/>
          <w:szCs w:val="24"/>
          <w:lang w:val="en-US" w:eastAsia="de-DE"/>
        </w:rPr>
        <w:lastRenderedPageBreak/>
        <w:t>12</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3</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7E185D" w:rsidRPr="00683D62">
        <w:rPr>
          <w:rFonts w:ascii="Times New Roman" w:hAnsi="Times New Roman"/>
          <w:sz w:val="24"/>
          <w:szCs w:val="24"/>
          <w:lang w:val="en-US" w:eastAsia="de-DE"/>
        </w:rPr>
        <w:t>18</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1</w:t>
      </w:r>
      <w:r w:rsidR="007E185D" w:rsidRPr="00683D62">
        <w:rPr>
          <w:rFonts w:ascii="Times New Roman" w:hAnsi="Times New Roman"/>
          <w:sz w:val="24"/>
          <w:szCs w:val="24"/>
          <w:lang w:val="en-US" w:eastAsia="de-DE"/>
        </w:rPr>
        <w:t xml:space="preserve">%) than </w:t>
      </w:r>
      <w:r w:rsidR="00D537B9" w:rsidRPr="00683D62">
        <w:rPr>
          <w:rFonts w:ascii="Times New Roman" w:hAnsi="Times New Roman"/>
          <w:sz w:val="24"/>
          <w:szCs w:val="24"/>
          <w:lang w:val="en-US" w:eastAsia="de-DE"/>
        </w:rPr>
        <w:t xml:space="preserve">in </w:t>
      </w:r>
      <w:r w:rsidR="007E185D" w:rsidRPr="00683D62">
        <w:rPr>
          <w:rFonts w:ascii="Times New Roman" w:hAnsi="Times New Roman"/>
          <w:sz w:val="24"/>
          <w:szCs w:val="24"/>
          <w:lang w:val="en-US" w:eastAsia="de-DE"/>
        </w:rPr>
        <w:t>males (6</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3</w:t>
      </w:r>
      <w:r w:rsidR="007E185D" w:rsidRPr="00683D62">
        <w:rPr>
          <w:rFonts w:ascii="Times New Roman" w:hAnsi="Times New Roman"/>
          <w:sz w:val="24"/>
          <w:szCs w:val="24"/>
          <w:lang w:val="en-US" w:eastAsia="de-DE"/>
        </w:rPr>
        <w:t>%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CI, 4</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3</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7E185D" w:rsidRPr="00683D62">
        <w:rPr>
          <w:rFonts w:ascii="Times New Roman" w:hAnsi="Times New Roman"/>
          <w:sz w:val="24"/>
          <w:szCs w:val="24"/>
          <w:lang w:val="en-US" w:eastAsia="de-DE"/>
        </w:rPr>
        <w:t>8</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3</w:t>
      </w:r>
      <w:r w:rsidR="007E185D" w:rsidRPr="00683D62">
        <w:rPr>
          <w:rFonts w:ascii="Times New Roman" w:hAnsi="Times New Roman"/>
          <w:sz w:val="24"/>
          <w:szCs w:val="24"/>
          <w:lang w:val="en-US" w:eastAsia="de-DE"/>
        </w:rPr>
        <w:t>%; p</w:t>
      </w:r>
      <w:r w:rsidR="00597B74" w:rsidRPr="00683D62">
        <w:rPr>
          <w:rFonts w:ascii="Times New Roman" w:hAnsi="Times New Roman"/>
          <w:sz w:val="24"/>
          <w:szCs w:val="24"/>
          <w:lang w:val="en-US" w:eastAsia="de-DE"/>
        </w:rPr>
        <w:t xml:space="preserve"> </w:t>
      </w:r>
      <w:r w:rsidR="00F850AA" w:rsidRPr="00683D62">
        <w:rPr>
          <w:rFonts w:ascii="Times New Roman" w:hAnsi="Times New Roman"/>
          <w:sz w:val="24"/>
          <w:szCs w:val="24"/>
          <w:lang w:val="en-US" w:eastAsia="de-DE"/>
        </w:rPr>
        <w:t>&lt;</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7E185D" w:rsidRPr="00683D62">
        <w:rPr>
          <w:rFonts w:ascii="Times New Roman" w:hAnsi="Times New Roman"/>
          <w:sz w:val="24"/>
          <w:szCs w:val="24"/>
          <w:lang w:val="en-US" w:eastAsia="de-DE"/>
        </w:rPr>
        <w:t>00</w:t>
      </w:r>
      <w:r w:rsidR="00F850AA" w:rsidRPr="00683D62">
        <w:rPr>
          <w:rFonts w:ascii="Times New Roman" w:hAnsi="Times New Roman"/>
          <w:sz w:val="24"/>
          <w:szCs w:val="24"/>
          <w:lang w:val="en-US" w:eastAsia="de-DE"/>
        </w:rPr>
        <w:t>01</w:t>
      </w:r>
      <w:r w:rsidR="00597B74" w:rsidRPr="00683D62">
        <w:rPr>
          <w:rFonts w:ascii="Times New Roman" w:hAnsi="Times New Roman"/>
          <w:sz w:val="24"/>
          <w:szCs w:val="24"/>
          <w:lang w:val="en-US" w:eastAsia="de-DE"/>
        </w:rPr>
        <w:t xml:space="preserve">). Although </w:t>
      </w:r>
      <w:r w:rsidR="00FA33D2" w:rsidRPr="00683D62">
        <w:rPr>
          <w:rFonts w:ascii="Times New Roman" w:hAnsi="Times New Roman"/>
          <w:sz w:val="24"/>
          <w:szCs w:val="24"/>
          <w:lang w:val="en-US" w:eastAsia="de-DE"/>
        </w:rPr>
        <w:t>no strong HLA association</w:t>
      </w:r>
      <w:r w:rsidR="00071247" w:rsidRPr="00683D62">
        <w:rPr>
          <w:rFonts w:ascii="Times New Roman" w:hAnsi="Times New Roman"/>
          <w:sz w:val="24"/>
          <w:szCs w:val="24"/>
          <w:lang w:val="en-US" w:eastAsia="de-DE"/>
        </w:rPr>
        <w:t xml:space="preserve"> was</w:t>
      </w:r>
      <w:r w:rsidR="00543797" w:rsidRPr="00683D62">
        <w:rPr>
          <w:rFonts w:ascii="Times New Roman" w:hAnsi="Times New Roman"/>
          <w:sz w:val="24"/>
          <w:szCs w:val="24"/>
          <w:lang w:val="en-US" w:eastAsia="de-DE"/>
        </w:rPr>
        <w:t xml:space="preserve"> observed</w:t>
      </w:r>
      <w:r w:rsidR="007E185D"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 xml:space="preserve">TPOA </w:t>
      </w:r>
      <w:r w:rsidR="001555C1" w:rsidRPr="00683D62">
        <w:rPr>
          <w:rFonts w:ascii="Times New Roman" w:hAnsi="Times New Roman"/>
          <w:sz w:val="24"/>
          <w:szCs w:val="24"/>
          <w:lang w:val="en-US" w:eastAsia="de-DE"/>
        </w:rPr>
        <w:t xml:space="preserve">positivity </w:t>
      </w:r>
      <w:r w:rsidR="007E185D" w:rsidRPr="00683D62">
        <w:rPr>
          <w:rFonts w:ascii="Times New Roman" w:hAnsi="Times New Roman"/>
          <w:sz w:val="24"/>
          <w:szCs w:val="24"/>
          <w:lang w:val="en-US" w:eastAsia="de-DE"/>
        </w:rPr>
        <w:t>was highest in</w:t>
      </w:r>
      <w:r w:rsidR="00FA33D2"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children with the HLA DR3/3</w:t>
      </w:r>
      <w:r w:rsidR="00597B74" w:rsidRPr="00683D62">
        <w:rPr>
          <w:rFonts w:ascii="Times New Roman" w:hAnsi="Times New Roman"/>
          <w:sz w:val="24"/>
          <w:szCs w:val="24"/>
          <w:lang w:val="en-US" w:eastAsia="de-DE"/>
        </w:rPr>
        <w:t xml:space="preserve"> genotype</w:t>
      </w:r>
      <w:r w:rsidR="007E185D" w:rsidRPr="00683D62">
        <w:rPr>
          <w:rFonts w:ascii="Times New Roman" w:hAnsi="Times New Roman"/>
          <w:sz w:val="24"/>
          <w:szCs w:val="24"/>
          <w:lang w:val="en-US" w:eastAsia="de-DE"/>
        </w:rPr>
        <w:t xml:space="preserve"> (</w:t>
      </w:r>
      <w:r w:rsidR="008345BA" w:rsidRPr="00683D62">
        <w:rPr>
          <w:rFonts w:ascii="Times New Roman" w:hAnsi="Times New Roman"/>
          <w:sz w:val="24"/>
          <w:szCs w:val="24"/>
          <w:lang w:val="en-US" w:eastAsia="de-DE"/>
        </w:rPr>
        <w:t>26</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1</w:t>
      </w:r>
      <w:r w:rsidR="007E185D" w:rsidRPr="00683D62">
        <w:rPr>
          <w:rFonts w:ascii="Times New Roman" w:hAnsi="Times New Roman"/>
          <w:sz w:val="24"/>
          <w:szCs w:val="24"/>
          <w:lang w:val="en-US" w:eastAsia="de-DE"/>
        </w:rPr>
        <w:t>%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 xml:space="preserve">CI, </w:t>
      </w:r>
      <w:r w:rsidR="00687798" w:rsidRPr="00683D62">
        <w:rPr>
          <w:rFonts w:ascii="Times New Roman" w:hAnsi="Times New Roman"/>
          <w:sz w:val="24"/>
          <w:szCs w:val="24"/>
          <w:lang w:val="en-US" w:eastAsia="de-DE"/>
        </w:rPr>
        <w:t>1</w:t>
      </w:r>
      <w:r w:rsidR="00274531"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4</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687798" w:rsidRPr="00683D62">
        <w:rPr>
          <w:rFonts w:ascii="Times New Roman" w:hAnsi="Times New Roman"/>
          <w:sz w:val="24"/>
          <w:szCs w:val="24"/>
          <w:lang w:val="en-US" w:eastAsia="de-DE"/>
        </w:rPr>
        <w:t>4</w:t>
      </w:r>
      <w:r w:rsidR="00274531" w:rsidRPr="00683D62">
        <w:rPr>
          <w:rFonts w:ascii="Times New Roman" w:hAnsi="Times New Roman"/>
          <w:sz w:val="24"/>
          <w:szCs w:val="24"/>
          <w:lang w:val="en-US" w:eastAsia="de-DE"/>
        </w:rPr>
        <w:t>1</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8</w:t>
      </w:r>
      <w:r w:rsidR="007E185D"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 xml:space="preserve">or </w:t>
      </w:r>
      <w:r w:rsidR="007E185D" w:rsidRPr="00683D62">
        <w:rPr>
          <w:rFonts w:ascii="Times New Roman" w:hAnsi="Times New Roman"/>
          <w:sz w:val="24"/>
          <w:szCs w:val="24"/>
          <w:lang w:val="en-US" w:eastAsia="de-DE"/>
        </w:rPr>
        <w:t>DR3/4-DQ8 genotype (16</w:t>
      </w:r>
      <w:r w:rsidR="00A410C7" w:rsidRPr="00683D62">
        <w:rPr>
          <w:rFonts w:ascii="Calibri Light" w:hAnsi="Calibri Light" w:cs="Calibri Light"/>
          <w:lang w:val="en-US"/>
        </w:rPr>
        <w:t>.</w:t>
      </w:r>
      <w:r w:rsidR="007E185D" w:rsidRPr="00683D62">
        <w:rPr>
          <w:rFonts w:ascii="Times New Roman" w:hAnsi="Times New Roman"/>
          <w:sz w:val="24"/>
          <w:szCs w:val="24"/>
          <w:lang w:val="en-US" w:eastAsia="de-DE"/>
        </w:rPr>
        <w:t>7% by 20 years of age; 95%</w:t>
      </w:r>
      <w:r w:rsidR="00597B74"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 xml:space="preserve">CI, </w:t>
      </w:r>
      <w:r w:rsidR="00274531" w:rsidRPr="00683D62">
        <w:rPr>
          <w:rFonts w:ascii="Times New Roman" w:hAnsi="Times New Roman"/>
          <w:sz w:val="24"/>
          <w:szCs w:val="24"/>
          <w:lang w:val="en-US" w:eastAsia="de-DE"/>
        </w:rPr>
        <w:t>8</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9</w:t>
      </w:r>
      <w:r w:rsidR="007E185D"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274531" w:rsidRPr="00683D62">
        <w:rPr>
          <w:rFonts w:ascii="Times New Roman" w:hAnsi="Times New Roman"/>
          <w:sz w:val="24"/>
          <w:szCs w:val="24"/>
          <w:lang w:val="en-US" w:eastAsia="de-DE"/>
        </w:rPr>
        <w:t>24</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5</w:t>
      </w:r>
      <w:r w:rsidR="007E185D" w:rsidRPr="00683D62">
        <w:rPr>
          <w:rFonts w:ascii="Times New Roman" w:hAnsi="Times New Roman"/>
          <w:sz w:val="24"/>
          <w:szCs w:val="24"/>
          <w:lang w:val="en-US" w:eastAsia="de-DE"/>
        </w:rPr>
        <w:t>%</w:t>
      </w:r>
      <w:r w:rsidR="000F5900" w:rsidRPr="00683D62">
        <w:rPr>
          <w:rFonts w:ascii="Times New Roman" w:hAnsi="Times New Roman"/>
          <w:sz w:val="24"/>
          <w:szCs w:val="24"/>
          <w:lang w:val="en-US" w:eastAsia="de-DE"/>
        </w:rPr>
        <w:t xml:space="preserve">; </w:t>
      </w:r>
      <w:r w:rsidR="007137E1" w:rsidRPr="00683D62">
        <w:rPr>
          <w:rFonts w:ascii="Times New Roman" w:hAnsi="Times New Roman"/>
          <w:sz w:val="24"/>
          <w:szCs w:val="24"/>
          <w:lang w:val="en-US" w:eastAsia="de-DE"/>
        </w:rPr>
        <w:t>p=0.0005</w:t>
      </w:r>
      <w:r w:rsidR="00746AC0" w:rsidRPr="00683D62">
        <w:rPr>
          <w:rFonts w:ascii="Times New Roman" w:hAnsi="Times New Roman"/>
          <w:sz w:val="24"/>
          <w:szCs w:val="24"/>
          <w:lang w:val="en-US" w:eastAsia="de-DE"/>
        </w:rPr>
        <w:t>,</w:t>
      </w:r>
      <w:r w:rsidR="007137E1" w:rsidRPr="00683D62">
        <w:rPr>
          <w:rFonts w:ascii="Times New Roman" w:hAnsi="Times New Roman"/>
          <w:sz w:val="24"/>
          <w:szCs w:val="24"/>
          <w:lang w:val="en-US" w:eastAsia="de-DE"/>
        </w:rPr>
        <w:t xml:space="preserve"> </w:t>
      </w:r>
      <w:r w:rsidR="000F5900" w:rsidRPr="00683D62">
        <w:rPr>
          <w:rFonts w:ascii="Times New Roman" w:hAnsi="Times New Roman"/>
          <w:sz w:val="24"/>
          <w:szCs w:val="24"/>
          <w:lang w:val="en-US" w:eastAsia="de-DE"/>
        </w:rPr>
        <w:t>HLA DR3/3 or DR3/DR4-DQ8 children vs rest</w:t>
      </w:r>
      <w:r w:rsidR="007E185D" w:rsidRPr="00683D62">
        <w:rPr>
          <w:rFonts w:ascii="Times New Roman" w:hAnsi="Times New Roman"/>
          <w:sz w:val="24"/>
          <w:szCs w:val="24"/>
          <w:lang w:val="en-US" w:eastAsia="de-DE"/>
        </w:rPr>
        <w:t>)</w:t>
      </w:r>
      <w:r w:rsidR="00FA33D2" w:rsidRPr="00683D62">
        <w:rPr>
          <w:rFonts w:ascii="Times New Roman" w:hAnsi="Times New Roman"/>
          <w:sz w:val="24"/>
          <w:szCs w:val="24"/>
          <w:lang w:val="en-US" w:eastAsia="de-DE"/>
        </w:rPr>
        <w:t xml:space="preserve">. </w:t>
      </w:r>
      <w:r w:rsidR="007E185D" w:rsidRPr="00683D62">
        <w:rPr>
          <w:rFonts w:ascii="Times New Roman" w:hAnsi="Times New Roman"/>
          <w:sz w:val="24"/>
          <w:szCs w:val="24"/>
          <w:lang w:val="en-US" w:eastAsia="de-DE"/>
        </w:rPr>
        <w:t>Remarkably, t</w:t>
      </w:r>
      <w:r w:rsidR="009379D1" w:rsidRPr="00683D62">
        <w:rPr>
          <w:rFonts w:ascii="Times New Roman" w:hAnsi="Times New Roman"/>
          <w:sz w:val="24"/>
          <w:szCs w:val="24"/>
          <w:lang w:val="en-US" w:eastAsia="de-DE"/>
        </w:rPr>
        <w:t xml:space="preserve">he risk </w:t>
      </w:r>
      <w:r w:rsidR="00597B74" w:rsidRPr="00683D62">
        <w:rPr>
          <w:rFonts w:ascii="Times New Roman" w:hAnsi="Times New Roman"/>
          <w:sz w:val="24"/>
          <w:szCs w:val="24"/>
          <w:lang w:val="en-US" w:eastAsia="de-DE"/>
        </w:rPr>
        <w:t xml:space="preserve">of </w:t>
      </w:r>
      <w:r w:rsidR="009379D1" w:rsidRPr="00683D62">
        <w:rPr>
          <w:rFonts w:ascii="Times New Roman" w:hAnsi="Times New Roman"/>
          <w:sz w:val="24"/>
          <w:szCs w:val="24"/>
          <w:lang w:val="en-US" w:eastAsia="de-DE"/>
        </w:rPr>
        <w:t xml:space="preserve">any of these antibodies </w:t>
      </w:r>
      <w:r w:rsidR="007F7913" w:rsidRPr="00683D62">
        <w:rPr>
          <w:rFonts w:ascii="Times New Roman" w:hAnsi="Times New Roman"/>
          <w:sz w:val="24"/>
          <w:szCs w:val="24"/>
          <w:lang w:val="en-US" w:eastAsia="de-DE"/>
        </w:rPr>
        <w:t xml:space="preserve">by 20 years </w:t>
      </w:r>
      <w:r w:rsidR="00194AF5" w:rsidRPr="00683D62">
        <w:rPr>
          <w:rFonts w:ascii="Times New Roman" w:hAnsi="Times New Roman"/>
          <w:sz w:val="24"/>
          <w:szCs w:val="24"/>
          <w:lang w:val="en-US" w:eastAsia="de-DE"/>
        </w:rPr>
        <w:t xml:space="preserve">of age </w:t>
      </w:r>
      <w:r w:rsidR="001555C1" w:rsidRPr="00683D62">
        <w:rPr>
          <w:rFonts w:ascii="Times New Roman" w:hAnsi="Times New Roman"/>
          <w:sz w:val="24"/>
          <w:szCs w:val="24"/>
          <w:lang w:val="en-US" w:eastAsia="de-DE"/>
        </w:rPr>
        <w:t xml:space="preserve">was </w:t>
      </w:r>
      <w:r w:rsidR="00215FDD" w:rsidRPr="00683D62">
        <w:rPr>
          <w:rFonts w:ascii="Times New Roman" w:hAnsi="Times New Roman"/>
          <w:sz w:val="24"/>
          <w:szCs w:val="24"/>
          <w:lang w:val="en-US" w:eastAsia="de-DE"/>
        </w:rPr>
        <w:t>44</w:t>
      </w:r>
      <w:r w:rsidR="00A410C7" w:rsidRPr="00683D62">
        <w:rPr>
          <w:rFonts w:ascii="Times New Roman" w:hAnsi="Times New Roman"/>
          <w:sz w:val="24"/>
          <w:szCs w:val="24"/>
          <w:lang w:val="en-US" w:eastAsia="de-DE"/>
        </w:rPr>
        <w:t>.</w:t>
      </w:r>
      <w:r w:rsidR="000116EC" w:rsidRPr="00683D62">
        <w:rPr>
          <w:rFonts w:ascii="Times New Roman" w:hAnsi="Times New Roman"/>
          <w:sz w:val="24"/>
          <w:szCs w:val="24"/>
          <w:lang w:val="en-US" w:eastAsia="de-DE"/>
        </w:rPr>
        <w:t>4</w:t>
      </w:r>
      <w:r w:rsidR="001555C1"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(95%</w:t>
      </w:r>
      <w:r w:rsidR="00597B74"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CI, 36</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6%</w:t>
      </w:r>
      <w:r w:rsidR="00A410C7" w:rsidRPr="00683D62">
        <w:rPr>
          <w:rFonts w:ascii="Times New Roman" w:hAnsi="Times New Roman"/>
          <w:sz w:val="24"/>
          <w:szCs w:val="24"/>
          <w:lang w:val="en-US" w:eastAsia="de-DE"/>
        </w:rPr>
        <w:t>-</w:t>
      </w:r>
      <w:r w:rsidR="000116EC" w:rsidRPr="00683D62">
        <w:rPr>
          <w:rFonts w:ascii="Times New Roman" w:hAnsi="Times New Roman"/>
          <w:sz w:val="24"/>
          <w:szCs w:val="24"/>
          <w:lang w:val="en-US" w:eastAsia="de-DE"/>
        </w:rPr>
        <w:t>52</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 xml:space="preserve">2%) </w:t>
      </w:r>
      <w:r w:rsidR="009379D1" w:rsidRPr="00683D62">
        <w:rPr>
          <w:rFonts w:ascii="Times New Roman" w:hAnsi="Times New Roman"/>
          <w:sz w:val="24"/>
          <w:szCs w:val="24"/>
          <w:lang w:val="en-US" w:eastAsia="de-DE"/>
        </w:rPr>
        <w:t xml:space="preserve">in the </w:t>
      </w:r>
      <w:r w:rsidR="00D537B9" w:rsidRPr="00683D62">
        <w:rPr>
          <w:rFonts w:ascii="Times New Roman" w:hAnsi="Times New Roman"/>
          <w:sz w:val="24"/>
          <w:szCs w:val="24"/>
          <w:lang w:val="en-US" w:eastAsia="de-DE"/>
        </w:rPr>
        <w:t xml:space="preserve">HLA </w:t>
      </w:r>
      <w:r w:rsidR="009379D1" w:rsidRPr="00683D62">
        <w:rPr>
          <w:rFonts w:ascii="Times New Roman" w:hAnsi="Times New Roman"/>
          <w:sz w:val="24"/>
          <w:szCs w:val="24"/>
          <w:lang w:val="en-US" w:eastAsia="de-DE"/>
        </w:rPr>
        <w:t>DR3/4-DQ8</w:t>
      </w:r>
      <w:r w:rsidR="000116EC" w:rsidRPr="00683D62">
        <w:rPr>
          <w:rFonts w:ascii="Times New Roman" w:hAnsi="Times New Roman"/>
          <w:sz w:val="24"/>
          <w:szCs w:val="24"/>
          <w:lang w:val="en-US" w:eastAsia="de-DE"/>
        </w:rPr>
        <w:t xml:space="preserve"> children,</w:t>
      </w:r>
      <w:r w:rsidR="009379D1" w:rsidRPr="00683D62">
        <w:rPr>
          <w:rFonts w:ascii="Times New Roman" w:hAnsi="Times New Roman"/>
          <w:sz w:val="24"/>
          <w:szCs w:val="24"/>
          <w:lang w:val="en-US" w:eastAsia="de-DE"/>
        </w:rPr>
        <w:t xml:space="preserve"> </w:t>
      </w:r>
      <w:r w:rsidR="00215FDD" w:rsidRPr="00683D62">
        <w:rPr>
          <w:rFonts w:ascii="Times New Roman" w:hAnsi="Times New Roman"/>
          <w:sz w:val="24"/>
          <w:szCs w:val="24"/>
          <w:lang w:val="en-US" w:eastAsia="de-DE"/>
        </w:rPr>
        <w:t>56</w:t>
      </w:r>
      <w:r w:rsidR="00A410C7" w:rsidRPr="00683D62">
        <w:rPr>
          <w:rFonts w:ascii="Times New Roman" w:hAnsi="Times New Roman"/>
          <w:sz w:val="24"/>
          <w:szCs w:val="24"/>
          <w:lang w:val="en-US" w:eastAsia="de-DE"/>
        </w:rPr>
        <w:t>.</w:t>
      </w:r>
      <w:r w:rsidR="000116EC" w:rsidRPr="00683D62">
        <w:rPr>
          <w:rFonts w:ascii="Times New Roman" w:hAnsi="Times New Roman"/>
          <w:sz w:val="24"/>
          <w:szCs w:val="24"/>
          <w:lang w:val="en-US" w:eastAsia="de-DE"/>
        </w:rPr>
        <w:t>5</w:t>
      </w:r>
      <w:r w:rsidR="001555C1"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(95%</w:t>
      </w:r>
      <w:r w:rsidR="00597B74"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CI, 40</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8%</w:t>
      </w:r>
      <w:r w:rsidR="00A410C7" w:rsidRPr="00683D62">
        <w:rPr>
          <w:rFonts w:ascii="Times New Roman" w:hAnsi="Times New Roman"/>
          <w:sz w:val="24"/>
          <w:szCs w:val="24"/>
          <w:lang w:val="en-US" w:eastAsia="de-DE"/>
        </w:rPr>
        <w:t>-</w:t>
      </w:r>
      <w:r w:rsidR="000116EC" w:rsidRPr="00683D62">
        <w:rPr>
          <w:rFonts w:ascii="Times New Roman" w:hAnsi="Times New Roman"/>
          <w:sz w:val="24"/>
          <w:szCs w:val="24"/>
          <w:lang w:val="en-US" w:eastAsia="de-DE"/>
        </w:rPr>
        <w:t>72</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2%) in</w:t>
      </w:r>
      <w:r w:rsidR="00523A64" w:rsidRPr="00683D62">
        <w:rPr>
          <w:rFonts w:ascii="Times New Roman" w:hAnsi="Times New Roman"/>
          <w:sz w:val="24"/>
          <w:szCs w:val="24"/>
          <w:lang w:val="en-US" w:eastAsia="de-DE"/>
        </w:rPr>
        <w:t xml:space="preserve"> the</w:t>
      </w:r>
      <w:r w:rsidR="000116EC" w:rsidRPr="00683D62">
        <w:rPr>
          <w:rFonts w:ascii="Times New Roman" w:hAnsi="Times New Roman"/>
          <w:sz w:val="24"/>
          <w:szCs w:val="24"/>
          <w:lang w:val="en-US" w:eastAsia="de-DE"/>
        </w:rPr>
        <w:t xml:space="preserve"> </w:t>
      </w:r>
      <w:r w:rsidR="00D537B9" w:rsidRPr="00683D62">
        <w:rPr>
          <w:rFonts w:ascii="Times New Roman" w:hAnsi="Times New Roman"/>
          <w:sz w:val="24"/>
          <w:szCs w:val="24"/>
          <w:lang w:val="en-US" w:eastAsia="de-DE"/>
        </w:rPr>
        <w:t xml:space="preserve">HLA </w:t>
      </w:r>
      <w:r w:rsidR="009379D1" w:rsidRPr="00683D62">
        <w:rPr>
          <w:rFonts w:ascii="Times New Roman" w:hAnsi="Times New Roman"/>
          <w:sz w:val="24"/>
          <w:szCs w:val="24"/>
          <w:lang w:val="en-US" w:eastAsia="de-DE"/>
        </w:rPr>
        <w:t xml:space="preserve">DR3/3 </w:t>
      </w:r>
      <w:r w:rsidR="001555C1" w:rsidRPr="00683D62">
        <w:rPr>
          <w:rFonts w:ascii="Times New Roman" w:hAnsi="Times New Roman"/>
          <w:sz w:val="24"/>
          <w:szCs w:val="24"/>
          <w:lang w:val="en-US" w:eastAsia="de-DE"/>
        </w:rPr>
        <w:t>children</w:t>
      </w:r>
      <w:r w:rsidR="007F7913" w:rsidRPr="00683D62">
        <w:rPr>
          <w:rFonts w:ascii="Times New Roman" w:hAnsi="Times New Roman"/>
          <w:sz w:val="24"/>
          <w:szCs w:val="24"/>
          <w:lang w:val="en-US" w:eastAsia="de-DE"/>
        </w:rPr>
        <w:t>, and 37</w:t>
      </w:r>
      <w:r w:rsidR="00A410C7" w:rsidRPr="00683D62">
        <w:rPr>
          <w:rFonts w:ascii="Calibri Light" w:hAnsi="Calibri Light" w:cs="Calibri Light"/>
          <w:lang w:val="en-US"/>
        </w:rPr>
        <w:t>.</w:t>
      </w:r>
      <w:r w:rsidR="007F7913" w:rsidRPr="00683D62">
        <w:rPr>
          <w:rFonts w:ascii="Times New Roman" w:hAnsi="Times New Roman"/>
          <w:sz w:val="24"/>
          <w:szCs w:val="24"/>
          <w:lang w:val="en-US" w:eastAsia="de-DE"/>
        </w:rPr>
        <w:t>4% (95%</w:t>
      </w:r>
      <w:r w:rsidR="00597B74" w:rsidRPr="00683D62">
        <w:rPr>
          <w:rFonts w:ascii="Times New Roman" w:hAnsi="Times New Roman"/>
          <w:sz w:val="24"/>
          <w:szCs w:val="24"/>
          <w:lang w:val="en-US" w:eastAsia="de-DE"/>
        </w:rPr>
        <w:t xml:space="preserve"> </w:t>
      </w:r>
      <w:r w:rsidR="007F7913" w:rsidRPr="00683D62">
        <w:rPr>
          <w:rFonts w:ascii="Times New Roman" w:hAnsi="Times New Roman"/>
          <w:sz w:val="24"/>
          <w:szCs w:val="24"/>
          <w:lang w:val="en-US" w:eastAsia="de-DE"/>
        </w:rPr>
        <w:t xml:space="preserve">CI, </w:t>
      </w:r>
      <w:r w:rsidR="00274531" w:rsidRPr="00683D62">
        <w:rPr>
          <w:rFonts w:ascii="Times New Roman" w:hAnsi="Times New Roman"/>
          <w:sz w:val="24"/>
          <w:szCs w:val="24"/>
          <w:lang w:val="en-US" w:eastAsia="de-DE"/>
        </w:rPr>
        <w:t>25</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6</w:t>
      </w:r>
      <w:r w:rsidR="007F7913"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274531" w:rsidRPr="00683D62">
        <w:rPr>
          <w:rFonts w:ascii="Times New Roman" w:hAnsi="Times New Roman"/>
          <w:sz w:val="24"/>
          <w:szCs w:val="24"/>
          <w:lang w:val="en-US" w:eastAsia="de-DE"/>
        </w:rPr>
        <w:t>49</w:t>
      </w:r>
      <w:r w:rsidR="00A410C7" w:rsidRPr="00683D62">
        <w:rPr>
          <w:rFonts w:ascii="Calibri Light" w:hAnsi="Calibri Light" w:cs="Calibri Light"/>
          <w:lang w:val="en-US"/>
        </w:rPr>
        <w:t>.</w:t>
      </w:r>
      <w:r w:rsidR="00274531" w:rsidRPr="00683D62">
        <w:rPr>
          <w:rFonts w:ascii="Times New Roman" w:hAnsi="Times New Roman"/>
          <w:sz w:val="24"/>
          <w:szCs w:val="24"/>
          <w:lang w:val="en-US" w:eastAsia="de-DE"/>
        </w:rPr>
        <w:t>2</w:t>
      </w:r>
      <w:r w:rsidR="007F7913" w:rsidRPr="00683D62">
        <w:rPr>
          <w:rFonts w:ascii="Times New Roman" w:hAnsi="Times New Roman"/>
          <w:sz w:val="24"/>
          <w:szCs w:val="24"/>
          <w:lang w:val="en-US" w:eastAsia="de-DE"/>
        </w:rPr>
        <w:t xml:space="preserve">%) in </w:t>
      </w:r>
      <w:r w:rsidR="00523A64" w:rsidRPr="00683D62">
        <w:rPr>
          <w:rFonts w:ascii="Times New Roman" w:hAnsi="Times New Roman"/>
          <w:sz w:val="24"/>
          <w:szCs w:val="24"/>
          <w:lang w:val="en-US" w:eastAsia="de-DE"/>
        </w:rPr>
        <w:t xml:space="preserve">the </w:t>
      </w:r>
      <w:r w:rsidR="007F7913" w:rsidRPr="00683D62">
        <w:rPr>
          <w:rFonts w:ascii="Times New Roman" w:hAnsi="Times New Roman"/>
          <w:sz w:val="24"/>
          <w:szCs w:val="24"/>
          <w:lang w:val="en-US" w:eastAsia="de-DE"/>
        </w:rPr>
        <w:t xml:space="preserve">children with the </w:t>
      </w:r>
      <w:r w:rsidR="00D537B9" w:rsidRPr="00683D62">
        <w:rPr>
          <w:rFonts w:ascii="Times New Roman" w:hAnsi="Times New Roman"/>
          <w:sz w:val="24"/>
          <w:szCs w:val="24"/>
          <w:lang w:val="en-US" w:eastAsia="de-DE"/>
        </w:rPr>
        <w:t xml:space="preserve">HLA </w:t>
      </w:r>
      <w:r w:rsidR="007F7913" w:rsidRPr="00683D62">
        <w:rPr>
          <w:rFonts w:ascii="Times New Roman" w:hAnsi="Times New Roman"/>
          <w:sz w:val="24"/>
          <w:szCs w:val="24"/>
          <w:lang w:val="en-US" w:eastAsia="de-DE"/>
        </w:rPr>
        <w:t>DR4-DQ8/DR4-DQ8 genotype</w:t>
      </w:r>
      <w:r w:rsidR="00D3796B" w:rsidRPr="00683D62">
        <w:rPr>
          <w:rFonts w:ascii="Times New Roman" w:hAnsi="Times New Roman"/>
          <w:sz w:val="24"/>
          <w:szCs w:val="24"/>
          <w:lang w:val="en-US" w:eastAsia="de-DE"/>
        </w:rPr>
        <w:t>.</w:t>
      </w:r>
      <w:r w:rsidR="00765D62" w:rsidRPr="00683D62">
        <w:rPr>
          <w:rFonts w:ascii="Times New Roman" w:hAnsi="Times New Roman"/>
          <w:sz w:val="24"/>
          <w:szCs w:val="24"/>
          <w:lang w:val="en-US" w:eastAsia="de-DE"/>
        </w:rPr>
        <w:t xml:space="preserve"> In contrast, </w:t>
      </w:r>
      <w:r w:rsidR="00597B74" w:rsidRPr="00683D62">
        <w:rPr>
          <w:rFonts w:ascii="Times New Roman" w:hAnsi="Times New Roman"/>
          <w:sz w:val="24"/>
          <w:szCs w:val="24"/>
          <w:lang w:val="en-US" w:eastAsia="de-DE"/>
        </w:rPr>
        <w:t xml:space="preserve">the </w:t>
      </w:r>
      <w:r w:rsidR="00765D62" w:rsidRPr="00683D62">
        <w:rPr>
          <w:rFonts w:ascii="Times New Roman" w:hAnsi="Times New Roman"/>
          <w:sz w:val="24"/>
          <w:szCs w:val="24"/>
          <w:lang w:val="en-US" w:eastAsia="de-DE"/>
        </w:rPr>
        <w:t>risk was 11</w:t>
      </w:r>
      <w:r w:rsidR="00A410C7" w:rsidRPr="00683D62">
        <w:rPr>
          <w:rFonts w:ascii="Calibri Light" w:hAnsi="Calibri Light" w:cs="Calibri Light"/>
          <w:lang w:val="en-US"/>
        </w:rPr>
        <w:t>.</w:t>
      </w:r>
      <w:r w:rsidR="00765D62" w:rsidRPr="00683D62">
        <w:rPr>
          <w:rFonts w:ascii="Times New Roman" w:hAnsi="Times New Roman"/>
          <w:sz w:val="24"/>
          <w:szCs w:val="24"/>
          <w:lang w:val="en-US" w:eastAsia="de-DE"/>
        </w:rPr>
        <w:t>2% (95%</w:t>
      </w:r>
      <w:r w:rsidR="00597B74" w:rsidRPr="00683D62">
        <w:rPr>
          <w:rFonts w:ascii="Times New Roman" w:hAnsi="Times New Roman"/>
          <w:sz w:val="24"/>
          <w:szCs w:val="24"/>
          <w:lang w:val="en-US" w:eastAsia="de-DE"/>
        </w:rPr>
        <w:t xml:space="preserve"> </w:t>
      </w:r>
      <w:r w:rsidR="00765D62" w:rsidRPr="00683D62">
        <w:rPr>
          <w:rFonts w:ascii="Times New Roman" w:hAnsi="Times New Roman"/>
          <w:sz w:val="24"/>
          <w:szCs w:val="24"/>
          <w:lang w:val="en-US" w:eastAsia="de-DE"/>
        </w:rPr>
        <w:t>CI, 8</w:t>
      </w:r>
      <w:r w:rsidR="00A410C7" w:rsidRPr="00683D62">
        <w:rPr>
          <w:rFonts w:ascii="Calibri Light" w:hAnsi="Calibri Light" w:cs="Calibri Light"/>
          <w:lang w:val="en-US"/>
        </w:rPr>
        <w:t>.</w:t>
      </w:r>
      <w:r w:rsidR="00765D62" w:rsidRPr="00683D62">
        <w:rPr>
          <w:rFonts w:ascii="Times New Roman" w:hAnsi="Times New Roman"/>
          <w:sz w:val="24"/>
          <w:szCs w:val="24"/>
          <w:lang w:val="en-US" w:eastAsia="de-DE"/>
        </w:rPr>
        <w:t>2%</w:t>
      </w:r>
      <w:r w:rsidR="00A410C7" w:rsidRPr="00683D62">
        <w:rPr>
          <w:rFonts w:ascii="Times New Roman" w:hAnsi="Times New Roman"/>
          <w:sz w:val="24"/>
          <w:szCs w:val="24"/>
          <w:lang w:val="en-US" w:eastAsia="de-DE"/>
        </w:rPr>
        <w:t>-</w:t>
      </w:r>
      <w:r w:rsidR="00765D62" w:rsidRPr="00683D62">
        <w:rPr>
          <w:rFonts w:ascii="Times New Roman" w:hAnsi="Times New Roman"/>
          <w:sz w:val="24"/>
          <w:szCs w:val="24"/>
          <w:lang w:val="en-US" w:eastAsia="de-DE"/>
        </w:rPr>
        <w:t>14</w:t>
      </w:r>
      <w:r w:rsidR="00A410C7" w:rsidRPr="00683D62">
        <w:rPr>
          <w:rFonts w:ascii="Calibri Light" w:hAnsi="Calibri Light" w:cs="Calibri Light"/>
          <w:lang w:val="en-US"/>
        </w:rPr>
        <w:t>.</w:t>
      </w:r>
      <w:r w:rsidR="00765D62" w:rsidRPr="00683D62">
        <w:rPr>
          <w:rFonts w:ascii="Times New Roman" w:hAnsi="Times New Roman"/>
          <w:sz w:val="24"/>
          <w:szCs w:val="24"/>
          <w:lang w:val="en-US" w:eastAsia="de-DE"/>
        </w:rPr>
        <w:t>2%) in children without a</w:t>
      </w:r>
      <w:r w:rsidR="00D537B9" w:rsidRPr="00683D62">
        <w:rPr>
          <w:rFonts w:ascii="Times New Roman" w:hAnsi="Times New Roman"/>
          <w:sz w:val="24"/>
          <w:szCs w:val="24"/>
          <w:lang w:val="en-US" w:eastAsia="de-DE"/>
        </w:rPr>
        <w:t>n</w:t>
      </w:r>
      <w:r w:rsidR="00765D62" w:rsidRPr="00683D62">
        <w:rPr>
          <w:rFonts w:ascii="Times New Roman" w:hAnsi="Times New Roman"/>
          <w:sz w:val="24"/>
          <w:szCs w:val="24"/>
          <w:lang w:val="en-US" w:eastAsia="de-DE"/>
        </w:rPr>
        <w:t xml:space="preserve"> </w:t>
      </w:r>
      <w:r w:rsidR="00D537B9" w:rsidRPr="00683D62">
        <w:rPr>
          <w:rFonts w:ascii="Times New Roman" w:hAnsi="Times New Roman"/>
          <w:sz w:val="24"/>
          <w:szCs w:val="24"/>
          <w:lang w:val="en-US" w:eastAsia="de-DE"/>
        </w:rPr>
        <w:t xml:space="preserve">HLA </w:t>
      </w:r>
      <w:r w:rsidR="00765D62" w:rsidRPr="00683D62">
        <w:rPr>
          <w:rFonts w:ascii="Times New Roman" w:hAnsi="Times New Roman"/>
          <w:sz w:val="24"/>
          <w:szCs w:val="24"/>
          <w:lang w:val="en-US" w:eastAsia="de-DE"/>
        </w:rPr>
        <w:t>DR3 or DR4-DQ8 haplotype.</w:t>
      </w:r>
    </w:p>
    <w:p w14:paraId="2E8C078E" w14:textId="0224E1A4" w:rsidR="004A7F88" w:rsidRPr="00683D62" w:rsidRDefault="004A7F88" w:rsidP="008B2E4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Additional genes influenced the risk of developing each of the autoantibodies. SNPs </w:t>
      </w:r>
      <w:r w:rsidR="00C04065" w:rsidRPr="00683D62">
        <w:rPr>
          <w:rFonts w:ascii="Times New Roman" w:hAnsi="Times New Roman"/>
          <w:sz w:val="24"/>
          <w:szCs w:val="24"/>
          <w:lang w:val="en-US" w:eastAsia="de-DE"/>
        </w:rPr>
        <w:t xml:space="preserve">in </w:t>
      </w:r>
      <w:r w:rsidRPr="00683D62">
        <w:rPr>
          <w:rFonts w:ascii="Times New Roman" w:hAnsi="Times New Roman"/>
          <w:sz w:val="24"/>
          <w:szCs w:val="24"/>
          <w:lang w:val="en-US" w:eastAsia="de-DE"/>
        </w:rPr>
        <w:t xml:space="preserve">the </w:t>
      </w:r>
      <w:r w:rsidR="00025199" w:rsidRPr="00683D62">
        <w:rPr>
          <w:rFonts w:ascii="Times New Roman" w:hAnsi="Times New Roman"/>
          <w:i/>
          <w:sz w:val="24"/>
          <w:szCs w:val="24"/>
          <w:lang w:val="en-US" w:eastAsia="de-DE"/>
        </w:rPr>
        <w:t>INS</w:t>
      </w:r>
      <w:r w:rsidRPr="00683D62">
        <w:rPr>
          <w:rFonts w:ascii="Times New Roman" w:hAnsi="Times New Roman"/>
          <w:sz w:val="24"/>
          <w:szCs w:val="24"/>
          <w:lang w:val="en-US" w:eastAsia="de-DE"/>
        </w:rPr>
        <w:t xml:space="preserve"> gene, </w:t>
      </w:r>
      <w:r w:rsidR="00C04065" w:rsidRPr="00683D62">
        <w:rPr>
          <w:rFonts w:ascii="Times New Roman" w:hAnsi="Times New Roman"/>
          <w:sz w:val="24"/>
          <w:szCs w:val="24"/>
          <w:lang w:val="en-US" w:eastAsia="de-DE"/>
        </w:rPr>
        <w:t xml:space="preserve">which has </w:t>
      </w:r>
      <w:r w:rsidRPr="00683D62">
        <w:rPr>
          <w:rFonts w:ascii="Times New Roman" w:hAnsi="Times New Roman"/>
          <w:sz w:val="24"/>
          <w:szCs w:val="24"/>
          <w:lang w:val="en-US" w:eastAsia="de-DE"/>
        </w:rPr>
        <w:t>the strongest genetic association with type 1 diabetes after HLA</w:t>
      </w:r>
      <w:r w:rsidR="000F5900" w:rsidRPr="00683D62">
        <w:rPr>
          <w:rFonts w:ascii="Times New Roman" w:hAnsi="Times New Roman"/>
          <w:sz w:val="24"/>
          <w:szCs w:val="24"/>
          <w:lang w:val="en-US" w:eastAsia="de-DE"/>
        </w:rPr>
        <w:t xml:space="preserve"> </w:t>
      </w:r>
      <w:r w:rsidR="00D64DF1" w:rsidRPr="00683D62">
        <w:rPr>
          <w:rFonts w:ascii="Times New Roman" w:hAnsi="Times New Roman"/>
          <w:sz w:val="24"/>
          <w:szCs w:val="24"/>
          <w:lang w:val="en-US" w:eastAsia="de-DE"/>
        </w:rPr>
        <w:t>(</w:t>
      </w:r>
      <w:r w:rsidR="00025199" w:rsidRPr="00683D62">
        <w:rPr>
          <w:rFonts w:ascii="Times New Roman" w:hAnsi="Times New Roman"/>
          <w:sz w:val="24"/>
          <w:szCs w:val="24"/>
          <w:lang w:val="en-US" w:eastAsia="de-DE"/>
        </w:rPr>
        <w:t>27</w:t>
      </w:r>
      <w:r w:rsidR="00D64DF1" w:rsidRPr="00683D62">
        <w:rPr>
          <w:rFonts w:ascii="Times New Roman" w:hAnsi="Times New Roman"/>
          <w:sz w:val="24"/>
          <w:szCs w:val="24"/>
          <w:lang w:val="en-US" w:eastAsia="de-DE"/>
        </w:rPr>
        <w:t>)</w:t>
      </w:r>
      <w:r w:rsidRPr="00683D62">
        <w:rPr>
          <w:rFonts w:ascii="Times New Roman" w:hAnsi="Times New Roman"/>
          <w:sz w:val="24"/>
          <w:szCs w:val="24"/>
          <w:lang w:val="en-US" w:eastAsia="de-DE"/>
        </w:rPr>
        <w:t>, and</w:t>
      </w:r>
      <w:r w:rsidR="00523A64" w:rsidRPr="00683D62">
        <w:rPr>
          <w:rFonts w:ascii="Times New Roman" w:hAnsi="Times New Roman"/>
          <w:sz w:val="24"/>
          <w:szCs w:val="24"/>
          <w:lang w:val="en-US" w:eastAsia="de-DE"/>
        </w:rPr>
        <w:t xml:space="preserve"> in</w:t>
      </w:r>
      <w:r w:rsidRPr="00683D62">
        <w:rPr>
          <w:rFonts w:ascii="Times New Roman" w:hAnsi="Times New Roman"/>
          <w:sz w:val="24"/>
          <w:szCs w:val="24"/>
          <w:lang w:val="en-US" w:eastAsia="de-DE"/>
        </w:rPr>
        <w:t xml:space="preserve"> </w:t>
      </w:r>
      <w:r w:rsidRPr="00683D62">
        <w:rPr>
          <w:rFonts w:ascii="Times New Roman" w:hAnsi="Times New Roman"/>
          <w:i/>
          <w:sz w:val="24"/>
          <w:szCs w:val="24"/>
          <w:lang w:val="en-US" w:eastAsia="de-DE"/>
        </w:rPr>
        <w:t>PTPN22</w:t>
      </w:r>
      <w:r w:rsidRPr="00683D62">
        <w:rPr>
          <w:rFonts w:ascii="Times New Roman" w:hAnsi="Times New Roman"/>
          <w:sz w:val="24"/>
          <w:szCs w:val="24"/>
          <w:lang w:val="en-US" w:eastAsia="de-DE"/>
        </w:rPr>
        <w:t xml:space="preserve">, </w:t>
      </w:r>
      <w:r w:rsidRPr="00683D62">
        <w:rPr>
          <w:rFonts w:ascii="Times New Roman" w:hAnsi="Times New Roman"/>
          <w:i/>
          <w:sz w:val="24"/>
          <w:szCs w:val="24"/>
          <w:lang w:val="en-US" w:eastAsia="de-DE"/>
        </w:rPr>
        <w:t>IFIH1</w:t>
      </w:r>
      <w:r w:rsidRPr="00683D62">
        <w:rPr>
          <w:rFonts w:ascii="Times New Roman" w:hAnsi="Times New Roman"/>
          <w:sz w:val="24"/>
          <w:szCs w:val="24"/>
          <w:lang w:val="en-US" w:eastAsia="de-DE"/>
        </w:rPr>
        <w:t xml:space="preserve">, and </w:t>
      </w:r>
      <w:r w:rsidRPr="00683D62">
        <w:rPr>
          <w:rFonts w:ascii="Times New Roman" w:hAnsi="Times New Roman"/>
          <w:i/>
          <w:sz w:val="24"/>
          <w:szCs w:val="24"/>
          <w:lang w:val="en-US" w:eastAsia="de-DE"/>
        </w:rPr>
        <w:t>SH2B3</w:t>
      </w:r>
      <w:r w:rsidR="00C04065"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C04065" w:rsidRPr="00683D62">
        <w:rPr>
          <w:rFonts w:ascii="Times New Roman" w:hAnsi="Times New Roman"/>
          <w:sz w:val="24"/>
          <w:szCs w:val="24"/>
          <w:lang w:val="en-US" w:eastAsia="de-DE"/>
        </w:rPr>
        <w:t xml:space="preserve">which are </w:t>
      </w:r>
      <w:r w:rsidRPr="00683D62">
        <w:rPr>
          <w:rFonts w:ascii="Times New Roman" w:hAnsi="Times New Roman"/>
          <w:sz w:val="24"/>
          <w:szCs w:val="24"/>
          <w:lang w:val="en-US" w:eastAsia="de-DE"/>
        </w:rPr>
        <w:t>genes associated with multiple autoimmune diseases</w:t>
      </w:r>
      <w:r w:rsidR="00386A02" w:rsidRPr="00683D62">
        <w:rPr>
          <w:rFonts w:ascii="Times New Roman" w:hAnsi="Times New Roman"/>
          <w:sz w:val="24"/>
          <w:szCs w:val="24"/>
          <w:lang w:val="en-US" w:eastAsia="de-DE"/>
        </w:rPr>
        <w:t xml:space="preserve"> (</w:t>
      </w:r>
      <w:r w:rsidR="006A7BC1" w:rsidRPr="00683D62">
        <w:rPr>
          <w:rFonts w:ascii="Times New Roman" w:hAnsi="Times New Roman"/>
          <w:sz w:val="24"/>
          <w:szCs w:val="24"/>
          <w:lang w:val="en-US" w:eastAsia="de-DE"/>
        </w:rPr>
        <w:t>27,28</w:t>
      </w:r>
      <w:r w:rsidR="00386A02"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w:t>
      </w:r>
      <w:r w:rsidR="0026442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were included in a </w:t>
      </w:r>
      <w:r w:rsidR="00C04065" w:rsidRPr="00683D62">
        <w:rPr>
          <w:rFonts w:ascii="Times New Roman" w:hAnsi="Times New Roman"/>
          <w:sz w:val="24"/>
          <w:szCs w:val="24"/>
          <w:lang w:val="en-US" w:eastAsia="de-DE"/>
        </w:rPr>
        <w:t xml:space="preserve">Cox </w:t>
      </w:r>
      <w:r w:rsidRPr="00683D62">
        <w:rPr>
          <w:rFonts w:ascii="Times New Roman" w:hAnsi="Times New Roman"/>
          <w:sz w:val="24"/>
          <w:szCs w:val="24"/>
          <w:lang w:val="en-US" w:eastAsia="de-DE"/>
        </w:rPr>
        <w:t xml:space="preserve">proportional hazards model with HLA and sex </w:t>
      </w:r>
      <w:r w:rsidR="00264424"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Table </w:t>
      </w:r>
      <w:r w:rsidRPr="00683D62">
        <w:rPr>
          <w:rFonts w:ascii="Times New Roman" w:hAnsi="Times New Roman"/>
          <w:sz w:val="24"/>
          <w:szCs w:val="24"/>
          <w:lang w:val="en-US" w:eastAsia="de-DE"/>
        </w:rPr>
        <w:t>2). T</w:t>
      </w:r>
      <w:r w:rsidR="00D27F96" w:rsidRPr="00683D62">
        <w:rPr>
          <w:rFonts w:ascii="Times New Roman" w:hAnsi="Times New Roman"/>
          <w:sz w:val="24"/>
          <w:szCs w:val="24"/>
          <w:lang w:val="en-US" w:eastAsia="de-DE"/>
        </w:rPr>
        <w:t>he risk of IA was influenced by</w:t>
      </w:r>
      <w:r w:rsidRPr="00683D62">
        <w:rPr>
          <w:rFonts w:ascii="Times New Roman" w:hAnsi="Times New Roman"/>
          <w:sz w:val="24"/>
          <w:szCs w:val="24"/>
          <w:lang w:val="en-US" w:eastAsia="de-DE"/>
        </w:rPr>
        <w:t xml:space="preserve"> </w:t>
      </w:r>
      <w:r w:rsidRPr="00683D62">
        <w:rPr>
          <w:rFonts w:ascii="Times New Roman" w:hAnsi="Times New Roman"/>
          <w:i/>
          <w:sz w:val="24"/>
          <w:szCs w:val="24"/>
          <w:lang w:val="en-US" w:eastAsia="de-DE"/>
        </w:rPr>
        <w:t>INS</w:t>
      </w:r>
      <w:r w:rsidR="00E9097C" w:rsidRPr="00683D62">
        <w:rPr>
          <w:rFonts w:ascii="Times New Roman" w:hAnsi="Times New Roman"/>
          <w:sz w:val="24"/>
          <w:szCs w:val="24"/>
          <w:lang w:val="en-US" w:eastAsia="de-DE"/>
        </w:rPr>
        <w:t xml:space="preserve"> (HR,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6; 95% CI,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1</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2</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3;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Pr="00683D62">
        <w:rPr>
          <w:rFonts w:ascii="Times New Roman" w:hAnsi="Times New Roman"/>
          <w:sz w:val="24"/>
          <w:szCs w:val="24"/>
          <w:lang w:val="en-US" w:eastAsia="de-DE"/>
        </w:rPr>
        <w:t xml:space="preserve">026), </w:t>
      </w:r>
      <w:r w:rsidRPr="00683D62">
        <w:rPr>
          <w:rFonts w:ascii="Times New Roman" w:hAnsi="Times New Roman"/>
          <w:i/>
          <w:sz w:val="24"/>
          <w:szCs w:val="24"/>
          <w:lang w:val="en-US" w:eastAsia="de-DE"/>
        </w:rPr>
        <w:t>PTPN22</w:t>
      </w:r>
      <w:r w:rsidR="00E9097C" w:rsidRPr="00683D62">
        <w:rPr>
          <w:rFonts w:ascii="Times New Roman" w:hAnsi="Times New Roman"/>
          <w:sz w:val="24"/>
          <w:szCs w:val="24"/>
          <w:lang w:val="en-US" w:eastAsia="de-DE"/>
        </w:rPr>
        <w:t xml:space="preserve"> (HR,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5; 95% CI,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2</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2;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Pr="00683D62">
        <w:rPr>
          <w:rFonts w:ascii="Times New Roman" w:hAnsi="Times New Roman"/>
          <w:sz w:val="24"/>
          <w:szCs w:val="24"/>
          <w:lang w:val="en-US" w:eastAsia="de-DE"/>
        </w:rPr>
        <w:t xml:space="preserve">046), and </w:t>
      </w:r>
      <w:r w:rsidRPr="00683D62">
        <w:rPr>
          <w:rFonts w:ascii="Times New Roman" w:hAnsi="Times New Roman"/>
          <w:i/>
          <w:sz w:val="24"/>
          <w:szCs w:val="24"/>
          <w:lang w:val="en-US" w:eastAsia="de-DE"/>
        </w:rPr>
        <w:t>IFIH1</w:t>
      </w:r>
      <w:r w:rsidR="00E9097C" w:rsidRPr="00683D62">
        <w:rPr>
          <w:rFonts w:ascii="Times New Roman" w:hAnsi="Times New Roman"/>
          <w:sz w:val="24"/>
          <w:szCs w:val="24"/>
          <w:lang w:val="en-US" w:eastAsia="de-DE"/>
        </w:rPr>
        <w:t xml:space="preserve"> (HR, 2</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2; 95% CI,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4</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7;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Pr="00683D62">
        <w:rPr>
          <w:rFonts w:ascii="Times New Roman" w:hAnsi="Times New Roman"/>
          <w:sz w:val="24"/>
          <w:szCs w:val="24"/>
          <w:lang w:val="en-US" w:eastAsia="de-DE"/>
        </w:rPr>
        <w:t>043)</w:t>
      </w:r>
      <w:r w:rsidR="00025199" w:rsidRPr="00683D62">
        <w:rPr>
          <w:rFonts w:ascii="Times New Roman" w:hAnsi="Times New Roman"/>
          <w:sz w:val="24"/>
          <w:szCs w:val="24"/>
          <w:lang w:val="en-US" w:eastAsia="de-DE"/>
        </w:rPr>
        <w:t xml:space="preserve"> SNPs</w:t>
      </w:r>
      <w:r w:rsidRPr="00683D62">
        <w:rPr>
          <w:rFonts w:ascii="Times New Roman" w:hAnsi="Times New Roman"/>
          <w:sz w:val="24"/>
          <w:szCs w:val="24"/>
          <w:lang w:val="en-US" w:eastAsia="de-DE"/>
        </w:rPr>
        <w:t xml:space="preserve">. </w:t>
      </w:r>
      <w:r w:rsidRPr="00683D62">
        <w:rPr>
          <w:rFonts w:ascii="Times New Roman" w:hAnsi="Times New Roman"/>
          <w:i/>
          <w:sz w:val="24"/>
          <w:szCs w:val="24"/>
          <w:lang w:val="en-US" w:eastAsia="de-DE"/>
        </w:rPr>
        <w:t>PTPN22</w:t>
      </w:r>
      <w:r w:rsidRPr="00683D62">
        <w:rPr>
          <w:rFonts w:ascii="Times New Roman" w:hAnsi="Times New Roman"/>
          <w:sz w:val="24"/>
          <w:szCs w:val="24"/>
          <w:lang w:val="en-US" w:eastAsia="de-DE"/>
        </w:rPr>
        <w:t xml:space="preserve"> influenced the ris</w:t>
      </w:r>
      <w:r w:rsidR="00E9097C" w:rsidRPr="00683D62">
        <w:rPr>
          <w:rFonts w:ascii="Times New Roman" w:hAnsi="Times New Roman"/>
          <w:sz w:val="24"/>
          <w:szCs w:val="24"/>
          <w:lang w:val="en-US" w:eastAsia="de-DE"/>
        </w:rPr>
        <w:t xml:space="preserve">k </w:t>
      </w:r>
      <w:r w:rsidR="00C04065" w:rsidRPr="00683D62">
        <w:rPr>
          <w:rFonts w:ascii="Times New Roman" w:hAnsi="Times New Roman"/>
          <w:sz w:val="24"/>
          <w:szCs w:val="24"/>
          <w:lang w:val="en-US" w:eastAsia="de-DE"/>
        </w:rPr>
        <w:t xml:space="preserve">of </w:t>
      </w:r>
      <w:r w:rsidR="003D08F8" w:rsidRPr="00683D62">
        <w:rPr>
          <w:rFonts w:ascii="Times New Roman" w:hAnsi="Times New Roman"/>
          <w:sz w:val="24"/>
          <w:szCs w:val="24"/>
          <w:lang w:val="en-US" w:eastAsia="de-DE"/>
        </w:rPr>
        <w:t>TGA (HR, 1</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6; 95% CI, 1</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eastAsia="de-DE"/>
        </w:rPr>
        <w:t>2</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eastAsia="de-DE"/>
        </w:rPr>
        <w:t>6; p</w:t>
      </w:r>
      <w:r w:rsidR="00C0406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047), and </w:t>
      </w:r>
      <w:r w:rsidRPr="00683D62">
        <w:rPr>
          <w:rFonts w:ascii="Times New Roman" w:hAnsi="Times New Roman"/>
          <w:i/>
          <w:sz w:val="24"/>
          <w:szCs w:val="24"/>
          <w:lang w:val="en-US" w:eastAsia="de-DE"/>
        </w:rPr>
        <w:t>SH2B3</w:t>
      </w:r>
      <w:r w:rsidRPr="00683D62">
        <w:rPr>
          <w:rFonts w:ascii="Times New Roman" w:hAnsi="Times New Roman"/>
          <w:sz w:val="24"/>
          <w:szCs w:val="24"/>
          <w:lang w:val="en-US" w:eastAsia="de-DE"/>
        </w:rPr>
        <w:t xml:space="preserve"> influenced the risk </w:t>
      </w:r>
      <w:r w:rsidR="00C04065"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TPOA (H</w:t>
      </w:r>
      <w:r w:rsidR="00E9097C" w:rsidRPr="00683D62">
        <w:rPr>
          <w:rFonts w:ascii="Times New Roman" w:hAnsi="Times New Roman"/>
          <w:sz w:val="24"/>
          <w:szCs w:val="24"/>
          <w:lang w:val="en-US" w:eastAsia="de-DE"/>
        </w:rPr>
        <w:t>R,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5; 95% CI, 1</w:t>
      </w:r>
      <w:r w:rsidR="00A410C7" w:rsidRPr="00683D62">
        <w:rPr>
          <w:rFonts w:ascii="Calibri Light" w:hAnsi="Calibri Light" w:cs="Calibri Light"/>
          <w:lang w:val="en-US"/>
        </w:rPr>
        <w:t>.</w:t>
      </w:r>
      <w:r w:rsidR="00E9097C"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2</w:t>
      </w:r>
      <w:r w:rsidR="00A410C7" w:rsidRPr="00683D62">
        <w:rPr>
          <w:rFonts w:ascii="Times New Roman" w:hAnsi="Times New Roman"/>
          <w:sz w:val="24"/>
          <w:szCs w:val="24"/>
          <w:lang w:val="en-US" w:eastAsia="de-DE"/>
        </w:rPr>
        <w:t>.</w:t>
      </w:r>
      <w:r w:rsidR="00E9097C" w:rsidRPr="00683D62">
        <w:rPr>
          <w:rFonts w:ascii="Times New Roman" w:hAnsi="Times New Roman"/>
          <w:sz w:val="24"/>
          <w:szCs w:val="24"/>
          <w:lang w:val="en-US" w:eastAsia="de-DE"/>
        </w:rPr>
        <w:t>1;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Pr="00683D62">
        <w:rPr>
          <w:rFonts w:ascii="Times New Roman" w:hAnsi="Times New Roman"/>
          <w:sz w:val="24"/>
          <w:szCs w:val="24"/>
          <w:lang w:val="en-US" w:eastAsia="de-DE"/>
        </w:rPr>
        <w:t>032).</w:t>
      </w:r>
    </w:p>
    <w:p w14:paraId="72C386E0" w14:textId="21161806" w:rsidR="004C7279" w:rsidRPr="00683D62" w:rsidRDefault="004C7279" w:rsidP="001E4BE8">
      <w:pPr>
        <w:pStyle w:val="Kommentartext"/>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The earlier development of IA and TGA as compared to TPOA provided the opportunity to determine whether the development on one autoantibody influences the risk of developing a second </w:t>
      </w:r>
      <w:r w:rsidR="00E94EED" w:rsidRPr="00683D62">
        <w:rPr>
          <w:rFonts w:ascii="Times New Roman" w:hAnsi="Times New Roman"/>
          <w:sz w:val="24"/>
          <w:szCs w:val="24"/>
          <w:lang w:val="en-US" w:eastAsia="de-DE"/>
        </w:rPr>
        <w:t xml:space="preserve">autoantibody </w:t>
      </w:r>
      <w:r w:rsidRPr="00683D62">
        <w:rPr>
          <w:rFonts w:ascii="Times New Roman" w:hAnsi="Times New Roman"/>
          <w:sz w:val="24"/>
          <w:szCs w:val="24"/>
          <w:lang w:val="en-US" w:eastAsia="de-DE"/>
        </w:rPr>
        <w:t xml:space="preserve">(Figure S4). Children who were positive for IA or TGA by age 10 years had an increased risk to develop TPOA after age 10 years </w:t>
      </w:r>
      <w:r w:rsidRPr="00B60E10">
        <w:rPr>
          <w:rFonts w:ascii="Times New Roman" w:hAnsi="Times New Roman"/>
          <w:sz w:val="24"/>
          <w:szCs w:val="24"/>
          <w:lang w:val="en-US" w:eastAsia="de-DE"/>
        </w:rPr>
        <w:t>(</w:t>
      </w:r>
      <w:r w:rsidR="008E05B3" w:rsidRPr="00B60E10">
        <w:rPr>
          <w:rFonts w:ascii="Times New Roman" w:hAnsi="Times New Roman"/>
          <w:sz w:val="24"/>
          <w:szCs w:val="24"/>
          <w:lang w:val="en-US" w:eastAsia="de-DE"/>
        </w:rPr>
        <w:t>18.2</w:t>
      </w:r>
      <w:r w:rsidRPr="00B60E10">
        <w:rPr>
          <w:rFonts w:ascii="Times New Roman" w:hAnsi="Times New Roman"/>
          <w:sz w:val="24"/>
          <w:szCs w:val="24"/>
          <w:lang w:val="en-US" w:eastAsia="de-DE"/>
        </w:rPr>
        <w:t xml:space="preserve">% by age 20 years; 95% CI, </w:t>
      </w:r>
      <w:r w:rsidR="008E05B3" w:rsidRPr="00B60E10">
        <w:rPr>
          <w:rFonts w:ascii="Times New Roman" w:hAnsi="Times New Roman"/>
          <w:sz w:val="24"/>
          <w:szCs w:val="24"/>
          <w:lang w:val="en-US" w:eastAsia="de-DE"/>
        </w:rPr>
        <w:t>7.3</w:t>
      </w:r>
      <w:r w:rsidRPr="00B60E10">
        <w:rPr>
          <w:rFonts w:ascii="Times New Roman" w:hAnsi="Times New Roman"/>
          <w:sz w:val="24"/>
          <w:szCs w:val="24"/>
          <w:lang w:val="en-US" w:eastAsia="de-DE"/>
        </w:rPr>
        <w:t>-</w:t>
      </w:r>
      <w:r w:rsidR="008E05B3" w:rsidRPr="00B60E10">
        <w:rPr>
          <w:rFonts w:ascii="Times New Roman" w:hAnsi="Times New Roman"/>
          <w:sz w:val="24"/>
          <w:szCs w:val="24"/>
          <w:lang w:val="en-US" w:eastAsia="de-DE"/>
        </w:rPr>
        <w:t>27.9</w:t>
      </w:r>
      <w:r w:rsidRPr="00B60E10">
        <w:rPr>
          <w:rFonts w:ascii="Times New Roman" w:hAnsi="Times New Roman"/>
          <w:sz w:val="24"/>
          <w:szCs w:val="24"/>
          <w:lang w:val="en-US" w:eastAsia="de-DE"/>
        </w:rPr>
        <w:t>) than children who were IA and TGA negative (</w:t>
      </w:r>
      <w:r w:rsidR="008E05B3" w:rsidRPr="00B60E10">
        <w:rPr>
          <w:rFonts w:ascii="Times New Roman" w:hAnsi="Times New Roman"/>
          <w:sz w:val="24"/>
          <w:szCs w:val="24"/>
          <w:lang w:val="en-US" w:eastAsia="de-DE"/>
        </w:rPr>
        <w:t>11.9</w:t>
      </w:r>
      <w:r w:rsidRPr="00B60E10">
        <w:rPr>
          <w:rFonts w:ascii="Times New Roman" w:hAnsi="Times New Roman"/>
          <w:sz w:val="24"/>
          <w:szCs w:val="24"/>
          <w:lang w:val="en-US" w:eastAsia="de-DE"/>
        </w:rPr>
        <w:t xml:space="preserve">%; 95% CI; </w:t>
      </w:r>
      <w:r w:rsidR="008E05B3" w:rsidRPr="00B60E10">
        <w:rPr>
          <w:rFonts w:ascii="Times New Roman" w:hAnsi="Times New Roman"/>
          <w:sz w:val="24"/>
          <w:szCs w:val="24"/>
          <w:lang w:val="en-US" w:eastAsia="de-DE"/>
        </w:rPr>
        <w:t>4.7</w:t>
      </w:r>
      <w:r w:rsidRPr="00B60E10">
        <w:rPr>
          <w:rFonts w:ascii="Times New Roman" w:hAnsi="Times New Roman"/>
          <w:sz w:val="24"/>
          <w:szCs w:val="24"/>
          <w:lang w:val="en-US" w:eastAsia="de-DE"/>
        </w:rPr>
        <w:t>-</w:t>
      </w:r>
      <w:r w:rsidR="008E05B3" w:rsidRPr="00B60E10">
        <w:rPr>
          <w:rFonts w:ascii="Times New Roman" w:hAnsi="Times New Roman"/>
          <w:sz w:val="24"/>
          <w:szCs w:val="24"/>
          <w:lang w:val="en-US" w:eastAsia="de-DE"/>
        </w:rPr>
        <w:t>18.5</w:t>
      </w:r>
      <w:r w:rsidRPr="00B60E10">
        <w:rPr>
          <w:rFonts w:ascii="Times New Roman" w:hAnsi="Times New Roman"/>
          <w:sz w:val="24"/>
          <w:szCs w:val="24"/>
          <w:lang w:val="en-US" w:eastAsia="de-DE"/>
        </w:rPr>
        <w:t xml:space="preserve">; p=0.0043). The difference </w:t>
      </w:r>
      <w:r w:rsidR="00746AC0" w:rsidRPr="00B60E10">
        <w:rPr>
          <w:rFonts w:ascii="Times New Roman" w:hAnsi="Times New Roman"/>
          <w:sz w:val="24"/>
          <w:szCs w:val="24"/>
          <w:lang w:val="en-US" w:eastAsia="de-DE"/>
        </w:rPr>
        <w:t>was also observed</w:t>
      </w:r>
      <w:r w:rsidRPr="00B60E10">
        <w:rPr>
          <w:rFonts w:ascii="Times New Roman" w:hAnsi="Times New Roman"/>
          <w:sz w:val="24"/>
          <w:szCs w:val="24"/>
          <w:lang w:val="en-US" w:eastAsia="de-DE"/>
        </w:rPr>
        <w:t xml:space="preserve"> when the analysis was restricted to children with a HLA DR3/3, DR3/DR4-DQ8 or DR4-DQ8/DR4-DQ8 genotype (</w:t>
      </w:r>
      <w:r w:rsidR="008E05B3" w:rsidRPr="00B60E10">
        <w:rPr>
          <w:rFonts w:ascii="Times New Roman" w:hAnsi="Times New Roman"/>
          <w:sz w:val="24"/>
          <w:szCs w:val="24"/>
          <w:lang w:val="en-US" w:eastAsia="de-DE"/>
        </w:rPr>
        <w:t>30.2</w:t>
      </w:r>
      <w:r w:rsidRPr="00B60E10">
        <w:rPr>
          <w:rFonts w:ascii="Times New Roman" w:hAnsi="Times New Roman"/>
          <w:sz w:val="24"/>
          <w:szCs w:val="24"/>
          <w:lang w:val="en-US" w:eastAsia="de-DE"/>
        </w:rPr>
        <w:t xml:space="preserve">%; 95% CI, </w:t>
      </w:r>
      <w:r w:rsidR="008E05B3" w:rsidRPr="00B60E10">
        <w:rPr>
          <w:rFonts w:ascii="Times New Roman" w:hAnsi="Times New Roman"/>
          <w:sz w:val="24"/>
          <w:szCs w:val="24"/>
          <w:lang w:val="en-US" w:eastAsia="de-DE"/>
        </w:rPr>
        <w:t>3.4</w:t>
      </w:r>
      <w:r w:rsidRPr="00B60E10">
        <w:rPr>
          <w:rFonts w:ascii="Times New Roman" w:hAnsi="Times New Roman"/>
          <w:sz w:val="24"/>
          <w:szCs w:val="24"/>
          <w:lang w:val="en-US" w:eastAsia="de-DE"/>
        </w:rPr>
        <w:t>-</w:t>
      </w:r>
      <w:r w:rsidR="008E05B3" w:rsidRPr="00B60E10">
        <w:rPr>
          <w:rFonts w:ascii="Times New Roman" w:hAnsi="Times New Roman"/>
          <w:sz w:val="24"/>
          <w:szCs w:val="24"/>
          <w:lang w:val="en-US" w:eastAsia="de-DE"/>
        </w:rPr>
        <w:t>49.6</w:t>
      </w:r>
      <w:r w:rsidRPr="00B60E10">
        <w:rPr>
          <w:rFonts w:ascii="Times New Roman" w:hAnsi="Times New Roman"/>
          <w:sz w:val="24"/>
          <w:szCs w:val="24"/>
          <w:lang w:val="en-US" w:eastAsia="de-DE"/>
        </w:rPr>
        <w:t xml:space="preserve"> vs </w:t>
      </w:r>
      <w:r w:rsidR="008E05B3" w:rsidRPr="00B60E10">
        <w:rPr>
          <w:rFonts w:ascii="Times New Roman" w:hAnsi="Times New Roman"/>
          <w:sz w:val="24"/>
          <w:szCs w:val="24"/>
          <w:lang w:val="en-US" w:eastAsia="de-DE"/>
        </w:rPr>
        <w:t>5.5</w:t>
      </w:r>
      <w:r w:rsidRPr="00B60E10">
        <w:rPr>
          <w:rFonts w:ascii="Times New Roman" w:hAnsi="Times New Roman"/>
          <w:sz w:val="24"/>
          <w:szCs w:val="24"/>
          <w:lang w:val="en-US" w:eastAsia="de-DE"/>
        </w:rPr>
        <w:t xml:space="preserve">%; 95% CI, </w:t>
      </w:r>
      <w:r w:rsidR="008E05B3" w:rsidRPr="00B60E10">
        <w:rPr>
          <w:rFonts w:ascii="Times New Roman" w:hAnsi="Times New Roman"/>
          <w:sz w:val="24"/>
          <w:szCs w:val="24"/>
          <w:lang w:val="en-US" w:eastAsia="de-DE"/>
        </w:rPr>
        <w:t>0.2</w:t>
      </w:r>
      <w:r w:rsidRPr="00B60E10">
        <w:rPr>
          <w:rFonts w:ascii="Times New Roman" w:hAnsi="Times New Roman"/>
          <w:sz w:val="24"/>
          <w:szCs w:val="24"/>
          <w:lang w:val="en-US" w:eastAsia="de-DE"/>
        </w:rPr>
        <w:t>-</w:t>
      </w:r>
      <w:r w:rsidR="008E05B3" w:rsidRPr="00B60E10">
        <w:rPr>
          <w:rFonts w:ascii="Times New Roman" w:hAnsi="Times New Roman"/>
          <w:sz w:val="24"/>
          <w:szCs w:val="24"/>
          <w:lang w:val="en-US" w:eastAsia="de-DE"/>
        </w:rPr>
        <w:t>10.5</w:t>
      </w:r>
      <w:r w:rsidRPr="00B60E10">
        <w:rPr>
          <w:rFonts w:ascii="Times New Roman" w:hAnsi="Times New Roman"/>
          <w:sz w:val="24"/>
          <w:szCs w:val="24"/>
          <w:lang w:val="en-US" w:eastAsia="de-DE"/>
        </w:rPr>
        <w:t>; p=0.0015)</w:t>
      </w:r>
      <w:r w:rsidRPr="00683D62">
        <w:rPr>
          <w:rFonts w:ascii="Times New Roman" w:hAnsi="Times New Roman"/>
          <w:sz w:val="24"/>
          <w:szCs w:val="24"/>
          <w:lang w:val="en-US" w:eastAsia="de-DE"/>
        </w:rPr>
        <w:t xml:space="preserve"> </w:t>
      </w:r>
    </w:p>
    <w:p w14:paraId="402B0CE3" w14:textId="77777777" w:rsidR="00C13C6E" w:rsidRPr="00683D62" w:rsidRDefault="00C13C6E" w:rsidP="00765D62">
      <w:pPr>
        <w:autoSpaceDE w:val="0"/>
        <w:autoSpaceDN w:val="0"/>
        <w:adjustRightInd w:val="0"/>
        <w:spacing w:after="0" w:line="480" w:lineRule="auto"/>
        <w:jc w:val="both"/>
        <w:rPr>
          <w:rFonts w:ascii="Times New Roman" w:hAnsi="Times New Roman"/>
          <w:sz w:val="24"/>
          <w:szCs w:val="24"/>
          <w:lang w:val="en-US" w:eastAsia="de-DE"/>
        </w:rPr>
      </w:pPr>
    </w:p>
    <w:p w14:paraId="4D0A8DB4" w14:textId="3516A0FE" w:rsidR="00765D62" w:rsidRPr="00683D62" w:rsidRDefault="003D08F8" w:rsidP="00765D62">
      <w:pPr>
        <w:autoSpaceDE w:val="0"/>
        <w:autoSpaceDN w:val="0"/>
        <w:adjustRightInd w:val="0"/>
        <w:spacing w:after="0" w:line="480" w:lineRule="auto"/>
        <w:jc w:val="both"/>
        <w:rPr>
          <w:rFonts w:ascii="Times New Roman" w:hAnsi="Times New Roman"/>
          <w:i/>
          <w:sz w:val="24"/>
          <w:szCs w:val="24"/>
          <w:lang w:val="en-US" w:eastAsia="de-DE"/>
        </w:rPr>
      </w:pPr>
      <w:r w:rsidRPr="00683D62">
        <w:rPr>
          <w:rFonts w:ascii="Times New Roman" w:hAnsi="Times New Roman"/>
          <w:i/>
          <w:sz w:val="24"/>
          <w:szCs w:val="24"/>
          <w:lang w:val="en-US" w:eastAsia="de-DE"/>
        </w:rPr>
        <w:t>I</w:t>
      </w:r>
      <w:r w:rsidR="00C04065" w:rsidRPr="00683D62">
        <w:rPr>
          <w:rFonts w:ascii="Times New Roman" w:hAnsi="Times New Roman"/>
          <w:i/>
          <w:sz w:val="24"/>
          <w:szCs w:val="24"/>
          <w:lang w:val="en-US" w:eastAsia="de-DE"/>
        </w:rPr>
        <w:t xml:space="preserve">nteraction </w:t>
      </w:r>
      <w:r w:rsidR="00765D62" w:rsidRPr="00683D62">
        <w:rPr>
          <w:rFonts w:ascii="Times New Roman" w:hAnsi="Times New Roman"/>
          <w:i/>
          <w:sz w:val="24"/>
          <w:szCs w:val="24"/>
          <w:lang w:val="en-US" w:eastAsia="de-DE"/>
        </w:rPr>
        <w:t>between HLA and sex on autoantibody risk</w:t>
      </w:r>
    </w:p>
    <w:p w14:paraId="28EB184B" w14:textId="6CB5D653" w:rsidR="00B84DD8" w:rsidRPr="00683D62" w:rsidRDefault="003D08F8" w:rsidP="005372A5">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An i</w:t>
      </w:r>
      <w:r w:rsidR="00C04065" w:rsidRPr="00683D62">
        <w:rPr>
          <w:rFonts w:ascii="Times New Roman" w:hAnsi="Times New Roman"/>
          <w:sz w:val="24"/>
          <w:szCs w:val="24"/>
          <w:lang w:val="en-US" w:eastAsia="de-DE"/>
        </w:rPr>
        <w:t xml:space="preserve">nteraction </w:t>
      </w:r>
      <w:r w:rsidRPr="00683D62">
        <w:rPr>
          <w:rFonts w:ascii="Times New Roman" w:hAnsi="Times New Roman"/>
          <w:sz w:val="24"/>
          <w:szCs w:val="24"/>
          <w:lang w:val="en-US" w:eastAsia="de-DE"/>
        </w:rPr>
        <w:t xml:space="preserve">between HLA and sex on autoantibody risk </w:t>
      </w:r>
      <w:r w:rsidR="00F7024B" w:rsidRPr="00683D62">
        <w:rPr>
          <w:rFonts w:ascii="Times New Roman" w:hAnsi="Times New Roman"/>
          <w:sz w:val="24"/>
          <w:szCs w:val="24"/>
          <w:lang w:val="en-US" w:eastAsia="de-DE"/>
        </w:rPr>
        <w:t>was</w:t>
      </w:r>
      <w:r w:rsidR="008D0BF2" w:rsidRPr="00683D62">
        <w:rPr>
          <w:rFonts w:ascii="Times New Roman" w:hAnsi="Times New Roman"/>
          <w:sz w:val="24"/>
          <w:szCs w:val="24"/>
          <w:lang w:val="en-US" w:eastAsia="de-DE"/>
        </w:rPr>
        <w:t xml:space="preserve"> investigated using </w:t>
      </w:r>
      <w:r w:rsidR="00C04065" w:rsidRPr="00683D62">
        <w:rPr>
          <w:rFonts w:ascii="Times New Roman" w:hAnsi="Times New Roman"/>
          <w:sz w:val="24"/>
          <w:szCs w:val="24"/>
          <w:lang w:val="en-US" w:eastAsia="de-DE"/>
        </w:rPr>
        <w:t xml:space="preserve">Cox </w:t>
      </w:r>
      <w:r w:rsidR="001F612B" w:rsidRPr="00683D62">
        <w:rPr>
          <w:rFonts w:ascii="Times New Roman" w:hAnsi="Times New Roman"/>
          <w:sz w:val="24"/>
          <w:szCs w:val="24"/>
          <w:lang w:val="en-US" w:eastAsia="de-DE"/>
        </w:rPr>
        <w:t xml:space="preserve">proportional hazards </w:t>
      </w:r>
      <w:r w:rsidR="008D0BF2" w:rsidRPr="00683D62">
        <w:rPr>
          <w:rFonts w:ascii="Times New Roman" w:hAnsi="Times New Roman"/>
          <w:sz w:val="24"/>
          <w:szCs w:val="24"/>
          <w:lang w:val="en-US" w:eastAsia="de-DE"/>
        </w:rPr>
        <w:t>models. T</w:t>
      </w:r>
      <w:r w:rsidR="000116EC" w:rsidRPr="00683D62">
        <w:rPr>
          <w:rFonts w:ascii="Times New Roman" w:hAnsi="Times New Roman"/>
          <w:sz w:val="24"/>
          <w:szCs w:val="24"/>
          <w:lang w:val="en-US" w:eastAsia="de-DE"/>
        </w:rPr>
        <w:t xml:space="preserve">he model incorporating </w:t>
      </w:r>
      <w:r w:rsidR="00C04065" w:rsidRPr="00683D62">
        <w:rPr>
          <w:rFonts w:ascii="Times New Roman" w:hAnsi="Times New Roman"/>
          <w:sz w:val="24"/>
          <w:szCs w:val="24"/>
          <w:lang w:val="en-US" w:eastAsia="de-DE"/>
        </w:rPr>
        <w:t xml:space="preserve">the </w:t>
      </w:r>
      <w:r w:rsidR="000116EC" w:rsidRPr="00683D62">
        <w:rPr>
          <w:rFonts w:ascii="Times New Roman" w:hAnsi="Times New Roman"/>
          <w:sz w:val="24"/>
          <w:szCs w:val="24"/>
          <w:lang w:val="en-US" w:eastAsia="de-DE"/>
        </w:rPr>
        <w:t xml:space="preserve">interaction was more effective in predicting the risk </w:t>
      </w:r>
      <w:r w:rsidR="00C04065" w:rsidRPr="00683D62">
        <w:rPr>
          <w:rFonts w:ascii="Times New Roman" w:hAnsi="Times New Roman"/>
          <w:sz w:val="24"/>
          <w:szCs w:val="24"/>
          <w:lang w:val="en-US" w:eastAsia="de-DE"/>
        </w:rPr>
        <w:t xml:space="preserve">of </w:t>
      </w:r>
      <w:r w:rsidR="000116EC" w:rsidRPr="00683D62">
        <w:rPr>
          <w:rFonts w:ascii="Times New Roman" w:hAnsi="Times New Roman"/>
          <w:sz w:val="24"/>
          <w:szCs w:val="24"/>
          <w:lang w:val="en-US" w:eastAsia="de-DE"/>
        </w:rPr>
        <w:t xml:space="preserve">any of the autoantibodies than </w:t>
      </w:r>
      <w:r w:rsidR="00C04065" w:rsidRPr="00683D62">
        <w:rPr>
          <w:rFonts w:ascii="Times New Roman" w:hAnsi="Times New Roman"/>
          <w:sz w:val="24"/>
          <w:szCs w:val="24"/>
          <w:lang w:val="en-US" w:eastAsia="de-DE"/>
        </w:rPr>
        <w:t xml:space="preserve">the </w:t>
      </w:r>
      <w:r w:rsidR="000116EC" w:rsidRPr="00683D62">
        <w:rPr>
          <w:rFonts w:ascii="Times New Roman" w:hAnsi="Times New Roman"/>
          <w:sz w:val="24"/>
          <w:szCs w:val="24"/>
          <w:lang w:val="en-US" w:eastAsia="de-DE"/>
        </w:rPr>
        <w:t>model that did n</w:t>
      </w:r>
      <w:r w:rsidR="00E9097C" w:rsidRPr="00683D62">
        <w:rPr>
          <w:rFonts w:ascii="Times New Roman" w:hAnsi="Times New Roman"/>
          <w:sz w:val="24"/>
          <w:szCs w:val="24"/>
          <w:lang w:val="en-US" w:eastAsia="de-DE"/>
        </w:rPr>
        <w:t xml:space="preserve">ot consider </w:t>
      </w:r>
      <w:r w:rsidR="00C04065" w:rsidRPr="00683D62">
        <w:rPr>
          <w:rFonts w:ascii="Times New Roman" w:hAnsi="Times New Roman"/>
          <w:sz w:val="24"/>
          <w:szCs w:val="24"/>
          <w:lang w:val="en-US" w:eastAsia="de-DE"/>
        </w:rPr>
        <w:t xml:space="preserve">this </w:t>
      </w:r>
      <w:r w:rsidR="00E9097C" w:rsidRPr="00683D62">
        <w:rPr>
          <w:rFonts w:ascii="Times New Roman" w:hAnsi="Times New Roman"/>
          <w:sz w:val="24"/>
          <w:szCs w:val="24"/>
          <w:lang w:val="en-US" w:eastAsia="de-DE"/>
        </w:rPr>
        <w:t>interaction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Times New Roman" w:hAnsi="Times New Roman"/>
          <w:sz w:val="24"/>
          <w:szCs w:val="24"/>
          <w:lang w:val="en-US" w:eastAsia="de-DE"/>
        </w:rPr>
        <w:t>.</w:t>
      </w:r>
      <w:r w:rsidR="000116EC" w:rsidRPr="00683D62">
        <w:rPr>
          <w:rFonts w:ascii="Times New Roman" w:hAnsi="Times New Roman"/>
          <w:sz w:val="24"/>
          <w:szCs w:val="24"/>
          <w:lang w:val="en-US" w:eastAsia="de-DE"/>
        </w:rPr>
        <w:t xml:space="preserve">0077; </w:t>
      </w:r>
      <w:r w:rsidR="00C04065" w:rsidRPr="00683D62">
        <w:rPr>
          <w:rFonts w:ascii="Times New Roman" w:hAnsi="Times New Roman"/>
          <w:sz w:val="24"/>
          <w:szCs w:val="24"/>
          <w:lang w:val="en-US" w:eastAsia="de-DE"/>
        </w:rPr>
        <w:t xml:space="preserve">Table </w:t>
      </w:r>
      <w:r w:rsidR="00264424" w:rsidRPr="00683D62">
        <w:rPr>
          <w:rFonts w:ascii="Times New Roman" w:hAnsi="Times New Roman"/>
          <w:sz w:val="24"/>
          <w:szCs w:val="24"/>
          <w:lang w:val="en-US" w:eastAsia="de-DE"/>
        </w:rPr>
        <w:t>S</w:t>
      </w:r>
      <w:r w:rsidR="00BB0C6E" w:rsidRPr="00683D62">
        <w:rPr>
          <w:rFonts w:ascii="Times New Roman" w:hAnsi="Times New Roman"/>
          <w:sz w:val="24"/>
          <w:szCs w:val="24"/>
          <w:lang w:val="en-US" w:eastAsia="de-DE"/>
        </w:rPr>
        <w:t>1</w:t>
      </w:r>
      <w:r w:rsidR="000116EC" w:rsidRPr="00683D62">
        <w:rPr>
          <w:rFonts w:ascii="Times New Roman" w:hAnsi="Times New Roman"/>
          <w:sz w:val="24"/>
          <w:szCs w:val="24"/>
          <w:lang w:val="en-US" w:eastAsia="de-DE"/>
        </w:rPr>
        <w:t xml:space="preserve">). </w:t>
      </w:r>
      <w:r w:rsidR="007E0153">
        <w:rPr>
          <w:rFonts w:ascii="Times New Roman" w:hAnsi="Times New Roman"/>
          <w:sz w:val="24"/>
          <w:szCs w:val="24"/>
          <w:lang w:val="en-US" w:eastAsia="de-DE"/>
        </w:rPr>
        <w:t>We, therefore performed exploratory analyses after stratification by HLA genotype (Figure 2). An</w:t>
      </w:r>
      <w:r w:rsidR="001E3259" w:rsidRPr="00683D62">
        <w:rPr>
          <w:rFonts w:ascii="Times New Roman" w:hAnsi="Times New Roman"/>
          <w:sz w:val="24"/>
          <w:szCs w:val="24"/>
          <w:lang w:val="en-US" w:eastAsia="de-DE"/>
        </w:rPr>
        <w:t xml:space="preserve"> interaction was most clearly observed when </w:t>
      </w:r>
      <w:r w:rsidR="00C04065" w:rsidRPr="00683D62">
        <w:rPr>
          <w:rFonts w:ascii="Times New Roman" w:hAnsi="Times New Roman"/>
          <w:sz w:val="24"/>
          <w:szCs w:val="24"/>
          <w:lang w:val="en-US" w:eastAsia="de-DE"/>
        </w:rPr>
        <w:t xml:space="preserve">we compared </w:t>
      </w:r>
      <w:r w:rsidR="00831E7C" w:rsidRPr="00683D62">
        <w:rPr>
          <w:rFonts w:ascii="Times New Roman" w:hAnsi="Times New Roman"/>
          <w:sz w:val="24"/>
          <w:szCs w:val="24"/>
          <w:lang w:val="en-US" w:eastAsia="de-DE"/>
        </w:rPr>
        <w:t>the effect of sex on</w:t>
      </w:r>
      <w:r w:rsidR="001E3259" w:rsidRPr="00683D62">
        <w:rPr>
          <w:rFonts w:ascii="Times New Roman" w:hAnsi="Times New Roman"/>
          <w:sz w:val="24"/>
          <w:szCs w:val="24"/>
          <w:lang w:val="en-US" w:eastAsia="de-DE"/>
        </w:rPr>
        <w:t xml:space="preserve"> </w:t>
      </w:r>
      <w:r w:rsidR="00C04065" w:rsidRPr="00683D62">
        <w:rPr>
          <w:rFonts w:ascii="Times New Roman" w:hAnsi="Times New Roman"/>
          <w:sz w:val="24"/>
          <w:szCs w:val="24"/>
          <w:lang w:val="en-US" w:eastAsia="de-DE"/>
        </w:rPr>
        <w:t xml:space="preserve">the </w:t>
      </w:r>
      <w:r w:rsidR="001E3259" w:rsidRPr="00683D62">
        <w:rPr>
          <w:rFonts w:ascii="Times New Roman" w:hAnsi="Times New Roman"/>
          <w:sz w:val="24"/>
          <w:szCs w:val="24"/>
          <w:lang w:val="en-US" w:eastAsia="de-DE"/>
        </w:rPr>
        <w:t xml:space="preserve">risks in children </w:t>
      </w:r>
      <w:r w:rsidR="00831E7C" w:rsidRPr="00683D62">
        <w:rPr>
          <w:rFonts w:ascii="Times New Roman" w:hAnsi="Times New Roman"/>
          <w:sz w:val="24"/>
          <w:szCs w:val="24"/>
          <w:lang w:val="en-US" w:eastAsia="de-DE"/>
        </w:rPr>
        <w:t xml:space="preserve">with </w:t>
      </w:r>
      <w:r w:rsidR="001E3259" w:rsidRPr="00683D62">
        <w:rPr>
          <w:rFonts w:ascii="Times New Roman" w:hAnsi="Times New Roman"/>
          <w:sz w:val="24"/>
          <w:szCs w:val="24"/>
          <w:lang w:val="en-US" w:eastAsia="de-DE"/>
        </w:rPr>
        <w:t xml:space="preserve">the DR4-DQ8/DR4-DQ8 </w:t>
      </w:r>
      <w:r w:rsidR="00C04065" w:rsidRPr="00683D62">
        <w:rPr>
          <w:rFonts w:ascii="Times New Roman" w:hAnsi="Times New Roman"/>
          <w:sz w:val="24"/>
          <w:szCs w:val="24"/>
          <w:lang w:val="en-US" w:eastAsia="de-DE"/>
        </w:rPr>
        <w:t>or</w:t>
      </w:r>
      <w:r w:rsidR="007E0153">
        <w:rPr>
          <w:rFonts w:ascii="Times New Roman" w:hAnsi="Times New Roman"/>
          <w:sz w:val="24"/>
          <w:szCs w:val="24"/>
          <w:lang w:val="en-US" w:eastAsia="de-DE"/>
        </w:rPr>
        <w:t xml:space="preserve"> DR3/DR4-DQ8 genotype</w:t>
      </w:r>
      <w:r w:rsidR="001E3259" w:rsidRPr="00683D62">
        <w:rPr>
          <w:rFonts w:ascii="Times New Roman" w:hAnsi="Times New Roman"/>
          <w:sz w:val="24"/>
          <w:szCs w:val="24"/>
          <w:lang w:val="en-US" w:eastAsia="de-DE"/>
        </w:rPr>
        <w:t xml:space="preserve">. Boys with </w:t>
      </w:r>
      <w:r w:rsidR="001F612B" w:rsidRPr="00683D62">
        <w:rPr>
          <w:rFonts w:ascii="Times New Roman" w:hAnsi="Times New Roman"/>
          <w:sz w:val="24"/>
          <w:szCs w:val="24"/>
          <w:lang w:val="en-US" w:eastAsia="de-DE"/>
        </w:rPr>
        <w:t>the HLA</w:t>
      </w:r>
      <w:r w:rsidR="001E3259" w:rsidRPr="00683D62">
        <w:rPr>
          <w:rFonts w:ascii="Times New Roman" w:hAnsi="Times New Roman"/>
          <w:sz w:val="24"/>
          <w:szCs w:val="24"/>
          <w:lang w:val="en-US" w:eastAsia="de-DE"/>
        </w:rPr>
        <w:t xml:space="preserve"> DR4-DQ8/DR4-DQ8 genotype had a markedly reduced risk </w:t>
      </w:r>
      <w:r w:rsidR="00C04065" w:rsidRPr="00683D62">
        <w:rPr>
          <w:rFonts w:ascii="Times New Roman" w:hAnsi="Times New Roman"/>
          <w:sz w:val="24"/>
          <w:szCs w:val="24"/>
          <w:lang w:val="en-US" w:eastAsia="de-DE"/>
        </w:rPr>
        <w:t xml:space="preserve">of </w:t>
      </w:r>
      <w:r w:rsidR="00E9097C" w:rsidRPr="00683D62">
        <w:rPr>
          <w:rFonts w:ascii="Times New Roman" w:hAnsi="Times New Roman"/>
          <w:sz w:val="24"/>
          <w:szCs w:val="24"/>
          <w:lang w:val="en-US" w:eastAsia="de-DE"/>
        </w:rPr>
        <w:t>TGA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264424" w:rsidRPr="00683D62">
        <w:rPr>
          <w:rFonts w:ascii="Times New Roman" w:hAnsi="Times New Roman"/>
          <w:sz w:val="24"/>
          <w:szCs w:val="24"/>
          <w:lang w:val="en-US" w:eastAsia="de-DE"/>
        </w:rPr>
        <w:t>014</w:t>
      </w:r>
      <w:r w:rsidR="000E6EFF" w:rsidRPr="00683D62">
        <w:rPr>
          <w:rFonts w:ascii="Times New Roman" w:hAnsi="Times New Roman"/>
          <w:sz w:val="24"/>
          <w:szCs w:val="24"/>
          <w:lang w:val="en-US" w:eastAsia="de-DE"/>
        </w:rPr>
        <w:t xml:space="preserve"> vs girls) and TPOA </w:t>
      </w:r>
      <w:r w:rsidR="00E9097C" w:rsidRPr="00683D62">
        <w:rPr>
          <w:rFonts w:ascii="Times New Roman" w:hAnsi="Times New Roman"/>
          <w:sz w:val="24"/>
          <w:szCs w:val="24"/>
          <w:lang w:val="en-US" w:eastAsia="de-DE"/>
        </w:rPr>
        <w:t>(p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0</w:t>
      </w:r>
      <w:r w:rsidR="00264424" w:rsidRPr="00683D62">
        <w:rPr>
          <w:rFonts w:ascii="Times New Roman" w:hAnsi="Times New Roman"/>
          <w:sz w:val="24"/>
          <w:szCs w:val="24"/>
          <w:lang w:val="en-US" w:eastAsia="de-DE"/>
        </w:rPr>
        <w:t>084</w:t>
      </w:r>
      <w:r w:rsidR="000116EC" w:rsidRPr="00683D62">
        <w:rPr>
          <w:rFonts w:ascii="Times New Roman" w:hAnsi="Times New Roman"/>
          <w:sz w:val="24"/>
          <w:szCs w:val="24"/>
          <w:lang w:val="en-US" w:eastAsia="de-DE"/>
        </w:rPr>
        <w:t xml:space="preserve"> vs girls)</w:t>
      </w:r>
      <w:r w:rsidR="001E3259" w:rsidRPr="00683D62">
        <w:rPr>
          <w:rFonts w:ascii="Times New Roman" w:hAnsi="Times New Roman"/>
          <w:sz w:val="24"/>
          <w:szCs w:val="24"/>
          <w:lang w:val="en-US" w:eastAsia="de-DE"/>
        </w:rPr>
        <w:t xml:space="preserve">, whereas no difference in </w:t>
      </w:r>
      <w:r w:rsidR="00C04065" w:rsidRPr="00683D62">
        <w:rPr>
          <w:rFonts w:ascii="Times New Roman" w:hAnsi="Times New Roman"/>
          <w:sz w:val="24"/>
          <w:szCs w:val="24"/>
          <w:lang w:val="en-US" w:eastAsia="de-DE"/>
        </w:rPr>
        <w:t xml:space="preserve">the </w:t>
      </w:r>
      <w:r w:rsidR="001E3259" w:rsidRPr="00683D62">
        <w:rPr>
          <w:rFonts w:ascii="Times New Roman" w:hAnsi="Times New Roman"/>
          <w:sz w:val="24"/>
          <w:szCs w:val="24"/>
          <w:lang w:val="en-US" w:eastAsia="de-DE"/>
        </w:rPr>
        <w:t xml:space="preserve">risk </w:t>
      </w:r>
      <w:r w:rsidR="00C04065" w:rsidRPr="00683D62">
        <w:rPr>
          <w:rFonts w:ascii="Times New Roman" w:hAnsi="Times New Roman"/>
          <w:sz w:val="24"/>
          <w:szCs w:val="24"/>
          <w:lang w:val="en-US" w:eastAsia="de-DE"/>
        </w:rPr>
        <w:t xml:space="preserve">of </w:t>
      </w:r>
      <w:r w:rsidR="001F612B" w:rsidRPr="00683D62">
        <w:rPr>
          <w:rFonts w:ascii="Times New Roman" w:hAnsi="Times New Roman"/>
          <w:sz w:val="24"/>
          <w:szCs w:val="24"/>
          <w:lang w:val="en-US" w:eastAsia="de-DE"/>
        </w:rPr>
        <w:t xml:space="preserve">TGA or TPOA </w:t>
      </w:r>
      <w:r w:rsidR="00C04065" w:rsidRPr="00683D62">
        <w:rPr>
          <w:rFonts w:ascii="Times New Roman" w:hAnsi="Times New Roman"/>
          <w:sz w:val="24"/>
          <w:szCs w:val="24"/>
          <w:lang w:val="en-US" w:eastAsia="de-DE"/>
        </w:rPr>
        <w:t xml:space="preserve">was </w:t>
      </w:r>
      <w:r w:rsidR="001E3259" w:rsidRPr="00683D62">
        <w:rPr>
          <w:rFonts w:ascii="Times New Roman" w:hAnsi="Times New Roman"/>
          <w:sz w:val="24"/>
          <w:szCs w:val="24"/>
          <w:lang w:val="en-US" w:eastAsia="de-DE"/>
        </w:rPr>
        <w:t>observed between boys and girls who had the DR3/DR4-DQ8 genotype</w:t>
      </w:r>
      <w:r w:rsidR="000116EC" w:rsidRPr="00683D62">
        <w:rPr>
          <w:rFonts w:ascii="Times New Roman" w:hAnsi="Times New Roman"/>
          <w:sz w:val="24"/>
          <w:szCs w:val="24"/>
          <w:lang w:val="en-US" w:eastAsia="de-DE"/>
        </w:rPr>
        <w:t xml:space="preserve">. </w:t>
      </w:r>
      <w:r w:rsidR="001E3259" w:rsidRPr="00683D62">
        <w:rPr>
          <w:rFonts w:ascii="Times New Roman" w:hAnsi="Times New Roman"/>
          <w:sz w:val="24"/>
          <w:szCs w:val="24"/>
          <w:lang w:val="en-US" w:eastAsia="de-DE"/>
        </w:rPr>
        <w:t>Strikingly, and i</w:t>
      </w:r>
      <w:r w:rsidR="000116EC" w:rsidRPr="00683D62">
        <w:rPr>
          <w:rFonts w:ascii="Times New Roman" w:hAnsi="Times New Roman"/>
          <w:sz w:val="24"/>
          <w:szCs w:val="24"/>
          <w:lang w:val="en-US" w:eastAsia="de-DE"/>
        </w:rPr>
        <w:t xml:space="preserve">n contrast to the boys, </w:t>
      </w:r>
      <w:r w:rsidR="00C04065" w:rsidRPr="00683D62">
        <w:rPr>
          <w:rFonts w:ascii="Times New Roman" w:hAnsi="Times New Roman"/>
          <w:sz w:val="24"/>
          <w:szCs w:val="24"/>
          <w:lang w:val="en-US" w:eastAsia="de-DE"/>
        </w:rPr>
        <w:t xml:space="preserve">in whom </w:t>
      </w:r>
      <w:r w:rsidR="000116EC" w:rsidRPr="00683D62">
        <w:rPr>
          <w:rFonts w:ascii="Times New Roman" w:hAnsi="Times New Roman"/>
          <w:sz w:val="24"/>
          <w:szCs w:val="24"/>
          <w:lang w:val="en-US" w:eastAsia="de-DE"/>
        </w:rPr>
        <w:t xml:space="preserve">HLA affected </w:t>
      </w:r>
      <w:r w:rsidR="00523A64" w:rsidRPr="00683D62">
        <w:rPr>
          <w:rFonts w:ascii="Times New Roman" w:hAnsi="Times New Roman"/>
          <w:sz w:val="24"/>
          <w:szCs w:val="24"/>
          <w:lang w:val="en-US" w:eastAsia="de-DE"/>
        </w:rPr>
        <w:t xml:space="preserve">the </w:t>
      </w:r>
      <w:r w:rsidR="000116EC" w:rsidRPr="00683D62">
        <w:rPr>
          <w:rFonts w:ascii="Times New Roman" w:hAnsi="Times New Roman"/>
          <w:sz w:val="24"/>
          <w:szCs w:val="24"/>
          <w:lang w:val="en-US" w:eastAsia="de-DE"/>
        </w:rPr>
        <w:t xml:space="preserve">risk of </w:t>
      </w:r>
      <w:r w:rsidR="000E6EFF" w:rsidRPr="00683D62">
        <w:rPr>
          <w:rFonts w:ascii="Times New Roman" w:hAnsi="Times New Roman"/>
          <w:sz w:val="24"/>
          <w:szCs w:val="24"/>
          <w:lang w:val="en-US" w:eastAsia="de-DE"/>
        </w:rPr>
        <w:t>IA</w:t>
      </w:r>
      <w:r w:rsidR="00E9097C" w:rsidRPr="00683D62">
        <w:rPr>
          <w:rFonts w:ascii="Times New Roman" w:hAnsi="Times New Roman"/>
          <w:sz w:val="24"/>
          <w:szCs w:val="24"/>
          <w:lang w:val="en-US" w:eastAsia="de-DE"/>
        </w:rPr>
        <w:t xml:space="preserve">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 xml:space="preserve">010) and </w:t>
      </w:r>
      <w:r w:rsidR="000E6EFF" w:rsidRPr="00683D62">
        <w:rPr>
          <w:rFonts w:ascii="Times New Roman" w:hAnsi="Times New Roman"/>
          <w:sz w:val="24"/>
          <w:szCs w:val="24"/>
          <w:lang w:val="en-US" w:eastAsia="de-DE"/>
        </w:rPr>
        <w:t>TGA</w:t>
      </w:r>
      <w:r w:rsidR="000116EC" w:rsidRPr="00683D62">
        <w:rPr>
          <w:rFonts w:ascii="Times New Roman" w:hAnsi="Times New Roman"/>
          <w:sz w:val="24"/>
          <w:szCs w:val="24"/>
          <w:lang w:val="en-US" w:eastAsia="de-DE"/>
        </w:rPr>
        <w:t xml:space="preserve"> (p</w:t>
      </w:r>
      <w:r w:rsidR="00C04065"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0</w:t>
      </w:r>
      <w:r w:rsidR="00E9097C" w:rsidRPr="00683D62">
        <w:rPr>
          <w:rFonts w:ascii="Times New Roman" w:hAnsi="Times New Roman"/>
          <w:sz w:val="24"/>
          <w:szCs w:val="24"/>
          <w:lang w:val="en-US" w:eastAsia="de-DE"/>
        </w:rPr>
        <w:t>0</w:t>
      </w:r>
      <w:r w:rsidR="000116EC" w:rsidRPr="00683D62">
        <w:rPr>
          <w:rFonts w:ascii="Times New Roman" w:hAnsi="Times New Roman"/>
          <w:sz w:val="24"/>
          <w:szCs w:val="24"/>
          <w:lang w:val="en-US" w:eastAsia="de-DE"/>
        </w:rPr>
        <w:t xml:space="preserve">06), </w:t>
      </w:r>
      <w:r w:rsidR="00C04065" w:rsidRPr="00683D62">
        <w:rPr>
          <w:rFonts w:ascii="Times New Roman" w:hAnsi="Times New Roman"/>
          <w:sz w:val="24"/>
          <w:szCs w:val="24"/>
          <w:lang w:val="en-US" w:eastAsia="de-DE"/>
        </w:rPr>
        <w:t xml:space="preserve">the </w:t>
      </w:r>
      <w:r w:rsidR="000116EC" w:rsidRPr="00683D62">
        <w:rPr>
          <w:rFonts w:ascii="Times New Roman" w:hAnsi="Times New Roman"/>
          <w:sz w:val="24"/>
          <w:szCs w:val="24"/>
          <w:lang w:val="en-US" w:eastAsia="de-DE"/>
        </w:rPr>
        <w:t>risk</w:t>
      </w:r>
      <w:r w:rsidR="00523A64" w:rsidRPr="00683D62">
        <w:rPr>
          <w:rFonts w:ascii="Times New Roman" w:hAnsi="Times New Roman"/>
          <w:sz w:val="24"/>
          <w:szCs w:val="24"/>
          <w:lang w:val="en-US" w:eastAsia="de-DE"/>
        </w:rPr>
        <w:t>s</w:t>
      </w:r>
      <w:r w:rsidR="000116EC" w:rsidRPr="00683D62">
        <w:rPr>
          <w:rFonts w:ascii="Times New Roman" w:hAnsi="Times New Roman"/>
          <w:sz w:val="24"/>
          <w:szCs w:val="24"/>
          <w:lang w:val="en-US" w:eastAsia="de-DE"/>
        </w:rPr>
        <w:t xml:space="preserve"> in girls </w:t>
      </w:r>
      <w:r w:rsidR="00523A64" w:rsidRPr="00683D62">
        <w:rPr>
          <w:rFonts w:ascii="Times New Roman" w:hAnsi="Times New Roman"/>
          <w:sz w:val="24"/>
          <w:szCs w:val="24"/>
          <w:lang w:val="en-US" w:eastAsia="de-DE"/>
        </w:rPr>
        <w:t>were</w:t>
      </w:r>
      <w:r w:rsidR="007073EF" w:rsidRPr="00683D62">
        <w:rPr>
          <w:rFonts w:ascii="Times New Roman" w:hAnsi="Times New Roman"/>
          <w:sz w:val="24"/>
          <w:szCs w:val="24"/>
          <w:lang w:val="en-US" w:eastAsia="de-DE"/>
        </w:rPr>
        <w:t xml:space="preserve"> not</w:t>
      </w:r>
      <w:r w:rsidR="00C04065" w:rsidRPr="00683D62">
        <w:rPr>
          <w:rFonts w:ascii="Times New Roman" w:hAnsi="Times New Roman"/>
          <w:sz w:val="24"/>
          <w:szCs w:val="24"/>
          <w:lang w:val="en-US" w:eastAsia="de-DE"/>
        </w:rPr>
        <w:t xml:space="preserve"> </w:t>
      </w:r>
      <w:r w:rsidR="000116EC" w:rsidRPr="00683D62">
        <w:rPr>
          <w:rFonts w:ascii="Times New Roman" w:hAnsi="Times New Roman"/>
          <w:sz w:val="24"/>
          <w:szCs w:val="24"/>
          <w:lang w:val="en-US" w:eastAsia="de-DE"/>
        </w:rPr>
        <w:t xml:space="preserve">associated with HLA for </w:t>
      </w:r>
      <w:r w:rsidR="000E6EFF" w:rsidRPr="00683D62">
        <w:rPr>
          <w:rFonts w:ascii="Times New Roman" w:hAnsi="Times New Roman"/>
          <w:sz w:val="24"/>
          <w:szCs w:val="24"/>
          <w:lang w:val="en-US" w:eastAsia="de-DE"/>
        </w:rPr>
        <w:t>IA</w:t>
      </w:r>
      <w:r w:rsidR="00E9097C" w:rsidRPr="00683D62">
        <w:rPr>
          <w:rFonts w:ascii="Times New Roman" w:hAnsi="Times New Roman"/>
          <w:sz w:val="24"/>
          <w:szCs w:val="24"/>
          <w:lang w:val="en-US" w:eastAsia="de-DE"/>
        </w:rPr>
        <w:t xml:space="preserve">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0116EC" w:rsidRPr="00683D62">
        <w:rPr>
          <w:rFonts w:ascii="Times New Roman" w:hAnsi="Times New Roman"/>
          <w:sz w:val="24"/>
          <w:szCs w:val="24"/>
          <w:lang w:val="en-US" w:eastAsia="de-DE"/>
        </w:rPr>
        <w:t xml:space="preserve">37), </w:t>
      </w:r>
      <w:r w:rsidR="00E9097C" w:rsidRPr="00683D62">
        <w:rPr>
          <w:rFonts w:ascii="Times New Roman" w:hAnsi="Times New Roman"/>
          <w:sz w:val="24"/>
          <w:szCs w:val="24"/>
          <w:lang w:val="en-US" w:eastAsia="de-DE"/>
        </w:rPr>
        <w:t>TGA (p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0E6EFF" w:rsidRPr="00683D62">
        <w:rPr>
          <w:rFonts w:ascii="Times New Roman" w:hAnsi="Times New Roman"/>
          <w:sz w:val="24"/>
          <w:szCs w:val="24"/>
          <w:lang w:val="en-US" w:eastAsia="de-DE"/>
        </w:rPr>
        <w:t>07)</w:t>
      </w:r>
      <w:r w:rsidR="00C04065" w:rsidRPr="00683D62">
        <w:rPr>
          <w:rFonts w:ascii="Times New Roman" w:hAnsi="Times New Roman"/>
          <w:sz w:val="24"/>
          <w:szCs w:val="24"/>
          <w:lang w:val="en-US" w:eastAsia="de-DE"/>
        </w:rPr>
        <w:t>,</w:t>
      </w:r>
      <w:r w:rsidR="000E6EFF" w:rsidRPr="00683D62">
        <w:rPr>
          <w:rFonts w:ascii="Times New Roman" w:hAnsi="Times New Roman"/>
          <w:sz w:val="24"/>
          <w:szCs w:val="24"/>
          <w:lang w:val="en-US" w:eastAsia="de-DE"/>
        </w:rPr>
        <w:t xml:space="preserve"> </w:t>
      </w:r>
      <w:r w:rsidR="00C04065" w:rsidRPr="00683D62">
        <w:rPr>
          <w:rFonts w:ascii="Times New Roman" w:hAnsi="Times New Roman"/>
          <w:sz w:val="24"/>
          <w:szCs w:val="24"/>
          <w:lang w:val="en-US" w:eastAsia="de-DE"/>
        </w:rPr>
        <w:t xml:space="preserve">and </w:t>
      </w:r>
      <w:r w:rsidR="000E6EFF" w:rsidRPr="00683D62">
        <w:rPr>
          <w:rFonts w:ascii="Times New Roman" w:hAnsi="Times New Roman"/>
          <w:sz w:val="24"/>
          <w:szCs w:val="24"/>
          <w:lang w:val="en-US" w:eastAsia="de-DE"/>
        </w:rPr>
        <w:t xml:space="preserve">TPOA </w:t>
      </w:r>
      <w:r w:rsidR="00E9097C" w:rsidRPr="00683D62">
        <w:rPr>
          <w:rFonts w:ascii="Times New Roman" w:hAnsi="Times New Roman"/>
          <w:sz w:val="24"/>
          <w:szCs w:val="24"/>
          <w:lang w:val="en-US" w:eastAsia="de-DE"/>
        </w:rPr>
        <w:t>(p</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w:t>
      </w:r>
      <w:r w:rsidR="00C04065" w:rsidRPr="00683D62">
        <w:rPr>
          <w:rFonts w:ascii="Times New Roman" w:hAnsi="Times New Roman"/>
          <w:sz w:val="24"/>
          <w:szCs w:val="24"/>
          <w:lang w:val="en-US" w:eastAsia="de-DE"/>
        </w:rPr>
        <w:t xml:space="preserve"> </w:t>
      </w:r>
      <w:r w:rsidR="00E9097C" w:rsidRPr="00683D62">
        <w:rPr>
          <w:rFonts w:ascii="Times New Roman" w:hAnsi="Times New Roman"/>
          <w:sz w:val="24"/>
          <w:szCs w:val="24"/>
          <w:lang w:val="en-US" w:eastAsia="de-DE"/>
        </w:rPr>
        <w:t>0</w:t>
      </w:r>
      <w:r w:rsidR="00A410C7" w:rsidRPr="00683D62">
        <w:rPr>
          <w:rFonts w:ascii="Calibri Light" w:hAnsi="Calibri Light" w:cs="Calibri Light"/>
          <w:lang w:val="en-US"/>
        </w:rPr>
        <w:t>.</w:t>
      </w:r>
      <w:r w:rsidR="00264424" w:rsidRPr="00683D62">
        <w:rPr>
          <w:rFonts w:ascii="Times New Roman" w:hAnsi="Times New Roman"/>
          <w:sz w:val="24"/>
          <w:szCs w:val="24"/>
          <w:lang w:val="en-US" w:eastAsia="de-DE"/>
        </w:rPr>
        <w:t>5</w:t>
      </w:r>
      <w:r w:rsidR="000116EC" w:rsidRPr="00683D62">
        <w:rPr>
          <w:rFonts w:ascii="Times New Roman" w:hAnsi="Times New Roman"/>
          <w:sz w:val="24"/>
          <w:szCs w:val="24"/>
          <w:lang w:val="en-US" w:eastAsia="de-DE"/>
        </w:rPr>
        <w:t>).</w:t>
      </w:r>
    </w:p>
    <w:p w14:paraId="5E0FD048" w14:textId="77777777" w:rsidR="000E6EFF" w:rsidRPr="00683D62" w:rsidRDefault="000E6EFF" w:rsidP="00B661B1">
      <w:pPr>
        <w:autoSpaceDE w:val="0"/>
        <w:autoSpaceDN w:val="0"/>
        <w:adjustRightInd w:val="0"/>
        <w:spacing w:after="0" w:line="480" w:lineRule="auto"/>
        <w:jc w:val="both"/>
        <w:rPr>
          <w:rFonts w:ascii="Times New Roman" w:hAnsi="Times New Roman"/>
          <w:sz w:val="24"/>
          <w:szCs w:val="24"/>
          <w:lang w:val="en-US" w:eastAsia="de-DE"/>
        </w:rPr>
      </w:pPr>
    </w:p>
    <w:p w14:paraId="1FB64E99" w14:textId="5DAEA3C9" w:rsidR="0054034B" w:rsidRPr="00683D62" w:rsidRDefault="005372A5" w:rsidP="00F850AA">
      <w:pPr>
        <w:autoSpaceDE w:val="0"/>
        <w:autoSpaceDN w:val="0"/>
        <w:adjustRightInd w:val="0"/>
        <w:spacing w:after="0" w:line="480" w:lineRule="auto"/>
        <w:jc w:val="both"/>
        <w:outlineLvl w:val="0"/>
        <w:rPr>
          <w:rFonts w:ascii="Times New Roman" w:hAnsi="Times New Roman"/>
          <w:i/>
          <w:sz w:val="24"/>
          <w:szCs w:val="24"/>
          <w:lang w:val="en-US" w:eastAsia="de-DE"/>
        </w:rPr>
      </w:pPr>
      <w:r w:rsidRPr="00683D62">
        <w:rPr>
          <w:rFonts w:ascii="Times New Roman" w:hAnsi="Times New Roman"/>
          <w:i/>
          <w:sz w:val="24"/>
          <w:szCs w:val="24"/>
          <w:lang w:val="en-US" w:eastAsia="de-DE"/>
        </w:rPr>
        <w:t>Diabetes development and p</w:t>
      </w:r>
      <w:r w:rsidR="009C145A" w:rsidRPr="00683D62">
        <w:rPr>
          <w:rFonts w:ascii="Times New Roman" w:hAnsi="Times New Roman"/>
          <w:i/>
          <w:sz w:val="24"/>
          <w:szCs w:val="24"/>
          <w:lang w:val="en-US" w:eastAsia="de-DE"/>
        </w:rPr>
        <w:t xml:space="preserve">rognosis </w:t>
      </w:r>
      <w:r w:rsidR="0054034B" w:rsidRPr="00683D62">
        <w:rPr>
          <w:rFonts w:ascii="Times New Roman" w:hAnsi="Times New Roman"/>
          <w:i/>
          <w:sz w:val="24"/>
          <w:szCs w:val="24"/>
          <w:lang w:val="en-US" w:eastAsia="de-DE"/>
        </w:rPr>
        <w:t xml:space="preserve">after </w:t>
      </w:r>
      <w:r w:rsidR="00496488" w:rsidRPr="00683D62">
        <w:rPr>
          <w:rFonts w:ascii="Times New Roman" w:hAnsi="Times New Roman"/>
          <w:i/>
          <w:sz w:val="24"/>
          <w:szCs w:val="24"/>
          <w:lang w:val="en-US" w:eastAsia="de-DE"/>
        </w:rPr>
        <w:t xml:space="preserve">autoantibody </w:t>
      </w:r>
      <w:r w:rsidR="0054034B" w:rsidRPr="00683D62">
        <w:rPr>
          <w:rFonts w:ascii="Times New Roman" w:hAnsi="Times New Roman"/>
          <w:i/>
          <w:sz w:val="24"/>
          <w:szCs w:val="24"/>
          <w:lang w:val="en-US" w:eastAsia="de-DE"/>
        </w:rPr>
        <w:t>seroconversion</w:t>
      </w:r>
    </w:p>
    <w:p w14:paraId="722C7A45" w14:textId="2BE7C2C9" w:rsidR="000C181C" w:rsidRPr="00683D62" w:rsidRDefault="00C04065" w:rsidP="00B661B1">
      <w:pPr>
        <w:autoSpaceDE w:val="0"/>
        <w:autoSpaceDN w:val="0"/>
        <w:adjustRightInd w:val="0"/>
        <w:spacing w:after="0" w:line="480" w:lineRule="auto"/>
        <w:jc w:val="both"/>
        <w:rPr>
          <w:rFonts w:ascii="Times New Roman" w:hAnsi="Times New Roman"/>
          <w:strike/>
          <w:sz w:val="24"/>
          <w:szCs w:val="24"/>
          <w:lang w:val="en-US"/>
        </w:rPr>
      </w:pPr>
      <w:r w:rsidRPr="00683D62">
        <w:rPr>
          <w:rFonts w:ascii="Times New Roman" w:hAnsi="Times New Roman"/>
          <w:sz w:val="24"/>
          <w:szCs w:val="24"/>
          <w:lang w:val="en-US" w:eastAsia="de-DE"/>
        </w:rPr>
        <w:t xml:space="preserve">The diabetes </w:t>
      </w:r>
      <w:r w:rsidR="00FA33D2" w:rsidRPr="00683D62">
        <w:rPr>
          <w:rFonts w:ascii="Times New Roman" w:hAnsi="Times New Roman"/>
          <w:sz w:val="24"/>
          <w:szCs w:val="24"/>
          <w:lang w:val="en-US" w:eastAsia="de-DE"/>
        </w:rPr>
        <w:t>risk by 20 years of age was 6</w:t>
      </w:r>
      <w:r w:rsidR="00A410C7" w:rsidRPr="00683D62">
        <w:rPr>
          <w:rFonts w:ascii="Times New Roman" w:hAnsi="Times New Roman"/>
          <w:sz w:val="24"/>
          <w:szCs w:val="24"/>
          <w:lang w:val="en-US"/>
        </w:rPr>
        <w:t>.</w:t>
      </w:r>
      <w:r w:rsidR="00FA33D2" w:rsidRPr="00683D62">
        <w:rPr>
          <w:rFonts w:ascii="Times New Roman" w:hAnsi="Times New Roman"/>
          <w:sz w:val="24"/>
          <w:szCs w:val="24"/>
          <w:lang w:val="en-US" w:eastAsia="de-DE"/>
        </w:rPr>
        <w:t>2% (95%</w:t>
      </w:r>
      <w:r w:rsidRPr="00683D62">
        <w:rPr>
          <w:rFonts w:ascii="Times New Roman" w:hAnsi="Times New Roman"/>
          <w:sz w:val="24"/>
          <w:szCs w:val="24"/>
          <w:lang w:val="en-US" w:eastAsia="de-DE"/>
        </w:rPr>
        <w:t xml:space="preserve"> </w:t>
      </w:r>
      <w:r w:rsidR="00FA33D2" w:rsidRPr="00683D62">
        <w:rPr>
          <w:rFonts w:ascii="Times New Roman" w:hAnsi="Times New Roman"/>
          <w:sz w:val="24"/>
          <w:szCs w:val="24"/>
          <w:lang w:val="en-US" w:eastAsia="de-DE"/>
        </w:rPr>
        <w:t>CI</w:t>
      </w:r>
      <w:r w:rsidR="00523A64" w:rsidRPr="00683D62">
        <w:rPr>
          <w:rFonts w:ascii="Times New Roman" w:hAnsi="Times New Roman"/>
          <w:sz w:val="24"/>
          <w:szCs w:val="24"/>
          <w:lang w:val="en-US" w:eastAsia="de-DE"/>
        </w:rPr>
        <w:t xml:space="preserve">, </w:t>
      </w:r>
      <w:r w:rsidR="00FA33D2" w:rsidRPr="00683D62">
        <w:rPr>
          <w:rFonts w:ascii="Times New Roman" w:hAnsi="Times New Roman"/>
          <w:sz w:val="24"/>
          <w:szCs w:val="24"/>
          <w:lang w:val="en-US" w:eastAsia="de-DE"/>
        </w:rPr>
        <w:t>5</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eastAsia="de-DE"/>
        </w:rPr>
        <w:t>0</w:t>
      </w:r>
      <w:r w:rsidR="00FA33D2" w:rsidRPr="00683D62">
        <w:rPr>
          <w:rFonts w:ascii="Times New Roman" w:hAnsi="Times New Roman"/>
          <w:sz w:val="24"/>
          <w:szCs w:val="24"/>
          <w:lang w:val="en-US" w:eastAsia="de-DE"/>
        </w:rPr>
        <w:t>%</w:t>
      </w:r>
      <w:r w:rsidR="00A410C7" w:rsidRPr="00683D62">
        <w:rPr>
          <w:rFonts w:ascii="Times New Roman" w:hAnsi="Times New Roman"/>
          <w:sz w:val="24"/>
          <w:szCs w:val="24"/>
          <w:lang w:val="en-US" w:eastAsia="de-DE"/>
        </w:rPr>
        <w:t>-</w:t>
      </w:r>
      <w:r w:rsidR="00FA33D2" w:rsidRPr="00683D62">
        <w:rPr>
          <w:rFonts w:ascii="Times New Roman" w:hAnsi="Times New Roman"/>
          <w:sz w:val="24"/>
          <w:szCs w:val="24"/>
          <w:lang w:val="en-US" w:eastAsia="de-DE"/>
        </w:rPr>
        <w:t>7</w:t>
      </w:r>
      <w:r w:rsidR="00A410C7" w:rsidRPr="00683D62">
        <w:rPr>
          <w:rFonts w:ascii="Times New Roman" w:hAnsi="Times New Roman"/>
          <w:sz w:val="24"/>
          <w:szCs w:val="24"/>
          <w:lang w:val="en-US"/>
        </w:rPr>
        <w:t>.</w:t>
      </w:r>
      <w:r w:rsidR="00D27F96" w:rsidRPr="00683D62">
        <w:rPr>
          <w:rFonts w:ascii="Times New Roman" w:hAnsi="Times New Roman"/>
          <w:sz w:val="24"/>
          <w:szCs w:val="24"/>
          <w:lang w:val="en-US" w:eastAsia="de-DE"/>
        </w:rPr>
        <w:t>4%) in all children</w:t>
      </w:r>
      <w:r w:rsidR="00FA33D2"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In </w:t>
      </w:r>
      <w:r w:rsidR="00B8011B" w:rsidRPr="00683D62">
        <w:rPr>
          <w:rFonts w:ascii="Times New Roman" w:hAnsi="Times New Roman"/>
          <w:sz w:val="24"/>
          <w:szCs w:val="24"/>
          <w:lang w:val="en-US" w:eastAsia="de-DE"/>
        </w:rPr>
        <w:t>total</w:t>
      </w:r>
      <w:r w:rsidRPr="00683D62">
        <w:rPr>
          <w:rFonts w:ascii="Times New Roman" w:hAnsi="Times New Roman"/>
          <w:sz w:val="24"/>
          <w:szCs w:val="24"/>
          <w:lang w:val="en-US" w:eastAsia="de-DE"/>
        </w:rPr>
        <w:t>,</w:t>
      </w:r>
      <w:r w:rsidR="00B8011B" w:rsidRPr="00683D62">
        <w:rPr>
          <w:rFonts w:ascii="Times New Roman" w:hAnsi="Times New Roman"/>
          <w:sz w:val="24"/>
          <w:szCs w:val="24"/>
          <w:lang w:val="en-US" w:eastAsia="de-DE"/>
        </w:rPr>
        <w:t xml:space="preserve"> </w:t>
      </w:r>
      <w:r w:rsidR="00516BBB" w:rsidRPr="00683D62">
        <w:rPr>
          <w:rFonts w:ascii="Times New Roman" w:hAnsi="Times New Roman"/>
          <w:sz w:val="24"/>
          <w:szCs w:val="24"/>
          <w:lang w:val="en-US" w:eastAsia="de-DE"/>
        </w:rPr>
        <w:t xml:space="preserve">105 </w:t>
      </w:r>
      <w:r w:rsidR="009C145A" w:rsidRPr="00683D62">
        <w:rPr>
          <w:rFonts w:ascii="Times New Roman" w:hAnsi="Times New Roman"/>
          <w:sz w:val="24"/>
          <w:szCs w:val="24"/>
          <w:lang w:val="en-US" w:eastAsia="de-DE"/>
        </w:rPr>
        <w:t xml:space="preserve">of </w:t>
      </w:r>
      <w:r w:rsidR="00DC4F6A" w:rsidRPr="00683D62">
        <w:rPr>
          <w:rFonts w:ascii="Times New Roman" w:hAnsi="Times New Roman"/>
          <w:sz w:val="24"/>
          <w:szCs w:val="24"/>
          <w:lang w:val="en-US" w:eastAsia="de-DE"/>
        </w:rPr>
        <w:t xml:space="preserve">165 </w:t>
      </w:r>
      <w:r w:rsidR="009C145A" w:rsidRPr="00683D62">
        <w:rPr>
          <w:rFonts w:ascii="Times New Roman" w:hAnsi="Times New Roman"/>
          <w:sz w:val="24"/>
          <w:szCs w:val="24"/>
          <w:lang w:val="en-US" w:eastAsia="de-DE"/>
        </w:rPr>
        <w:t>(</w:t>
      </w:r>
      <w:r w:rsidR="00516BBB" w:rsidRPr="00683D62">
        <w:rPr>
          <w:rFonts w:ascii="Times New Roman" w:hAnsi="Times New Roman"/>
          <w:sz w:val="24"/>
          <w:szCs w:val="24"/>
          <w:lang w:val="en-US" w:eastAsia="de-DE"/>
        </w:rPr>
        <w:t>64</w:t>
      </w:r>
      <w:r w:rsidR="009C145A" w:rsidRPr="00683D62">
        <w:rPr>
          <w:rFonts w:ascii="Times New Roman" w:hAnsi="Times New Roman"/>
          <w:sz w:val="24"/>
          <w:szCs w:val="24"/>
          <w:lang w:val="en-US" w:eastAsia="de-DE"/>
        </w:rPr>
        <w:t xml:space="preserve">%) </w:t>
      </w:r>
      <w:r w:rsidR="00B8011B" w:rsidRPr="00683D62">
        <w:rPr>
          <w:rFonts w:ascii="Times New Roman" w:hAnsi="Times New Roman"/>
          <w:sz w:val="24"/>
          <w:szCs w:val="24"/>
          <w:lang w:val="en-US" w:eastAsia="de-DE"/>
        </w:rPr>
        <w:t xml:space="preserve">children with </w:t>
      </w:r>
      <w:r w:rsidR="000E6EFF" w:rsidRPr="00683D62">
        <w:rPr>
          <w:rFonts w:ascii="Times New Roman" w:hAnsi="Times New Roman"/>
          <w:sz w:val="24"/>
          <w:szCs w:val="24"/>
          <w:lang w:val="en-US" w:eastAsia="de-DE"/>
        </w:rPr>
        <w:t>IA</w:t>
      </w:r>
      <w:r w:rsidR="00B8011B" w:rsidRPr="00683D62">
        <w:rPr>
          <w:rFonts w:ascii="Times New Roman" w:hAnsi="Times New Roman"/>
          <w:sz w:val="24"/>
          <w:szCs w:val="24"/>
          <w:lang w:val="en-US" w:eastAsia="de-DE"/>
        </w:rPr>
        <w:t xml:space="preserve"> progressed to clinical</w:t>
      </w:r>
      <w:r w:rsidRPr="00683D62">
        <w:rPr>
          <w:rFonts w:ascii="Times New Roman" w:hAnsi="Times New Roman"/>
          <w:sz w:val="24"/>
          <w:szCs w:val="24"/>
          <w:lang w:val="en-US" w:eastAsia="de-DE"/>
        </w:rPr>
        <w:t xml:space="preserve"> or </w:t>
      </w:r>
      <w:r w:rsidR="00B8011B" w:rsidRPr="00683D62">
        <w:rPr>
          <w:rFonts w:ascii="Times New Roman" w:hAnsi="Times New Roman"/>
          <w:sz w:val="24"/>
          <w:szCs w:val="24"/>
          <w:lang w:val="en-US" w:eastAsia="de-DE"/>
        </w:rPr>
        <w:t>symptomatic diabetes (</w:t>
      </w:r>
      <w:r w:rsidRPr="00683D62">
        <w:rPr>
          <w:rFonts w:ascii="Times New Roman" w:hAnsi="Times New Roman"/>
          <w:sz w:val="24"/>
          <w:szCs w:val="24"/>
          <w:lang w:val="en-US" w:eastAsia="de-DE"/>
        </w:rPr>
        <w:t xml:space="preserve">eight </w:t>
      </w:r>
      <w:r w:rsidR="00B8011B" w:rsidRPr="00683D62">
        <w:rPr>
          <w:rFonts w:ascii="Times New Roman" w:hAnsi="Times New Roman"/>
          <w:sz w:val="24"/>
          <w:szCs w:val="24"/>
          <w:lang w:val="en-US" w:eastAsia="de-DE"/>
        </w:rPr>
        <w:t xml:space="preserve">with </w:t>
      </w:r>
      <w:r w:rsidR="009C145A" w:rsidRPr="00683D62">
        <w:rPr>
          <w:rFonts w:ascii="Times New Roman" w:hAnsi="Times New Roman"/>
          <w:sz w:val="24"/>
          <w:szCs w:val="24"/>
          <w:lang w:val="en-US" w:eastAsia="de-DE"/>
        </w:rPr>
        <w:t xml:space="preserve">single </w:t>
      </w:r>
      <w:r w:rsidR="000E6EFF" w:rsidRPr="00683D62">
        <w:rPr>
          <w:rFonts w:ascii="Times New Roman" w:hAnsi="Times New Roman"/>
          <w:sz w:val="24"/>
          <w:szCs w:val="24"/>
          <w:lang w:val="en-US" w:eastAsia="de-DE"/>
        </w:rPr>
        <w:t>IA</w:t>
      </w:r>
      <w:r w:rsidR="009C145A" w:rsidRPr="00683D62">
        <w:rPr>
          <w:rFonts w:ascii="Times New Roman" w:hAnsi="Times New Roman"/>
          <w:sz w:val="24"/>
          <w:szCs w:val="24"/>
          <w:lang w:val="en-US" w:eastAsia="de-DE"/>
        </w:rPr>
        <w:t xml:space="preserve"> and </w:t>
      </w:r>
      <w:r w:rsidR="00516BBB" w:rsidRPr="00683D62">
        <w:rPr>
          <w:rFonts w:ascii="Times New Roman" w:hAnsi="Times New Roman"/>
          <w:sz w:val="24"/>
          <w:szCs w:val="24"/>
          <w:lang w:val="en-US" w:eastAsia="de-DE"/>
        </w:rPr>
        <w:t xml:space="preserve">97 </w:t>
      </w:r>
      <w:r w:rsidR="009C145A" w:rsidRPr="00683D62">
        <w:rPr>
          <w:rFonts w:ascii="Times New Roman" w:hAnsi="Times New Roman"/>
          <w:sz w:val="24"/>
          <w:szCs w:val="24"/>
          <w:lang w:val="en-US" w:eastAsia="de-DE"/>
        </w:rPr>
        <w:t xml:space="preserve">with multiple </w:t>
      </w:r>
      <w:r w:rsidR="000E6EFF" w:rsidRPr="00683D62">
        <w:rPr>
          <w:rFonts w:ascii="Times New Roman" w:hAnsi="Times New Roman"/>
          <w:sz w:val="24"/>
          <w:szCs w:val="24"/>
          <w:lang w:val="en-US" w:eastAsia="de-DE"/>
        </w:rPr>
        <w:t>IA</w:t>
      </w:r>
      <w:r w:rsidR="009C145A" w:rsidRPr="00683D62">
        <w:rPr>
          <w:rFonts w:ascii="Times New Roman" w:hAnsi="Times New Roman"/>
          <w:sz w:val="24"/>
          <w:szCs w:val="24"/>
          <w:lang w:val="en-US" w:eastAsia="de-DE"/>
        </w:rPr>
        <w:t>)</w:t>
      </w:r>
      <w:r w:rsidR="00C22141" w:rsidRPr="00683D62">
        <w:rPr>
          <w:rFonts w:ascii="Times New Roman" w:hAnsi="Times New Roman"/>
          <w:sz w:val="24"/>
          <w:szCs w:val="24"/>
          <w:lang w:val="en-US" w:eastAsia="de-DE"/>
        </w:rPr>
        <w:t xml:space="preserve"> </w:t>
      </w:r>
      <w:r w:rsidR="000F17CB" w:rsidRPr="00683D62">
        <w:rPr>
          <w:rFonts w:ascii="Times New Roman" w:hAnsi="Times New Roman"/>
          <w:sz w:val="24"/>
          <w:szCs w:val="24"/>
          <w:lang w:val="en-US"/>
        </w:rPr>
        <w:t xml:space="preserve">at a median </w:t>
      </w:r>
      <w:r w:rsidR="00A701FA" w:rsidRPr="00683D62">
        <w:rPr>
          <w:rFonts w:ascii="Times New Roman" w:hAnsi="Times New Roman"/>
          <w:sz w:val="24"/>
          <w:szCs w:val="24"/>
          <w:lang w:val="en-US"/>
        </w:rPr>
        <w:t xml:space="preserve">time </w:t>
      </w:r>
      <w:r w:rsidR="000F17CB" w:rsidRPr="00683D62">
        <w:rPr>
          <w:rFonts w:ascii="Times New Roman" w:hAnsi="Times New Roman"/>
          <w:sz w:val="24"/>
          <w:szCs w:val="24"/>
          <w:lang w:val="en-US"/>
        </w:rPr>
        <w:t xml:space="preserve">after seroconversion of </w:t>
      </w:r>
      <w:r w:rsidR="005927FF" w:rsidRPr="00683D62">
        <w:rPr>
          <w:rFonts w:ascii="Times New Roman" w:hAnsi="Times New Roman"/>
          <w:sz w:val="24"/>
          <w:szCs w:val="24"/>
          <w:lang w:val="en-US"/>
        </w:rPr>
        <w:t>4</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rPr>
        <w:t>7</w:t>
      </w:r>
      <w:r w:rsidR="00C857D5" w:rsidRPr="00683D62">
        <w:rPr>
          <w:rFonts w:ascii="Times New Roman" w:hAnsi="Times New Roman"/>
          <w:sz w:val="24"/>
          <w:szCs w:val="24"/>
          <w:lang w:val="en-US"/>
        </w:rPr>
        <w:t xml:space="preserve"> </w:t>
      </w:r>
      <w:r w:rsidR="000F17CB" w:rsidRPr="00683D62">
        <w:rPr>
          <w:rFonts w:ascii="Times New Roman" w:hAnsi="Times New Roman"/>
          <w:sz w:val="24"/>
          <w:szCs w:val="24"/>
          <w:lang w:val="en-US"/>
        </w:rPr>
        <w:t>years (</w:t>
      </w:r>
      <w:r w:rsidR="009B7B92" w:rsidRPr="00683D62">
        <w:rPr>
          <w:rFonts w:ascii="Times New Roman" w:hAnsi="Times New Roman"/>
          <w:sz w:val="24"/>
          <w:szCs w:val="24"/>
          <w:lang w:val="en-US"/>
        </w:rPr>
        <w:t>IQR</w:t>
      </w:r>
      <w:r w:rsidRPr="00683D62">
        <w:rPr>
          <w:rFonts w:ascii="Times New Roman" w:hAnsi="Times New Roman"/>
          <w:sz w:val="24"/>
          <w:szCs w:val="24"/>
          <w:lang w:val="en-US"/>
        </w:rPr>
        <w:t xml:space="preserve">, </w:t>
      </w:r>
      <w:r w:rsidR="005927FF" w:rsidRPr="00683D62">
        <w:rPr>
          <w:rFonts w:ascii="Times New Roman" w:hAnsi="Times New Roman"/>
          <w:sz w:val="24"/>
          <w:szCs w:val="24"/>
          <w:lang w:val="en-US"/>
        </w:rPr>
        <w:t>1</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rPr>
        <w:t>5</w:t>
      </w:r>
      <w:r w:rsidR="00A410C7" w:rsidRPr="00683D62">
        <w:rPr>
          <w:rFonts w:ascii="Times New Roman" w:hAnsi="Times New Roman"/>
          <w:sz w:val="24"/>
          <w:szCs w:val="24"/>
          <w:lang w:val="en-US" w:eastAsia="de-DE"/>
        </w:rPr>
        <w:t>-</w:t>
      </w:r>
      <w:r w:rsidR="005927FF" w:rsidRPr="00683D62">
        <w:rPr>
          <w:rFonts w:ascii="Times New Roman" w:hAnsi="Times New Roman"/>
          <w:sz w:val="24"/>
          <w:szCs w:val="24"/>
          <w:lang w:val="en-US"/>
        </w:rPr>
        <w:t>8</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rPr>
        <w:t>2</w:t>
      </w:r>
      <w:r w:rsidR="00C857D5" w:rsidRPr="00683D62">
        <w:rPr>
          <w:rFonts w:ascii="Times New Roman" w:hAnsi="Times New Roman"/>
          <w:sz w:val="24"/>
          <w:szCs w:val="24"/>
          <w:lang w:val="en-US"/>
        </w:rPr>
        <w:t xml:space="preserve"> </w:t>
      </w:r>
      <w:r w:rsidR="000F17CB" w:rsidRPr="00683D62">
        <w:rPr>
          <w:rFonts w:ascii="Times New Roman" w:hAnsi="Times New Roman"/>
          <w:sz w:val="24"/>
          <w:szCs w:val="24"/>
          <w:lang w:val="en-US"/>
        </w:rPr>
        <w:t>years</w:t>
      </w:r>
      <w:r w:rsidR="00A276BA" w:rsidRPr="00683D62">
        <w:rPr>
          <w:rFonts w:ascii="Times New Roman" w:hAnsi="Times New Roman"/>
          <w:sz w:val="24"/>
          <w:szCs w:val="24"/>
          <w:lang w:val="en-US"/>
        </w:rPr>
        <w:t>; Table S2</w:t>
      </w:r>
      <w:r w:rsidR="000F17CB" w:rsidRPr="00683D62">
        <w:rPr>
          <w:rFonts w:ascii="Times New Roman" w:hAnsi="Times New Roman"/>
          <w:sz w:val="24"/>
          <w:szCs w:val="24"/>
          <w:lang w:val="en-US"/>
        </w:rPr>
        <w:t xml:space="preserve">). </w:t>
      </w:r>
      <w:r w:rsidR="00E94EED" w:rsidRPr="00683D62">
        <w:rPr>
          <w:rFonts w:ascii="Times New Roman" w:hAnsi="Times New Roman"/>
          <w:sz w:val="24"/>
          <w:szCs w:val="24"/>
          <w:lang w:val="en-US" w:eastAsia="de-DE"/>
        </w:rPr>
        <w:t>Only two IA-positive children have been followed for more than 20 years after seroconversion without developing clinical diabetes (Table S3)</w:t>
      </w:r>
      <w:r w:rsidR="00E94EED" w:rsidRPr="00683D62">
        <w:rPr>
          <w:rFonts w:ascii="Times New Roman" w:hAnsi="Times New Roman"/>
          <w:sz w:val="24"/>
          <w:szCs w:val="24"/>
          <w:lang w:val="en-US"/>
        </w:rPr>
        <w:t xml:space="preserve">. </w:t>
      </w:r>
      <w:r w:rsidR="00523A64" w:rsidRPr="00683D62">
        <w:rPr>
          <w:rFonts w:ascii="Times New Roman" w:hAnsi="Times New Roman"/>
          <w:sz w:val="24"/>
          <w:szCs w:val="24"/>
          <w:lang w:val="en-US"/>
        </w:rPr>
        <w:t xml:space="preserve">The progression </w:t>
      </w:r>
      <w:r w:rsidR="000F17CB" w:rsidRPr="00683D62">
        <w:rPr>
          <w:rFonts w:ascii="Times New Roman" w:hAnsi="Times New Roman"/>
          <w:sz w:val="24"/>
          <w:szCs w:val="24"/>
          <w:lang w:val="en-US"/>
        </w:rPr>
        <w:t>to diabetes after seroconversion was</w:t>
      </w:r>
      <w:r w:rsidR="00A01E5C" w:rsidRPr="00683D62">
        <w:rPr>
          <w:rFonts w:ascii="Times New Roman" w:hAnsi="Times New Roman"/>
          <w:sz w:val="24"/>
          <w:szCs w:val="24"/>
          <w:lang w:val="en-US"/>
        </w:rPr>
        <w:t xml:space="preserve"> </w:t>
      </w:r>
      <w:r w:rsidR="00246745" w:rsidRPr="00683D62">
        <w:rPr>
          <w:rFonts w:ascii="Times New Roman" w:hAnsi="Times New Roman"/>
          <w:sz w:val="24"/>
          <w:szCs w:val="24"/>
          <w:lang w:val="en-US"/>
        </w:rPr>
        <w:t>87</w:t>
      </w:r>
      <w:r w:rsidR="00A410C7" w:rsidRPr="00683D62">
        <w:rPr>
          <w:rFonts w:ascii="Times New Roman" w:hAnsi="Times New Roman"/>
          <w:sz w:val="24"/>
          <w:szCs w:val="24"/>
          <w:lang w:val="en-US"/>
        </w:rPr>
        <w:t>.</w:t>
      </w:r>
      <w:r w:rsidR="00246745" w:rsidRPr="00683D62">
        <w:rPr>
          <w:rFonts w:ascii="Times New Roman" w:hAnsi="Times New Roman"/>
          <w:sz w:val="24"/>
          <w:szCs w:val="24"/>
          <w:lang w:val="en-US"/>
        </w:rPr>
        <w:t>7</w:t>
      </w:r>
      <w:r w:rsidR="00C87118" w:rsidRPr="00683D62">
        <w:rPr>
          <w:rFonts w:ascii="Times New Roman" w:hAnsi="Times New Roman"/>
          <w:sz w:val="24"/>
          <w:szCs w:val="24"/>
          <w:lang w:val="en-US"/>
        </w:rPr>
        <w:t>% (95% CI</w:t>
      </w:r>
      <w:r w:rsidR="00905A95" w:rsidRPr="00683D62">
        <w:rPr>
          <w:rFonts w:ascii="Times New Roman" w:hAnsi="Times New Roman"/>
          <w:sz w:val="24"/>
          <w:szCs w:val="24"/>
          <w:lang w:val="en-US"/>
        </w:rPr>
        <w:t>,</w:t>
      </w:r>
      <w:r w:rsidR="00C87118" w:rsidRPr="00683D62">
        <w:rPr>
          <w:rFonts w:ascii="Times New Roman" w:hAnsi="Times New Roman"/>
          <w:sz w:val="24"/>
          <w:szCs w:val="24"/>
          <w:lang w:val="en-US"/>
        </w:rPr>
        <w:t xml:space="preserve"> </w:t>
      </w:r>
      <w:r w:rsidR="005927FF" w:rsidRPr="00683D62">
        <w:rPr>
          <w:rFonts w:ascii="Times New Roman" w:hAnsi="Times New Roman"/>
          <w:sz w:val="24"/>
          <w:szCs w:val="24"/>
          <w:lang w:val="en-US"/>
        </w:rPr>
        <w:t>79</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rPr>
        <w:t>9</w:t>
      </w:r>
      <w:r w:rsidR="00516BBB" w:rsidRPr="00683D62">
        <w:rPr>
          <w:rFonts w:ascii="Times New Roman" w:hAnsi="Times New Roman"/>
          <w:sz w:val="24"/>
          <w:szCs w:val="24"/>
          <w:lang w:val="en-US"/>
        </w:rPr>
        <w:t>%</w:t>
      </w:r>
      <w:r w:rsidR="00A410C7" w:rsidRPr="00683D62">
        <w:rPr>
          <w:rFonts w:ascii="Times New Roman" w:hAnsi="Times New Roman"/>
          <w:sz w:val="24"/>
          <w:szCs w:val="24"/>
          <w:lang w:val="en-US" w:eastAsia="de-DE"/>
        </w:rPr>
        <w:t>-</w:t>
      </w:r>
      <w:r w:rsidR="005927FF" w:rsidRPr="00683D62">
        <w:rPr>
          <w:rFonts w:ascii="Times New Roman" w:hAnsi="Times New Roman"/>
          <w:sz w:val="24"/>
          <w:szCs w:val="24"/>
          <w:lang w:val="en-US"/>
        </w:rPr>
        <w:t>95</w:t>
      </w:r>
      <w:r w:rsidR="00A410C7" w:rsidRPr="00683D62">
        <w:rPr>
          <w:rFonts w:ascii="Times New Roman" w:hAnsi="Times New Roman"/>
          <w:sz w:val="24"/>
          <w:szCs w:val="24"/>
          <w:lang w:val="en-US"/>
        </w:rPr>
        <w:t>.</w:t>
      </w:r>
      <w:r w:rsidR="005927FF" w:rsidRPr="00683D62">
        <w:rPr>
          <w:rFonts w:ascii="Times New Roman" w:hAnsi="Times New Roman"/>
          <w:sz w:val="24"/>
          <w:szCs w:val="24"/>
          <w:lang w:val="en-US"/>
        </w:rPr>
        <w:t>5</w:t>
      </w:r>
      <w:r w:rsidR="00516BBB" w:rsidRPr="00683D62">
        <w:rPr>
          <w:rFonts w:ascii="Times New Roman" w:hAnsi="Times New Roman"/>
          <w:sz w:val="24"/>
          <w:szCs w:val="24"/>
          <w:lang w:val="en-US"/>
        </w:rPr>
        <w:t>%</w:t>
      </w:r>
      <w:r w:rsidR="00C87118" w:rsidRPr="00683D62">
        <w:rPr>
          <w:rFonts w:ascii="Times New Roman" w:hAnsi="Times New Roman"/>
          <w:sz w:val="24"/>
          <w:szCs w:val="24"/>
          <w:lang w:val="en-US"/>
        </w:rPr>
        <w:t>) at 20</w:t>
      </w:r>
      <w:r w:rsidR="000F17CB" w:rsidRPr="00683D62">
        <w:rPr>
          <w:rFonts w:ascii="Times New Roman" w:hAnsi="Times New Roman"/>
          <w:sz w:val="24"/>
          <w:szCs w:val="24"/>
          <w:lang w:val="en-US"/>
        </w:rPr>
        <w:t>-year</w:t>
      </w:r>
      <w:r w:rsidR="00874978" w:rsidRPr="00683D62">
        <w:rPr>
          <w:rFonts w:ascii="Times New Roman" w:hAnsi="Times New Roman"/>
          <w:sz w:val="24"/>
          <w:szCs w:val="24"/>
          <w:lang w:val="en-US"/>
        </w:rPr>
        <w:t>s</w:t>
      </w:r>
      <w:r w:rsidR="000F17CB" w:rsidRPr="00683D62">
        <w:rPr>
          <w:rFonts w:ascii="Times New Roman" w:hAnsi="Times New Roman"/>
          <w:sz w:val="24"/>
          <w:szCs w:val="24"/>
          <w:lang w:val="en-US"/>
        </w:rPr>
        <w:t xml:space="preserve"> follow-up</w:t>
      </w:r>
      <w:r w:rsidR="00752728" w:rsidRPr="00683D62">
        <w:rPr>
          <w:rFonts w:ascii="Times New Roman" w:hAnsi="Times New Roman"/>
          <w:sz w:val="24"/>
          <w:szCs w:val="24"/>
          <w:lang w:val="en-US"/>
        </w:rPr>
        <w:t xml:space="preserve"> in children with multiple IA, and 29.2% (95% CI, 9.6%</w:t>
      </w:r>
      <w:r w:rsidR="00752728" w:rsidRPr="00683D62">
        <w:rPr>
          <w:rFonts w:ascii="Times New Roman" w:hAnsi="Times New Roman"/>
          <w:sz w:val="24"/>
          <w:szCs w:val="24"/>
          <w:lang w:val="en-US" w:eastAsia="de-DE"/>
        </w:rPr>
        <w:t>-</w:t>
      </w:r>
      <w:r w:rsidR="00752728" w:rsidRPr="00683D62">
        <w:rPr>
          <w:rFonts w:ascii="Times New Roman" w:hAnsi="Times New Roman"/>
          <w:sz w:val="24"/>
          <w:szCs w:val="24"/>
          <w:lang w:val="en-US"/>
        </w:rPr>
        <w:t>48.8%) at 10</w:t>
      </w:r>
      <w:r w:rsidR="00752728" w:rsidRPr="00683D62">
        <w:rPr>
          <w:rFonts w:ascii="Times New Roman" w:hAnsi="Times New Roman"/>
          <w:sz w:val="24"/>
          <w:szCs w:val="24"/>
          <w:lang w:val="en-US" w:eastAsia="de-DE"/>
        </w:rPr>
        <w:t>-</w:t>
      </w:r>
      <w:r w:rsidR="00752728" w:rsidRPr="00683D62">
        <w:rPr>
          <w:rFonts w:ascii="Times New Roman" w:hAnsi="Times New Roman"/>
          <w:sz w:val="24"/>
          <w:szCs w:val="24"/>
          <w:lang w:val="en-US"/>
        </w:rPr>
        <w:t>years follow-up i</w:t>
      </w:r>
      <w:r w:rsidRPr="00683D62">
        <w:rPr>
          <w:rFonts w:ascii="Times New Roman" w:hAnsi="Times New Roman"/>
          <w:sz w:val="24"/>
          <w:szCs w:val="24"/>
          <w:lang w:val="en-US"/>
        </w:rPr>
        <w:t xml:space="preserve">n </w:t>
      </w:r>
      <w:r w:rsidR="00A01E5C" w:rsidRPr="00683D62">
        <w:rPr>
          <w:rFonts w:ascii="Times New Roman" w:hAnsi="Times New Roman"/>
          <w:sz w:val="24"/>
          <w:szCs w:val="24"/>
          <w:lang w:val="en-US"/>
        </w:rPr>
        <w:t xml:space="preserve">children with </w:t>
      </w:r>
      <w:r w:rsidR="00523A64" w:rsidRPr="00683D62">
        <w:rPr>
          <w:rFonts w:ascii="Times New Roman" w:hAnsi="Times New Roman"/>
          <w:sz w:val="24"/>
          <w:szCs w:val="24"/>
          <w:lang w:val="en-US"/>
        </w:rPr>
        <w:t xml:space="preserve">a </w:t>
      </w:r>
      <w:r w:rsidR="00A01E5C" w:rsidRPr="00683D62">
        <w:rPr>
          <w:rFonts w:ascii="Times New Roman" w:hAnsi="Times New Roman"/>
          <w:sz w:val="24"/>
          <w:szCs w:val="24"/>
          <w:lang w:val="en-US"/>
        </w:rPr>
        <w:t xml:space="preserve">single </w:t>
      </w:r>
      <w:r w:rsidR="000E6EFF" w:rsidRPr="00683D62">
        <w:rPr>
          <w:rFonts w:ascii="Times New Roman" w:hAnsi="Times New Roman"/>
          <w:sz w:val="24"/>
          <w:szCs w:val="24"/>
          <w:lang w:val="en-US"/>
        </w:rPr>
        <w:t>IA</w:t>
      </w:r>
      <w:r w:rsidR="007073EF" w:rsidRPr="00683D62">
        <w:rPr>
          <w:rFonts w:ascii="Times New Roman" w:hAnsi="Times New Roman"/>
          <w:sz w:val="24"/>
          <w:szCs w:val="24"/>
          <w:lang w:val="en-US"/>
        </w:rPr>
        <w:t xml:space="preserve"> (Figure S</w:t>
      </w:r>
      <w:r w:rsidR="00CB63C4" w:rsidRPr="00683D62">
        <w:rPr>
          <w:rFonts w:ascii="Times New Roman" w:hAnsi="Times New Roman"/>
          <w:sz w:val="24"/>
          <w:szCs w:val="24"/>
          <w:lang w:val="en-US"/>
        </w:rPr>
        <w:t>5</w:t>
      </w:r>
      <w:r w:rsidR="007073EF" w:rsidRPr="00683D62">
        <w:rPr>
          <w:rFonts w:ascii="Times New Roman" w:hAnsi="Times New Roman"/>
          <w:sz w:val="24"/>
          <w:szCs w:val="24"/>
          <w:lang w:val="en-US"/>
        </w:rPr>
        <w:t>a)</w:t>
      </w:r>
      <w:r w:rsidR="00752728" w:rsidRPr="00683D62">
        <w:rPr>
          <w:rFonts w:ascii="Times New Roman" w:hAnsi="Times New Roman"/>
          <w:sz w:val="24"/>
          <w:szCs w:val="24"/>
          <w:lang w:val="en-US"/>
        </w:rPr>
        <w:t>.</w:t>
      </w:r>
      <w:r w:rsidR="00D27F96" w:rsidRPr="00683D62">
        <w:rPr>
          <w:rFonts w:ascii="Times New Roman" w:hAnsi="Times New Roman"/>
          <w:sz w:val="24"/>
          <w:szCs w:val="24"/>
          <w:lang w:val="en-US"/>
        </w:rPr>
        <w:t xml:space="preserve"> </w:t>
      </w:r>
      <w:r w:rsidR="00A701FA" w:rsidRPr="00683D62">
        <w:rPr>
          <w:rFonts w:ascii="Times New Roman" w:hAnsi="Times New Roman"/>
          <w:sz w:val="24"/>
          <w:szCs w:val="24"/>
          <w:lang w:val="en-US"/>
        </w:rPr>
        <w:t>N</w:t>
      </w:r>
      <w:r w:rsidR="00F850AA" w:rsidRPr="00683D62">
        <w:rPr>
          <w:rFonts w:ascii="Times New Roman" w:hAnsi="Times New Roman"/>
          <w:sz w:val="24"/>
          <w:szCs w:val="24"/>
          <w:lang w:val="en-US"/>
        </w:rPr>
        <w:t xml:space="preserve">one of </w:t>
      </w:r>
      <w:r w:rsidRPr="00683D62">
        <w:rPr>
          <w:rFonts w:ascii="Times New Roman" w:hAnsi="Times New Roman"/>
          <w:sz w:val="24"/>
          <w:szCs w:val="24"/>
          <w:lang w:val="en-US"/>
        </w:rPr>
        <w:t xml:space="preserve">the </w:t>
      </w:r>
      <w:r w:rsidR="00A701FA" w:rsidRPr="00683D62">
        <w:rPr>
          <w:rFonts w:ascii="Times New Roman" w:hAnsi="Times New Roman"/>
          <w:sz w:val="24"/>
          <w:szCs w:val="24"/>
          <w:lang w:val="en-US"/>
        </w:rPr>
        <w:t xml:space="preserve">128 </w:t>
      </w:r>
      <w:r w:rsidR="00F850AA" w:rsidRPr="00683D62">
        <w:rPr>
          <w:rFonts w:ascii="Times New Roman" w:hAnsi="Times New Roman"/>
          <w:sz w:val="24"/>
          <w:szCs w:val="24"/>
          <w:lang w:val="en-US"/>
        </w:rPr>
        <w:t xml:space="preserve">children with multiple </w:t>
      </w:r>
      <w:r w:rsidR="000E6EFF" w:rsidRPr="00683D62">
        <w:rPr>
          <w:rFonts w:ascii="Times New Roman" w:hAnsi="Times New Roman"/>
          <w:sz w:val="24"/>
          <w:szCs w:val="24"/>
          <w:lang w:val="en-US"/>
        </w:rPr>
        <w:t>IA</w:t>
      </w:r>
      <w:r w:rsidR="00F850AA" w:rsidRPr="00683D62">
        <w:rPr>
          <w:rFonts w:ascii="Times New Roman" w:hAnsi="Times New Roman"/>
          <w:sz w:val="24"/>
          <w:szCs w:val="24"/>
          <w:lang w:val="en-US"/>
        </w:rPr>
        <w:t xml:space="preserve"> </w:t>
      </w:r>
      <w:r w:rsidR="00752728" w:rsidRPr="00683D62">
        <w:rPr>
          <w:rFonts w:ascii="Times New Roman" w:hAnsi="Times New Roman"/>
          <w:sz w:val="24"/>
          <w:szCs w:val="24"/>
          <w:lang w:val="en-US"/>
        </w:rPr>
        <w:t xml:space="preserve">and six of the 37 children with single autoantibodies (p &lt; 0.0001) </w:t>
      </w:r>
      <w:r w:rsidR="00C2307F" w:rsidRPr="00683D62">
        <w:rPr>
          <w:rFonts w:ascii="Times New Roman" w:hAnsi="Times New Roman"/>
          <w:sz w:val="24"/>
          <w:szCs w:val="24"/>
          <w:lang w:val="en-US"/>
        </w:rPr>
        <w:t>seroconverted to an autoantibody-</w:t>
      </w:r>
      <w:r w:rsidR="00C2307F" w:rsidRPr="00683D62">
        <w:rPr>
          <w:rFonts w:ascii="Times New Roman" w:hAnsi="Times New Roman"/>
          <w:sz w:val="24"/>
          <w:szCs w:val="24"/>
          <w:lang w:val="en-US"/>
        </w:rPr>
        <w:lastRenderedPageBreak/>
        <w:t>negative status at 3.1-11.4 years of follow-up</w:t>
      </w:r>
      <w:r w:rsidR="00C2307F">
        <w:rPr>
          <w:rFonts w:ascii="Times New Roman" w:hAnsi="Times New Roman"/>
          <w:sz w:val="24"/>
          <w:szCs w:val="24"/>
          <w:lang w:val="en-US"/>
        </w:rPr>
        <w:t>;</w:t>
      </w:r>
      <w:r w:rsidR="00C2307F" w:rsidRPr="00683D62">
        <w:rPr>
          <w:rFonts w:ascii="Times New Roman" w:hAnsi="Times New Roman"/>
          <w:sz w:val="24"/>
          <w:szCs w:val="24"/>
          <w:lang w:val="en-US"/>
        </w:rPr>
        <w:t xml:space="preserve"> none of these six children </w:t>
      </w:r>
      <w:r w:rsidR="00C2307F">
        <w:rPr>
          <w:rFonts w:ascii="Times New Roman" w:hAnsi="Times New Roman"/>
          <w:sz w:val="24"/>
          <w:szCs w:val="24"/>
          <w:lang w:val="en-US"/>
        </w:rPr>
        <w:t xml:space="preserve">had a HLA DR3/DR4-DQ8, DR4-DQ8/DR4-DQ8, or DR3/3 genotype and none </w:t>
      </w:r>
      <w:r w:rsidR="00F850AA" w:rsidRPr="00683D62">
        <w:rPr>
          <w:rFonts w:ascii="Times New Roman" w:hAnsi="Times New Roman"/>
          <w:sz w:val="24"/>
          <w:szCs w:val="24"/>
          <w:lang w:val="en-US"/>
        </w:rPr>
        <w:t>developed clinical diabetes.</w:t>
      </w:r>
      <w:r w:rsidR="001361CA" w:rsidRPr="00683D62">
        <w:rPr>
          <w:rFonts w:ascii="Times New Roman" w:hAnsi="Times New Roman"/>
          <w:sz w:val="24"/>
          <w:szCs w:val="24"/>
          <w:lang w:val="en-US"/>
        </w:rPr>
        <w:t xml:space="preserve"> </w:t>
      </w:r>
      <w:r w:rsidR="00A701FA" w:rsidRPr="00683D62">
        <w:rPr>
          <w:rFonts w:ascii="Times New Roman" w:hAnsi="Times New Roman"/>
          <w:sz w:val="24"/>
          <w:szCs w:val="24"/>
          <w:lang w:val="en-US" w:eastAsia="de-DE"/>
        </w:rPr>
        <w:t>T</w:t>
      </w:r>
      <w:r w:rsidR="00AE5D6B" w:rsidRPr="00683D62">
        <w:rPr>
          <w:rFonts w:ascii="Times New Roman" w:hAnsi="Times New Roman"/>
          <w:sz w:val="24"/>
          <w:szCs w:val="24"/>
          <w:lang w:val="en-US" w:eastAsia="de-DE"/>
        </w:rPr>
        <w:t>he incidence of disease progression was relatively consistent over all age ranges</w:t>
      </w:r>
      <w:r w:rsidRPr="00683D62">
        <w:rPr>
          <w:rFonts w:ascii="Times New Roman" w:hAnsi="Times New Roman"/>
          <w:sz w:val="24"/>
          <w:szCs w:val="24"/>
          <w:lang w:val="en-US" w:eastAsia="de-DE"/>
        </w:rPr>
        <w:t>,</w:t>
      </w:r>
      <w:r w:rsidR="00AE5D6B" w:rsidRPr="00683D62">
        <w:rPr>
          <w:rFonts w:ascii="Times New Roman" w:hAnsi="Times New Roman"/>
          <w:sz w:val="24"/>
          <w:szCs w:val="24"/>
          <w:lang w:val="en-US" w:eastAsia="de-DE"/>
        </w:rPr>
        <w:t xml:space="preserve"> with an average of </w:t>
      </w:r>
      <w:r w:rsidR="00C61186" w:rsidRPr="00683D62">
        <w:rPr>
          <w:rFonts w:ascii="Times New Roman" w:hAnsi="Times New Roman"/>
          <w:sz w:val="24"/>
          <w:szCs w:val="24"/>
          <w:lang w:val="en-US" w:eastAsia="de-DE"/>
        </w:rPr>
        <w:t>7</w:t>
      </w:r>
      <w:r w:rsidR="00F20CC7" w:rsidRPr="00683D62">
        <w:rPr>
          <w:rFonts w:ascii="Times New Roman" w:hAnsi="Times New Roman"/>
          <w:sz w:val="24"/>
          <w:szCs w:val="24"/>
          <w:lang w:val="en-US"/>
        </w:rPr>
        <w:t>9</w:t>
      </w:r>
      <w:r w:rsidR="00BB0C6E" w:rsidRPr="00683D62">
        <w:rPr>
          <w:rFonts w:ascii="Times New Roman" w:hAnsi="Times New Roman"/>
          <w:sz w:val="24"/>
          <w:szCs w:val="24"/>
          <w:lang w:val="en-US" w:eastAsia="de-DE"/>
        </w:rPr>
        <w:t xml:space="preserve"> per 100</w:t>
      </w:r>
      <w:r w:rsidR="00F20CC7" w:rsidRPr="00683D62">
        <w:rPr>
          <w:rFonts w:ascii="Times New Roman" w:hAnsi="Times New Roman"/>
          <w:sz w:val="24"/>
          <w:szCs w:val="24"/>
          <w:lang w:val="en-US" w:eastAsia="de-DE"/>
        </w:rPr>
        <w:t>0</w:t>
      </w:r>
      <w:r w:rsidR="00BB0C6E" w:rsidRPr="00683D62">
        <w:rPr>
          <w:rFonts w:ascii="Times New Roman" w:hAnsi="Times New Roman"/>
          <w:sz w:val="24"/>
          <w:szCs w:val="24"/>
          <w:lang w:val="en-US" w:eastAsia="de-DE"/>
        </w:rPr>
        <w:t xml:space="preserve"> person</w:t>
      </w:r>
      <w:r w:rsidR="00943BF6" w:rsidRPr="00683D62">
        <w:rPr>
          <w:rFonts w:ascii="Times New Roman" w:hAnsi="Times New Roman"/>
          <w:sz w:val="24"/>
          <w:szCs w:val="24"/>
          <w:lang w:val="en-US" w:eastAsia="de-DE"/>
        </w:rPr>
        <w:t xml:space="preserve"> year</w:t>
      </w:r>
      <w:r w:rsidRPr="00683D62">
        <w:rPr>
          <w:rFonts w:ascii="Times New Roman" w:hAnsi="Times New Roman"/>
          <w:sz w:val="24"/>
          <w:szCs w:val="24"/>
          <w:lang w:val="en-US" w:eastAsia="de-DE"/>
        </w:rPr>
        <w:t>s</w:t>
      </w:r>
      <w:r w:rsidR="00264424" w:rsidRPr="00683D62">
        <w:rPr>
          <w:rFonts w:ascii="Times New Roman" w:hAnsi="Times New Roman"/>
          <w:sz w:val="24"/>
          <w:szCs w:val="24"/>
          <w:lang w:val="en-US" w:eastAsia="de-DE"/>
        </w:rPr>
        <w:t xml:space="preserve"> </w:t>
      </w:r>
      <w:r w:rsidR="00754EB9" w:rsidRPr="00683D62">
        <w:rPr>
          <w:rFonts w:ascii="Times New Roman" w:hAnsi="Times New Roman"/>
          <w:sz w:val="24"/>
          <w:szCs w:val="24"/>
          <w:lang w:val="en-US" w:eastAsia="de-DE"/>
        </w:rPr>
        <w:t xml:space="preserve">in IA positive relatives </w:t>
      </w:r>
      <w:r w:rsidR="00264424"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Figure </w:t>
      </w:r>
      <w:r w:rsidR="00CB63C4" w:rsidRPr="00683D62">
        <w:rPr>
          <w:rFonts w:ascii="Times New Roman" w:hAnsi="Times New Roman"/>
          <w:sz w:val="24"/>
          <w:szCs w:val="24"/>
          <w:lang w:val="en-US" w:eastAsia="de-DE"/>
        </w:rPr>
        <w:t>S5b</w:t>
      </w:r>
      <w:r w:rsidR="00A701FA" w:rsidRPr="00683D62">
        <w:rPr>
          <w:rFonts w:ascii="Times New Roman" w:hAnsi="Times New Roman"/>
          <w:sz w:val="24"/>
          <w:szCs w:val="24"/>
          <w:lang w:val="en-US" w:eastAsia="de-DE"/>
        </w:rPr>
        <w:t xml:space="preserve">). </w:t>
      </w:r>
      <w:r w:rsidR="00E94EED" w:rsidRPr="00683D62">
        <w:rPr>
          <w:rFonts w:ascii="Times New Roman" w:hAnsi="Times New Roman"/>
          <w:sz w:val="24"/>
          <w:szCs w:val="24"/>
          <w:lang w:val="en-US"/>
        </w:rPr>
        <w:t>The r</w:t>
      </w:r>
      <w:r w:rsidR="00496488" w:rsidRPr="00683D62">
        <w:rPr>
          <w:rFonts w:ascii="Times New Roman" w:hAnsi="Times New Roman"/>
          <w:sz w:val="24"/>
          <w:szCs w:val="24"/>
          <w:lang w:val="en-US"/>
        </w:rPr>
        <w:t xml:space="preserve">isk </w:t>
      </w:r>
      <w:r w:rsidR="00E94EED" w:rsidRPr="00683D62">
        <w:rPr>
          <w:rFonts w:ascii="Times New Roman" w:hAnsi="Times New Roman"/>
          <w:sz w:val="24"/>
          <w:szCs w:val="24"/>
          <w:lang w:val="en-US"/>
        </w:rPr>
        <w:t>of</w:t>
      </w:r>
      <w:r w:rsidR="00496488" w:rsidRPr="00683D62">
        <w:rPr>
          <w:rFonts w:ascii="Times New Roman" w:hAnsi="Times New Roman"/>
          <w:sz w:val="24"/>
          <w:szCs w:val="24"/>
          <w:lang w:val="en-US"/>
        </w:rPr>
        <w:t xml:space="preserve"> clinical diabetes was not increased in children who </w:t>
      </w:r>
      <w:r w:rsidR="00700999" w:rsidRPr="00683D62">
        <w:rPr>
          <w:rFonts w:ascii="Times New Roman" w:hAnsi="Times New Roman"/>
          <w:sz w:val="24"/>
          <w:szCs w:val="24"/>
          <w:lang w:val="en-US"/>
        </w:rPr>
        <w:t>developed</w:t>
      </w:r>
      <w:r w:rsidR="00496488" w:rsidRPr="00683D62">
        <w:rPr>
          <w:rFonts w:ascii="Times New Roman" w:hAnsi="Times New Roman"/>
          <w:sz w:val="24"/>
          <w:szCs w:val="24"/>
          <w:lang w:val="en-US"/>
        </w:rPr>
        <w:t xml:space="preserve"> TGA or TPOA without IA (Figure S</w:t>
      </w:r>
      <w:r w:rsidR="00CB63C4" w:rsidRPr="00683D62">
        <w:rPr>
          <w:rFonts w:ascii="Times New Roman" w:hAnsi="Times New Roman"/>
          <w:sz w:val="24"/>
          <w:szCs w:val="24"/>
          <w:lang w:val="en-US"/>
        </w:rPr>
        <w:t>5</w:t>
      </w:r>
      <w:r w:rsidR="00496488" w:rsidRPr="00683D62">
        <w:rPr>
          <w:rFonts w:ascii="Times New Roman" w:hAnsi="Times New Roman"/>
          <w:sz w:val="24"/>
          <w:szCs w:val="24"/>
          <w:lang w:val="en-US"/>
        </w:rPr>
        <w:t xml:space="preserve">c). </w:t>
      </w:r>
    </w:p>
    <w:p w14:paraId="4600319B" w14:textId="39A3E7CB" w:rsidR="00D27F96" w:rsidRPr="00683D62" w:rsidRDefault="00D27F96" w:rsidP="00B661B1">
      <w:pPr>
        <w:autoSpaceDE w:val="0"/>
        <w:autoSpaceDN w:val="0"/>
        <w:adjustRightInd w:val="0"/>
        <w:spacing w:after="0" w:line="480" w:lineRule="auto"/>
        <w:jc w:val="both"/>
        <w:rPr>
          <w:rFonts w:ascii="Times New Roman" w:hAnsi="Times New Roman"/>
          <w:strike/>
          <w:sz w:val="24"/>
          <w:szCs w:val="24"/>
          <w:lang w:val="en-US"/>
        </w:rPr>
      </w:pPr>
    </w:p>
    <w:p w14:paraId="60002DE3" w14:textId="74869F9F" w:rsidR="00D27F96" w:rsidRPr="00683D62" w:rsidRDefault="00D27F96" w:rsidP="00B661B1">
      <w:pPr>
        <w:autoSpaceDE w:val="0"/>
        <w:autoSpaceDN w:val="0"/>
        <w:adjustRightInd w:val="0"/>
        <w:spacing w:after="0" w:line="480" w:lineRule="auto"/>
        <w:jc w:val="both"/>
        <w:rPr>
          <w:rFonts w:ascii="Times New Roman" w:hAnsi="Times New Roman"/>
          <w:strike/>
          <w:sz w:val="24"/>
          <w:szCs w:val="24"/>
          <w:lang w:val="en-US"/>
        </w:rPr>
      </w:pPr>
    </w:p>
    <w:p w14:paraId="6BA67DB6" w14:textId="77777777" w:rsidR="00D27F96" w:rsidRPr="00683D62" w:rsidRDefault="00D27F96" w:rsidP="00B661B1">
      <w:pPr>
        <w:autoSpaceDE w:val="0"/>
        <w:autoSpaceDN w:val="0"/>
        <w:adjustRightInd w:val="0"/>
        <w:spacing w:after="0" w:line="480" w:lineRule="auto"/>
        <w:jc w:val="both"/>
        <w:rPr>
          <w:rFonts w:ascii="Times New Roman" w:hAnsi="Times New Roman"/>
          <w:sz w:val="24"/>
          <w:szCs w:val="24"/>
          <w:lang w:val="en-US"/>
        </w:rPr>
      </w:pPr>
    </w:p>
    <w:p w14:paraId="6B6B02F3" w14:textId="05B7733A" w:rsidR="00C21441" w:rsidRPr="00683D62" w:rsidRDefault="00EF2B52" w:rsidP="00F850AA">
      <w:pPr>
        <w:autoSpaceDE w:val="0"/>
        <w:autoSpaceDN w:val="0"/>
        <w:adjustRightInd w:val="0"/>
        <w:spacing w:after="0" w:line="480" w:lineRule="auto"/>
        <w:jc w:val="both"/>
        <w:outlineLvl w:val="0"/>
        <w:rPr>
          <w:rFonts w:ascii="Times New Roman" w:hAnsi="Times New Roman"/>
          <w:sz w:val="24"/>
          <w:szCs w:val="24"/>
          <w:lang w:val="en-US" w:eastAsia="de-DE"/>
        </w:rPr>
      </w:pPr>
      <w:r w:rsidRPr="00683D62">
        <w:rPr>
          <w:rFonts w:ascii="Times New Roman" w:hAnsi="Times New Roman"/>
          <w:sz w:val="24"/>
          <w:szCs w:val="24"/>
          <w:lang w:val="en-US" w:eastAsia="de-DE"/>
        </w:rPr>
        <w:t>Conclusion</w:t>
      </w:r>
      <w:r w:rsidR="00B42569" w:rsidRPr="00683D62">
        <w:rPr>
          <w:rFonts w:ascii="Times New Roman" w:hAnsi="Times New Roman"/>
          <w:sz w:val="24"/>
          <w:szCs w:val="24"/>
          <w:lang w:val="en-US" w:eastAsia="de-DE"/>
        </w:rPr>
        <w:t>s</w:t>
      </w:r>
    </w:p>
    <w:p w14:paraId="035D03BD" w14:textId="1708C618" w:rsidR="00765D62" w:rsidRPr="00683D62" w:rsidRDefault="00765D62"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We have traced the natural history of </w:t>
      </w:r>
      <w:r w:rsidR="00B9327E" w:rsidRPr="00683D62">
        <w:rPr>
          <w:rFonts w:ascii="Times New Roman" w:hAnsi="Times New Roman"/>
          <w:sz w:val="24"/>
          <w:szCs w:val="24"/>
          <w:lang w:val="en-US" w:eastAsia="de-DE"/>
        </w:rPr>
        <w:t>type</w:t>
      </w:r>
      <w:r w:rsidR="002411E5" w:rsidRPr="00683D62">
        <w:rPr>
          <w:rFonts w:ascii="Times New Roman" w:hAnsi="Times New Roman"/>
          <w:sz w:val="24"/>
          <w:szCs w:val="24"/>
          <w:lang w:val="en-US" w:eastAsia="de-DE"/>
        </w:rPr>
        <w:t xml:space="preserve"> </w:t>
      </w:r>
      <w:r w:rsidR="00B9327E" w:rsidRPr="00683D62">
        <w:rPr>
          <w:rFonts w:ascii="Times New Roman" w:hAnsi="Times New Roman"/>
          <w:sz w:val="24"/>
          <w:szCs w:val="24"/>
          <w:lang w:val="en-US" w:eastAsia="de-DE"/>
        </w:rPr>
        <w:t>1</w:t>
      </w:r>
      <w:r w:rsidR="002411E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diabetes-, </w:t>
      </w:r>
      <w:r w:rsidR="00523A64" w:rsidRPr="00683D62">
        <w:rPr>
          <w:rFonts w:ascii="Times New Roman" w:hAnsi="Times New Roman"/>
          <w:sz w:val="24"/>
          <w:szCs w:val="24"/>
          <w:lang w:val="en-US" w:eastAsia="de-DE"/>
        </w:rPr>
        <w:t>c</w:t>
      </w:r>
      <w:r w:rsidR="00B9327E" w:rsidRPr="00683D62">
        <w:rPr>
          <w:rFonts w:ascii="Times New Roman" w:hAnsi="Times New Roman"/>
          <w:sz w:val="24"/>
          <w:szCs w:val="24"/>
          <w:lang w:val="en-US" w:eastAsia="de-DE"/>
        </w:rPr>
        <w:t>eliac</w:t>
      </w:r>
      <w:r w:rsidR="002411E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disease-, and </w:t>
      </w:r>
      <w:r w:rsidR="00B9327E" w:rsidRPr="00683D62">
        <w:rPr>
          <w:rFonts w:ascii="Times New Roman" w:hAnsi="Times New Roman"/>
          <w:sz w:val="24"/>
          <w:szCs w:val="24"/>
          <w:lang w:val="en-US" w:eastAsia="de-DE"/>
        </w:rPr>
        <w:t>thyroid</w:t>
      </w:r>
      <w:r w:rsidR="002411E5"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disease-related autoimmunity</w:t>
      </w:r>
      <w:r w:rsidR="009A0AF7" w:rsidRPr="00683D62">
        <w:rPr>
          <w:rFonts w:ascii="Times New Roman" w:hAnsi="Times New Roman"/>
          <w:sz w:val="24"/>
          <w:szCs w:val="24"/>
          <w:lang w:val="en-US" w:eastAsia="de-DE"/>
        </w:rPr>
        <w:t xml:space="preserve"> from birth to adulthood</w:t>
      </w:r>
      <w:r w:rsidRPr="00683D62">
        <w:rPr>
          <w:rFonts w:ascii="Times New Roman" w:hAnsi="Times New Roman"/>
          <w:sz w:val="24"/>
          <w:szCs w:val="24"/>
          <w:lang w:val="en-US" w:eastAsia="de-DE"/>
        </w:rPr>
        <w:t xml:space="preserve"> in </w:t>
      </w:r>
      <w:r w:rsidR="00C402AB" w:rsidRPr="00683D62">
        <w:rPr>
          <w:rFonts w:ascii="Times New Roman" w:hAnsi="Times New Roman"/>
          <w:sz w:val="24"/>
          <w:szCs w:val="24"/>
          <w:lang w:val="en-US" w:eastAsia="de-DE"/>
        </w:rPr>
        <w:t>first-degree</w:t>
      </w:r>
      <w:r w:rsidRPr="00683D62">
        <w:rPr>
          <w:rFonts w:ascii="Times New Roman" w:hAnsi="Times New Roman"/>
          <w:sz w:val="24"/>
          <w:szCs w:val="24"/>
          <w:lang w:val="en-US" w:eastAsia="de-DE"/>
        </w:rPr>
        <w:t xml:space="preserve"> relatives of patients with type 1 diabetes. We found </w:t>
      </w:r>
      <w:r w:rsidR="00523A64" w:rsidRPr="00683D62">
        <w:rPr>
          <w:rFonts w:ascii="Times New Roman" w:hAnsi="Times New Roman"/>
          <w:sz w:val="24"/>
          <w:szCs w:val="24"/>
          <w:lang w:val="en-US" w:eastAsia="de-DE"/>
        </w:rPr>
        <w:t xml:space="preserve">that </w:t>
      </w:r>
      <w:r w:rsidRPr="00683D62">
        <w:rPr>
          <w:rFonts w:ascii="Times New Roman" w:hAnsi="Times New Roman"/>
          <w:sz w:val="24"/>
          <w:szCs w:val="24"/>
          <w:lang w:val="en-US" w:eastAsia="de-DE"/>
        </w:rPr>
        <w:t xml:space="preserve">a surprisingly high frequency of relatives </w:t>
      </w:r>
      <w:r w:rsidR="00523A64" w:rsidRPr="00683D62">
        <w:rPr>
          <w:rFonts w:ascii="Times New Roman" w:hAnsi="Times New Roman"/>
          <w:sz w:val="24"/>
          <w:szCs w:val="24"/>
          <w:lang w:val="en-US" w:eastAsia="de-DE"/>
        </w:rPr>
        <w:t xml:space="preserve">developed </w:t>
      </w:r>
      <w:r w:rsidRPr="00683D62">
        <w:rPr>
          <w:rFonts w:ascii="Times New Roman" w:hAnsi="Times New Roman"/>
          <w:sz w:val="24"/>
          <w:szCs w:val="24"/>
          <w:lang w:val="en-US" w:eastAsia="de-DE"/>
        </w:rPr>
        <w:t xml:space="preserve">these autoantibodies, reaching </w:t>
      </w:r>
      <w:r w:rsidR="00B9327E" w:rsidRPr="00683D62">
        <w:rPr>
          <w:rFonts w:ascii="Times New Roman" w:hAnsi="Times New Roman"/>
          <w:sz w:val="24"/>
          <w:szCs w:val="24"/>
          <w:lang w:val="en-US" w:eastAsia="de-DE"/>
        </w:rPr>
        <w:t>~</w:t>
      </w:r>
      <w:r w:rsidRPr="00683D62">
        <w:rPr>
          <w:rFonts w:ascii="Times New Roman" w:hAnsi="Times New Roman"/>
          <w:sz w:val="24"/>
          <w:szCs w:val="24"/>
          <w:lang w:val="en-US" w:eastAsia="de-DE"/>
        </w:rPr>
        <w:t>50% by</w:t>
      </w:r>
      <w:r w:rsidR="00B9327E"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age 20 years in relatives with </w:t>
      </w:r>
      <w:r w:rsidR="00B9327E"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HLA DR3/DR4-DQ8 </w:t>
      </w:r>
      <w:r w:rsidR="00B9327E" w:rsidRPr="00683D62">
        <w:rPr>
          <w:rFonts w:ascii="Times New Roman" w:hAnsi="Times New Roman"/>
          <w:sz w:val="24"/>
          <w:szCs w:val="24"/>
          <w:lang w:val="en-US" w:eastAsia="de-DE"/>
        </w:rPr>
        <w:t xml:space="preserve">or </w:t>
      </w:r>
      <w:r w:rsidR="009A0AF7" w:rsidRPr="00683D62">
        <w:rPr>
          <w:rFonts w:ascii="Times New Roman" w:hAnsi="Times New Roman"/>
          <w:sz w:val="24"/>
          <w:szCs w:val="24"/>
          <w:lang w:val="en-US" w:eastAsia="de-DE"/>
        </w:rPr>
        <w:t xml:space="preserve">HLA </w:t>
      </w:r>
      <w:r w:rsidRPr="00683D62">
        <w:rPr>
          <w:rFonts w:ascii="Times New Roman" w:hAnsi="Times New Roman"/>
          <w:sz w:val="24"/>
          <w:szCs w:val="24"/>
          <w:lang w:val="en-US" w:eastAsia="de-DE"/>
        </w:rPr>
        <w:t xml:space="preserve">DR3/DR3 genotype. </w:t>
      </w:r>
      <w:r w:rsidR="00277AD0" w:rsidRPr="00683D62">
        <w:rPr>
          <w:rFonts w:ascii="Times New Roman" w:hAnsi="Times New Roman"/>
          <w:sz w:val="24"/>
          <w:szCs w:val="24"/>
          <w:lang w:val="en-US" w:eastAsia="de-DE"/>
        </w:rPr>
        <w:t xml:space="preserve">The autoantibody positive relatives usually developed antibodies associated with only one of the diseases and </w:t>
      </w:r>
      <w:r w:rsidR="005B5893" w:rsidRPr="00683D62">
        <w:rPr>
          <w:rFonts w:ascii="Times New Roman" w:hAnsi="Times New Roman"/>
          <w:sz w:val="24"/>
          <w:szCs w:val="24"/>
          <w:lang w:val="en-US"/>
        </w:rPr>
        <w:t xml:space="preserve">the risk of any one of the autoantibodies was precisely defined by the HLA genotype, other risk genes, age, and/or sex. </w:t>
      </w:r>
      <w:r w:rsidRPr="00683D62">
        <w:rPr>
          <w:rFonts w:ascii="Times New Roman" w:hAnsi="Times New Roman"/>
          <w:sz w:val="24"/>
          <w:szCs w:val="24"/>
          <w:lang w:val="en-US" w:eastAsia="de-DE"/>
        </w:rPr>
        <w:t>The</w:t>
      </w:r>
      <w:r w:rsidR="00B9327E" w:rsidRPr="00683D62">
        <w:rPr>
          <w:rFonts w:ascii="Times New Roman" w:hAnsi="Times New Roman"/>
          <w:sz w:val="24"/>
          <w:szCs w:val="24"/>
          <w:lang w:val="en-US" w:eastAsia="de-DE"/>
        </w:rPr>
        <w:t>se</w:t>
      </w:r>
      <w:r w:rsidRPr="00683D62">
        <w:rPr>
          <w:rFonts w:ascii="Times New Roman" w:hAnsi="Times New Roman"/>
          <w:sz w:val="24"/>
          <w:szCs w:val="24"/>
          <w:lang w:val="en-US" w:eastAsia="de-DE"/>
        </w:rPr>
        <w:t xml:space="preserve"> findings suggest a strong familial predisposition for organ-specific autoimmunity, which manifests </w:t>
      </w:r>
      <w:r w:rsidR="00B9327E" w:rsidRPr="00683D62">
        <w:rPr>
          <w:rFonts w:ascii="Times New Roman" w:hAnsi="Times New Roman"/>
          <w:sz w:val="24"/>
          <w:szCs w:val="24"/>
          <w:lang w:val="en-US" w:eastAsia="de-DE"/>
        </w:rPr>
        <w:t xml:space="preserve">in </w:t>
      </w:r>
      <w:r w:rsidRPr="00683D62">
        <w:rPr>
          <w:rFonts w:ascii="Times New Roman" w:hAnsi="Times New Roman"/>
          <w:sz w:val="24"/>
          <w:szCs w:val="24"/>
          <w:lang w:val="en-US" w:eastAsia="de-DE"/>
        </w:rPr>
        <w:t>a particular organ in a</w:t>
      </w:r>
      <w:r w:rsidR="00D77B81" w:rsidRPr="00683D62">
        <w:rPr>
          <w:rFonts w:ascii="Times New Roman" w:hAnsi="Times New Roman"/>
          <w:sz w:val="24"/>
          <w:szCs w:val="24"/>
          <w:lang w:val="en-US" w:eastAsia="de-DE"/>
        </w:rPr>
        <w:t>n</w:t>
      </w:r>
      <w:r w:rsidRPr="00683D62">
        <w:rPr>
          <w:rFonts w:ascii="Times New Roman" w:hAnsi="Times New Roman"/>
          <w:sz w:val="24"/>
          <w:szCs w:val="24"/>
          <w:lang w:val="en-US" w:eastAsia="de-DE"/>
        </w:rPr>
        <w:t xml:space="preserve"> HLA</w:t>
      </w:r>
      <w:r w:rsidR="00B9327E" w:rsidRPr="00683D62">
        <w:rPr>
          <w:rFonts w:ascii="Times New Roman" w:hAnsi="Times New Roman"/>
          <w:sz w:val="24"/>
          <w:szCs w:val="24"/>
          <w:lang w:val="en-US" w:eastAsia="de-DE"/>
        </w:rPr>
        <w:t>-</w:t>
      </w:r>
      <w:r w:rsidRPr="00683D62">
        <w:rPr>
          <w:rFonts w:ascii="Times New Roman" w:hAnsi="Times New Roman"/>
          <w:sz w:val="24"/>
          <w:szCs w:val="24"/>
          <w:lang w:val="en-US" w:eastAsia="de-DE"/>
        </w:rPr>
        <w:t>, age</w:t>
      </w:r>
      <w:r w:rsidR="00B9327E"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and </w:t>
      </w:r>
      <w:r w:rsidR="00B9327E" w:rsidRPr="00683D62">
        <w:rPr>
          <w:rFonts w:ascii="Times New Roman" w:hAnsi="Times New Roman"/>
          <w:sz w:val="24"/>
          <w:szCs w:val="24"/>
          <w:lang w:val="en-US" w:eastAsia="de-DE"/>
        </w:rPr>
        <w:t xml:space="preserve">sex-dependent </w:t>
      </w:r>
      <w:r w:rsidRPr="00683D62">
        <w:rPr>
          <w:rFonts w:ascii="Times New Roman" w:hAnsi="Times New Roman"/>
          <w:sz w:val="24"/>
          <w:szCs w:val="24"/>
          <w:lang w:val="en-US" w:eastAsia="de-DE"/>
        </w:rPr>
        <w:t>manner.</w:t>
      </w:r>
    </w:p>
    <w:p w14:paraId="4445AA86" w14:textId="3FABAB33" w:rsidR="004D5289" w:rsidRPr="00683D62" w:rsidRDefault="00765D62"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The strength of </w:t>
      </w:r>
      <w:r w:rsidR="00B9327E" w:rsidRPr="00683D62">
        <w:rPr>
          <w:rFonts w:ascii="Times New Roman" w:hAnsi="Times New Roman"/>
          <w:sz w:val="24"/>
          <w:szCs w:val="24"/>
          <w:lang w:val="en-US" w:eastAsia="de-DE"/>
        </w:rPr>
        <w:t xml:space="preserve">this </w:t>
      </w:r>
      <w:r w:rsidRPr="00683D62">
        <w:rPr>
          <w:rFonts w:ascii="Times New Roman" w:hAnsi="Times New Roman"/>
          <w:sz w:val="24"/>
          <w:szCs w:val="24"/>
          <w:lang w:val="en-US" w:eastAsia="de-DE"/>
        </w:rPr>
        <w:t xml:space="preserve">study is </w:t>
      </w:r>
      <w:r w:rsidR="00B9327E" w:rsidRPr="00683D62">
        <w:rPr>
          <w:rFonts w:ascii="Times New Roman" w:hAnsi="Times New Roman"/>
          <w:sz w:val="24"/>
          <w:szCs w:val="24"/>
          <w:lang w:val="en-US" w:eastAsia="de-DE"/>
        </w:rPr>
        <w:t xml:space="preserve">its </w:t>
      </w:r>
      <w:r w:rsidRPr="00683D62">
        <w:rPr>
          <w:rFonts w:ascii="Times New Roman" w:hAnsi="Times New Roman"/>
          <w:sz w:val="24"/>
          <w:szCs w:val="24"/>
          <w:lang w:val="en-US" w:eastAsia="de-DE"/>
        </w:rPr>
        <w:t>long-term follow-up</w:t>
      </w:r>
      <w:r w:rsidR="00D77B81" w:rsidRPr="00683D62">
        <w:rPr>
          <w:rFonts w:ascii="Times New Roman" w:hAnsi="Times New Roman"/>
          <w:sz w:val="24"/>
          <w:szCs w:val="24"/>
          <w:lang w:val="en-US" w:eastAsia="de-DE"/>
        </w:rPr>
        <w:t xml:space="preserve"> of </w:t>
      </w:r>
      <w:r w:rsidR="00613107" w:rsidRPr="00683D62">
        <w:rPr>
          <w:rFonts w:ascii="Times New Roman" w:hAnsi="Times New Roman"/>
          <w:sz w:val="24"/>
          <w:szCs w:val="24"/>
          <w:lang w:val="en-US" w:eastAsia="de-DE"/>
        </w:rPr>
        <w:t xml:space="preserve">a large number of </w:t>
      </w:r>
      <w:r w:rsidR="00D77B81" w:rsidRPr="00683D62">
        <w:rPr>
          <w:rFonts w:ascii="Times New Roman" w:hAnsi="Times New Roman"/>
          <w:sz w:val="24"/>
          <w:szCs w:val="24"/>
          <w:lang w:val="en-US" w:eastAsia="de-DE"/>
        </w:rPr>
        <w:t>participants from birth</w:t>
      </w:r>
      <w:r w:rsidRPr="00683D62">
        <w:rPr>
          <w:rFonts w:ascii="Times New Roman" w:hAnsi="Times New Roman"/>
          <w:sz w:val="24"/>
          <w:szCs w:val="24"/>
          <w:lang w:val="en-US" w:eastAsia="de-DE"/>
        </w:rPr>
        <w:t xml:space="preserve">. All </w:t>
      </w:r>
      <w:r w:rsidR="00523A64"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participants were followed from the first year of life, </w:t>
      </w:r>
      <w:r w:rsidR="00D77B81" w:rsidRPr="00683D62">
        <w:rPr>
          <w:rFonts w:ascii="Times New Roman" w:hAnsi="Times New Roman"/>
          <w:sz w:val="24"/>
          <w:szCs w:val="24"/>
          <w:lang w:val="en-US" w:eastAsia="de-DE"/>
        </w:rPr>
        <w:t xml:space="preserve">and </w:t>
      </w:r>
      <w:r w:rsidRPr="00683D62">
        <w:rPr>
          <w:rFonts w:ascii="Times New Roman" w:hAnsi="Times New Roman"/>
          <w:sz w:val="24"/>
          <w:szCs w:val="24"/>
          <w:lang w:val="en-US" w:eastAsia="de-DE"/>
        </w:rPr>
        <w:t xml:space="preserve">the oldest participant </w:t>
      </w:r>
      <w:r w:rsidR="00D77B81" w:rsidRPr="00683D62">
        <w:rPr>
          <w:rFonts w:ascii="Times New Roman" w:hAnsi="Times New Roman"/>
          <w:sz w:val="24"/>
          <w:szCs w:val="24"/>
          <w:lang w:val="en-US" w:eastAsia="de-DE"/>
        </w:rPr>
        <w:t xml:space="preserve">was </w:t>
      </w:r>
      <w:r w:rsidRPr="00683D62">
        <w:rPr>
          <w:rFonts w:ascii="Times New Roman" w:hAnsi="Times New Roman"/>
          <w:sz w:val="24"/>
          <w:szCs w:val="24"/>
          <w:lang w:val="en-US" w:eastAsia="de-DE"/>
        </w:rPr>
        <w:t>29</w:t>
      </w:r>
      <w:r w:rsidR="004A49A7" w:rsidRPr="00683D62">
        <w:rPr>
          <w:rFonts w:ascii="Calibri Light" w:hAnsi="Calibri Light" w:cs="Calibri Light"/>
          <w:lang w:val="en-US"/>
        </w:rPr>
        <w:t>.</w:t>
      </w:r>
      <w:r w:rsidRPr="00683D62">
        <w:rPr>
          <w:rFonts w:ascii="Times New Roman" w:hAnsi="Times New Roman"/>
          <w:sz w:val="24"/>
          <w:szCs w:val="24"/>
          <w:lang w:val="en-US" w:eastAsia="de-DE"/>
        </w:rPr>
        <w:t xml:space="preserve">4 years of age at the time of analysis. The cohort </w:t>
      </w:r>
      <w:r w:rsidR="00B9327E" w:rsidRPr="00683D62">
        <w:rPr>
          <w:rFonts w:ascii="Times New Roman" w:hAnsi="Times New Roman"/>
          <w:sz w:val="24"/>
          <w:szCs w:val="24"/>
          <w:lang w:val="en-US" w:eastAsia="de-DE"/>
        </w:rPr>
        <w:t xml:space="preserve">had </w:t>
      </w:r>
      <w:r w:rsidRPr="00683D62">
        <w:rPr>
          <w:rFonts w:ascii="Times New Roman" w:hAnsi="Times New Roman"/>
          <w:sz w:val="24"/>
          <w:szCs w:val="24"/>
          <w:lang w:val="en-US" w:eastAsia="de-DE"/>
        </w:rPr>
        <w:t xml:space="preserve">also been tested prospectively for a range of autoantibodies at regular intervals. </w:t>
      </w:r>
      <w:r w:rsidR="00B9327E" w:rsidRPr="00683D62">
        <w:rPr>
          <w:rFonts w:ascii="Times New Roman" w:hAnsi="Times New Roman"/>
          <w:sz w:val="24"/>
          <w:szCs w:val="24"/>
          <w:lang w:val="en-US" w:eastAsia="de-DE"/>
        </w:rPr>
        <w:t xml:space="preserve">Furthermore, it </w:t>
      </w:r>
      <w:r w:rsidRPr="00683D62">
        <w:rPr>
          <w:rFonts w:ascii="Times New Roman" w:hAnsi="Times New Roman"/>
          <w:sz w:val="24"/>
          <w:szCs w:val="24"/>
          <w:lang w:val="en-US" w:eastAsia="de-DE"/>
        </w:rPr>
        <w:t xml:space="preserve">is the only birth cohort that </w:t>
      </w:r>
      <w:r w:rsidR="00B9327E" w:rsidRPr="00683D62">
        <w:rPr>
          <w:rFonts w:ascii="Times New Roman" w:hAnsi="Times New Roman"/>
          <w:sz w:val="24"/>
          <w:szCs w:val="24"/>
          <w:lang w:val="en-US" w:eastAsia="de-DE"/>
        </w:rPr>
        <w:t xml:space="preserve">was </w:t>
      </w:r>
      <w:r w:rsidRPr="00683D62">
        <w:rPr>
          <w:rFonts w:ascii="Times New Roman" w:hAnsi="Times New Roman"/>
          <w:sz w:val="24"/>
          <w:szCs w:val="24"/>
          <w:lang w:val="en-US" w:eastAsia="de-DE"/>
        </w:rPr>
        <w:t xml:space="preserve">not selected for </w:t>
      </w:r>
      <w:r w:rsidR="00B9327E" w:rsidRPr="00683D62">
        <w:rPr>
          <w:rFonts w:ascii="Times New Roman" w:hAnsi="Times New Roman"/>
          <w:sz w:val="24"/>
          <w:szCs w:val="24"/>
          <w:lang w:val="en-US" w:eastAsia="de-DE"/>
        </w:rPr>
        <w:t>high-</w:t>
      </w:r>
      <w:r w:rsidRPr="00683D62">
        <w:rPr>
          <w:rFonts w:ascii="Times New Roman" w:hAnsi="Times New Roman"/>
          <w:sz w:val="24"/>
          <w:szCs w:val="24"/>
          <w:lang w:val="en-US" w:eastAsia="de-DE"/>
        </w:rPr>
        <w:t>risk HLA genotypes</w:t>
      </w:r>
      <w:r w:rsidR="00523A64"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and</w:t>
      </w:r>
      <w:r w:rsidR="00B9327E" w:rsidRPr="00683D62">
        <w:rPr>
          <w:rFonts w:ascii="Times New Roman" w:hAnsi="Times New Roman"/>
          <w:sz w:val="24"/>
          <w:szCs w:val="24"/>
          <w:lang w:val="en-US" w:eastAsia="de-DE"/>
        </w:rPr>
        <w:t xml:space="preserve"> w</w:t>
      </w:r>
      <w:r w:rsidR="00523A64" w:rsidRPr="00683D62">
        <w:rPr>
          <w:rFonts w:ascii="Times New Roman" w:hAnsi="Times New Roman"/>
          <w:sz w:val="24"/>
          <w:szCs w:val="24"/>
          <w:lang w:val="en-US" w:eastAsia="de-DE"/>
        </w:rPr>
        <w:t>e were</w:t>
      </w:r>
      <w:r w:rsidR="002411E5" w:rsidRPr="00683D62">
        <w:rPr>
          <w:rFonts w:ascii="Times New Roman" w:hAnsi="Times New Roman"/>
          <w:sz w:val="24"/>
          <w:szCs w:val="24"/>
          <w:lang w:val="en-US" w:eastAsia="de-DE"/>
        </w:rPr>
        <w:t>,</w:t>
      </w:r>
      <w:r w:rsidR="00B9327E"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therefore</w:t>
      </w:r>
      <w:r w:rsidR="002411E5"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able to stratify risk across all HLA risk categories. A limitation </w:t>
      </w:r>
      <w:r w:rsidR="00523A64" w:rsidRPr="00683D62">
        <w:rPr>
          <w:rFonts w:ascii="Times New Roman" w:hAnsi="Times New Roman"/>
          <w:sz w:val="24"/>
          <w:szCs w:val="24"/>
          <w:lang w:val="en-US" w:eastAsia="de-DE"/>
        </w:rPr>
        <w:t xml:space="preserve">of the study </w:t>
      </w:r>
      <w:r w:rsidR="00B9327E" w:rsidRPr="00683D62">
        <w:rPr>
          <w:rFonts w:ascii="Times New Roman" w:hAnsi="Times New Roman"/>
          <w:sz w:val="24"/>
          <w:szCs w:val="24"/>
          <w:lang w:val="en-US" w:eastAsia="de-DE"/>
        </w:rPr>
        <w:t xml:space="preserve">was </w:t>
      </w:r>
      <w:r w:rsidRPr="00683D62">
        <w:rPr>
          <w:rFonts w:ascii="Times New Roman" w:hAnsi="Times New Roman"/>
          <w:sz w:val="24"/>
          <w:szCs w:val="24"/>
          <w:lang w:val="en-US" w:eastAsia="de-DE"/>
        </w:rPr>
        <w:t xml:space="preserve">that the 115 children who </w:t>
      </w:r>
      <w:r w:rsidRPr="00683D62">
        <w:rPr>
          <w:rFonts w:ascii="Times New Roman" w:hAnsi="Times New Roman"/>
          <w:sz w:val="24"/>
          <w:szCs w:val="24"/>
          <w:lang w:val="en-US" w:eastAsia="de-DE"/>
        </w:rPr>
        <w:lastRenderedPageBreak/>
        <w:t>developed type 1 diabetes were not followed after disease onset</w:t>
      </w:r>
      <w:r w:rsidR="00B9327E"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B9327E" w:rsidRPr="00683D62">
        <w:rPr>
          <w:rFonts w:ascii="Times New Roman" w:hAnsi="Times New Roman"/>
          <w:sz w:val="24"/>
          <w:szCs w:val="24"/>
          <w:lang w:val="en-US" w:eastAsia="de-DE"/>
        </w:rPr>
        <w:t>so</w:t>
      </w:r>
      <w:r w:rsidRPr="00683D62">
        <w:rPr>
          <w:rFonts w:ascii="Times New Roman" w:hAnsi="Times New Roman"/>
          <w:sz w:val="24"/>
          <w:szCs w:val="24"/>
          <w:lang w:val="en-US" w:eastAsia="de-DE"/>
        </w:rPr>
        <w:t xml:space="preserve"> the cumulative frequency of </w:t>
      </w:r>
      <w:r w:rsidR="00433056" w:rsidRPr="00683D62">
        <w:rPr>
          <w:rFonts w:ascii="Times New Roman" w:hAnsi="Times New Roman"/>
          <w:sz w:val="24"/>
          <w:szCs w:val="24"/>
          <w:lang w:val="en-US" w:eastAsia="de-DE"/>
        </w:rPr>
        <w:t>TGA</w:t>
      </w:r>
      <w:r w:rsidRPr="00683D62">
        <w:rPr>
          <w:rFonts w:ascii="Times New Roman" w:hAnsi="Times New Roman"/>
          <w:sz w:val="24"/>
          <w:szCs w:val="24"/>
          <w:lang w:val="en-US" w:eastAsia="de-DE"/>
        </w:rPr>
        <w:t xml:space="preserve"> and TPO</w:t>
      </w:r>
      <w:r w:rsidR="00433056" w:rsidRPr="00683D62">
        <w:rPr>
          <w:rFonts w:ascii="Times New Roman" w:hAnsi="Times New Roman"/>
          <w:sz w:val="24"/>
          <w:szCs w:val="24"/>
          <w:lang w:val="en-US" w:eastAsia="de-DE"/>
        </w:rPr>
        <w:t>A</w:t>
      </w:r>
      <w:r w:rsidRPr="00683D62">
        <w:rPr>
          <w:rFonts w:ascii="Times New Roman" w:hAnsi="Times New Roman"/>
          <w:sz w:val="24"/>
          <w:szCs w:val="24"/>
          <w:lang w:val="en-US" w:eastAsia="de-DE"/>
        </w:rPr>
        <w:t xml:space="preserve"> by </w:t>
      </w:r>
      <w:r w:rsidR="00523A64"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age </w:t>
      </w:r>
      <w:r w:rsidR="00523A64"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 xml:space="preserve">20 years </w:t>
      </w:r>
      <w:r w:rsidR="00D77B81" w:rsidRPr="00683D62">
        <w:rPr>
          <w:rFonts w:ascii="Times New Roman" w:hAnsi="Times New Roman"/>
          <w:sz w:val="24"/>
          <w:szCs w:val="24"/>
          <w:lang w:val="en-US" w:eastAsia="de-DE"/>
        </w:rPr>
        <w:t xml:space="preserve">and the overlap between IA, TGA, and TPOA </w:t>
      </w:r>
      <w:r w:rsidRPr="00683D62">
        <w:rPr>
          <w:rFonts w:ascii="Times New Roman" w:hAnsi="Times New Roman"/>
          <w:sz w:val="24"/>
          <w:szCs w:val="24"/>
          <w:lang w:val="en-US" w:eastAsia="de-DE"/>
        </w:rPr>
        <w:t xml:space="preserve">may </w:t>
      </w:r>
      <w:r w:rsidR="00B9327E" w:rsidRPr="00683D62">
        <w:rPr>
          <w:rFonts w:ascii="Times New Roman" w:hAnsi="Times New Roman"/>
          <w:sz w:val="24"/>
          <w:szCs w:val="24"/>
          <w:lang w:val="en-US" w:eastAsia="de-DE"/>
        </w:rPr>
        <w:t xml:space="preserve">have </w:t>
      </w:r>
      <w:r w:rsidRPr="00683D62">
        <w:rPr>
          <w:rFonts w:ascii="Times New Roman" w:hAnsi="Times New Roman"/>
          <w:sz w:val="24"/>
          <w:szCs w:val="24"/>
          <w:lang w:val="en-US" w:eastAsia="de-DE"/>
        </w:rPr>
        <w:t>be</w:t>
      </w:r>
      <w:r w:rsidR="00B9327E" w:rsidRPr="00683D62">
        <w:rPr>
          <w:rFonts w:ascii="Times New Roman" w:hAnsi="Times New Roman"/>
          <w:sz w:val="24"/>
          <w:szCs w:val="24"/>
          <w:lang w:val="en-US" w:eastAsia="de-DE"/>
        </w:rPr>
        <w:t>en</w:t>
      </w:r>
      <w:r w:rsidRPr="00683D62">
        <w:rPr>
          <w:rFonts w:ascii="Times New Roman" w:hAnsi="Times New Roman"/>
          <w:sz w:val="24"/>
          <w:szCs w:val="24"/>
          <w:lang w:val="en-US" w:eastAsia="de-DE"/>
        </w:rPr>
        <w:t xml:space="preserve"> underestimated. </w:t>
      </w:r>
      <w:r w:rsidR="00B9327E"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family histor</w:t>
      </w:r>
      <w:r w:rsidR="00B9327E" w:rsidRPr="00683D62">
        <w:rPr>
          <w:rFonts w:ascii="Times New Roman" w:hAnsi="Times New Roman"/>
          <w:sz w:val="24"/>
          <w:szCs w:val="24"/>
          <w:lang w:val="en-US" w:eastAsia="de-DE"/>
        </w:rPr>
        <w:t>ies</w:t>
      </w:r>
      <w:r w:rsidRPr="00683D62">
        <w:rPr>
          <w:rFonts w:ascii="Times New Roman" w:hAnsi="Times New Roman"/>
          <w:sz w:val="24"/>
          <w:szCs w:val="24"/>
          <w:lang w:val="en-US" w:eastAsia="de-DE"/>
        </w:rPr>
        <w:t xml:space="preserve"> of celiac </w:t>
      </w:r>
      <w:r w:rsidR="002411E5" w:rsidRPr="00683D62">
        <w:rPr>
          <w:rFonts w:ascii="Times New Roman" w:hAnsi="Times New Roman"/>
          <w:sz w:val="24"/>
          <w:szCs w:val="24"/>
          <w:lang w:val="en-US" w:eastAsia="de-DE"/>
        </w:rPr>
        <w:t>disease and thyroid autoimmune disease</w:t>
      </w:r>
      <w:r w:rsidRPr="00683D62">
        <w:rPr>
          <w:rFonts w:ascii="Times New Roman" w:hAnsi="Times New Roman"/>
          <w:sz w:val="24"/>
          <w:szCs w:val="24"/>
          <w:lang w:val="en-US" w:eastAsia="de-DE"/>
        </w:rPr>
        <w:t xml:space="preserve"> </w:t>
      </w:r>
      <w:r w:rsidR="00B9327E" w:rsidRPr="00683D62">
        <w:rPr>
          <w:rFonts w:ascii="Times New Roman" w:hAnsi="Times New Roman"/>
          <w:sz w:val="24"/>
          <w:szCs w:val="24"/>
          <w:lang w:val="en-US" w:eastAsia="de-DE"/>
        </w:rPr>
        <w:t xml:space="preserve">were </w:t>
      </w:r>
      <w:r w:rsidRPr="00683D62">
        <w:rPr>
          <w:rFonts w:ascii="Times New Roman" w:hAnsi="Times New Roman"/>
          <w:sz w:val="24"/>
          <w:szCs w:val="24"/>
          <w:lang w:val="en-US" w:eastAsia="de-DE"/>
        </w:rPr>
        <w:t>also unavailable</w:t>
      </w:r>
      <w:r w:rsidR="00523A64"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so</w:t>
      </w:r>
      <w:r w:rsidRPr="00683D62">
        <w:rPr>
          <w:rFonts w:ascii="Times New Roman" w:hAnsi="Times New Roman"/>
          <w:sz w:val="24"/>
          <w:szCs w:val="24"/>
          <w:lang w:val="en-US" w:eastAsia="de-DE"/>
        </w:rPr>
        <w:t xml:space="preserve"> </w:t>
      </w:r>
      <w:r w:rsidR="00B9327E" w:rsidRPr="00683D62">
        <w:rPr>
          <w:rFonts w:ascii="Times New Roman" w:hAnsi="Times New Roman"/>
          <w:sz w:val="24"/>
          <w:szCs w:val="24"/>
          <w:lang w:val="en-US" w:eastAsia="de-DE"/>
        </w:rPr>
        <w:t xml:space="preserve">we could not </w:t>
      </w:r>
      <w:r w:rsidRPr="00683D62">
        <w:rPr>
          <w:rFonts w:ascii="Times New Roman" w:hAnsi="Times New Roman"/>
          <w:sz w:val="24"/>
          <w:szCs w:val="24"/>
          <w:lang w:val="en-US" w:eastAsia="de-DE"/>
        </w:rPr>
        <w:t xml:space="preserve">assess the true extent of </w:t>
      </w:r>
      <w:r w:rsidR="00B9327E"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familial clustering of autoimmunity associated with the three diseases. </w:t>
      </w:r>
      <w:r w:rsidR="002411E5" w:rsidRPr="00683D62">
        <w:rPr>
          <w:rFonts w:ascii="Times New Roman" w:hAnsi="Times New Roman"/>
          <w:sz w:val="24"/>
          <w:szCs w:val="24"/>
          <w:lang w:val="en-US" w:eastAsia="de-DE"/>
        </w:rPr>
        <w:t xml:space="preserve">Autoantibodies associated with other autoimmune diseases that are associated with type 1 diabetes were not measured and it is, therefore, likely that the risk of organ-specific autoimmunity in the relatives is underestimated. </w:t>
      </w:r>
      <w:r w:rsidR="006F0B77" w:rsidRPr="00683D62">
        <w:rPr>
          <w:rFonts w:ascii="Times New Roman" w:hAnsi="Times New Roman"/>
          <w:sz w:val="24"/>
          <w:szCs w:val="24"/>
          <w:lang w:val="en-US" w:eastAsia="de-DE"/>
        </w:rPr>
        <w:t>We did not analyze the clinical relevance of TGA and TPOA in the current study. Others have shown that these autoantibodies predict disease</w:t>
      </w:r>
      <w:r w:rsidR="00110981" w:rsidRPr="00683D62">
        <w:rPr>
          <w:rFonts w:ascii="Times New Roman" w:hAnsi="Times New Roman"/>
          <w:sz w:val="24"/>
          <w:szCs w:val="24"/>
          <w:lang w:val="en-US" w:eastAsia="de-DE"/>
        </w:rPr>
        <w:t xml:space="preserve"> (</w:t>
      </w:r>
      <w:r w:rsidR="006A7BC1" w:rsidRPr="00683D62">
        <w:rPr>
          <w:rFonts w:ascii="Times New Roman" w:hAnsi="Times New Roman"/>
          <w:sz w:val="24"/>
          <w:szCs w:val="24"/>
          <w:lang w:val="en-US" w:eastAsia="de-DE"/>
        </w:rPr>
        <w:t>29,30</w:t>
      </w:r>
      <w:r w:rsidR="00110981" w:rsidRPr="00683D62">
        <w:rPr>
          <w:rFonts w:ascii="Times New Roman" w:hAnsi="Times New Roman"/>
          <w:sz w:val="24"/>
          <w:szCs w:val="24"/>
          <w:lang w:val="en-US" w:eastAsia="de-DE"/>
        </w:rPr>
        <w:t>)</w:t>
      </w:r>
      <w:r w:rsidR="006F0B77" w:rsidRPr="00683D62">
        <w:rPr>
          <w:rFonts w:ascii="Times New Roman" w:hAnsi="Times New Roman"/>
          <w:sz w:val="24"/>
          <w:szCs w:val="24"/>
          <w:lang w:val="en-US" w:eastAsia="de-DE"/>
        </w:rPr>
        <w:t xml:space="preserve">. </w:t>
      </w:r>
      <w:r w:rsidR="00B9327E" w:rsidRPr="00683D62">
        <w:rPr>
          <w:rFonts w:ascii="Times New Roman" w:hAnsi="Times New Roman"/>
          <w:sz w:val="24"/>
          <w:szCs w:val="24"/>
          <w:lang w:val="en-US" w:eastAsia="de-DE"/>
        </w:rPr>
        <w:t xml:space="preserve">Over </w:t>
      </w:r>
      <w:r w:rsidRPr="00683D62">
        <w:rPr>
          <w:rFonts w:ascii="Times New Roman" w:hAnsi="Times New Roman"/>
          <w:sz w:val="24"/>
          <w:szCs w:val="24"/>
          <w:lang w:val="en-US" w:eastAsia="de-DE"/>
        </w:rPr>
        <w:t xml:space="preserve">one third of the study population was lost to follow-up before </w:t>
      </w:r>
      <w:r w:rsidR="00B9327E"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age </w:t>
      </w:r>
      <w:r w:rsidR="00B9327E"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 xml:space="preserve">20 years. </w:t>
      </w:r>
      <w:r w:rsidR="00B9327E" w:rsidRPr="00683D62">
        <w:rPr>
          <w:rFonts w:ascii="Times New Roman" w:hAnsi="Times New Roman"/>
          <w:sz w:val="24"/>
          <w:szCs w:val="24"/>
          <w:lang w:val="en-US" w:eastAsia="de-DE"/>
        </w:rPr>
        <w:t xml:space="preserve">However, these </w:t>
      </w:r>
      <w:r w:rsidR="00D77B81" w:rsidRPr="00683D62">
        <w:rPr>
          <w:rFonts w:ascii="Times New Roman" w:hAnsi="Times New Roman"/>
          <w:sz w:val="24"/>
          <w:szCs w:val="24"/>
          <w:lang w:val="en-US" w:eastAsia="de-DE"/>
        </w:rPr>
        <w:t>participants</w:t>
      </w:r>
      <w:r w:rsidRPr="00683D62">
        <w:rPr>
          <w:rFonts w:ascii="Times New Roman" w:hAnsi="Times New Roman"/>
          <w:sz w:val="24"/>
          <w:szCs w:val="24"/>
          <w:lang w:val="en-US" w:eastAsia="de-DE"/>
        </w:rPr>
        <w:t xml:space="preserve"> had similar characteristics to those who remained in the study. </w:t>
      </w:r>
      <w:r w:rsidR="001361CA" w:rsidRPr="00683D62">
        <w:rPr>
          <w:rFonts w:ascii="Times New Roman" w:hAnsi="Times New Roman"/>
          <w:sz w:val="24"/>
          <w:szCs w:val="24"/>
          <w:lang w:val="en-US" w:eastAsia="de-DE"/>
        </w:rPr>
        <w:t xml:space="preserve">The study was performed in in a population that is largely of European descent and the findings may not be generalizable to other ethnic groups. </w:t>
      </w:r>
      <w:r w:rsidR="00D77B81" w:rsidRPr="00683D62">
        <w:rPr>
          <w:rFonts w:ascii="Times New Roman" w:hAnsi="Times New Roman"/>
          <w:sz w:val="24"/>
          <w:szCs w:val="24"/>
          <w:lang w:val="en-US" w:eastAsia="de-DE"/>
        </w:rPr>
        <w:t xml:space="preserve">Finally, although a number of susceptibility genes were associated with </w:t>
      </w:r>
      <w:r w:rsidR="00B9327E" w:rsidRPr="00683D62">
        <w:rPr>
          <w:rFonts w:ascii="Times New Roman" w:hAnsi="Times New Roman"/>
          <w:sz w:val="24"/>
          <w:szCs w:val="24"/>
          <w:lang w:val="en-US" w:eastAsia="de-DE"/>
        </w:rPr>
        <w:t xml:space="preserve">the risks of </w:t>
      </w:r>
      <w:r w:rsidR="00D77B81" w:rsidRPr="00683D62">
        <w:rPr>
          <w:rFonts w:ascii="Times New Roman" w:hAnsi="Times New Roman"/>
          <w:sz w:val="24"/>
          <w:szCs w:val="24"/>
          <w:lang w:val="en-US" w:eastAsia="de-DE"/>
        </w:rPr>
        <w:t xml:space="preserve">IA, TGA, and TPOA, </w:t>
      </w:r>
      <w:r w:rsidR="004D5289">
        <w:rPr>
          <w:rFonts w:ascii="Times New Roman" w:hAnsi="Times New Roman"/>
          <w:sz w:val="24"/>
          <w:szCs w:val="24"/>
          <w:lang w:val="en-US" w:eastAsia="de-DE"/>
        </w:rPr>
        <w:t>we selected only 4 to include in the Cox proportional hazards model. These were selected either because they have been reported as the more strongly type 1 diabetes- associated genes (</w:t>
      </w:r>
      <w:r w:rsidR="004D5289" w:rsidRPr="0061765F">
        <w:rPr>
          <w:rFonts w:ascii="Times New Roman" w:hAnsi="Times New Roman"/>
          <w:i/>
          <w:sz w:val="24"/>
          <w:szCs w:val="24"/>
          <w:lang w:val="en-US" w:eastAsia="de-DE"/>
        </w:rPr>
        <w:t>INS</w:t>
      </w:r>
      <w:r w:rsidR="004D5289">
        <w:rPr>
          <w:rFonts w:ascii="Times New Roman" w:hAnsi="Times New Roman"/>
          <w:sz w:val="24"/>
          <w:szCs w:val="24"/>
          <w:lang w:val="en-US" w:eastAsia="de-DE"/>
        </w:rPr>
        <w:t xml:space="preserve">, </w:t>
      </w:r>
      <w:r w:rsidR="004D5289" w:rsidRPr="0061765F">
        <w:rPr>
          <w:rFonts w:ascii="Times New Roman" w:hAnsi="Times New Roman"/>
          <w:i/>
          <w:sz w:val="24"/>
          <w:szCs w:val="24"/>
          <w:lang w:val="en-US" w:eastAsia="de-DE"/>
        </w:rPr>
        <w:t>PTPN22</w:t>
      </w:r>
      <w:r w:rsidR="004D5289">
        <w:rPr>
          <w:rFonts w:ascii="Times New Roman" w:hAnsi="Times New Roman"/>
          <w:sz w:val="24"/>
          <w:szCs w:val="24"/>
          <w:lang w:val="en-US" w:eastAsia="de-DE"/>
        </w:rPr>
        <w:t>) or because they were reported to be associated with multiple autoimmune diseases (28).  Nevertheless, the multivariable analyses include a large number of variables and there should be caution in interpreting some of the non-significant findings, especially for variables with low category frequencies, which have wide confidence intervals</w:t>
      </w:r>
      <w:r w:rsidR="00D77B81" w:rsidRPr="00683D62">
        <w:rPr>
          <w:rFonts w:ascii="Times New Roman" w:hAnsi="Times New Roman"/>
          <w:sz w:val="24"/>
          <w:szCs w:val="24"/>
          <w:lang w:val="en-US" w:eastAsia="de-DE"/>
        </w:rPr>
        <w:t>.</w:t>
      </w:r>
    </w:p>
    <w:p w14:paraId="1E7CFDF9" w14:textId="0D20D00F" w:rsidR="00765D62" w:rsidRPr="00683D62" w:rsidRDefault="00765D62"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More than 20% of first-degree relatives of patients with type 1 diabetes and around 50% of </w:t>
      </w:r>
      <w:r w:rsidR="002411E5" w:rsidRPr="00683D62">
        <w:rPr>
          <w:rFonts w:ascii="Times New Roman" w:hAnsi="Times New Roman"/>
          <w:sz w:val="24"/>
          <w:szCs w:val="24"/>
          <w:lang w:val="en-US" w:eastAsia="de-DE"/>
        </w:rPr>
        <w:t>the</w:t>
      </w:r>
      <w:r w:rsidR="00523A64"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relatives with </w:t>
      </w:r>
      <w:r w:rsidR="00B9327E" w:rsidRPr="00683D62">
        <w:rPr>
          <w:rFonts w:ascii="Times New Roman" w:hAnsi="Times New Roman"/>
          <w:sz w:val="24"/>
          <w:szCs w:val="24"/>
          <w:lang w:val="en-US" w:eastAsia="de-DE"/>
        </w:rPr>
        <w:t>high-</w:t>
      </w:r>
      <w:r w:rsidRPr="00683D62">
        <w:rPr>
          <w:rFonts w:ascii="Times New Roman" w:hAnsi="Times New Roman"/>
          <w:sz w:val="24"/>
          <w:szCs w:val="24"/>
          <w:lang w:val="en-US" w:eastAsia="de-DE"/>
        </w:rPr>
        <w:t xml:space="preserve">risk HLA genotypes developed persistent autoantibodies associated with one of </w:t>
      </w:r>
      <w:r w:rsidR="00523A64"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three autoimmune diseases. Both </w:t>
      </w:r>
      <w:r w:rsidR="007E3638" w:rsidRPr="00683D62">
        <w:rPr>
          <w:rFonts w:ascii="Times New Roman" w:hAnsi="Times New Roman"/>
          <w:sz w:val="24"/>
          <w:szCs w:val="24"/>
          <w:lang w:val="en-US" w:eastAsia="de-DE"/>
        </w:rPr>
        <w:t>TGA</w:t>
      </w:r>
      <w:r w:rsidRPr="00683D62">
        <w:rPr>
          <w:rFonts w:ascii="Times New Roman" w:hAnsi="Times New Roman"/>
          <w:sz w:val="24"/>
          <w:szCs w:val="24"/>
          <w:lang w:val="en-US" w:eastAsia="de-DE"/>
        </w:rPr>
        <w:t xml:space="preserve"> and thyroid autoimmunity are more frequent i</w:t>
      </w:r>
      <w:r w:rsidR="00F33969" w:rsidRPr="00683D62">
        <w:rPr>
          <w:rFonts w:ascii="Times New Roman" w:hAnsi="Times New Roman"/>
          <w:sz w:val="24"/>
          <w:szCs w:val="24"/>
          <w:lang w:val="en-US" w:eastAsia="de-DE"/>
        </w:rPr>
        <w:t>n patients with type 1 diabetes</w:t>
      </w:r>
      <w:r w:rsidRPr="00683D62">
        <w:rPr>
          <w:rFonts w:ascii="Times New Roman" w:hAnsi="Times New Roman"/>
          <w:sz w:val="24"/>
          <w:szCs w:val="24"/>
          <w:lang w:val="en-US" w:eastAsia="de-DE"/>
        </w:rPr>
        <w:t>, an association that is attributed</w:t>
      </w:r>
      <w:r w:rsidR="00B9327E" w:rsidRPr="00683D62">
        <w:rPr>
          <w:rFonts w:ascii="Times New Roman" w:hAnsi="Times New Roman"/>
          <w:sz w:val="24"/>
          <w:szCs w:val="24"/>
          <w:lang w:val="en-US" w:eastAsia="de-DE"/>
        </w:rPr>
        <w:t>, in part,</w:t>
      </w:r>
      <w:r w:rsidRPr="00683D62">
        <w:rPr>
          <w:rFonts w:ascii="Times New Roman" w:hAnsi="Times New Roman"/>
          <w:sz w:val="24"/>
          <w:szCs w:val="24"/>
          <w:lang w:val="en-US" w:eastAsia="de-DE"/>
        </w:rPr>
        <w:t xml:space="preserve"> to the sharing of susceptible HLA alleles and other genetic susceptibility regions</w:t>
      </w:r>
      <w:r w:rsidR="00386A02" w:rsidRPr="00683D62">
        <w:rPr>
          <w:rFonts w:ascii="Times New Roman" w:hAnsi="Times New Roman"/>
          <w:sz w:val="24"/>
          <w:szCs w:val="24"/>
          <w:lang w:val="en-US" w:eastAsia="de-DE"/>
        </w:rPr>
        <w:t xml:space="preserve"> </w:t>
      </w:r>
      <w:r w:rsidR="00110981" w:rsidRPr="00683D62">
        <w:rPr>
          <w:rFonts w:ascii="Times New Roman" w:hAnsi="Times New Roman"/>
          <w:sz w:val="24"/>
          <w:szCs w:val="24"/>
          <w:lang w:val="en-US" w:eastAsia="de-DE"/>
        </w:rPr>
        <w:t>(1</w:t>
      </w:r>
      <w:r w:rsidR="00332185" w:rsidRPr="00683D62">
        <w:rPr>
          <w:rFonts w:ascii="Times New Roman" w:hAnsi="Times New Roman"/>
          <w:sz w:val="24"/>
          <w:szCs w:val="24"/>
          <w:lang w:val="en-US" w:eastAsia="de-DE"/>
        </w:rPr>
        <w:t>3-15</w:t>
      </w:r>
      <w:r w:rsidR="00110981" w:rsidRPr="00683D62">
        <w:rPr>
          <w:rFonts w:ascii="Times New Roman" w:hAnsi="Times New Roman"/>
          <w:sz w:val="24"/>
          <w:szCs w:val="24"/>
          <w:lang w:val="en-US" w:eastAsia="de-DE"/>
        </w:rPr>
        <w:t>)</w:t>
      </w:r>
      <w:r w:rsidR="00F33969"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7E3638" w:rsidRPr="00683D62">
        <w:rPr>
          <w:rFonts w:ascii="Times New Roman" w:hAnsi="Times New Roman"/>
          <w:sz w:val="24"/>
          <w:szCs w:val="24"/>
          <w:lang w:val="en-US" w:eastAsia="de-DE"/>
        </w:rPr>
        <w:t xml:space="preserve">The </w:t>
      </w:r>
      <w:r w:rsidR="007E3638" w:rsidRPr="00683D62">
        <w:rPr>
          <w:rFonts w:ascii="Times New Roman" w:hAnsi="Times New Roman"/>
          <w:sz w:val="24"/>
          <w:szCs w:val="24"/>
          <w:lang w:val="en-US" w:eastAsia="de-DE"/>
        </w:rPr>
        <w:lastRenderedPageBreak/>
        <w:t xml:space="preserve">frequencies of TGA and TPOA in relatives were </w:t>
      </w:r>
      <w:r w:rsidR="00F21104" w:rsidRPr="00683D62">
        <w:rPr>
          <w:rFonts w:ascii="Times New Roman" w:hAnsi="Times New Roman"/>
          <w:sz w:val="24"/>
          <w:szCs w:val="24"/>
          <w:lang w:val="en-US" w:eastAsia="de-DE"/>
        </w:rPr>
        <w:t>higher than previous studies that included predominantly parents of patients with type 1 diabetes (</w:t>
      </w:r>
      <w:r w:rsidR="00332185" w:rsidRPr="00683D62">
        <w:rPr>
          <w:rFonts w:ascii="Times New Roman" w:hAnsi="Times New Roman"/>
          <w:sz w:val="24"/>
          <w:szCs w:val="24"/>
          <w:lang w:val="en-US" w:eastAsia="de-DE"/>
        </w:rPr>
        <w:t>16,18</w:t>
      </w:r>
      <w:r w:rsidR="00F21104" w:rsidRPr="00683D62">
        <w:rPr>
          <w:rFonts w:ascii="Times New Roman" w:hAnsi="Times New Roman"/>
          <w:sz w:val="24"/>
          <w:szCs w:val="24"/>
          <w:lang w:val="en-US" w:eastAsia="de-DE"/>
        </w:rPr>
        <w:t xml:space="preserve">), and were </w:t>
      </w:r>
      <w:r w:rsidR="007E3638" w:rsidRPr="00683D62">
        <w:rPr>
          <w:rFonts w:ascii="Times New Roman" w:hAnsi="Times New Roman"/>
          <w:sz w:val="24"/>
          <w:szCs w:val="24"/>
          <w:lang w:val="en-US" w:eastAsia="de-DE"/>
        </w:rPr>
        <w:t>similar to those found in patients with type 1 diabetes</w:t>
      </w:r>
      <w:r w:rsidR="00386A02" w:rsidRPr="00683D62">
        <w:rPr>
          <w:rFonts w:ascii="Times New Roman" w:hAnsi="Times New Roman"/>
          <w:sz w:val="24"/>
          <w:szCs w:val="24"/>
          <w:lang w:val="en-US" w:eastAsia="de-DE"/>
        </w:rPr>
        <w:t xml:space="preserve"> (</w:t>
      </w:r>
      <w:r w:rsidR="00332185" w:rsidRPr="00683D62">
        <w:rPr>
          <w:rFonts w:ascii="Times New Roman" w:hAnsi="Times New Roman"/>
          <w:sz w:val="24"/>
          <w:szCs w:val="24"/>
          <w:lang w:val="en-US" w:eastAsia="de-DE"/>
        </w:rPr>
        <w:t>13-15</w:t>
      </w:r>
      <w:r w:rsidR="00386A02" w:rsidRPr="00683D62">
        <w:rPr>
          <w:rFonts w:ascii="Times New Roman" w:hAnsi="Times New Roman"/>
          <w:sz w:val="24"/>
          <w:szCs w:val="24"/>
          <w:lang w:val="en-US" w:eastAsia="de-DE"/>
        </w:rPr>
        <w:t>)</w:t>
      </w:r>
      <w:r w:rsidR="007E3638"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Sex modified the risk</w:t>
      </w:r>
      <w:r w:rsidR="00B9327E" w:rsidRPr="00683D62">
        <w:rPr>
          <w:rFonts w:ascii="Times New Roman" w:hAnsi="Times New Roman"/>
          <w:sz w:val="24"/>
          <w:szCs w:val="24"/>
          <w:lang w:val="en-US" w:eastAsia="de-DE"/>
        </w:rPr>
        <w:t>s</w:t>
      </w:r>
      <w:r w:rsidRPr="00683D62">
        <w:rPr>
          <w:rFonts w:ascii="Times New Roman" w:hAnsi="Times New Roman"/>
          <w:sz w:val="24"/>
          <w:szCs w:val="24"/>
          <w:lang w:val="en-US" w:eastAsia="de-DE"/>
        </w:rPr>
        <w:t xml:space="preserve"> </w:t>
      </w:r>
      <w:r w:rsidR="008372D1" w:rsidRPr="00683D62">
        <w:rPr>
          <w:rFonts w:ascii="Times New Roman" w:hAnsi="Times New Roman"/>
          <w:sz w:val="24"/>
          <w:szCs w:val="24"/>
          <w:lang w:val="en-US" w:eastAsia="de-DE"/>
        </w:rPr>
        <w:t>of TGA, and TPOA</w:t>
      </w:r>
      <w:r w:rsidR="00073A98" w:rsidRPr="00683D62">
        <w:rPr>
          <w:rFonts w:ascii="Times New Roman" w:hAnsi="Times New Roman"/>
          <w:sz w:val="24"/>
          <w:szCs w:val="24"/>
          <w:lang w:val="en-US" w:eastAsia="de-DE"/>
        </w:rPr>
        <w:t xml:space="preserve"> as previously reported (</w:t>
      </w:r>
      <w:r w:rsidR="00A20158" w:rsidRPr="00683D62">
        <w:rPr>
          <w:rFonts w:ascii="Times New Roman" w:hAnsi="Times New Roman"/>
          <w:sz w:val="24"/>
          <w:szCs w:val="24"/>
          <w:lang w:val="en-US" w:eastAsia="de-DE"/>
        </w:rPr>
        <w:t>31</w:t>
      </w:r>
      <w:r w:rsidR="006156DC" w:rsidRPr="00683D62">
        <w:rPr>
          <w:rFonts w:ascii="Times New Roman" w:hAnsi="Times New Roman"/>
          <w:sz w:val="24"/>
          <w:szCs w:val="24"/>
          <w:lang w:val="en-US" w:eastAsia="de-DE"/>
        </w:rPr>
        <w:t>-</w:t>
      </w:r>
      <w:r w:rsidR="00A20158" w:rsidRPr="00683D62">
        <w:rPr>
          <w:rFonts w:ascii="Times New Roman" w:hAnsi="Times New Roman"/>
          <w:sz w:val="24"/>
          <w:szCs w:val="24"/>
          <w:lang w:val="en-US" w:eastAsia="de-DE"/>
        </w:rPr>
        <w:t>33</w:t>
      </w:r>
      <w:r w:rsidR="00073A98" w:rsidRPr="00683D62">
        <w:rPr>
          <w:rFonts w:ascii="Times New Roman" w:hAnsi="Times New Roman"/>
          <w:sz w:val="24"/>
          <w:szCs w:val="24"/>
          <w:lang w:val="en-US" w:eastAsia="de-DE"/>
        </w:rPr>
        <w:t>). Furthermore, sex interacted with HLA in modifying the risk of IA, TGA, and TPOA</w:t>
      </w:r>
      <w:r w:rsidRPr="00683D62">
        <w:rPr>
          <w:rFonts w:ascii="Times New Roman" w:hAnsi="Times New Roman"/>
          <w:sz w:val="24"/>
          <w:szCs w:val="24"/>
          <w:lang w:val="en-US" w:eastAsia="de-DE"/>
        </w:rPr>
        <w:t xml:space="preserve">. </w:t>
      </w:r>
      <w:r w:rsidR="007869D2" w:rsidRPr="00683D62">
        <w:rPr>
          <w:rFonts w:ascii="Times New Roman" w:hAnsi="Times New Roman"/>
          <w:sz w:val="24"/>
          <w:szCs w:val="24"/>
          <w:lang w:val="en-US" w:eastAsia="de-DE"/>
        </w:rPr>
        <w:t xml:space="preserve">Interaction between sex and IA on the risk for TPOA </w:t>
      </w:r>
      <w:r w:rsidR="00073A98" w:rsidRPr="00683D62">
        <w:rPr>
          <w:rFonts w:ascii="Times New Roman" w:hAnsi="Times New Roman"/>
          <w:sz w:val="24"/>
          <w:szCs w:val="24"/>
          <w:lang w:val="en-US" w:eastAsia="de-DE"/>
        </w:rPr>
        <w:t>is also</w:t>
      </w:r>
      <w:r w:rsidR="007869D2" w:rsidRPr="00683D62">
        <w:rPr>
          <w:rFonts w:ascii="Times New Roman" w:hAnsi="Times New Roman"/>
          <w:sz w:val="24"/>
          <w:szCs w:val="24"/>
          <w:lang w:val="en-US" w:eastAsia="de-DE"/>
        </w:rPr>
        <w:t xml:space="preserve"> reported (</w:t>
      </w:r>
      <w:r w:rsidR="00A20158" w:rsidRPr="00683D62">
        <w:rPr>
          <w:rFonts w:ascii="Times New Roman" w:hAnsi="Times New Roman"/>
          <w:sz w:val="24"/>
          <w:szCs w:val="24"/>
          <w:lang w:val="en-US" w:eastAsia="de-DE"/>
        </w:rPr>
        <w:t>34</w:t>
      </w:r>
      <w:r w:rsidR="007869D2"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The mechanism of </w:t>
      </w:r>
      <w:r w:rsidR="007869D2" w:rsidRPr="00683D62">
        <w:rPr>
          <w:rFonts w:ascii="Times New Roman" w:hAnsi="Times New Roman"/>
          <w:sz w:val="24"/>
          <w:szCs w:val="24"/>
          <w:lang w:val="en-US" w:eastAsia="de-DE"/>
        </w:rPr>
        <w:t xml:space="preserve">these </w:t>
      </w:r>
      <w:r w:rsidRPr="00683D62">
        <w:rPr>
          <w:rFonts w:ascii="Times New Roman" w:hAnsi="Times New Roman"/>
          <w:sz w:val="24"/>
          <w:szCs w:val="24"/>
          <w:lang w:val="en-US" w:eastAsia="de-DE"/>
        </w:rPr>
        <w:t>interaction</w:t>
      </w:r>
      <w:r w:rsidR="007869D2" w:rsidRPr="00683D62">
        <w:rPr>
          <w:rFonts w:ascii="Times New Roman" w:hAnsi="Times New Roman"/>
          <w:sz w:val="24"/>
          <w:szCs w:val="24"/>
          <w:lang w:val="en-US" w:eastAsia="de-DE"/>
        </w:rPr>
        <w:t>s</w:t>
      </w:r>
      <w:r w:rsidRPr="00683D62">
        <w:rPr>
          <w:rFonts w:ascii="Times New Roman" w:hAnsi="Times New Roman"/>
          <w:sz w:val="24"/>
          <w:szCs w:val="24"/>
          <w:lang w:val="en-US" w:eastAsia="de-DE"/>
        </w:rPr>
        <w:t xml:space="preserve"> is unknown.</w:t>
      </w:r>
      <w:r w:rsidR="00D77B81" w:rsidRPr="00683D62">
        <w:rPr>
          <w:rFonts w:ascii="Times New Roman" w:hAnsi="Times New Roman"/>
          <w:sz w:val="24"/>
          <w:szCs w:val="24"/>
          <w:lang w:val="en-US" w:eastAsia="de-DE"/>
        </w:rPr>
        <w:t xml:space="preserve"> We also confirm</w:t>
      </w:r>
      <w:r w:rsidR="000B4241" w:rsidRPr="00683D62">
        <w:rPr>
          <w:rFonts w:ascii="Times New Roman" w:hAnsi="Times New Roman"/>
          <w:sz w:val="24"/>
          <w:szCs w:val="24"/>
          <w:lang w:val="en-US" w:eastAsia="de-DE"/>
        </w:rPr>
        <w:t>ed</w:t>
      </w:r>
      <w:r w:rsidR="00D77B81" w:rsidRPr="00683D62">
        <w:rPr>
          <w:rFonts w:ascii="Times New Roman" w:hAnsi="Times New Roman"/>
          <w:sz w:val="24"/>
          <w:szCs w:val="24"/>
          <w:lang w:val="en-US" w:eastAsia="de-DE"/>
        </w:rPr>
        <w:t xml:space="preserve"> the influence of the </w:t>
      </w:r>
      <w:r w:rsidR="00D77B81" w:rsidRPr="00683D62">
        <w:rPr>
          <w:rFonts w:ascii="Times New Roman" w:hAnsi="Times New Roman"/>
          <w:i/>
          <w:sz w:val="24"/>
          <w:szCs w:val="24"/>
          <w:lang w:val="en-US" w:eastAsia="de-DE"/>
        </w:rPr>
        <w:t>INS</w:t>
      </w:r>
      <w:r w:rsidR="00D77B81" w:rsidRPr="00683D62">
        <w:rPr>
          <w:rFonts w:ascii="Times New Roman" w:hAnsi="Times New Roman"/>
          <w:sz w:val="24"/>
          <w:szCs w:val="24"/>
          <w:lang w:val="en-US" w:eastAsia="de-DE"/>
        </w:rPr>
        <w:t xml:space="preserve"> gene on the risk of IA</w:t>
      </w:r>
      <w:r w:rsidR="007869D2" w:rsidRPr="00683D62">
        <w:rPr>
          <w:rFonts w:ascii="Times New Roman" w:hAnsi="Times New Roman"/>
          <w:sz w:val="24"/>
          <w:szCs w:val="24"/>
          <w:lang w:val="en-US" w:eastAsia="de-DE"/>
        </w:rPr>
        <w:t xml:space="preserve"> (</w:t>
      </w:r>
      <w:r w:rsidR="00A20158" w:rsidRPr="00683D62">
        <w:rPr>
          <w:rFonts w:ascii="Times New Roman" w:hAnsi="Times New Roman"/>
          <w:sz w:val="24"/>
          <w:szCs w:val="24"/>
          <w:lang w:val="en-US" w:eastAsia="de-DE"/>
        </w:rPr>
        <w:t>35</w:t>
      </w:r>
      <w:r w:rsidR="007869D2" w:rsidRPr="00683D62">
        <w:rPr>
          <w:rFonts w:ascii="Times New Roman" w:hAnsi="Times New Roman"/>
          <w:sz w:val="24"/>
          <w:szCs w:val="24"/>
          <w:lang w:val="en-US" w:eastAsia="de-DE"/>
        </w:rPr>
        <w:t>)</w:t>
      </w:r>
      <w:r w:rsidR="00D77B81" w:rsidRPr="00683D62">
        <w:rPr>
          <w:rFonts w:ascii="Times New Roman" w:hAnsi="Times New Roman"/>
          <w:sz w:val="24"/>
          <w:szCs w:val="24"/>
          <w:lang w:val="en-US" w:eastAsia="de-DE"/>
        </w:rPr>
        <w:t>, but not</w:t>
      </w:r>
      <w:r w:rsidR="000B4241"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 xml:space="preserve">on </w:t>
      </w:r>
      <w:r w:rsidR="000B4241" w:rsidRPr="00683D62">
        <w:rPr>
          <w:rFonts w:ascii="Times New Roman" w:hAnsi="Times New Roman"/>
          <w:sz w:val="24"/>
          <w:szCs w:val="24"/>
          <w:lang w:val="en-US" w:eastAsia="de-DE"/>
        </w:rPr>
        <w:t>the risk of</w:t>
      </w:r>
      <w:r w:rsidR="00D77B81" w:rsidRPr="00683D62">
        <w:rPr>
          <w:rFonts w:ascii="Times New Roman" w:hAnsi="Times New Roman"/>
          <w:sz w:val="24"/>
          <w:szCs w:val="24"/>
          <w:lang w:val="en-US" w:eastAsia="de-DE"/>
        </w:rPr>
        <w:t xml:space="preserve"> TGA or TPOA, and the influence of genes such as </w:t>
      </w:r>
      <w:r w:rsidR="00D77B81" w:rsidRPr="00683D62">
        <w:rPr>
          <w:rFonts w:ascii="Times New Roman" w:hAnsi="Times New Roman"/>
          <w:i/>
          <w:sz w:val="24"/>
          <w:szCs w:val="24"/>
          <w:lang w:val="en-US" w:eastAsia="de-DE"/>
        </w:rPr>
        <w:t>PTPN22</w:t>
      </w:r>
      <w:r w:rsidR="00D77B81" w:rsidRPr="00683D62">
        <w:rPr>
          <w:rFonts w:ascii="Times New Roman" w:hAnsi="Times New Roman"/>
          <w:sz w:val="24"/>
          <w:szCs w:val="24"/>
          <w:lang w:val="en-US" w:eastAsia="de-DE"/>
        </w:rPr>
        <w:t xml:space="preserve"> on more than one disease-associated autoantibody</w:t>
      </w:r>
      <w:r w:rsidR="00386A02" w:rsidRPr="00683D62">
        <w:rPr>
          <w:rFonts w:ascii="Times New Roman" w:hAnsi="Times New Roman"/>
          <w:sz w:val="24"/>
          <w:szCs w:val="24"/>
          <w:lang w:val="en-US" w:eastAsia="de-DE"/>
        </w:rPr>
        <w:t xml:space="preserve"> (</w:t>
      </w:r>
      <w:r w:rsidR="00A20158" w:rsidRPr="00683D62">
        <w:rPr>
          <w:rFonts w:ascii="Times New Roman" w:hAnsi="Times New Roman"/>
          <w:sz w:val="24"/>
          <w:szCs w:val="24"/>
          <w:lang w:val="en-US" w:eastAsia="de-DE"/>
        </w:rPr>
        <w:t>28</w:t>
      </w:r>
      <w:r w:rsidR="00386A02" w:rsidRPr="00683D62">
        <w:rPr>
          <w:rFonts w:ascii="Times New Roman" w:hAnsi="Times New Roman"/>
          <w:sz w:val="24"/>
          <w:szCs w:val="24"/>
          <w:lang w:val="en-US" w:eastAsia="de-DE"/>
        </w:rPr>
        <w:t>)</w:t>
      </w:r>
      <w:r w:rsidR="00D77B81" w:rsidRPr="00683D62">
        <w:rPr>
          <w:rFonts w:ascii="Times New Roman" w:hAnsi="Times New Roman"/>
          <w:sz w:val="24"/>
          <w:szCs w:val="24"/>
          <w:lang w:val="en-US" w:eastAsia="de-DE"/>
        </w:rPr>
        <w:t>.</w:t>
      </w:r>
    </w:p>
    <w:p w14:paraId="3C27F52D" w14:textId="7C133DEB" w:rsidR="00D77B81" w:rsidRPr="00683D62" w:rsidRDefault="00765D62"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A second important finding </w:t>
      </w:r>
      <w:r w:rsidR="00D77B81" w:rsidRPr="00683D62">
        <w:rPr>
          <w:rFonts w:ascii="Times New Roman" w:hAnsi="Times New Roman"/>
          <w:sz w:val="24"/>
          <w:szCs w:val="24"/>
          <w:lang w:val="en-US" w:eastAsia="de-DE"/>
        </w:rPr>
        <w:t>wa</w:t>
      </w:r>
      <w:r w:rsidRPr="00683D62">
        <w:rPr>
          <w:rFonts w:ascii="Times New Roman" w:hAnsi="Times New Roman"/>
          <w:sz w:val="24"/>
          <w:szCs w:val="24"/>
          <w:lang w:val="en-US" w:eastAsia="de-DE"/>
        </w:rPr>
        <w:t xml:space="preserve">s that </w:t>
      </w:r>
      <w:r w:rsidR="00A6370F" w:rsidRPr="00683D62">
        <w:rPr>
          <w:rFonts w:ascii="Times New Roman" w:hAnsi="Times New Roman"/>
          <w:sz w:val="24"/>
          <w:szCs w:val="24"/>
          <w:lang w:val="en-US" w:eastAsia="de-DE"/>
        </w:rPr>
        <w:t>r</w:t>
      </w:r>
      <w:r w:rsidRPr="00683D62">
        <w:rPr>
          <w:rFonts w:ascii="Times New Roman" w:hAnsi="Times New Roman"/>
          <w:sz w:val="24"/>
          <w:szCs w:val="24"/>
          <w:lang w:val="en-US" w:eastAsia="de-DE"/>
        </w:rPr>
        <w:t>elatively few of the participants developed antibodies associated with different diseases. Age was a highly relevant factor defining which of the disease autoantibodies would develop</w:t>
      </w:r>
      <w:r w:rsidR="00821634" w:rsidRPr="00683D62">
        <w:rPr>
          <w:rFonts w:ascii="Times New Roman" w:hAnsi="Times New Roman"/>
          <w:sz w:val="24"/>
          <w:szCs w:val="24"/>
          <w:lang w:val="en-US" w:eastAsia="de-DE"/>
        </w:rPr>
        <w:t xml:space="preserve"> as previously reported in patients with type 1 diabetes (</w:t>
      </w:r>
      <w:r w:rsidR="00827F67" w:rsidRPr="00683D62">
        <w:rPr>
          <w:rFonts w:ascii="Times New Roman" w:hAnsi="Times New Roman"/>
          <w:sz w:val="24"/>
          <w:szCs w:val="24"/>
          <w:lang w:val="en-US" w:eastAsia="de-DE"/>
        </w:rPr>
        <w:t>36,37</w:t>
      </w:r>
      <w:r w:rsidR="00821634" w:rsidRPr="00683D62">
        <w:rPr>
          <w:rFonts w:ascii="Times New Roman" w:hAnsi="Times New Roman"/>
          <w:sz w:val="24"/>
          <w:szCs w:val="24"/>
          <w:lang w:val="en-US" w:eastAsia="de-DE"/>
        </w:rPr>
        <w:t>)</w:t>
      </w:r>
      <w:r w:rsidRPr="00683D62">
        <w:rPr>
          <w:rFonts w:ascii="Times New Roman" w:hAnsi="Times New Roman"/>
          <w:sz w:val="24"/>
          <w:szCs w:val="24"/>
          <w:lang w:val="en-US" w:eastAsia="de-DE"/>
        </w:rPr>
        <w:t>. For example, a</w:t>
      </w:r>
      <w:r w:rsidR="00D77B81" w:rsidRPr="00683D62">
        <w:rPr>
          <w:rFonts w:ascii="Times New Roman" w:hAnsi="Times New Roman"/>
          <w:sz w:val="24"/>
          <w:szCs w:val="24"/>
          <w:lang w:val="en-US" w:eastAsia="de-DE"/>
        </w:rPr>
        <w:t>n HLA</w:t>
      </w:r>
      <w:r w:rsidRPr="00683D62">
        <w:rPr>
          <w:rFonts w:ascii="Times New Roman" w:hAnsi="Times New Roman"/>
          <w:sz w:val="24"/>
          <w:szCs w:val="24"/>
          <w:lang w:val="en-US" w:eastAsia="de-DE"/>
        </w:rPr>
        <w:t xml:space="preserve"> DR3/DR4-DQ8 </w:t>
      </w:r>
      <w:r w:rsidR="00345868" w:rsidRPr="00683D62">
        <w:rPr>
          <w:rFonts w:ascii="Times New Roman" w:hAnsi="Times New Roman"/>
          <w:sz w:val="24"/>
          <w:szCs w:val="24"/>
          <w:lang w:val="en-US" w:eastAsia="de-DE"/>
        </w:rPr>
        <w:t>1-year-</w:t>
      </w:r>
      <w:r w:rsidRPr="00683D62">
        <w:rPr>
          <w:rFonts w:ascii="Times New Roman" w:hAnsi="Times New Roman"/>
          <w:sz w:val="24"/>
          <w:szCs w:val="24"/>
          <w:lang w:val="en-US" w:eastAsia="de-DE"/>
        </w:rPr>
        <w:t xml:space="preserve">old child was at highest risk </w:t>
      </w:r>
      <w:r w:rsidR="00523A64" w:rsidRPr="00683D62">
        <w:rPr>
          <w:rFonts w:ascii="Times New Roman" w:hAnsi="Times New Roman"/>
          <w:sz w:val="24"/>
          <w:szCs w:val="24"/>
          <w:lang w:val="en-US" w:eastAsia="de-DE"/>
        </w:rPr>
        <w:t xml:space="preserve">of developing </w:t>
      </w:r>
      <w:r w:rsidR="00433056" w:rsidRPr="00683D62">
        <w:rPr>
          <w:rFonts w:ascii="Times New Roman" w:hAnsi="Times New Roman"/>
          <w:sz w:val="24"/>
          <w:szCs w:val="24"/>
          <w:lang w:val="en-US" w:eastAsia="de-DE"/>
        </w:rPr>
        <w:t>IA</w:t>
      </w:r>
      <w:r w:rsidRPr="00683D62">
        <w:rPr>
          <w:rFonts w:ascii="Times New Roman" w:hAnsi="Times New Roman"/>
          <w:sz w:val="24"/>
          <w:szCs w:val="24"/>
          <w:lang w:val="en-US" w:eastAsia="de-DE"/>
        </w:rPr>
        <w:t xml:space="preserve">, but an </w:t>
      </w:r>
      <w:r w:rsidR="00D77B81" w:rsidRPr="00683D62">
        <w:rPr>
          <w:rFonts w:ascii="Times New Roman" w:hAnsi="Times New Roman"/>
          <w:sz w:val="24"/>
          <w:szCs w:val="24"/>
          <w:lang w:val="en-US" w:eastAsia="de-DE"/>
        </w:rPr>
        <w:t>HLA</w:t>
      </w:r>
      <w:r w:rsidRPr="00683D62">
        <w:rPr>
          <w:rFonts w:ascii="Times New Roman" w:hAnsi="Times New Roman"/>
          <w:sz w:val="24"/>
          <w:szCs w:val="24"/>
          <w:lang w:val="en-US" w:eastAsia="de-DE"/>
        </w:rPr>
        <w:t xml:space="preserve"> DR3/DR4-DQ8 teenager was at highest risk </w:t>
      </w:r>
      <w:r w:rsidR="00345868"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develop</w:t>
      </w:r>
      <w:r w:rsidR="00345868" w:rsidRPr="00683D62">
        <w:rPr>
          <w:rFonts w:ascii="Times New Roman" w:hAnsi="Times New Roman"/>
          <w:sz w:val="24"/>
          <w:szCs w:val="24"/>
          <w:lang w:val="en-US" w:eastAsia="de-DE"/>
        </w:rPr>
        <w:t>ing</w:t>
      </w:r>
      <w:r w:rsidRPr="00683D62">
        <w:rPr>
          <w:rFonts w:ascii="Times New Roman" w:hAnsi="Times New Roman"/>
          <w:sz w:val="24"/>
          <w:szCs w:val="24"/>
          <w:lang w:val="en-US" w:eastAsia="de-DE"/>
        </w:rPr>
        <w:t xml:space="preserve"> TPO</w:t>
      </w:r>
      <w:r w:rsidR="00433056" w:rsidRPr="00683D62">
        <w:rPr>
          <w:rFonts w:ascii="Times New Roman" w:hAnsi="Times New Roman"/>
          <w:sz w:val="24"/>
          <w:szCs w:val="24"/>
          <w:lang w:val="en-US" w:eastAsia="de-DE"/>
        </w:rPr>
        <w:t>A</w:t>
      </w:r>
      <w:r w:rsidRPr="00683D62">
        <w:rPr>
          <w:rFonts w:ascii="Times New Roman" w:hAnsi="Times New Roman"/>
          <w:sz w:val="24"/>
          <w:szCs w:val="24"/>
          <w:lang w:val="en-US" w:eastAsia="de-DE"/>
        </w:rPr>
        <w:t xml:space="preserve">. Similarly, a preschool </w:t>
      </w:r>
      <w:r w:rsidR="00D77B81" w:rsidRPr="00683D62">
        <w:rPr>
          <w:rFonts w:ascii="Times New Roman" w:hAnsi="Times New Roman"/>
          <w:sz w:val="24"/>
          <w:szCs w:val="24"/>
          <w:lang w:val="en-US" w:eastAsia="de-DE"/>
        </w:rPr>
        <w:t xml:space="preserve">HLA </w:t>
      </w:r>
      <w:r w:rsidRPr="00683D62">
        <w:rPr>
          <w:rFonts w:ascii="Times New Roman" w:hAnsi="Times New Roman"/>
          <w:sz w:val="24"/>
          <w:szCs w:val="24"/>
          <w:lang w:val="en-US" w:eastAsia="de-DE"/>
        </w:rPr>
        <w:t xml:space="preserve">DR3/DR3 child </w:t>
      </w:r>
      <w:r w:rsidR="00D77B81" w:rsidRPr="00683D62">
        <w:rPr>
          <w:rFonts w:ascii="Times New Roman" w:hAnsi="Times New Roman"/>
          <w:sz w:val="24"/>
          <w:szCs w:val="24"/>
          <w:lang w:val="en-US" w:eastAsia="de-DE"/>
        </w:rPr>
        <w:t xml:space="preserve">was </w:t>
      </w:r>
      <w:r w:rsidRPr="00683D62">
        <w:rPr>
          <w:rFonts w:ascii="Times New Roman" w:hAnsi="Times New Roman"/>
          <w:sz w:val="24"/>
          <w:szCs w:val="24"/>
          <w:lang w:val="en-US" w:eastAsia="de-DE"/>
        </w:rPr>
        <w:t xml:space="preserve">more likely to develop </w:t>
      </w:r>
      <w:r w:rsidR="00433056" w:rsidRPr="00683D62">
        <w:rPr>
          <w:rFonts w:ascii="Times New Roman" w:hAnsi="Times New Roman"/>
          <w:sz w:val="24"/>
          <w:szCs w:val="24"/>
          <w:lang w:val="en-US" w:eastAsia="de-DE"/>
        </w:rPr>
        <w:t>TGA</w:t>
      </w:r>
      <w:r w:rsidRPr="00683D62">
        <w:rPr>
          <w:rFonts w:ascii="Times New Roman" w:hAnsi="Times New Roman"/>
          <w:sz w:val="24"/>
          <w:szCs w:val="24"/>
          <w:lang w:val="en-US" w:eastAsia="de-DE"/>
        </w:rPr>
        <w:t>, but a</w:t>
      </w:r>
      <w:r w:rsidR="004D1C20" w:rsidRPr="00683D62">
        <w:rPr>
          <w:rFonts w:ascii="Times New Roman" w:hAnsi="Times New Roman"/>
          <w:sz w:val="24"/>
          <w:szCs w:val="24"/>
          <w:lang w:val="en-US" w:eastAsia="de-DE"/>
        </w:rPr>
        <w:t>n HLA</w:t>
      </w:r>
      <w:r w:rsidRPr="00683D62">
        <w:rPr>
          <w:rFonts w:ascii="Times New Roman" w:hAnsi="Times New Roman"/>
          <w:sz w:val="24"/>
          <w:szCs w:val="24"/>
          <w:lang w:val="en-US" w:eastAsia="de-DE"/>
        </w:rPr>
        <w:t xml:space="preserve"> DR3/DR3 teenager </w:t>
      </w:r>
      <w:r w:rsidR="00D77B81" w:rsidRPr="00683D62">
        <w:rPr>
          <w:rFonts w:ascii="Times New Roman" w:hAnsi="Times New Roman"/>
          <w:sz w:val="24"/>
          <w:szCs w:val="24"/>
          <w:lang w:val="en-US" w:eastAsia="de-DE"/>
        </w:rPr>
        <w:t xml:space="preserve">was </w:t>
      </w:r>
      <w:r w:rsidRPr="00683D62">
        <w:rPr>
          <w:rFonts w:ascii="Times New Roman" w:hAnsi="Times New Roman"/>
          <w:sz w:val="24"/>
          <w:szCs w:val="24"/>
          <w:lang w:val="en-US" w:eastAsia="de-DE"/>
        </w:rPr>
        <w:t xml:space="preserve">at highest risk </w:t>
      </w:r>
      <w:r w:rsidR="00345868"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TPO</w:t>
      </w:r>
      <w:r w:rsidR="00433056" w:rsidRPr="00683D62">
        <w:rPr>
          <w:rFonts w:ascii="Times New Roman" w:hAnsi="Times New Roman"/>
          <w:sz w:val="24"/>
          <w:szCs w:val="24"/>
          <w:lang w:val="en-US" w:eastAsia="de-DE"/>
        </w:rPr>
        <w:t>A</w:t>
      </w:r>
      <w:r w:rsidRPr="00683D62">
        <w:rPr>
          <w:rFonts w:ascii="Times New Roman" w:hAnsi="Times New Roman"/>
          <w:sz w:val="24"/>
          <w:szCs w:val="24"/>
          <w:lang w:val="en-US" w:eastAsia="de-DE"/>
        </w:rPr>
        <w:t xml:space="preserve">. </w:t>
      </w:r>
      <w:r w:rsidR="00246D75" w:rsidRPr="00683D62">
        <w:rPr>
          <w:rFonts w:ascii="Times New Roman" w:hAnsi="Times New Roman"/>
          <w:sz w:val="24"/>
          <w:szCs w:val="24"/>
          <w:lang w:val="en-US" w:eastAsia="de-DE"/>
        </w:rPr>
        <w:t>Of interest, t</w:t>
      </w:r>
      <w:r w:rsidR="00BB4AA0" w:rsidRPr="00683D62">
        <w:rPr>
          <w:rFonts w:ascii="Times New Roman" w:hAnsi="Times New Roman"/>
          <w:sz w:val="24"/>
          <w:szCs w:val="24"/>
          <w:lang w:val="en-US" w:eastAsia="de-DE"/>
        </w:rPr>
        <w:t xml:space="preserve">he risk for TPOA in adolescence </w:t>
      </w:r>
      <w:r w:rsidR="00246D75" w:rsidRPr="00683D62">
        <w:rPr>
          <w:rFonts w:ascii="Times New Roman" w:hAnsi="Times New Roman"/>
          <w:sz w:val="24"/>
          <w:szCs w:val="24"/>
          <w:lang w:val="en-US" w:eastAsia="de-DE"/>
        </w:rPr>
        <w:t xml:space="preserve">was </w:t>
      </w:r>
      <w:r w:rsidR="002E3902" w:rsidRPr="00683D62">
        <w:rPr>
          <w:rFonts w:ascii="Times New Roman" w:hAnsi="Times New Roman"/>
          <w:sz w:val="24"/>
          <w:szCs w:val="24"/>
          <w:lang w:val="en-US" w:eastAsia="de-DE"/>
        </w:rPr>
        <w:t>increased if children had developed IA or TGA and remained increased in children with the high risk HLA genotypes suggesting some, but incomplete, overlap in genetic and environmental determinants of the autoantibodies. This is consistent with previous twin studies that show that heritability of thyroid autoimmunity is over 50% (31,32), and that heritability includes additive genetic factors and environmental factors that are different for TPOA as compared to IA (31).</w:t>
      </w:r>
    </w:p>
    <w:p w14:paraId="63F59045" w14:textId="21D7A92B" w:rsidR="00765D62" w:rsidRPr="00683D62" w:rsidRDefault="00D77B81"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The observed age-related differences</w:t>
      </w:r>
      <w:r w:rsidR="00765D62" w:rsidRPr="00683D62">
        <w:rPr>
          <w:rFonts w:ascii="Times New Roman" w:hAnsi="Times New Roman"/>
          <w:sz w:val="24"/>
          <w:szCs w:val="24"/>
          <w:lang w:val="en-US" w:eastAsia="de-DE"/>
        </w:rPr>
        <w:t xml:space="preserve"> </w:t>
      </w:r>
      <w:r w:rsidRPr="00683D62">
        <w:rPr>
          <w:rFonts w:ascii="Times New Roman" w:hAnsi="Times New Roman"/>
          <w:sz w:val="24"/>
          <w:szCs w:val="24"/>
          <w:lang w:val="en-US" w:eastAsia="de-DE"/>
        </w:rPr>
        <w:t xml:space="preserve">have potential </w:t>
      </w:r>
      <w:r w:rsidR="00765D62" w:rsidRPr="00683D62">
        <w:rPr>
          <w:rFonts w:ascii="Times New Roman" w:hAnsi="Times New Roman"/>
          <w:sz w:val="24"/>
          <w:szCs w:val="24"/>
          <w:lang w:val="en-US" w:eastAsia="de-DE"/>
        </w:rPr>
        <w:t xml:space="preserve">relevance to the causes </w:t>
      </w:r>
      <w:r w:rsidR="00345868"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organ</w:t>
      </w:r>
      <w:r w:rsidR="00765D62" w:rsidRPr="00683D62">
        <w:rPr>
          <w:rFonts w:ascii="Times New Roman" w:hAnsi="Times New Roman"/>
          <w:sz w:val="24"/>
          <w:szCs w:val="24"/>
          <w:lang w:val="en-US" w:eastAsia="de-DE"/>
        </w:rPr>
        <w:t>-specific autoimmunity. Thyroid activity changes during adolescence</w:t>
      </w:r>
      <w:r w:rsidR="00386A02" w:rsidRPr="00683D62">
        <w:rPr>
          <w:rFonts w:ascii="Times New Roman" w:hAnsi="Times New Roman"/>
          <w:sz w:val="24"/>
          <w:szCs w:val="24"/>
          <w:lang w:val="en-US" w:eastAsia="de-DE"/>
        </w:rPr>
        <w:t xml:space="preserve"> (</w:t>
      </w:r>
      <w:r w:rsidR="00827F67" w:rsidRPr="00683D62">
        <w:rPr>
          <w:rFonts w:ascii="Times New Roman" w:hAnsi="Times New Roman"/>
          <w:sz w:val="24"/>
          <w:szCs w:val="24"/>
          <w:lang w:val="en-US" w:eastAsia="de-DE"/>
        </w:rPr>
        <w:t>38</w:t>
      </w:r>
      <w:r w:rsidR="00386A02" w:rsidRPr="00683D62">
        <w:rPr>
          <w:rFonts w:ascii="Times New Roman" w:hAnsi="Times New Roman"/>
          <w:sz w:val="24"/>
          <w:szCs w:val="24"/>
          <w:lang w:val="en-US" w:eastAsia="de-DE"/>
        </w:rPr>
        <w:t>)</w:t>
      </w:r>
      <w:r w:rsidR="00DC5E2F" w:rsidRPr="00683D62">
        <w:rPr>
          <w:rFonts w:ascii="Times New Roman" w:hAnsi="Times New Roman"/>
          <w:sz w:val="24"/>
          <w:szCs w:val="24"/>
          <w:lang w:val="en-US" w:eastAsia="de-DE"/>
        </w:rPr>
        <w:t>,</w:t>
      </w:r>
      <w:r w:rsidR="00765D62" w:rsidRPr="00683D62">
        <w:rPr>
          <w:rFonts w:ascii="Times New Roman" w:hAnsi="Times New Roman"/>
          <w:sz w:val="24"/>
          <w:szCs w:val="24"/>
          <w:lang w:val="en-US" w:eastAsia="de-DE"/>
        </w:rPr>
        <w:t xml:space="preserve"> whereas the islet beta cell</w:t>
      </w:r>
      <w:r w:rsidR="00345868" w:rsidRPr="00683D62">
        <w:rPr>
          <w:rFonts w:ascii="Times New Roman" w:hAnsi="Times New Roman"/>
          <w:sz w:val="24"/>
          <w:szCs w:val="24"/>
          <w:lang w:val="en-US" w:eastAsia="de-DE"/>
        </w:rPr>
        <w:t>s</w:t>
      </w:r>
      <w:r w:rsidR="00765D62" w:rsidRPr="00683D62">
        <w:rPr>
          <w:rFonts w:ascii="Times New Roman" w:hAnsi="Times New Roman"/>
          <w:sz w:val="24"/>
          <w:szCs w:val="24"/>
          <w:lang w:val="en-US" w:eastAsia="de-DE"/>
        </w:rPr>
        <w:t xml:space="preserve"> undergo </w:t>
      </w:r>
      <w:r w:rsidR="00DA6A7B">
        <w:rPr>
          <w:rFonts w:ascii="Times New Roman" w:hAnsi="Times New Roman"/>
          <w:sz w:val="24"/>
          <w:szCs w:val="24"/>
          <w:lang w:val="en-US" w:eastAsia="de-DE"/>
        </w:rPr>
        <w:t xml:space="preserve">many </w:t>
      </w:r>
      <w:r w:rsidR="00765D62" w:rsidRPr="00683D62">
        <w:rPr>
          <w:rFonts w:ascii="Times New Roman" w:hAnsi="Times New Roman"/>
          <w:sz w:val="24"/>
          <w:szCs w:val="24"/>
          <w:lang w:val="en-US" w:eastAsia="de-DE"/>
        </w:rPr>
        <w:t>changes in infancy</w:t>
      </w:r>
      <w:r w:rsidR="00AC59B7" w:rsidRPr="00683D62">
        <w:rPr>
          <w:rFonts w:ascii="Times New Roman" w:hAnsi="Times New Roman"/>
          <w:sz w:val="24"/>
          <w:szCs w:val="24"/>
          <w:lang w:val="en-US" w:eastAsia="de-DE"/>
        </w:rPr>
        <w:t>, for example</w:t>
      </w:r>
      <w:r w:rsidR="00765D62" w:rsidRPr="00683D62">
        <w:rPr>
          <w:rFonts w:ascii="Times New Roman" w:hAnsi="Times New Roman"/>
          <w:sz w:val="24"/>
          <w:szCs w:val="24"/>
          <w:lang w:val="en-US" w:eastAsia="de-DE"/>
        </w:rPr>
        <w:t xml:space="preserve"> </w:t>
      </w:r>
      <w:r w:rsidR="00523A64" w:rsidRPr="00683D62">
        <w:rPr>
          <w:rFonts w:ascii="Times New Roman" w:hAnsi="Times New Roman"/>
          <w:sz w:val="24"/>
          <w:szCs w:val="24"/>
          <w:lang w:val="en-US" w:eastAsia="de-DE"/>
        </w:rPr>
        <w:t>in response to</w:t>
      </w:r>
      <w:r w:rsidR="00765D62" w:rsidRPr="00683D62">
        <w:rPr>
          <w:rFonts w:ascii="Times New Roman" w:hAnsi="Times New Roman"/>
          <w:sz w:val="24"/>
          <w:szCs w:val="24"/>
          <w:lang w:val="en-US" w:eastAsia="de-DE"/>
        </w:rPr>
        <w:t xml:space="preserve"> new </w:t>
      </w:r>
      <w:r w:rsidR="002B3FE9" w:rsidRPr="00683D62">
        <w:rPr>
          <w:rFonts w:ascii="Times New Roman" w:hAnsi="Times New Roman"/>
          <w:sz w:val="24"/>
          <w:szCs w:val="24"/>
          <w:lang w:val="en-US" w:eastAsia="de-DE"/>
        </w:rPr>
        <w:t xml:space="preserve">nutrient </w:t>
      </w:r>
      <w:r w:rsidR="00765D62" w:rsidRPr="00683D62">
        <w:rPr>
          <w:rFonts w:ascii="Times New Roman" w:hAnsi="Times New Roman"/>
          <w:sz w:val="24"/>
          <w:szCs w:val="24"/>
          <w:lang w:val="en-US" w:eastAsia="de-DE"/>
        </w:rPr>
        <w:t>sources of energy</w:t>
      </w:r>
      <w:r w:rsidR="00386A02" w:rsidRPr="00683D62">
        <w:rPr>
          <w:rFonts w:ascii="Times New Roman" w:hAnsi="Times New Roman"/>
          <w:sz w:val="24"/>
          <w:szCs w:val="24"/>
          <w:lang w:val="en-US" w:eastAsia="de-DE"/>
        </w:rPr>
        <w:t xml:space="preserve"> (</w:t>
      </w:r>
      <w:r w:rsidR="00827F67" w:rsidRPr="00683D62">
        <w:rPr>
          <w:rFonts w:ascii="Times New Roman" w:hAnsi="Times New Roman"/>
          <w:sz w:val="24"/>
          <w:szCs w:val="24"/>
          <w:lang w:val="en-US" w:eastAsia="de-DE"/>
        </w:rPr>
        <w:t>39</w:t>
      </w:r>
      <w:r w:rsidR="00386A02" w:rsidRPr="00683D62">
        <w:rPr>
          <w:rFonts w:ascii="Times New Roman" w:hAnsi="Times New Roman"/>
          <w:sz w:val="24"/>
          <w:szCs w:val="24"/>
          <w:lang w:val="en-US" w:eastAsia="de-DE"/>
        </w:rPr>
        <w:t>)</w:t>
      </w:r>
      <w:r w:rsidR="002D0F0E" w:rsidRPr="00683D62">
        <w:rPr>
          <w:rFonts w:ascii="Times New Roman" w:hAnsi="Times New Roman"/>
          <w:sz w:val="24"/>
          <w:szCs w:val="24"/>
          <w:lang w:val="en-US" w:eastAsia="de-DE"/>
        </w:rPr>
        <w:t>.</w:t>
      </w:r>
      <w:r w:rsidR="00765D62" w:rsidRPr="00683D62">
        <w:rPr>
          <w:rFonts w:ascii="Times New Roman" w:hAnsi="Times New Roman"/>
          <w:sz w:val="24"/>
          <w:szCs w:val="24"/>
          <w:lang w:val="en-US" w:eastAsia="de-DE"/>
        </w:rPr>
        <w:t xml:space="preserve"> </w:t>
      </w:r>
      <w:r w:rsidR="00345868" w:rsidRPr="00683D62">
        <w:rPr>
          <w:rFonts w:ascii="Times New Roman" w:hAnsi="Times New Roman"/>
          <w:sz w:val="24"/>
          <w:szCs w:val="24"/>
          <w:lang w:val="en-US" w:eastAsia="de-DE"/>
        </w:rPr>
        <w:t>Therefore, w</w:t>
      </w:r>
      <w:r w:rsidR="00765D62" w:rsidRPr="00683D62">
        <w:rPr>
          <w:rFonts w:ascii="Times New Roman" w:hAnsi="Times New Roman"/>
          <w:sz w:val="24"/>
          <w:szCs w:val="24"/>
          <w:lang w:val="en-US" w:eastAsia="de-DE"/>
        </w:rPr>
        <w:t xml:space="preserve">e predict that the targeted organ is directly involved in generating an </w:t>
      </w:r>
      <w:r w:rsidR="00765D62" w:rsidRPr="00683D62">
        <w:rPr>
          <w:rFonts w:ascii="Times New Roman" w:hAnsi="Times New Roman"/>
          <w:sz w:val="24"/>
          <w:szCs w:val="24"/>
          <w:lang w:val="en-US" w:eastAsia="de-DE"/>
        </w:rPr>
        <w:lastRenderedPageBreak/>
        <w:t xml:space="preserve">autoimmune response and suggest that examining the changes </w:t>
      </w:r>
      <w:r w:rsidR="00AB6CE2" w:rsidRPr="00683D62">
        <w:rPr>
          <w:rFonts w:ascii="Times New Roman" w:hAnsi="Times New Roman"/>
          <w:sz w:val="24"/>
          <w:szCs w:val="24"/>
          <w:lang w:val="en-US" w:eastAsia="de-DE"/>
        </w:rPr>
        <w:t xml:space="preserve">and the environmental exposures </w:t>
      </w:r>
      <w:r w:rsidR="00765D62" w:rsidRPr="00683D62">
        <w:rPr>
          <w:rFonts w:ascii="Times New Roman" w:hAnsi="Times New Roman"/>
          <w:sz w:val="24"/>
          <w:szCs w:val="24"/>
          <w:lang w:val="en-US" w:eastAsia="de-DE"/>
        </w:rPr>
        <w:t>that occur at these</w:t>
      </w:r>
      <w:r w:rsidR="00345868" w:rsidRPr="00683D62">
        <w:rPr>
          <w:rFonts w:ascii="Times New Roman" w:hAnsi="Times New Roman"/>
          <w:sz w:val="24"/>
          <w:szCs w:val="24"/>
          <w:lang w:val="en-US" w:eastAsia="de-DE"/>
        </w:rPr>
        <w:t xml:space="preserve"> ages of</w:t>
      </w:r>
      <w:r w:rsidR="00765D62" w:rsidRPr="00683D62">
        <w:rPr>
          <w:rFonts w:ascii="Times New Roman" w:hAnsi="Times New Roman"/>
          <w:sz w:val="24"/>
          <w:szCs w:val="24"/>
          <w:lang w:val="en-US" w:eastAsia="de-DE"/>
        </w:rPr>
        <w:t xml:space="preserve"> peak incidence will help</w:t>
      </w:r>
      <w:r w:rsidR="00345868" w:rsidRPr="00683D62">
        <w:rPr>
          <w:rFonts w:ascii="Times New Roman" w:hAnsi="Times New Roman"/>
          <w:sz w:val="24"/>
          <w:szCs w:val="24"/>
          <w:lang w:val="en-US" w:eastAsia="de-DE"/>
        </w:rPr>
        <w:t xml:space="preserve"> us</w:t>
      </w:r>
      <w:r w:rsidR="00765D62" w:rsidRPr="00683D62">
        <w:rPr>
          <w:rFonts w:ascii="Times New Roman" w:hAnsi="Times New Roman"/>
          <w:sz w:val="24"/>
          <w:szCs w:val="24"/>
          <w:lang w:val="en-US" w:eastAsia="de-DE"/>
        </w:rPr>
        <w:t xml:space="preserve"> understand the causes of autoimmune diseases. </w:t>
      </w:r>
    </w:p>
    <w:p w14:paraId="5EAC877F" w14:textId="5233DDA6" w:rsidR="00765D62" w:rsidRPr="00683D62" w:rsidRDefault="00765D62" w:rsidP="00765D62">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Our findings have practical value. A high risk </w:t>
      </w:r>
      <w:r w:rsidR="00345868" w:rsidRPr="00683D62">
        <w:rPr>
          <w:rFonts w:ascii="Times New Roman" w:hAnsi="Times New Roman"/>
          <w:sz w:val="24"/>
          <w:szCs w:val="24"/>
          <w:lang w:val="en-US" w:eastAsia="de-DE"/>
        </w:rPr>
        <w:t xml:space="preserve">of </w:t>
      </w:r>
      <w:r w:rsidR="004D1C20" w:rsidRPr="00683D62">
        <w:rPr>
          <w:rFonts w:ascii="Times New Roman" w:hAnsi="Times New Roman"/>
          <w:sz w:val="24"/>
          <w:szCs w:val="24"/>
          <w:lang w:val="en-US" w:eastAsia="de-DE"/>
        </w:rPr>
        <w:t>autoantibodies associated with</w:t>
      </w:r>
      <w:r w:rsidRPr="00683D62">
        <w:rPr>
          <w:rFonts w:ascii="Times New Roman" w:hAnsi="Times New Roman"/>
          <w:sz w:val="24"/>
          <w:szCs w:val="24"/>
          <w:lang w:val="en-US" w:eastAsia="de-DE"/>
        </w:rPr>
        <w:t xml:space="preserve"> the</w:t>
      </w:r>
      <w:r w:rsidR="00345868" w:rsidRPr="00683D62">
        <w:rPr>
          <w:rFonts w:ascii="Times New Roman" w:hAnsi="Times New Roman"/>
          <w:sz w:val="24"/>
          <w:szCs w:val="24"/>
          <w:lang w:val="en-US" w:eastAsia="de-DE"/>
        </w:rPr>
        <w:t>se</w:t>
      </w:r>
      <w:r w:rsidR="004D1C20" w:rsidRPr="00683D62">
        <w:rPr>
          <w:rFonts w:ascii="Times New Roman" w:hAnsi="Times New Roman"/>
          <w:sz w:val="24"/>
          <w:szCs w:val="24"/>
          <w:lang w:val="en-US" w:eastAsia="de-DE"/>
        </w:rPr>
        <w:t xml:space="preserve"> three autoimmune diseases wa</w:t>
      </w:r>
      <w:r w:rsidRPr="00683D62">
        <w:rPr>
          <w:rFonts w:ascii="Times New Roman" w:hAnsi="Times New Roman"/>
          <w:sz w:val="24"/>
          <w:szCs w:val="24"/>
          <w:lang w:val="en-US" w:eastAsia="de-DE"/>
        </w:rPr>
        <w:t xml:space="preserve">s mainly restricted to </w:t>
      </w:r>
      <w:r w:rsidR="00C402AB" w:rsidRPr="00683D62">
        <w:rPr>
          <w:rFonts w:ascii="Times New Roman" w:hAnsi="Times New Roman"/>
          <w:sz w:val="24"/>
          <w:szCs w:val="24"/>
          <w:lang w:val="en-US" w:eastAsia="de-DE"/>
        </w:rPr>
        <w:t>first-degree</w:t>
      </w:r>
      <w:r w:rsidRPr="00683D62">
        <w:rPr>
          <w:rFonts w:ascii="Times New Roman" w:hAnsi="Times New Roman"/>
          <w:sz w:val="24"/>
          <w:szCs w:val="24"/>
          <w:lang w:val="en-US" w:eastAsia="de-DE"/>
        </w:rPr>
        <w:t xml:space="preserve"> relatives with either a DR3 or DR4-DQ8 </w:t>
      </w:r>
      <w:r w:rsidR="00F7024B" w:rsidRPr="00683D62">
        <w:rPr>
          <w:rFonts w:ascii="Times New Roman" w:hAnsi="Times New Roman"/>
          <w:sz w:val="24"/>
          <w:szCs w:val="24"/>
          <w:lang w:val="en-US" w:eastAsia="de-DE"/>
        </w:rPr>
        <w:t>haplotype</w:t>
      </w:r>
      <w:r w:rsidRPr="00683D62">
        <w:rPr>
          <w:rFonts w:ascii="Times New Roman" w:hAnsi="Times New Roman"/>
          <w:sz w:val="24"/>
          <w:szCs w:val="24"/>
          <w:lang w:val="en-US" w:eastAsia="de-DE"/>
        </w:rPr>
        <w:t xml:space="preserve">. Therefore, families in which one member is affected by type 1 diabetes who are concerned about </w:t>
      </w:r>
      <w:r w:rsidR="00523A64"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disease risk </w:t>
      </w:r>
      <w:r w:rsidR="00345868" w:rsidRPr="00683D62">
        <w:rPr>
          <w:rFonts w:ascii="Times New Roman" w:hAnsi="Times New Roman"/>
          <w:sz w:val="24"/>
          <w:szCs w:val="24"/>
          <w:lang w:val="en-US" w:eastAsia="de-DE"/>
        </w:rPr>
        <w:t xml:space="preserve">can </w:t>
      </w:r>
      <w:r w:rsidRPr="00683D62">
        <w:rPr>
          <w:rFonts w:ascii="Times New Roman" w:hAnsi="Times New Roman"/>
          <w:sz w:val="24"/>
          <w:szCs w:val="24"/>
          <w:lang w:val="en-US" w:eastAsia="de-DE"/>
        </w:rPr>
        <w:t xml:space="preserve">be advised to </w:t>
      </w:r>
      <w:r w:rsidR="00D77B81" w:rsidRPr="00683D62">
        <w:rPr>
          <w:rFonts w:ascii="Times New Roman" w:hAnsi="Times New Roman"/>
          <w:sz w:val="24"/>
          <w:szCs w:val="24"/>
          <w:lang w:val="en-US" w:eastAsia="de-DE"/>
        </w:rPr>
        <w:t>test</w:t>
      </w:r>
      <w:r w:rsidRPr="00683D62">
        <w:rPr>
          <w:rFonts w:ascii="Times New Roman" w:hAnsi="Times New Roman"/>
          <w:sz w:val="24"/>
          <w:szCs w:val="24"/>
          <w:lang w:val="en-US" w:eastAsia="de-DE"/>
        </w:rPr>
        <w:t xml:space="preserve"> for the </w:t>
      </w:r>
      <w:r w:rsidR="00D77B81" w:rsidRPr="00683D62">
        <w:rPr>
          <w:rFonts w:ascii="Times New Roman" w:hAnsi="Times New Roman"/>
          <w:sz w:val="24"/>
          <w:szCs w:val="24"/>
          <w:lang w:val="en-US" w:eastAsia="de-DE"/>
        </w:rPr>
        <w:t xml:space="preserve">HLA </w:t>
      </w:r>
      <w:r w:rsidRPr="00683D62">
        <w:rPr>
          <w:rFonts w:ascii="Times New Roman" w:hAnsi="Times New Roman"/>
          <w:sz w:val="24"/>
          <w:szCs w:val="24"/>
          <w:lang w:val="en-US" w:eastAsia="de-DE"/>
        </w:rPr>
        <w:t xml:space="preserve">DR3, DR4, and DQ8 alleles, which can be done by typing three </w:t>
      </w:r>
      <w:r w:rsidR="00D77B81" w:rsidRPr="00683D62">
        <w:rPr>
          <w:rFonts w:ascii="Times New Roman" w:hAnsi="Times New Roman"/>
          <w:sz w:val="24"/>
          <w:szCs w:val="24"/>
          <w:lang w:val="en-US" w:eastAsia="de-DE"/>
        </w:rPr>
        <w:t>SNPs</w:t>
      </w:r>
      <w:r w:rsidR="00386A02" w:rsidRPr="00683D62">
        <w:rPr>
          <w:rFonts w:ascii="Times New Roman" w:hAnsi="Times New Roman"/>
          <w:sz w:val="24"/>
          <w:szCs w:val="24"/>
          <w:lang w:val="en-US" w:eastAsia="de-DE"/>
        </w:rPr>
        <w:t xml:space="preserve"> (</w:t>
      </w:r>
      <w:r w:rsidR="00827F67" w:rsidRPr="00683D62">
        <w:rPr>
          <w:rFonts w:ascii="Times New Roman" w:hAnsi="Times New Roman"/>
          <w:sz w:val="24"/>
          <w:szCs w:val="24"/>
          <w:lang w:val="en-US" w:eastAsia="de-DE"/>
        </w:rPr>
        <w:t>40</w:t>
      </w:r>
      <w:r w:rsidR="00386A02" w:rsidRPr="00683D62">
        <w:rPr>
          <w:rFonts w:ascii="Times New Roman" w:hAnsi="Times New Roman"/>
          <w:sz w:val="24"/>
          <w:szCs w:val="24"/>
          <w:lang w:val="en-US" w:eastAsia="de-DE"/>
        </w:rPr>
        <w:t>)</w:t>
      </w:r>
      <w:r w:rsidR="002D0F0E"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w:t>
      </w:r>
      <w:r w:rsidR="00C16EA7" w:rsidRPr="00683D62">
        <w:rPr>
          <w:rFonts w:ascii="Times New Roman" w:hAnsi="Times New Roman"/>
          <w:sz w:val="24"/>
          <w:szCs w:val="24"/>
          <w:lang w:val="en-US" w:eastAsia="de-DE"/>
        </w:rPr>
        <w:t>Family members</w:t>
      </w:r>
      <w:r w:rsidRPr="00683D62">
        <w:rPr>
          <w:rFonts w:ascii="Times New Roman" w:hAnsi="Times New Roman"/>
          <w:sz w:val="24"/>
          <w:szCs w:val="24"/>
          <w:lang w:val="en-US" w:eastAsia="de-DE"/>
        </w:rPr>
        <w:t xml:space="preserve"> with </w:t>
      </w:r>
      <w:r w:rsidR="00D77B81" w:rsidRPr="00683D62">
        <w:rPr>
          <w:rFonts w:ascii="Times New Roman" w:hAnsi="Times New Roman"/>
          <w:sz w:val="24"/>
          <w:szCs w:val="24"/>
          <w:lang w:val="en-US" w:eastAsia="de-DE"/>
        </w:rPr>
        <w:t xml:space="preserve">HLA </w:t>
      </w:r>
      <w:r w:rsidRPr="00683D62">
        <w:rPr>
          <w:rFonts w:ascii="Times New Roman" w:hAnsi="Times New Roman"/>
          <w:sz w:val="24"/>
          <w:szCs w:val="24"/>
          <w:lang w:val="en-US" w:eastAsia="de-DE"/>
        </w:rPr>
        <w:t xml:space="preserve">DR3 or DR4-DQ8 have </w:t>
      </w:r>
      <w:r w:rsidR="00345868" w:rsidRPr="00683D62">
        <w:rPr>
          <w:rFonts w:ascii="Times New Roman" w:hAnsi="Times New Roman"/>
          <w:sz w:val="24"/>
          <w:szCs w:val="24"/>
          <w:lang w:val="en-US" w:eastAsia="de-DE"/>
        </w:rPr>
        <w:t>a ~</w:t>
      </w:r>
      <w:r w:rsidRPr="00683D62">
        <w:rPr>
          <w:rFonts w:ascii="Times New Roman" w:hAnsi="Times New Roman"/>
          <w:sz w:val="24"/>
          <w:szCs w:val="24"/>
          <w:lang w:val="en-US" w:eastAsia="de-DE"/>
        </w:rPr>
        <w:t xml:space="preserve">25% risk </w:t>
      </w:r>
      <w:r w:rsidR="00345868" w:rsidRPr="00683D62">
        <w:rPr>
          <w:rFonts w:ascii="Times New Roman" w:hAnsi="Times New Roman"/>
          <w:sz w:val="24"/>
          <w:szCs w:val="24"/>
          <w:lang w:val="en-US" w:eastAsia="de-DE"/>
        </w:rPr>
        <w:t xml:space="preserve">of </w:t>
      </w:r>
      <w:r w:rsidRPr="00683D62">
        <w:rPr>
          <w:rFonts w:ascii="Times New Roman" w:hAnsi="Times New Roman"/>
          <w:sz w:val="24"/>
          <w:szCs w:val="24"/>
          <w:lang w:val="en-US" w:eastAsia="de-DE"/>
        </w:rPr>
        <w:t>autoimmunity associated with any of the</w:t>
      </w:r>
      <w:r w:rsidR="00345868" w:rsidRPr="00683D62">
        <w:rPr>
          <w:rFonts w:ascii="Times New Roman" w:hAnsi="Times New Roman"/>
          <w:sz w:val="24"/>
          <w:szCs w:val="24"/>
          <w:lang w:val="en-US" w:eastAsia="de-DE"/>
        </w:rPr>
        <w:t>se</w:t>
      </w:r>
      <w:r w:rsidRPr="00683D62">
        <w:rPr>
          <w:rFonts w:ascii="Times New Roman" w:hAnsi="Times New Roman"/>
          <w:sz w:val="24"/>
          <w:szCs w:val="24"/>
          <w:lang w:val="en-US" w:eastAsia="de-DE"/>
        </w:rPr>
        <w:t xml:space="preserve"> three diseases. Based on the</w:t>
      </w:r>
      <w:r w:rsidR="00345868" w:rsidRPr="00683D62">
        <w:rPr>
          <w:rFonts w:ascii="Times New Roman" w:hAnsi="Times New Roman"/>
          <w:sz w:val="24"/>
          <w:szCs w:val="24"/>
          <w:lang w:val="en-US" w:eastAsia="de-DE"/>
        </w:rPr>
        <w:t xml:space="preserve"> ages of</w:t>
      </w:r>
      <w:r w:rsidRPr="00683D62">
        <w:rPr>
          <w:rFonts w:ascii="Times New Roman" w:hAnsi="Times New Roman"/>
          <w:sz w:val="24"/>
          <w:szCs w:val="24"/>
          <w:lang w:val="en-US" w:eastAsia="de-DE"/>
        </w:rPr>
        <w:t xml:space="preserve"> peak incidence, </w:t>
      </w:r>
      <w:r w:rsidR="00523A64" w:rsidRPr="00683D62">
        <w:rPr>
          <w:rFonts w:ascii="Times New Roman" w:hAnsi="Times New Roman"/>
          <w:sz w:val="24"/>
          <w:szCs w:val="24"/>
          <w:lang w:val="en-US" w:eastAsia="de-DE"/>
        </w:rPr>
        <w:t xml:space="preserve">we advise that </w:t>
      </w:r>
      <w:r w:rsidRPr="00683D62">
        <w:rPr>
          <w:rFonts w:ascii="Times New Roman" w:hAnsi="Times New Roman"/>
          <w:sz w:val="24"/>
          <w:szCs w:val="24"/>
          <w:lang w:val="en-US" w:eastAsia="de-DE"/>
        </w:rPr>
        <w:t xml:space="preserve">testing for </w:t>
      </w:r>
      <w:r w:rsidR="00476D07" w:rsidRPr="00683D62">
        <w:rPr>
          <w:rFonts w:ascii="Times New Roman" w:hAnsi="Times New Roman"/>
          <w:sz w:val="24"/>
          <w:szCs w:val="24"/>
          <w:lang w:val="en-US" w:eastAsia="de-DE"/>
        </w:rPr>
        <w:t>IA</w:t>
      </w:r>
      <w:r w:rsidRPr="00683D62">
        <w:rPr>
          <w:rFonts w:ascii="Times New Roman" w:hAnsi="Times New Roman"/>
          <w:sz w:val="24"/>
          <w:szCs w:val="24"/>
          <w:lang w:val="en-US" w:eastAsia="de-DE"/>
        </w:rPr>
        <w:t xml:space="preserve"> and </w:t>
      </w:r>
      <w:r w:rsidR="00476D07" w:rsidRPr="00683D62">
        <w:rPr>
          <w:rFonts w:ascii="Times New Roman" w:hAnsi="Times New Roman"/>
          <w:sz w:val="24"/>
          <w:szCs w:val="24"/>
          <w:lang w:val="en-US" w:eastAsia="de-DE"/>
        </w:rPr>
        <w:t>TGA</w:t>
      </w:r>
      <w:r w:rsidRPr="00683D62">
        <w:rPr>
          <w:rFonts w:ascii="Times New Roman" w:hAnsi="Times New Roman"/>
          <w:sz w:val="24"/>
          <w:szCs w:val="24"/>
          <w:lang w:val="en-US" w:eastAsia="de-DE"/>
        </w:rPr>
        <w:t xml:space="preserve"> </w:t>
      </w:r>
      <w:r w:rsidR="00C16EA7" w:rsidRPr="00683D62">
        <w:rPr>
          <w:rFonts w:ascii="Times New Roman" w:hAnsi="Times New Roman"/>
          <w:sz w:val="24"/>
          <w:szCs w:val="24"/>
          <w:lang w:val="en-US" w:eastAsia="de-DE"/>
        </w:rPr>
        <w:t xml:space="preserve">could </w:t>
      </w:r>
      <w:r w:rsidR="00523A64" w:rsidRPr="00683D62">
        <w:rPr>
          <w:rFonts w:ascii="Times New Roman" w:hAnsi="Times New Roman"/>
          <w:sz w:val="24"/>
          <w:szCs w:val="24"/>
          <w:lang w:val="en-US" w:eastAsia="de-DE"/>
        </w:rPr>
        <w:t xml:space="preserve">be </w:t>
      </w:r>
      <w:r w:rsidR="00C16EA7" w:rsidRPr="00683D62">
        <w:rPr>
          <w:rFonts w:ascii="Times New Roman" w:hAnsi="Times New Roman"/>
          <w:sz w:val="24"/>
          <w:szCs w:val="24"/>
          <w:lang w:val="en-US" w:eastAsia="de-DE"/>
        </w:rPr>
        <w:t xml:space="preserve">systematically </w:t>
      </w:r>
      <w:r w:rsidR="009E60E5" w:rsidRPr="00683D62">
        <w:rPr>
          <w:rFonts w:ascii="Times New Roman" w:hAnsi="Times New Roman"/>
          <w:sz w:val="24"/>
          <w:szCs w:val="24"/>
          <w:lang w:val="en-US" w:eastAsia="de-DE"/>
        </w:rPr>
        <w:t xml:space="preserve">undertaken </w:t>
      </w:r>
      <w:r w:rsidR="009E60E5">
        <w:rPr>
          <w:rFonts w:ascii="Times New Roman" w:hAnsi="Times New Roman"/>
          <w:sz w:val="24"/>
          <w:szCs w:val="24"/>
          <w:lang w:val="en-US" w:eastAsia="de-DE"/>
        </w:rPr>
        <w:t>at 2 to 5 years and 8 to 10 years to capture early and later autoantibody development,</w:t>
      </w:r>
      <w:r w:rsidR="009E60E5" w:rsidRPr="00683D62">
        <w:rPr>
          <w:rFonts w:ascii="Times New Roman" w:hAnsi="Times New Roman"/>
          <w:sz w:val="24"/>
          <w:szCs w:val="24"/>
          <w:lang w:val="en-US" w:eastAsia="de-DE"/>
        </w:rPr>
        <w:t xml:space="preserve"> and </w:t>
      </w:r>
      <w:r w:rsidR="009E60E5">
        <w:rPr>
          <w:rFonts w:ascii="Times New Roman" w:hAnsi="Times New Roman"/>
          <w:sz w:val="24"/>
          <w:szCs w:val="24"/>
          <w:lang w:val="en-US" w:eastAsia="de-DE"/>
        </w:rPr>
        <w:t xml:space="preserve">at 13 to 15 years and again in adulthood </w:t>
      </w:r>
      <w:r w:rsidR="009E60E5" w:rsidRPr="00683D62">
        <w:rPr>
          <w:rFonts w:ascii="Times New Roman" w:hAnsi="Times New Roman"/>
          <w:sz w:val="24"/>
          <w:szCs w:val="24"/>
          <w:lang w:val="en-US" w:eastAsia="de-DE"/>
        </w:rPr>
        <w:t>for TPOA</w:t>
      </w:r>
      <w:r w:rsidRPr="00683D62">
        <w:rPr>
          <w:rFonts w:ascii="Times New Roman" w:hAnsi="Times New Roman"/>
          <w:sz w:val="24"/>
          <w:szCs w:val="24"/>
          <w:lang w:val="en-US" w:eastAsia="de-DE"/>
        </w:rPr>
        <w:t>.</w:t>
      </w:r>
      <w:r w:rsidR="005060A0" w:rsidRPr="00683D62">
        <w:rPr>
          <w:rFonts w:ascii="Times New Roman" w:hAnsi="Times New Roman"/>
          <w:sz w:val="24"/>
          <w:szCs w:val="24"/>
          <w:lang w:val="en-US" w:eastAsia="de-DE"/>
        </w:rPr>
        <w:t xml:space="preserve"> Members found positive have opportunities to participate in clinical trials (7) or further testing for clinical disease stage (</w:t>
      </w:r>
      <w:r w:rsidR="00E54C4F" w:rsidRPr="00683D62">
        <w:rPr>
          <w:rFonts w:ascii="Times New Roman" w:hAnsi="Times New Roman"/>
          <w:sz w:val="24"/>
          <w:szCs w:val="24"/>
          <w:lang w:val="en-US" w:eastAsia="de-DE"/>
        </w:rPr>
        <w:t>29,30).</w:t>
      </w:r>
    </w:p>
    <w:p w14:paraId="1BD70A93" w14:textId="361C9BDC" w:rsidR="00C13C6E" w:rsidRPr="00683D62" w:rsidRDefault="00765D62" w:rsidP="00B661B1">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In conclusion, we </w:t>
      </w:r>
      <w:r w:rsidR="00523A64" w:rsidRPr="00683D62">
        <w:rPr>
          <w:rFonts w:ascii="Times New Roman" w:hAnsi="Times New Roman"/>
          <w:sz w:val="24"/>
          <w:szCs w:val="24"/>
          <w:lang w:val="en-US" w:eastAsia="de-DE"/>
        </w:rPr>
        <w:t xml:space="preserve">have </w:t>
      </w:r>
      <w:r w:rsidRPr="00683D62">
        <w:rPr>
          <w:rFonts w:ascii="Times New Roman" w:hAnsi="Times New Roman"/>
          <w:sz w:val="24"/>
          <w:szCs w:val="24"/>
          <w:lang w:val="en-US" w:eastAsia="de-DE"/>
        </w:rPr>
        <w:t>show</w:t>
      </w:r>
      <w:r w:rsidR="00523A64" w:rsidRPr="00683D62">
        <w:rPr>
          <w:rFonts w:ascii="Times New Roman" w:hAnsi="Times New Roman"/>
          <w:sz w:val="24"/>
          <w:szCs w:val="24"/>
          <w:lang w:val="en-US" w:eastAsia="de-DE"/>
        </w:rPr>
        <w:t>n</w:t>
      </w:r>
      <w:r w:rsidRPr="00683D62">
        <w:rPr>
          <w:rFonts w:ascii="Times New Roman" w:hAnsi="Times New Roman"/>
          <w:sz w:val="24"/>
          <w:szCs w:val="24"/>
          <w:lang w:val="en-US" w:eastAsia="de-DE"/>
        </w:rPr>
        <w:t xml:space="preserve"> </w:t>
      </w:r>
      <w:r w:rsidR="00D77B81" w:rsidRPr="00683D62">
        <w:rPr>
          <w:rFonts w:ascii="Times New Roman" w:hAnsi="Times New Roman"/>
          <w:sz w:val="24"/>
          <w:szCs w:val="24"/>
          <w:lang w:val="en-US" w:eastAsia="de-DE"/>
        </w:rPr>
        <w:t xml:space="preserve">that </w:t>
      </w:r>
      <w:r w:rsidRPr="00683D62">
        <w:rPr>
          <w:rFonts w:ascii="Times New Roman" w:hAnsi="Times New Roman"/>
          <w:sz w:val="24"/>
          <w:szCs w:val="24"/>
          <w:lang w:val="en-US" w:eastAsia="de-DE"/>
        </w:rPr>
        <w:t xml:space="preserve">autoimmunity to one of three organs has a high rate of </w:t>
      </w:r>
      <w:r w:rsidR="00106178" w:rsidRPr="00683D62">
        <w:rPr>
          <w:rFonts w:ascii="Times New Roman" w:hAnsi="Times New Roman"/>
          <w:sz w:val="24"/>
          <w:szCs w:val="24"/>
          <w:lang w:val="en-US" w:eastAsia="de-DE"/>
        </w:rPr>
        <w:t xml:space="preserve">occurrence </w:t>
      </w:r>
      <w:r w:rsidRPr="00683D62">
        <w:rPr>
          <w:rFonts w:ascii="Times New Roman" w:hAnsi="Times New Roman"/>
          <w:sz w:val="24"/>
          <w:szCs w:val="24"/>
          <w:lang w:val="en-US" w:eastAsia="de-DE"/>
        </w:rPr>
        <w:t xml:space="preserve">in </w:t>
      </w:r>
      <w:r w:rsidR="00106178"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first-degree relatives of patients with type 1 diabetes</w:t>
      </w:r>
      <w:r w:rsidR="00523A64" w:rsidRPr="00683D62">
        <w:rPr>
          <w:rFonts w:ascii="Times New Roman" w:hAnsi="Times New Roman"/>
          <w:sz w:val="24"/>
          <w:szCs w:val="24"/>
          <w:lang w:val="en-US" w:eastAsia="de-DE"/>
        </w:rPr>
        <w:t>,</w:t>
      </w:r>
      <w:r w:rsidRPr="00683D62">
        <w:rPr>
          <w:rFonts w:ascii="Times New Roman" w:hAnsi="Times New Roman"/>
          <w:sz w:val="24"/>
          <w:szCs w:val="24"/>
          <w:lang w:val="en-US" w:eastAsia="de-DE"/>
        </w:rPr>
        <w:t xml:space="preserve"> and </w:t>
      </w:r>
      <w:r w:rsidR="00957BC7" w:rsidRPr="00683D62">
        <w:rPr>
          <w:rFonts w:ascii="Times New Roman" w:hAnsi="Times New Roman"/>
          <w:sz w:val="24"/>
          <w:szCs w:val="24"/>
          <w:lang w:val="en-US" w:eastAsia="de-DE"/>
        </w:rPr>
        <w:t xml:space="preserve">we </w:t>
      </w:r>
      <w:r w:rsidRPr="00683D62">
        <w:rPr>
          <w:rFonts w:ascii="Times New Roman" w:hAnsi="Times New Roman"/>
          <w:sz w:val="24"/>
          <w:szCs w:val="24"/>
          <w:lang w:val="en-US" w:eastAsia="de-DE"/>
        </w:rPr>
        <w:t xml:space="preserve">suggest that </w:t>
      </w:r>
      <w:r w:rsidR="00106178" w:rsidRPr="00683D62">
        <w:rPr>
          <w:rFonts w:ascii="Times New Roman" w:hAnsi="Times New Roman"/>
          <w:sz w:val="24"/>
          <w:szCs w:val="24"/>
          <w:lang w:val="en-US" w:eastAsia="de-DE"/>
        </w:rPr>
        <w:t xml:space="preserve">the </w:t>
      </w:r>
      <w:r w:rsidRPr="00683D62">
        <w:rPr>
          <w:rFonts w:ascii="Times New Roman" w:hAnsi="Times New Roman"/>
          <w:sz w:val="24"/>
          <w:szCs w:val="24"/>
          <w:lang w:val="en-US" w:eastAsia="de-DE"/>
        </w:rPr>
        <w:t xml:space="preserve">regular measurement of </w:t>
      </w:r>
      <w:r w:rsidR="002B3FE9" w:rsidRPr="00683D62">
        <w:rPr>
          <w:rFonts w:ascii="Times New Roman" w:hAnsi="Times New Roman"/>
          <w:sz w:val="24"/>
          <w:szCs w:val="24"/>
          <w:lang w:val="en-US" w:eastAsia="de-DE"/>
        </w:rPr>
        <w:t xml:space="preserve">a range of </w:t>
      </w:r>
      <w:r w:rsidRPr="00683D62">
        <w:rPr>
          <w:rFonts w:ascii="Times New Roman" w:hAnsi="Times New Roman"/>
          <w:sz w:val="24"/>
          <w:szCs w:val="24"/>
          <w:lang w:val="en-US" w:eastAsia="de-DE"/>
        </w:rPr>
        <w:t xml:space="preserve">autoantibodies in relatives with susceptible HLA haplotypes </w:t>
      </w:r>
      <w:r w:rsidR="00957BC7" w:rsidRPr="00683D62">
        <w:rPr>
          <w:rFonts w:ascii="Times New Roman" w:hAnsi="Times New Roman"/>
          <w:sz w:val="24"/>
          <w:szCs w:val="24"/>
          <w:lang w:val="en-US" w:eastAsia="de-DE"/>
        </w:rPr>
        <w:t>is</w:t>
      </w:r>
      <w:r w:rsidRPr="00683D62">
        <w:rPr>
          <w:rFonts w:ascii="Times New Roman" w:hAnsi="Times New Roman"/>
          <w:sz w:val="24"/>
          <w:szCs w:val="24"/>
          <w:lang w:val="en-US" w:eastAsia="de-DE"/>
        </w:rPr>
        <w:t xml:space="preserve"> warranted.</w:t>
      </w:r>
    </w:p>
    <w:p w14:paraId="5C1139B0" w14:textId="7408DE58" w:rsidR="00B42569" w:rsidRPr="00683D62" w:rsidRDefault="00C13C6E" w:rsidP="00736FDB">
      <w:pPr>
        <w:spacing w:after="0" w:line="480" w:lineRule="auto"/>
        <w:rPr>
          <w:rFonts w:ascii="Times New Roman" w:hAnsi="Times New Roman"/>
          <w:sz w:val="24"/>
          <w:szCs w:val="24"/>
          <w:lang w:val="en-US" w:eastAsia="de-DE"/>
        </w:rPr>
      </w:pPr>
      <w:r w:rsidRPr="00683D62">
        <w:rPr>
          <w:rFonts w:ascii="Times New Roman" w:hAnsi="Times New Roman"/>
          <w:sz w:val="24"/>
          <w:szCs w:val="24"/>
          <w:lang w:val="en-US" w:eastAsia="de-DE"/>
        </w:rPr>
        <w:br w:type="page"/>
      </w:r>
      <w:r w:rsidR="00B42569" w:rsidRPr="00683D62">
        <w:rPr>
          <w:rFonts w:ascii="Times New Roman" w:hAnsi="Times New Roman"/>
          <w:sz w:val="24"/>
          <w:szCs w:val="24"/>
          <w:lang w:val="en-US" w:eastAsia="de-DE"/>
        </w:rPr>
        <w:lastRenderedPageBreak/>
        <w:t>Acknowledgments</w:t>
      </w:r>
    </w:p>
    <w:p w14:paraId="1BDEF96B" w14:textId="77777777" w:rsidR="00B42569" w:rsidRPr="00683D62" w:rsidRDefault="00B42569" w:rsidP="00B42569">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This work was funded by the German Federal Ministry of Education and Research (BMBF) to the German Center for Diabetes Research (DZD e.V.).</w:t>
      </w:r>
    </w:p>
    <w:p w14:paraId="5413479A" w14:textId="77777777" w:rsidR="00B42569" w:rsidRPr="00683D62" w:rsidRDefault="00B42569" w:rsidP="00B42569">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We thank Sandra Hummel for overseeing the BABYDIET intervention. We thank all the study nurses and technicians for their assistance in the studies over the past 30 years of the study. We also thank all the study participants and the pediatricians and family doctors in Germany for participating in the BABYDIAB and BABYDIET studies.</w:t>
      </w:r>
    </w:p>
    <w:p w14:paraId="1A90AB8E" w14:textId="040494FE" w:rsidR="002D0C77" w:rsidRPr="00683D62" w:rsidRDefault="00061DF1" w:rsidP="00C13C6E">
      <w:pPr>
        <w:autoSpaceDE w:val="0"/>
        <w:autoSpaceDN w:val="0"/>
        <w:adjustRightInd w:val="0"/>
        <w:spacing w:after="0" w:line="480" w:lineRule="auto"/>
        <w:jc w:val="both"/>
        <w:outlineLvl w:val="0"/>
        <w:rPr>
          <w:rFonts w:ascii="Times New Roman" w:hAnsi="Times New Roman"/>
          <w:sz w:val="24"/>
          <w:szCs w:val="24"/>
          <w:lang w:val="en-US" w:eastAsia="de-DE"/>
        </w:rPr>
      </w:pPr>
      <w:r w:rsidRPr="00683D62">
        <w:rPr>
          <w:rFonts w:ascii="Times New Roman" w:hAnsi="Times New Roman"/>
          <w:sz w:val="24"/>
          <w:szCs w:val="24"/>
          <w:lang w:val="en-US" w:eastAsia="de-DE"/>
        </w:rPr>
        <w:t>Declaration of interests</w:t>
      </w:r>
      <w:r w:rsidR="002D0C77" w:rsidRPr="00683D62">
        <w:rPr>
          <w:rFonts w:ascii="Times New Roman" w:hAnsi="Times New Roman"/>
          <w:sz w:val="24"/>
          <w:szCs w:val="24"/>
          <w:lang w:val="en-US" w:eastAsia="de-DE"/>
        </w:rPr>
        <w:t xml:space="preserve">: All </w:t>
      </w:r>
      <w:r w:rsidR="00106178" w:rsidRPr="00683D62">
        <w:rPr>
          <w:rFonts w:ascii="Times New Roman" w:hAnsi="Times New Roman"/>
          <w:sz w:val="24"/>
          <w:szCs w:val="24"/>
          <w:lang w:val="en-US" w:eastAsia="de-DE"/>
        </w:rPr>
        <w:t xml:space="preserve">the </w:t>
      </w:r>
      <w:r w:rsidR="002D0C77" w:rsidRPr="00683D62">
        <w:rPr>
          <w:rFonts w:ascii="Times New Roman" w:hAnsi="Times New Roman"/>
          <w:sz w:val="24"/>
          <w:szCs w:val="24"/>
          <w:lang w:val="en-US" w:eastAsia="de-DE"/>
        </w:rPr>
        <w:t xml:space="preserve">authors have completed and submitted the ICMJE </w:t>
      </w:r>
      <w:r w:rsidR="00106178" w:rsidRPr="00683D62">
        <w:rPr>
          <w:rFonts w:ascii="Times New Roman" w:hAnsi="Times New Roman"/>
          <w:sz w:val="24"/>
          <w:szCs w:val="24"/>
          <w:lang w:val="en-US" w:eastAsia="de-DE"/>
        </w:rPr>
        <w:t xml:space="preserve">form </w:t>
      </w:r>
      <w:r w:rsidR="002D0C77" w:rsidRPr="00683D62">
        <w:rPr>
          <w:rFonts w:ascii="Times New Roman" w:hAnsi="Times New Roman"/>
          <w:sz w:val="24"/>
          <w:szCs w:val="24"/>
          <w:lang w:val="en-US" w:eastAsia="de-DE"/>
        </w:rPr>
        <w:t xml:space="preserve">for </w:t>
      </w:r>
      <w:r w:rsidR="00523A64" w:rsidRPr="00683D62">
        <w:rPr>
          <w:rFonts w:ascii="Times New Roman" w:hAnsi="Times New Roman"/>
          <w:sz w:val="24"/>
          <w:szCs w:val="24"/>
          <w:lang w:val="en-US" w:eastAsia="de-DE"/>
        </w:rPr>
        <w:t xml:space="preserve">the </w:t>
      </w:r>
      <w:r w:rsidR="00106178" w:rsidRPr="00683D62">
        <w:rPr>
          <w:rFonts w:ascii="Times New Roman" w:hAnsi="Times New Roman"/>
          <w:sz w:val="24"/>
          <w:szCs w:val="24"/>
          <w:lang w:val="en-US" w:eastAsia="de-DE"/>
        </w:rPr>
        <w:t xml:space="preserve">disclosure </w:t>
      </w:r>
      <w:r w:rsidR="002D0C77" w:rsidRPr="00683D62">
        <w:rPr>
          <w:rFonts w:ascii="Times New Roman" w:hAnsi="Times New Roman"/>
          <w:sz w:val="24"/>
          <w:szCs w:val="24"/>
          <w:lang w:val="en-US" w:eastAsia="de-DE"/>
        </w:rPr>
        <w:t xml:space="preserve">of </w:t>
      </w:r>
      <w:r w:rsidR="00106178" w:rsidRPr="00683D62">
        <w:rPr>
          <w:rFonts w:ascii="Times New Roman" w:hAnsi="Times New Roman"/>
          <w:sz w:val="24"/>
          <w:szCs w:val="24"/>
          <w:lang w:val="en-US" w:eastAsia="de-DE"/>
        </w:rPr>
        <w:t xml:space="preserve">potential conflicts </w:t>
      </w:r>
      <w:r w:rsidR="002D0C77" w:rsidRPr="00683D62">
        <w:rPr>
          <w:rFonts w:ascii="Times New Roman" w:hAnsi="Times New Roman"/>
          <w:sz w:val="24"/>
          <w:szCs w:val="24"/>
          <w:lang w:val="en-US" w:eastAsia="de-DE"/>
        </w:rPr>
        <w:t xml:space="preserve">of </w:t>
      </w:r>
      <w:r w:rsidR="00106178" w:rsidRPr="00683D62">
        <w:rPr>
          <w:rFonts w:ascii="Times New Roman" w:hAnsi="Times New Roman"/>
          <w:sz w:val="24"/>
          <w:szCs w:val="24"/>
          <w:lang w:val="en-US" w:eastAsia="de-DE"/>
        </w:rPr>
        <w:t xml:space="preserve">interest </w:t>
      </w:r>
      <w:r w:rsidR="002D0C77" w:rsidRPr="00683D62">
        <w:rPr>
          <w:rFonts w:ascii="Times New Roman" w:hAnsi="Times New Roman"/>
          <w:sz w:val="24"/>
          <w:szCs w:val="24"/>
          <w:lang w:val="en-US" w:eastAsia="de-DE"/>
        </w:rPr>
        <w:t>and none were reported.</w:t>
      </w:r>
    </w:p>
    <w:p w14:paraId="088197F0" w14:textId="396CEF5E" w:rsidR="00B42569" w:rsidRPr="00683D62" w:rsidRDefault="00B42569" w:rsidP="00B42569">
      <w:pPr>
        <w:spacing w:after="0" w:line="480" w:lineRule="auto"/>
        <w:rPr>
          <w:rFonts w:ascii="Times New Roman" w:hAnsi="Times New Roman"/>
          <w:sz w:val="24"/>
          <w:szCs w:val="24"/>
          <w:lang w:val="en-US" w:eastAsia="de-DE"/>
        </w:rPr>
      </w:pPr>
      <w:r w:rsidRPr="00683D62">
        <w:rPr>
          <w:rFonts w:ascii="Times New Roman" w:hAnsi="Times New Roman"/>
          <w:sz w:val="24"/>
          <w:szCs w:val="24"/>
          <w:lang w:val="en-US" w:eastAsia="de-DE"/>
        </w:rPr>
        <w:t>Author Contributions: AGZ is the principal investigator of the BABYDIAB and BABYDIET studies and designed the studies and concept. AGZ, EB, CW, MJ, AK, NAK, and PA contributed to the collection of the data. EB, AGZ, CW, MJ, and NAK performed the statistical analysis. CW, MJ, AK, EB, AGZ, and PA contributed to the interpretation of the data. CW, MJ EB, and AGZ drafted the manuscript. CW, MJ, AK, EB, AGZ, NAK, and PA critically reviewed the manuscript for important intellectual content.</w:t>
      </w:r>
    </w:p>
    <w:p w14:paraId="260F8454" w14:textId="7B9FD73D" w:rsidR="00B42569" w:rsidRPr="00683D62" w:rsidRDefault="00402795" w:rsidP="00C13C6E">
      <w:pPr>
        <w:autoSpaceDE w:val="0"/>
        <w:autoSpaceDN w:val="0"/>
        <w:adjustRightInd w:val="0"/>
        <w:spacing w:after="0" w:line="480" w:lineRule="auto"/>
        <w:jc w:val="both"/>
        <w:outlineLvl w:val="0"/>
        <w:rPr>
          <w:rFonts w:ascii="Times New Roman" w:hAnsi="Times New Roman"/>
          <w:sz w:val="24"/>
          <w:szCs w:val="24"/>
          <w:lang w:val="en-US" w:eastAsia="de-DE"/>
        </w:rPr>
      </w:pPr>
      <w:r w:rsidRPr="00683D62">
        <w:rPr>
          <w:rFonts w:ascii="Times New Roman" w:hAnsi="Times New Roman"/>
          <w:sz w:val="24"/>
          <w:szCs w:val="24"/>
          <w:lang w:val="en-US" w:eastAsia="de-DE"/>
        </w:rPr>
        <w:t>Dr. Ziegler is the guarantor of this work and, as such, had full access to all the data in the study and takes responsibility for the integrity of the data and the accuracy of the data analysis.</w:t>
      </w:r>
    </w:p>
    <w:p w14:paraId="68E43F13" w14:textId="524D6F91" w:rsidR="00C13C6E" w:rsidRPr="00683D62" w:rsidRDefault="00C13C6E">
      <w:pPr>
        <w:spacing w:after="0" w:line="240" w:lineRule="auto"/>
        <w:rPr>
          <w:rFonts w:ascii="Times New Roman" w:hAnsi="Times New Roman"/>
          <w:sz w:val="24"/>
          <w:szCs w:val="24"/>
          <w:lang w:val="en-US" w:eastAsia="de-DE"/>
        </w:rPr>
      </w:pPr>
      <w:r w:rsidRPr="00683D62">
        <w:rPr>
          <w:rFonts w:ascii="Times New Roman" w:hAnsi="Times New Roman"/>
          <w:sz w:val="24"/>
          <w:szCs w:val="24"/>
          <w:lang w:val="en-US" w:eastAsia="de-DE"/>
        </w:rPr>
        <w:br w:type="page"/>
      </w:r>
    </w:p>
    <w:p w14:paraId="17A6C5A7" w14:textId="5C512A07" w:rsidR="00601723" w:rsidRPr="00683D62" w:rsidRDefault="00601723" w:rsidP="00FC5C21">
      <w:pPr>
        <w:autoSpaceDE w:val="0"/>
        <w:autoSpaceDN w:val="0"/>
        <w:adjustRightInd w:val="0"/>
        <w:spacing w:after="0" w:line="480" w:lineRule="auto"/>
        <w:jc w:val="both"/>
        <w:outlineLvl w:val="0"/>
        <w:rPr>
          <w:rFonts w:ascii="Times New Roman" w:hAnsi="Times New Roman"/>
          <w:sz w:val="24"/>
          <w:szCs w:val="24"/>
          <w:lang w:val="en-US" w:eastAsia="de-DE"/>
        </w:rPr>
      </w:pPr>
      <w:r w:rsidRPr="00683D62">
        <w:rPr>
          <w:rFonts w:ascii="Times New Roman" w:hAnsi="Times New Roman"/>
          <w:sz w:val="24"/>
          <w:szCs w:val="24"/>
          <w:lang w:val="en-US" w:eastAsia="de-DE"/>
        </w:rPr>
        <w:lastRenderedPageBreak/>
        <w:t>References</w:t>
      </w:r>
    </w:p>
    <w:p w14:paraId="73F94658" w14:textId="5CE2DB0D" w:rsidR="00CD06B2" w:rsidRPr="00683D62" w:rsidRDefault="00FA0D6C"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1. </w:t>
      </w:r>
      <w:r w:rsidR="00CD06B2" w:rsidRPr="00683D62">
        <w:rPr>
          <w:rFonts w:ascii="Times New Roman" w:hAnsi="Times New Roman"/>
          <w:sz w:val="24"/>
          <w:szCs w:val="24"/>
          <w:lang w:val="en-US" w:eastAsia="de-DE"/>
        </w:rPr>
        <w:t>Ziegler AG, Bonifacio E; BABYDIAB-BABYDIET Study Group. Age-related islet autoa</w:t>
      </w:r>
      <w:r w:rsidR="00480DEA" w:rsidRPr="00683D62">
        <w:rPr>
          <w:rFonts w:ascii="Times New Roman" w:hAnsi="Times New Roman"/>
          <w:sz w:val="24"/>
          <w:szCs w:val="24"/>
          <w:lang w:val="en-US" w:eastAsia="de-DE"/>
        </w:rPr>
        <w:t>n</w:t>
      </w:r>
      <w:r w:rsidR="00CD06B2" w:rsidRPr="00683D62">
        <w:rPr>
          <w:rFonts w:ascii="Times New Roman" w:hAnsi="Times New Roman"/>
          <w:sz w:val="24"/>
          <w:szCs w:val="24"/>
          <w:lang w:val="en-US" w:eastAsia="de-DE"/>
        </w:rPr>
        <w:t xml:space="preserve">tibody incidence in offspring of patients with type 1 diabetes. </w:t>
      </w:r>
      <w:r w:rsidR="006058E3" w:rsidRPr="00683D62">
        <w:rPr>
          <w:rFonts w:ascii="Times New Roman" w:hAnsi="Times New Roman"/>
          <w:i/>
          <w:sz w:val="24"/>
          <w:szCs w:val="24"/>
          <w:lang w:val="en-US" w:eastAsia="de-DE"/>
        </w:rPr>
        <w:t>Diabetologia</w:t>
      </w:r>
      <w:r w:rsidR="006058E3" w:rsidRPr="00683D62">
        <w:rPr>
          <w:rFonts w:ascii="Times New Roman" w:hAnsi="Times New Roman"/>
          <w:sz w:val="24"/>
          <w:szCs w:val="24"/>
          <w:lang w:val="en-US" w:eastAsia="de-DE"/>
        </w:rPr>
        <w:t xml:space="preserve"> 2012</w:t>
      </w:r>
      <w:r w:rsidR="00B15DB8" w:rsidRPr="00683D62">
        <w:rPr>
          <w:rFonts w:ascii="Times New Roman" w:hAnsi="Times New Roman"/>
          <w:sz w:val="24"/>
          <w:szCs w:val="24"/>
          <w:lang w:val="en-US" w:eastAsia="de-DE"/>
        </w:rPr>
        <w:t>;55:1937</w:t>
      </w:r>
      <w:r w:rsidR="00A410C7" w:rsidRPr="00683D62">
        <w:rPr>
          <w:rFonts w:ascii="Times New Roman" w:hAnsi="Times New Roman"/>
          <w:sz w:val="24"/>
          <w:szCs w:val="24"/>
          <w:lang w:val="en-US" w:eastAsia="de-DE"/>
        </w:rPr>
        <w:t>-</w:t>
      </w:r>
      <w:r w:rsidR="00CD06B2" w:rsidRPr="00683D62">
        <w:rPr>
          <w:rFonts w:ascii="Times New Roman" w:hAnsi="Times New Roman"/>
          <w:sz w:val="24"/>
          <w:szCs w:val="24"/>
          <w:lang w:val="en-US" w:eastAsia="de-DE"/>
        </w:rPr>
        <w:t>43.</w:t>
      </w:r>
    </w:p>
    <w:p w14:paraId="3D0CA464" w14:textId="23671262" w:rsidR="002846CF" w:rsidRPr="00683D62" w:rsidRDefault="002846CF"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2. Parikka V, </w:t>
      </w:r>
      <w:r w:rsidR="00B96AEA" w:rsidRPr="00683D62">
        <w:rPr>
          <w:rFonts w:ascii="Times New Roman" w:hAnsi="Times New Roman"/>
          <w:sz w:val="24"/>
          <w:szCs w:val="24"/>
          <w:lang w:val="en-US" w:eastAsia="de-DE"/>
        </w:rPr>
        <w:t xml:space="preserve">Näntö-Salonen K, Saarinen M, Simell T, Ilonen J, Hyöty H, Veijola R, Knip M, Simell O. </w:t>
      </w:r>
      <w:r w:rsidRPr="00683D62">
        <w:rPr>
          <w:rFonts w:ascii="Times New Roman" w:hAnsi="Times New Roman"/>
          <w:sz w:val="24"/>
          <w:szCs w:val="24"/>
          <w:lang w:val="en-US" w:eastAsia="de-DE"/>
        </w:rPr>
        <w:t xml:space="preserve">Early seroconversion and rapidly increasing autoantibody concentrations predict prepubertal manifestation of type 1 diabetes in children at genetic risk. </w:t>
      </w:r>
      <w:r w:rsidRPr="00683D62">
        <w:rPr>
          <w:rFonts w:ascii="Times New Roman" w:hAnsi="Times New Roman"/>
          <w:i/>
          <w:sz w:val="24"/>
          <w:szCs w:val="24"/>
          <w:lang w:val="en-US" w:eastAsia="de-DE"/>
        </w:rPr>
        <w:t>Diabetologia</w:t>
      </w:r>
      <w:r w:rsidRPr="00683D62">
        <w:rPr>
          <w:rFonts w:ascii="Times New Roman" w:hAnsi="Times New Roman"/>
          <w:sz w:val="24"/>
          <w:szCs w:val="24"/>
          <w:lang w:val="en-US" w:eastAsia="de-DE"/>
        </w:rPr>
        <w:t xml:space="preserve"> 2012;55:1926</w:t>
      </w:r>
      <w:r w:rsidR="00A410C7" w:rsidRPr="00683D62">
        <w:rPr>
          <w:rFonts w:ascii="Times New Roman" w:hAnsi="Times New Roman"/>
          <w:sz w:val="24"/>
          <w:szCs w:val="24"/>
          <w:lang w:val="en-US" w:eastAsia="de-DE"/>
        </w:rPr>
        <w:t>-</w:t>
      </w:r>
      <w:r w:rsidRPr="00683D62">
        <w:rPr>
          <w:rFonts w:ascii="Times New Roman" w:hAnsi="Times New Roman"/>
          <w:sz w:val="24"/>
          <w:szCs w:val="24"/>
          <w:lang w:val="en-US" w:eastAsia="de-DE"/>
        </w:rPr>
        <w:t>36.</w:t>
      </w:r>
    </w:p>
    <w:p w14:paraId="290B6513" w14:textId="5B9038D8" w:rsidR="00FA0D6C" w:rsidRPr="00683D62" w:rsidRDefault="002846CF"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3</w:t>
      </w:r>
      <w:r w:rsidR="00FA0D6C" w:rsidRPr="00683D62">
        <w:rPr>
          <w:rFonts w:ascii="Times New Roman" w:hAnsi="Times New Roman"/>
          <w:sz w:val="24"/>
          <w:szCs w:val="24"/>
          <w:lang w:val="en-US" w:eastAsia="de-DE"/>
        </w:rPr>
        <w:t xml:space="preserve">. </w:t>
      </w:r>
      <w:r w:rsidR="00B96AEA" w:rsidRPr="00683D62">
        <w:rPr>
          <w:rFonts w:ascii="Times New Roman" w:hAnsi="Times New Roman"/>
          <w:sz w:val="24"/>
          <w:szCs w:val="24"/>
          <w:lang w:val="en-US" w:eastAsia="de-DE"/>
        </w:rPr>
        <w:t xml:space="preserve">Krischer JP, Lynch KF, Schatz DA, Ilonen J, Lernmark Å, Hagopian WA, Rewers MJ, She JX, Simell OG, Toppari J, Ziegler AG, Akolkar B, Bonifacio E; TEDDY Study Group. </w:t>
      </w:r>
      <w:r w:rsidR="00FA0D6C" w:rsidRPr="00683D62">
        <w:rPr>
          <w:rFonts w:ascii="Times New Roman" w:hAnsi="Times New Roman"/>
          <w:sz w:val="24"/>
          <w:szCs w:val="24"/>
          <w:lang w:val="en-US" w:eastAsia="de-DE"/>
        </w:rPr>
        <w:t>The 6</w:t>
      </w:r>
      <w:r w:rsidR="000053A2" w:rsidRPr="00683D62">
        <w:rPr>
          <w:rFonts w:ascii="Times New Roman" w:hAnsi="Times New Roman"/>
          <w:sz w:val="24"/>
          <w:szCs w:val="24"/>
          <w:lang w:val="en-US" w:eastAsia="de-DE"/>
        </w:rPr>
        <w:t xml:space="preserve"> </w:t>
      </w:r>
      <w:r w:rsidR="00FA0D6C" w:rsidRPr="00683D62">
        <w:rPr>
          <w:rFonts w:ascii="Times New Roman" w:hAnsi="Times New Roman"/>
          <w:sz w:val="24"/>
          <w:szCs w:val="24"/>
          <w:lang w:val="en-US" w:eastAsia="de-DE"/>
        </w:rPr>
        <w:t xml:space="preserve">year incidence of diabetes-associated autoantibodies in genetically at-risk children: the TEDDY study. </w:t>
      </w:r>
      <w:r w:rsidR="00B15DB8" w:rsidRPr="00683D62">
        <w:rPr>
          <w:rFonts w:ascii="Times New Roman" w:hAnsi="Times New Roman"/>
          <w:i/>
          <w:sz w:val="24"/>
          <w:szCs w:val="24"/>
          <w:lang w:val="en-US" w:eastAsia="de-DE"/>
        </w:rPr>
        <w:t>Diabetologia</w:t>
      </w:r>
      <w:r w:rsidR="00FA0D6C" w:rsidRPr="00683D62">
        <w:rPr>
          <w:rFonts w:ascii="Times New Roman" w:hAnsi="Times New Roman"/>
          <w:sz w:val="24"/>
          <w:szCs w:val="24"/>
          <w:lang w:val="en-US" w:eastAsia="de-DE"/>
        </w:rPr>
        <w:t xml:space="preserve"> 2015;58</w:t>
      </w:r>
      <w:r w:rsidR="00B15DB8" w:rsidRPr="00683D62">
        <w:rPr>
          <w:rFonts w:ascii="Times New Roman" w:hAnsi="Times New Roman"/>
          <w:sz w:val="24"/>
          <w:szCs w:val="24"/>
          <w:lang w:val="en-US" w:eastAsia="de-DE"/>
        </w:rPr>
        <w:t>:980</w:t>
      </w:r>
      <w:r w:rsidR="00A410C7" w:rsidRPr="00683D62">
        <w:rPr>
          <w:rFonts w:ascii="Times New Roman" w:hAnsi="Times New Roman"/>
          <w:sz w:val="24"/>
          <w:szCs w:val="24"/>
          <w:lang w:val="en-US" w:eastAsia="de-DE"/>
        </w:rPr>
        <w:t>-</w:t>
      </w:r>
      <w:r w:rsidR="00FA0D6C" w:rsidRPr="00683D62">
        <w:rPr>
          <w:rFonts w:ascii="Times New Roman" w:hAnsi="Times New Roman"/>
          <w:sz w:val="24"/>
          <w:szCs w:val="24"/>
          <w:lang w:val="en-US" w:eastAsia="de-DE"/>
        </w:rPr>
        <w:t>7.</w:t>
      </w:r>
    </w:p>
    <w:p w14:paraId="35314E17" w14:textId="771B31B5" w:rsidR="00CD06B2" w:rsidRPr="00683D62" w:rsidRDefault="00FA0D6C"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 xml:space="preserve">4. </w:t>
      </w:r>
      <w:r w:rsidR="00B96AEA" w:rsidRPr="00683D62">
        <w:rPr>
          <w:rFonts w:ascii="Times New Roman" w:hAnsi="Times New Roman"/>
          <w:sz w:val="24"/>
          <w:szCs w:val="24"/>
          <w:lang w:val="en-US" w:eastAsia="de-DE"/>
        </w:rPr>
        <w:t xml:space="preserve">Ziegler AG, Rewers M, Simell O, Simell T, Lempainen J, Steck A, Winkler C, Ilonen J, Veijola R, Knip M, Bonifacio E, Eisenbarth GS. </w:t>
      </w:r>
      <w:r w:rsidR="00CD06B2" w:rsidRPr="00683D62">
        <w:rPr>
          <w:rFonts w:ascii="Times New Roman" w:hAnsi="Times New Roman"/>
          <w:sz w:val="24"/>
          <w:szCs w:val="24"/>
          <w:lang w:val="en-US" w:eastAsia="de-DE"/>
        </w:rPr>
        <w:t xml:space="preserve">Seroconversion to multiple islet autoantibodies and risk of progression to diabetes in children. </w:t>
      </w:r>
      <w:r w:rsidR="00CD06B2" w:rsidRPr="00683D62">
        <w:rPr>
          <w:rFonts w:ascii="Times New Roman" w:hAnsi="Times New Roman"/>
          <w:i/>
          <w:sz w:val="24"/>
          <w:szCs w:val="24"/>
          <w:lang w:val="en-US" w:eastAsia="de-DE"/>
        </w:rPr>
        <w:t>JAMA</w:t>
      </w:r>
      <w:r w:rsidR="00CD06B2" w:rsidRPr="00683D62">
        <w:rPr>
          <w:rFonts w:ascii="Times New Roman" w:hAnsi="Times New Roman"/>
          <w:sz w:val="24"/>
          <w:szCs w:val="24"/>
          <w:lang w:val="en-US" w:eastAsia="de-DE"/>
        </w:rPr>
        <w:t xml:space="preserve"> 2013;309</w:t>
      </w:r>
      <w:r w:rsidR="00B15DB8" w:rsidRPr="00683D62">
        <w:rPr>
          <w:rFonts w:ascii="Times New Roman" w:hAnsi="Times New Roman"/>
          <w:sz w:val="24"/>
          <w:szCs w:val="24"/>
          <w:lang w:val="en-US" w:eastAsia="de-DE"/>
        </w:rPr>
        <w:t>:2473</w:t>
      </w:r>
      <w:r w:rsidR="00A410C7" w:rsidRPr="00683D62">
        <w:rPr>
          <w:rFonts w:ascii="Times New Roman" w:hAnsi="Times New Roman"/>
          <w:sz w:val="24"/>
          <w:szCs w:val="24"/>
          <w:lang w:val="en-US" w:eastAsia="de-DE"/>
        </w:rPr>
        <w:t>-</w:t>
      </w:r>
      <w:r w:rsidR="00CD06B2" w:rsidRPr="00683D62">
        <w:rPr>
          <w:rFonts w:ascii="Times New Roman" w:hAnsi="Times New Roman"/>
          <w:sz w:val="24"/>
          <w:szCs w:val="24"/>
          <w:lang w:val="en-US" w:eastAsia="de-DE"/>
        </w:rPr>
        <w:t>9.</w:t>
      </w:r>
    </w:p>
    <w:p w14:paraId="338398A7" w14:textId="553E9078" w:rsidR="002846CF" w:rsidRPr="00683D62" w:rsidRDefault="005060A0"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5</w:t>
      </w:r>
      <w:r w:rsidR="002846CF" w:rsidRPr="00683D62">
        <w:rPr>
          <w:rFonts w:ascii="Times New Roman" w:hAnsi="Times New Roman"/>
          <w:sz w:val="24"/>
          <w:szCs w:val="24"/>
          <w:lang w:val="en-US" w:eastAsia="de-DE"/>
        </w:rPr>
        <w:t xml:space="preserve">. </w:t>
      </w:r>
      <w:r w:rsidR="00B96AEA" w:rsidRPr="00683D62">
        <w:rPr>
          <w:rFonts w:ascii="Times New Roman" w:hAnsi="Times New Roman"/>
          <w:sz w:val="24"/>
          <w:szCs w:val="24"/>
          <w:lang w:val="en-US" w:eastAsia="de-DE"/>
        </w:rPr>
        <w:t xml:space="preserve">Raab J, Haupt F, Scholz M, Matzke C, Warncke K, Lange K, Assfalg R, Weininger K, Wittich S, Löbner S, Beyerlein A, Nennstiel-Ratzel U, Lang M, Laub O, Dunstheimer D, Bonifacio E, Achenbach P, Winkler C, Ziegler AG; Fr1da Study Group. </w:t>
      </w:r>
      <w:r w:rsidR="002846CF" w:rsidRPr="00683D62">
        <w:rPr>
          <w:rFonts w:ascii="Times New Roman" w:hAnsi="Times New Roman"/>
          <w:sz w:val="24"/>
          <w:szCs w:val="24"/>
          <w:lang w:val="en-US" w:eastAsia="de-DE"/>
        </w:rPr>
        <w:t xml:space="preserve">Capillary blood islet autoantibody screening for identifying pre-type 1 diabetes in the general population: design and initial results of the Fr1da study. </w:t>
      </w:r>
      <w:r w:rsidR="00B15DB8" w:rsidRPr="00683D62">
        <w:rPr>
          <w:rFonts w:ascii="Times New Roman" w:hAnsi="Times New Roman"/>
          <w:i/>
          <w:sz w:val="24"/>
          <w:szCs w:val="24"/>
          <w:lang w:val="en-US" w:eastAsia="de-DE"/>
        </w:rPr>
        <w:t>BMJ Open</w:t>
      </w:r>
      <w:r w:rsidR="00B15DB8" w:rsidRPr="00683D62">
        <w:rPr>
          <w:rFonts w:ascii="Times New Roman" w:hAnsi="Times New Roman"/>
          <w:sz w:val="24"/>
          <w:szCs w:val="24"/>
          <w:lang w:val="en-US" w:eastAsia="de-DE"/>
        </w:rPr>
        <w:t xml:space="preserve"> 2016;6</w:t>
      </w:r>
      <w:r w:rsidR="002846CF" w:rsidRPr="00683D62">
        <w:rPr>
          <w:rFonts w:ascii="Times New Roman" w:hAnsi="Times New Roman"/>
          <w:sz w:val="24"/>
          <w:szCs w:val="24"/>
          <w:lang w:val="en-US" w:eastAsia="de-DE"/>
        </w:rPr>
        <w:t>:e011144</w:t>
      </w:r>
    </w:p>
    <w:p w14:paraId="5A8413B6" w14:textId="5C393983" w:rsidR="002846CF" w:rsidRPr="00683D62" w:rsidRDefault="00025199"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6</w:t>
      </w:r>
      <w:r w:rsidR="002846CF" w:rsidRPr="00683D62">
        <w:rPr>
          <w:rFonts w:ascii="Times New Roman" w:hAnsi="Times New Roman"/>
          <w:sz w:val="24"/>
          <w:szCs w:val="24"/>
          <w:lang w:val="en-US" w:eastAsia="de-DE"/>
        </w:rPr>
        <w:t xml:space="preserve">. TEDDY Study Group. The Environmental Determinants of Diabetes in the Young (TEDDY) study: study design. </w:t>
      </w:r>
      <w:r w:rsidR="002846CF" w:rsidRPr="00683D62">
        <w:rPr>
          <w:rFonts w:ascii="Times New Roman" w:hAnsi="Times New Roman"/>
          <w:i/>
          <w:sz w:val="24"/>
          <w:szCs w:val="24"/>
          <w:lang w:val="en-US" w:eastAsia="de-DE"/>
        </w:rPr>
        <w:t>Pediatr Diabetes</w:t>
      </w:r>
      <w:r w:rsidR="00B15DB8" w:rsidRPr="00683D62">
        <w:rPr>
          <w:rFonts w:ascii="Times New Roman" w:hAnsi="Times New Roman"/>
          <w:sz w:val="24"/>
          <w:szCs w:val="24"/>
          <w:lang w:val="en-US" w:eastAsia="de-DE"/>
        </w:rPr>
        <w:t xml:space="preserve"> 2007;8:286</w:t>
      </w:r>
      <w:r w:rsidR="00A410C7" w:rsidRPr="00683D62">
        <w:rPr>
          <w:rFonts w:ascii="Times New Roman" w:hAnsi="Times New Roman"/>
          <w:sz w:val="24"/>
          <w:szCs w:val="24"/>
          <w:lang w:val="en-US" w:eastAsia="de-DE"/>
        </w:rPr>
        <w:t>-</w:t>
      </w:r>
      <w:r w:rsidR="002846CF" w:rsidRPr="00683D62">
        <w:rPr>
          <w:rFonts w:ascii="Times New Roman" w:hAnsi="Times New Roman"/>
          <w:sz w:val="24"/>
          <w:szCs w:val="24"/>
          <w:lang w:val="en-US" w:eastAsia="de-DE"/>
        </w:rPr>
        <w:t>98.</w:t>
      </w:r>
    </w:p>
    <w:p w14:paraId="17F50D2E" w14:textId="1A604257" w:rsidR="002846CF" w:rsidRPr="00683D62" w:rsidRDefault="00025199" w:rsidP="00BB2870">
      <w:pPr>
        <w:autoSpaceDE w:val="0"/>
        <w:autoSpaceDN w:val="0"/>
        <w:adjustRightInd w:val="0"/>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7</w:t>
      </w:r>
      <w:r w:rsidR="002846CF" w:rsidRPr="00683D62">
        <w:rPr>
          <w:rFonts w:ascii="Times New Roman" w:hAnsi="Times New Roman"/>
          <w:sz w:val="24"/>
          <w:szCs w:val="24"/>
          <w:lang w:val="en-US" w:eastAsia="de-DE"/>
        </w:rPr>
        <w:t xml:space="preserve">. Bingley PJ, Wherrett DK, Shultz A, Rafkin LE, Atkinson MA, Greenbaum CJ. Type 1 Diabetes TrialNet: A Multifaceted Approach to Bringing Disease-Modifying Therapy to Clinical Use in Type 1 Diabetes. </w:t>
      </w:r>
      <w:r w:rsidR="00B15DB8" w:rsidRPr="00683D62">
        <w:rPr>
          <w:rFonts w:ascii="Times New Roman" w:hAnsi="Times New Roman"/>
          <w:i/>
          <w:sz w:val="24"/>
          <w:szCs w:val="24"/>
          <w:lang w:val="en-US" w:eastAsia="de-DE"/>
        </w:rPr>
        <w:t>Diabetes Care</w:t>
      </w:r>
      <w:r w:rsidR="00B15DB8" w:rsidRPr="00683D62">
        <w:rPr>
          <w:rFonts w:ascii="Times New Roman" w:hAnsi="Times New Roman"/>
          <w:sz w:val="24"/>
          <w:szCs w:val="24"/>
          <w:lang w:val="en-US" w:eastAsia="de-DE"/>
        </w:rPr>
        <w:t xml:space="preserve"> 2018;41:653</w:t>
      </w:r>
      <w:r w:rsidR="00A410C7" w:rsidRPr="00683D62">
        <w:rPr>
          <w:rFonts w:ascii="Times New Roman" w:hAnsi="Times New Roman"/>
          <w:sz w:val="24"/>
          <w:szCs w:val="24"/>
          <w:lang w:val="en-US" w:eastAsia="de-DE"/>
        </w:rPr>
        <w:t>-</w:t>
      </w:r>
      <w:r w:rsidR="002846CF" w:rsidRPr="00683D62">
        <w:rPr>
          <w:rFonts w:ascii="Times New Roman" w:hAnsi="Times New Roman"/>
          <w:sz w:val="24"/>
          <w:szCs w:val="24"/>
          <w:lang w:val="en-US" w:eastAsia="de-DE"/>
        </w:rPr>
        <w:t>61</w:t>
      </w:r>
    </w:p>
    <w:p w14:paraId="2F074BF1" w14:textId="79DDBEB8" w:rsidR="00601723"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lang w:val="en-US"/>
        </w:rPr>
        <w:lastRenderedPageBreak/>
        <w:t>8</w:t>
      </w:r>
      <w:r w:rsidR="00B15DB8" w:rsidRPr="00683D62">
        <w:rPr>
          <w:rFonts w:ascii="Times New Roman" w:hAnsi="Times New Roman"/>
          <w:sz w:val="24"/>
          <w:lang w:val="en-US"/>
        </w:rPr>
        <w:t>.</w:t>
      </w:r>
      <w:r w:rsidR="00B15DB8" w:rsidRPr="00683D62">
        <w:rPr>
          <w:rFonts w:cs="Calibri"/>
          <w:lang w:val="en-US"/>
        </w:rPr>
        <w:t xml:space="preserve"> </w:t>
      </w:r>
      <w:r w:rsidR="00601723" w:rsidRPr="00683D62">
        <w:rPr>
          <w:rFonts w:ascii="Times New Roman" w:hAnsi="Times New Roman"/>
          <w:sz w:val="24"/>
          <w:szCs w:val="24"/>
          <w:lang w:val="en-US"/>
        </w:rPr>
        <w:t>Ziegler AG, Hu</w:t>
      </w:r>
      <w:r w:rsidR="008104CE" w:rsidRPr="00683D62">
        <w:rPr>
          <w:rFonts w:ascii="Times New Roman" w:hAnsi="Times New Roman"/>
          <w:sz w:val="24"/>
          <w:szCs w:val="24"/>
          <w:lang w:val="en-US"/>
        </w:rPr>
        <w:t xml:space="preserve">mmel M, Schenker M, Bonifacio E. </w:t>
      </w:r>
      <w:r w:rsidR="00601723" w:rsidRPr="00683D62">
        <w:rPr>
          <w:rFonts w:ascii="Times New Roman" w:hAnsi="Times New Roman"/>
          <w:sz w:val="24"/>
          <w:szCs w:val="24"/>
          <w:lang w:val="en-US"/>
        </w:rPr>
        <w:t xml:space="preserve">Autoantibody appearance and risk for development of childhood diabetes in offspring of parents with type 1 diabetes: the 2-year analysis of the German BABYDIAB Study. </w:t>
      </w:r>
      <w:r w:rsidR="00601723" w:rsidRPr="00683D62">
        <w:rPr>
          <w:rFonts w:ascii="Times New Roman" w:hAnsi="Times New Roman"/>
          <w:i/>
          <w:sz w:val="24"/>
          <w:szCs w:val="24"/>
          <w:lang w:val="en-US"/>
        </w:rPr>
        <w:t>Diabetes</w:t>
      </w:r>
      <w:r w:rsidR="00601723" w:rsidRPr="00683D62">
        <w:rPr>
          <w:rFonts w:ascii="Times New Roman" w:hAnsi="Times New Roman"/>
          <w:sz w:val="24"/>
          <w:szCs w:val="24"/>
          <w:lang w:val="en-US"/>
        </w:rPr>
        <w:t xml:space="preserve"> </w:t>
      </w:r>
      <w:r w:rsidR="008104CE" w:rsidRPr="00683D62">
        <w:rPr>
          <w:rFonts w:ascii="Times New Roman" w:hAnsi="Times New Roman"/>
          <w:sz w:val="24"/>
          <w:szCs w:val="24"/>
          <w:lang w:val="en-US"/>
        </w:rPr>
        <w:t>1999;</w:t>
      </w:r>
      <w:r w:rsidR="00601723" w:rsidRPr="00683D62">
        <w:rPr>
          <w:rFonts w:ascii="Times New Roman" w:hAnsi="Times New Roman"/>
          <w:sz w:val="24"/>
          <w:szCs w:val="24"/>
          <w:lang w:val="en-US"/>
        </w:rPr>
        <w:t>48</w:t>
      </w:r>
      <w:r w:rsidR="00B15DB8" w:rsidRPr="00683D62">
        <w:rPr>
          <w:rFonts w:ascii="Times New Roman" w:hAnsi="Times New Roman"/>
          <w:sz w:val="24"/>
          <w:szCs w:val="24"/>
          <w:lang w:val="en-US"/>
        </w:rPr>
        <w:t>:460</w:t>
      </w:r>
      <w:r w:rsidR="00A410C7" w:rsidRPr="00683D62">
        <w:rPr>
          <w:rFonts w:ascii="Times New Roman" w:hAnsi="Times New Roman"/>
          <w:sz w:val="24"/>
          <w:szCs w:val="24"/>
          <w:lang w:val="en-US"/>
        </w:rPr>
        <w:t>-</w:t>
      </w:r>
      <w:r w:rsidR="00601723" w:rsidRPr="00683D62">
        <w:rPr>
          <w:rFonts w:ascii="Times New Roman" w:hAnsi="Times New Roman"/>
          <w:sz w:val="24"/>
          <w:szCs w:val="24"/>
          <w:lang w:val="en-US"/>
        </w:rPr>
        <w:t>8.</w:t>
      </w:r>
    </w:p>
    <w:p w14:paraId="45F9392A" w14:textId="4AEAA51C" w:rsidR="00601723" w:rsidRPr="00683D62" w:rsidRDefault="006A7BC1" w:rsidP="00BB2870">
      <w:pPr>
        <w:spacing w:after="0" w:line="480" w:lineRule="auto"/>
        <w:jc w:val="both"/>
        <w:rPr>
          <w:rFonts w:ascii="Times New Roman" w:hAnsi="Times New Roman"/>
          <w:sz w:val="24"/>
          <w:szCs w:val="24"/>
        </w:rPr>
      </w:pPr>
      <w:r w:rsidRPr="00683D62">
        <w:rPr>
          <w:rFonts w:ascii="Times New Roman" w:hAnsi="Times New Roman"/>
          <w:sz w:val="24"/>
          <w:szCs w:val="24"/>
          <w:lang w:val="en-US"/>
        </w:rPr>
        <w:t>9</w:t>
      </w:r>
      <w:r w:rsidR="00601723" w:rsidRPr="00683D62">
        <w:rPr>
          <w:rFonts w:ascii="Times New Roman" w:hAnsi="Times New Roman"/>
          <w:sz w:val="24"/>
          <w:szCs w:val="24"/>
          <w:lang w:val="en-US"/>
        </w:rPr>
        <w:t>. Hummel S, Pflüger M, Hummel M, Bonifacio E, Ziegler AG</w:t>
      </w:r>
      <w:r w:rsidR="008104CE" w:rsidRPr="00683D62">
        <w:rPr>
          <w:rFonts w:ascii="Times New Roman" w:hAnsi="Times New Roman"/>
          <w:sz w:val="24"/>
          <w:szCs w:val="24"/>
          <w:lang w:val="en-US"/>
        </w:rPr>
        <w:t xml:space="preserve">. </w:t>
      </w:r>
      <w:r w:rsidR="00601723" w:rsidRPr="00683D62">
        <w:rPr>
          <w:rFonts w:ascii="Times New Roman" w:hAnsi="Times New Roman"/>
          <w:sz w:val="24"/>
          <w:szCs w:val="24"/>
          <w:lang w:val="en-US"/>
        </w:rPr>
        <w:t xml:space="preserve">Primary dietary intervention study to reduce the risk of islet autoimmunity in children at increased risk for type 1 diabetes: the BABYDIET study. </w:t>
      </w:r>
      <w:r w:rsidR="00601723" w:rsidRPr="00683D62">
        <w:rPr>
          <w:rFonts w:ascii="Times New Roman" w:hAnsi="Times New Roman"/>
          <w:i/>
          <w:sz w:val="24"/>
          <w:szCs w:val="24"/>
        </w:rPr>
        <w:t>Diabetes Care</w:t>
      </w:r>
      <w:r w:rsidR="00601723" w:rsidRPr="00683D62">
        <w:rPr>
          <w:rFonts w:ascii="Times New Roman" w:hAnsi="Times New Roman"/>
          <w:sz w:val="24"/>
          <w:szCs w:val="24"/>
        </w:rPr>
        <w:t xml:space="preserve"> </w:t>
      </w:r>
      <w:r w:rsidR="008104CE" w:rsidRPr="00683D62">
        <w:rPr>
          <w:rFonts w:ascii="Times New Roman" w:hAnsi="Times New Roman"/>
          <w:sz w:val="24"/>
          <w:szCs w:val="24"/>
        </w:rPr>
        <w:t>20</w:t>
      </w:r>
      <w:r w:rsidR="006801DA" w:rsidRPr="00683D62">
        <w:rPr>
          <w:rFonts w:ascii="Times New Roman" w:hAnsi="Times New Roman"/>
          <w:sz w:val="24"/>
          <w:szCs w:val="24"/>
        </w:rPr>
        <w:t>1</w:t>
      </w:r>
      <w:r w:rsidR="008104CE" w:rsidRPr="00683D62">
        <w:rPr>
          <w:rFonts w:ascii="Times New Roman" w:hAnsi="Times New Roman"/>
          <w:sz w:val="24"/>
          <w:szCs w:val="24"/>
        </w:rPr>
        <w:t>1;</w:t>
      </w:r>
      <w:r w:rsidR="00601723" w:rsidRPr="00683D62">
        <w:rPr>
          <w:rFonts w:ascii="Times New Roman" w:hAnsi="Times New Roman"/>
          <w:sz w:val="24"/>
          <w:szCs w:val="24"/>
        </w:rPr>
        <w:t>34</w:t>
      </w:r>
      <w:r w:rsidR="00B15DB8" w:rsidRPr="00683D62">
        <w:rPr>
          <w:rFonts w:ascii="Times New Roman" w:hAnsi="Times New Roman"/>
          <w:sz w:val="24"/>
          <w:szCs w:val="24"/>
        </w:rPr>
        <w:t>:1301</w:t>
      </w:r>
      <w:r w:rsidR="00A410C7" w:rsidRPr="00683D62">
        <w:rPr>
          <w:rFonts w:ascii="Times New Roman" w:hAnsi="Times New Roman"/>
          <w:sz w:val="24"/>
          <w:szCs w:val="24"/>
        </w:rPr>
        <w:t>-</w:t>
      </w:r>
      <w:r w:rsidR="00601723" w:rsidRPr="00683D62">
        <w:rPr>
          <w:rFonts w:ascii="Times New Roman" w:hAnsi="Times New Roman"/>
          <w:sz w:val="24"/>
          <w:szCs w:val="24"/>
        </w:rPr>
        <w:t xml:space="preserve">5. </w:t>
      </w:r>
    </w:p>
    <w:p w14:paraId="0512C738" w14:textId="26CCFE36" w:rsidR="002846CF" w:rsidRPr="00683D62" w:rsidRDefault="002846CF"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rPr>
        <w:t>1</w:t>
      </w:r>
      <w:r w:rsidR="006A7BC1" w:rsidRPr="00683D62">
        <w:rPr>
          <w:rFonts w:ascii="Times New Roman" w:hAnsi="Times New Roman"/>
          <w:sz w:val="24"/>
          <w:szCs w:val="24"/>
        </w:rPr>
        <w:t>0</w:t>
      </w:r>
      <w:r w:rsidRPr="00683D62">
        <w:rPr>
          <w:rFonts w:ascii="Times New Roman" w:hAnsi="Times New Roman"/>
          <w:sz w:val="24"/>
          <w:szCs w:val="24"/>
        </w:rPr>
        <w:t>. Hummel S, Hummel M, Banholzer J</w:t>
      </w:r>
      <w:r w:rsidR="00B96AEA" w:rsidRPr="00683D62">
        <w:rPr>
          <w:rFonts w:ascii="Times New Roman" w:hAnsi="Times New Roman"/>
          <w:sz w:val="24"/>
          <w:szCs w:val="24"/>
        </w:rPr>
        <w:t>,</w:t>
      </w:r>
      <w:r w:rsidRPr="00683D62">
        <w:rPr>
          <w:rFonts w:ascii="Times New Roman" w:hAnsi="Times New Roman"/>
          <w:sz w:val="24"/>
          <w:szCs w:val="24"/>
        </w:rPr>
        <w:t xml:space="preserve"> </w:t>
      </w:r>
      <w:r w:rsidR="00B96AEA" w:rsidRPr="00683D62">
        <w:rPr>
          <w:rFonts w:ascii="Times New Roman" w:hAnsi="Times New Roman"/>
          <w:sz w:val="24"/>
          <w:szCs w:val="24"/>
        </w:rPr>
        <w:t>Hanak D, Mollenhauer U, Bonifacio E, Ziegler AG.</w:t>
      </w:r>
      <w:r w:rsidR="00034E19" w:rsidRPr="00683D62">
        <w:rPr>
          <w:rFonts w:ascii="Times New Roman" w:hAnsi="Times New Roman"/>
          <w:sz w:val="24"/>
          <w:szCs w:val="24"/>
        </w:rPr>
        <w:t>.</w:t>
      </w:r>
      <w:r w:rsidRPr="00683D62">
        <w:rPr>
          <w:rFonts w:ascii="Times New Roman" w:hAnsi="Times New Roman"/>
          <w:sz w:val="24"/>
          <w:szCs w:val="24"/>
        </w:rPr>
        <w:t xml:space="preserve"> </w:t>
      </w:r>
      <w:r w:rsidRPr="00683D62">
        <w:rPr>
          <w:rFonts w:ascii="Times New Roman" w:hAnsi="Times New Roman"/>
          <w:sz w:val="24"/>
          <w:szCs w:val="24"/>
          <w:lang w:val="en-US"/>
        </w:rPr>
        <w:t xml:space="preserve">Development of autoimmunity to transglutaminase C in children of patients with type 1 diabetes: relationship to islet autoantibodies and infant feeding. Diabetologia </w:t>
      </w:r>
      <w:r w:rsidR="005814D4" w:rsidRPr="00683D62">
        <w:rPr>
          <w:rFonts w:ascii="Times New Roman" w:hAnsi="Times New Roman"/>
          <w:sz w:val="24"/>
          <w:szCs w:val="24"/>
          <w:lang w:val="en-US"/>
        </w:rPr>
        <w:t xml:space="preserve">2007; </w:t>
      </w:r>
      <w:r w:rsidRPr="00683D62">
        <w:rPr>
          <w:rFonts w:ascii="Times New Roman" w:hAnsi="Times New Roman"/>
          <w:sz w:val="24"/>
          <w:szCs w:val="24"/>
          <w:lang w:val="en-US"/>
        </w:rPr>
        <w:t>50:390</w:t>
      </w:r>
      <w:r w:rsidR="00A410C7" w:rsidRPr="00683D62">
        <w:rPr>
          <w:rFonts w:ascii="Times New Roman" w:hAnsi="Times New Roman"/>
          <w:sz w:val="24"/>
          <w:szCs w:val="24"/>
          <w:lang w:val="en-US"/>
        </w:rPr>
        <w:t>-</w:t>
      </w:r>
      <w:r w:rsidRPr="00683D62">
        <w:rPr>
          <w:rFonts w:ascii="Times New Roman" w:hAnsi="Times New Roman"/>
          <w:sz w:val="24"/>
          <w:szCs w:val="24"/>
          <w:lang w:val="en-US"/>
        </w:rPr>
        <w:t>394</w:t>
      </w:r>
      <w:r w:rsidR="004758C7" w:rsidRPr="00683D62">
        <w:rPr>
          <w:rFonts w:ascii="Times New Roman" w:hAnsi="Times New Roman"/>
          <w:sz w:val="24"/>
          <w:szCs w:val="24"/>
          <w:lang w:val="en-US"/>
        </w:rPr>
        <w:t>.</w:t>
      </w:r>
    </w:p>
    <w:p w14:paraId="3C716358" w14:textId="21412BB2" w:rsidR="002846CF" w:rsidRPr="00683D62" w:rsidRDefault="002846CF"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1</w:t>
      </w:r>
      <w:r w:rsidR="006A7BC1" w:rsidRPr="00683D62">
        <w:rPr>
          <w:rFonts w:ascii="Times New Roman" w:hAnsi="Times New Roman"/>
          <w:sz w:val="24"/>
          <w:szCs w:val="24"/>
          <w:lang w:val="en-US"/>
        </w:rPr>
        <w:t>1</w:t>
      </w:r>
      <w:r w:rsidRPr="00683D62">
        <w:rPr>
          <w:rFonts w:ascii="Times New Roman" w:hAnsi="Times New Roman"/>
          <w:sz w:val="24"/>
          <w:szCs w:val="24"/>
          <w:lang w:val="en-US"/>
        </w:rPr>
        <w:t>. Bonifacio E, Mayr A, Knopff A, Ziegler AG. Endocrine autoimmunity in families with type 1 diabetes: frequent appearance of thyroid autoimmunity during late childhood and adolescence.</w:t>
      </w:r>
      <w:r w:rsidR="00C402AB" w:rsidRPr="00683D62">
        <w:rPr>
          <w:rFonts w:ascii="Times New Roman" w:hAnsi="Times New Roman"/>
          <w:sz w:val="24"/>
          <w:szCs w:val="24"/>
          <w:lang w:val="en-US"/>
        </w:rPr>
        <w:t xml:space="preserve"> </w:t>
      </w:r>
      <w:r w:rsidRPr="00683D62">
        <w:rPr>
          <w:rFonts w:ascii="Times New Roman" w:hAnsi="Times New Roman"/>
          <w:sz w:val="24"/>
          <w:szCs w:val="24"/>
          <w:lang w:val="en-US"/>
        </w:rPr>
        <w:t>Diabetologia. 2009;52(2):185-92.</w:t>
      </w:r>
    </w:p>
    <w:p w14:paraId="04806C34" w14:textId="5C36097A" w:rsidR="00B82D99" w:rsidRPr="00683D62" w:rsidRDefault="00B82D99" w:rsidP="00BB2870">
      <w:pPr>
        <w:spacing w:after="0" w:line="480" w:lineRule="auto"/>
        <w:jc w:val="both"/>
        <w:rPr>
          <w:rFonts w:ascii="Times New Roman" w:hAnsi="Times New Roman"/>
          <w:sz w:val="24"/>
          <w:szCs w:val="24"/>
          <w:lang w:val="en"/>
        </w:rPr>
      </w:pPr>
      <w:r w:rsidRPr="00683D62">
        <w:rPr>
          <w:rFonts w:ascii="Times New Roman" w:hAnsi="Times New Roman"/>
          <w:sz w:val="24"/>
          <w:szCs w:val="24"/>
          <w:lang w:val="en-US"/>
        </w:rPr>
        <w:t>1</w:t>
      </w:r>
      <w:r w:rsidR="006A7BC1" w:rsidRPr="00683D62">
        <w:rPr>
          <w:rFonts w:ascii="Times New Roman" w:hAnsi="Times New Roman"/>
          <w:sz w:val="24"/>
          <w:szCs w:val="24"/>
          <w:lang w:val="en-US"/>
        </w:rPr>
        <w:t>2</w:t>
      </w:r>
      <w:r w:rsidRPr="00683D62">
        <w:rPr>
          <w:rFonts w:ascii="Times New Roman" w:hAnsi="Times New Roman"/>
          <w:sz w:val="24"/>
          <w:szCs w:val="24"/>
          <w:lang w:val="en-US"/>
        </w:rPr>
        <w:t xml:space="preserve">. </w:t>
      </w:r>
      <w:r w:rsidRPr="00683D62">
        <w:rPr>
          <w:rFonts w:ascii="Times New Roman" w:hAnsi="Times New Roman"/>
          <w:sz w:val="24"/>
          <w:szCs w:val="24"/>
          <w:lang w:val="en"/>
        </w:rPr>
        <w:t xml:space="preserve">Riley WJ, Maclaren NK, Lezotte DC, Spillar RP, Rosenbloom AL. Thyroid autoimmunity in insulin-dependent diabetes mellitus: the case for routine screening. </w:t>
      </w:r>
      <w:r w:rsidRPr="00683D62">
        <w:rPr>
          <w:rFonts w:ascii="Times New Roman" w:hAnsi="Times New Roman"/>
          <w:i/>
          <w:sz w:val="24"/>
          <w:szCs w:val="24"/>
          <w:lang w:val="en"/>
        </w:rPr>
        <w:t>J Pediatr.</w:t>
      </w:r>
      <w:r w:rsidRPr="00683D62">
        <w:rPr>
          <w:rFonts w:ascii="Times New Roman" w:hAnsi="Times New Roman"/>
          <w:sz w:val="24"/>
          <w:szCs w:val="24"/>
          <w:lang w:val="en"/>
        </w:rPr>
        <w:t xml:space="preserve"> 1981;99(3):350-4.</w:t>
      </w:r>
    </w:p>
    <w:p w14:paraId="02F5425F" w14:textId="201687E8" w:rsidR="00771763" w:rsidRPr="00683D62" w:rsidRDefault="00771763"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1</w:t>
      </w:r>
      <w:r w:rsidR="006A7BC1" w:rsidRPr="00683D62">
        <w:rPr>
          <w:rFonts w:ascii="Times New Roman" w:hAnsi="Times New Roman"/>
          <w:sz w:val="24"/>
          <w:szCs w:val="24"/>
          <w:lang w:val="en-US"/>
        </w:rPr>
        <w:t>3</w:t>
      </w:r>
      <w:r w:rsidRPr="00683D62">
        <w:rPr>
          <w:rFonts w:ascii="Times New Roman" w:hAnsi="Times New Roman"/>
          <w:sz w:val="24"/>
          <w:szCs w:val="24"/>
          <w:lang w:val="en-US"/>
        </w:rPr>
        <w:t xml:space="preserve">. Barker JM. Clinical review: Type 1 diabetes-associated autoimmunity: natural history, genetic associations, and screening. </w:t>
      </w:r>
      <w:r w:rsidRPr="00683D62">
        <w:rPr>
          <w:rFonts w:ascii="Times New Roman" w:hAnsi="Times New Roman"/>
          <w:i/>
          <w:sz w:val="24"/>
          <w:szCs w:val="24"/>
          <w:lang w:val="en-US"/>
        </w:rPr>
        <w:t>J Clin Endocrinol Metab</w:t>
      </w:r>
      <w:r w:rsidRPr="00683D62">
        <w:rPr>
          <w:rFonts w:ascii="Times New Roman" w:hAnsi="Times New Roman"/>
          <w:sz w:val="24"/>
          <w:szCs w:val="24"/>
          <w:lang w:val="en-US"/>
        </w:rPr>
        <w:t xml:space="preserve"> 2006;91:1210-7.</w:t>
      </w:r>
    </w:p>
    <w:p w14:paraId="15FFFB13" w14:textId="1B68890E" w:rsidR="00771763" w:rsidRPr="00683D62" w:rsidRDefault="00771763" w:rsidP="00BB2870">
      <w:pPr>
        <w:pStyle w:val="Title1"/>
        <w:shd w:val="clear" w:color="auto" w:fill="FFFFFF"/>
        <w:spacing w:before="0" w:beforeAutospacing="0" w:after="0" w:afterAutospacing="0" w:line="480" w:lineRule="auto"/>
        <w:rPr>
          <w:lang w:val="en-US"/>
        </w:rPr>
      </w:pPr>
      <w:r w:rsidRPr="00683D62">
        <w:rPr>
          <w:lang w:val="en-US"/>
        </w:rPr>
        <w:t>1</w:t>
      </w:r>
      <w:r w:rsidR="006A7BC1" w:rsidRPr="00683D62">
        <w:rPr>
          <w:lang w:val="en-US"/>
        </w:rPr>
        <w:t>4</w:t>
      </w:r>
      <w:r w:rsidRPr="00683D62">
        <w:rPr>
          <w:lang w:val="en-US"/>
        </w:rPr>
        <w:t xml:space="preserve">. Triolo TM, Armstrong TK, McFann K, </w:t>
      </w:r>
      <w:r w:rsidR="00B96AEA" w:rsidRPr="00683D62">
        <w:rPr>
          <w:lang w:val="en-US"/>
        </w:rPr>
        <w:t xml:space="preserve">Yu L, Rewers MJ, Klingensmith GJ, Eisenbarth GS, Barker JM. </w:t>
      </w:r>
      <w:hyperlink r:id="rId9" w:history="1">
        <w:r w:rsidRPr="00683D62">
          <w:rPr>
            <w:rStyle w:val="Hyperlink"/>
            <w:color w:val="auto"/>
            <w:u w:val="none"/>
            <w:lang w:val="en-US"/>
          </w:rPr>
          <w:t>Additional autoimmune disease found in 33% of patients at type 1 diabetes onset.</w:t>
        </w:r>
      </w:hyperlink>
      <w:r w:rsidRPr="00683D62">
        <w:rPr>
          <w:lang w:val="en-US"/>
        </w:rPr>
        <w:t xml:space="preserve"> </w:t>
      </w:r>
      <w:r w:rsidRPr="00683D62">
        <w:rPr>
          <w:i/>
          <w:lang w:val="en-US"/>
        </w:rPr>
        <w:t>Diabetes Care</w:t>
      </w:r>
      <w:r w:rsidRPr="00683D62">
        <w:rPr>
          <w:lang w:val="en-US"/>
        </w:rPr>
        <w:t xml:space="preserve"> 2011;34:1211-3</w:t>
      </w:r>
    </w:p>
    <w:p w14:paraId="184FCE99" w14:textId="145E934A" w:rsidR="00771763" w:rsidRPr="00683D62" w:rsidRDefault="00771763" w:rsidP="00BB2870">
      <w:pPr>
        <w:pStyle w:val="Title1"/>
        <w:shd w:val="clear" w:color="auto" w:fill="FFFFFF"/>
        <w:spacing w:before="0" w:beforeAutospacing="0" w:after="0" w:afterAutospacing="0" w:line="480" w:lineRule="auto"/>
        <w:rPr>
          <w:lang w:val="en-US"/>
        </w:rPr>
      </w:pPr>
      <w:r w:rsidRPr="00683D62">
        <w:rPr>
          <w:lang w:val="en-US"/>
        </w:rPr>
        <w:t>1</w:t>
      </w:r>
      <w:r w:rsidR="006A7BC1" w:rsidRPr="00683D62">
        <w:rPr>
          <w:lang w:val="en-US"/>
        </w:rPr>
        <w:t>5</w:t>
      </w:r>
      <w:r w:rsidRPr="00683D62">
        <w:rPr>
          <w:lang w:val="en-US"/>
        </w:rPr>
        <w:t xml:space="preserve">. Kozhakhmetova A, Wyatt RC, Caygill C, </w:t>
      </w:r>
      <w:r w:rsidR="00B96AEA" w:rsidRPr="00683D62">
        <w:rPr>
          <w:lang w:val="en-US"/>
        </w:rPr>
        <w:t xml:space="preserve">Williams C, Long AE, Chandler K, Aitken RJ1, Wenzlau JM, Davidson HW, Gillespie KM, Williams AJK. </w:t>
      </w:r>
      <w:r w:rsidRPr="00683D62">
        <w:rPr>
          <w:lang w:val="en-US"/>
        </w:rPr>
        <w:t xml:space="preserve">A quarter of patients with type 1 diabetes have co-existing non-islet autoimmunity: the findings of a UK population-based family study. </w:t>
      </w:r>
      <w:r w:rsidRPr="00683D62">
        <w:rPr>
          <w:i/>
          <w:lang w:val="en-US"/>
        </w:rPr>
        <w:t>Clin Exp Immunol</w:t>
      </w:r>
      <w:r w:rsidRPr="00683D62">
        <w:rPr>
          <w:lang w:val="en-US"/>
        </w:rPr>
        <w:t xml:space="preserve"> 2018;192:251-8.</w:t>
      </w:r>
    </w:p>
    <w:p w14:paraId="5EABB0DC" w14:textId="0B453003" w:rsidR="00B82D99" w:rsidRPr="00683D62" w:rsidRDefault="00454A64" w:rsidP="00BB2870">
      <w:pPr>
        <w:spacing w:after="0" w:line="480" w:lineRule="auto"/>
        <w:jc w:val="both"/>
        <w:rPr>
          <w:rFonts w:ascii="Times New Roman" w:hAnsi="Times New Roman"/>
          <w:sz w:val="24"/>
          <w:szCs w:val="24"/>
        </w:rPr>
      </w:pPr>
      <w:r w:rsidRPr="00683D62">
        <w:rPr>
          <w:rFonts w:ascii="Times New Roman" w:hAnsi="Times New Roman"/>
          <w:sz w:val="24"/>
          <w:szCs w:val="24"/>
          <w:lang w:val="en"/>
        </w:rPr>
        <w:lastRenderedPageBreak/>
        <w:t>1</w:t>
      </w:r>
      <w:r w:rsidR="006A7BC1" w:rsidRPr="00683D62">
        <w:rPr>
          <w:rFonts w:ascii="Times New Roman" w:hAnsi="Times New Roman"/>
          <w:sz w:val="24"/>
          <w:szCs w:val="24"/>
          <w:lang w:val="en"/>
        </w:rPr>
        <w:t>6</w:t>
      </w:r>
      <w:r w:rsidRPr="00683D62">
        <w:rPr>
          <w:rFonts w:ascii="Times New Roman" w:hAnsi="Times New Roman"/>
          <w:sz w:val="24"/>
          <w:szCs w:val="24"/>
          <w:lang w:val="en"/>
        </w:rPr>
        <w:t xml:space="preserve">. Parkkola A, Härkönen T, Ryhänen SJ, Uibo R, Ilonen J, Knip M; Finnish Pediatric Diabetes Register. Transglutaminase antibodies and celiac disease in children with type 1 diabetes and in their family members. </w:t>
      </w:r>
      <w:r w:rsidRPr="00683D62">
        <w:rPr>
          <w:rFonts w:ascii="Times New Roman" w:hAnsi="Times New Roman"/>
          <w:i/>
          <w:sz w:val="24"/>
          <w:szCs w:val="24"/>
        </w:rPr>
        <w:t>Pediatr Diabetes.</w:t>
      </w:r>
      <w:r w:rsidRPr="00683D62">
        <w:rPr>
          <w:rFonts w:ascii="Times New Roman" w:hAnsi="Times New Roman"/>
          <w:sz w:val="24"/>
          <w:szCs w:val="24"/>
        </w:rPr>
        <w:t xml:space="preserve"> 2018;19(2):305-313.</w:t>
      </w:r>
    </w:p>
    <w:p w14:paraId="6BEC66E0" w14:textId="784FAA6B" w:rsidR="00454A64" w:rsidRPr="00683D62" w:rsidRDefault="00454A64" w:rsidP="00BB2870">
      <w:pPr>
        <w:spacing w:after="0" w:line="480" w:lineRule="auto"/>
        <w:jc w:val="both"/>
        <w:rPr>
          <w:rFonts w:ascii="Times New Roman" w:hAnsi="Times New Roman"/>
          <w:sz w:val="24"/>
          <w:szCs w:val="24"/>
        </w:rPr>
      </w:pPr>
      <w:r w:rsidRPr="00683D62">
        <w:rPr>
          <w:rFonts w:ascii="Times New Roman" w:hAnsi="Times New Roman"/>
          <w:sz w:val="24"/>
          <w:szCs w:val="24"/>
        </w:rPr>
        <w:t>1</w:t>
      </w:r>
      <w:r w:rsidR="006A7BC1" w:rsidRPr="00683D62">
        <w:rPr>
          <w:rFonts w:ascii="Times New Roman" w:hAnsi="Times New Roman"/>
          <w:sz w:val="24"/>
          <w:szCs w:val="24"/>
        </w:rPr>
        <w:t>7</w:t>
      </w:r>
      <w:r w:rsidRPr="00683D62">
        <w:rPr>
          <w:rFonts w:ascii="Times New Roman" w:hAnsi="Times New Roman"/>
          <w:sz w:val="24"/>
          <w:szCs w:val="24"/>
        </w:rPr>
        <w:t xml:space="preserve">.Lendrum R, Nelson PG, Pyke DA, Walker G, Gamble DR. </w:t>
      </w:r>
      <w:r w:rsidRPr="00683D62">
        <w:rPr>
          <w:rFonts w:ascii="Times New Roman" w:hAnsi="Times New Roman"/>
          <w:sz w:val="24"/>
          <w:szCs w:val="24"/>
          <w:lang w:val="en"/>
        </w:rPr>
        <w:t xml:space="preserve">Islet-cell, thyroid, and gastric autoantibodies in diabetic identical twins. </w:t>
      </w:r>
      <w:r w:rsidRPr="00683D62">
        <w:rPr>
          <w:rFonts w:ascii="Times New Roman" w:hAnsi="Times New Roman"/>
          <w:i/>
          <w:sz w:val="24"/>
          <w:szCs w:val="24"/>
        </w:rPr>
        <w:t>Br Med J.</w:t>
      </w:r>
      <w:r w:rsidRPr="00683D62">
        <w:rPr>
          <w:rFonts w:ascii="Times New Roman" w:hAnsi="Times New Roman"/>
          <w:sz w:val="24"/>
          <w:szCs w:val="24"/>
        </w:rPr>
        <w:t xml:space="preserve"> 1976;1(6009):553-5.</w:t>
      </w:r>
    </w:p>
    <w:p w14:paraId="7BACC61A" w14:textId="2349C814" w:rsidR="00B82D99"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rPr>
        <w:t>18</w:t>
      </w:r>
      <w:r w:rsidR="001D7E21" w:rsidRPr="00683D62">
        <w:rPr>
          <w:rFonts w:ascii="Times New Roman" w:hAnsi="Times New Roman"/>
          <w:sz w:val="24"/>
          <w:szCs w:val="24"/>
        </w:rPr>
        <w:t xml:space="preserve">. Jaeger C, Hatziagelaki E, Petzoldt R, Bretzel RG. </w:t>
      </w:r>
      <w:r w:rsidR="00454A64" w:rsidRPr="00683D62">
        <w:rPr>
          <w:rFonts w:ascii="Times New Roman" w:hAnsi="Times New Roman"/>
          <w:sz w:val="24"/>
          <w:szCs w:val="24"/>
          <w:lang w:val="en"/>
        </w:rPr>
        <w:t>Comparative analysis of organ-specific autoantibodies and celiac disease--associated antibodies in type 1 diabetic patients, their first-degree relatives, and healthy control subjects.</w:t>
      </w:r>
      <w:r w:rsidR="001D7E21" w:rsidRPr="00683D62">
        <w:rPr>
          <w:rFonts w:ascii="Times New Roman" w:hAnsi="Times New Roman"/>
          <w:sz w:val="24"/>
          <w:szCs w:val="24"/>
          <w:lang w:val="en-US"/>
        </w:rPr>
        <w:t xml:space="preserve"> </w:t>
      </w:r>
      <w:r w:rsidR="00454A64" w:rsidRPr="00683D62">
        <w:rPr>
          <w:rFonts w:ascii="Times New Roman" w:hAnsi="Times New Roman"/>
          <w:i/>
          <w:sz w:val="24"/>
          <w:szCs w:val="24"/>
          <w:lang w:val="en"/>
        </w:rPr>
        <w:t>Diabetes Care</w:t>
      </w:r>
      <w:r w:rsidR="00454A64" w:rsidRPr="00683D62">
        <w:rPr>
          <w:rFonts w:ascii="Times New Roman" w:hAnsi="Times New Roman"/>
          <w:sz w:val="24"/>
          <w:szCs w:val="24"/>
          <w:lang w:val="en"/>
        </w:rPr>
        <w:t xml:space="preserve"> 2001</w:t>
      </w:r>
      <w:r w:rsidR="001D7E21" w:rsidRPr="00683D62">
        <w:rPr>
          <w:rFonts w:ascii="Times New Roman" w:hAnsi="Times New Roman"/>
          <w:sz w:val="24"/>
          <w:szCs w:val="24"/>
          <w:lang w:val="en"/>
        </w:rPr>
        <w:t>;24(1):27-32.</w:t>
      </w:r>
    </w:p>
    <w:p w14:paraId="64FD030E" w14:textId="2CE15A0A" w:rsidR="002A2F33"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19</w:t>
      </w:r>
      <w:r w:rsidR="001D7E21" w:rsidRPr="00683D62">
        <w:rPr>
          <w:rFonts w:ascii="Times New Roman" w:hAnsi="Times New Roman"/>
          <w:sz w:val="24"/>
          <w:szCs w:val="24"/>
          <w:lang w:val="en-US"/>
        </w:rPr>
        <w:t xml:space="preserve">. </w:t>
      </w:r>
      <w:r w:rsidR="002A2F33" w:rsidRPr="00683D62">
        <w:rPr>
          <w:rFonts w:ascii="Times New Roman" w:hAnsi="Times New Roman"/>
          <w:sz w:val="24"/>
          <w:szCs w:val="24"/>
          <w:lang w:val="en-US"/>
        </w:rPr>
        <w:t xml:space="preserve">Giannopoulou EZ, Winkler C, Chmiel R, </w:t>
      </w:r>
      <w:r w:rsidR="00B96AEA" w:rsidRPr="00683D62">
        <w:rPr>
          <w:rFonts w:ascii="Times New Roman" w:hAnsi="Times New Roman"/>
          <w:sz w:val="24"/>
          <w:szCs w:val="24"/>
          <w:lang w:val="en-US"/>
        </w:rPr>
        <w:t xml:space="preserve">Matzke C, Scholz M, Beyerlein A, Achenbach P, Bonifacio E, Ziegler AG. </w:t>
      </w:r>
      <w:r w:rsidR="002A2F33" w:rsidRPr="00683D62">
        <w:rPr>
          <w:rFonts w:ascii="Times New Roman" w:hAnsi="Times New Roman"/>
          <w:sz w:val="24"/>
          <w:szCs w:val="24"/>
          <w:lang w:val="en-US"/>
        </w:rPr>
        <w:t xml:space="preserve">Islet autoantibody phenotypes and incidence in children at increased risk for type 1 diabetes. </w:t>
      </w:r>
      <w:r w:rsidR="002A2F33" w:rsidRPr="00683D62">
        <w:rPr>
          <w:rFonts w:ascii="Times New Roman" w:hAnsi="Times New Roman"/>
          <w:i/>
          <w:sz w:val="24"/>
          <w:szCs w:val="24"/>
          <w:lang w:val="en-US"/>
        </w:rPr>
        <w:t>Diabetologia</w:t>
      </w:r>
      <w:r w:rsidR="002A2F33" w:rsidRPr="00683D62">
        <w:rPr>
          <w:rFonts w:ascii="Times New Roman" w:hAnsi="Times New Roman"/>
          <w:sz w:val="24"/>
          <w:szCs w:val="24"/>
          <w:lang w:val="en-US"/>
        </w:rPr>
        <w:t xml:space="preserve"> 2015;58:2317</w:t>
      </w:r>
      <w:r w:rsidR="00A410C7" w:rsidRPr="00683D62">
        <w:rPr>
          <w:rFonts w:ascii="Times New Roman" w:hAnsi="Times New Roman"/>
          <w:sz w:val="24"/>
          <w:szCs w:val="24"/>
          <w:lang w:val="en-US"/>
        </w:rPr>
        <w:t>-</w:t>
      </w:r>
      <w:r w:rsidR="002A2F33" w:rsidRPr="00683D62">
        <w:rPr>
          <w:rFonts w:ascii="Times New Roman" w:hAnsi="Times New Roman"/>
          <w:sz w:val="24"/>
          <w:szCs w:val="24"/>
          <w:lang w:val="en-US"/>
        </w:rPr>
        <w:t>23.</w:t>
      </w:r>
    </w:p>
    <w:p w14:paraId="7BC46B1E" w14:textId="5C47ECC0" w:rsidR="002A2F33" w:rsidRPr="00683D62" w:rsidRDefault="001D7E2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w:t>
      </w:r>
      <w:r w:rsidR="006A7BC1" w:rsidRPr="00683D62">
        <w:rPr>
          <w:rFonts w:ascii="Times New Roman" w:hAnsi="Times New Roman"/>
          <w:sz w:val="24"/>
          <w:szCs w:val="24"/>
          <w:lang w:val="en-US"/>
        </w:rPr>
        <w:t>0</w:t>
      </w:r>
      <w:r w:rsidRPr="00683D62">
        <w:rPr>
          <w:rFonts w:ascii="Times New Roman" w:hAnsi="Times New Roman"/>
          <w:sz w:val="24"/>
          <w:szCs w:val="24"/>
          <w:lang w:val="en-US"/>
        </w:rPr>
        <w:t xml:space="preserve">. </w:t>
      </w:r>
      <w:r w:rsidR="002A2F33" w:rsidRPr="00683D62">
        <w:rPr>
          <w:rFonts w:ascii="Times New Roman" w:hAnsi="Times New Roman"/>
          <w:sz w:val="24"/>
          <w:szCs w:val="24"/>
          <w:lang w:val="en-US"/>
        </w:rPr>
        <w:t xml:space="preserve">Achenbach P, Lampasona V, Landherr U, </w:t>
      </w:r>
      <w:r w:rsidR="00B96AEA" w:rsidRPr="00683D62">
        <w:rPr>
          <w:rFonts w:ascii="Times New Roman" w:hAnsi="Times New Roman"/>
          <w:sz w:val="24"/>
          <w:szCs w:val="24"/>
          <w:lang w:val="en-US"/>
        </w:rPr>
        <w:t xml:space="preserve">Koczwara K, Krause S, Grallert H, Winkler C, Pflüger M, Illig T, Bonifacio E, Ziegler AG. </w:t>
      </w:r>
      <w:r w:rsidR="002A2F33" w:rsidRPr="00683D62">
        <w:rPr>
          <w:rFonts w:ascii="Times New Roman" w:hAnsi="Times New Roman"/>
          <w:sz w:val="24"/>
          <w:szCs w:val="24"/>
          <w:lang w:val="en-US"/>
        </w:rPr>
        <w:t xml:space="preserve">Autoantibodies to zinc transporter 8 and SLC30A8 genotype stratify type 1 diabetes risk. </w:t>
      </w:r>
      <w:r w:rsidR="002A2F33" w:rsidRPr="00683D62">
        <w:rPr>
          <w:rFonts w:ascii="Times New Roman" w:hAnsi="Times New Roman"/>
          <w:i/>
          <w:sz w:val="24"/>
          <w:szCs w:val="24"/>
          <w:lang w:val="en-US"/>
        </w:rPr>
        <w:t>Diabetologia</w:t>
      </w:r>
      <w:r w:rsidR="002A2F33" w:rsidRPr="00683D62">
        <w:rPr>
          <w:rFonts w:ascii="Times New Roman" w:hAnsi="Times New Roman"/>
          <w:sz w:val="24"/>
          <w:szCs w:val="24"/>
          <w:lang w:val="en-US"/>
        </w:rPr>
        <w:t xml:space="preserve"> 2009;52:1881</w:t>
      </w:r>
      <w:r w:rsidR="00A410C7" w:rsidRPr="00683D62">
        <w:rPr>
          <w:rFonts w:ascii="Times New Roman" w:hAnsi="Times New Roman"/>
          <w:sz w:val="24"/>
          <w:szCs w:val="24"/>
          <w:lang w:val="en-US"/>
        </w:rPr>
        <w:t>-</w:t>
      </w:r>
      <w:r w:rsidR="002A2F33" w:rsidRPr="00683D62">
        <w:rPr>
          <w:rFonts w:ascii="Times New Roman" w:hAnsi="Times New Roman"/>
          <w:sz w:val="24"/>
          <w:szCs w:val="24"/>
          <w:lang w:val="en-US"/>
        </w:rPr>
        <w:t>8.</w:t>
      </w:r>
    </w:p>
    <w:p w14:paraId="394E5DBA" w14:textId="4E5267A7" w:rsidR="00601723" w:rsidRPr="00683D62" w:rsidRDefault="001D7E2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w:t>
      </w:r>
      <w:r w:rsidR="006A7BC1" w:rsidRPr="00683D62">
        <w:rPr>
          <w:rFonts w:ascii="Times New Roman" w:hAnsi="Times New Roman"/>
          <w:sz w:val="24"/>
          <w:szCs w:val="24"/>
          <w:lang w:val="en-US"/>
        </w:rPr>
        <w:t>1</w:t>
      </w:r>
      <w:r w:rsidRPr="00683D62">
        <w:rPr>
          <w:rFonts w:ascii="Times New Roman" w:hAnsi="Times New Roman"/>
          <w:sz w:val="24"/>
          <w:szCs w:val="24"/>
          <w:lang w:val="en-US"/>
        </w:rPr>
        <w:t>.</w:t>
      </w:r>
      <w:r w:rsidR="002A2F33" w:rsidRPr="00683D62">
        <w:rPr>
          <w:rFonts w:ascii="Times New Roman" w:hAnsi="Times New Roman"/>
          <w:sz w:val="24"/>
          <w:szCs w:val="24"/>
          <w:lang w:val="en-US"/>
        </w:rPr>
        <w:t xml:space="preserve"> </w:t>
      </w:r>
      <w:r w:rsidR="00601723" w:rsidRPr="00683D62">
        <w:rPr>
          <w:rFonts w:ascii="Times New Roman" w:hAnsi="Times New Roman"/>
          <w:sz w:val="24"/>
          <w:szCs w:val="24"/>
          <w:lang w:val="en-US"/>
        </w:rPr>
        <w:t>Lampasona V, Schlosser M, Mueller PW</w:t>
      </w:r>
      <w:r w:rsidR="00B96AEA" w:rsidRPr="00683D62">
        <w:rPr>
          <w:rFonts w:ascii="Times New Roman" w:hAnsi="Times New Roman"/>
          <w:sz w:val="24"/>
          <w:szCs w:val="24"/>
          <w:lang w:val="en-US"/>
        </w:rPr>
        <w:t>,</w:t>
      </w:r>
      <w:r w:rsidR="00601723" w:rsidRPr="00683D62">
        <w:rPr>
          <w:rFonts w:ascii="Times New Roman" w:hAnsi="Times New Roman"/>
          <w:sz w:val="24"/>
          <w:szCs w:val="24"/>
          <w:lang w:val="en-US"/>
        </w:rPr>
        <w:t xml:space="preserve"> </w:t>
      </w:r>
      <w:r w:rsidR="00B96AEA" w:rsidRPr="00683D62">
        <w:rPr>
          <w:rFonts w:ascii="Times New Roman" w:hAnsi="Times New Roman"/>
          <w:sz w:val="24"/>
          <w:szCs w:val="24"/>
          <w:lang w:val="en-US"/>
        </w:rPr>
        <w:t xml:space="preserve">Williams AJ, Wenzlau JM, Hutton JC, Achenbach P. </w:t>
      </w:r>
      <w:r w:rsidR="00601723" w:rsidRPr="00683D62">
        <w:rPr>
          <w:rFonts w:ascii="Times New Roman" w:hAnsi="Times New Roman"/>
          <w:sz w:val="24"/>
          <w:szCs w:val="24"/>
          <w:lang w:val="en-US"/>
        </w:rPr>
        <w:t xml:space="preserve">Diabetes antibody standardization program: first proficiency evaluation of assays for autoantibodies to zinc transporter 8. </w:t>
      </w:r>
      <w:r w:rsidR="00601723" w:rsidRPr="00683D62">
        <w:rPr>
          <w:rFonts w:ascii="Times New Roman" w:hAnsi="Times New Roman"/>
          <w:i/>
          <w:sz w:val="24"/>
          <w:szCs w:val="24"/>
          <w:lang w:val="en-US"/>
        </w:rPr>
        <w:t>Clin Chem</w:t>
      </w:r>
      <w:r w:rsidR="00601723" w:rsidRPr="00683D62">
        <w:rPr>
          <w:rFonts w:ascii="Times New Roman" w:hAnsi="Times New Roman"/>
          <w:sz w:val="24"/>
          <w:szCs w:val="24"/>
          <w:lang w:val="en-US"/>
        </w:rPr>
        <w:t xml:space="preserve"> </w:t>
      </w:r>
      <w:r w:rsidR="008104CE" w:rsidRPr="00683D62">
        <w:rPr>
          <w:rFonts w:ascii="Times New Roman" w:hAnsi="Times New Roman"/>
          <w:sz w:val="24"/>
          <w:szCs w:val="24"/>
          <w:lang w:val="en-US"/>
        </w:rPr>
        <w:t>2011;</w:t>
      </w:r>
      <w:r w:rsidR="00601723" w:rsidRPr="00683D62">
        <w:rPr>
          <w:rFonts w:ascii="Times New Roman" w:hAnsi="Times New Roman"/>
          <w:sz w:val="24"/>
          <w:szCs w:val="24"/>
          <w:lang w:val="en-US"/>
        </w:rPr>
        <w:t>57</w:t>
      </w:r>
      <w:r w:rsidR="002A2F33" w:rsidRPr="00683D62">
        <w:rPr>
          <w:rFonts w:ascii="Times New Roman" w:hAnsi="Times New Roman"/>
          <w:sz w:val="24"/>
          <w:szCs w:val="24"/>
          <w:lang w:val="en-US"/>
        </w:rPr>
        <w:t>:1693</w:t>
      </w:r>
      <w:r w:rsidR="00A410C7" w:rsidRPr="00683D62">
        <w:rPr>
          <w:rFonts w:ascii="Times New Roman" w:hAnsi="Times New Roman"/>
          <w:sz w:val="24"/>
          <w:szCs w:val="24"/>
          <w:lang w:val="en-US"/>
        </w:rPr>
        <w:t>-</w:t>
      </w:r>
      <w:r w:rsidR="00601723" w:rsidRPr="00683D62">
        <w:rPr>
          <w:rFonts w:ascii="Times New Roman" w:hAnsi="Times New Roman"/>
          <w:sz w:val="24"/>
          <w:szCs w:val="24"/>
          <w:lang w:val="en-US"/>
        </w:rPr>
        <w:t>1702.</w:t>
      </w:r>
    </w:p>
    <w:p w14:paraId="0E6E7DEB" w14:textId="450E89D4" w:rsidR="00601723"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22</w:t>
      </w:r>
      <w:r w:rsidR="001D7E21" w:rsidRPr="00683D62">
        <w:rPr>
          <w:rFonts w:ascii="Times New Roman" w:hAnsi="Times New Roman"/>
          <w:sz w:val="24"/>
          <w:szCs w:val="24"/>
          <w:lang w:val="en-US"/>
        </w:rPr>
        <w:t>.</w:t>
      </w:r>
      <w:r w:rsidR="00601723" w:rsidRPr="00683D62">
        <w:rPr>
          <w:rFonts w:ascii="Times New Roman" w:hAnsi="Times New Roman"/>
          <w:sz w:val="24"/>
          <w:szCs w:val="24"/>
          <w:lang w:val="en-US"/>
        </w:rPr>
        <w:t xml:space="preserve"> Schlosser M, Mueller PW, Törn C, Bonifacio E, Bingley PJ; Participating Laboratories Diabetes Antibody Standardization Program: evaluation of assays for insulin autoantibodies. </w:t>
      </w:r>
      <w:r w:rsidR="00601723" w:rsidRPr="00683D62">
        <w:rPr>
          <w:rFonts w:ascii="Times New Roman" w:hAnsi="Times New Roman"/>
          <w:i/>
          <w:sz w:val="24"/>
          <w:szCs w:val="24"/>
          <w:lang w:val="en-US"/>
        </w:rPr>
        <w:t>Diabetologia</w:t>
      </w:r>
      <w:r w:rsidR="00601723" w:rsidRPr="00683D62">
        <w:rPr>
          <w:rFonts w:ascii="Times New Roman" w:hAnsi="Times New Roman"/>
          <w:sz w:val="24"/>
          <w:szCs w:val="24"/>
          <w:lang w:val="en-US"/>
        </w:rPr>
        <w:t xml:space="preserve"> </w:t>
      </w:r>
      <w:r w:rsidR="008104CE" w:rsidRPr="00683D62">
        <w:rPr>
          <w:rFonts w:ascii="Times New Roman" w:hAnsi="Times New Roman"/>
          <w:sz w:val="24"/>
          <w:szCs w:val="24"/>
          <w:lang w:val="en-US"/>
        </w:rPr>
        <w:t>2010;</w:t>
      </w:r>
      <w:r w:rsidR="00601723" w:rsidRPr="00683D62">
        <w:rPr>
          <w:rFonts w:ascii="Times New Roman" w:hAnsi="Times New Roman"/>
          <w:sz w:val="24"/>
          <w:szCs w:val="24"/>
          <w:lang w:val="en-US"/>
        </w:rPr>
        <w:t>53</w:t>
      </w:r>
      <w:r w:rsidR="00C81210" w:rsidRPr="00683D62">
        <w:rPr>
          <w:rFonts w:ascii="Times New Roman" w:hAnsi="Times New Roman"/>
          <w:sz w:val="24"/>
          <w:szCs w:val="24"/>
          <w:lang w:val="en-US"/>
        </w:rPr>
        <w:t>:2611</w:t>
      </w:r>
      <w:r w:rsidR="00A410C7" w:rsidRPr="00683D62">
        <w:rPr>
          <w:rFonts w:ascii="Times New Roman" w:hAnsi="Times New Roman"/>
          <w:sz w:val="24"/>
          <w:szCs w:val="24"/>
          <w:lang w:val="en-US"/>
        </w:rPr>
        <w:t>-</w:t>
      </w:r>
      <w:r w:rsidR="00601723" w:rsidRPr="00683D62">
        <w:rPr>
          <w:rFonts w:ascii="Times New Roman" w:hAnsi="Times New Roman"/>
          <w:sz w:val="24"/>
          <w:szCs w:val="24"/>
          <w:lang w:val="en-US"/>
        </w:rPr>
        <w:t>20.</w:t>
      </w:r>
    </w:p>
    <w:p w14:paraId="3FE14F94" w14:textId="45F24862" w:rsidR="00BB0832"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23</w:t>
      </w:r>
      <w:r w:rsidR="001D7E21" w:rsidRPr="00683D62">
        <w:rPr>
          <w:rFonts w:ascii="Times New Roman" w:hAnsi="Times New Roman"/>
          <w:sz w:val="24"/>
          <w:szCs w:val="24"/>
          <w:lang w:val="en-US"/>
        </w:rPr>
        <w:t>.</w:t>
      </w:r>
      <w:r w:rsidR="00601723" w:rsidRPr="00683D62">
        <w:rPr>
          <w:rFonts w:ascii="Times New Roman" w:hAnsi="Times New Roman"/>
          <w:sz w:val="24"/>
          <w:szCs w:val="24"/>
          <w:lang w:val="en-US"/>
        </w:rPr>
        <w:t xml:space="preserve"> Törn C, Mueller PW, Schlosser M, Bonifacio E, Bingley PJ; Participating Laboratories Diabetes Antibody Standardization Program: evaluation of assays for autoantibodies to glutamic acid decarboxylase and islet antigen-2. </w:t>
      </w:r>
      <w:r w:rsidR="00601723" w:rsidRPr="00683D62">
        <w:rPr>
          <w:rFonts w:ascii="Times New Roman" w:hAnsi="Times New Roman"/>
          <w:i/>
          <w:sz w:val="24"/>
          <w:szCs w:val="24"/>
          <w:lang w:val="en-US"/>
        </w:rPr>
        <w:t>Diabetologia</w:t>
      </w:r>
      <w:r w:rsidR="00601723" w:rsidRPr="00683D62">
        <w:rPr>
          <w:rFonts w:ascii="Times New Roman" w:hAnsi="Times New Roman"/>
          <w:sz w:val="24"/>
          <w:szCs w:val="24"/>
          <w:lang w:val="en-US"/>
        </w:rPr>
        <w:t xml:space="preserve"> </w:t>
      </w:r>
      <w:r w:rsidR="008104CE" w:rsidRPr="00683D62">
        <w:rPr>
          <w:rFonts w:ascii="Times New Roman" w:hAnsi="Times New Roman"/>
          <w:sz w:val="24"/>
          <w:szCs w:val="24"/>
          <w:lang w:val="en-US"/>
        </w:rPr>
        <w:t>2008;</w:t>
      </w:r>
      <w:r w:rsidR="00601723" w:rsidRPr="00683D62">
        <w:rPr>
          <w:rFonts w:ascii="Times New Roman" w:hAnsi="Times New Roman"/>
          <w:sz w:val="24"/>
          <w:szCs w:val="24"/>
          <w:lang w:val="en-US"/>
        </w:rPr>
        <w:t>51</w:t>
      </w:r>
      <w:r w:rsidR="00C81210" w:rsidRPr="00683D62">
        <w:rPr>
          <w:rFonts w:ascii="Times New Roman" w:hAnsi="Times New Roman"/>
          <w:sz w:val="24"/>
          <w:szCs w:val="24"/>
          <w:lang w:val="en-US"/>
        </w:rPr>
        <w:t>:846</w:t>
      </w:r>
      <w:r w:rsidR="00A410C7" w:rsidRPr="00683D62">
        <w:rPr>
          <w:rFonts w:ascii="Times New Roman" w:hAnsi="Times New Roman"/>
          <w:sz w:val="24"/>
          <w:szCs w:val="24"/>
          <w:lang w:val="en-US"/>
        </w:rPr>
        <w:t>-</w:t>
      </w:r>
      <w:r w:rsidR="00601723" w:rsidRPr="00683D62">
        <w:rPr>
          <w:rFonts w:ascii="Times New Roman" w:hAnsi="Times New Roman"/>
          <w:sz w:val="24"/>
          <w:szCs w:val="24"/>
          <w:lang w:val="en-US"/>
        </w:rPr>
        <w:t>52.</w:t>
      </w:r>
    </w:p>
    <w:p w14:paraId="41B6A4E0" w14:textId="7ACFB7BB" w:rsidR="00C22A67" w:rsidRPr="00683D62" w:rsidRDefault="006A7BC1" w:rsidP="00BB2870">
      <w:pPr>
        <w:spacing w:after="0" w:line="480" w:lineRule="auto"/>
        <w:jc w:val="both"/>
        <w:rPr>
          <w:rFonts w:ascii="Times New Roman" w:hAnsi="Times New Roman"/>
          <w:sz w:val="24"/>
          <w:szCs w:val="24"/>
          <w:lang w:val="en-US" w:eastAsia="de-DE"/>
        </w:rPr>
      </w:pPr>
      <w:r w:rsidRPr="00683D62">
        <w:rPr>
          <w:rFonts w:ascii="Times New Roman" w:hAnsi="Times New Roman"/>
          <w:sz w:val="24"/>
          <w:szCs w:val="24"/>
          <w:lang w:val="en-US" w:eastAsia="de-DE"/>
        </w:rPr>
        <w:t>24</w:t>
      </w:r>
      <w:r w:rsidR="001D7E21" w:rsidRPr="00683D62">
        <w:rPr>
          <w:rFonts w:ascii="Times New Roman" w:hAnsi="Times New Roman"/>
          <w:sz w:val="24"/>
          <w:szCs w:val="24"/>
          <w:lang w:val="en-US" w:eastAsia="de-DE"/>
        </w:rPr>
        <w:t>.</w:t>
      </w:r>
      <w:r w:rsidR="00C22A67" w:rsidRPr="00683D62">
        <w:rPr>
          <w:rFonts w:ascii="Times New Roman" w:hAnsi="Times New Roman"/>
          <w:sz w:val="24"/>
          <w:szCs w:val="24"/>
          <w:lang w:val="en-US" w:eastAsia="de-DE"/>
        </w:rPr>
        <w:t xml:space="preserve"> Schenker M, Hummel M, Ferber K</w:t>
      </w:r>
      <w:r w:rsidR="00B96AEA" w:rsidRPr="00683D62">
        <w:rPr>
          <w:rFonts w:ascii="Times New Roman" w:hAnsi="Times New Roman"/>
          <w:sz w:val="24"/>
          <w:szCs w:val="24"/>
          <w:lang w:val="en-US" w:eastAsia="de-DE"/>
        </w:rPr>
        <w:t xml:space="preserve">, Walter M, Keller E, Albert ED, Janka HU, Kastendiek C, Sorger M, Louwen F, Ziegler AG. </w:t>
      </w:r>
      <w:r w:rsidR="00C22A67" w:rsidRPr="00683D62">
        <w:rPr>
          <w:rFonts w:ascii="Times New Roman" w:hAnsi="Times New Roman"/>
          <w:sz w:val="24"/>
          <w:szCs w:val="24"/>
          <w:lang w:val="en-US" w:eastAsia="de-DE"/>
        </w:rPr>
        <w:t xml:space="preserve">Early expression and high prevalence of </w:t>
      </w:r>
      <w:r w:rsidR="00C22A67" w:rsidRPr="00683D62">
        <w:rPr>
          <w:rFonts w:ascii="Times New Roman" w:hAnsi="Times New Roman"/>
          <w:sz w:val="24"/>
          <w:szCs w:val="24"/>
          <w:lang w:val="en-US" w:eastAsia="de-DE"/>
        </w:rPr>
        <w:lastRenderedPageBreak/>
        <w:t xml:space="preserve">islet autoantibodies for DR3/4 heterozygous and DR4/4 homozygous offspring of parents with Type I diabetes: the German BABYDIAB study. </w:t>
      </w:r>
      <w:r w:rsidR="00C22A67" w:rsidRPr="00683D62">
        <w:rPr>
          <w:rFonts w:ascii="Times New Roman" w:hAnsi="Times New Roman"/>
          <w:i/>
          <w:sz w:val="24"/>
          <w:szCs w:val="24"/>
          <w:lang w:val="en-US" w:eastAsia="de-DE"/>
        </w:rPr>
        <w:t>Diabetologia</w:t>
      </w:r>
      <w:r w:rsidR="00C22A67" w:rsidRPr="00683D62">
        <w:rPr>
          <w:rFonts w:ascii="Times New Roman" w:hAnsi="Times New Roman"/>
          <w:sz w:val="24"/>
          <w:szCs w:val="24"/>
          <w:lang w:val="en-US" w:eastAsia="de-DE"/>
        </w:rPr>
        <w:t xml:space="preserve"> </w:t>
      </w:r>
      <w:r w:rsidR="00C81210" w:rsidRPr="00683D62">
        <w:rPr>
          <w:rFonts w:ascii="Times New Roman" w:hAnsi="Times New Roman"/>
          <w:sz w:val="24"/>
          <w:szCs w:val="24"/>
          <w:lang w:val="en-US" w:eastAsia="de-DE"/>
        </w:rPr>
        <w:t>1999;</w:t>
      </w:r>
      <w:r w:rsidR="00C22A67" w:rsidRPr="00683D62">
        <w:rPr>
          <w:rFonts w:ascii="Times New Roman" w:hAnsi="Times New Roman"/>
          <w:sz w:val="24"/>
          <w:szCs w:val="24"/>
          <w:lang w:val="en-US" w:eastAsia="de-DE"/>
        </w:rPr>
        <w:t>42</w:t>
      </w:r>
      <w:r w:rsidR="00C81210" w:rsidRPr="00683D62">
        <w:rPr>
          <w:rFonts w:ascii="Times New Roman" w:hAnsi="Times New Roman"/>
          <w:sz w:val="24"/>
          <w:szCs w:val="24"/>
          <w:lang w:val="en-US" w:eastAsia="de-DE"/>
        </w:rPr>
        <w:t>: 671</w:t>
      </w:r>
      <w:r w:rsidR="00A410C7" w:rsidRPr="00683D62">
        <w:rPr>
          <w:rFonts w:ascii="Times New Roman" w:hAnsi="Times New Roman"/>
          <w:sz w:val="24"/>
          <w:szCs w:val="24"/>
          <w:lang w:val="en-US" w:eastAsia="de-DE"/>
        </w:rPr>
        <w:t>-</w:t>
      </w:r>
      <w:r w:rsidR="00C22A67" w:rsidRPr="00683D62">
        <w:rPr>
          <w:rFonts w:ascii="Times New Roman" w:hAnsi="Times New Roman"/>
          <w:sz w:val="24"/>
          <w:szCs w:val="24"/>
          <w:lang w:val="en-US" w:eastAsia="de-DE"/>
        </w:rPr>
        <w:t>7.</w:t>
      </w:r>
    </w:p>
    <w:p w14:paraId="16E0037D" w14:textId="0DC882DD" w:rsidR="00BD1688"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25</w:t>
      </w:r>
      <w:r w:rsidR="001D7E21" w:rsidRPr="00683D62">
        <w:rPr>
          <w:rFonts w:ascii="Times New Roman" w:hAnsi="Times New Roman"/>
          <w:sz w:val="24"/>
          <w:szCs w:val="24"/>
          <w:lang w:val="en-US"/>
        </w:rPr>
        <w:t xml:space="preserve">. </w:t>
      </w:r>
      <w:r w:rsidR="00BD1688" w:rsidRPr="00683D62">
        <w:rPr>
          <w:rFonts w:ascii="Times New Roman" w:hAnsi="Times New Roman"/>
          <w:sz w:val="24"/>
          <w:szCs w:val="24"/>
          <w:lang w:val="en-US"/>
        </w:rPr>
        <w:t xml:space="preserve">Winkler C, Krumsiek J, Buettner F,  </w:t>
      </w:r>
      <w:r w:rsidR="00B96AEA" w:rsidRPr="00683D62">
        <w:rPr>
          <w:rFonts w:ascii="Times New Roman" w:hAnsi="Times New Roman"/>
          <w:sz w:val="24"/>
          <w:szCs w:val="24"/>
          <w:lang w:val="en-US"/>
        </w:rPr>
        <w:t xml:space="preserve">Angermüller C, Giannopoulou EZ, Theis FJ, Ziegler AG, Bonifacio E. </w:t>
      </w:r>
      <w:r w:rsidR="00BD1688" w:rsidRPr="00683D62">
        <w:rPr>
          <w:rFonts w:ascii="Times New Roman" w:hAnsi="Times New Roman"/>
          <w:sz w:val="24"/>
          <w:szCs w:val="24"/>
          <w:lang w:val="en-US"/>
        </w:rPr>
        <w:t>Feature ranking of type 1 diabetes susceptibility genes improves prediction o</w:t>
      </w:r>
      <w:r w:rsidR="00C81210" w:rsidRPr="00683D62">
        <w:rPr>
          <w:rFonts w:ascii="Times New Roman" w:hAnsi="Times New Roman"/>
          <w:sz w:val="24"/>
          <w:szCs w:val="24"/>
          <w:lang w:val="en-US"/>
        </w:rPr>
        <w:t xml:space="preserve">f type 1 diabetes. </w:t>
      </w:r>
      <w:r w:rsidR="00C81210" w:rsidRPr="00683D62">
        <w:rPr>
          <w:rFonts w:ascii="Times New Roman" w:hAnsi="Times New Roman"/>
          <w:i/>
          <w:sz w:val="24"/>
          <w:szCs w:val="24"/>
          <w:lang w:val="en-US"/>
        </w:rPr>
        <w:t>Diabetologia</w:t>
      </w:r>
      <w:r w:rsidR="00BD1688" w:rsidRPr="00683D62">
        <w:rPr>
          <w:rFonts w:ascii="Times New Roman" w:hAnsi="Times New Roman"/>
          <w:sz w:val="24"/>
          <w:szCs w:val="24"/>
          <w:lang w:val="en-US"/>
        </w:rPr>
        <w:t xml:space="preserve"> 2014</w:t>
      </w:r>
      <w:r w:rsidR="00C81210" w:rsidRPr="00683D62">
        <w:rPr>
          <w:rFonts w:ascii="Times New Roman" w:hAnsi="Times New Roman"/>
          <w:sz w:val="24"/>
          <w:szCs w:val="24"/>
          <w:lang w:val="en-US"/>
        </w:rPr>
        <w:t>;57:2521</w:t>
      </w:r>
      <w:r w:rsidR="00A410C7" w:rsidRPr="00683D62">
        <w:rPr>
          <w:rFonts w:ascii="Times New Roman" w:hAnsi="Times New Roman"/>
          <w:sz w:val="24"/>
          <w:szCs w:val="24"/>
          <w:lang w:val="en-US"/>
        </w:rPr>
        <w:t>-</w:t>
      </w:r>
      <w:r w:rsidR="00BD1688" w:rsidRPr="00683D62">
        <w:rPr>
          <w:rFonts w:ascii="Times New Roman" w:hAnsi="Times New Roman"/>
          <w:sz w:val="24"/>
          <w:szCs w:val="24"/>
          <w:lang w:val="en-US"/>
        </w:rPr>
        <w:t>9.</w:t>
      </w:r>
    </w:p>
    <w:p w14:paraId="72430B3B" w14:textId="60510A8F" w:rsidR="00122D98" w:rsidRPr="00683D62" w:rsidRDefault="006A7BC1"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26</w:t>
      </w:r>
      <w:r w:rsidR="001547FE" w:rsidRPr="00683D62">
        <w:rPr>
          <w:rFonts w:ascii="Times New Roman" w:hAnsi="Times New Roman"/>
          <w:sz w:val="24"/>
          <w:szCs w:val="24"/>
          <w:lang w:val="en-US"/>
        </w:rPr>
        <w:t xml:space="preserve">. </w:t>
      </w:r>
      <w:r w:rsidR="00C22A67" w:rsidRPr="00683D62">
        <w:rPr>
          <w:rFonts w:ascii="Times New Roman" w:hAnsi="Times New Roman"/>
          <w:sz w:val="24"/>
          <w:szCs w:val="24"/>
          <w:lang w:val="en-US"/>
        </w:rPr>
        <w:t>Puavilai G, Chanprasertyotin S, Sriphrapradaeng A</w:t>
      </w:r>
      <w:r w:rsidR="005814D4" w:rsidRPr="00683D62">
        <w:rPr>
          <w:rFonts w:ascii="Times New Roman" w:hAnsi="Times New Roman"/>
          <w:sz w:val="24"/>
          <w:szCs w:val="24"/>
          <w:lang w:val="en-US"/>
        </w:rPr>
        <w:t xml:space="preserve">. </w:t>
      </w:r>
      <w:r w:rsidR="00C22A67" w:rsidRPr="00683D62">
        <w:rPr>
          <w:rFonts w:ascii="Times New Roman" w:hAnsi="Times New Roman"/>
          <w:sz w:val="24"/>
          <w:szCs w:val="24"/>
          <w:lang w:val="en-US"/>
        </w:rPr>
        <w:t xml:space="preserve">Diagnostic criteria for diabetes mellitus and other categories of glucose intolerance: 1997 criteria by the expert committee on the diagnosis and classification of diabetes mellitus (ADA), 1998 Acta Diabetol 123 WHO consultation criteria, and 1985 WHO criteria. World Health Organization. </w:t>
      </w:r>
      <w:r w:rsidR="00C22A67" w:rsidRPr="00683D62">
        <w:rPr>
          <w:rFonts w:ascii="Times New Roman" w:hAnsi="Times New Roman"/>
          <w:i/>
          <w:sz w:val="24"/>
          <w:szCs w:val="24"/>
          <w:lang w:val="en-US"/>
        </w:rPr>
        <w:t>Diabetes Res Clin Pract</w:t>
      </w:r>
      <w:r w:rsidR="00C22A67" w:rsidRPr="00683D62">
        <w:rPr>
          <w:rFonts w:ascii="Times New Roman" w:hAnsi="Times New Roman"/>
          <w:sz w:val="24"/>
          <w:szCs w:val="24"/>
          <w:lang w:val="en-US"/>
        </w:rPr>
        <w:t xml:space="preserve"> </w:t>
      </w:r>
      <w:r w:rsidR="005814D4" w:rsidRPr="00683D62">
        <w:rPr>
          <w:rFonts w:ascii="Times New Roman" w:hAnsi="Times New Roman"/>
          <w:sz w:val="24"/>
          <w:szCs w:val="24"/>
          <w:lang w:val="en-US"/>
        </w:rPr>
        <w:t>1999;</w:t>
      </w:r>
      <w:r w:rsidR="00C22A67" w:rsidRPr="00683D62">
        <w:rPr>
          <w:rFonts w:ascii="Times New Roman" w:hAnsi="Times New Roman"/>
          <w:sz w:val="24"/>
          <w:szCs w:val="24"/>
          <w:lang w:val="en-US"/>
        </w:rPr>
        <w:t>44</w:t>
      </w:r>
      <w:r w:rsidR="00C81210" w:rsidRPr="00683D62">
        <w:rPr>
          <w:rFonts w:ascii="Times New Roman" w:hAnsi="Times New Roman"/>
          <w:sz w:val="24"/>
          <w:szCs w:val="24"/>
          <w:lang w:val="en-US"/>
        </w:rPr>
        <w:t>:21</w:t>
      </w:r>
      <w:r w:rsidR="00A410C7" w:rsidRPr="00683D62">
        <w:rPr>
          <w:rFonts w:ascii="Times New Roman" w:hAnsi="Times New Roman"/>
          <w:sz w:val="24"/>
          <w:szCs w:val="24"/>
          <w:lang w:val="en-US"/>
        </w:rPr>
        <w:t>-</w:t>
      </w:r>
      <w:r w:rsidR="00C22A67" w:rsidRPr="00683D62">
        <w:rPr>
          <w:rFonts w:ascii="Times New Roman" w:hAnsi="Times New Roman"/>
          <w:sz w:val="24"/>
          <w:szCs w:val="24"/>
          <w:lang w:val="en-US"/>
        </w:rPr>
        <w:t>6.</w:t>
      </w:r>
    </w:p>
    <w:p w14:paraId="5C4A8539" w14:textId="7C3C21BA" w:rsidR="00DF6BDB" w:rsidRPr="00683D62" w:rsidRDefault="006A7BC1"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27</w:t>
      </w:r>
      <w:r w:rsidR="001547FE" w:rsidRPr="00683D62">
        <w:rPr>
          <w:rFonts w:ascii="Times New Roman" w:hAnsi="Times New Roman"/>
          <w:sz w:val="24"/>
          <w:szCs w:val="24"/>
          <w:lang w:val="en-US"/>
        </w:rPr>
        <w:t>.</w:t>
      </w:r>
      <w:r w:rsidR="00DF6BDB" w:rsidRPr="00683D62">
        <w:rPr>
          <w:rFonts w:ascii="Times New Roman" w:hAnsi="Times New Roman"/>
          <w:sz w:val="24"/>
          <w:szCs w:val="24"/>
          <w:lang w:val="en-US"/>
        </w:rPr>
        <w:t xml:space="preserve"> Poc</w:t>
      </w:r>
      <w:r w:rsidR="00110981" w:rsidRPr="00683D62">
        <w:rPr>
          <w:rFonts w:ascii="Times New Roman" w:hAnsi="Times New Roman"/>
          <w:sz w:val="24"/>
          <w:szCs w:val="24"/>
          <w:lang w:val="en-US"/>
        </w:rPr>
        <w:t>iot F</w:t>
      </w:r>
      <w:r w:rsidR="00DF6BDB" w:rsidRPr="00683D62">
        <w:rPr>
          <w:rFonts w:ascii="Times New Roman" w:hAnsi="Times New Roman"/>
          <w:sz w:val="24"/>
          <w:szCs w:val="24"/>
          <w:lang w:val="en-US"/>
        </w:rPr>
        <w:t>, Akolkar B, Concannon P</w:t>
      </w:r>
      <w:r w:rsidR="00540BDA" w:rsidRPr="00683D62">
        <w:rPr>
          <w:rFonts w:ascii="Times New Roman" w:hAnsi="Times New Roman"/>
          <w:sz w:val="24"/>
          <w:szCs w:val="24"/>
          <w:lang w:val="en-US"/>
        </w:rPr>
        <w:t>, Erlich HA, Julier C, Morahan G, Nierras CR, Todd JA, Rich SS, Nerup J.</w:t>
      </w:r>
      <w:r w:rsidR="00DF6BDB" w:rsidRPr="00683D62">
        <w:rPr>
          <w:rFonts w:ascii="Times New Roman" w:hAnsi="Times New Roman"/>
          <w:sz w:val="24"/>
          <w:szCs w:val="24"/>
          <w:lang w:val="en-US"/>
        </w:rPr>
        <w:t xml:space="preserve"> Genetics of type 1 diabetes: what's next? </w:t>
      </w:r>
      <w:r w:rsidR="00DF6BDB" w:rsidRPr="00683D62">
        <w:rPr>
          <w:rFonts w:ascii="Times New Roman" w:hAnsi="Times New Roman"/>
          <w:i/>
          <w:sz w:val="24"/>
          <w:szCs w:val="24"/>
          <w:lang w:val="en-US"/>
        </w:rPr>
        <w:t>Diabetes.</w:t>
      </w:r>
      <w:r w:rsidR="00DF6BDB" w:rsidRPr="00683D62">
        <w:rPr>
          <w:rFonts w:ascii="Times New Roman" w:hAnsi="Times New Roman"/>
          <w:sz w:val="24"/>
          <w:szCs w:val="24"/>
          <w:lang w:val="en-US"/>
        </w:rPr>
        <w:t xml:space="preserve"> 2010;59(7):1561-71. </w:t>
      </w:r>
    </w:p>
    <w:p w14:paraId="1112BFA3" w14:textId="29E6CB2B" w:rsidR="00C81210" w:rsidRPr="00683D62" w:rsidRDefault="006A7BC1"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28</w:t>
      </w:r>
      <w:r w:rsidR="00764787" w:rsidRPr="00683D62">
        <w:rPr>
          <w:rFonts w:ascii="Times New Roman" w:hAnsi="Times New Roman"/>
          <w:sz w:val="24"/>
          <w:szCs w:val="24"/>
          <w:lang w:val="en-US"/>
        </w:rPr>
        <w:t>.</w:t>
      </w:r>
      <w:r w:rsidR="001547FE" w:rsidRPr="00683D62">
        <w:rPr>
          <w:rFonts w:ascii="Times New Roman" w:hAnsi="Times New Roman"/>
          <w:sz w:val="24"/>
          <w:szCs w:val="24"/>
          <w:lang w:val="en-US"/>
        </w:rPr>
        <w:t xml:space="preserve"> </w:t>
      </w:r>
      <w:r w:rsidR="00C81210" w:rsidRPr="00683D62">
        <w:rPr>
          <w:rFonts w:ascii="Times New Roman" w:hAnsi="Times New Roman"/>
          <w:sz w:val="24"/>
          <w:szCs w:val="24"/>
          <w:lang w:val="en-US"/>
        </w:rPr>
        <w:t xml:space="preserve">Brorsson CA, Pociot F, and the Type 1 Diabetes Genetics Consortium. Shared genetic basis for type 1 diabetes, islet autoantibodies, and autoantibodies associated with other immune-mediated diseases in families with type 1 diabetes. </w:t>
      </w:r>
      <w:r w:rsidR="00C81210" w:rsidRPr="00683D62">
        <w:rPr>
          <w:rFonts w:ascii="Times New Roman" w:hAnsi="Times New Roman"/>
          <w:i/>
          <w:sz w:val="24"/>
          <w:szCs w:val="24"/>
          <w:lang w:val="en-US"/>
        </w:rPr>
        <w:t>Diabetes Care</w:t>
      </w:r>
      <w:r w:rsidR="00C81210" w:rsidRPr="00683D62">
        <w:rPr>
          <w:rFonts w:ascii="Times New Roman" w:hAnsi="Times New Roman"/>
          <w:sz w:val="24"/>
          <w:szCs w:val="24"/>
          <w:lang w:val="en-US"/>
        </w:rPr>
        <w:t xml:space="preserve"> 2015;38:S8</w:t>
      </w:r>
      <w:r w:rsidR="00A410C7" w:rsidRPr="00683D62">
        <w:rPr>
          <w:rFonts w:ascii="Times New Roman" w:hAnsi="Times New Roman"/>
          <w:bCs/>
          <w:sz w:val="24"/>
          <w:szCs w:val="24"/>
          <w:lang w:val="en-US"/>
        </w:rPr>
        <w:t>-</w:t>
      </w:r>
      <w:r w:rsidR="00C81210" w:rsidRPr="00683D62">
        <w:rPr>
          <w:rFonts w:ascii="Times New Roman" w:hAnsi="Times New Roman"/>
          <w:sz w:val="24"/>
          <w:szCs w:val="24"/>
          <w:lang w:val="en-US"/>
        </w:rPr>
        <w:t>S13.</w:t>
      </w:r>
    </w:p>
    <w:p w14:paraId="69728923" w14:textId="160CE7FF" w:rsidR="00BB2870" w:rsidRPr="00683D62" w:rsidRDefault="00332185"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29</w:t>
      </w:r>
      <w:r w:rsidR="00110981" w:rsidRPr="00683D62">
        <w:rPr>
          <w:rFonts w:ascii="Times New Roman" w:hAnsi="Times New Roman"/>
          <w:sz w:val="24"/>
          <w:szCs w:val="24"/>
          <w:lang w:val="en-US"/>
        </w:rPr>
        <w:t>. Jonsdottir B, Larsson C, Carlsson A</w:t>
      </w:r>
      <w:r w:rsidR="00540BDA" w:rsidRPr="00683D62">
        <w:rPr>
          <w:rFonts w:ascii="Times New Roman" w:hAnsi="Times New Roman"/>
          <w:sz w:val="24"/>
          <w:szCs w:val="24"/>
          <w:lang w:val="en-US"/>
        </w:rPr>
        <w:t>, Forsander G, Ivarsson SA, Lernmark Å, Ludvigsson J, Marcus C, Samuelsson U, Örtqvist E, Larsson HE; Better Diabetes Diagnosis Study Group.</w:t>
      </w:r>
      <w:r w:rsidR="00110981" w:rsidRPr="00683D62">
        <w:rPr>
          <w:rFonts w:ascii="Times New Roman" w:hAnsi="Times New Roman"/>
          <w:sz w:val="24"/>
          <w:szCs w:val="24"/>
          <w:lang w:val="en-US"/>
        </w:rPr>
        <w:t xml:space="preserve"> Thyroid and Islet Autoantibodies Predict Autoimmune Thyroid Disease at Type 1 Diabetes Diagnosis. </w:t>
      </w:r>
      <w:r w:rsidR="00110981" w:rsidRPr="00683D62">
        <w:rPr>
          <w:rFonts w:ascii="Times New Roman" w:hAnsi="Times New Roman"/>
          <w:i/>
          <w:sz w:val="24"/>
          <w:szCs w:val="24"/>
          <w:lang w:val="en-US"/>
        </w:rPr>
        <w:t>J Clin Endocrinol Metab.</w:t>
      </w:r>
      <w:r w:rsidR="00110981" w:rsidRPr="00683D62">
        <w:rPr>
          <w:rFonts w:ascii="Times New Roman" w:hAnsi="Times New Roman"/>
          <w:sz w:val="24"/>
          <w:szCs w:val="24"/>
          <w:lang w:val="en-US"/>
        </w:rPr>
        <w:t xml:space="preserve"> 2017;102(4):1277-1285</w:t>
      </w:r>
    </w:p>
    <w:p w14:paraId="3E75A26C" w14:textId="082CDE08" w:rsidR="00110981" w:rsidRPr="00683D62" w:rsidRDefault="00332185"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30</w:t>
      </w:r>
      <w:r w:rsidR="00110981" w:rsidRPr="00683D62">
        <w:rPr>
          <w:rFonts w:ascii="Times New Roman" w:hAnsi="Times New Roman"/>
          <w:sz w:val="24"/>
          <w:szCs w:val="24"/>
          <w:lang w:val="en-US"/>
        </w:rPr>
        <w:t xml:space="preserve">. Gidrewicz D, Potter K, Trevenen CL, Lyon M, Butzner JD. Evaluation of the ESPGHAN Celiac Guidelines in a North American Pediatric Population. </w:t>
      </w:r>
      <w:r w:rsidR="00110981" w:rsidRPr="00683D62">
        <w:rPr>
          <w:rFonts w:ascii="Times New Roman" w:hAnsi="Times New Roman"/>
          <w:i/>
          <w:sz w:val="24"/>
          <w:szCs w:val="24"/>
          <w:lang w:val="en-US"/>
        </w:rPr>
        <w:t>Am J Gastroenterol.</w:t>
      </w:r>
      <w:r w:rsidR="00110981" w:rsidRPr="00683D62">
        <w:rPr>
          <w:rFonts w:ascii="Times New Roman" w:hAnsi="Times New Roman"/>
          <w:sz w:val="24"/>
          <w:szCs w:val="24"/>
          <w:lang w:val="en-US"/>
        </w:rPr>
        <w:t xml:space="preserve"> 2015;110(5):760-7.</w:t>
      </w:r>
    </w:p>
    <w:p w14:paraId="3CC656B7" w14:textId="3C4E9BD1" w:rsidR="006156DC" w:rsidRPr="00683D62" w:rsidRDefault="006156DC"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lastRenderedPageBreak/>
        <w:t>3</w:t>
      </w:r>
      <w:r w:rsidR="00332185" w:rsidRPr="00683D62">
        <w:rPr>
          <w:rFonts w:ascii="Times New Roman" w:hAnsi="Times New Roman"/>
          <w:sz w:val="24"/>
          <w:szCs w:val="24"/>
          <w:lang w:val="en-US"/>
        </w:rPr>
        <w:t>1</w:t>
      </w:r>
      <w:r w:rsidRPr="00683D62">
        <w:rPr>
          <w:rFonts w:ascii="Times New Roman" w:hAnsi="Times New Roman"/>
          <w:sz w:val="24"/>
          <w:szCs w:val="24"/>
          <w:lang w:val="en-US"/>
        </w:rPr>
        <w:t xml:space="preserve">. Hansen PS, Brix TH, Iachine I, Kyvik KO, Hegedüs L. The relative importance of genetic and environmental effects for the early stages of thyroid autoimmunity. A study of healthy Danish twins. </w:t>
      </w:r>
      <w:r w:rsidRPr="00683D62">
        <w:rPr>
          <w:rFonts w:ascii="Times New Roman" w:hAnsi="Times New Roman"/>
          <w:i/>
          <w:sz w:val="24"/>
          <w:szCs w:val="24"/>
          <w:lang w:val="en-US"/>
        </w:rPr>
        <w:t>Eur J Endocrinol</w:t>
      </w:r>
      <w:r w:rsidRPr="00683D62">
        <w:rPr>
          <w:rFonts w:ascii="Times New Roman" w:hAnsi="Times New Roman"/>
          <w:sz w:val="24"/>
          <w:szCs w:val="24"/>
          <w:lang w:val="en-US"/>
        </w:rPr>
        <w:t xml:space="preserve"> 2006;154:29–38</w:t>
      </w:r>
    </w:p>
    <w:p w14:paraId="0C11374D" w14:textId="2EBC82A2" w:rsidR="006156DC" w:rsidRPr="00683D62" w:rsidRDefault="00332185"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32</w:t>
      </w:r>
      <w:r w:rsidR="006156DC" w:rsidRPr="00683D62">
        <w:rPr>
          <w:rFonts w:ascii="Times New Roman" w:hAnsi="Times New Roman"/>
          <w:sz w:val="24"/>
          <w:szCs w:val="24"/>
          <w:lang w:val="en-US"/>
        </w:rPr>
        <w:t xml:space="preserve">. Wang B, Hawa MI, Rijsdijk FV, Fain PR, Paschou SA, Boehm BO, Steck AK, Snieder H, Leslie RD. Heritability of thyroid peroxidase autoantibody levels in type 1 diabetes:  evidence from discordant twin pairs. </w:t>
      </w:r>
      <w:r w:rsidR="006156DC" w:rsidRPr="00683D62">
        <w:rPr>
          <w:rFonts w:ascii="Times New Roman" w:hAnsi="Times New Roman"/>
          <w:i/>
          <w:sz w:val="24"/>
          <w:szCs w:val="24"/>
          <w:lang w:val="en-US"/>
        </w:rPr>
        <w:t>Diabetologia</w:t>
      </w:r>
      <w:r w:rsidR="006156DC" w:rsidRPr="00683D62">
        <w:rPr>
          <w:rFonts w:ascii="Times New Roman" w:hAnsi="Times New Roman"/>
          <w:sz w:val="24"/>
          <w:szCs w:val="24"/>
          <w:lang w:val="en-US"/>
        </w:rPr>
        <w:t xml:space="preserve"> 2015;58(9):2079-86</w:t>
      </w:r>
    </w:p>
    <w:p w14:paraId="5539589E" w14:textId="10EC554D" w:rsidR="006156DC" w:rsidRPr="00683D62" w:rsidRDefault="006156DC"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w:t>
      </w:r>
      <w:r w:rsidR="00332185" w:rsidRPr="00683D62">
        <w:rPr>
          <w:rFonts w:ascii="Times New Roman" w:hAnsi="Times New Roman"/>
          <w:sz w:val="24"/>
          <w:szCs w:val="24"/>
          <w:lang w:val="en-US"/>
        </w:rPr>
        <w:t>3</w:t>
      </w:r>
      <w:r w:rsidRPr="00683D62">
        <w:rPr>
          <w:rFonts w:ascii="Times New Roman" w:hAnsi="Times New Roman"/>
          <w:sz w:val="24"/>
          <w:szCs w:val="24"/>
          <w:lang w:val="en-US"/>
        </w:rPr>
        <w:t xml:space="preserve">. Liu E, Lee HS, Aronsson CA, Hagopian WA, Koletzko S, Rewers MJ, Eisenbarth GS, Bingley PJ, Bonifacio E, Simell V, Agardh D; TEDDY Study Group. Risk of pediatric celiac disease according to HLA haplotype and country. </w:t>
      </w:r>
      <w:r w:rsidRPr="00683D62">
        <w:rPr>
          <w:rFonts w:ascii="Times New Roman" w:hAnsi="Times New Roman"/>
          <w:i/>
          <w:sz w:val="24"/>
          <w:szCs w:val="24"/>
          <w:lang w:val="en-US"/>
        </w:rPr>
        <w:t>N Engl J Med. 2014</w:t>
      </w:r>
      <w:r w:rsidRPr="00683D62">
        <w:rPr>
          <w:rFonts w:ascii="Times New Roman" w:hAnsi="Times New Roman"/>
          <w:sz w:val="24"/>
          <w:szCs w:val="24"/>
          <w:lang w:val="en-US"/>
        </w:rPr>
        <w:t>;371(1):42-9</w:t>
      </w:r>
    </w:p>
    <w:p w14:paraId="4157ACB9" w14:textId="55911348" w:rsidR="006156DC" w:rsidRPr="00683D62" w:rsidRDefault="00A20158" w:rsidP="00BB2870">
      <w:pPr>
        <w:autoSpaceDE w:val="0"/>
        <w:autoSpaceDN w:val="0"/>
        <w:adjustRightInd w:val="0"/>
        <w:spacing w:after="0" w:line="480" w:lineRule="auto"/>
        <w:jc w:val="both"/>
        <w:rPr>
          <w:rFonts w:ascii="Times New Roman" w:hAnsi="Times New Roman"/>
          <w:sz w:val="24"/>
          <w:szCs w:val="24"/>
          <w:lang w:val="en"/>
        </w:rPr>
      </w:pPr>
      <w:r w:rsidRPr="00683D62">
        <w:rPr>
          <w:rFonts w:ascii="Times New Roman" w:hAnsi="Times New Roman"/>
          <w:sz w:val="24"/>
          <w:szCs w:val="24"/>
          <w:lang w:val="en-US"/>
        </w:rPr>
        <w:t>34</w:t>
      </w:r>
      <w:r w:rsidR="006156DC" w:rsidRPr="00683D62">
        <w:rPr>
          <w:rFonts w:ascii="Times New Roman" w:hAnsi="Times New Roman"/>
          <w:sz w:val="24"/>
          <w:szCs w:val="24"/>
          <w:lang w:val="en-US"/>
        </w:rPr>
        <w:t>. Jonsdottir B, Larsson C, Lundgren M, Ramelius A, Jönsson I, Larsson HE; DiPiS study Group3.</w:t>
      </w:r>
      <w:r w:rsidR="006156DC" w:rsidRPr="00683D62">
        <w:rPr>
          <w:rFonts w:ascii="Times New Roman" w:hAnsi="Times New Roman"/>
          <w:sz w:val="24"/>
          <w:szCs w:val="24"/>
          <w:lang w:val="en"/>
        </w:rPr>
        <w:t xml:space="preserve"> </w:t>
      </w:r>
      <w:r w:rsidR="006156DC" w:rsidRPr="00683D62">
        <w:rPr>
          <w:rFonts w:ascii="Times New Roman" w:hAnsi="Times New Roman"/>
          <w:sz w:val="24"/>
          <w:szCs w:val="24"/>
          <w:lang w:val="en-US"/>
        </w:rPr>
        <w:t xml:space="preserve">Childhood thyroid autoimmunity and relation to islet autoantibodies in children at risk for type 1 diabetes in the diabetes prediction in skåne (DiPiS) study. </w:t>
      </w:r>
      <w:r w:rsidR="006156DC" w:rsidRPr="00683D62">
        <w:rPr>
          <w:rFonts w:ascii="Times New Roman" w:hAnsi="Times New Roman"/>
          <w:i/>
          <w:sz w:val="24"/>
          <w:szCs w:val="24"/>
          <w:lang w:val="en-US"/>
        </w:rPr>
        <w:t>Autoimmunity.</w:t>
      </w:r>
      <w:r w:rsidR="006156DC" w:rsidRPr="00683D62">
        <w:rPr>
          <w:rFonts w:ascii="Times New Roman" w:hAnsi="Times New Roman"/>
          <w:sz w:val="24"/>
          <w:szCs w:val="24"/>
          <w:lang w:val="en-US"/>
        </w:rPr>
        <w:t xml:space="preserve"> 2018;51(5):228-237. </w:t>
      </w:r>
    </w:p>
    <w:p w14:paraId="3B4605D2" w14:textId="6D768BB2" w:rsidR="00224DAA" w:rsidRPr="00683D62" w:rsidRDefault="00A20158"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35</w:t>
      </w:r>
      <w:r w:rsidR="00224DAA" w:rsidRPr="00683D62">
        <w:rPr>
          <w:rFonts w:ascii="Times New Roman" w:hAnsi="Times New Roman"/>
          <w:sz w:val="24"/>
          <w:szCs w:val="24"/>
          <w:lang w:val="en-US"/>
        </w:rPr>
        <w:t xml:space="preserve">. Hermann R, Laine AP, Veijola R, Vahlberg T, Simell S, Lähde J, Simell O, Knip M, Ilonen J. The effect of HLA class II, insulin and CTLA4 gene regions on the development of humoral beta cell autoimmunity. </w:t>
      </w:r>
      <w:r w:rsidR="00224DAA" w:rsidRPr="00683D62">
        <w:rPr>
          <w:rFonts w:ascii="Times New Roman" w:hAnsi="Times New Roman"/>
          <w:i/>
          <w:sz w:val="24"/>
          <w:szCs w:val="24"/>
          <w:lang w:val="en-US"/>
        </w:rPr>
        <w:t>Diabetologia</w:t>
      </w:r>
      <w:r w:rsidR="00224DAA" w:rsidRPr="00683D62">
        <w:rPr>
          <w:rFonts w:ascii="Times New Roman" w:hAnsi="Times New Roman"/>
          <w:sz w:val="24"/>
          <w:szCs w:val="24"/>
          <w:lang w:val="en-US"/>
        </w:rPr>
        <w:t xml:space="preserve"> 2005;48(9):1766-75.</w:t>
      </w:r>
    </w:p>
    <w:p w14:paraId="599B02A6" w14:textId="5BDBDB6D" w:rsidR="006156DC" w:rsidRPr="00683D62" w:rsidRDefault="00827F67"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36</w:t>
      </w:r>
      <w:r w:rsidR="002A5B7A" w:rsidRPr="00683D62">
        <w:rPr>
          <w:rFonts w:ascii="Times New Roman" w:hAnsi="Times New Roman"/>
          <w:sz w:val="24"/>
          <w:szCs w:val="24"/>
          <w:lang w:val="en-US"/>
        </w:rPr>
        <w:t>.</w:t>
      </w:r>
      <w:r w:rsidR="00095E5B" w:rsidRPr="00683D62">
        <w:rPr>
          <w:rFonts w:ascii="Times New Roman" w:hAnsi="Times New Roman"/>
          <w:sz w:val="24"/>
          <w:szCs w:val="24"/>
          <w:lang w:val="en-US"/>
        </w:rPr>
        <w:t xml:space="preserve"> Holl RW, Bohm B, Loos U, Grabert M, Heinze E, Homoki J. Thyroid autoimmunity in children and adolescents with type 1 diabetes mellitus. Effect of age, gender and HLA type. </w:t>
      </w:r>
      <w:r w:rsidR="00095E5B" w:rsidRPr="00683D62">
        <w:rPr>
          <w:rFonts w:ascii="Times New Roman" w:hAnsi="Times New Roman"/>
          <w:i/>
          <w:sz w:val="24"/>
          <w:szCs w:val="24"/>
          <w:lang w:val="en-US"/>
        </w:rPr>
        <w:t>Horm Res.</w:t>
      </w:r>
      <w:r w:rsidR="00095E5B" w:rsidRPr="00683D62">
        <w:rPr>
          <w:rFonts w:ascii="Times New Roman" w:hAnsi="Times New Roman"/>
          <w:sz w:val="24"/>
          <w:szCs w:val="24"/>
          <w:lang w:val="en-US"/>
        </w:rPr>
        <w:t xml:space="preserve"> 1999;52: 113-8</w:t>
      </w:r>
    </w:p>
    <w:p w14:paraId="66F45DDB" w14:textId="399DA6B8" w:rsidR="00095E5B" w:rsidRPr="00683D62" w:rsidRDefault="00827F67" w:rsidP="00BB2870">
      <w:pPr>
        <w:autoSpaceDE w:val="0"/>
        <w:autoSpaceDN w:val="0"/>
        <w:adjustRightInd w:val="0"/>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37</w:t>
      </w:r>
      <w:r w:rsidR="00095E5B" w:rsidRPr="00683D62">
        <w:rPr>
          <w:rFonts w:ascii="Times New Roman" w:hAnsi="Times New Roman"/>
          <w:sz w:val="24"/>
          <w:szCs w:val="24"/>
          <w:lang w:val="en-US"/>
        </w:rPr>
        <w:t xml:space="preserve">. De Block CE, De Leeuw IH, Vertommen JJ, Rooman RP, Du Caju MV, Van Campenhout CM, Weyler JJ, Winnock F, Van Autreve J, Gorus FK; Belgian Diabetes Registry. Beta-cell, thyroid, gastric, adrenal and coeliac autoimmunity and HLA-DQ types in type 1 diabetes. Clin </w:t>
      </w:r>
      <w:r w:rsidR="00095E5B" w:rsidRPr="00683D62">
        <w:rPr>
          <w:rFonts w:ascii="Times New Roman" w:hAnsi="Times New Roman"/>
          <w:i/>
          <w:sz w:val="24"/>
          <w:szCs w:val="24"/>
          <w:lang w:val="en-US"/>
        </w:rPr>
        <w:t>Exp Immunol</w:t>
      </w:r>
      <w:r w:rsidR="00095E5B" w:rsidRPr="00683D62">
        <w:rPr>
          <w:rFonts w:ascii="Times New Roman" w:hAnsi="Times New Roman"/>
          <w:sz w:val="24"/>
          <w:szCs w:val="24"/>
          <w:lang w:val="en-US"/>
        </w:rPr>
        <w:t xml:space="preserve"> 2001;126:236-241.</w:t>
      </w:r>
    </w:p>
    <w:p w14:paraId="200ED87E" w14:textId="7011BA75" w:rsidR="00DC5E2F" w:rsidRPr="00683D62" w:rsidRDefault="00827F67" w:rsidP="00BB2870">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38</w:t>
      </w:r>
      <w:r w:rsidR="00095E5B" w:rsidRPr="00683D62">
        <w:rPr>
          <w:rFonts w:ascii="Times New Roman" w:hAnsi="Times New Roman"/>
          <w:sz w:val="24"/>
          <w:szCs w:val="24"/>
          <w:lang w:val="en-US"/>
        </w:rPr>
        <w:t xml:space="preserve">. </w:t>
      </w:r>
      <w:r w:rsidR="00DC5E2F" w:rsidRPr="00683D62">
        <w:rPr>
          <w:rFonts w:ascii="Times New Roman" w:hAnsi="Times New Roman"/>
          <w:sz w:val="24"/>
          <w:szCs w:val="24"/>
          <w:lang w:val="en-US"/>
        </w:rPr>
        <w:t xml:space="preserve">Weber G, Vigone MC, Stroppa L, Chiumello G. Thyroid function and puberty. </w:t>
      </w:r>
      <w:r w:rsidR="00DC5E2F" w:rsidRPr="00683D62">
        <w:rPr>
          <w:rFonts w:ascii="Times New Roman" w:hAnsi="Times New Roman"/>
          <w:i/>
          <w:sz w:val="24"/>
          <w:szCs w:val="24"/>
          <w:lang w:val="en-US"/>
        </w:rPr>
        <w:t>J Pe</w:t>
      </w:r>
      <w:r w:rsidR="00C81210" w:rsidRPr="00683D62">
        <w:rPr>
          <w:rFonts w:ascii="Times New Roman" w:hAnsi="Times New Roman"/>
          <w:i/>
          <w:sz w:val="24"/>
          <w:szCs w:val="24"/>
          <w:lang w:val="en-US"/>
        </w:rPr>
        <w:t>diatr Endocrinol Metab</w:t>
      </w:r>
      <w:r w:rsidR="00DC5E2F" w:rsidRPr="00683D62">
        <w:rPr>
          <w:rFonts w:ascii="Times New Roman" w:hAnsi="Times New Roman"/>
          <w:sz w:val="24"/>
          <w:szCs w:val="24"/>
          <w:lang w:val="en-US"/>
        </w:rPr>
        <w:t xml:space="preserve"> 2003;16</w:t>
      </w:r>
      <w:r w:rsidR="00C81210" w:rsidRPr="00683D62">
        <w:rPr>
          <w:rFonts w:ascii="Times New Roman" w:hAnsi="Times New Roman"/>
          <w:sz w:val="24"/>
          <w:szCs w:val="24"/>
          <w:lang w:val="en-US"/>
        </w:rPr>
        <w:t xml:space="preserve"> Suppl 2:253</w:t>
      </w:r>
      <w:r w:rsidR="00A410C7" w:rsidRPr="00683D62">
        <w:rPr>
          <w:rFonts w:ascii="Times New Roman" w:hAnsi="Times New Roman"/>
          <w:sz w:val="24"/>
          <w:szCs w:val="24"/>
          <w:lang w:val="en-US"/>
        </w:rPr>
        <w:t>-</w:t>
      </w:r>
      <w:r w:rsidR="00DC5E2F" w:rsidRPr="00683D62">
        <w:rPr>
          <w:rFonts w:ascii="Times New Roman" w:hAnsi="Times New Roman"/>
          <w:sz w:val="24"/>
          <w:szCs w:val="24"/>
          <w:lang w:val="en-US"/>
        </w:rPr>
        <w:t>7.</w:t>
      </w:r>
    </w:p>
    <w:p w14:paraId="2132326D" w14:textId="79AFADEE" w:rsidR="00E13165" w:rsidRDefault="00827F67" w:rsidP="00E13165">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lastRenderedPageBreak/>
        <w:t>39</w:t>
      </w:r>
      <w:r w:rsidR="00095E5B" w:rsidRPr="00683D62">
        <w:rPr>
          <w:rFonts w:ascii="Times New Roman" w:hAnsi="Times New Roman"/>
          <w:sz w:val="24"/>
          <w:szCs w:val="24"/>
          <w:lang w:val="en-US"/>
        </w:rPr>
        <w:t>.</w:t>
      </w:r>
      <w:r w:rsidR="00FC5C21" w:rsidRPr="00683D62">
        <w:rPr>
          <w:rFonts w:ascii="Times New Roman" w:hAnsi="Times New Roman"/>
          <w:sz w:val="24"/>
          <w:szCs w:val="24"/>
          <w:lang w:val="en-US"/>
        </w:rPr>
        <w:t xml:space="preserve"> </w:t>
      </w:r>
      <w:r w:rsidR="00E13165" w:rsidRPr="00E13165">
        <w:rPr>
          <w:rFonts w:ascii="Times New Roman" w:hAnsi="Times New Roman"/>
          <w:sz w:val="24"/>
          <w:szCs w:val="24"/>
          <w:lang w:val="en-US"/>
        </w:rPr>
        <w:t>Stolovich-Rain M, Enk J, Vikesa J, Nielse</w:t>
      </w:r>
      <w:r w:rsidR="00E13165">
        <w:rPr>
          <w:rFonts w:ascii="Times New Roman" w:hAnsi="Times New Roman"/>
          <w:sz w:val="24"/>
          <w:szCs w:val="24"/>
          <w:lang w:val="en-US"/>
        </w:rPr>
        <w:t xml:space="preserve">n FC, Saada A, Glaser B, Dor Y. </w:t>
      </w:r>
      <w:r w:rsidR="00E13165" w:rsidRPr="00E13165">
        <w:rPr>
          <w:rFonts w:ascii="Times New Roman" w:hAnsi="Times New Roman"/>
          <w:sz w:val="24"/>
          <w:szCs w:val="24"/>
          <w:lang w:val="en-US"/>
        </w:rPr>
        <w:t>Weaning triggers a maturat</w:t>
      </w:r>
      <w:r w:rsidR="00E13165">
        <w:rPr>
          <w:rFonts w:ascii="Times New Roman" w:hAnsi="Times New Roman"/>
          <w:sz w:val="24"/>
          <w:szCs w:val="24"/>
          <w:lang w:val="en-US"/>
        </w:rPr>
        <w:t xml:space="preserve">ion step of pancreatic β cells. </w:t>
      </w:r>
      <w:r w:rsidR="00E13165">
        <w:rPr>
          <w:rFonts w:ascii="Times New Roman" w:hAnsi="Times New Roman"/>
          <w:i/>
          <w:sz w:val="24"/>
          <w:szCs w:val="24"/>
          <w:lang w:val="en-US"/>
        </w:rPr>
        <w:t>Dev Cell</w:t>
      </w:r>
      <w:r w:rsidR="00E13165" w:rsidRPr="00E13165">
        <w:rPr>
          <w:rFonts w:ascii="Times New Roman" w:hAnsi="Times New Roman"/>
          <w:sz w:val="24"/>
          <w:szCs w:val="24"/>
          <w:lang w:val="en-US"/>
        </w:rPr>
        <w:t xml:space="preserve"> 2015;32(5):535-45.</w:t>
      </w:r>
    </w:p>
    <w:p w14:paraId="71DAFEBE" w14:textId="3F0AECFB" w:rsidR="00B06F5C" w:rsidRPr="00683D62" w:rsidRDefault="00827F67" w:rsidP="00E13165">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40</w:t>
      </w:r>
      <w:r w:rsidR="00617866" w:rsidRPr="00683D62">
        <w:rPr>
          <w:rFonts w:ascii="Times New Roman" w:hAnsi="Times New Roman"/>
          <w:sz w:val="24"/>
          <w:szCs w:val="24"/>
          <w:lang w:val="en-US"/>
        </w:rPr>
        <w:t xml:space="preserve">. </w:t>
      </w:r>
      <w:r w:rsidR="002D0F0E" w:rsidRPr="00683D62">
        <w:rPr>
          <w:rFonts w:ascii="Times New Roman" w:hAnsi="Times New Roman"/>
          <w:sz w:val="24"/>
          <w:szCs w:val="24"/>
          <w:lang w:val="en-US"/>
        </w:rPr>
        <w:t xml:space="preserve">Nguyen C, Varney MD, Harrison LC, Morahan G. Definition of high-risk type 1 diabetes HLA-DR and HLA-DQ types using only three single nucleotide polymorphisms. </w:t>
      </w:r>
      <w:r w:rsidR="002D0F0E" w:rsidRPr="00683D62">
        <w:rPr>
          <w:rFonts w:ascii="Times New Roman" w:hAnsi="Times New Roman"/>
          <w:i/>
          <w:sz w:val="24"/>
          <w:szCs w:val="24"/>
          <w:lang w:val="en-US"/>
        </w:rPr>
        <w:t>Diabetes</w:t>
      </w:r>
      <w:r w:rsidR="002D0F0E" w:rsidRPr="00683D62">
        <w:rPr>
          <w:rFonts w:ascii="Times New Roman" w:hAnsi="Times New Roman"/>
          <w:sz w:val="24"/>
          <w:szCs w:val="24"/>
          <w:lang w:val="en-US"/>
        </w:rPr>
        <w:t xml:space="preserve"> 2013;62:2135</w:t>
      </w:r>
      <w:r w:rsidR="00A410C7" w:rsidRPr="00683D62">
        <w:rPr>
          <w:rFonts w:ascii="Times New Roman" w:hAnsi="Times New Roman"/>
          <w:sz w:val="24"/>
          <w:szCs w:val="24"/>
          <w:lang w:val="en-US"/>
        </w:rPr>
        <w:t>-</w:t>
      </w:r>
      <w:r w:rsidR="002D0F0E" w:rsidRPr="00683D62">
        <w:rPr>
          <w:rFonts w:ascii="Times New Roman" w:hAnsi="Times New Roman"/>
          <w:sz w:val="24"/>
          <w:szCs w:val="24"/>
          <w:lang w:val="en-US"/>
        </w:rPr>
        <w:t>2140</w:t>
      </w:r>
      <w:r w:rsidR="004758C7" w:rsidRPr="00683D62">
        <w:rPr>
          <w:rFonts w:ascii="Times New Roman" w:hAnsi="Times New Roman"/>
          <w:sz w:val="24"/>
          <w:szCs w:val="24"/>
          <w:lang w:val="en-US"/>
        </w:rPr>
        <w:t>.</w:t>
      </w:r>
    </w:p>
    <w:p w14:paraId="796BB688" w14:textId="77777777" w:rsidR="00D71288" w:rsidRPr="00683D62" w:rsidRDefault="00D71288" w:rsidP="00BB2870">
      <w:pPr>
        <w:spacing w:after="0" w:line="480" w:lineRule="auto"/>
        <w:jc w:val="both"/>
        <w:rPr>
          <w:rFonts w:ascii="Times New Roman" w:hAnsi="Times New Roman"/>
          <w:sz w:val="24"/>
          <w:szCs w:val="24"/>
          <w:lang w:val="en-US"/>
        </w:rPr>
      </w:pPr>
    </w:p>
    <w:p w14:paraId="372A7988" w14:textId="38497E9D" w:rsidR="00087C3B" w:rsidRPr="00683D62" w:rsidRDefault="003B34AE" w:rsidP="00BB2870">
      <w:pPr>
        <w:spacing w:after="0" w:line="480" w:lineRule="auto"/>
        <w:jc w:val="both"/>
        <w:rPr>
          <w:rFonts w:ascii="Times New Roman" w:eastAsia="Times New Roman" w:hAnsi="Times New Roman"/>
          <w:lang w:val="en-US"/>
        </w:rPr>
      </w:pPr>
      <w:r w:rsidRPr="00683D62">
        <w:rPr>
          <w:rFonts w:ascii="Times New Roman" w:hAnsi="Times New Roman"/>
          <w:sz w:val="24"/>
          <w:szCs w:val="24"/>
          <w:lang w:val="en-US"/>
        </w:rPr>
        <w:br w:type="page"/>
      </w:r>
      <w:r w:rsidR="00087C3B" w:rsidRPr="00683D62">
        <w:rPr>
          <w:rFonts w:ascii="Times New Roman" w:eastAsia="Times New Roman" w:hAnsi="Times New Roman"/>
          <w:bCs/>
          <w:lang w:val="en-US"/>
        </w:rPr>
        <w:lastRenderedPageBreak/>
        <w:t>Table 1.</w:t>
      </w:r>
      <w:r w:rsidR="00087C3B" w:rsidRPr="00683D62">
        <w:rPr>
          <w:rFonts w:ascii="Times New Roman" w:eastAsia="Times New Roman" w:hAnsi="Times New Roman"/>
          <w:lang w:val="en-US"/>
        </w:rPr>
        <w:t xml:space="preserve"> Description of </w:t>
      </w:r>
      <w:r w:rsidR="001130E5" w:rsidRPr="00683D62">
        <w:rPr>
          <w:rFonts w:ascii="Times New Roman" w:eastAsia="Times New Roman" w:hAnsi="Times New Roman"/>
          <w:lang w:val="en-US"/>
        </w:rPr>
        <w:t xml:space="preserve">the </w:t>
      </w:r>
      <w:r w:rsidR="00087C3B" w:rsidRPr="00683D62">
        <w:rPr>
          <w:rFonts w:ascii="Times New Roman" w:eastAsia="Times New Roman" w:hAnsi="Times New Roman"/>
          <w:lang w:val="en-US"/>
        </w:rPr>
        <w:t>study population</w:t>
      </w:r>
    </w:p>
    <w:tbl>
      <w:tblPr>
        <w:tblW w:w="6487" w:type="dxa"/>
        <w:tblLook w:val="04A0" w:firstRow="1" w:lastRow="0" w:firstColumn="1" w:lastColumn="0" w:noHBand="0" w:noVBand="1"/>
      </w:tblPr>
      <w:tblGrid>
        <w:gridCol w:w="4185"/>
        <w:gridCol w:w="2302"/>
      </w:tblGrid>
      <w:tr w:rsidR="00683D62" w:rsidRPr="00683D62" w14:paraId="700D0D52" w14:textId="77777777" w:rsidTr="00D75671">
        <w:trPr>
          <w:trHeight w:val="301"/>
        </w:trPr>
        <w:tc>
          <w:tcPr>
            <w:tcW w:w="4185" w:type="dxa"/>
            <w:tcBorders>
              <w:top w:val="single" w:sz="4" w:space="0" w:color="auto"/>
              <w:left w:val="nil"/>
              <w:bottom w:val="nil"/>
              <w:right w:val="nil"/>
            </w:tcBorders>
            <w:shd w:val="clear" w:color="auto" w:fill="auto"/>
            <w:noWrap/>
            <w:vAlign w:val="center"/>
          </w:tcPr>
          <w:p w14:paraId="2F13C0C0" w14:textId="7B91DEE7" w:rsidR="00AB6CE2" w:rsidRPr="00683D62" w:rsidRDefault="00AB6CE2" w:rsidP="00D75671">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Characteristic</w:t>
            </w:r>
          </w:p>
        </w:tc>
        <w:tc>
          <w:tcPr>
            <w:tcW w:w="2302" w:type="dxa"/>
            <w:tcBorders>
              <w:top w:val="single" w:sz="4" w:space="0" w:color="auto"/>
              <w:left w:val="nil"/>
              <w:right w:val="nil"/>
            </w:tcBorders>
            <w:vAlign w:val="center"/>
          </w:tcPr>
          <w:p w14:paraId="23D651CE" w14:textId="707EDE91" w:rsidR="00AB6CE2" w:rsidRPr="00683D62" w:rsidRDefault="00F4448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Frequency or duration</w:t>
            </w:r>
          </w:p>
        </w:tc>
      </w:tr>
      <w:tr w:rsidR="00683D62" w:rsidRPr="00683D62" w14:paraId="62F94C1E" w14:textId="77777777" w:rsidTr="00D75671">
        <w:trPr>
          <w:trHeight w:val="301"/>
        </w:trPr>
        <w:tc>
          <w:tcPr>
            <w:tcW w:w="4185" w:type="dxa"/>
            <w:tcBorders>
              <w:top w:val="single" w:sz="4" w:space="0" w:color="auto"/>
              <w:left w:val="nil"/>
              <w:bottom w:val="nil"/>
              <w:right w:val="nil"/>
            </w:tcBorders>
            <w:shd w:val="clear" w:color="auto" w:fill="auto"/>
            <w:noWrap/>
            <w:vAlign w:val="center"/>
            <w:hideMark/>
          </w:tcPr>
          <w:p w14:paraId="73852B99" w14:textId="77777777" w:rsidR="00087C3B" w:rsidRPr="00683D62" w:rsidRDefault="00087C3B" w:rsidP="00D75671">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Girls, n/total (%)</w:t>
            </w:r>
          </w:p>
        </w:tc>
        <w:tc>
          <w:tcPr>
            <w:tcW w:w="2302" w:type="dxa"/>
            <w:tcBorders>
              <w:top w:val="single" w:sz="4" w:space="0" w:color="auto"/>
              <w:left w:val="nil"/>
              <w:right w:val="nil"/>
            </w:tcBorders>
            <w:vAlign w:val="center"/>
          </w:tcPr>
          <w:p w14:paraId="56E67A93" w14:textId="144DF132"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1188/2441 (48</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7%)</w:t>
            </w:r>
          </w:p>
        </w:tc>
      </w:tr>
      <w:tr w:rsidR="00683D62" w:rsidRPr="00683D62" w14:paraId="6025AF21" w14:textId="77777777" w:rsidTr="00D75671">
        <w:trPr>
          <w:trHeight w:val="328"/>
        </w:trPr>
        <w:tc>
          <w:tcPr>
            <w:tcW w:w="4185" w:type="dxa"/>
            <w:tcBorders>
              <w:top w:val="nil"/>
              <w:left w:val="nil"/>
              <w:bottom w:val="nil"/>
              <w:right w:val="nil"/>
            </w:tcBorders>
            <w:shd w:val="clear" w:color="auto" w:fill="auto"/>
            <w:noWrap/>
            <w:vAlign w:val="center"/>
            <w:hideMark/>
          </w:tcPr>
          <w:p w14:paraId="10E9F843" w14:textId="77777777"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Follow-up time, median (IQR)</w:t>
            </w:r>
          </w:p>
        </w:tc>
        <w:tc>
          <w:tcPr>
            <w:tcW w:w="2302" w:type="dxa"/>
            <w:tcBorders>
              <w:left w:val="nil"/>
              <w:right w:val="nil"/>
            </w:tcBorders>
            <w:vAlign w:val="center"/>
          </w:tcPr>
          <w:p w14:paraId="7AE5E240" w14:textId="19E4D6A4"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13</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2 (7</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4-18</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2)</w:t>
            </w:r>
          </w:p>
        </w:tc>
      </w:tr>
      <w:tr w:rsidR="00683D62" w:rsidRPr="00683D62" w14:paraId="75EA9C94" w14:textId="77777777" w:rsidTr="00D75671">
        <w:trPr>
          <w:trHeight w:val="301"/>
        </w:trPr>
        <w:tc>
          <w:tcPr>
            <w:tcW w:w="4185" w:type="dxa"/>
            <w:tcBorders>
              <w:top w:val="nil"/>
              <w:left w:val="nil"/>
              <w:bottom w:val="nil"/>
              <w:right w:val="nil"/>
            </w:tcBorders>
            <w:shd w:val="clear" w:color="auto" w:fill="auto"/>
            <w:noWrap/>
            <w:vAlign w:val="center"/>
            <w:hideMark/>
          </w:tcPr>
          <w:p w14:paraId="20BC64D3" w14:textId="77777777"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T1D cases, n/total (%)</w:t>
            </w:r>
          </w:p>
        </w:tc>
        <w:tc>
          <w:tcPr>
            <w:tcW w:w="2302" w:type="dxa"/>
            <w:tcBorders>
              <w:left w:val="nil"/>
              <w:right w:val="nil"/>
            </w:tcBorders>
            <w:vAlign w:val="center"/>
          </w:tcPr>
          <w:p w14:paraId="7674B257" w14:textId="7B0B07D3"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115/2441 (4</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7%)</w:t>
            </w:r>
          </w:p>
        </w:tc>
      </w:tr>
      <w:tr w:rsidR="00683D62" w:rsidRPr="00683D62" w14:paraId="57B9A18C" w14:textId="77777777" w:rsidTr="00D75671">
        <w:trPr>
          <w:trHeight w:val="301"/>
        </w:trPr>
        <w:tc>
          <w:tcPr>
            <w:tcW w:w="4185" w:type="dxa"/>
            <w:tcBorders>
              <w:top w:val="nil"/>
              <w:left w:val="nil"/>
              <w:bottom w:val="nil"/>
              <w:right w:val="nil"/>
            </w:tcBorders>
            <w:shd w:val="clear" w:color="auto" w:fill="auto"/>
            <w:noWrap/>
            <w:vAlign w:val="center"/>
            <w:hideMark/>
          </w:tcPr>
          <w:p w14:paraId="4485C609" w14:textId="3BC3CCFE" w:rsidR="00087C3B" w:rsidRPr="00683D62" w:rsidRDefault="00BF7E9C" w:rsidP="00BF7E9C">
            <w:pPr>
              <w:spacing w:after="0" w:line="480" w:lineRule="auto"/>
              <w:rPr>
                <w:rFonts w:ascii="Times New Roman" w:eastAsia="Times New Roman" w:hAnsi="Times New Roman"/>
                <w:sz w:val="21"/>
                <w:lang w:val="en-US"/>
              </w:rPr>
            </w:pPr>
            <w:r>
              <w:rPr>
                <w:rFonts w:ascii="Times New Roman" w:eastAsia="Times New Roman" w:hAnsi="Times New Roman"/>
                <w:sz w:val="21"/>
                <w:lang w:val="en-US"/>
              </w:rPr>
              <w:t xml:space="preserve">          </w:t>
            </w:r>
            <w:r w:rsidR="00087C3B" w:rsidRPr="00683D62">
              <w:rPr>
                <w:rFonts w:ascii="Times New Roman" w:eastAsia="Times New Roman" w:hAnsi="Times New Roman"/>
                <w:sz w:val="21"/>
                <w:lang w:val="en-US"/>
              </w:rPr>
              <w:t>age at T1D onset, median (IQR)</w:t>
            </w:r>
          </w:p>
        </w:tc>
        <w:tc>
          <w:tcPr>
            <w:tcW w:w="2302" w:type="dxa"/>
            <w:tcBorders>
              <w:left w:val="nil"/>
              <w:right w:val="nil"/>
            </w:tcBorders>
            <w:vAlign w:val="center"/>
          </w:tcPr>
          <w:p w14:paraId="5B0B333D" w14:textId="25EBBC53"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9</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4 (5</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0-12</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7)</w:t>
            </w:r>
          </w:p>
        </w:tc>
      </w:tr>
      <w:tr w:rsidR="00683D62" w:rsidRPr="00683D62" w14:paraId="5BE5C9F6" w14:textId="77777777" w:rsidTr="00D75671">
        <w:trPr>
          <w:trHeight w:val="301"/>
        </w:trPr>
        <w:tc>
          <w:tcPr>
            <w:tcW w:w="4185" w:type="dxa"/>
            <w:tcBorders>
              <w:top w:val="nil"/>
              <w:left w:val="nil"/>
              <w:bottom w:val="nil"/>
              <w:right w:val="nil"/>
            </w:tcBorders>
            <w:shd w:val="clear" w:color="auto" w:fill="auto"/>
            <w:noWrap/>
            <w:vAlign w:val="center"/>
          </w:tcPr>
          <w:p w14:paraId="5CDBB05D" w14:textId="3C65BEDE" w:rsidR="00027E7C" w:rsidRPr="00683D62" w:rsidRDefault="00027E7C"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IA, TPOA, or TGA positive (n)</w:t>
            </w:r>
          </w:p>
        </w:tc>
        <w:tc>
          <w:tcPr>
            <w:tcW w:w="2302" w:type="dxa"/>
            <w:tcBorders>
              <w:left w:val="nil"/>
              <w:right w:val="nil"/>
            </w:tcBorders>
            <w:vAlign w:val="center"/>
          </w:tcPr>
          <w:p w14:paraId="7309D964" w14:textId="2658191A" w:rsidR="00027E7C" w:rsidRPr="00683D62" w:rsidRDefault="00027E7C"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394</w:t>
            </w:r>
          </w:p>
        </w:tc>
      </w:tr>
      <w:tr w:rsidR="00683D62" w:rsidRPr="00683D62" w14:paraId="044831DC" w14:textId="77777777" w:rsidTr="00D75671">
        <w:trPr>
          <w:trHeight w:val="301"/>
        </w:trPr>
        <w:tc>
          <w:tcPr>
            <w:tcW w:w="4185" w:type="dxa"/>
            <w:tcBorders>
              <w:top w:val="nil"/>
              <w:left w:val="nil"/>
              <w:bottom w:val="nil"/>
              <w:right w:val="nil"/>
            </w:tcBorders>
            <w:shd w:val="clear" w:color="auto" w:fill="auto"/>
            <w:noWrap/>
            <w:vAlign w:val="center"/>
          </w:tcPr>
          <w:p w14:paraId="07775167" w14:textId="4F35AAB4" w:rsidR="00087C3B" w:rsidRPr="00BF7E9C" w:rsidRDefault="00BF7E9C" w:rsidP="00BF7E9C">
            <w:pPr>
              <w:spacing w:after="0" w:line="480" w:lineRule="auto"/>
              <w:rPr>
                <w:rFonts w:ascii="Times New Roman" w:eastAsia="Times New Roman" w:hAnsi="Times New Roman"/>
                <w:sz w:val="21"/>
                <w:lang w:val="en-US"/>
              </w:rPr>
            </w:pPr>
            <w:r>
              <w:rPr>
                <w:rFonts w:ascii="Times New Roman" w:eastAsia="Times New Roman" w:hAnsi="Times New Roman"/>
                <w:sz w:val="21"/>
                <w:lang w:val="en-US"/>
              </w:rPr>
              <w:t xml:space="preserve">          </w:t>
            </w:r>
            <w:r w:rsidR="004A7E97" w:rsidRPr="00BF7E9C">
              <w:rPr>
                <w:rFonts w:ascii="Times New Roman" w:eastAsia="Times New Roman" w:hAnsi="Times New Roman"/>
                <w:sz w:val="21"/>
                <w:lang w:val="en-US"/>
              </w:rPr>
              <w:t>IA</w:t>
            </w:r>
            <w:r w:rsidR="00087C3B" w:rsidRPr="00BF7E9C">
              <w:rPr>
                <w:rFonts w:ascii="Times New Roman" w:eastAsia="Times New Roman" w:hAnsi="Times New Roman"/>
                <w:sz w:val="21"/>
                <w:lang w:val="en-US"/>
              </w:rPr>
              <w:t xml:space="preserve"> positive, n/total (%)</w:t>
            </w:r>
          </w:p>
        </w:tc>
        <w:tc>
          <w:tcPr>
            <w:tcW w:w="2302" w:type="dxa"/>
            <w:tcBorders>
              <w:left w:val="nil"/>
              <w:right w:val="nil"/>
            </w:tcBorders>
            <w:vAlign w:val="center"/>
          </w:tcPr>
          <w:p w14:paraId="077A9238" w14:textId="5FA47B8A" w:rsidR="00087C3B" w:rsidRPr="00683D62" w:rsidRDefault="00F4448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165/24</w:t>
            </w:r>
            <w:r w:rsidR="00087C3B" w:rsidRPr="00683D62">
              <w:rPr>
                <w:rFonts w:ascii="Times New Roman" w:eastAsia="Times New Roman" w:hAnsi="Times New Roman"/>
                <w:sz w:val="21"/>
                <w:lang w:val="en-US"/>
              </w:rPr>
              <w:t>41 (6</w:t>
            </w:r>
            <w:r w:rsidR="00A410C7" w:rsidRPr="00683D62">
              <w:rPr>
                <w:rFonts w:ascii="Times New Roman" w:eastAsia="Times New Roman" w:hAnsi="Times New Roman"/>
                <w:sz w:val="21"/>
                <w:lang w:val="en-US"/>
              </w:rPr>
              <w:t>.</w:t>
            </w:r>
            <w:r w:rsidR="00087C3B" w:rsidRPr="00683D62">
              <w:rPr>
                <w:rFonts w:ascii="Times New Roman" w:eastAsia="Times New Roman" w:hAnsi="Times New Roman"/>
                <w:sz w:val="21"/>
                <w:lang w:val="en-US"/>
              </w:rPr>
              <w:t>8%)</w:t>
            </w:r>
          </w:p>
        </w:tc>
      </w:tr>
      <w:tr w:rsidR="00683D62" w:rsidRPr="00683D62" w14:paraId="3FE30018" w14:textId="77777777" w:rsidTr="00D75671">
        <w:trPr>
          <w:trHeight w:val="301"/>
        </w:trPr>
        <w:tc>
          <w:tcPr>
            <w:tcW w:w="4185" w:type="dxa"/>
            <w:tcBorders>
              <w:top w:val="nil"/>
              <w:left w:val="nil"/>
              <w:bottom w:val="nil"/>
              <w:right w:val="nil"/>
            </w:tcBorders>
            <w:shd w:val="clear" w:color="auto" w:fill="auto"/>
            <w:noWrap/>
            <w:vAlign w:val="center"/>
            <w:hideMark/>
          </w:tcPr>
          <w:p w14:paraId="60AD6B49" w14:textId="2A144C48" w:rsidR="00087C3B" w:rsidRPr="00BF7E9C" w:rsidRDefault="00BF7E9C" w:rsidP="00BF7E9C">
            <w:pPr>
              <w:spacing w:after="0" w:line="480" w:lineRule="auto"/>
              <w:rPr>
                <w:rFonts w:ascii="Times New Roman" w:eastAsia="Times New Roman" w:hAnsi="Times New Roman"/>
                <w:sz w:val="21"/>
                <w:lang w:val="en-US"/>
              </w:rPr>
            </w:pPr>
            <w:r>
              <w:rPr>
                <w:rFonts w:ascii="Times New Roman" w:eastAsia="Times New Roman" w:hAnsi="Times New Roman"/>
                <w:sz w:val="21"/>
                <w:lang w:val="en-US"/>
              </w:rPr>
              <w:t xml:space="preserve">          </w:t>
            </w:r>
            <w:r w:rsidR="00F37803" w:rsidRPr="00BF7E9C">
              <w:rPr>
                <w:rFonts w:ascii="Times New Roman" w:eastAsia="Times New Roman" w:hAnsi="Times New Roman"/>
                <w:sz w:val="21"/>
                <w:lang w:val="en-US"/>
              </w:rPr>
              <w:t xml:space="preserve">TGA </w:t>
            </w:r>
            <w:r w:rsidR="00087C3B" w:rsidRPr="00BF7E9C">
              <w:rPr>
                <w:rFonts w:ascii="Times New Roman" w:eastAsia="Times New Roman" w:hAnsi="Times New Roman"/>
                <w:sz w:val="21"/>
                <w:lang w:val="en-US"/>
              </w:rPr>
              <w:t xml:space="preserve">positive, n/total (%) </w:t>
            </w:r>
          </w:p>
        </w:tc>
        <w:tc>
          <w:tcPr>
            <w:tcW w:w="2302" w:type="dxa"/>
            <w:tcBorders>
              <w:left w:val="nil"/>
              <w:right w:val="nil"/>
            </w:tcBorders>
            <w:vAlign w:val="center"/>
          </w:tcPr>
          <w:p w14:paraId="77F9A95B" w14:textId="7CF28BDE" w:rsidR="00087C3B" w:rsidRPr="00683D62" w:rsidRDefault="00F37803" w:rsidP="009F5387">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117</w:t>
            </w:r>
            <w:r w:rsidR="00C2307F">
              <w:rPr>
                <w:rFonts w:ascii="Times New Roman" w:eastAsia="Times New Roman" w:hAnsi="Times New Roman"/>
                <w:sz w:val="21"/>
                <w:lang w:val="en-US"/>
              </w:rPr>
              <w:t>/</w:t>
            </w:r>
            <w:r w:rsidR="00087C3B" w:rsidRPr="00683D62">
              <w:rPr>
                <w:rFonts w:ascii="Times New Roman" w:eastAsia="Times New Roman" w:hAnsi="Times New Roman"/>
                <w:sz w:val="21"/>
                <w:lang w:val="en-US"/>
              </w:rPr>
              <w:t>2</w:t>
            </w:r>
            <w:r w:rsidR="009F5387">
              <w:rPr>
                <w:rFonts w:ascii="Times New Roman" w:eastAsia="Times New Roman" w:hAnsi="Times New Roman"/>
                <w:sz w:val="21"/>
                <w:lang w:val="en-US"/>
              </w:rPr>
              <w:t>395</w:t>
            </w:r>
            <w:r w:rsidR="00087C3B" w:rsidRPr="00683D62">
              <w:rPr>
                <w:rFonts w:ascii="Times New Roman" w:eastAsia="Times New Roman" w:hAnsi="Times New Roman"/>
                <w:sz w:val="21"/>
                <w:lang w:val="en-US"/>
              </w:rPr>
              <w:t xml:space="preserve"> (</w:t>
            </w:r>
            <w:r w:rsidRPr="00683D62">
              <w:rPr>
                <w:rFonts w:ascii="Times New Roman" w:eastAsia="Times New Roman" w:hAnsi="Times New Roman"/>
                <w:sz w:val="21"/>
                <w:lang w:val="en-US"/>
              </w:rPr>
              <w:t>4.9</w:t>
            </w:r>
            <w:r w:rsidR="00087C3B" w:rsidRPr="00683D62">
              <w:rPr>
                <w:rFonts w:ascii="Times New Roman" w:eastAsia="Times New Roman" w:hAnsi="Times New Roman"/>
                <w:sz w:val="21"/>
                <w:lang w:val="en-US"/>
              </w:rPr>
              <w:t>%)</w:t>
            </w:r>
          </w:p>
        </w:tc>
      </w:tr>
      <w:tr w:rsidR="00683D62" w:rsidRPr="00683D62" w14:paraId="5C586A97" w14:textId="77777777" w:rsidTr="00D75671">
        <w:trPr>
          <w:trHeight w:val="301"/>
        </w:trPr>
        <w:tc>
          <w:tcPr>
            <w:tcW w:w="4185" w:type="dxa"/>
            <w:tcBorders>
              <w:top w:val="nil"/>
              <w:left w:val="nil"/>
              <w:bottom w:val="nil"/>
              <w:right w:val="nil"/>
            </w:tcBorders>
            <w:shd w:val="clear" w:color="auto" w:fill="auto"/>
            <w:noWrap/>
            <w:vAlign w:val="center"/>
            <w:hideMark/>
          </w:tcPr>
          <w:p w14:paraId="02877243" w14:textId="6E2E1518" w:rsidR="00087C3B" w:rsidRPr="00BF7E9C" w:rsidRDefault="00BF7E9C" w:rsidP="00BF7E9C">
            <w:pPr>
              <w:spacing w:after="0" w:line="480" w:lineRule="auto"/>
              <w:rPr>
                <w:rFonts w:ascii="Times New Roman" w:eastAsia="Times New Roman" w:hAnsi="Times New Roman"/>
                <w:sz w:val="21"/>
                <w:lang w:val="en-US"/>
              </w:rPr>
            </w:pPr>
            <w:r>
              <w:rPr>
                <w:rFonts w:ascii="Times New Roman" w:eastAsia="Times New Roman" w:hAnsi="Times New Roman"/>
                <w:sz w:val="21"/>
                <w:lang w:val="en-US"/>
              </w:rPr>
              <w:t xml:space="preserve">          </w:t>
            </w:r>
            <w:r w:rsidR="00F37803" w:rsidRPr="00BF7E9C">
              <w:rPr>
                <w:rFonts w:ascii="Times New Roman" w:eastAsia="Times New Roman" w:hAnsi="Times New Roman"/>
                <w:sz w:val="21"/>
                <w:lang w:val="en-US"/>
              </w:rPr>
              <w:t xml:space="preserve">TPOA </w:t>
            </w:r>
            <w:r w:rsidR="00087C3B" w:rsidRPr="00BF7E9C">
              <w:rPr>
                <w:rFonts w:ascii="Times New Roman" w:eastAsia="Times New Roman" w:hAnsi="Times New Roman"/>
                <w:sz w:val="21"/>
                <w:lang w:val="en-US"/>
              </w:rPr>
              <w:t>positive, n/total (%)</w:t>
            </w:r>
          </w:p>
        </w:tc>
        <w:tc>
          <w:tcPr>
            <w:tcW w:w="2302" w:type="dxa"/>
            <w:tcBorders>
              <w:left w:val="nil"/>
              <w:right w:val="nil"/>
            </w:tcBorders>
            <w:vAlign w:val="center"/>
          </w:tcPr>
          <w:p w14:paraId="21372A24" w14:textId="0DF0548E" w:rsidR="00087C3B" w:rsidRPr="00683D62" w:rsidRDefault="00087C3B" w:rsidP="009F5387">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w:t>
            </w:r>
            <w:r w:rsidR="00F37803" w:rsidRPr="00683D62">
              <w:rPr>
                <w:rFonts w:ascii="Times New Roman" w:eastAsia="Times New Roman" w:hAnsi="Times New Roman"/>
                <w:sz w:val="21"/>
                <w:lang w:val="en-US"/>
              </w:rPr>
              <w:t>54</w:t>
            </w:r>
            <w:r w:rsidRPr="00683D62">
              <w:rPr>
                <w:rFonts w:ascii="Times New Roman" w:eastAsia="Times New Roman" w:hAnsi="Times New Roman"/>
                <w:sz w:val="21"/>
                <w:lang w:val="en-US"/>
              </w:rPr>
              <w:t>/2</w:t>
            </w:r>
            <w:r w:rsidR="00F37803" w:rsidRPr="00683D62">
              <w:rPr>
                <w:rFonts w:ascii="Times New Roman" w:eastAsia="Times New Roman" w:hAnsi="Times New Roman"/>
                <w:sz w:val="21"/>
                <w:lang w:val="en-US"/>
              </w:rPr>
              <w:t>41</w:t>
            </w:r>
            <w:r w:rsidR="009F5387">
              <w:rPr>
                <w:rFonts w:ascii="Times New Roman" w:eastAsia="Times New Roman" w:hAnsi="Times New Roman"/>
                <w:sz w:val="21"/>
                <w:lang w:val="en-US"/>
              </w:rPr>
              <w:t>1</w:t>
            </w:r>
            <w:r w:rsidRPr="00683D62">
              <w:rPr>
                <w:rFonts w:ascii="Times New Roman" w:eastAsia="Times New Roman" w:hAnsi="Times New Roman"/>
                <w:sz w:val="21"/>
                <w:lang w:val="en-US"/>
              </w:rPr>
              <w:t xml:space="preserve"> (</w:t>
            </w:r>
            <w:r w:rsidR="00F37803" w:rsidRPr="00683D62">
              <w:rPr>
                <w:rFonts w:ascii="Times New Roman" w:eastAsia="Times New Roman" w:hAnsi="Times New Roman"/>
                <w:sz w:val="21"/>
                <w:lang w:val="en-US"/>
              </w:rPr>
              <w:t>6.4</w:t>
            </w:r>
            <w:r w:rsidRPr="00683D62">
              <w:rPr>
                <w:rFonts w:ascii="Times New Roman" w:eastAsia="Times New Roman" w:hAnsi="Times New Roman"/>
                <w:sz w:val="21"/>
                <w:lang w:val="en-US"/>
              </w:rPr>
              <w:t xml:space="preserve">%) </w:t>
            </w:r>
          </w:p>
        </w:tc>
      </w:tr>
      <w:tr w:rsidR="00683D62" w:rsidRPr="00683D62" w14:paraId="75EBF832" w14:textId="77777777" w:rsidTr="00D75671">
        <w:trPr>
          <w:trHeight w:val="301"/>
        </w:trPr>
        <w:tc>
          <w:tcPr>
            <w:tcW w:w="4185" w:type="dxa"/>
            <w:tcBorders>
              <w:top w:val="nil"/>
              <w:left w:val="nil"/>
              <w:bottom w:val="nil"/>
              <w:right w:val="nil"/>
            </w:tcBorders>
            <w:shd w:val="clear" w:color="auto" w:fill="auto"/>
            <w:noWrap/>
            <w:vAlign w:val="center"/>
            <w:hideMark/>
          </w:tcPr>
          <w:p w14:paraId="46FE0696" w14:textId="77777777"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 xml:space="preserve">HLA </w:t>
            </w:r>
            <w:r w:rsidRPr="00683D62">
              <w:rPr>
                <w:rFonts w:ascii="Times New Roman" w:eastAsia="Times New Roman" w:hAnsi="Times New Roman"/>
                <w:i/>
                <w:iCs/>
                <w:sz w:val="21"/>
                <w:lang w:val="en-US"/>
              </w:rPr>
              <w:t xml:space="preserve">DR3-DQ8/DR4-DQ8, </w:t>
            </w:r>
            <w:r w:rsidRPr="00683D62">
              <w:rPr>
                <w:rFonts w:ascii="Times New Roman" w:eastAsia="Times New Roman" w:hAnsi="Times New Roman"/>
                <w:sz w:val="21"/>
                <w:lang w:val="en-US"/>
              </w:rPr>
              <w:t>n/total (%)</w:t>
            </w:r>
          </w:p>
        </w:tc>
        <w:tc>
          <w:tcPr>
            <w:tcW w:w="2302" w:type="dxa"/>
            <w:tcBorders>
              <w:left w:val="nil"/>
              <w:right w:val="nil"/>
            </w:tcBorders>
            <w:vAlign w:val="center"/>
          </w:tcPr>
          <w:p w14:paraId="1A4F7944" w14:textId="45B201FC"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178/2290 (7</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8%)</w:t>
            </w:r>
          </w:p>
        </w:tc>
      </w:tr>
      <w:tr w:rsidR="00683D62" w:rsidRPr="00683D62" w14:paraId="63C81D84" w14:textId="77777777" w:rsidTr="00D75671">
        <w:trPr>
          <w:trHeight w:val="301"/>
        </w:trPr>
        <w:tc>
          <w:tcPr>
            <w:tcW w:w="4185" w:type="dxa"/>
            <w:tcBorders>
              <w:top w:val="nil"/>
              <w:left w:val="nil"/>
              <w:bottom w:val="nil"/>
              <w:right w:val="nil"/>
            </w:tcBorders>
            <w:shd w:val="clear" w:color="auto" w:fill="auto"/>
            <w:noWrap/>
            <w:vAlign w:val="center"/>
            <w:hideMark/>
          </w:tcPr>
          <w:p w14:paraId="789D95D7" w14:textId="77777777"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 xml:space="preserve">HLA </w:t>
            </w:r>
            <w:r w:rsidRPr="00683D62">
              <w:rPr>
                <w:rFonts w:ascii="Times New Roman" w:eastAsia="Times New Roman" w:hAnsi="Times New Roman"/>
                <w:i/>
                <w:iCs/>
                <w:sz w:val="21"/>
                <w:lang w:val="en-US"/>
              </w:rPr>
              <w:t xml:space="preserve">DR4-DQ8/DR4-DQ8, </w:t>
            </w:r>
            <w:r w:rsidRPr="00683D62">
              <w:rPr>
                <w:rFonts w:ascii="Times New Roman" w:eastAsia="Times New Roman" w:hAnsi="Times New Roman"/>
                <w:sz w:val="21"/>
                <w:lang w:val="en-US"/>
              </w:rPr>
              <w:t>n/total (%)</w:t>
            </w:r>
          </w:p>
        </w:tc>
        <w:tc>
          <w:tcPr>
            <w:tcW w:w="2302" w:type="dxa"/>
            <w:tcBorders>
              <w:left w:val="nil"/>
              <w:right w:val="nil"/>
            </w:tcBorders>
            <w:vAlign w:val="center"/>
          </w:tcPr>
          <w:p w14:paraId="508A46BA" w14:textId="5902FBCF"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91/2290 (4</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0%)</w:t>
            </w:r>
          </w:p>
        </w:tc>
      </w:tr>
      <w:tr w:rsidR="00087C3B" w:rsidRPr="00683D62" w14:paraId="5C11ADE2" w14:textId="77777777" w:rsidTr="00D75671">
        <w:trPr>
          <w:trHeight w:val="301"/>
        </w:trPr>
        <w:tc>
          <w:tcPr>
            <w:tcW w:w="4185" w:type="dxa"/>
            <w:tcBorders>
              <w:top w:val="nil"/>
              <w:left w:val="nil"/>
              <w:bottom w:val="single" w:sz="4" w:space="0" w:color="auto"/>
              <w:right w:val="nil"/>
            </w:tcBorders>
            <w:shd w:val="clear" w:color="auto" w:fill="auto"/>
            <w:noWrap/>
            <w:vAlign w:val="center"/>
            <w:hideMark/>
          </w:tcPr>
          <w:p w14:paraId="0F2149E4" w14:textId="77777777"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 xml:space="preserve">HLA </w:t>
            </w:r>
            <w:r w:rsidRPr="00683D62">
              <w:rPr>
                <w:rFonts w:ascii="Times New Roman" w:eastAsia="Times New Roman" w:hAnsi="Times New Roman"/>
                <w:i/>
                <w:iCs/>
                <w:sz w:val="21"/>
                <w:lang w:val="en-US"/>
              </w:rPr>
              <w:t xml:space="preserve">DR3/3, </w:t>
            </w:r>
            <w:r w:rsidRPr="00683D62">
              <w:rPr>
                <w:rFonts w:ascii="Times New Roman" w:eastAsia="Times New Roman" w:hAnsi="Times New Roman"/>
                <w:sz w:val="21"/>
                <w:lang w:val="en-US"/>
              </w:rPr>
              <w:t>n/total (%)</w:t>
            </w:r>
          </w:p>
        </w:tc>
        <w:tc>
          <w:tcPr>
            <w:tcW w:w="2302" w:type="dxa"/>
            <w:tcBorders>
              <w:left w:val="nil"/>
              <w:bottom w:val="single" w:sz="4" w:space="0" w:color="auto"/>
              <w:right w:val="nil"/>
            </w:tcBorders>
            <w:vAlign w:val="center"/>
          </w:tcPr>
          <w:p w14:paraId="0B1C69C0" w14:textId="6283172D" w:rsidR="00087C3B" w:rsidRPr="00683D62" w:rsidRDefault="00087C3B" w:rsidP="00087C3B">
            <w:pPr>
              <w:spacing w:after="0" w:line="480" w:lineRule="auto"/>
              <w:rPr>
                <w:rFonts w:ascii="Times New Roman" w:eastAsia="Times New Roman" w:hAnsi="Times New Roman"/>
                <w:sz w:val="21"/>
                <w:lang w:val="en-US"/>
              </w:rPr>
            </w:pPr>
            <w:r w:rsidRPr="00683D62">
              <w:rPr>
                <w:rFonts w:ascii="Times New Roman" w:eastAsia="Times New Roman" w:hAnsi="Times New Roman"/>
                <w:sz w:val="21"/>
                <w:lang w:val="en-US"/>
              </w:rPr>
              <w:t>72/2290 (3</w:t>
            </w:r>
            <w:r w:rsidR="00A410C7" w:rsidRPr="00683D62">
              <w:rPr>
                <w:rFonts w:ascii="Times New Roman" w:eastAsia="Times New Roman" w:hAnsi="Times New Roman"/>
                <w:sz w:val="21"/>
                <w:lang w:val="en-US"/>
              </w:rPr>
              <w:t>.</w:t>
            </w:r>
            <w:r w:rsidRPr="00683D62">
              <w:rPr>
                <w:rFonts w:ascii="Times New Roman" w:eastAsia="Times New Roman" w:hAnsi="Times New Roman"/>
                <w:sz w:val="21"/>
                <w:lang w:val="en-US"/>
              </w:rPr>
              <w:t>1%)</w:t>
            </w:r>
          </w:p>
        </w:tc>
      </w:tr>
    </w:tbl>
    <w:p w14:paraId="2D48ADB7" w14:textId="77777777" w:rsidR="00087C3B" w:rsidRPr="00683D62" w:rsidRDefault="00087C3B" w:rsidP="00087C3B">
      <w:pPr>
        <w:spacing w:after="0" w:line="480" w:lineRule="auto"/>
        <w:rPr>
          <w:rFonts w:ascii="Times New Roman" w:eastAsia="Times New Roman" w:hAnsi="Times New Roman"/>
          <w:lang w:val="en-US"/>
        </w:rPr>
      </w:pPr>
    </w:p>
    <w:p w14:paraId="583D0D8F" w14:textId="77777777" w:rsidR="00087C3B" w:rsidRPr="00683D62" w:rsidRDefault="00087C3B" w:rsidP="00087C3B">
      <w:pPr>
        <w:spacing w:after="0" w:line="480" w:lineRule="auto"/>
        <w:rPr>
          <w:rFonts w:ascii="Times New Roman" w:eastAsia="Times New Roman" w:hAnsi="Times New Roman"/>
          <w:lang w:val="en-US"/>
        </w:rPr>
      </w:pPr>
    </w:p>
    <w:p w14:paraId="393E1D1D" w14:textId="77777777" w:rsidR="00D75671" w:rsidRPr="00683D62" w:rsidRDefault="00D75671" w:rsidP="00087C3B">
      <w:pPr>
        <w:spacing w:after="0" w:line="480" w:lineRule="auto"/>
        <w:rPr>
          <w:rFonts w:ascii="Times New Roman" w:eastAsia="Times New Roman" w:hAnsi="Times New Roman"/>
          <w:lang w:val="en-US"/>
        </w:rPr>
        <w:sectPr w:rsidR="00D75671" w:rsidRPr="00683D62" w:rsidSect="00373CE9">
          <w:footerReference w:type="default" r:id="rId10"/>
          <w:pgSz w:w="11906" w:h="16838"/>
          <w:pgMar w:top="1418" w:right="1418" w:bottom="1418" w:left="1418" w:header="709" w:footer="709" w:gutter="0"/>
          <w:cols w:space="708"/>
          <w:docGrid w:linePitch="360"/>
        </w:sectPr>
      </w:pPr>
    </w:p>
    <w:p w14:paraId="1EEFA62C" w14:textId="7B4C3A15" w:rsidR="006733CA" w:rsidRPr="00683D62" w:rsidRDefault="006733CA" w:rsidP="006733CA">
      <w:pPr>
        <w:rPr>
          <w:rFonts w:ascii="Times New Roman" w:hAnsi="Times New Roman"/>
          <w:szCs w:val="20"/>
          <w:lang w:val="en-US"/>
        </w:rPr>
      </w:pPr>
      <w:r w:rsidRPr="00683D62">
        <w:rPr>
          <w:rFonts w:ascii="Times New Roman" w:hAnsi="Times New Roman"/>
          <w:szCs w:val="20"/>
          <w:lang w:val="en-US"/>
        </w:rPr>
        <w:lastRenderedPageBreak/>
        <w:t>Table 2</w:t>
      </w:r>
      <w:r w:rsidR="00B6723C" w:rsidRPr="00683D62">
        <w:rPr>
          <w:rFonts w:ascii="Times New Roman" w:hAnsi="Times New Roman"/>
          <w:szCs w:val="20"/>
          <w:lang w:val="en-US"/>
        </w:rPr>
        <w:t xml:space="preserve">. </w:t>
      </w:r>
      <w:r w:rsidRPr="00683D62">
        <w:rPr>
          <w:rFonts w:ascii="Times New Roman" w:hAnsi="Times New Roman"/>
          <w:szCs w:val="20"/>
          <w:lang w:val="en-US"/>
        </w:rPr>
        <w:t xml:space="preserve">Multivariable Cox </w:t>
      </w:r>
      <w:r w:rsidR="00821F19" w:rsidRPr="00683D62">
        <w:rPr>
          <w:rFonts w:ascii="Times New Roman" w:hAnsi="Times New Roman"/>
          <w:szCs w:val="20"/>
          <w:lang w:val="en-US"/>
        </w:rPr>
        <w:t xml:space="preserve">proportional hazard models </w:t>
      </w:r>
      <w:r w:rsidRPr="00683D62">
        <w:rPr>
          <w:rFonts w:ascii="Times New Roman" w:hAnsi="Times New Roman"/>
          <w:szCs w:val="20"/>
          <w:lang w:val="en-US"/>
        </w:rPr>
        <w:t>for the development of autoantibodies</w:t>
      </w:r>
    </w:p>
    <w:tbl>
      <w:tblPr>
        <w:tblW w:w="12021" w:type="dxa"/>
        <w:tblBorders>
          <w:top w:val="single" w:sz="4" w:space="0" w:color="auto"/>
          <w:bottom w:val="single" w:sz="4" w:space="0" w:color="auto"/>
        </w:tblBorders>
        <w:tblLayout w:type="fixed"/>
        <w:tblLook w:val="04A0" w:firstRow="1" w:lastRow="0" w:firstColumn="1" w:lastColumn="0" w:noHBand="0" w:noVBand="1"/>
      </w:tblPr>
      <w:tblGrid>
        <w:gridCol w:w="2041"/>
        <w:gridCol w:w="1531"/>
        <w:gridCol w:w="964"/>
        <w:gridCol w:w="1531"/>
        <w:gridCol w:w="964"/>
        <w:gridCol w:w="1531"/>
        <w:gridCol w:w="964"/>
        <w:gridCol w:w="1531"/>
        <w:gridCol w:w="964"/>
      </w:tblGrid>
      <w:tr w:rsidR="00683D62" w:rsidRPr="00683D62" w14:paraId="3D2F45D2" w14:textId="77777777" w:rsidTr="00A002C9">
        <w:trPr>
          <w:trHeight w:val="382"/>
        </w:trPr>
        <w:tc>
          <w:tcPr>
            <w:tcW w:w="2041" w:type="dxa"/>
            <w:tcBorders>
              <w:top w:val="single" w:sz="4" w:space="0" w:color="auto"/>
              <w:bottom w:val="single" w:sz="4" w:space="0" w:color="auto"/>
            </w:tcBorders>
            <w:shd w:val="clear" w:color="auto" w:fill="auto"/>
          </w:tcPr>
          <w:p w14:paraId="6AC6A825" w14:textId="77777777" w:rsidR="006733CA" w:rsidRPr="00683D62" w:rsidRDefault="006733CA" w:rsidP="00A002C9">
            <w:pPr>
              <w:spacing w:line="360" w:lineRule="auto"/>
              <w:rPr>
                <w:rFonts w:ascii="Times New Roman" w:hAnsi="Times New Roman"/>
                <w:sz w:val="21"/>
                <w:szCs w:val="20"/>
                <w:lang w:val="en-US"/>
              </w:rPr>
            </w:pPr>
            <w:r w:rsidRPr="00683D62">
              <w:rPr>
                <w:rFonts w:ascii="Times New Roman" w:hAnsi="Times New Roman"/>
                <w:sz w:val="21"/>
                <w:szCs w:val="20"/>
                <w:lang w:val="en-US"/>
              </w:rPr>
              <w:t>Variable</w:t>
            </w:r>
          </w:p>
        </w:tc>
        <w:tc>
          <w:tcPr>
            <w:tcW w:w="1531" w:type="dxa"/>
            <w:tcBorders>
              <w:top w:val="single" w:sz="4" w:space="0" w:color="auto"/>
              <w:bottom w:val="single" w:sz="4" w:space="0" w:color="auto"/>
            </w:tcBorders>
            <w:shd w:val="clear" w:color="auto" w:fill="auto"/>
          </w:tcPr>
          <w:p w14:paraId="622D7C30" w14:textId="6876EB37" w:rsidR="00402B5A" w:rsidRPr="00683D62" w:rsidRDefault="006733CA" w:rsidP="006F133F">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IA</w:t>
            </w:r>
            <w:r w:rsidR="006F133F" w:rsidRPr="00683D62">
              <w:rPr>
                <w:rFonts w:ascii="Times New Roman" w:hAnsi="Times New Roman"/>
                <w:sz w:val="21"/>
                <w:szCs w:val="20"/>
                <w:lang w:val="en-US"/>
              </w:rPr>
              <w:t xml:space="preserve">                </w:t>
            </w:r>
            <w:r w:rsidR="00402B5A" w:rsidRPr="00683D62">
              <w:rPr>
                <w:rFonts w:ascii="Times New Roman" w:hAnsi="Times New Roman"/>
                <w:sz w:val="21"/>
                <w:szCs w:val="20"/>
                <w:lang w:val="en-US"/>
              </w:rPr>
              <w:t>HR (95% CI)</w:t>
            </w:r>
          </w:p>
        </w:tc>
        <w:tc>
          <w:tcPr>
            <w:tcW w:w="964" w:type="dxa"/>
            <w:tcBorders>
              <w:top w:val="single" w:sz="4" w:space="0" w:color="auto"/>
              <w:bottom w:val="single" w:sz="4" w:space="0" w:color="auto"/>
            </w:tcBorders>
            <w:shd w:val="clear" w:color="auto" w:fill="auto"/>
          </w:tcPr>
          <w:p w14:paraId="06023B3F" w14:textId="6C6C6493" w:rsidR="006733CA" w:rsidRPr="00683D62" w:rsidRDefault="006733CA" w:rsidP="00A002C9">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p-value</w:t>
            </w:r>
            <w:r w:rsidR="00A069D2" w:rsidRPr="00683D62">
              <w:rPr>
                <w:rFonts w:ascii="Times New Roman" w:hAnsi="Times New Roman"/>
                <w:sz w:val="21"/>
                <w:szCs w:val="20"/>
                <w:lang w:val="en-US"/>
              </w:rPr>
              <w:t>*</w:t>
            </w:r>
          </w:p>
        </w:tc>
        <w:tc>
          <w:tcPr>
            <w:tcW w:w="1531" w:type="dxa"/>
            <w:tcBorders>
              <w:top w:val="single" w:sz="4" w:space="0" w:color="auto"/>
              <w:bottom w:val="single" w:sz="4" w:space="0" w:color="auto"/>
            </w:tcBorders>
            <w:shd w:val="clear" w:color="auto" w:fill="auto"/>
          </w:tcPr>
          <w:p w14:paraId="1EA79264" w14:textId="05F02456" w:rsidR="00402B5A" w:rsidRPr="00683D62" w:rsidRDefault="006733CA" w:rsidP="006F133F">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TGA</w:t>
            </w:r>
            <w:r w:rsidR="006F133F" w:rsidRPr="00683D62">
              <w:rPr>
                <w:rFonts w:ascii="Times New Roman" w:hAnsi="Times New Roman"/>
                <w:sz w:val="21"/>
                <w:szCs w:val="20"/>
                <w:lang w:val="en-US"/>
              </w:rPr>
              <w:t xml:space="preserve">            </w:t>
            </w:r>
            <w:r w:rsidR="00402B5A" w:rsidRPr="00683D62">
              <w:rPr>
                <w:rFonts w:ascii="Times New Roman" w:hAnsi="Times New Roman"/>
                <w:sz w:val="21"/>
                <w:szCs w:val="20"/>
                <w:lang w:val="en-US"/>
              </w:rPr>
              <w:t>HR (95% CI)</w:t>
            </w:r>
          </w:p>
        </w:tc>
        <w:tc>
          <w:tcPr>
            <w:tcW w:w="964" w:type="dxa"/>
            <w:tcBorders>
              <w:top w:val="single" w:sz="4" w:space="0" w:color="auto"/>
              <w:bottom w:val="single" w:sz="4" w:space="0" w:color="auto"/>
            </w:tcBorders>
            <w:shd w:val="clear" w:color="auto" w:fill="auto"/>
          </w:tcPr>
          <w:p w14:paraId="1DA7CA24" w14:textId="77777777" w:rsidR="006733CA" w:rsidRPr="00683D62" w:rsidRDefault="006733CA" w:rsidP="00A002C9">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p-value</w:t>
            </w:r>
          </w:p>
        </w:tc>
        <w:tc>
          <w:tcPr>
            <w:tcW w:w="1531" w:type="dxa"/>
            <w:tcBorders>
              <w:top w:val="single" w:sz="4" w:space="0" w:color="auto"/>
              <w:bottom w:val="single" w:sz="4" w:space="0" w:color="auto"/>
            </w:tcBorders>
            <w:shd w:val="clear" w:color="auto" w:fill="auto"/>
          </w:tcPr>
          <w:p w14:paraId="49028951" w14:textId="057ED438" w:rsidR="00402B5A" w:rsidRPr="00683D62" w:rsidRDefault="006733CA" w:rsidP="006F133F">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TPOA</w:t>
            </w:r>
            <w:r w:rsidR="006F133F" w:rsidRPr="00683D62">
              <w:rPr>
                <w:rFonts w:ascii="Times New Roman" w:hAnsi="Times New Roman"/>
                <w:sz w:val="21"/>
                <w:szCs w:val="20"/>
                <w:lang w:val="en-US"/>
              </w:rPr>
              <w:t xml:space="preserve">           </w:t>
            </w:r>
            <w:r w:rsidR="00402B5A" w:rsidRPr="00683D62">
              <w:rPr>
                <w:rFonts w:ascii="Times New Roman" w:hAnsi="Times New Roman"/>
                <w:sz w:val="21"/>
                <w:szCs w:val="20"/>
                <w:lang w:val="en-US"/>
              </w:rPr>
              <w:t>HR (95% CI)</w:t>
            </w:r>
          </w:p>
        </w:tc>
        <w:tc>
          <w:tcPr>
            <w:tcW w:w="964" w:type="dxa"/>
            <w:tcBorders>
              <w:top w:val="single" w:sz="4" w:space="0" w:color="auto"/>
              <w:bottom w:val="single" w:sz="4" w:space="0" w:color="auto"/>
            </w:tcBorders>
            <w:shd w:val="clear" w:color="auto" w:fill="auto"/>
          </w:tcPr>
          <w:p w14:paraId="015AB1C9" w14:textId="77777777" w:rsidR="006733CA" w:rsidRPr="00683D62" w:rsidRDefault="006733CA" w:rsidP="00A002C9">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p-value</w:t>
            </w:r>
          </w:p>
        </w:tc>
        <w:tc>
          <w:tcPr>
            <w:tcW w:w="1531" w:type="dxa"/>
            <w:tcBorders>
              <w:top w:val="single" w:sz="4" w:space="0" w:color="auto"/>
              <w:bottom w:val="single" w:sz="4" w:space="0" w:color="auto"/>
            </w:tcBorders>
            <w:shd w:val="clear" w:color="auto" w:fill="auto"/>
          </w:tcPr>
          <w:p w14:paraId="0F6318D4" w14:textId="2AAD3204" w:rsidR="00402B5A" w:rsidRPr="00683D62" w:rsidRDefault="006733CA" w:rsidP="006F133F">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Any</w:t>
            </w:r>
            <w:r w:rsidR="006F133F" w:rsidRPr="00683D62">
              <w:rPr>
                <w:rFonts w:ascii="Times New Roman" w:hAnsi="Times New Roman"/>
                <w:sz w:val="21"/>
                <w:szCs w:val="20"/>
                <w:lang w:val="en-US"/>
              </w:rPr>
              <w:t xml:space="preserve">              </w:t>
            </w:r>
            <w:r w:rsidR="00402B5A" w:rsidRPr="00683D62">
              <w:rPr>
                <w:rFonts w:ascii="Times New Roman" w:hAnsi="Times New Roman"/>
                <w:sz w:val="21"/>
                <w:szCs w:val="20"/>
                <w:lang w:val="en-US"/>
              </w:rPr>
              <w:t>HR (95% CI)</w:t>
            </w:r>
          </w:p>
        </w:tc>
        <w:tc>
          <w:tcPr>
            <w:tcW w:w="964" w:type="dxa"/>
            <w:tcBorders>
              <w:top w:val="single" w:sz="4" w:space="0" w:color="auto"/>
              <w:bottom w:val="single" w:sz="4" w:space="0" w:color="auto"/>
            </w:tcBorders>
            <w:shd w:val="clear" w:color="auto" w:fill="auto"/>
          </w:tcPr>
          <w:p w14:paraId="67BC4851" w14:textId="77777777" w:rsidR="006733CA" w:rsidRPr="00683D62" w:rsidRDefault="006733CA" w:rsidP="00A002C9">
            <w:pPr>
              <w:spacing w:line="360" w:lineRule="auto"/>
              <w:jc w:val="center"/>
              <w:rPr>
                <w:rFonts w:ascii="Times New Roman" w:hAnsi="Times New Roman"/>
                <w:sz w:val="21"/>
                <w:szCs w:val="20"/>
                <w:lang w:val="en-US"/>
              </w:rPr>
            </w:pPr>
            <w:r w:rsidRPr="00683D62">
              <w:rPr>
                <w:rFonts w:ascii="Times New Roman" w:hAnsi="Times New Roman"/>
                <w:sz w:val="21"/>
                <w:szCs w:val="20"/>
                <w:lang w:val="en-US"/>
              </w:rPr>
              <w:t>p-value</w:t>
            </w:r>
          </w:p>
        </w:tc>
      </w:tr>
      <w:tr w:rsidR="00683D62" w:rsidRPr="00683D62" w14:paraId="2871CAA9" w14:textId="77777777" w:rsidTr="00A002C9">
        <w:trPr>
          <w:trHeight w:val="382"/>
        </w:trPr>
        <w:tc>
          <w:tcPr>
            <w:tcW w:w="2041" w:type="dxa"/>
            <w:tcBorders>
              <w:top w:val="single" w:sz="4" w:space="0" w:color="auto"/>
              <w:bottom w:val="nil"/>
            </w:tcBorders>
            <w:shd w:val="clear" w:color="auto" w:fill="auto"/>
          </w:tcPr>
          <w:p w14:paraId="59966B25" w14:textId="36F275D8"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HLA, reference x/x</w:t>
            </w:r>
            <w:r w:rsidR="00A069D2" w:rsidRPr="00683D62">
              <w:rPr>
                <w:rFonts w:ascii="Times New Roman" w:hAnsi="Times New Roman"/>
                <w:sz w:val="21"/>
                <w:szCs w:val="20"/>
                <w:vertAlign w:val="superscript"/>
                <w:lang w:val="en-US"/>
              </w:rPr>
              <w:t>†</w:t>
            </w:r>
          </w:p>
        </w:tc>
        <w:tc>
          <w:tcPr>
            <w:tcW w:w="1531" w:type="dxa"/>
            <w:tcBorders>
              <w:top w:val="single" w:sz="4" w:space="0" w:color="auto"/>
              <w:bottom w:val="nil"/>
            </w:tcBorders>
            <w:shd w:val="clear" w:color="auto" w:fill="auto"/>
          </w:tcPr>
          <w:p w14:paraId="7A994CD2" w14:textId="77777777" w:rsidR="006733CA" w:rsidRPr="00683D62" w:rsidRDefault="006733CA" w:rsidP="00A002C9">
            <w:pPr>
              <w:spacing w:line="480" w:lineRule="auto"/>
              <w:jc w:val="center"/>
              <w:rPr>
                <w:rFonts w:ascii="Times New Roman" w:hAnsi="Times New Roman"/>
                <w:sz w:val="21"/>
                <w:szCs w:val="20"/>
                <w:lang w:val="en-US"/>
              </w:rPr>
            </w:pPr>
          </w:p>
        </w:tc>
        <w:tc>
          <w:tcPr>
            <w:tcW w:w="964" w:type="dxa"/>
            <w:tcBorders>
              <w:top w:val="single" w:sz="4" w:space="0" w:color="auto"/>
              <w:bottom w:val="nil"/>
            </w:tcBorders>
            <w:shd w:val="clear" w:color="auto" w:fill="auto"/>
          </w:tcPr>
          <w:p w14:paraId="66250115" w14:textId="77777777" w:rsidR="006733CA" w:rsidRPr="00683D62" w:rsidRDefault="006733CA" w:rsidP="00A002C9">
            <w:pPr>
              <w:spacing w:line="480" w:lineRule="auto"/>
              <w:jc w:val="center"/>
              <w:rPr>
                <w:rFonts w:ascii="Times New Roman" w:hAnsi="Times New Roman"/>
                <w:sz w:val="21"/>
                <w:szCs w:val="20"/>
                <w:lang w:val="en-US"/>
              </w:rPr>
            </w:pPr>
          </w:p>
        </w:tc>
        <w:tc>
          <w:tcPr>
            <w:tcW w:w="1531" w:type="dxa"/>
            <w:tcBorders>
              <w:top w:val="single" w:sz="4" w:space="0" w:color="auto"/>
              <w:bottom w:val="nil"/>
            </w:tcBorders>
            <w:shd w:val="clear" w:color="auto" w:fill="auto"/>
          </w:tcPr>
          <w:p w14:paraId="34A778F1" w14:textId="77777777" w:rsidR="006733CA" w:rsidRPr="00683D62" w:rsidRDefault="006733CA" w:rsidP="00A002C9">
            <w:pPr>
              <w:spacing w:line="480" w:lineRule="auto"/>
              <w:jc w:val="center"/>
              <w:rPr>
                <w:rFonts w:ascii="Times New Roman" w:hAnsi="Times New Roman"/>
                <w:sz w:val="21"/>
                <w:szCs w:val="20"/>
                <w:lang w:val="en-US"/>
              </w:rPr>
            </w:pPr>
          </w:p>
        </w:tc>
        <w:tc>
          <w:tcPr>
            <w:tcW w:w="964" w:type="dxa"/>
            <w:tcBorders>
              <w:top w:val="single" w:sz="4" w:space="0" w:color="auto"/>
              <w:bottom w:val="nil"/>
            </w:tcBorders>
            <w:shd w:val="clear" w:color="auto" w:fill="auto"/>
          </w:tcPr>
          <w:p w14:paraId="17D78820" w14:textId="77777777" w:rsidR="006733CA" w:rsidRPr="00683D62" w:rsidRDefault="006733CA" w:rsidP="00A002C9">
            <w:pPr>
              <w:spacing w:line="480" w:lineRule="auto"/>
              <w:jc w:val="center"/>
              <w:rPr>
                <w:rFonts w:ascii="Times New Roman" w:hAnsi="Times New Roman"/>
                <w:sz w:val="21"/>
                <w:szCs w:val="20"/>
                <w:lang w:val="en-US"/>
              </w:rPr>
            </w:pPr>
          </w:p>
        </w:tc>
        <w:tc>
          <w:tcPr>
            <w:tcW w:w="1531" w:type="dxa"/>
            <w:tcBorders>
              <w:top w:val="single" w:sz="4" w:space="0" w:color="auto"/>
              <w:bottom w:val="nil"/>
            </w:tcBorders>
            <w:shd w:val="clear" w:color="auto" w:fill="auto"/>
          </w:tcPr>
          <w:p w14:paraId="428DED8B" w14:textId="77777777" w:rsidR="006733CA" w:rsidRPr="00683D62" w:rsidRDefault="006733CA" w:rsidP="00A002C9">
            <w:pPr>
              <w:spacing w:line="480" w:lineRule="auto"/>
              <w:jc w:val="center"/>
              <w:rPr>
                <w:rFonts w:ascii="Times New Roman" w:hAnsi="Times New Roman"/>
                <w:sz w:val="21"/>
                <w:szCs w:val="20"/>
                <w:lang w:val="en-US"/>
              </w:rPr>
            </w:pPr>
          </w:p>
        </w:tc>
        <w:tc>
          <w:tcPr>
            <w:tcW w:w="964" w:type="dxa"/>
            <w:tcBorders>
              <w:top w:val="single" w:sz="4" w:space="0" w:color="auto"/>
              <w:bottom w:val="nil"/>
            </w:tcBorders>
            <w:shd w:val="clear" w:color="auto" w:fill="auto"/>
          </w:tcPr>
          <w:p w14:paraId="59DED6FE" w14:textId="77777777" w:rsidR="006733CA" w:rsidRPr="00683D62" w:rsidRDefault="006733CA" w:rsidP="00A002C9">
            <w:pPr>
              <w:spacing w:line="480" w:lineRule="auto"/>
              <w:jc w:val="center"/>
              <w:rPr>
                <w:rFonts w:ascii="Times New Roman" w:hAnsi="Times New Roman"/>
                <w:sz w:val="21"/>
                <w:szCs w:val="20"/>
                <w:lang w:val="en-US"/>
              </w:rPr>
            </w:pPr>
          </w:p>
        </w:tc>
        <w:tc>
          <w:tcPr>
            <w:tcW w:w="1531" w:type="dxa"/>
            <w:tcBorders>
              <w:top w:val="single" w:sz="4" w:space="0" w:color="auto"/>
              <w:bottom w:val="nil"/>
            </w:tcBorders>
            <w:shd w:val="clear" w:color="auto" w:fill="auto"/>
          </w:tcPr>
          <w:p w14:paraId="54EAC4E2" w14:textId="77777777" w:rsidR="006733CA" w:rsidRPr="00683D62" w:rsidRDefault="006733CA" w:rsidP="00A002C9">
            <w:pPr>
              <w:spacing w:line="480" w:lineRule="auto"/>
              <w:jc w:val="center"/>
              <w:rPr>
                <w:rFonts w:ascii="Times New Roman" w:hAnsi="Times New Roman"/>
                <w:sz w:val="21"/>
                <w:szCs w:val="20"/>
                <w:lang w:val="en-US"/>
              </w:rPr>
            </w:pPr>
          </w:p>
        </w:tc>
        <w:tc>
          <w:tcPr>
            <w:tcW w:w="964" w:type="dxa"/>
            <w:tcBorders>
              <w:top w:val="single" w:sz="4" w:space="0" w:color="auto"/>
              <w:bottom w:val="nil"/>
            </w:tcBorders>
            <w:shd w:val="clear" w:color="auto" w:fill="auto"/>
          </w:tcPr>
          <w:p w14:paraId="4D90008C" w14:textId="77777777" w:rsidR="006733CA" w:rsidRPr="00683D62" w:rsidRDefault="006733CA" w:rsidP="00A002C9">
            <w:pPr>
              <w:spacing w:line="480" w:lineRule="auto"/>
              <w:jc w:val="center"/>
              <w:rPr>
                <w:rFonts w:ascii="Times New Roman" w:hAnsi="Times New Roman"/>
                <w:sz w:val="21"/>
                <w:szCs w:val="20"/>
                <w:lang w:val="en-US"/>
              </w:rPr>
            </w:pPr>
          </w:p>
        </w:tc>
      </w:tr>
      <w:tr w:rsidR="00683D62" w:rsidRPr="00683D62" w14:paraId="3AA0DA6F" w14:textId="77777777" w:rsidTr="00A002C9">
        <w:trPr>
          <w:trHeight w:val="382"/>
        </w:trPr>
        <w:tc>
          <w:tcPr>
            <w:tcW w:w="2041" w:type="dxa"/>
            <w:tcBorders>
              <w:top w:val="nil"/>
            </w:tcBorders>
            <w:shd w:val="clear" w:color="auto" w:fill="auto"/>
          </w:tcPr>
          <w:p w14:paraId="30787A08" w14:textId="77777777"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 xml:space="preserve">  DR3/DR4</w:t>
            </w:r>
          </w:p>
        </w:tc>
        <w:tc>
          <w:tcPr>
            <w:tcW w:w="1531" w:type="dxa"/>
            <w:tcBorders>
              <w:top w:val="nil"/>
            </w:tcBorders>
            <w:shd w:val="clear" w:color="auto" w:fill="auto"/>
          </w:tcPr>
          <w:p w14:paraId="18EE4712" w14:textId="26DF6DE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9</w:t>
            </w:r>
            <w:r w:rsidR="00A410C7" w:rsidRPr="00683D62">
              <w:rPr>
                <w:rFonts w:ascii="Times New Roman" w:hAnsi="Times New Roman"/>
                <w:sz w:val="21"/>
                <w:szCs w:val="20"/>
                <w:lang w:val="en-US"/>
              </w:rPr>
              <w:t>.</w:t>
            </w:r>
            <w:r w:rsidRPr="00683D62">
              <w:rPr>
                <w:rFonts w:ascii="Times New Roman" w:hAnsi="Times New Roman"/>
                <w:sz w:val="21"/>
                <w:szCs w:val="20"/>
                <w:lang w:val="en-US"/>
              </w:rPr>
              <w:t>7 (5</w:t>
            </w:r>
            <w:r w:rsidR="00A410C7" w:rsidRPr="00683D62">
              <w:rPr>
                <w:rFonts w:ascii="Times New Roman" w:hAnsi="Times New Roman"/>
                <w:sz w:val="21"/>
                <w:szCs w:val="20"/>
                <w:lang w:val="en-US"/>
              </w:rPr>
              <w:t>.</w:t>
            </w:r>
            <w:r w:rsidRPr="00683D62">
              <w:rPr>
                <w:rFonts w:ascii="Times New Roman" w:hAnsi="Times New Roman"/>
                <w:sz w:val="21"/>
                <w:szCs w:val="20"/>
                <w:lang w:val="en-US"/>
              </w:rPr>
              <w:t>3</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17</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tcBorders>
              <w:top w:val="nil"/>
            </w:tcBorders>
            <w:shd w:val="clear" w:color="auto" w:fill="auto"/>
          </w:tcPr>
          <w:p w14:paraId="08293FEE" w14:textId="64872ED9"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00</w:t>
            </w:r>
            <w:r w:rsidR="00E72E7C" w:rsidRPr="00683D62">
              <w:rPr>
                <w:rFonts w:ascii="Times New Roman" w:hAnsi="Times New Roman"/>
                <w:sz w:val="21"/>
                <w:szCs w:val="20"/>
                <w:lang w:val="en-US"/>
              </w:rPr>
              <w:t>0</w:t>
            </w:r>
            <w:r w:rsidRPr="00683D62">
              <w:rPr>
                <w:rFonts w:ascii="Times New Roman" w:hAnsi="Times New Roman"/>
                <w:sz w:val="21"/>
                <w:szCs w:val="20"/>
                <w:lang w:val="en-US"/>
              </w:rPr>
              <w:t>1</w:t>
            </w:r>
          </w:p>
        </w:tc>
        <w:tc>
          <w:tcPr>
            <w:tcW w:w="1531" w:type="dxa"/>
            <w:tcBorders>
              <w:top w:val="nil"/>
            </w:tcBorders>
            <w:shd w:val="clear" w:color="auto" w:fill="auto"/>
          </w:tcPr>
          <w:p w14:paraId="31863E64" w14:textId="0B1F9190"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15</w:t>
            </w:r>
            <w:r w:rsidR="00A410C7" w:rsidRPr="00683D62">
              <w:rPr>
                <w:rFonts w:ascii="Times New Roman" w:hAnsi="Times New Roman"/>
                <w:sz w:val="21"/>
                <w:szCs w:val="20"/>
                <w:lang w:val="en-US"/>
              </w:rPr>
              <w:t>.</w:t>
            </w:r>
            <w:r w:rsidRPr="00683D62">
              <w:rPr>
                <w:rFonts w:ascii="Times New Roman" w:hAnsi="Times New Roman"/>
                <w:sz w:val="21"/>
                <w:szCs w:val="20"/>
                <w:lang w:val="en-US"/>
              </w:rPr>
              <w:t>9 (4</w:t>
            </w:r>
            <w:r w:rsidR="00A410C7" w:rsidRPr="00683D62">
              <w:rPr>
                <w:rFonts w:ascii="Times New Roman" w:hAnsi="Times New Roman"/>
                <w:sz w:val="21"/>
                <w:szCs w:val="20"/>
                <w:lang w:val="en-US"/>
              </w:rPr>
              <w:t>.</w:t>
            </w:r>
            <w:r w:rsidRPr="00683D62">
              <w:rPr>
                <w:rFonts w:ascii="Times New Roman" w:hAnsi="Times New Roman"/>
                <w:sz w:val="21"/>
                <w:szCs w:val="20"/>
                <w:lang w:val="en-US"/>
              </w:rPr>
              <w:t>3</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58</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tcBorders>
              <w:top w:val="nil"/>
            </w:tcBorders>
            <w:shd w:val="clear" w:color="auto" w:fill="auto"/>
          </w:tcPr>
          <w:p w14:paraId="06144D43" w14:textId="551FF5B0"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E72E7C" w:rsidRPr="00683D62">
              <w:rPr>
                <w:rFonts w:ascii="Times New Roman" w:hAnsi="Times New Roman"/>
                <w:sz w:val="21"/>
                <w:szCs w:val="20"/>
                <w:lang w:val="en-US"/>
              </w:rPr>
              <w:t>0</w:t>
            </w:r>
            <w:r w:rsidRPr="00683D62">
              <w:rPr>
                <w:rFonts w:ascii="Times New Roman" w:hAnsi="Times New Roman"/>
                <w:sz w:val="21"/>
                <w:szCs w:val="20"/>
                <w:lang w:val="en-US"/>
              </w:rPr>
              <w:t>01</w:t>
            </w:r>
          </w:p>
        </w:tc>
        <w:tc>
          <w:tcPr>
            <w:tcW w:w="1531" w:type="dxa"/>
            <w:tcBorders>
              <w:top w:val="nil"/>
            </w:tcBorders>
            <w:shd w:val="clear" w:color="auto" w:fill="auto"/>
          </w:tcPr>
          <w:p w14:paraId="53E4A907" w14:textId="38B2860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2 (1</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4</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tcBorders>
              <w:top w:val="nil"/>
            </w:tcBorders>
            <w:shd w:val="clear" w:color="auto" w:fill="auto"/>
          </w:tcPr>
          <w:p w14:paraId="06355966" w14:textId="33CD0EE4"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026</w:t>
            </w:r>
          </w:p>
        </w:tc>
        <w:tc>
          <w:tcPr>
            <w:tcW w:w="1531" w:type="dxa"/>
            <w:tcBorders>
              <w:top w:val="nil"/>
            </w:tcBorders>
            <w:shd w:val="clear" w:color="auto" w:fill="auto"/>
          </w:tcPr>
          <w:p w14:paraId="47B34817" w14:textId="7C8C6116"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5</w:t>
            </w:r>
            <w:r w:rsidR="00A410C7" w:rsidRPr="00683D62">
              <w:rPr>
                <w:rFonts w:ascii="Times New Roman" w:hAnsi="Times New Roman"/>
                <w:sz w:val="21"/>
                <w:szCs w:val="20"/>
                <w:lang w:val="en-US"/>
              </w:rPr>
              <w:t>.</w:t>
            </w:r>
            <w:r w:rsidRPr="00683D62">
              <w:rPr>
                <w:rFonts w:ascii="Times New Roman" w:hAnsi="Times New Roman"/>
                <w:sz w:val="21"/>
                <w:szCs w:val="20"/>
                <w:lang w:val="en-US"/>
              </w:rPr>
              <w:t>3 (3</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8</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p>
        </w:tc>
        <w:tc>
          <w:tcPr>
            <w:tcW w:w="964" w:type="dxa"/>
            <w:tcBorders>
              <w:top w:val="nil"/>
            </w:tcBorders>
            <w:shd w:val="clear" w:color="auto" w:fill="auto"/>
          </w:tcPr>
          <w:p w14:paraId="43E17060" w14:textId="30757BA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E72E7C" w:rsidRPr="00683D62">
              <w:rPr>
                <w:rFonts w:ascii="Times New Roman" w:hAnsi="Times New Roman"/>
                <w:sz w:val="21"/>
                <w:szCs w:val="20"/>
                <w:lang w:val="en-US"/>
              </w:rPr>
              <w:t>0</w:t>
            </w:r>
            <w:r w:rsidRPr="00683D62">
              <w:rPr>
                <w:rFonts w:ascii="Times New Roman" w:hAnsi="Times New Roman"/>
                <w:sz w:val="21"/>
                <w:szCs w:val="20"/>
                <w:lang w:val="en-US"/>
              </w:rPr>
              <w:t>01</w:t>
            </w:r>
          </w:p>
        </w:tc>
      </w:tr>
      <w:tr w:rsidR="00683D62" w:rsidRPr="00683D62" w14:paraId="2A102145" w14:textId="77777777" w:rsidTr="00A002C9">
        <w:trPr>
          <w:trHeight w:val="373"/>
        </w:trPr>
        <w:tc>
          <w:tcPr>
            <w:tcW w:w="2041" w:type="dxa"/>
            <w:shd w:val="clear" w:color="auto" w:fill="auto"/>
          </w:tcPr>
          <w:p w14:paraId="47E899B5" w14:textId="77777777"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 xml:space="preserve">  DR4/DR4</w:t>
            </w:r>
          </w:p>
        </w:tc>
        <w:tc>
          <w:tcPr>
            <w:tcW w:w="1531" w:type="dxa"/>
            <w:shd w:val="clear" w:color="auto" w:fill="auto"/>
          </w:tcPr>
          <w:p w14:paraId="415D963C" w14:textId="409CC92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5</w:t>
            </w:r>
            <w:r w:rsidR="00A410C7" w:rsidRPr="00683D62">
              <w:rPr>
                <w:rFonts w:ascii="Times New Roman" w:hAnsi="Times New Roman"/>
                <w:sz w:val="21"/>
                <w:szCs w:val="20"/>
                <w:lang w:val="en-US"/>
              </w:rPr>
              <w:t>.</w:t>
            </w:r>
            <w:r w:rsidRPr="00683D62">
              <w:rPr>
                <w:rFonts w:ascii="Times New Roman" w:hAnsi="Times New Roman"/>
                <w:sz w:val="21"/>
                <w:szCs w:val="20"/>
                <w:lang w:val="en-US"/>
              </w:rPr>
              <w:t>8 (2</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12</w:t>
            </w:r>
            <w:r w:rsidR="00A410C7" w:rsidRPr="00683D62">
              <w:rPr>
                <w:rFonts w:ascii="Times New Roman" w:hAnsi="Times New Roman"/>
                <w:sz w:val="21"/>
                <w:szCs w:val="20"/>
                <w:lang w:val="en-US"/>
              </w:rPr>
              <w:t>.</w:t>
            </w:r>
            <w:r w:rsidRPr="00683D62">
              <w:rPr>
                <w:rFonts w:ascii="Times New Roman" w:hAnsi="Times New Roman"/>
                <w:sz w:val="21"/>
                <w:szCs w:val="20"/>
                <w:lang w:val="en-US"/>
              </w:rPr>
              <w:t>9)</w:t>
            </w:r>
          </w:p>
        </w:tc>
        <w:tc>
          <w:tcPr>
            <w:tcW w:w="964" w:type="dxa"/>
            <w:shd w:val="clear" w:color="auto" w:fill="auto"/>
          </w:tcPr>
          <w:p w14:paraId="3E5961B3" w14:textId="59DD10F7"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E72E7C" w:rsidRPr="00683D62">
              <w:rPr>
                <w:rFonts w:ascii="Times New Roman" w:hAnsi="Times New Roman"/>
                <w:sz w:val="21"/>
                <w:szCs w:val="20"/>
                <w:lang w:val="en-US"/>
              </w:rPr>
              <w:t>0</w:t>
            </w:r>
            <w:r w:rsidRPr="00683D62">
              <w:rPr>
                <w:rFonts w:ascii="Times New Roman" w:hAnsi="Times New Roman"/>
                <w:sz w:val="21"/>
                <w:szCs w:val="20"/>
                <w:lang w:val="en-US"/>
              </w:rPr>
              <w:t>01</w:t>
            </w:r>
          </w:p>
        </w:tc>
        <w:tc>
          <w:tcPr>
            <w:tcW w:w="1531" w:type="dxa"/>
            <w:shd w:val="clear" w:color="auto" w:fill="auto"/>
          </w:tcPr>
          <w:p w14:paraId="0605EB12" w14:textId="63F03BA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7</w:t>
            </w:r>
            <w:r w:rsidR="00A410C7" w:rsidRPr="00683D62">
              <w:rPr>
                <w:rFonts w:ascii="Times New Roman" w:hAnsi="Times New Roman"/>
                <w:sz w:val="21"/>
                <w:szCs w:val="20"/>
                <w:lang w:val="en-US"/>
              </w:rPr>
              <w:t>.</w:t>
            </w:r>
            <w:r w:rsidRPr="00683D62">
              <w:rPr>
                <w:rFonts w:ascii="Times New Roman" w:hAnsi="Times New Roman"/>
                <w:sz w:val="21"/>
                <w:szCs w:val="20"/>
                <w:lang w:val="en-US"/>
              </w:rPr>
              <w:t>1 (1</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42</w:t>
            </w:r>
            <w:r w:rsidR="00A410C7" w:rsidRPr="00683D62">
              <w:rPr>
                <w:rFonts w:ascii="Times New Roman" w:hAnsi="Times New Roman"/>
                <w:sz w:val="21"/>
                <w:szCs w:val="20"/>
                <w:lang w:val="en-US"/>
              </w:rPr>
              <w:t>.</w:t>
            </w:r>
            <w:r w:rsidRPr="00683D62">
              <w:rPr>
                <w:rFonts w:ascii="Times New Roman" w:hAnsi="Times New Roman"/>
                <w:sz w:val="21"/>
                <w:szCs w:val="20"/>
                <w:lang w:val="en-US"/>
              </w:rPr>
              <w:t>4)</w:t>
            </w:r>
          </w:p>
        </w:tc>
        <w:tc>
          <w:tcPr>
            <w:tcW w:w="964" w:type="dxa"/>
            <w:shd w:val="clear" w:color="auto" w:fill="auto"/>
          </w:tcPr>
          <w:p w14:paraId="2C17B941" w14:textId="122CB130"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033</w:t>
            </w:r>
          </w:p>
        </w:tc>
        <w:tc>
          <w:tcPr>
            <w:tcW w:w="1531" w:type="dxa"/>
            <w:shd w:val="clear" w:color="auto" w:fill="auto"/>
          </w:tcPr>
          <w:p w14:paraId="252AB06E" w14:textId="5DFDE324"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3 (0</w:t>
            </w:r>
            <w:r w:rsidR="00A410C7" w:rsidRPr="00683D62">
              <w:rPr>
                <w:rFonts w:ascii="Times New Roman" w:hAnsi="Times New Roman"/>
                <w:sz w:val="21"/>
                <w:szCs w:val="20"/>
                <w:lang w:val="en-US"/>
              </w:rPr>
              <w:t>.</w:t>
            </w:r>
            <w:r w:rsidRPr="00683D62">
              <w:rPr>
                <w:rFonts w:ascii="Times New Roman" w:hAnsi="Times New Roman"/>
                <w:sz w:val="21"/>
                <w:szCs w:val="20"/>
                <w:lang w:val="en-US"/>
              </w:rPr>
              <w:t>9</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5</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71BF402D" w14:textId="6FFFCB3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055</w:t>
            </w:r>
          </w:p>
        </w:tc>
        <w:tc>
          <w:tcPr>
            <w:tcW w:w="1531" w:type="dxa"/>
            <w:shd w:val="clear" w:color="auto" w:fill="auto"/>
          </w:tcPr>
          <w:p w14:paraId="510E04D8" w14:textId="6425212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3</w:t>
            </w:r>
            <w:r w:rsidR="00A410C7" w:rsidRPr="00683D62">
              <w:rPr>
                <w:rFonts w:ascii="Times New Roman" w:hAnsi="Times New Roman"/>
                <w:sz w:val="21"/>
                <w:szCs w:val="20"/>
                <w:lang w:val="en-US"/>
              </w:rPr>
              <w:t>.</w:t>
            </w:r>
            <w:r w:rsidRPr="00683D62">
              <w:rPr>
                <w:rFonts w:ascii="Times New Roman" w:hAnsi="Times New Roman"/>
                <w:sz w:val="21"/>
                <w:szCs w:val="20"/>
                <w:lang w:val="en-US"/>
              </w:rPr>
              <w:t>6 (2</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6</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shd w:val="clear" w:color="auto" w:fill="auto"/>
          </w:tcPr>
          <w:p w14:paraId="21DCAE1C" w14:textId="7F74CD6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E72E7C" w:rsidRPr="00683D62">
              <w:rPr>
                <w:rFonts w:ascii="Times New Roman" w:hAnsi="Times New Roman"/>
                <w:sz w:val="21"/>
                <w:szCs w:val="20"/>
                <w:lang w:val="en-US"/>
              </w:rPr>
              <w:t>0</w:t>
            </w:r>
            <w:r w:rsidRPr="00683D62">
              <w:rPr>
                <w:rFonts w:ascii="Times New Roman" w:hAnsi="Times New Roman"/>
                <w:sz w:val="21"/>
                <w:szCs w:val="20"/>
                <w:lang w:val="en-US"/>
              </w:rPr>
              <w:t>01</w:t>
            </w:r>
          </w:p>
        </w:tc>
      </w:tr>
      <w:tr w:rsidR="00683D62" w:rsidRPr="00683D62" w14:paraId="74E643A5" w14:textId="77777777" w:rsidTr="00A002C9">
        <w:trPr>
          <w:trHeight w:val="282"/>
        </w:trPr>
        <w:tc>
          <w:tcPr>
            <w:tcW w:w="2041" w:type="dxa"/>
            <w:shd w:val="clear" w:color="auto" w:fill="auto"/>
          </w:tcPr>
          <w:p w14:paraId="47D91747" w14:textId="77777777"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 xml:space="preserve">  DR3/DR3</w:t>
            </w:r>
          </w:p>
        </w:tc>
        <w:tc>
          <w:tcPr>
            <w:tcW w:w="1531" w:type="dxa"/>
            <w:shd w:val="clear" w:color="auto" w:fill="auto"/>
          </w:tcPr>
          <w:p w14:paraId="6E5ED602" w14:textId="12934B2E" w:rsidR="006733CA" w:rsidRPr="00683D62" w:rsidRDefault="007C1C9E"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3</w:t>
            </w:r>
            <w:r w:rsidR="00A410C7" w:rsidRPr="00683D62">
              <w:rPr>
                <w:rFonts w:ascii="Times New Roman" w:hAnsi="Times New Roman"/>
                <w:sz w:val="21"/>
                <w:szCs w:val="20"/>
                <w:lang w:val="en-US"/>
              </w:rPr>
              <w:t>.</w:t>
            </w:r>
            <w:r w:rsidR="006733CA" w:rsidRPr="00683D62">
              <w:rPr>
                <w:rFonts w:ascii="Times New Roman" w:hAnsi="Times New Roman"/>
                <w:sz w:val="21"/>
                <w:szCs w:val="20"/>
                <w:lang w:val="en-US"/>
              </w:rPr>
              <w:t>3 (1</w:t>
            </w:r>
            <w:r w:rsidR="00A410C7" w:rsidRPr="00683D62">
              <w:rPr>
                <w:rFonts w:ascii="Times New Roman" w:hAnsi="Times New Roman"/>
                <w:sz w:val="21"/>
                <w:szCs w:val="20"/>
                <w:lang w:val="en-US"/>
              </w:rPr>
              <w:t>.</w:t>
            </w:r>
            <w:r w:rsidR="006733CA" w:rsidRPr="00683D62">
              <w:rPr>
                <w:rFonts w:ascii="Times New Roman" w:hAnsi="Times New Roman"/>
                <w:sz w:val="21"/>
                <w:szCs w:val="20"/>
                <w:lang w:val="en-US"/>
              </w:rPr>
              <w:t>1</w:t>
            </w:r>
            <w:r w:rsidR="00A410C7" w:rsidRPr="00683D62">
              <w:rPr>
                <w:rFonts w:ascii="Times New Roman" w:hAnsi="Times New Roman"/>
                <w:sz w:val="21"/>
                <w:szCs w:val="20"/>
                <w:lang w:val="en-US" w:eastAsia="de-DE"/>
              </w:rPr>
              <w:t>-</w:t>
            </w:r>
            <w:r w:rsidR="006733CA" w:rsidRPr="00683D62">
              <w:rPr>
                <w:rFonts w:ascii="Times New Roman" w:hAnsi="Times New Roman"/>
                <w:sz w:val="21"/>
                <w:szCs w:val="20"/>
                <w:lang w:val="en-US"/>
              </w:rPr>
              <w:t>9</w:t>
            </w:r>
            <w:r w:rsidR="00A410C7" w:rsidRPr="00683D62">
              <w:rPr>
                <w:rFonts w:ascii="Times New Roman" w:hAnsi="Times New Roman"/>
                <w:sz w:val="21"/>
                <w:szCs w:val="20"/>
                <w:lang w:val="en-US"/>
              </w:rPr>
              <w:t>.</w:t>
            </w:r>
            <w:r w:rsidR="006733CA" w:rsidRPr="00683D62">
              <w:rPr>
                <w:rFonts w:ascii="Times New Roman" w:hAnsi="Times New Roman"/>
                <w:sz w:val="21"/>
                <w:szCs w:val="20"/>
                <w:lang w:val="en-US"/>
              </w:rPr>
              <w:t>8)</w:t>
            </w:r>
          </w:p>
        </w:tc>
        <w:tc>
          <w:tcPr>
            <w:tcW w:w="964" w:type="dxa"/>
            <w:shd w:val="clear" w:color="auto" w:fill="auto"/>
          </w:tcPr>
          <w:p w14:paraId="4744F50D" w14:textId="37B7D2C4"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031</w:t>
            </w:r>
          </w:p>
        </w:tc>
        <w:tc>
          <w:tcPr>
            <w:tcW w:w="1531" w:type="dxa"/>
            <w:shd w:val="clear" w:color="auto" w:fill="auto"/>
          </w:tcPr>
          <w:p w14:paraId="3B79C3F9" w14:textId="66DB739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62</w:t>
            </w:r>
            <w:r w:rsidR="00A410C7" w:rsidRPr="00683D62">
              <w:rPr>
                <w:rFonts w:ascii="Times New Roman" w:hAnsi="Times New Roman"/>
                <w:sz w:val="21"/>
                <w:szCs w:val="20"/>
                <w:lang w:val="en-US"/>
              </w:rPr>
              <w:t>.</w:t>
            </w:r>
            <w:r w:rsidRPr="00683D62">
              <w:rPr>
                <w:rFonts w:ascii="Times New Roman" w:hAnsi="Times New Roman"/>
                <w:sz w:val="21"/>
                <w:szCs w:val="20"/>
                <w:lang w:val="en-US"/>
              </w:rPr>
              <w:t>1 (17</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223)</w:t>
            </w:r>
          </w:p>
        </w:tc>
        <w:tc>
          <w:tcPr>
            <w:tcW w:w="964" w:type="dxa"/>
            <w:shd w:val="clear" w:color="auto" w:fill="auto"/>
          </w:tcPr>
          <w:p w14:paraId="495FEF8A" w14:textId="0BEDAA1E"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00</w:t>
            </w:r>
            <w:r w:rsidR="00E72E7C" w:rsidRPr="00683D62">
              <w:rPr>
                <w:rFonts w:ascii="Times New Roman" w:hAnsi="Times New Roman"/>
                <w:sz w:val="21"/>
                <w:szCs w:val="20"/>
                <w:lang w:val="en-US"/>
              </w:rPr>
              <w:t>0</w:t>
            </w:r>
            <w:r w:rsidRPr="00683D62">
              <w:rPr>
                <w:rFonts w:ascii="Times New Roman" w:hAnsi="Times New Roman"/>
                <w:sz w:val="21"/>
                <w:szCs w:val="20"/>
                <w:lang w:val="en-US"/>
              </w:rPr>
              <w:t>1</w:t>
            </w:r>
          </w:p>
        </w:tc>
        <w:tc>
          <w:tcPr>
            <w:tcW w:w="1531" w:type="dxa"/>
            <w:shd w:val="clear" w:color="auto" w:fill="auto"/>
          </w:tcPr>
          <w:p w14:paraId="007550F0" w14:textId="1880A38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3</w:t>
            </w:r>
            <w:r w:rsidR="00A410C7" w:rsidRPr="00683D62">
              <w:rPr>
                <w:rFonts w:ascii="Times New Roman" w:hAnsi="Times New Roman"/>
                <w:sz w:val="21"/>
                <w:szCs w:val="20"/>
                <w:lang w:val="en-US"/>
              </w:rPr>
              <w:t>.</w:t>
            </w:r>
            <w:r w:rsidRPr="00683D62">
              <w:rPr>
                <w:rFonts w:ascii="Times New Roman" w:hAnsi="Times New Roman"/>
                <w:sz w:val="21"/>
                <w:szCs w:val="20"/>
                <w:lang w:val="en-US"/>
              </w:rPr>
              <w:t>5 (1</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7</w:t>
            </w:r>
            <w:r w:rsidR="00A410C7" w:rsidRPr="00683D62">
              <w:rPr>
                <w:rFonts w:ascii="Times New Roman" w:hAnsi="Times New Roman"/>
                <w:sz w:val="21"/>
                <w:szCs w:val="20"/>
                <w:lang w:val="en-US"/>
              </w:rPr>
              <w:t>.</w:t>
            </w:r>
            <w:r w:rsidRPr="00683D62">
              <w:rPr>
                <w:rFonts w:ascii="Times New Roman" w:hAnsi="Times New Roman"/>
                <w:sz w:val="21"/>
                <w:szCs w:val="20"/>
                <w:lang w:val="en-US"/>
              </w:rPr>
              <w:t>4)</w:t>
            </w:r>
          </w:p>
        </w:tc>
        <w:tc>
          <w:tcPr>
            <w:tcW w:w="964" w:type="dxa"/>
            <w:shd w:val="clear" w:color="auto" w:fill="auto"/>
          </w:tcPr>
          <w:p w14:paraId="2FAEA576" w14:textId="1A0EC71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001</w:t>
            </w:r>
            <w:r w:rsidR="00E72E7C" w:rsidRPr="00683D62">
              <w:rPr>
                <w:rFonts w:ascii="Times New Roman" w:hAnsi="Times New Roman"/>
                <w:sz w:val="21"/>
                <w:szCs w:val="20"/>
                <w:lang w:val="en-US"/>
              </w:rPr>
              <w:t>2</w:t>
            </w:r>
          </w:p>
        </w:tc>
        <w:tc>
          <w:tcPr>
            <w:tcW w:w="1531" w:type="dxa"/>
            <w:shd w:val="clear" w:color="auto" w:fill="auto"/>
          </w:tcPr>
          <w:p w14:paraId="5A0E6207" w14:textId="54AF42D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6</w:t>
            </w:r>
            <w:r w:rsidR="00A410C7" w:rsidRPr="00683D62">
              <w:rPr>
                <w:rFonts w:ascii="Times New Roman" w:hAnsi="Times New Roman"/>
                <w:sz w:val="21"/>
                <w:szCs w:val="20"/>
                <w:lang w:val="en-US"/>
              </w:rPr>
              <w:t>.</w:t>
            </w:r>
            <w:r w:rsidRPr="00683D62">
              <w:rPr>
                <w:rFonts w:ascii="Times New Roman" w:hAnsi="Times New Roman"/>
                <w:sz w:val="21"/>
                <w:szCs w:val="20"/>
                <w:lang w:val="en-US"/>
              </w:rPr>
              <w:t>4 (3</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11</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74D39ACB" w14:textId="62A3D76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E72E7C" w:rsidRPr="00683D62">
              <w:rPr>
                <w:rFonts w:ascii="Times New Roman" w:hAnsi="Times New Roman"/>
                <w:sz w:val="21"/>
                <w:szCs w:val="20"/>
                <w:lang w:val="en-US"/>
              </w:rPr>
              <w:t>0</w:t>
            </w:r>
            <w:r w:rsidRPr="00683D62">
              <w:rPr>
                <w:rFonts w:ascii="Times New Roman" w:hAnsi="Times New Roman"/>
                <w:sz w:val="21"/>
                <w:szCs w:val="20"/>
                <w:lang w:val="en-US"/>
              </w:rPr>
              <w:t>01</w:t>
            </w:r>
          </w:p>
        </w:tc>
      </w:tr>
      <w:tr w:rsidR="00683D62" w:rsidRPr="00683D62" w14:paraId="2D182D14" w14:textId="77777777" w:rsidTr="00A002C9">
        <w:trPr>
          <w:trHeight w:val="382"/>
        </w:trPr>
        <w:tc>
          <w:tcPr>
            <w:tcW w:w="2041" w:type="dxa"/>
            <w:shd w:val="clear" w:color="auto" w:fill="auto"/>
          </w:tcPr>
          <w:p w14:paraId="40BE1258" w14:textId="77777777"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 xml:space="preserve">  DR3/x, DR4/x</w:t>
            </w:r>
          </w:p>
        </w:tc>
        <w:tc>
          <w:tcPr>
            <w:tcW w:w="1531" w:type="dxa"/>
            <w:shd w:val="clear" w:color="auto" w:fill="auto"/>
          </w:tcPr>
          <w:p w14:paraId="56D2881E" w14:textId="29E2AF9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8 (1</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3</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p>
        </w:tc>
        <w:tc>
          <w:tcPr>
            <w:tcW w:w="964" w:type="dxa"/>
            <w:shd w:val="clear" w:color="auto" w:fill="auto"/>
          </w:tcPr>
          <w:p w14:paraId="65BCD20B" w14:textId="787786A0"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024</w:t>
            </w:r>
          </w:p>
        </w:tc>
        <w:tc>
          <w:tcPr>
            <w:tcW w:w="1531" w:type="dxa"/>
            <w:shd w:val="clear" w:color="auto" w:fill="auto"/>
          </w:tcPr>
          <w:p w14:paraId="17D2E676" w14:textId="6956F09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8</w:t>
            </w:r>
            <w:r w:rsidR="00A410C7" w:rsidRPr="00683D62">
              <w:rPr>
                <w:rFonts w:ascii="Times New Roman" w:hAnsi="Times New Roman"/>
                <w:sz w:val="21"/>
                <w:szCs w:val="20"/>
                <w:lang w:val="en-US"/>
              </w:rPr>
              <w:t>.</w:t>
            </w:r>
            <w:r w:rsidRPr="00683D62">
              <w:rPr>
                <w:rFonts w:ascii="Times New Roman" w:hAnsi="Times New Roman"/>
                <w:sz w:val="21"/>
                <w:szCs w:val="20"/>
                <w:lang w:val="en-US"/>
              </w:rPr>
              <w:t>4 (2</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27</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p>
        </w:tc>
        <w:tc>
          <w:tcPr>
            <w:tcW w:w="964" w:type="dxa"/>
            <w:shd w:val="clear" w:color="auto" w:fill="auto"/>
          </w:tcPr>
          <w:p w14:paraId="10DFF704" w14:textId="47582DC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00</w:t>
            </w:r>
            <w:r w:rsidR="00E72E7C" w:rsidRPr="00683D62">
              <w:rPr>
                <w:rFonts w:ascii="Times New Roman" w:hAnsi="Times New Roman"/>
                <w:sz w:val="21"/>
                <w:szCs w:val="20"/>
                <w:lang w:val="en-US"/>
              </w:rPr>
              <w:t>0</w:t>
            </w:r>
            <w:r w:rsidRPr="00683D62">
              <w:rPr>
                <w:rFonts w:ascii="Times New Roman" w:hAnsi="Times New Roman"/>
                <w:sz w:val="21"/>
                <w:szCs w:val="20"/>
                <w:lang w:val="en-US"/>
              </w:rPr>
              <w:t>1</w:t>
            </w:r>
          </w:p>
        </w:tc>
        <w:tc>
          <w:tcPr>
            <w:tcW w:w="1531" w:type="dxa"/>
            <w:shd w:val="clear" w:color="auto" w:fill="auto"/>
          </w:tcPr>
          <w:p w14:paraId="7B140621" w14:textId="424ADBE7"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3 (0</w:t>
            </w:r>
            <w:r w:rsidR="00A410C7" w:rsidRPr="00683D62">
              <w:rPr>
                <w:rFonts w:ascii="Times New Roman" w:hAnsi="Times New Roman"/>
                <w:sz w:val="21"/>
                <w:szCs w:val="20"/>
                <w:lang w:val="en-US"/>
              </w:rPr>
              <w:t>.</w:t>
            </w:r>
            <w:r w:rsidRPr="00683D62">
              <w:rPr>
                <w:rFonts w:ascii="Times New Roman" w:hAnsi="Times New Roman"/>
                <w:sz w:val="21"/>
                <w:szCs w:val="20"/>
                <w:lang w:val="en-US"/>
              </w:rPr>
              <w:t>9</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p>
        </w:tc>
        <w:tc>
          <w:tcPr>
            <w:tcW w:w="964" w:type="dxa"/>
            <w:shd w:val="clear" w:color="auto" w:fill="auto"/>
          </w:tcPr>
          <w:p w14:paraId="4A3C0A3C" w14:textId="4CE306C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22</w:t>
            </w:r>
          </w:p>
        </w:tc>
        <w:tc>
          <w:tcPr>
            <w:tcW w:w="1531" w:type="dxa"/>
            <w:shd w:val="clear" w:color="auto" w:fill="auto"/>
          </w:tcPr>
          <w:p w14:paraId="7C618F83" w14:textId="26A4E11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0 (1</w:t>
            </w:r>
            <w:r w:rsidR="00A410C7" w:rsidRPr="00683D62">
              <w:rPr>
                <w:rFonts w:ascii="Times New Roman" w:hAnsi="Times New Roman"/>
                <w:sz w:val="21"/>
                <w:szCs w:val="20"/>
                <w:lang w:val="en-US"/>
              </w:rPr>
              <w:t>.</w:t>
            </w:r>
            <w:r w:rsidRPr="00683D62">
              <w:rPr>
                <w:rFonts w:ascii="Times New Roman" w:hAnsi="Times New Roman"/>
                <w:sz w:val="21"/>
                <w:szCs w:val="20"/>
                <w:lang w:val="en-US"/>
              </w:rPr>
              <w:t>4</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45CB8E20" w14:textId="1E5BAE9C"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E72E7C" w:rsidRPr="00683D62">
              <w:rPr>
                <w:rFonts w:ascii="Times New Roman" w:hAnsi="Times New Roman"/>
                <w:sz w:val="21"/>
                <w:szCs w:val="20"/>
                <w:lang w:val="en-US"/>
              </w:rPr>
              <w:t>0007</w:t>
            </w:r>
          </w:p>
        </w:tc>
      </w:tr>
      <w:tr w:rsidR="00683D62" w:rsidRPr="00683D62" w14:paraId="552AE277" w14:textId="77777777" w:rsidTr="00A002C9">
        <w:trPr>
          <w:trHeight w:val="273"/>
        </w:trPr>
        <w:tc>
          <w:tcPr>
            <w:tcW w:w="2041" w:type="dxa"/>
            <w:shd w:val="clear" w:color="auto" w:fill="auto"/>
          </w:tcPr>
          <w:p w14:paraId="13862EBC" w14:textId="77777777" w:rsidR="006733CA" w:rsidRPr="00683D62" w:rsidRDefault="006733CA" w:rsidP="00A002C9">
            <w:pPr>
              <w:spacing w:line="480" w:lineRule="auto"/>
              <w:rPr>
                <w:rFonts w:ascii="Times New Roman" w:hAnsi="Times New Roman"/>
                <w:sz w:val="21"/>
                <w:szCs w:val="20"/>
                <w:lang w:val="en-US"/>
              </w:rPr>
            </w:pPr>
            <w:r w:rsidRPr="00683D62">
              <w:rPr>
                <w:rFonts w:ascii="Times New Roman" w:hAnsi="Times New Roman"/>
                <w:sz w:val="21"/>
                <w:szCs w:val="20"/>
                <w:lang w:val="en-US"/>
              </w:rPr>
              <w:t>Sex, reference boys</w:t>
            </w:r>
          </w:p>
        </w:tc>
        <w:tc>
          <w:tcPr>
            <w:tcW w:w="1531" w:type="dxa"/>
            <w:shd w:val="clear" w:color="auto" w:fill="auto"/>
          </w:tcPr>
          <w:p w14:paraId="1DBBAD4D" w14:textId="12D1D168"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8 (0</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43F435FE" w14:textId="165B3669"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35</w:t>
            </w:r>
          </w:p>
        </w:tc>
        <w:tc>
          <w:tcPr>
            <w:tcW w:w="1531" w:type="dxa"/>
            <w:shd w:val="clear" w:color="auto" w:fill="auto"/>
          </w:tcPr>
          <w:p w14:paraId="0AC83502" w14:textId="3A21D75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4 (0</w:t>
            </w:r>
            <w:r w:rsidR="00A410C7" w:rsidRPr="00683D62">
              <w:rPr>
                <w:rFonts w:ascii="Times New Roman" w:hAnsi="Times New Roman"/>
                <w:sz w:val="21"/>
                <w:szCs w:val="20"/>
                <w:lang w:val="en-US"/>
              </w:rPr>
              <w:t>.</w:t>
            </w:r>
            <w:r w:rsidRPr="00683D62">
              <w:rPr>
                <w:rFonts w:ascii="Times New Roman" w:hAnsi="Times New Roman"/>
                <w:sz w:val="21"/>
                <w:szCs w:val="20"/>
                <w:lang w:val="en-US"/>
              </w:rPr>
              <w:t>8</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3DA63823" w14:textId="3F4E2DE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20</w:t>
            </w:r>
          </w:p>
        </w:tc>
        <w:tc>
          <w:tcPr>
            <w:tcW w:w="1531" w:type="dxa"/>
            <w:shd w:val="clear" w:color="auto" w:fill="auto"/>
          </w:tcPr>
          <w:p w14:paraId="2CC46936" w14:textId="40EC9BD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3 (1</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3</w:t>
            </w:r>
            <w:r w:rsidR="00A410C7" w:rsidRPr="00683D62">
              <w:rPr>
                <w:rFonts w:ascii="Times New Roman" w:hAnsi="Times New Roman"/>
                <w:sz w:val="21"/>
                <w:szCs w:val="20"/>
                <w:lang w:val="en-US"/>
              </w:rPr>
              <w:t>.</w:t>
            </w:r>
            <w:r w:rsidRPr="00683D62">
              <w:rPr>
                <w:rFonts w:ascii="Times New Roman" w:hAnsi="Times New Roman"/>
                <w:sz w:val="21"/>
                <w:szCs w:val="20"/>
                <w:lang w:val="en-US"/>
              </w:rPr>
              <w:t>3)</w:t>
            </w:r>
          </w:p>
        </w:tc>
        <w:tc>
          <w:tcPr>
            <w:tcW w:w="964" w:type="dxa"/>
            <w:shd w:val="clear" w:color="auto" w:fill="auto"/>
          </w:tcPr>
          <w:p w14:paraId="060515F0" w14:textId="5023E3E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&lt;0</w:t>
            </w:r>
            <w:r w:rsidR="00A410C7" w:rsidRPr="00683D62">
              <w:rPr>
                <w:rFonts w:ascii="Times New Roman" w:hAnsi="Times New Roman"/>
                <w:sz w:val="21"/>
                <w:szCs w:val="20"/>
                <w:lang w:val="en-US"/>
              </w:rPr>
              <w:t>.</w:t>
            </w:r>
            <w:r w:rsidRPr="00683D62">
              <w:rPr>
                <w:rFonts w:ascii="Times New Roman" w:hAnsi="Times New Roman"/>
                <w:sz w:val="21"/>
                <w:szCs w:val="20"/>
                <w:lang w:val="en-US"/>
              </w:rPr>
              <w:t>001</w:t>
            </w:r>
          </w:p>
        </w:tc>
        <w:tc>
          <w:tcPr>
            <w:tcW w:w="1531" w:type="dxa"/>
            <w:shd w:val="clear" w:color="auto" w:fill="auto"/>
          </w:tcPr>
          <w:p w14:paraId="0C273916" w14:textId="52B66346"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3 (1</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57C5AA80" w14:textId="3A0B458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016</w:t>
            </w:r>
          </w:p>
        </w:tc>
      </w:tr>
      <w:tr w:rsidR="00683D62" w:rsidRPr="00683D62" w14:paraId="54EAD425" w14:textId="77777777" w:rsidTr="00A002C9">
        <w:trPr>
          <w:trHeight w:val="282"/>
        </w:trPr>
        <w:tc>
          <w:tcPr>
            <w:tcW w:w="2041" w:type="dxa"/>
            <w:shd w:val="clear" w:color="auto" w:fill="auto"/>
          </w:tcPr>
          <w:p w14:paraId="693ED3A2" w14:textId="1BF10D53" w:rsidR="006733CA" w:rsidRPr="00683D62" w:rsidRDefault="006733CA" w:rsidP="00A002C9">
            <w:pPr>
              <w:spacing w:line="480" w:lineRule="auto"/>
              <w:rPr>
                <w:rFonts w:ascii="Times New Roman" w:hAnsi="Times New Roman"/>
                <w:i/>
                <w:sz w:val="21"/>
                <w:szCs w:val="20"/>
                <w:lang w:val="en-US"/>
              </w:rPr>
            </w:pPr>
            <w:r w:rsidRPr="00683D62">
              <w:rPr>
                <w:rFonts w:ascii="Times New Roman" w:hAnsi="Times New Roman"/>
                <w:i/>
                <w:sz w:val="21"/>
                <w:szCs w:val="20"/>
                <w:lang w:val="en-US"/>
              </w:rPr>
              <w:t>INS</w:t>
            </w:r>
            <w:r w:rsidR="00DD20CF" w:rsidRPr="00683D62">
              <w:rPr>
                <w:rFonts w:ascii="Times New Roman" w:hAnsi="Times New Roman"/>
                <w:i/>
                <w:sz w:val="21"/>
                <w:szCs w:val="20"/>
                <w:lang w:val="en-US"/>
              </w:rPr>
              <w:t xml:space="preserve"> </w:t>
            </w:r>
            <w:r w:rsidR="00DD20CF" w:rsidRPr="00683D62">
              <w:rPr>
                <w:rFonts w:ascii="Times New Roman" w:hAnsi="Times New Roman"/>
                <w:sz w:val="21"/>
                <w:szCs w:val="20"/>
                <w:lang w:val="en-US"/>
              </w:rPr>
              <w:t>(rs689)</w:t>
            </w:r>
          </w:p>
        </w:tc>
        <w:tc>
          <w:tcPr>
            <w:tcW w:w="1531" w:type="dxa"/>
            <w:shd w:val="clear" w:color="auto" w:fill="auto"/>
          </w:tcPr>
          <w:p w14:paraId="2A49D6FA" w14:textId="6BAA89D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6 (1</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3)</w:t>
            </w:r>
          </w:p>
        </w:tc>
        <w:tc>
          <w:tcPr>
            <w:tcW w:w="964" w:type="dxa"/>
            <w:shd w:val="clear" w:color="auto" w:fill="auto"/>
          </w:tcPr>
          <w:p w14:paraId="6DC90896" w14:textId="087782D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026</w:t>
            </w:r>
          </w:p>
        </w:tc>
        <w:tc>
          <w:tcPr>
            <w:tcW w:w="1531" w:type="dxa"/>
            <w:shd w:val="clear" w:color="auto" w:fill="auto"/>
          </w:tcPr>
          <w:p w14:paraId="545B658A" w14:textId="49AB6106"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1 (0</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5153537F" w14:textId="4EB5EDA8"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837</w:t>
            </w:r>
          </w:p>
        </w:tc>
        <w:tc>
          <w:tcPr>
            <w:tcW w:w="1531" w:type="dxa"/>
            <w:shd w:val="clear" w:color="auto" w:fill="auto"/>
          </w:tcPr>
          <w:p w14:paraId="04B70C5A" w14:textId="68086C2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1 (0</w:t>
            </w:r>
            <w:r w:rsidR="00A410C7" w:rsidRPr="00683D62">
              <w:rPr>
                <w:rFonts w:ascii="Times New Roman" w:hAnsi="Times New Roman"/>
                <w:sz w:val="21"/>
                <w:szCs w:val="20"/>
                <w:lang w:val="en-US"/>
              </w:rPr>
              <w:t>.</w:t>
            </w:r>
            <w:r w:rsidRPr="00683D62">
              <w:rPr>
                <w:rFonts w:ascii="Times New Roman" w:hAnsi="Times New Roman"/>
                <w:sz w:val="21"/>
                <w:szCs w:val="20"/>
                <w:lang w:val="en-US"/>
              </w:rPr>
              <w:t>8</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p>
        </w:tc>
        <w:tc>
          <w:tcPr>
            <w:tcW w:w="964" w:type="dxa"/>
            <w:shd w:val="clear" w:color="auto" w:fill="auto"/>
          </w:tcPr>
          <w:p w14:paraId="7D618AAB" w14:textId="26294AD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52</w:t>
            </w:r>
          </w:p>
        </w:tc>
        <w:tc>
          <w:tcPr>
            <w:tcW w:w="1531" w:type="dxa"/>
            <w:shd w:val="clear" w:color="auto" w:fill="auto"/>
          </w:tcPr>
          <w:p w14:paraId="2211C83F" w14:textId="342A1AA9"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3 (0</w:t>
            </w:r>
            <w:r w:rsidR="00A410C7" w:rsidRPr="00683D62">
              <w:rPr>
                <w:rFonts w:ascii="Times New Roman" w:hAnsi="Times New Roman"/>
                <w:sz w:val="21"/>
                <w:szCs w:val="20"/>
                <w:lang w:val="en-US"/>
              </w:rPr>
              <w:t>.</w:t>
            </w:r>
            <w:r w:rsidRPr="00683D62">
              <w:rPr>
                <w:rFonts w:ascii="Times New Roman" w:hAnsi="Times New Roman"/>
                <w:sz w:val="21"/>
                <w:szCs w:val="20"/>
                <w:lang w:val="en-US"/>
              </w:rPr>
              <w:t>9</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p>
        </w:tc>
        <w:tc>
          <w:tcPr>
            <w:tcW w:w="964" w:type="dxa"/>
            <w:shd w:val="clear" w:color="auto" w:fill="auto"/>
          </w:tcPr>
          <w:p w14:paraId="1F3BD1C2" w14:textId="4E4D8AA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078</w:t>
            </w:r>
          </w:p>
        </w:tc>
      </w:tr>
      <w:tr w:rsidR="00683D62" w:rsidRPr="00683D62" w14:paraId="0C4BD874" w14:textId="77777777" w:rsidTr="00A002C9">
        <w:trPr>
          <w:trHeight w:val="273"/>
        </w:trPr>
        <w:tc>
          <w:tcPr>
            <w:tcW w:w="2041" w:type="dxa"/>
            <w:shd w:val="clear" w:color="auto" w:fill="auto"/>
          </w:tcPr>
          <w:p w14:paraId="4FD97305" w14:textId="0998F49C" w:rsidR="006733CA" w:rsidRPr="00683D62" w:rsidRDefault="006733CA" w:rsidP="00A002C9">
            <w:pPr>
              <w:spacing w:line="480" w:lineRule="auto"/>
              <w:rPr>
                <w:rFonts w:ascii="Times New Roman" w:hAnsi="Times New Roman"/>
                <w:i/>
                <w:sz w:val="21"/>
                <w:szCs w:val="20"/>
                <w:lang w:val="en-US"/>
              </w:rPr>
            </w:pPr>
            <w:r w:rsidRPr="00683D62">
              <w:rPr>
                <w:rFonts w:ascii="Times New Roman" w:hAnsi="Times New Roman"/>
                <w:i/>
                <w:sz w:val="21"/>
                <w:szCs w:val="20"/>
                <w:lang w:val="en-US"/>
              </w:rPr>
              <w:t>PTPN22</w:t>
            </w:r>
            <w:r w:rsidR="00DD20CF" w:rsidRPr="00683D62">
              <w:rPr>
                <w:rFonts w:ascii="Times New Roman" w:hAnsi="Times New Roman"/>
                <w:i/>
                <w:sz w:val="21"/>
                <w:szCs w:val="20"/>
                <w:lang w:val="en-US"/>
              </w:rPr>
              <w:t xml:space="preserve"> </w:t>
            </w:r>
            <w:r w:rsidR="00DD20CF" w:rsidRPr="00683D62">
              <w:rPr>
                <w:rFonts w:ascii="Times New Roman" w:hAnsi="Times New Roman"/>
                <w:sz w:val="21"/>
                <w:szCs w:val="20"/>
                <w:lang w:val="en-US"/>
              </w:rPr>
              <w:t>(rs2476601)</w:t>
            </w:r>
          </w:p>
        </w:tc>
        <w:tc>
          <w:tcPr>
            <w:tcW w:w="1531" w:type="dxa"/>
            <w:shd w:val="clear" w:color="auto" w:fill="auto"/>
          </w:tcPr>
          <w:p w14:paraId="641E7004" w14:textId="4F7D183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 (1</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7EBC2430" w14:textId="0D169049"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046</w:t>
            </w:r>
          </w:p>
        </w:tc>
        <w:tc>
          <w:tcPr>
            <w:tcW w:w="1531" w:type="dxa"/>
            <w:shd w:val="clear" w:color="auto" w:fill="auto"/>
          </w:tcPr>
          <w:p w14:paraId="12C5445E" w14:textId="1C080E3D"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6 (1</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p>
        </w:tc>
        <w:tc>
          <w:tcPr>
            <w:tcW w:w="964" w:type="dxa"/>
            <w:shd w:val="clear" w:color="auto" w:fill="auto"/>
          </w:tcPr>
          <w:p w14:paraId="34DC9899" w14:textId="7C16F1C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047</w:t>
            </w:r>
          </w:p>
        </w:tc>
        <w:tc>
          <w:tcPr>
            <w:tcW w:w="1531" w:type="dxa"/>
            <w:shd w:val="clear" w:color="auto" w:fill="auto"/>
          </w:tcPr>
          <w:p w14:paraId="0DD7063E" w14:textId="515D94F5"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0 (0</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shd w:val="clear" w:color="auto" w:fill="auto"/>
          </w:tcPr>
          <w:p w14:paraId="0D173824" w14:textId="0E2858F8"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92</w:t>
            </w:r>
          </w:p>
        </w:tc>
        <w:tc>
          <w:tcPr>
            <w:tcW w:w="1531" w:type="dxa"/>
            <w:shd w:val="clear" w:color="auto" w:fill="auto"/>
          </w:tcPr>
          <w:p w14:paraId="4ED178B8" w14:textId="1CF2C06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3 (1</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55111B29" w14:textId="27CC60B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022</w:t>
            </w:r>
          </w:p>
        </w:tc>
      </w:tr>
      <w:tr w:rsidR="00683D62" w:rsidRPr="00683D62" w14:paraId="4D52D8D3" w14:textId="77777777" w:rsidTr="00A002C9">
        <w:trPr>
          <w:trHeight w:val="282"/>
        </w:trPr>
        <w:tc>
          <w:tcPr>
            <w:tcW w:w="2041" w:type="dxa"/>
            <w:shd w:val="clear" w:color="auto" w:fill="auto"/>
          </w:tcPr>
          <w:p w14:paraId="54BB8479" w14:textId="1BB9ED30" w:rsidR="006733CA" w:rsidRPr="00683D62" w:rsidRDefault="006733CA" w:rsidP="00A002C9">
            <w:pPr>
              <w:spacing w:line="480" w:lineRule="auto"/>
              <w:rPr>
                <w:rFonts w:ascii="Times New Roman" w:hAnsi="Times New Roman"/>
                <w:i/>
                <w:sz w:val="21"/>
                <w:szCs w:val="20"/>
                <w:lang w:val="en-US"/>
              </w:rPr>
            </w:pPr>
            <w:r w:rsidRPr="00683D62">
              <w:rPr>
                <w:rFonts w:ascii="Times New Roman" w:hAnsi="Times New Roman"/>
                <w:i/>
                <w:sz w:val="21"/>
                <w:szCs w:val="20"/>
                <w:lang w:val="en-US"/>
              </w:rPr>
              <w:t>IFIH1</w:t>
            </w:r>
            <w:r w:rsidR="00DD20CF" w:rsidRPr="00683D62">
              <w:rPr>
                <w:rFonts w:ascii="Times New Roman" w:hAnsi="Times New Roman"/>
                <w:i/>
                <w:sz w:val="21"/>
                <w:szCs w:val="20"/>
                <w:lang w:val="en-US"/>
              </w:rPr>
              <w:t xml:space="preserve"> </w:t>
            </w:r>
            <w:r w:rsidR="00DD20CF" w:rsidRPr="00683D62">
              <w:rPr>
                <w:rFonts w:ascii="Times New Roman" w:hAnsi="Times New Roman"/>
                <w:sz w:val="21"/>
                <w:szCs w:val="20"/>
                <w:lang w:val="en-US"/>
              </w:rPr>
              <w:t>(rs1990760)</w:t>
            </w:r>
          </w:p>
        </w:tc>
        <w:tc>
          <w:tcPr>
            <w:tcW w:w="1531" w:type="dxa"/>
            <w:shd w:val="clear" w:color="auto" w:fill="auto"/>
          </w:tcPr>
          <w:p w14:paraId="38D607D9" w14:textId="66173332"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2 (1</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4</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05F7ED45" w14:textId="2313FEED"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043</w:t>
            </w:r>
          </w:p>
        </w:tc>
        <w:tc>
          <w:tcPr>
            <w:tcW w:w="1531" w:type="dxa"/>
            <w:shd w:val="clear" w:color="auto" w:fill="auto"/>
          </w:tcPr>
          <w:p w14:paraId="135636F4" w14:textId="428D28DB"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9 (0</w:t>
            </w:r>
            <w:r w:rsidR="00A410C7" w:rsidRPr="00683D62">
              <w:rPr>
                <w:rFonts w:ascii="Times New Roman" w:hAnsi="Times New Roman"/>
                <w:sz w:val="21"/>
                <w:szCs w:val="20"/>
                <w:lang w:val="en-US"/>
              </w:rPr>
              <w:t>.</w:t>
            </w:r>
            <w:r w:rsidRPr="00683D62">
              <w:rPr>
                <w:rFonts w:ascii="Times New Roman" w:hAnsi="Times New Roman"/>
                <w:sz w:val="21"/>
                <w:szCs w:val="20"/>
                <w:lang w:val="en-US"/>
              </w:rPr>
              <w:t>4</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7)</w:t>
            </w:r>
          </w:p>
        </w:tc>
        <w:tc>
          <w:tcPr>
            <w:tcW w:w="964" w:type="dxa"/>
            <w:shd w:val="clear" w:color="auto" w:fill="auto"/>
          </w:tcPr>
          <w:p w14:paraId="6D86DBAC" w14:textId="3C653AD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69</w:t>
            </w:r>
          </w:p>
        </w:tc>
        <w:tc>
          <w:tcPr>
            <w:tcW w:w="1531" w:type="dxa"/>
            <w:shd w:val="clear" w:color="auto" w:fill="auto"/>
          </w:tcPr>
          <w:p w14:paraId="69A635B1" w14:textId="6694989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4 (0</w:t>
            </w:r>
            <w:r w:rsidR="00A410C7" w:rsidRPr="00683D62">
              <w:rPr>
                <w:rFonts w:ascii="Times New Roman" w:hAnsi="Times New Roman"/>
                <w:sz w:val="21"/>
                <w:szCs w:val="20"/>
                <w:lang w:val="en-US"/>
              </w:rPr>
              <w:t>.</w:t>
            </w:r>
            <w:r w:rsidRPr="00683D62">
              <w:rPr>
                <w:rFonts w:ascii="Times New Roman" w:hAnsi="Times New Roman"/>
                <w:sz w:val="21"/>
                <w:szCs w:val="20"/>
                <w:lang w:val="en-US"/>
              </w:rPr>
              <w:t>8</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shd w:val="clear" w:color="auto" w:fill="auto"/>
          </w:tcPr>
          <w:p w14:paraId="2866A9D5" w14:textId="6DAE321D"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26</w:t>
            </w:r>
          </w:p>
        </w:tc>
        <w:tc>
          <w:tcPr>
            <w:tcW w:w="1531" w:type="dxa"/>
            <w:shd w:val="clear" w:color="auto" w:fill="auto"/>
          </w:tcPr>
          <w:p w14:paraId="058E24C1" w14:textId="4382FE9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 (0</w:t>
            </w:r>
            <w:r w:rsidR="00A410C7" w:rsidRPr="00683D62">
              <w:rPr>
                <w:rFonts w:ascii="Times New Roman" w:hAnsi="Times New Roman"/>
                <w:sz w:val="21"/>
                <w:szCs w:val="20"/>
                <w:lang w:val="en-US"/>
              </w:rPr>
              <w:t>.</w:t>
            </w:r>
            <w:r w:rsidRPr="00683D62">
              <w:rPr>
                <w:rFonts w:ascii="Times New Roman" w:hAnsi="Times New Roman"/>
                <w:sz w:val="21"/>
                <w:szCs w:val="20"/>
                <w:lang w:val="en-US"/>
              </w:rPr>
              <w:t>9</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2)</w:t>
            </w:r>
          </w:p>
        </w:tc>
        <w:tc>
          <w:tcPr>
            <w:tcW w:w="964" w:type="dxa"/>
            <w:shd w:val="clear" w:color="auto" w:fill="auto"/>
          </w:tcPr>
          <w:p w14:paraId="3924A175" w14:textId="136E40D3"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061</w:t>
            </w:r>
          </w:p>
        </w:tc>
      </w:tr>
      <w:tr w:rsidR="00683D62" w:rsidRPr="00683D62" w14:paraId="058D883F" w14:textId="77777777" w:rsidTr="00A002C9">
        <w:trPr>
          <w:trHeight w:val="273"/>
        </w:trPr>
        <w:tc>
          <w:tcPr>
            <w:tcW w:w="2041" w:type="dxa"/>
            <w:shd w:val="clear" w:color="auto" w:fill="auto"/>
          </w:tcPr>
          <w:p w14:paraId="7E54EFE3" w14:textId="46CD16CA" w:rsidR="006733CA" w:rsidRPr="00683D62" w:rsidRDefault="006733CA" w:rsidP="00A002C9">
            <w:pPr>
              <w:spacing w:line="480" w:lineRule="auto"/>
              <w:rPr>
                <w:rFonts w:ascii="Times New Roman" w:hAnsi="Times New Roman"/>
                <w:i/>
                <w:sz w:val="21"/>
                <w:szCs w:val="20"/>
                <w:lang w:val="en-US"/>
              </w:rPr>
            </w:pPr>
            <w:r w:rsidRPr="00683D62">
              <w:rPr>
                <w:rFonts w:ascii="Times New Roman" w:hAnsi="Times New Roman"/>
                <w:i/>
                <w:sz w:val="21"/>
                <w:szCs w:val="20"/>
                <w:lang w:val="en-US"/>
              </w:rPr>
              <w:t>SH2B3</w:t>
            </w:r>
            <w:r w:rsidR="00DD20CF" w:rsidRPr="00683D62">
              <w:rPr>
                <w:rFonts w:ascii="Times New Roman" w:hAnsi="Times New Roman"/>
                <w:i/>
                <w:sz w:val="21"/>
                <w:szCs w:val="20"/>
                <w:lang w:val="en-US"/>
              </w:rPr>
              <w:t xml:space="preserve"> </w:t>
            </w:r>
            <w:r w:rsidR="00DD20CF" w:rsidRPr="00683D62">
              <w:rPr>
                <w:rFonts w:ascii="Times New Roman" w:hAnsi="Times New Roman"/>
                <w:sz w:val="21"/>
                <w:szCs w:val="20"/>
                <w:lang w:val="en-US"/>
              </w:rPr>
              <w:t>(rs3184504)</w:t>
            </w:r>
          </w:p>
        </w:tc>
        <w:tc>
          <w:tcPr>
            <w:tcW w:w="1531" w:type="dxa"/>
            <w:shd w:val="clear" w:color="auto" w:fill="auto"/>
          </w:tcPr>
          <w:p w14:paraId="1B83E47C" w14:textId="0B14D727"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8 (0</w:t>
            </w:r>
            <w:r w:rsidR="00A410C7" w:rsidRPr="00683D62">
              <w:rPr>
                <w:rFonts w:ascii="Times New Roman" w:hAnsi="Times New Roman"/>
                <w:sz w:val="21"/>
                <w:szCs w:val="20"/>
                <w:lang w:val="en-US"/>
              </w:rPr>
              <w:t>.</w:t>
            </w:r>
            <w:r w:rsidRPr="00683D62">
              <w:rPr>
                <w:rFonts w:ascii="Times New Roman" w:hAnsi="Times New Roman"/>
                <w:sz w:val="21"/>
                <w:szCs w:val="20"/>
                <w:lang w:val="en-US"/>
              </w:rPr>
              <w:t>6</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3)</w:t>
            </w:r>
          </w:p>
        </w:tc>
        <w:tc>
          <w:tcPr>
            <w:tcW w:w="964" w:type="dxa"/>
            <w:shd w:val="clear" w:color="auto" w:fill="auto"/>
          </w:tcPr>
          <w:p w14:paraId="2DE116D4" w14:textId="398EBB8D"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44</w:t>
            </w:r>
          </w:p>
        </w:tc>
        <w:tc>
          <w:tcPr>
            <w:tcW w:w="1531" w:type="dxa"/>
            <w:shd w:val="clear" w:color="auto" w:fill="auto"/>
          </w:tcPr>
          <w:p w14:paraId="2F359C2F" w14:textId="5B41765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9 (0</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shd w:val="clear" w:color="auto" w:fill="auto"/>
          </w:tcPr>
          <w:p w14:paraId="36B57065" w14:textId="796652A7"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60</w:t>
            </w:r>
          </w:p>
        </w:tc>
        <w:tc>
          <w:tcPr>
            <w:tcW w:w="1531" w:type="dxa"/>
            <w:shd w:val="clear" w:color="auto" w:fill="auto"/>
          </w:tcPr>
          <w:p w14:paraId="69A5AACE" w14:textId="721A83E1"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 (1</w:t>
            </w:r>
            <w:r w:rsidR="00A410C7" w:rsidRPr="00683D62">
              <w:rPr>
                <w:rFonts w:ascii="Times New Roman" w:hAnsi="Times New Roman"/>
                <w:sz w:val="21"/>
                <w:szCs w:val="20"/>
                <w:lang w:val="en-US"/>
              </w:rPr>
              <w:t>.</w:t>
            </w:r>
            <w:r w:rsidRPr="00683D62">
              <w:rPr>
                <w:rFonts w:ascii="Times New Roman" w:hAnsi="Times New Roman"/>
                <w:sz w:val="21"/>
                <w:szCs w:val="20"/>
                <w:lang w:val="en-US"/>
              </w:rPr>
              <w:t>0</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2</w:t>
            </w:r>
            <w:r w:rsidR="00A410C7" w:rsidRPr="00683D62">
              <w:rPr>
                <w:rFonts w:ascii="Times New Roman" w:hAnsi="Times New Roman"/>
                <w:sz w:val="21"/>
                <w:szCs w:val="20"/>
                <w:lang w:val="en-US"/>
              </w:rPr>
              <w:t>.</w:t>
            </w:r>
            <w:r w:rsidRPr="00683D62">
              <w:rPr>
                <w:rFonts w:ascii="Times New Roman" w:hAnsi="Times New Roman"/>
                <w:sz w:val="21"/>
                <w:szCs w:val="20"/>
                <w:lang w:val="en-US"/>
              </w:rPr>
              <w:t>1)</w:t>
            </w:r>
          </w:p>
        </w:tc>
        <w:tc>
          <w:tcPr>
            <w:tcW w:w="964" w:type="dxa"/>
            <w:shd w:val="clear" w:color="auto" w:fill="auto"/>
          </w:tcPr>
          <w:p w14:paraId="1396920E" w14:textId="7E42444C"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Pr="00683D62">
              <w:rPr>
                <w:rFonts w:ascii="Times New Roman" w:hAnsi="Times New Roman"/>
                <w:sz w:val="21"/>
                <w:szCs w:val="20"/>
                <w:lang w:val="en-US"/>
              </w:rPr>
              <w:t>032</w:t>
            </w:r>
          </w:p>
        </w:tc>
        <w:tc>
          <w:tcPr>
            <w:tcW w:w="1531" w:type="dxa"/>
            <w:shd w:val="clear" w:color="auto" w:fill="auto"/>
          </w:tcPr>
          <w:p w14:paraId="126DE82C" w14:textId="1534FC27"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1 (0</w:t>
            </w:r>
            <w:r w:rsidR="00A410C7" w:rsidRPr="00683D62">
              <w:rPr>
                <w:rFonts w:ascii="Times New Roman" w:hAnsi="Times New Roman"/>
                <w:sz w:val="21"/>
                <w:szCs w:val="20"/>
                <w:lang w:val="en-US"/>
              </w:rPr>
              <w:t>.</w:t>
            </w:r>
            <w:r w:rsidRPr="00683D62">
              <w:rPr>
                <w:rFonts w:ascii="Times New Roman" w:hAnsi="Times New Roman"/>
                <w:sz w:val="21"/>
                <w:szCs w:val="20"/>
                <w:lang w:val="en-US"/>
              </w:rPr>
              <w:t>8</w:t>
            </w:r>
            <w:r w:rsidR="00A410C7" w:rsidRPr="00683D62">
              <w:rPr>
                <w:rFonts w:ascii="Times New Roman" w:hAnsi="Times New Roman"/>
                <w:sz w:val="21"/>
                <w:szCs w:val="20"/>
                <w:lang w:val="en-US" w:eastAsia="de-DE"/>
              </w:rPr>
              <w:t>-</w:t>
            </w:r>
            <w:r w:rsidRPr="00683D62">
              <w:rPr>
                <w:rFonts w:ascii="Times New Roman" w:hAnsi="Times New Roman"/>
                <w:sz w:val="21"/>
                <w:szCs w:val="20"/>
                <w:lang w:val="en-US"/>
              </w:rPr>
              <w:t>1</w:t>
            </w:r>
            <w:r w:rsidR="00A410C7" w:rsidRPr="00683D62">
              <w:rPr>
                <w:rFonts w:ascii="Times New Roman" w:hAnsi="Times New Roman"/>
                <w:sz w:val="21"/>
                <w:szCs w:val="20"/>
                <w:lang w:val="en-US"/>
              </w:rPr>
              <w:t>.</w:t>
            </w:r>
            <w:r w:rsidRPr="00683D62">
              <w:rPr>
                <w:rFonts w:ascii="Times New Roman" w:hAnsi="Times New Roman"/>
                <w:sz w:val="21"/>
                <w:szCs w:val="20"/>
                <w:lang w:val="en-US"/>
              </w:rPr>
              <w:t>5)</w:t>
            </w:r>
          </w:p>
        </w:tc>
        <w:tc>
          <w:tcPr>
            <w:tcW w:w="964" w:type="dxa"/>
            <w:shd w:val="clear" w:color="auto" w:fill="auto"/>
          </w:tcPr>
          <w:p w14:paraId="1D70A598" w14:textId="2CBA10FA" w:rsidR="006733CA" w:rsidRPr="00683D62" w:rsidRDefault="006733CA" w:rsidP="00A002C9">
            <w:pPr>
              <w:spacing w:line="480" w:lineRule="auto"/>
              <w:jc w:val="center"/>
              <w:rPr>
                <w:rFonts w:ascii="Times New Roman" w:hAnsi="Times New Roman"/>
                <w:sz w:val="21"/>
                <w:szCs w:val="20"/>
                <w:lang w:val="en-US"/>
              </w:rPr>
            </w:pPr>
            <w:r w:rsidRPr="00683D62">
              <w:rPr>
                <w:rFonts w:ascii="Times New Roman" w:hAnsi="Times New Roman"/>
                <w:sz w:val="21"/>
                <w:szCs w:val="20"/>
                <w:lang w:val="en-US"/>
              </w:rPr>
              <w:t>0</w:t>
            </w:r>
            <w:r w:rsidR="00A410C7" w:rsidRPr="00683D62">
              <w:rPr>
                <w:rFonts w:ascii="Times New Roman" w:hAnsi="Times New Roman"/>
                <w:sz w:val="21"/>
                <w:szCs w:val="20"/>
                <w:lang w:val="en-US"/>
              </w:rPr>
              <w:t>.</w:t>
            </w:r>
            <w:r w:rsidR="00B60AF0" w:rsidRPr="00683D62">
              <w:rPr>
                <w:rFonts w:ascii="Times New Roman" w:hAnsi="Times New Roman"/>
                <w:sz w:val="21"/>
                <w:szCs w:val="20"/>
                <w:lang w:val="en-US"/>
              </w:rPr>
              <w:t>33</w:t>
            </w:r>
          </w:p>
        </w:tc>
      </w:tr>
    </w:tbl>
    <w:p w14:paraId="40201FBD" w14:textId="0E9FB1E5" w:rsidR="00FA69C3" w:rsidRPr="00683D62" w:rsidRDefault="00A069D2" w:rsidP="007D7D76">
      <w:pPr>
        <w:spacing w:after="0" w:line="360" w:lineRule="auto"/>
        <w:rPr>
          <w:rFonts w:ascii="Times New Roman" w:hAnsi="Times New Roman"/>
          <w:lang w:val="en-US"/>
        </w:rPr>
      </w:pPr>
      <w:r w:rsidRPr="00683D62">
        <w:rPr>
          <w:rFonts w:ascii="Times New Roman" w:hAnsi="Times New Roman"/>
          <w:sz w:val="21"/>
          <w:szCs w:val="20"/>
          <w:vertAlign w:val="superscript"/>
          <w:lang w:val="en-US"/>
        </w:rPr>
        <w:t>†</w:t>
      </w:r>
      <w:r w:rsidR="006733CA" w:rsidRPr="00683D62">
        <w:rPr>
          <w:rFonts w:ascii="Times New Roman" w:eastAsia="Times New Roman" w:hAnsi="Times New Roman"/>
          <w:lang w:val="en-US"/>
        </w:rPr>
        <w:t>x is any haplotype other than</w:t>
      </w:r>
      <w:r w:rsidR="006733CA" w:rsidRPr="00683D62">
        <w:rPr>
          <w:rFonts w:ascii="Times New Roman" w:hAnsi="Times New Roman"/>
          <w:lang w:val="en-US"/>
        </w:rPr>
        <w:t xml:space="preserve"> HLA DR3 or DR4-DQ8</w:t>
      </w:r>
      <w:r w:rsidRPr="00683D62">
        <w:rPr>
          <w:rFonts w:ascii="Times New Roman" w:hAnsi="Times New Roman"/>
          <w:lang w:val="en-US"/>
        </w:rPr>
        <w:t>; *p value is calculated from the Wald statistic</w:t>
      </w:r>
    </w:p>
    <w:p w14:paraId="7437EB0A" w14:textId="77777777" w:rsidR="00373CE9" w:rsidRPr="00683D62" w:rsidRDefault="00373CE9" w:rsidP="007D7D76">
      <w:pPr>
        <w:spacing w:after="0" w:line="360" w:lineRule="auto"/>
        <w:rPr>
          <w:rFonts w:ascii="Times New Roman" w:hAnsi="Times New Roman"/>
          <w:sz w:val="24"/>
          <w:szCs w:val="24"/>
          <w:lang w:val="en-US"/>
        </w:rPr>
        <w:sectPr w:rsidR="00373CE9" w:rsidRPr="00683D62" w:rsidSect="00373CE9">
          <w:pgSz w:w="16838" w:h="11906" w:orient="landscape"/>
          <w:pgMar w:top="1418" w:right="1418" w:bottom="1418" w:left="1418" w:header="708" w:footer="57" w:gutter="0"/>
          <w:cols w:space="708"/>
          <w:docGrid w:linePitch="360"/>
        </w:sectPr>
      </w:pPr>
    </w:p>
    <w:p w14:paraId="2040D6D2" w14:textId="77777777" w:rsidR="00373CE9" w:rsidRPr="00683D62" w:rsidRDefault="00373CE9" w:rsidP="00373CE9">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lastRenderedPageBreak/>
        <w:t>Figure Legends</w:t>
      </w:r>
    </w:p>
    <w:p w14:paraId="65833E98" w14:textId="1EACC25F" w:rsidR="00373CE9" w:rsidRPr="00683D62" w:rsidRDefault="00373CE9" w:rsidP="00373CE9">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 xml:space="preserve">Figure </w:t>
      </w:r>
      <w:r w:rsidR="00027E7C" w:rsidRPr="00683D62">
        <w:rPr>
          <w:rFonts w:ascii="Times New Roman" w:hAnsi="Times New Roman"/>
          <w:sz w:val="24"/>
          <w:szCs w:val="24"/>
          <w:lang w:val="en-US"/>
        </w:rPr>
        <w:t>1</w:t>
      </w:r>
      <w:r w:rsidRPr="00683D62">
        <w:rPr>
          <w:rFonts w:ascii="Times New Roman" w:hAnsi="Times New Roman"/>
          <w:sz w:val="24"/>
          <w:szCs w:val="24"/>
          <w:lang w:val="en-US"/>
        </w:rPr>
        <w:t xml:space="preserve">: Cumulative risks </w:t>
      </w:r>
      <w:r w:rsidR="00BD1937" w:rsidRPr="00683D62">
        <w:rPr>
          <w:rFonts w:ascii="Times New Roman" w:hAnsi="Times New Roman"/>
          <w:sz w:val="24"/>
          <w:szCs w:val="24"/>
          <w:lang w:val="en-US"/>
        </w:rPr>
        <w:t xml:space="preserve">and incidence curves </w:t>
      </w:r>
      <w:r w:rsidRPr="00683D62">
        <w:rPr>
          <w:rFonts w:ascii="Times New Roman" w:hAnsi="Times New Roman"/>
          <w:sz w:val="24"/>
          <w:szCs w:val="24"/>
          <w:lang w:val="en-US"/>
        </w:rPr>
        <w:t>of developing autoantibodies</w:t>
      </w:r>
      <w:r w:rsidR="00BD1937" w:rsidRPr="00683D62">
        <w:rPr>
          <w:rFonts w:ascii="Times New Roman" w:hAnsi="Times New Roman"/>
          <w:sz w:val="24"/>
          <w:szCs w:val="24"/>
          <w:lang w:val="en-US"/>
        </w:rPr>
        <w:t xml:space="preserve"> in the BABYDIAB and BABYDIET participants. Risk of (A) islet autoantibodies, </w:t>
      </w:r>
      <w:r w:rsidRPr="00683D62">
        <w:rPr>
          <w:rFonts w:ascii="Times New Roman" w:hAnsi="Times New Roman"/>
          <w:sz w:val="24"/>
          <w:szCs w:val="24"/>
          <w:lang w:val="en-US"/>
        </w:rPr>
        <w:t>IA</w:t>
      </w:r>
      <w:r w:rsidR="00BD1937" w:rsidRPr="00683D62">
        <w:rPr>
          <w:rFonts w:ascii="Times New Roman" w:hAnsi="Times New Roman"/>
          <w:sz w:val="24"/>
          <w:szCs w:val="24"/>
          <w:lang w:val="en-US"/>
        </w:rPr>
        <w:t>;</w:t>
      </w:r>
      <w:r w:rsidRPr="00683D62">
        <w:rPr>
          <w:rFonts w:ascii="Times New Roman" w:hAnsi="Times New Roman"/>
          <w:sz w:val="24"/>
          <w:szCs w:val="24"/>
          <w:lang w:val="en-US"/>
        </w:rPr>
        <w:t xml:space="preserve"> </w:t>
      </w:r>
      <w:r w:rsidR="00BD1937" w:rsidRPr="00683D62">
        <w:rPr>
          <w:rFonts w:ascii="Times New Roman" w:hAnsi="Times New Roman"/>
          <w:sz w:val="24"/>
          <w:szCs w:val="24"/>
          <w:lang w:val="en-US"/>
        </w:rPr>
        <w:t xml:space="preserve">(B) </w:t>
      </w:r>
      <w:r w:rsidR="00EA7902" w:rsidRPr="00683D62">
        <w:rPr>
          <w:rFonts w:ascii="Times New Roman" w:hAnsi="Times New Roman"/>
          <w:sz w:val="24"/>
          <w:szCs w:val="24"/>
          <w:lang w:val="en-US"/>
        </w:rPr>
        <w:t>thyroid peroxidase autoantibodies, TPOA</w:t>
      </w:r>
      <w:r w:rsidRPr="00683D62">
        <w:rPr>
          <w:rFonts w:ascii="Times New Roman" w:hAnsi="Times New Roman"/>
          <w:sz w:val="24"/>
          <w:szCs w:val="24"/>
          <w:lang w:val="en-US"/>
        </w:rPr>
        <w:t xml:space="preserve">; </w:t>
      </w:r>
      <w:r w:rsidR="00BD1937" w:rsidRPr="00683D62">
        <w:rPr>
          <w:rFonts w:ascii="Times New Roman" w:hAnsi="Times New Roman"/>
          <w:sz w:val="24"/>
          <w:szCs w:val="24"/>
          <w:lang w:val="en-US"/>
        </w:rPr>
        <w:t xml:space="preserve">(C) </w:t>
      </w:r>
      <w:r w:rsidR="00EA7902" w:rsidRPr="00683D62">
        <w:rPr>
          <w:rFonts w:ascii="Times New Roman" w:hAnsi="Times New Roman"/>
          <w:sz w:val="24"/>
          <w:szCs w:val="24"/>
          <w:lang w:val="en-US"/>
        </w:rPr>
        <w:t>transglutaminase autoantibodies, TGA</w:t>
      </w:r>
      <w:r w:rsidRPr="00683D62">
        <w:rPr>
          <w:rFonts w:ascii="Times New Roman" w:hAnsi="Times New Roman"/>
          <w:sz w:val="24"/>
          <w:szCs w:val="24"/>
          <w:lang w:val="en-US"/>
        </w:rPr>
        <w:t xml:space="preserve">; and </w:t>
      </w:r>
      <w:r w:rsidR="00BD1937" w:rsidRPr="00683D62">
        <w:rPr>
          <w:rFonts w:ascii="Times New Roman" w:hAnsi="Times New Roman"/>
          <w:sz w:val="24"/>
          <w:szCs w:val="24"/>
          <w:lang w:val="en-US"/>
        </w:rPr>
        <w:t xml:space="preserve">(D) </w:t>
      </w:r>
      <w:r w:rsidRPr="00683D62">
        <w:rPr>
          <w:rFonts w:ascii="Times New Roman" w:hAnsi="Times New Roman"/>
          <w:sz w:val="24"/>
          <w:szCs w:val="24"/>
          <w:lang w:val="en-US"/>
        </w:rPr>
        <w:t>any of these autoantibodies.</w:t>
      </w:r>
      <w:r w:rsidR="00BD1937" w:rsidRPr="00683D62">
        <w:rPr>
          <w:rFonts w:ascii="Times New Roman" w:hAnsi="Times New Roman"/>
          <w:sz w:val="24"/>
          <w:szCs w:val="24"/>
          <w:lang w:val="en-US"/>
        </w:rPr>
        <w:t xml:space="preserve"> (E) Incidence (cases per 1,000 person-years) of IA (solid line), TGA (dotted line), and (TPOA, </w:t>
      </w:r>
      <w:r w:rsidR="00EA7902" w:rsidRPr="00683D62">
        <w:rPr>
          <w:rFonts w:ascii="Times New Roman" w:hAnsi="Times New Roman"/>
          <w:sz w:val="24"/>
          <w:szCs w:val="24"/>
          <w:lang w:val="en-US"/>
        </w:rPr>
        <w:t>gray line</w:t>
      </w:r>
      <w:r w:rsidR="00BD1937" w:rsidRPr="00683D62">
        <w:rPr>
          <w:rFonts w:ascii="Times New Roman" w:hAnsi="Times New Roman"/>
          <w:sz w:val="24"/>
          <w:szCs w:val="24"/>
          <w:lang w:val="en-US"/>
        </w:rPr>
        <w:t>). Error bars represent SE.</w:t>
      </w:r>
    </w:p>
    <w:p w14:paraId="028876FA" w14:textId="77777777" w:rsidR="009703FA" w:rsidRPr="00683D62" w:rsidRDefault="009703FA" w:rsidP="00373CE9">
      <w:pPr>
        <w:spacing w:after="0" w:line="480" w:lineRule="auto"/>
        <w:jc w:val="both"/>
        <w:rPr>
          <w:rFonts w:ascii="Times New Roman" w:hAnsi="Times New Roman"/>
          <w:sz w:val="24"/>
          <w:szCs w:val="24"/>
          <w:lang w:val="en-US"/>
        </w:rPr>
      </w:pPr>
    </w:p>
    <w:p w14:paraId="1F7E10AB" w14:textId="4A2B89BA" w:rsidR="00373CE9" w:rsidRPr="00683D62" w:rsidRDefault="00BD1937" w:rsidP="00373CE9">
      <w:pPr>
        <w:spacing w:after="0" w:line="480" w:lineRule="auto"/>
        <w:jc w:val="both"/>
        <w:rPr>
          <w:rFonts w:ascii="Times New Roman" w:hAnsi="Times New Roman"/>
          <w:sz w:val="24"/>
          <w:szCs w:val="24"/>
          <w:lang w:val="en-US"/>
        </w:rPr>
      </w:pPr>
      <w:r w:rsidRPr="00683D62">
        <w:rPr>
          <w:rFonts w:ascii="Times New Roman" w:hAnsi="Times New Roman"/>
          <w:sz w:val="24"/>
          <w:szCs w:val="24"/>
          <w:lang w:val="en-US"/>
        </w:rPr>
        <w:t>Figure 2</w:t>
      </w:r>
      <w:r w:rsidR="00373CE9" w:rsidRPr="00683D62">
        <w:rPr>
          <w:rFonts w:ascii="Times New Roman" w:hAnsi="Times New Roman"/>
          <w:sz w:val="24"/>
          <w:szCs w:val="24"/>
          <w:lang w:val="en-US"/>
        </w:rPr>
        <w:t xml:space="preserve">: Cumulative risk of autoantibodies in relation to HLA and sex. </w:t>
      </w:r>
      <w:r w:rsidR="001E4BE8" w:rsidRPr="00683D62">
        <w:rPr>
          <w:rFonts w:ascii="Times New Roman" w:hAnsi="Times New Roman"/>
          <w:sz w:val="24"/>
          <w:szCs w:val="24"/>
          <w:lang w:val="en-US"/>
        </w:rPr>
        <w:t xml:space="preserve">Risks by age 20 years for IA (islet autoantibodies), TGA (transglutaminase autoantibodies) and TPOA (thyroid peroxidase autoantibodies) </w:t>
      </w:r>
      <w:r w:rsidR="00BC4C1D">
        <w:rPr>
          <w:rFonts w:ascii="Times New Roman" w:hAnsi="Times New Roman"/>
          <w:sz w:val="24"/>
          <w:szCs w:val="24"/>
          <w:lang w:val="en-US"/>
        </w:rPr>
        <w:t xml:space="preserve">in males (m, blue) and females (f, red) </w:t>
      </w:r>
      <w:r w:rsidR="001E4BE8" w:rsidRPr="00683D62">
        <w:rPr>
          <w:rFonts w:ascii="Times New Roman" w:hAnsi="Times New Roman"/>
          <w:sz w:val="24"/>
          <w:szCs w:val="24"/>
          <w:lang w:val="en-US"/>
        </w:rPr>
        <w:t xml:space="preserve">were obtained from the </w:t>
      </w:r>
      <w:r w:rsidR="00373CE9" w:rsidRPr="00683D62">
        <w:rPr>
          <w:rFonts w:ascii="Times New Roman" w:hAnsi="Times New Roman"/>
          <w:sz w:val="24"/>
          <w:szCs w:val="24"/>
          <w:lang w:val="en-US"/>
        </w:rPr>
        <w:t xml:space="preserve">Kaplan-Meier </w:t>
      </w:r>
      <w:r w:rsidR="001E4BE8" w:rsidRPr="00683D62">
        <w:rPr>
          <w:rFonts w:ascii="Times New Roman" w:hAnsi="Times New Roman"/>
          <w:sz w:val="24"/>
          <w:szCs w:val="24"/>
          <w:lang w:val="en-US"/>
        </w:rPr>
        <w:t xml:space="preserve">analysis. The error bars represent the 95 confidence intervals. P values compare females and males and were obtained from the log rank test. </w:t>
      </w:r>
    </w:p>
    <w:p w14:paraId="04AF723E" w14:textId="77777777" w:rsidR="00BD1937" w:rsidRPr="00683D62" w:rsidRDefault="00BD1937" w:rsidP="00373CE9">
      <w:pPr>
        <w:spacing w:after="0" w:line="480" w:lineRule="auto"/>
        <w:jc w:val="both"/>
        <w:rPr>
          <w:rFonts w:ascii="Times New Roman" w:hAnsi="Times New Roman"/>
          <w:sz w:val="24"/>
          <w:szCs w:val="24"/>
          <w:lang w:val="en-US"/>
        </w:rPr>
      </w:pPr>
    </w:p>
    <w:sectPr w:rsidR="00BD1937" w:rsidRPr="00683D62" w:rsidSect="00373CE9">
      <w:pgSz w:w="11906" w:h="16838"/>
      <w:pgMar w:top="1418" w:right="1418" w:bottom="1418" w:left="1418"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59A4" w14:textId="77777777" w:rsidR="00C170C2" w:rsidRDefault="00C170C2" w:rsidP="008F3C99">
      <w:pPr>
        <w:spacing w:after="0" w:line="240" w:lineRule="auto"/>
      </w:pPr>
      <w:r>
        <w:separator/>
      </w:r>
    </w:p>
  </w:endnote>
  <w:endnote w:type="continuationSeparator" w:id="0">
    <w:p w14:paraId="4A1294B0" w14:textId="77777777" w:rsidR="00C170C2" w:rsidRDefault="00C170C2" w:rsidP="008F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erkeley-Medium">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3FE2F" w14:textId="332BEF3A" w:rsidR="006A7BC1" w:rsidRDefault="006A7BC1">
    <w:pPr>
      <w:pStyle w:val="Fuzeile"/>
      <w:jc w:val="center"/>
    </w:pPr>
    <w:r>
      <w:fldChar w:fldCharType="begin"/>
    </w:r>
    <w:r>
      <w:instrText>PAGE   \* MERGEFORMAT</w:instrText>
    </w:r>
    <w:r>
      <w:fldChar w:fldCharType="separate"/>
    </w:r>
    <w:r w:rsidR="006E020F">
      <w:rPr>
        <w:noProof/>
      </w:rPr>
      <w:t>1</w:t>
    </w:r>
    <w:r>
      <w:fldChar w:fldCharType="end"/>
    </w:r>
  </w:p>
  <w:p w14:paraId="643B43CA" w14:textId="77777777" w:rsidR="006A7BC1" w:rsidRDefault="006A7B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D550" w14:textId="77777777" w:rsidR="00C170C2" w:rsidRDefault="00C170C2" w:rsidP="008F3C99">
      <w:pPr>
        <w:spacing w:after="0" w:line="240" w:lineRule="auto"/>
      </w:pPr>
      <w:r>
        <w:separator/>
      </w:r>
    </w:p>
  </w:footnote>
  <w:footnote w:type="continuationSeparator" w:id="0">
    <w:p w14:paraId="66AB0A25" w14:textId="77777777" w:rsidR="00C170C2" w:rsidRDefault="00C170C2" w:rsidP="008F3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B0D"/>
    <w:multiLevelType w:val="hybridMultilevel"/>
    <w:tmpl w:val="045EE956"/>
    <w:lvl w:ilvl="0" w:tplc="C0F06264">
      <w:start w:val="26"/>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542C6AD1"/>
    <w:multiLevelType w:val="hybridMultilevel"/>
    <w:tmpl w:val="6546A3CA"/>
    <w:lvl w:ilvl="0" w:tplc="F796EC06">
      <w:start w:val="1"/>
      <w:numFmt w:val="decimal"/>
      <w:lvlText w:val="%1."/>
      <w:lvlJc w:val="left"/>
      <w:pPr>
        <w:tabs>
          <w:tab w:val="num" w:pos="720"/>
        </w:tabs>
        <w:ind w:left="720" w:hanging="360"/>
      </w:pPr>
      <w:rPr>
        <w:b w:val="0"/>
        <w:lang w:val="e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CC"/>
    <w:rsid w:val="000025FC"/>
    <w:rsid w:val="00002925"/>
    <w:rsid w:val="00004AE5"/>
    <w:rsid w:val="000053A2"/>
    <w:rsid w:val="000060BD"/>
    <w:rsid w:val="00010455"/>
    <w:rsid w:val="0001111E"/>
    <w:rsid w:val="000116EC"/>
    <w:rsid w:val="00011DD9"/>
    <w:rsid w:val="00016C0E"/>
    <w:rsid w:val="00025199"/>
    <w:rsid w:val="00027E7C"/>
    <w:rsid w:val="000300A8"/>
    <w:rsid w:val="0003020C"/>
    <w:rsid w:val="000313EB"/>
    <w:rsid w:val="00031D0E"/>
    <w:rsid w:val="00034E19"/>
    <w:rsid w:val="0004279E"/>
    <w:rsid w:val="00042DD6"/>
    <w:rsid w:val="00042F2D"/>
    <w:rsid w:val="00044461"/>
    <w:rsid w:val="000465CE"/>
    <w:rsid w:val="0005031E"/>
    <w:rsid w:val="00052285"/>
    <w:rsid w:val="00061DF1"/>
    <w:rsid w:val="0006405D"/>
    <w:rsid w:val="000644FB"/>
    <w:rsid w:val="000656A8"/>
    <w:rsid w:val="00067A3D"/>
    <w:rsid w:val="00071247"/>
    <w:rsid w:val="000735A1"/>
    <w:rsid w:val="00073A98"/>
    <w:rsid w:val="000767A7"/>
    <w:rsid w:val="00077133"/>
    <w:rsid w:val="000863BE"/>
    <w:rsid w:val="00087C3B"/>
    <w:rsid w:val="00087FF6"/>
    <w:rsid w:val="00090464"/>
    <w:rsid w:val="00091EEF"/>
    <w:rsid w:val="00095511"/>
    <w:rsid w:val="00095E5B"/>
    <w:rsid w:val="000A7A43"/>
    <w:rsid w:val="000B2748"/>
    <w:rsid w:val="000B4241"/>
    <w:rsid w:val="000C0C9F"/>
    <w:rsid w:val="000C181C"/>
    <w:rsid w:val="000D168A"/>
    <w:rsid w:val="000D4033"/>
    <w:rsid w:val="000E0113"/>
    <w:rsid w:val="000E17A1"/>
    <w:rsid w:val="000E6EFF"/>
    <w:rsid w:val="000E758C"/>
    <w:rsid w:val="000F17CB"/>
    <w:rsid w:val="000F1BE4"/>
    <w:rsid w:val="000F5900"/>
    <w:rsid w:val="000F6552"/>
    <w:rsid w:val="001014D8"/>
    <w:rsid w:val="00104966"/>
    <w:rsid w:val="00106178"/>
    <w:rsid w:val="00110981"/>
    <w:rsid w:val="00110E71"/>
    <w:rsid w:val="00111F6B"/>
    <w:rsid w:val="001130E5"/>
    <w:rsid w:val="0011506D"/>
    <w:rsid w:val="0011685C"/>
    <w:rsid w:val="00122D98"/>
    <w:rsid w:val="001230A5"/>
    <w:rsid w:val="00123222"/>
    <w:rsid w:val="00123D88"/>
    <w:rsid w:val="001254D9"/>
    <w:rsid w:val="00130E6A"/>
    <w:rsid w:val="0013152F"/>
    <w:rsid w:val="00131FF7"/>
    <w:rsid w:val="001331EA"/>
    <w:rsid w:val="00134D1A"/>
    <w:rsid w:val="00134E6E"/>
    <w:rsid w:val="001361CA"/>
    <w:rsid w:val="00136E46"/>
    <w:rsid w:val="0014371C"/>
    <w:rsid w:val="0014777C"/>
    <w:rsid w:val="00150D50"/>
    <w:rsid w:val="0015200C"/>
    <w:rsid w:val="001547FE"/>
    <w:rsid w:val="001555C1"/>
    <w:rsid w:val="00155830"/>
    <w:rsid w:val="001562BE"/>
    <w:rsid w:val="00163B5B"/>
    <w:rsid w:val="00163D9B"/>
    <w:rsid w:val="0016679A"/>
    <w:rsid w:val="001667DD"/>
    <w:rsid w:val="001806C6"/>
    <w:rsid w:val="00185F5B"/>
    <w:rsid w:val="001932A6"/>
    <w:rsid w:val="00194AF5"/>
    <w:rsid w:val="001A02A2"/>
    <w:rsid w:val="001A5295"/>
    <w:rsid w:val="001A633A"/>
    <w:rsid w:val="001B336E"/>
    <w:rsid w:val="001B3490"/>
    <w:rsid w:val="001B501F"/>
    <w:rsid w:val="001C04BB"/>
    <w:rsid w:val="001C28B5"/>
    <w:rsid w:val="001D0732"/>
    <w:rsid w:val="001D0B15"/>
    <w:rsid w:val="001D409F"/>
    <w:rsid w:val="001D7E21"/>
    <w:rsid w:val="001E197B"/>
    <w:rsid w:val="001E2134"/>
    <w:rsid w:val="001E2688"/>
    <w:rsid w:val="001E3259"/>
    <w:rsid w:val="001E4BE8"/>
    <w:rsid w:val="001F3A37"/>
    <w:rsid w:val="001F612B"/>
    <w:rsid w:val="00201410"/>
    <w:rsid w:val="00201E33"/>
    <w:rsid w:val="00210A0E"/>
    <w:rsid w:val="00210A5E"/>
    <w:rsid w:val="00215FDD"/>
    <w:rsid w:val="002179A1"/>
    <w:rsid w:val="002248DA"/>
    <w:rsid w:val="00224DAA"/>
    <w:rsid w:val="00235BC1"/>
    <w:rsid w:val="00235EFE"/>
    <w:rsid w:val="002411E5"/>
    <w:rsid w:val="00241ED6"/>
    <w:rsid w:val="00242ED0"/>
    <w:rsid w:val="0024552A"/>
    <w:rsid w:val="00246123"/>
    <w:rsid w:val="00246745"/>
    <w:rsid w:val="00246D75"/>
    <w:rsid w:val="00264424"/>
    <w:rsid w:val="002650D0"/>
    <w:rsid w:val="00267605"/>
    <w:rsid w:val="00274531"/>
    <w:rsid w:val="002760DF"/>
    <w:rsid w:val="0027724B"/>
    <w:rsid w:val="00277AD0"/>
    <w:rsid w:val="00281D27"/>
    <w:rsid w:val="002832F1"/>
    <w:rsid w:val="002846CF"/>
    <w:rsid w:val="002851C9"/>
    <w:rsid w:val="002862AF"/>
    <w:rsid w:val="00291211"/>
    <w:rsid w:val="00292496"/>
    <w:rsid w:val="002959DE"/>
    <w:rsid w:val="002972AE"/>
    <w:rsid w:val="002A1683"/>
    <w:rsid w:val="002A2F33"/>
    <w:rsid w:val="002A4482"/>
    <w:rsid w:val="002A5B7A"/>
    <w:rsid w:val="002B02D5"/>
    <w:rsid w:val="002B1393"/>
    <w:rsid w:val="002B3A16"/>
    <w:rsid w:val="002B3FE9"/>
    <w:rsid w:val="002B4E62"/>
    <w:rsid w:val="002B7801"/>
    <w:rsid w:val="002C0681"/>
    <w:rsid w:val="002D09C9"/>
    <w:rsid w:val="002D0C77"/>
    <w:rsid w:val="002D0F0E"/>
    <w:rsid w:val="002D282F"/>
    <w:rsid w:val="002D571F"/>
    <w:rsid w:val="002D76A6"/>
    <w:rsid w:val="002E018E"/>
    <w:rsid w:val="002E0588"/>
    <w:rsid w:val="002E0F57"/>
    <w:rsid w:val="002E3902"/>
    <w:rsid w:val="002E4B87"/>
    <w:rsid w:val="002E707B"/>
    <w:rsid w:val="002F253A"/>
    <w:rsid w:val="002F370E"/>
    <w:rsid w:val="002F4372"/>
    <w:rsid w:val="002F6A48"/>
    <w:rsid w:val="002F6AE6"/>
    <w:rsid w:val="003030AC"/>
    <w:rsid w:val="003103E5"/>
    <w:rsid w:val="003166CB"/>
    <w:rsid w:val="0031751E"/>
    <w:rsid w:val="00320AC4"/>
    <w:rsid w:val="00327549"/>
    <w:rsid w:val="00331B0D"/>
    <w:rsid w:val="00332185"/>
    <w:rsid w:val="00334437"/>
    <w:rsid w:val="003402D5"/>
    <w:rsid w:val="00340E5A"/>
    <w:rsid w:val="00340E73"/>
    <w:rsid w:val="00345868"/>
    <w:rsid w:val="0035248D"/>
    <w:rsid w:val="003550B4"/>
    <w:rsid w:val="00361DFA"/>
    <w:rsid w:val="00362503"/>
    <w:rsid w:val="003635DC"/>
    <w:rsid w:val="00367495"/>
    <w:rsid w:val="00371ABA"/>
    <w:rsid w:val="00373CE9"/>
    <w:rsid w:val="00386A02"/>
    <w:rsid w:val="003908AB"/>
    <w:rsid w:val="00390C7A"/>
    <w:rsid w:val="0039175A"/>
    <w:rsid w:val="00391B82"/>
    <w:rsid w:val="00391D92"/>
    <w:rsid w:val="003A1FE0"/>
    <w:rsid w:val="003A2973"/>
    <w:rsid w:val="003A4044"/>
    <w:rsid w:val="003B00E6"/>
    <w:rsid w:val="003B1BE4"/>
    <w:rsid w:val="003B34AE"/>
    <w:rsid w:val="003B42B1"/>
    <w:rsid w:val="003B441B"/>
    <w:rsid w:val="003C7163"/>
    <w:rsid w:val="003D08F8"/>
    <w:rsid w:val="003D6EE6"/>
    <w:rsid w:val="003D7F20"/>
    <w:rsid w:val="003E2D93"/>
    <w:rsid w:val="003E466D"/>
    <w:rsid w:val="003E7588"/>
    <w:rsid w:val="003F3780"/>
    <w:rsid w:val="003F685F"/>
    <w:rsid w:val="003F7CA5"/>
    <w:rsid w:val="00402795"/>
    <w:rsid w:val="00402B5A"/>
    <w:rsid w:val="00402CC9"/>
    <w:rsid w:val="0040497B"/>
    <w:rsid w:val="00404DCE"/>
    <w:rsid w:val="00410D6E"/>
    <w:rsid w:val="00417895"/>
    <w:rsid w:val="0042001A"/>
    <w:rsid w:val="0042478D"/>
    <w:rsid w:val="004307CB"/>
    <w:rsid w:val="00432550"/>
    <w:rsid w:val="00433056"/>
    <w:rsid w:val="00433EA5"/>
    <w:rsid w:val="004422BC"/>
    <w:rsid w:val="00442EB7"/>
    <w:rsid w:val="00453B99"/>
    <w:rsid w:val="00453C7B"/>
    <w:rsid w:val="00454A64"/>
    <w:rsid w:val="00461F58"/>
    <w:rsid w:val="00464E93"/>
    <w:rsid w:val="0046606E"/>
    <w:rsid w:val="004674F6"/>
    <w:rsid w:val="00467E2A"/>
    <w:rsid w:val="00470294"/>
    <w:rsid w:val="00470D22"/>
    <w:rsid w:val="004724BE"/>
    <w:rsid w:val="004758C7"/>
    <w:rsid w:val="00475E72"/>
    <w:rsid w:val="004760D4"/>
    <w:rsid w:val="004769D2"/>
    <w:rsid w:val="00476D07"/>
    <w:rsid w:val="00480DEA"/>
    <w:rsid w:val="00483CB2"/>
    <w:rsid w:val="00484A33"/>
    <w:rsid w:val="00490E4A"/>
    <w:rsid w:val="004931A2"/>
    <w:rsid w:val="00496488"/>
    <w:rsid w:val="004A12D6"/>
    <w:rsid w:val="004A246D"/>
    <w:rsid w:val="004A49A7"/>
    <w:rsid w:val="004A7E97"/>
    <w:rsid w:val="004A7F88"/>
    <w:rsid w:val="004B22F0"/>
    <w:rsid w:val="004B355F"/>
    <w:rsid w:val="004B5C83"/>
    <w:rsid w:val="004B7548"/>
    <w:rsid w:val="004B7B21"/>
    <w:rsid w:val="004B7D71"/>
    <w:rsid w:val="004C43FA"/>
    <w:rsid w:val="004C7279"/>
    <w:rsid w:val="004C7895"/>
    <w:rsid w:val="004C7CE7"/>
    <w:rsid w:val="004D06F0"/>
    <w:rsid w:val="004D1C20"/>
    <w:rsid w:val="004D474E"/>
    <w:rsid w:val="004D5289"/>
    <w:rsid w:val="004E6D4A"/>
    <w:rsid w:val="004F054B"/>
    <w:rsid w:val="004F62B4"/>
    <w:rsid w:val="00504287"/>
    <w:rsid w:val="005048B5"/>
    <w:rsid w:val="005060A0"/>
    <w:rsid w:val="00512B2B"/>
    <w:rsid w:val="00515753"/>
    <w:rsid w:val="00516BBB"/>
    <w:rsid w:val="00520C50"/>
    <w:rsid w:val="00523A64"/>
    <w:rsid w:val="005260FB"/>
    <w:rsid w:val="00526844"/>
    <w:rsid w:val="00531966"/>
    <w:rsid w:val="00532562"/>
    <w:rsid w:val="00536C19"/>
    <w:rsid w:val="005372A5"/>
    <w:rsid w:val="0054034B"/>
    <w:rsid w:val="00540BDA"/>
    <w:rsid w:val="00542CB1"/>
    <w:rsid w:val="00543797"/>
    <w:rsid w:val="00547C54"/>
    <w:rsid w:val="00556E25"/>
    <w:rsid w:val="00557013"/>
    <w:rsid w:val="00561683"/>
    <w:rsid w:val="00562FC9"/>
    <w:rsid w:val="00565179"/>
    <w:rsid w:val="005709D6"/>
    <w:rsid w:val="00570E0C"/>
    <w:rsid w:val="00571A44"/>
    <w:rsid w:val="00573016"/>
    <w:rsid w:val="005806E0"/>
    <w:rsid w:val="005814D4"/>
    <w:rsid w:val="00591E79"/>
    <w:rsid w:val="0059279E"/>
    <w:rsid w:val="005927FF"/>
    <w:rsid w:val="00597B74"/>
    <w:rsid w:val="00597EA3"/>
    <w:rsid w:val="005A1BA2"/>
    <w:rsid w:val="005A3E61"/>
    <w:rsid w:val="005A43B4"/>
    <w:rsid w:val="005B5893"/>
    <w:rsid w:val="005C04EE"/>
    <w:rsid w:val="005C3D46"/>
    <w:rsid w:val="005C7D11"/>
    <w:rsid w:val="005D0224"/>
    <w:rsid w:val="005D0700"/>
    <w:rsid w:val="005D0BBE"/>
    <w:rsid w:val="005D1749"/>
    <w:rsid w:val="005D3626"/>
    <w:rsid w:val="005D3E0C"/>
    <w:rsid w:val="005D5019"/>
    <w:rsid w:val="005E37A4"/>
    <w:rsid w:val="005E5B59"/>
    <w:rsid w:val="005E5F32"/>
    <w:rsid w:val="005E75AD"/>
    <w:rsid w:val="005E75BC"/>
    <w:rsid w:val="005F162C"/>
    <w:rsid w:val="005F2FF3"/>
    <w:rsid w:val="005F4569"/>
    <w:rsid w:val="006004D5"/>
    <w:rsid w:val="0060126C"/>
    <w:rsid w:val="00601723"/>
    <w:rsid w:val="00602585"/>
    <w:rsid w:val="006027CC"/>
    <w:rsid w:val="00603FFE"/>
    <w:rsid w:val="00605642"/>
    <w:rsid w:val="006058E3"/>
    <w:rsid w:val="00613107"/>
    <w:rsid w:val="00613D24"/>
    <w:rsid w:val="006156DC"/>
    <w:rsid w:val="00615A68"/>
    <w:rsid w:val="006175F8"/>
    <w:rsid w:val="00617866"/>
    <w:rsid w:val="00620A8B"/>
    <w:rsid w:val="006302DA"/>
    <w:rsid w:val="00630518"/>
    <w:rsid w:val="006316AD"/>
    <w:rsid w:val="006368D3"/>
    <w:rsid w:val="0064016F"/>
    <w:rsid w:val="006403E5"/>
    <w:rsid w:val="00641168"/>
    <w:rsid w:val="0064132A"/>
    <w:rsid w:val="00642B9E"/>
    <w:rsid w:val="006446E7"/>
    <w:rsid w:val="00654C5E"/>
    <w:rsid w:val="00654C6E"/>
    <w:rsid w:val="006555EE"/>
    <w:rsid w:val="00660951"/>
    <w:rsid w:val="006667B4"/>
    <w:rsid w:val="006668B1"/>
    <w:rsid w:val="00671356"/>
    <w:rsid w:val="006733CA"/>
    <w:rsid w:val="006801C6"/>
    <w:rsid w:val="006801DA"/>
    <w:rsid w:val="006811D1"/>
    <w:rsid w:val="00683D62"/>
    <w:rsid w:val="006858F4"/>
    <w:rsid w:val="006869C1"/>
    <w:rsid w:val="00687798"/>
    <w:rsid w:val="00687FC4"/>
    <w:rsid w:val="00690ED1"/>
    <w:rsid w:val="006A67BE"/>
    <w:rsid w:val="006A7BC1"/>
    <w:rsid w:val="006B1377"/>
    <w:rsid w:val="006B1799"/>
    <w:rsid w:val="006B3480"/>
    <w:rsid w:val="006B5596"/>
    <w:rsid w:val="006B69D0"/>
    <w:rsid w:val="006B772B"/>
    <w:rsid w:val="006C0FA5"/>
    <w:rsid w:val="006C4FB3"/>
    <w:rsid w:val="006C51A7"/>
    <w:rsid w:val="006C663D"/>
    <w:rsid w:val="006D10BA"/>
    <w:rsid w:val="006D71D6"/>
    <w:rsid w:val="006E020F"/>
    <w:rsid w:val="006E2AA7"/>
    <w:rsid w:val="006F0B77"/>
    <w:rsid w:val="006F133F"/>
    <w:rsid w:val="006F528B"/>
    <w:rsid w:val="00700999"/>
    <w:rsid w:val="007073EF"/>
    <w:rsid w:val="007129BE"/>
    <w:rsid w:val="00712ABE"/>
    <w:rsid w:val="007137E1"/>
    <w:rsid w:val="00714AE4"/>
    <w:rsid w:val="00715FC7"/>
    <w:rsid w:val="007221EA"/>
    <w:rsid w:val="00723496"/>
    <w:rsid w:val="00723DDA"/>
    <w:rsid w:val="00725470"/>
    <w:rsid w:val="007259B0"/>
    <w:rsid w:val="00730D38"/>
    <w:rsid w:val="00732B94"/>
    <w:rsid w:val="00736FDB"/>
    <w:rsid w:val="007371CC"/>
    <w:rsid w:val="00737B2A"/>
    <w:rsid w:val="00740343"/>
    <w:rsid w:val="0074090C"/>
    <w:rsid w:val="00741420"/>
    <w:rsid w:val="007445C4"/>
    <w:rsid w:val="00744BE2"/>
    <w:rsid w:val="007450A4"/>
    <w:rsid w:val="007468CA"/>
    <w:rsid w:val="00746AC0"/>
    <w:rsid w:val="00746C97"/>
    <w:rsid w:val="00751E57"/>
    <w:rsid w:val="00752728"/>
    <w:rsid w:val="00754EB9"/>
    <w:rsid w:val="00760DF1"/>
    <w:rsid w:val="007625B4"/>
    <w:rsid w:val="00764787"/>
    <w:rsid w:val="00765D62"/>
    <w:rsid w:val="00771763"/>
    <w:rsid w:val="00771991"/>
    <w:rsid w:val="0077371D"/>
    <w:rsid w:val="007829B8"/>
    <w:rsid w:val="00783DAD"/>
    <w:rsid w:val="007869B4"/>
    <w:rsid w:val="007869D2"/>
    <w:rsid w:val="00791F0C"/>
    <w:rsid w:val="00794969"/>
    <w:rsid w:val="00796575"/>
    <w:rsid w:val="00796709"/>
    <w:rsid w:val="007A1142"/>
    <w:rsid w:val="007A2860"/>
    <w:rsid w:val="007A2AC1"/>
    <w:rsid w:val="007A3821"/>
    <w:rsid w:val="007A4AE7"/>
    <w:rsid w:val="007B1EE3"/>
    <w:rsid w:val="007B27C8"/>
    <w:rsid w:val="007B3BAF"/>
    <w:rsid w:val="007B3DC1"/>
    <w:rsid w:val="007B57A6"/>
    <w:rsid w:val="007C0504"/>
    <w:rsid w:val="007C0948"/>
    <w:rsid w:val="007C1BCF"/>
    <w:rsid w:val="007C1C9E"/>
    <w:rsid w:val="007C3403"/>
    <w:rsid w:val="007D14E9"/>
    <w:rsid w:val="007D23F6"/>
    <w:rsid w:val="007D3AAF"/>
    <w:rsid w:val="007D462C"/>
    <w:rsid w:val="007D7D76"/>
    <w:rsid w:val="007E0153"/>
    <w:rsid w:val="007E0F01"/>
    <w:rsid w:val="007E185D"/>
    <w:rsid w:val="007E3638"/>
    <w:rsid w:val="007E57C8"/>
    <w:rsid w:val="007E7F46"/>
    <w:rsid w:val="007F2F21"/>
    <w:rsid w:val="007F3F11"/>
    <w:rsid w:val="007F7913"/>
    <w:rsid w:val="00804D15"/>
    <w:rsid w:val="0080532D"/>
    <w:rsid w:val="00805C31"/>
    <w:rsid w:val="00807FE3"/>
    <w:rsid w:val="008104CE"/>
    <w:rsid w:val="00810AFF"/>
    <w:rsid w:val="00816A3B"/>
    <w:rsid w:val="00820151"/>
    <w:rsid w:val="00820A22"/>
    <w:rsid w:val="00821634"/>
    <w:rsid w:val="00821B29"/>
    <w:rsid w:val="00821F19"/>
    <w:rsid w:val="008271CB"/>
    <w:rsid w:val="00827F67"/>
    <w:rsid w:val="00831E7C"/>
    <w:rsid w:val="00832224"/>
    <w:rsid w:val="00832860"/>
    <w:rsid w:val="008345BA"/>
    <w:rsid w:val="00834C52"/>
    <w:rsid w:val="008372D1"/>
    <w:rsid w:val="008427C4"/>
    <w:rsid w:val="00862C21"/>
    <w:rsid w:val="00864C35"/>
    <w:rsid w:val="00872606"/>
    <w:rsid w:val="00874449"/>
    <w:rsid w:val="00874978"/>
    <w:rsid w:val="00880B0B"/>
    <w:rsid w:val="00881285"/>
    <w:rsid w:val="00882EB6"/>
    <w:rsid w:val="00883D8B"/>
    <w:rsid w:val="008860FC"/>
    <w:rsid w:val="008902BE"/>
    <w:rsid w:val="008906CF"/>
    <w:rsid w:val="00893BAB"/>
    <w:rsid w:val="00896D5F"/>
    <w:rsid w:val="00896E33"/>
    <w:rsid w:val="00897CCF"/>
    <w:rsid w:val="008A3834"/>
    <w:rsid w:val="008A52D0"/>
    <w:rsid w:val="008A6428"/>
    <w:rsid w:val="008B0CFB"/>
    <w:rsid w:val="008B178A"/>
    <w:rsid w:val="008B21E0"/>
    <w:rsid w:val="008B2E42"/>
    <w:rsid w:val="008B3AE8"/>
    <w:rsid w:val="008C299B"/>
    <w:rsid w:val="008C35E2"/>
    <w:rsid w:val="008C5890"/>
    <w:rsid w:val="008D0BF2"/>
    <w:rsid w:val="008E05B3"/>
    <w:rsid w:val="008E6A6D"/>
    <w:rsid w:val="008E7A60"/>
    <w:rsid w:val="008F0C9A"/>
    <w:rsid w:val="008F3C99"/>
    <w:rsid w:val="008F668A"/>
    <w:rsid w:val="00902735"/>
    <w:rsid w:val="00902F76"/>
    <w:rsid w:val="00905A95"/>
    <w:rsid w:val="009063D1"/>
    <w:rsid w:val="0090792E"/>
    <w:rsid w:val="00912822"/>
    <w:rsid w:val="0091436D"/>
    <w:rsid w:val="009156D9"/>
    <w:rsid w:val="00916676"/>
    <w:rsid w:val="00920966"/>
    <w:rsid w:val="00920F8F"/>
    <w:rsid w:val="00925292"/>
    <w:rsid w:val="00934F6E"/>
    <w:rsid w:val="00936EA6"/>
    <w:rsid w:val="009379D1"/>
    <w:rsid w:val="00943BF6"/>
    <w:rsid w:val="009442BF"/>
    <w:rsid w:val="00950632"/>
    <w:rsid w:val="009556DF"/>
    <w:rsid w:val="00957BC7"/>
    <w:rsid w:val="0096313F"/>
    <w:rsid w:val="00963746"/>
    <w:rsid w:val="009703FA"/>
    <w:rsid w:val="0097224B"/>
    <w:rsid w:val="00973E98"/>
    <w:rsid w:val="009764FA"/>
    <w:rsid w:val="009807B2"/>
    <w:rsid w:val="0098373D"/>
    <w:rsid w:val="00985008"/>
    <w:rsid w:val="00991045"/>
    <w:rsid w:val="00996B3F"/>
    <w:rsid w:val="00997B55"/>
    <w:rsid w:val="009A04AF"/>
    <w:rsid w:val="009A0AF7"/>
    <w:rsid w:val="009A45D5"/>
    <w:rsid w:val="009A6EBC"/>
    <w:rsid w:val="009A7440"/>
    <w:rsid w:val="009B0AF2"/>
    <w:rsid w:val="009B7B92"/>
    <w:rsid w:val="009C145A"/>
    <w:rsid w:val="009C15FE"/>
    <w:rsid w:val="009C4280"/>
    <w:rsid w:val="009C4BEC"/>
    <w:rsid w:val="009C4E8B"/>
    <w:rsid w:val="009C560F"/>
    <w:rsid w:val="009C6133"/>
    <w:rsid w:val="009D0303"/>
    <w:rsid w:val="009D29CB"/>
    <w:rsid w:val="009D58C3"/>
    <w:rsid w:val="009D6554"/>
    <w:rsid w:val="009E2759"/>
    <w:rsid w:val="009E30FB"/>
    <w:rsid w:val="009E31A7"/>
    <w:rsid w:val="009E60E5"/>
    <w:rsid w:val="009F5315"/>
    <w:rsid w:val="009F5387"/>
    <w:rsid w:val="009F5720"/>
    <w:rsid w:val="009F67E3"/>
    <w:rsid w:val="009F7DD7"/>
    <w:rsid w:val="009F7E5C"/>
    <w:rsid w:val="00A002C9"/>
    <w:rsid w:val="00A01933"/>
    <w:rsid w:val="00A01E5C"/>
    <w:rsid w:val="00A03BD1"/>
    <w:rsid w:val="00A069D2"/>
    <w:rsid w:val="00A13DDB"/>
    <w:rsid w:val="00A16B63"/>
    <w:rsid w:val="00A1784F"/>
    <w:rsid w:val="00A20158"/>
    <w:rsid w:val="00A21C9A"/>
    <w:rsid w:val="00A2232E"/>
    <w:rsid w:val="00A22E5C"/>
    <w:rsid w:val="00A261C0"/>
    <w:rsid w:val="00A276BA"/>
    <w:rsid w:val="00A336A2"/>
    <w:rsid w:val="00A340DE"/>
    <w:rsid w:val="00A348F5"/>
    <w:rsid w:val="00A34C8C"/>
    <w:rsid w:val="00A4037F"/>
    <w:rsid w:val="00A404D9"/>
    <w:rsid w:val="00A4089F"/>
    <w:rsid w:val="00A410C7"/>
    <w:rsid w:val="00A411BA"/>
    <w:rsid w:val="00A43224"/>
    <w:rsid w:val="00A44546"/>
    <w:rsid w:val="00A449A5"/>
    <w:rsid w:val="00A44BB9"/>
    <w:rsid w:val="00A45D0C"/>
    <w:rsid w:val="00A5149F"/>
    <w:rsid w:val="00A54CDF"/>
    <w:rsid w:val="00A6329C"/>
    <w:rsid w:val="00A6370F"/>
    <w:rsid w:val="00A701FA"/>
    <w:rsid w:val="00A74281"/>
    <w:rsid w:val="00A80876"/>
    <w:rsid w:val="00A84014"/>
    <w:rsid w:val="00A91F90"/>
    <w:rsid w:val="00A9388A"/>
    <w:rsid w:val="00A94090"/>
    <w:rsid w:val="00AA1F39"/>
    <w:rsid w:val="00AA4CFA"/>
    <w:rsid w:val="00AA569E"/>
    <w:rsid w:val="00AA5FA3"/>
    <w:rsid w:val="00AA6E3F"/>
    <w:rsid w:val="00AB0A2A"/>
    <w:rsid w:val="00AB58E8"/>
    <w:rsid w:val="00AB62E4"/>
    <w:rsid w:val="00AB6CE2"/>
    <w:rsid w:val="00AB7F16"/>
    <w:rsid w:val="00AC1866"/>
    <w:rsid w:val="00AC4063"/>
    <w:rsid w:val="00AC41E0"/>
    <w:rsid w:val="00AC59B7"/>
    <w:rsid w:val="00AC63AD"/>
    <w:rsid w:val="00AD2470"/>
    <w:rsid w:val="00AD6DD5"/>
    <w:rsid w:val="00AE1F43"/>
    <w:rsid w:val="00AE5D6B"/>
    <w:rsid w:val="00AF1A86"/>
    <w:rsid w:val="00AF3C20"/>
    <w:rsid w:val="00AF58D5"/>
    <w:rsid w:val="00B02138"/>
    <w:rsid w:val="00B022A3"/>
    <w:rsid w:val="00B023A8"/>
    <w:rsid w:val="00B06F5C"/>
    <w:rsid w:val="00B13FE7"/>
    <w:rsid w:val="00B141D4"/>
    <w:rsid w:val="00B15DB8"/>
    <w:rsid w:val="00B15F47"/>
    <w:rsid w:val="00B214CF"/>
    <w:rsid w:val="00B21551"/>
    <w:rsid w:val="00B246E9"/>
    <w:rsid w:val="00B3068D"/>
    <w:rsid w:val="00B30CA6"/>
    <w:rsid w:val="00B35DAA"/>
    <w:rsid w:val="00B40DEC"/>
    <w:rsid w:val="00B42569"/>
    <w:rsid w:val="00B43E3B"/>
    <w:rsid w:val="00B4643D"/>
    <w:rsid w:val="00B51B2C"/>
    <w:rsid w:val="00B55053"/>
    <w:rsid w:val="00B605BC"/>
    <w:rsid w:val="00B60AF0"/>
    <w:rsid w:val="00B60E10"/>
    <w:rsid w:val="00B6151A"/>
    <w:rsid w:val="00B64FD4"/>
    <w:rsid w:val="00B654AB"/>
    <w:rsid w:val="00B661B1"/>
    <w:rsid w:val="00B6723C"/>
    <w:rsid w:val="00B67BCE"/>
    <w:rsid w:val="00B703EE"/>
    <w:rsid w:val="00B70A47"/>
    <w:rsid w:val="00B74611"/>
    <w:rsid w:val="00B8011B"/>
    <w:rsid w:val="00B82D99"/>
    <w:rsid w:val="00B8421D"/>
    <w:rsid w:val="00B84DD8"/>
    <w:rsid w:val="00B8587F"/>
    <w:rsid w:val="00B86E95"/>
    <w:rsid w:val="00B9327E"/>
    <w:rsid w:val="00B94E9E"/>
    <w:rsid w:val="00B96AEA"/>
    <w:rsid w:val="00B97623"/>
    <w:rsid w:val="00BA1BB7"/>
    <w:rsid w:val="00BA2F1F"/>
    <w:rsid w:val="00BA34BC"/>
    <w:rsid w:val="00BA50FA"/>
    <w:rsid w:val="00BA78FB"/>
    <w:rsid w:val="00BA7CF8"/>
    <w:rsid w:val="00BB0832"/>
    <w:rsid w:val="00BB0C6E"/>
    <w:rsid w:val="00BB2870"/>
    <w:rsid w:val="00BB4AA0"/>
    <w:rsid w:val="00BC11BF"/>
    <w:rsid w:val="00BC2AC3"/>
    <w:rsid w:val="00BC31BD"/>
    <w:rsid w:val="00BC3679"/>
    <w:rsid w:val="00BC3AE6"/>
    <w:rsid w:val="00BC4C1D"/>
    <w:rsid w:val="00BC64C2"/>
    <w:rsid w:val="00BD0785"/>
    <w:rsid w:val="00BD1688"/>
    <w:rsid w:val="00BD187A"/>
    <w:rsid w:val="00BD1937"/>
    <w:rsid w:val="00BD1C44"/>
    <w:rsid w:val="00BD2BCC"/>
    <w:rsid w:val="00BD747E"/>
    <w:rsid w:val="00BD7F64"/>
    <w:rsid w:val="00BE0277"/>
    <w:rsid w:val="00BE051F"/>
    <w:rsid w:val="00BE2013"/>
    <w:rsid w:val="00BE4ABA"/>
    <w:rsid w:val="00BE56BE"/>
    <w:rsid w:val="00BE5B59"/>
    <w:rsid w:val="00BE7B76"/>
    <w:rsid w:val="00BF7E9C"/>
    <w:rsid w:val="00C005F2"/>
    <w:rsid w:val="00C0233C"/>
    <w:rsid w:val="00C02529"/>
    <w:rsid w:val="00C038B2"/>
    <w:rsid w:val="00C04065"/>
    <w:rsid w:val="00C0450F"/>
    <w:rsid w:val="00C0694C"/>
    <w:rsid w:val="00C13C6E"/>
    <w:rsid w:val="00C16EA7"/>
    <w:rsid w:val="00C170C2"/>
    <w:rsid w:val="00C17396"/>
    <w:rsid w:val="00C17D64"/>
    <w:rsid w:val="00C212FD"/>
    <w:rsid w:val="00C21441"/>
    <w:rsid w:val="00C22141"/>
    <w:rsid w:val="00C22A67"/>
    <w:rsid w:val="00C2307F"/>
    <w:rsid w:val="00C234FB"/>
    <w:rsid w:val="00C2512B"/>
    <w:rsid w:val="00C26CE9"/>
    <w:rsid w:val="00C34756"/>
    <w:rsid w:val="00C37816"/>
    <w:rsid w:val="00C402AB"/>
    <w:rsid w:val="00C43F7A"/>
    <w:rsid w:val="00C44F77"/>
    <w:rsid w:val="00C47207"/>
    <w:rsid w:val="00C61186"/>
    <w:rsid w:val="00C645A1"/>
    <w:rsid w:val="00C65C27"/>
    <w:rsid w:val="00C67B54"/>
    <w:rsid w:val="00C76D71"/>
    <w:rsid w:val="00C81026"/>
    <w:rsid w:val="00C81210"/>
    <w:rsid w:val="00C81735"/>
    <w:rsid w:val="00C82E29"/>
    <w:rsid w:val="00C857D5"/>
    <w:rsid w:val="00C87118"/>
    <w:rsid w:val="00C87CFE"/>
    <w:rsid w:val="00C87F45"/>
    <w:rsid w:val="00C9056A"/>
    <w:rsid w:val="00C926F7"/>
    <w:rsid w:val="00C9329C"/>
    <w:rsid w:val="00CA39B4"/>
    <w:rsid w:val="00CB63C4"/>
    <w:rsid w:val="00CC3357"/>
    <w:rsid w:val="00CC7267"/>
    <w:rsid w:val="00CC763E"/>
    <w:rsid w:val="00CD06B2"/>
    <w:rsid w:val="00CD2542"/>
    <w:rsid w:val="00CD6080"/>
    <w:rsid w:val="00CD65F8"/>
    <w:rsid w:val="00CD6E6A"/>
    <w:rsid w:val="00CE10BA"/>
    <w:rsid w:val="00CE1FFF"/>
    <w:rsid w:val="00CE300E"/>
    <w:rsid w:val="00CE3120"/>
    <w:rsid w:val="00CE6AAA"/>
    <w:rsid w:val="00CE73D5"/>
    <w:rsid w:val="00CF1420"/>
    <w:rsid w:val="00CF2AE1"/>
    <w:rsid w:val="00CF351D"/>
    <w:rsid w:val="00D03B73"/>
    <w:rsid w:val="00D044AE"/>
    <w:rsid w:val="00D05F6D"/>
    <w:rsid w:val="00D06DFF"/>
    <w:rsid w:val="00D10820"/>
    <w:rsid w:val="00D11764"/>
    <w:rsid w:val="00D14C41"/>
    <w:rsid w:val="00D1663B"/>
    <w:rsid w:val="00D27D4C"/>
    <w:rsid w:val="00D27F96"/>
    <w:rsid w:val="00D3796B"/>
    <w:rsid w:val="00D50233"/>
    <w:rsid w:val="00D50AEF"/>
    <w:rsid w:val="00D51304"/>
    <w:rsid w:val="00D51F8B"/>
    <w:rsid w:val="00D537B9"/>
    <w:rsid w:val="00D5396F"/>
    <w:rsid w:val="00D55485"/>
    <w:rsid w:val="00D61873"/>
    <w:rsid w:val="00D6216D"/>
    <w:rsid w:val="00D64DF1"/>
    <w:rsid w:val="00D67359"/>
    <w:rsid w:val="00D67446"/>
    <w:rsid w:val="00D71288"/>
    <w:rsid w:val="00D72F76"/>
    <w:rsid w:val="00D75671"/>
    <w:rsid w:val="00D7587F"/>
    <w:rsid w:val="00D77B81"/>
    <w:rsid w:val="00D83808"/>
    <w:rsid w:val="00D84214"/>
    <w:rsid w:val="00D84341"/>
    <w:rsid w:val="00D92DE6"/>
    <w:rsid w:val="00D95D98"/>
    <w:rsid w:val="00D963E8"/>
    <w:rsid w:val="00D97426"/>
    <w:rsid w:val="00DA261D"/>
    <w:rsid w:val="00DA6A7B"/>
    <w:rsid w:val="00DB2AF1"/>
    <w:rsid w:val="00DB750A"/>
    <w:rsid w:val="00DC4EF2"/>
    <w:rsid w:val="00DC4F6A"/>
    <w:rsid w:val="00DC5E2F"/>
    <w:rsid w:val="00DD0EDB"/>
    <w:rsid w:val="00DD20CF"/>
    <w:rsid w:val="00DD2966"/>
    <w:rsid w:val="00DD594E"/>
    <w:rsid w:val="00DD664C"/>
    <w:rsid w:val="00DD6C3E"/>
    <w:rsid w:val="00DD7608"/>
    <w:rsid w:val="00DD7A9D"/>
    <w:rsid w:val="00DF1BAE"/>
    <w:rsid w:val="00DF52EC"/>
    <w:rsid w:val="00DF6BDB"/>
    <w:rsid w:val="00E002CA"/>
    <w:rsid w:val="00E011FA"/>
    <w:rsid w:val="00E04DF9"/>
    <w:rsid w:val="00E110FF"/>
    <w:rsid w:val="00E111F6"/>
    <w:rsid w:val="00E13165"/>
    <w:rsid w:val="00E146D2"/>
    <w:rsid w:val="00E15129"/>
    <w:rsid w:val="00E216AB"/>
    <w:rsid w:val="00E311EA"/>
    <w:rsid w:val="00E40C07"/>
    <w:rsid w:val="00E41558"/>
    <w:rsid w:val="00E43546"/>
    <w:rsid w:val="00E503F8"/>
    <w:rsid w:val="00E50744"/>
    <w:rsid w:val="00E54C4F"/>
    <w:rsid w:val="00E55630"/>
    <w:rsid w:val="00E5705A"/>
    <w:rsid w:val="00E653FB"/>
    <w:rsid w:val="00E65A56"/>
    <w:rsid w:val="00E6674F"/>
    <w:rsid w:val="00E671BE"/>
    <w:rsid w:val="00E6798A"/>
    <w:rsid w:val="00E67DB4"/>
    <w:rsid w:val="00E70AAA"/>
    <w:rsid w:val="00E72E7C"/>
    <w:rsid w:val="00E73840"/>
    <w:rsid w:val="00E75061"/>
    <w:rsid w:val="00E82CE7"/>
    <w:rsid w:val="00E84ACA"/>
    <w:rsid w:val="00E84C4B"/>
    <w:rsid w:val="00E87454"/>
    <w:rsid w:val="00E9097C"/>
    <w:rsid w:val="00E9239B"/>
    <w:rsid w:val="00E92CCC"/>
    <w:rsid w:val="00E94EED"/>
    <w:rsid w:val="00E95B6B"/>
    <w:rsid w:val="00E95F47"/>
    <w:rsid w:val="00E965DE"/>
    <w:rsid w:val="00E96DF4"/>
    <w:rsid w:val="00E974C3"/>
    <w:rsid w:val="00EA5228"/>
    <w:rsid w:val="00EA7827"/>
    <w:rsid w:val="00EA7902"/>
    <w:rsid w:val="00EB4525"/>
    <w:rsid w:val="00EB6403"/>
    <w:rsid w:val="00EB7D6B"/>
    <w:rsid w:val="00EC4DCC"/>
    <w:rsid w:val="00EC61DD"/>
    <w:rsid w:val="00EC71E6"/>
    <w:rsid w:val="00ED0FD8"/>
    <w:rsid w:val="00ED2AE3"/>
    <w:rsid w:val="00ED3185"/>
    <w:rsid w:val="00ED3594"/>
    <w:rsid w:val="00ED497B"/>
    <w:rsid w:val="00ED7B02"/>
    <w:rsid w:val="00EE1E60"/>
    <w:rsid w:val="00EE38CD"/>
    <w:rsid w:val="00EE6318"/>
    <w:rsid w:val="00EF0A8E"/>
    <w:rsid w:val="00EF13E4"/>
    <w:rsid w:val="00EF1F81"/>
    <w:rsid w:val="00EF2B52"/>
    <w:rsid w:val="00EF3EBB"/>
    <w:rsid w:val="00F1157F"/>
    <w:rsid w:val="00F13EF2"/>
    <w:rsid w:val="00F14911"/>
    <w:rsid w:val="00F168FB"/>
    <w:rsid w:val="00F17BE0"/>
    <w:rsid w:val="00F20CC7"/>
    <w:rsid w:val="00F21104"/>
    <w:rsid w:val="00F23CD8"/>
    <w:rsid w:val="00F24177"/>
    <w:rsid w:val="00F2641A"/>
    <w:rsid w:val="00F26890"/>
    <w:rsid w:val="00F270B1"/>
    <w:rsid w:val="00F27483"/>
    <w:rsid w:val="00F27E14"/>
    <w:rsid w:val="00F30EE1"/>
    <w:rsid w:val="00F335D9"/>
    <w:rsid w:val="00F33969"/>
    <w:rsid w:val="00F37803"/>
    <w:rsid w:val="00F40461"/>
    <w:rsid w:val="00F43125"/>
    <w:rsid w:val="00F4448B"/>
    <w:rsid w:val="00F45BFA"/>
    <w:rsid w:val="00F479EB"/>
    <w:rsid w:val="00F51CA2"/>
    <w:rsid w:val="00F5514B"/>
    <w:rsid w:val="00F56A70"/>
    <w:rsid w:val="00F57F1D"/>
    <w:rsid w:val="00F62821"/>
    <w:rsid w:val="00F6528E"/>
    <w:rsid w:val="00F7024B"/>
    <w:rsid w:val="00F767FC"/>
    <w:rsid w:val="00F76918"/>
    <w:rsid w:val="00F80BA7"/>
    <w:rsid w:val="00F82A91"/>
    <w:rsid w:val="00F849AE"/>
    <w:rsid w:val="00F850AA"/>
    <w:rsid w:val="00F87A89"/>
    <w:rsid w:val="00F906D9"/>
    <w:rsid w:val="00F90C58"/>
    <w:rsid w:val="00F91284"/>
    <w:rsid w:val="00F92CCA"/>
    <w:rsid w:val="00F9311A"/>
    <w:rsid w:val="00F960F3"/>
    <w:rsid w:val="00F97A4C"/>
    <w:rsid w:val="00FA0D6C"/>
    <w:rsid w:val="00FA14B7"/>
    <w:rsid w:val="00FA1888"/>
    <w:rsid w:val="00FA33D2"/>
    <w:rsid w:val="00FA4D22"/>
    <w:rsid w:val="00FA5583"/>
    <w:rsid w:val="00FA69C3"/>
    <w:rsid w:val="00FB272C"/>
    <w:rsid w:val="00FB6E79"/>
    <w:rsid w:val="00FC32F8"/>
    <w:rsid w:val="00FC47EB"/>
    <w:rsid w:val="00FC5C21"/>
    <w:rsid w:val="00FC5CEC"/>
    <w:rsid w:val="00FC7C39"/>
    <w:rsid w:val="00FD0517"/>
    <w:rsid w:val="00FD3519"/>
    <w:rsid w:val="00FD5834"/>
    <w:rsid w:val="00FE1CAA"/>
    <w:rsid w:val="00FF2781"/>
    <w:rsid w:val="00FF5E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0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val="de-DE"/>
    </w:rPr>
  </w:style>
  <w:style w:type="paragraph" w:styleId="berschrift1">
    <w:name w:val="heading 1"/>
    <w:basedOn w:val="Standard"/>
    <w:link w:val="berschrift1Zchn"/>
    <w:uiPriority w:val="9"/>
    <w:qFormat/>
    <w:rsid w:val="003E758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ghlight">
    <w:name w:val="highlight"/>
    <w:rsid w:val="000735A1"/>
  </w:style>
  <w:style w:type="paragraph" w:styleId="Kopfzeile">
    <w:name w:val="header"/>
    <w:basedOn w:val="Standard"/>
    <w:link w:val="KopfzeileZchn"/>
    <w:uiPriority w:val="99"/>
    <w:unhideWhenUsed/>
    <w:rsid w:val="008F3C99"/>
    <w:pPr>
      <w:tabs>
        <w:tab w:val="center" w:pos="4513"/>
        <w:tab w:val="right" w:pos="9026"/>
      </w:tabs>
    </w:pPr>
  </w:style>
  <w:style w:type="character" w:customStyle="1" w:styleId="KopfzeileZchn">
    <w:name w:val="Kopfzeile Zchn"/>
    <w:link w:val="Kopfzeile"/>
    <w:uiPriority w:val="99"/>
    <w:rsid w:val="008F3C99"/>
    <w:rPr>
      <w:sz w:val="22"/>
      <w:szCs w:val="22"/>
      <w:lang w:eastAsia="en-US"/>
    </w:rPr>
  </w:style>
  <w:style w:type="paragraph" w:styleId="Fuzeile">
    <w:name w:val="footer"/>
    <w:basedOn w:val="Standard"/>
    <w:link w:val="FuzeileZchn"/>
    <w:uiPriority w:val="99"/>
    <w:unhideWhenUsed/>
    <w:rsid w:val="008F3C99"/>
    <w:pPr>
      <w:tabs>
        <w:tab w:val="center" w:pos="4513"/>
        <w:tab w:val="right" w:pos="9026"/>
      </w:tabs>
    </w:pPr>
  </w:style>
  <w:style w:type="character" w:customStyle="1" w:styleId="FuzeileZchn">
    <w:name w:val="Fußzeile Zchn"/>
    <w:link w:val="Fuzeile"/>
    <w:uiPriority w:val="99"/>
    <w:rsid w:val="008F3C99"/>
    <w:rPr>
      <w:sz w:val="22"/>
      <w:szCs w:val="22"/>
      <w:lang w:eastAsia="en-US"/>
    </w:rPr>
  </w:style>
  <w:style w:type="character" w:styleId="Kommentarzeichen">
    <w:name w:val="annotation reference"/>
    <w:uiPriority w:val="99"/>
    <w:semiHidden/>
    <w:unhideWhenUsed/>
    <w:rsid w:val="003B441B"/>
    <w:rPr>
      <w:sz w:val="16"/>
      <w:szCs w:val="16"/>
    </w:rPr>
  </w:style>
  <w:style w:type="paragraph" w:styleId="Kommentartext">
    <w:name w:val="annotation text"/>
    <w:basedOn w:val="Standard"/>
    <w:link w:val="KommentartextZchn"/>
    <w:uiPriority w:val="99"/>
    <w:unhideWhenUsed/>
    <w:rsid w:val="003B441B"/>
    <w:rPr>
      <w:sz w:val="20"/>
      <w:szCs w:val="20"/>
    </w:rPr>
  </w:style>
  <w:style w:type="character" w:customStyle="1" w:styleId="KommentartextZchn">
    <w:name w:val="Kommentartext Zchn"/>
    <w:link w:val="Kommentartext"/>
    <w:uiPriority w:val="99"/>
    <w:semiHidden/>
    <w:rsid w:val="003B441B"/>
    <w:rPr>
      <w:lang w:eastAsia="en-US"/>
    </w:rPr>
  </w:style>
  <w:style w:type="paragraph" w:styleId="Kommentarthema">
    <w:name w:val="annotation subject"/>
    <w:basedOn w:val="Kommentartext"/>
    <w:next w:val="Kommentartext"/>
    <w:link w:val="KommentarthemaZchn"/>
    <w:uiPriority w:val="99"/>
    <w:semiHidden/>
    <w:unhideWhenUsed/>
    <w:rsid w:val="003B441B"/>
    <w:rPr>
      <w:b/>
      <w:bCs/>
    </w:rPr>
  </w:style>
  <w:style w:type="character" w:customStyle="1" w:styleId="KommentarthemaZchn">
    <w:name w:val="Kommentarthema Zchn"/>
    <w:link w:val="Kommentarthema"/>
    <w:uiPriority w:val="99"/>
    <w:semiHidden/>
    <w:rsid w:val="003B441B"/>
    <w:rPr>
      <w:b/>
      <w:bCs/>
      <w:lang w:eastAsia="en-US"/>
    </w:rPr>
  </w:style>
  <w:style w:type="paragraph" w:styleId="Sprechblasentext">
    <w:name w:val="Balloon Text"/>
    <w:basedOn w:val="Standard"/>
    <w:link w:val="SprechblasentextZchn"/>
    <w:uiPriority w:val="99"/>
    <w:semiHidden/>
    <w:unhideWhenUsed/>
    <w:rsid w:val="003B441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441B"/>
    <w:rPr>
      <w:rFonts w:ascii="Tahoma" w:hAnsi="Tahoma" w:cs="Tahoma"/>
      <w:sz w:val="16"/>
      <w:szCs w:val="16"/>
      <w:lang w:eastAsia="en-US"/>
    </w:rPr>
  </w:style>
  <w:style w:type="character" w:customStyle="1" w:styleId="KommentartextZchn1">
    <w:name w:val="Kommentartext Zchn1"/>
    <w:uiPriority w:val="99"/>
    <w:rsid w:val="00542CB1"/>
    <w:rPr>
      <w:sz w:val="20"/>
      <w:szCs w:val="20"/>
      <w:lang w:val="en-GB" w:eastAsia="ar-SA"/>
    </w:rPr>
  </w:style>
  <w:style w:type="character" w:styleId="Hyperlink">
    <w:name w:val="Hyperlink"/>
    <w:uiPriority w:val="99"/>
    <w:semiHidden/>
    <w:unhideWhenUsed/>
    <w:rsid w:val="000F17CB"/>
    <w:rPr>
      <w:color w:val="0000FF"/>
      <w:u w:val="single"/>
    </w:rPr>
  </w:style>
  <w:style w:type="character" w:styleId="Hervorhebung">
    <w:name w:val="Emphasis"/>
    <w:uiPriority w:val="20"/>
    <w:qFormat/>
    <w:rsid w:val="000F17CB"/>
    <w:rPr>
      <w:i/>
      <w:iCs/>
    </w:rPr>
  </w:style>
  <w:style w:type="table" w:styleId="HelleSchattierung">
    <w:name w:val="Light Shading"/>
    <w:basedOn w:val="NormaleTabelle"/>
    <w:uiPriority w:val="60"/>
    <w:rsid w:val="00A44BB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krper">
    <w:name w:val="Body Text"/>
    <w:basedOn w:val="Standard"/>
    <w:link w:val="TextkrperZchn"/>
    <w:rsid w:val="005C7D11"/>
    <w:pPr>
      <w:suppressAutoHyphens/>
      <w:spacing w:after="120" w:line="240" w:lineRule="auto"/>
    </w:pPr>
    <w:rPr>
      <w:rFonts w:ascii="Times New Roman" w:eastAsia="Times New Roman" w:hAnsi="Times New Roman"/>
      <w:sz w:val="20"/>
      <w:szCs w:val="20"/>
    </w:rPr>
  </w:style>
  <w:style w:type="character" w:customStyle="1" w:styleId="TextkrperZchn">
    <w:name w:val="Textkörper Zchn"/>
    <w:link w:val="Textkrper"/>
    <w:rsid w:val="005C7D11"/>
    <w:rPr>
      <w:rFonts w:ascii="Times New Roman" w:eastAsia="Times New Roman" w:hAnsi="Times New Roman"/>
      <w:lang w:eastAsia="en-US"/>
    </w:rPr>
  </w:style>
  <w:style w:type="paragraph" w:styleId="berarbeitung">
    <w:name w:val="Revision"/>
    <w:hidden/>
    <w:uiPriority w:val="99"/>
    <w:semiHidden/>
    <w:rsid w:val="00F850AA"/>
    <w:rPr>
      <w:sz w:val="22"/>
      <w:szCs w:val="22"/>
      <w:lang w:val="de-DE"/>
    </w:rPr>
  </w:style>
  <w:style w:type="paragraph" w:customStyle="1" w:styleId="Title1">
    <w:name w:val="Title1"/>
    <w:basedOn w:val="Standard"/>
    <w:rsid w:val="00F23CD8"/>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Standard"/>
    <w:rsid w:val="00F23CD8"/>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Standard"/>
    <w:rsid w:val="00F23CD8"/>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F23CD8"/>
  </w:style>
  <w:style w:type="character" w:styleId="BesuchterHyperlink">
    <w:name w:val="FollowedHyperlink"/>
    <w:uiPriority w:val="99"/>
    <w:semiHidden/>
    <w:unhideWhenUsed/>
    <w:rsid w:val="00F76918"/>
    <w:rPr>
      <w:color w:val="954F72"/>
      <w:u w:val="single"/>
    </w:rPr>
  </w:style>
  <w:style w:type="table" w:styleId="Tabellenraster">
    <w:name w:val="Table Grid"/>
    <w:basedOn w:val="NormaleTabelle"/>
    <w:uiPriority w:val="39"/>
    <w:rsid w:val="006733C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4A49A7"/>
    <w:pPr>
      <w:spacing w:after="0" w:line="240" w:lineRule="auto"/>
    </w:pPr>
    <w:rPr>
      <w:rFonts w:ascii="Times New Roman" w:hAnsi="Times New Roman"/>
      <w:sz w:val="24"/>
      <w:szCs w:val="24"/>
    </w:rPr>
  </w:style>
  <w:style w:type="character" w:customStyle="1" w:styleId="DokumentstrukturZchn">
    <w:name w:val="Dokumentstruktur Zchn"/>
    <w:basedOn w:val="Absatz-Standardschriftart"/>
    <w:link w:val="Dokumentstruktur"/>
    <w:uiPriority w:val="99"/>
    <w:semiHidden/>
    <w:rsid w:val="004A49A7"/>
    <w:rPr>
      <w:rFonts w:ascii="Times New Roman" w:hAnsi="Times New Roman"/>
      <w:sz w:val="24"/>
      <w:szCs w:val="24"/>
      <w:lang w:val="de-DE"/>
    </w:rPr>
  </w:style>
  <w:style w:type="paragraph" w:styleId="Listenabsatz">
    <w:name w:val="List Paragraph"/>
    <w:basedOn w:val="Standard"/>
    <w:uiPriority w:val="34"/>
    <w:qFormat/>
    <w:rsid w:val="00027E7C"/>
    <w:pPr>
      <w:ind w:left="720"/>
      <w:contextualSpacing/>
    </w:pPr>
  </w:style>
  <w:style w:type="character" w:customStyle="1" w:styleId="berschrift1Zchn">
    <w:name w:val="Überschrift 1 Zchn"/>
    <w:basedOn w:val="Absatz-Standardschriftart"/>
    <w:link w:val="berschrift1"/>
    <w:uiPriority w:val="9"/>
    <w:rsid w:val="003E7588"/>
    <w:rPr>
      <w:rFonts w:ascii="Times New Roman" w:eastAsia="Times New Roman" w:hAnsi="Times New Roman"/>
      <w:b/>
      <w:bCs/>
      <w:kern w:val="36"/>
      <w:sz w:val="48"/>
      <w:szCs w:val="48"/>
      <w:lang w:val="de-DE"/>
    </w:rPr>
  </w:style>
  <w:style w:type="paragraph" w:customStyle="1" w:styleId="Titel1">
    <w:name w:val="Titel1"/>
    <w:basedOn w:val="Standard"/>
    <w:rsid w:val="006668B1"/>
    <w:pPr>
      <w:spacing w:before="100" w:beforeAutospacing="1" w:after="100" w:afterAutospacing="1" w:line="240" w:lineRule="auto"/>
    </w:pPr>
    <w:rPr>
      <w:rFonts w:ascii="Times New Roman" w:eastAsia="Times New Roman" w:hAnsi="Times New Roman"/>
      <w:sz w:val="24"/>
      <w:szCs w:val="24"/>
    </w:rPr>
  </w:style>
  <w:style w:type="paragraph" w:styleId="NurText">
    <w:name w:val="Plain Text"/>
    <w:basedOn w:val="Standard"/>
    <w:link w:val="NurTextZchn"/>
    <w:uiPriority w:val="99"/>
    <w:semiHidden/>
    <w:unhideWhenUsed/>
    <w:rsid w:val="00880B0B"/>
    <w:pPr>
      <w:spacing w:after="0" w:line="240" w:lineRule="auto"/>
    </w:pPr>
    <w:rPr>
      <w:rFonts w:eastAsiaTheme="minorHAnsi" w:cstheme="minorBidi"/>
      <w:szCs w:val="21"/>
      <w:lang w:val="en-US"/>
    </w:rPr>
  </w:style>
  <w:style w:type="character" w:customStyle="1" w:styleId="NurTextZchn">
    <w:name w:val="Nur Text Zchn"/>
    <w:basedOn w:val="Absatz-Standardschriftart"/>
    <w:link w:val="NurText"/>
    <w:uiPriority w:val="99"/>
    <w:semiHidden/>
    <w:rsid w:val="00880B0B"/>
    <w:rPr>
      <w:rFonts w:eastAsiaTheme="minorHAnsi" w:cstheme="minorBidi"/>
      <w:sz w:val="22"/>
      <w:szCs w:val="21"/>
      <w:lang w:val="en-US"/>
    </w:rPr>
  </w:style>
  <w:style w:type="paragraph" w:customStyle="1" w:styleId="Title2">
    <w:name w:val="Title2"/>
    <w:basedOn w:val="Standard"/>
    <w:rsid w:val="00827F6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val="de-DE"/>
    </w:rPr>
  </w:style>
  <w:style w:type="paragraph" w:styleId="berschrift1">
    <w:name w:val="heading 1"/>
    <w:basedOn w:val="Standard"/>
    <w:link w:val="berschrift1Zchn"/>
    <w:uiPriority w:val="9"/>
    <w:qFormat/>
    <w:rsid w:val="003E758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ghlight">
    <w:name w:val="highlight"/>
    <w:rsid w:val="000735A1"/>
  </w:style>
  <w:style w:type="paragraph" w:styleId="Kopfzeile">
    <w:name w:val="header"/>
    <w:basedOn w:val="Standard"/>
    <w:link w:val="KopfzeileZchn"/>
    <w:uiPriority w:val="99"/>
    <w:unhideWhenUsed/>
    <w:rsid w:val="008F3C99"/>
    <w:pPr>
      <w:tabs>
        <w:tab w:val="center" w:pos="4513"/>
        <w:tab w:val="right" w:pos="9026"/>
      </w:tabs>
    </w:pPr>
  </w:style>
  <w:style w:type="character" w:customStyle="1" w:styleId="KopfzeileZchn">
    <w:name w:val="Kopfzeile Zchn"/>
    <w:link w:val="Kopfzeile"/>
    <w:uiPriority w:val="99"/>
    <w:rsid w:val="008F3C99"/>
    <w:rPr>
      <w:sz w:val="22"/>
      <w:szCs w:val="22"/>
      <w:lang w:eastAsia="en-US"/>
    </w:rPr>
  </w:style>
  <w:style w:type="paragraph" w:styleId="Fuzeile">
    <w:name w:val="footer"/>
    <w:basedOn w:val="Standard"/>
    <w:link w:val="FuzeileZchn"/>
    <w:uiPriority w:val="99"/>
    <w:unhideWhenUsed/>
    <w:rsid w:val="008F3C99"/>
    <w:pPr>
      <w:tabs>
        <w:tab w:val="center" w:pos="4513"/>
        <w:tab w:val="right" w:pos="9026"/>
      </w:tabs>
    </w:pPr>
  </w:style>
  <w:style w:type="character" w:customStyle="1" w:styleId="FuzeileZchn">
    <w:name w:val="Fußzeile Zchn"/>
    <w:link w:val="Fuzeile"/>
    <w:uiPriority w:val="99"/>
    <w:rsid w:val="008F3C99"/>
    <w:rPr>
      <w:sz w:val="22"/>
      <w:szCs w:val="22"/>
      <w:lang w:eastAsia="en-US"/>
    </w:rPr>
  </w:style>
  <w:style w:type="character" w:styleId="Kommentarzeichen">
    <w:name w:val="annotation reference"/>
    <w:uiPriority w:val="99"/>
    <w:semiHidden/>
    <w:unhideWhenUsed/>
    <w:rsid w:val="003B441B"/>
    <w:rPr>
      <w:sz w:val="16"/>
      <w:szCs w:val="16"/>
    </w:rPr>
  </w:style>
  <w:style w:type="paragraph" w:styleId="Kommentartext">
    <w:name w:val="annotation text"/>
    <w:basedOn w:val="Standard"/>
    <w:link w:val="KommentartextZchn"/>
    <w:uiPriority w:val="99"/>
    <w:unhideWhenUsed/>
    <w:rsid w:val="003B441B"/>
    <w:rPr>
      <w:sz w:val="20"/>
      <w:szCs w:val="20"/>
    </w:rPr>
  </w:style>
  <w:style w:type="character" w:customStyle="1" w:styleId="KommentartextZchn">
    <w:name w:val="Kommentartext Zchn"/>
    <w:link w:val="Kommentartext"/>
    <w:uiPriority w:val="99"/>
    <w:semiHidden/>
    <w:rsid w:val="003B441B"/>
    <w:rPr>
      <w:lang w:eastAsia="en-US"/>
    </w:rPr>
  </w:style>
  <w:style w:type="paragraph" w:styleId="Kommentarthema">
    <w:name w:val="annotation subject"/>
    <w:basedOn w:val="Kommentartext"/>
    <w:next w:val="Kommentartext"/>
    <w:link w:val="KommentarthemaZchn"/>
    <w:uiPriority w:val="99"/>
    <w:semiHidden/>
    <w:unhideWhenUsed/>
    <w:rsid w:val="003B441B"/>
    <w:rPr>
      <w:b/>
      <w:bCs/>
    </w:rPr>
  </w:style>
  <w:style w:type="character" w:customStyle="1" w:styleId="KommentarthemaZchn">
    <w:name w:val="Kommentarthema Zchn"/>
    <w:link w:val="Kommentarthema"/>
    <w:uiPriority w:val="99"/>
    <w:semiHidden/>
    <w:rsid w:val="003B441B"/>
    <w:rPr>
      <w:b/>
      <w:bCs/>
      <w:lang w:eastAsia="en-US"/>
    </w:rPr>
  </w:style>
  <w:style w:type="paragraph" w:styleId="Sprechblasentext">
    <w:name w:val="Balloon Text"/>
    <w:basedOn w:val="Standard"/>
    <w:link w:val="SprechblasentextZchn"/>
    <w:uiPriority w:val="99"/>
    <w:semiHidden/>
    <w:unhideWhenUsed/>
    <w:rsid w:val="003B441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441B"/>
    <w:rPr>
      <w:rFonts w:ascii="Tahoma" w:hAnsi="Tahoma" w:cs="Tahoma"/>
      <w:sz w:val="16"/>
      <w:szCs w:val="16"/>
      <w:lang w:eastAsia="en-US"/>
    </w:rPr>
  </w:style>
  <w:style w:type="character" w:customStyle="1" w:styleId="KommentartextZchn1">
    <w:name w:val="Kommentartext Zchn1"/>
    <w:uiPriority w:val="99"/>
    <w:rsid w:val="00542CB1"/>
    <w:rPr>
      <w:sz w:val="20"/>
      <w:szCs w:val="20"/>
      <w:lang w:val="en-GB" w:eastAsia="ar-SA"/>
    </w:rPr>
  </w:style>
  <w:style w:type="character" w:styleId="Hyperlink">
    <w:name w:val="Hyperlink"/>
    <w:uiPriority w:val="99"/>
    <w:semiHidden/>
    <w:unhideWhenUsed/>
    <w:rsid w:val="000F17CB"/>
    <w:rPr>
      <w:color w:val="0000FF"/>
      <w:u w:val="single"/>
    </w:rPr>
  </w:style>
  <w:style w:type="character" w:styleId="Hervorhebung">
    <w:name w:val="Emphasis"/>
    <w:uiPriority w:val="20"/>
    <w:qFormat/>
    <w:rsid w:val="000F17CB"/>
    <w:rPr>
      <w:i/>
      <w:iCs/>
    </w:rPr>
  </w:style>
  <w:style w:type="table" w:styleId="HelleSchattierung">
    <w:name w:val="Light Shading"/>
    <w:basedOn w:val="NormaleTabelle"/>
    <w:uiPriority w:val="60"/>
    <w:rsid w:val="00A44BB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krper">
    <w:name w:val="Body Text"/>
    <w:basedOn w:val="Standard"/>
    <w:link w:val="TextkrperZchn"/>
    <w:rsid w:val="005C7D11"/>
    <w:pPr>
      <w:suppressAutoHyphens/>
      <w:spacing w:after="120" w:line="240" w:lineRule="auto"/>
    </w:pPr>
    <w:rPr>
      <w:rFonts w:ascii="Times New Roman" w:eastAsia="Times New Roman" w:hAnsi="Times New Roman"/>
      <w:sz w:val="20"/>
      <w:szCs w:val="20"/>
    </w:rPr>
  </w:style>
  <w:style w:type="character" w:customStyle="1" w:styleId="TextkrperZchn">
    <w:name w:val="Textkörper Zchn"/>
    <w:link w:val="Textkrper"/>
    <w:rsid w:val="005C7D11"/>
    <w:rPr>
      <w:rFonts w:ascii="Times New Roman" w:eastAsia="Times New Roman" w:hAnsi="Times New Roman"/>
      <w:lang w:eastAsia="en-US"/>
    </w:rPr>
  </w:style>
  <w:style w:type="paragraph" w:styleId="berarbeitung">
    <w:name w:val="Revision"/>
    <w:hidden/>
    <w:uiPriority w:val="99"/>
    <w:semiHidden/>
    <w:rsid w:val="00F850AA"/>
    <w:rPr>
      <w:sz w:val="22"/>
      <w:szCs w:val="22"/>
      <w:lang w:val="de-DE"/>
    </w:rPr>
  </w:style>
  <w:style w:type="paragraph" w:customStyle="1" w:styleId="Title1">
    <w:name w:val="Title1"/>
    <w:basedOn w:val="Standard"/>
    <w:rsid w:val="00F23CD8"/>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Standard"/>
    <w:rsid w:val="00F23CD8"/>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Standard"/>
    <w:rsid w:val="00F23CD8"/>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rsid w:val="00F23CD8"/>
  </w:style>
  <w:style w:type="character" w:styleId="BesuchterHyperlink">
    <w:name w:val="FollowedHyperlink"/>
    <w:uiPriority w:val="99"/>
    <w:semiHidden/>
    <w:unhideWhenUsed/>
    <w:rsid w:val="00F76918"/>
    <w:rPr>
      <w:color w:val="954F72"/>
      <w:u w:val="single"/>
    </w:rPr>
  </w:style>
  <w:style w:type="table" w:styleId="Tabellenraster">
    <w:name w:val="Table Grid"/>
    <w:basedOn w:val="NormaleTabelle"/>
    <w:uiPriority w:val="39"/>
    <w:rsid w:val="006733C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4A49A7"/>
    <w:pPr>
      <w:spacing w:after="0" w:line="240" w:lineRule="auto"/>
    </w:pPr>
    <w:rPr>
      <w:rFonts w:ascii="Times New Roman" w:hAnsi="Times New Roman"/>
      <w:sz w:val="24"/>
      <w:szCs w:val="24"/>
    </w:rPr>
  </w:style>
  <w:style w:type="character" w:customStyle="1" w:styleId="DokumentstrukturZchn">
    <w:name w:val="Dokumentstruktur Zchn"/>
    <w:basedOn w:val="Absatz-Standardschriftart"/>
    <w:link w:val="Dokumentstruktur"/>
    <w:uiPriority w:val="99"/>
    <w:semiHidden/>
    <w:rsid w:val="004A49A7"/>
    <w:rPr>
      <w:rFonts w:ascii="Times New Roman" w:hAnsi="Times New Roman"/>
      <w:sz w:val="24"/>
      <w:szCs w:val="24"/>
      <w:lang w:val="de-DE"/>
    </w:rPr>
  </w:style>
  <w:style w:type="paragraph" w:styleId="Listenabsatz">
    <w:name w:val="List Paragraph"/>
    <w:basedOn w:val="Standard"/>
    <w:uiPriority w:val="34"/>
    <w:qFormat/>
    <w:rsid w:val="00027E7C"/>
    <w:pPr>
      <w:ind w:left="720"/>
      <w:contextualSpacing/>
    </w:pPr>
  </w:style>
  <w:style w:type="character" w:customStyle="1" w:styleId="berschrift1Zchn">
    <w:name w:val="Überschrift 1 Zchn"/>
    <w:basedOn w:val="Absatz-Standardschriftart"/>
    <w:link w:val="berschrift1"/>
    <w:uiPriority w:val="9"/>
    <w:rsid w:val="003E7588"/>
    <w:rPr>
      <w:rFonts w:ascii="Times New Roman" w:eastAsia="Times New Roman" w:hAnsi="Times New Roman"/>
      <w:b/>
      <w:bCs/>
      <w:kern w:val="36"/>
      <w:sz w:val="48"/>
      <w:szCs w:val="48"/>
      <w:lang w:val="de-DE"/>
    </w:rPr>
  </w:style>
  <w:style w:type="paragraph" w:customStyle="1" w:styleId="Titel1">
    <w:name w:val="Titel1"/>
    <w:basedOn w:val="Standard"/>
    <w:rsid w:val="006668B1"/>
    <w:pPr>
      <w:spacing w:before="100" w:beforeAutospacing="1" w:after="100" w:afterAutospacing="1" w:line="240" w:lineRule="auto"/>
    </w:pPr>
    <w:rPr>
      <w:rFonts w:ascii="Times New Roman" w:eastAsia="Times New Roman" w:hAnsi="Times New Roman"/>
      <w:sz w:val="24"/>
      <w:szCs w:val="24"/>
    </w:rPr>
  </w:style>
  <w:style w:type="paragraph" w:styleId="NurText">
    <w:name w:val="Plain Text"/>
    <w:basedOn w:val="Standard"/>
    <w:link w:val="NurTextZchn"/>
    <w:uiPriority w:val="99"/>
    <w:semiHidden/>
    <w:unhideWhenUsed/>
    <w:rsid w:val="00880B0B"/>
    <w:pPr>
      <w:spacing w:after="0" w:line="240" w:lineRule="auto"/>
    </w:pPr>
    <w:rPr>
      <w:rFonts w:eastAsiaTheme="minorHAnsi" w:cstheme="minorBidi"/>
      <w:szCs w:val="21"/>
      <w:lang w:val="en-US"/>
    </w:rPr>
  </w:style>
  <w:style w:type="character" w:customStyle="1" w:styleId="NurTextZchn">
    <w:name w:val="Nur Text Zchn"/>
    <w:basedOn w:val="Absatz-Standardschriftart"/>
    <w:link w:val="NurText"/>
    <w:uiPriority w:val="99"/>
    <w:semiHidden/>
    <w:rsid w:val="00880B0B"/>
    <w:rPr>
      <w:rFonts w:eastAsiaTheme="minorHAnsi" w:cstheme="minorBidi"/>
      <w:sz w:val="22"/>
      <w:szCs w:val="21"/>
      <w:lang w:val="en-US"/>
    </w:rPr>
  </w:style>
  <w:style w:type="paragraph" w:customStyle="1" w:styleId="Title2">
    <w:name w:val="Title2"/>
    <w:basedOn w:val="Standard"/>
    <w:rsid w:val="00827F6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695">
      <w:bodyDiv w:val="1"/>
      <w:marLeft w:val="0"/>
      <w:marRight w:val="0"/>
      <w:marTop w:val="0"/>
      <w:marBottom w:val="0"/>
      <w:divBdr>
        <w:top w:val="none" w:sz="0" w:space="0" w:color="auto"/>
        <w:left w:val="none" w:sz="0" w:space="0" w:color="auto"/>
        <w:bottom w:val="none" w:sz="0" w:space="0" w:color="auto"/>
        <w:right w:val="none" w:sz="0" w:space="0" w:color="auto"/>
      </w:divBdr>
      <w:divsChild>
        <w:div w:id="2086145722">
          <w:marLeft w:val="0"/>
          <w:marRight w:val="0"/>
          <w:marTop w:val="34"/>
          <w:marBottom w:val="34"/>
          <w:divBdr>
            <w:top w:val="none" w:sz="0" w:space="0" w:color="auto"/>
            <w:left w:val="none" w:sz="0" w:space="0" w:color="auto"/>
            <w:bottom w:val="none" w:sz="0" w:space="0" w:color="auto"/>
            <w:right w:val="none" w:sz="0" w:space="0" w:color="auto"/>
          </w:divBdr>
        </w:div>
      </w:divsChild>
    </w:div>
    <w:div w:id="176965211">
      <w:bodyDiv w:val="1"/>
      <w:marLeft w:val="0"/>
      <w:marRight w:val="0"/>
      <w:marTop w:val="0"/>
      <w:marBottom w:val="0"/>
      <w:divBdr>
        <w:top w:val="none" w:sz="0" w:space="0" w:color="auto"/>
        <w:left w:val="none" w:sz="0" w:space="0" w:color="auto"/>
        <w:bottom w:val="none" w:sz="0" w:space="0" w:color="auto"/>
        <w:right w:val="none" w:sz="0" w:space="0" w:color="auto"/>
      </w:divBdr>
      <w:divsChild>
        <w:div w:id="203255269">
          <w:marLeft w:val="0"/>
          <w:marRight w:val="0"/>
          <w:marTop w:val="34"/>
          <w:marBottom w:val="34"/>
          <w:divBdr>
            <w:top w:val="none" w:sz="0" w:space="0" w:color="auto"/>
            <w:left w:val="none" w:sz="0" w:space="0" w:color="auto"/>
            <w:bottom w:val="none" w:sz="0" w:space="0" w:color="auto"/>
            <w:right w:val="none" w:sz="0" w:space="0" w:color="auto"/>
          </w:divBdr>
        </w:div>
      </w:divsChild>
    </w:div>
    <w:div w:id="205603995">
      <w:bodyDiv w:val="1"/>
      <w:marLeft w:val="0"/>
      <w:marRight w:val="0"/>
      <w:marTop w:val="0"/>
      <w:marBottom w:val="0"/>
      <w:divBdr>
        <w:top w:val="none" w:sz="0" w:space="0" w:color="auto"/>
        <w:left w:val="none" w:sz="0" w:space="0" w:color="auto"/>
        <w:bottom w:val="none" w:sz="0" w:space="0" w:color="auto"/>
        <w:right w:val="none" w:sz="0" w:space="0" w:color="auto"/>
      </w:divBdr>
    </w:div>
    <w:div w:id="212084704">
      <w:bodyDiv w:val="1"/>
      <w:marLeft w:val="0"/>
      <w:marRight w:val="0"/>
      <w:marTop w:val="0"/>
      <w:marBottom w:val="0"/>
      <w:divBdr>
        <w:top w:val="none" w:sz="0" w:space="0" w:color="auto"/>
        <w:left w:val="none" w:sz="0" w:space="0" w:color="auto"/>
        <w:bottom w:val="none" w:sz="0" w:space="0" w:color="auto"/>
        <w:right w:val="none" w:sz="0" w:space="0" w:color="auto"/>
      </w:divBdr>
      <w:divsChild>
        <w:div w:id="479419712">
          <w:marLeft w:val="0"/>
          <w:marRight w:val="1"/>
          <w:marTop w:val="0"/>
          <w:marBottom w:val="0"/>
          <w:divBdr>
            <w:top w:val="none" w:sz="0" w:space="0" w:color="auto"/>
            <w:left w:val="none" w:sz="0" w:space="0" w:color="auto"/>
            <w:bottom w:val="none" w:sz="0" w:space="0" w:color="auto"/>
            <w:right w:val="none" w:sz="0" w:space="0" w:color="auto"/>
          </w:divBdr>
          <w:divsChild>
            <w:div w:id="1747454394">
              <w:marLeft w:val="0"/>
              <w:marRight w:val="0"/>
              <w:marTop w:val="0"/>
              <w:marBottom w:val="0"/>
              <w:divBdr>
                <w:top w:val="none" w:sz="0" w:space="0" w:color="auto"/>
                <w:left w:val="none" w:sz="0" w:space="0" w:color="auto"/>
                <w:bottom w:val="none" w:sz="0" w:space="0" w:color="auto"/>
                <w:right w:val="none" w:sz="0" w:space="0" w:color="auto"/>
              </w:divBdr>
              <w:divsChild>
                <w:div w:id="1425564448">
                  <w:marLeft w:val="0"/>
                  <w:marRight w:val="1"/>
                  <w:marTop w:val="0"/>
                  <w:marBottom w:val="0"/>
                  <w:divBdr>
                    <w:top w:val="none" w:sz="0" w:space="0" w:color="auto"/>
                    <w:left w:val="none" w:sz="0" w:space="0" w:color="auto"/>
                    <w:bottom w:val="none" w:sz="0" w:space="0" w:color="auto"/>
                    <w:right w:val="none" w:sz="0" w:space="0" w:color="auto"/>
                  </w:divBdr>
                  <w:divsChild>
                    <w:div w:id="1371490581">
                      <w:marLeft w:val="0"/>
                      <w:marRight w:val="0"/>
                      <w:marTop w:val="0"/>
                      <w:marBottom w:val="0"/>
                      <w:divBdr>
                        <w:top w:val="none" w:sz="0" w:space="0" w:color="auto"/>
                        <w:left w:val="none" w:sz="0" w:space="0" w:color="auto"/>
                        <w:bottom w:val="none" w:sz="0" w:space="0" w:color="auto"/>
                        <w:right w:val="none" w:sz="0" w:space="0" w:color="auto"/>
                      </w:divBdr>
                      <w:divsChild>
                        <w:div w:id="2131196428">
                          <w:marLeft w:val="0"/>
                          <w:marRight w:val="0"/>
                          <w:marTop w:val="0"/>
                          <w:marBottom w:val="0"/>
                          <w:divBdr>
                            <w:top w:val="none" w:sz="0" w:space="0" w:color="auto"/>
                            <w:left w:val="none" w:sz="0" w:space="0" w:color="auto"/>
                            <w:bottom w:val="none" w:sz="0" w:space="0" w:color="auto"/>
                            <w:right w:val="none" w:sz="0" w:space="0" w:color="auto"/>
                          </w:divBdr>
                          <w:divsChild>
                            <w:div w:id="457262402">
                              <w:marLeft w:val="0"/>
                              <w:marRight w:val="0"/>
                              <w:marTop w:val="120"/>
                              <w:marBottom w:val="360"/>
                              <w:divBdr>
                                <w:top w:val="none" w:sz="0" w:space="0" w:color="auto"/>
                                <w:left w:val="none" w:sz="0" w:space="0" w:color="auto"/>
                                <w:bottom w:val="none" w:sz="0" w:space="0" w:color="auto"/>
                                <w:right w:val="none" w:sz="0" w:space="0" w:color="auto"/>
                              </w:divBdr>
                              <w:divsChild>
                                <w:div w:id="204177384">
                                  <w:marLeft w:val="420"/>
                                  <w:marRight w:val="0"/>
                                  <w:marTop w:val="0"/>
                                  <w:marBottom w:val="0"/>
                                  <w:divBdr>
                                    <w:top w:val="none" w:sz="0" w:space="0" w:color="auto"/>
                                    <w:left w:val="none" w:sz="0" w:space="0" w:color="auto"/>
                                    <w:bottom w:val="none" w:sz="0" w:space="0" w:color="auto"/>
                                    <w:right w:val="none" w:sz="0" w:space="0" w:color="auto"/>
                                  </w:divBdr>
                                  <w:divsChild>
                                    <w:div w:id="2728586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514671">
      <w:bodyDiv w:val="1"/>
      <w:marLeft w:val="0"/>
      <w:marRight w:val="0"/>
      <w:marTop w:val="0"/>
      <w:marBottom w:val="0"/>
      <w:divBdr>
        <w:top w:val="none" w:sz="0" w:space="0" w:color="auto"/>
        <w:left w:val="none" w:sz="0" w:space="0" w:color="auto"/>
        <w:bottom w:val="none" w:sz="0" w:space="0" w:color="auto"/>
        <w:right w:val="none" w:sz="0" w:space="0" w:color="auto"/>
      </w:divBdr>
      <w:divsChild>
        <w:div w:id="225461210">
          <w:marLeft w:val="0"/>
          <w:marRight w:val="1"/>
          <w:marTop w:val="0"/>
          <w:marBottom w:val="0"/>
          <w:divBdr>
            <w:top w:val="none" w:sz="0" w:space="0" w:color="auto"/>
            <w:left w:val="none" w:sz="0" w:space="0" w:color="auto"/>
            <w:bottom w:val="none" w:sz="0" w:space="0" w:color="auto"/>
            <w:right w:val="none" w:sz="0" w:space="0" w:color="auto"/>
          </w:divBdr>
          <w:divsChild>
            <w:div w:id="2102723708">
              <w:marLeft w:val="0"/>
              <w:marRight w:val="0"/>
              <w:marTop w:val="0"/>
              <w:marBottom w:val="0"/>
              <w:divBdr>
                <w:top w:val="none" w:sz="0" w:space="0" w:color="auto"/>
                <w:left w:val="none" w:sz="0" w:space="0" w:color="auto"/>
                <w:bottom w:val="none" w:sz="0" w:space="0" w:color="auto"/>
                <w:right w:val="none" w:sz="0" w:space="0" w:color="auto"/>
              </w:divBdr>
              <w:divsChild>
                <w:div w:id="1326588527">
                  <w:marLeft w:val="0"/>
                  <w:marRight w:val="1"/>
                  <w:marTop w:val="0"/>
                  <w:marBottom w:val="0"/>
                  <w:divBdr>
                    <w:top w:val="none" w:sz="0" w:space="0" w:color="auto"/>
                    <w:left w:val="none" w:sz="0" w:space="0" w:color="auto"/>
                    <w:bottom w:val="none" w:sz="0" w:space="0" w:color="auto"/>
                    <w:right w:val="none" w:sz="0" w:space="0" w:color="auto"/>
                  </w:divBdr>
                  <w:divsChild>
                    <w:div w:id="604925675">
                      <w:marLeft w:val="0"/>
                      <w:marRight w:val="0"/>
                      <w:marTop w:val="0"/>
                      <w:marBottom w:val="0"/>
                      <w:divBdr>
                        <w:top w:val="none" w:sz="0" w:space="0" w:color="auto"/>
                        <w:left w:val="none" w:sz="0" w:space="0" w:color="auto"/>
                        <w:bottom w:val="none" w:sz="0" w:space="0" w:color="auto"/>
                        <w:right w:val="none" w:sz="0" w:space="0" w:color="auto"/>
                      </w:divBdr>
                      <w:divsChild>
                        <w:div w:id="1107702708">
                          <w:marLeft w:val="0"/>
                          <w:marRight w:val="0"/>
                          <w:marTop w:val="0"/>
                          <w:marBottom w:val="0"/>
                          <w:divBdr>
                            <w:top w:val="none" w:sz="0" w:space="0" w:color="auto"/>
                            <w:left w:val="none" w:sz="0" w:space="0" w:color="auto"/>
                            <w:bottom w:val="none" w:sz="0" w:space="0" w:color="auto"/>
                            <w:right w:val="none" w:sz="0" w:space="0" w:color="auto"/>
                          </w:divBdr>
                          <w:divsChild>
                            <w:div w:id="1527451360">
                              <w:marLeft w:val="0"/>
                              <w:marRight w:val="0"/>
                              <w:marTop w:val="120"/>
                              <w:marBottom w:val="360"/>
                              <w:divBdr>
                                <w:top w:val="none" w:sz="0" w:space="0" w:color="auto"/>
                                <w:left w:val="none" w:sz="0" w:space="0" w:color="auto"/>
                                <w:bottom w:val="none" w:sz="0" w:space="0" w:color="auto"/>
                                <w:right w:val="none" w:sz="0" w:space="0" w:color="auto"/>
                              </w:divBdr>
                              <w:divsChild>
                                <w:div w:id="1085565505">
                                  <w:marLeft w:val="420"/>
                                  <w:marRight w:val="0"/>
                                  <w:marTop w:val="0"/>
                                  <w:marBottom w:val="0"/>
                                  <w:divBdr>
                                    <w:top w:val="none" w:sz="0" w:space="0" w:color="auto"/>
                                    <w:left w:val="none" w:sz="0" w:space="0" w:color="auto"/>
                                    <w:bottom w:val="none" w:sz="0" w:space="0" w:color="auto"/>
                                    <w:right w:val="none" w:sz="0" w:space="0" w:color="auto"/>
                                  </w:divBdr>
                                  <w:divsChild>
                                    <w:div w:id="4718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042749">
      <w:bodyDiv w:val="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0"/>
          <w:marRight w:val="1"/>
          <w:marTop w:val="0"/>
          <w:marBottom w:val="0"/>
          <w:divBdr>
            <w:top w:val="none" w:sz="0" w:space="0" w:color="auto"/>
            <w:left w:val="none" w:sz="0" w:space="0" w:color="auto"/>
            <w:bottom w:val="none" w:sz="0" w:space="0" w:color="auto"/>
            <w:right w:val="none" w:sz="0" w:space="0" w:color="auto"/>
          </w:divBdr>
          <w:divsChild>
            <w:div w:id="1287470620">
              <w:marLeft w:val="0"/>
              <w:marRight w:val="0"/>
              <w:marTop w:val="0"/>
              <w:marBottom w:val="0"/>
              <w:divBdr>
                <w:top w:val="none" w:sz="0" w:space="0" w:color="auto"/>
                <w:left w:val="none" w:sz="0" w:space="0" w:color="auto"/>
                <w:bottom w:val="none" w:sz="0" w:space="0" w:color="auto"/>
                <w:right w:val="none" w:sz="0" w:space="0" w:color="auto"/>
              </w:divBdr>
              <w:divsChild>
                <w:div w:id="1899629591">
                  <w:marLeft w:val="0"/>
                  <w:marRight w:val="1"/>
                  <w:marTop w:val="0"/>
                  <w:marBottom w:val="0"/>
                  <w:divBdr>
                    <w:top w:val="none" w:sz="0" w:space="0" w:color="auto"/>
                    <w:left w:val="none" w:sz="0" w:space="0" w:color="auto"/>
                    <w:bottom w:val="none" w:sz="0" w:space="0" w:color="auto"/>
                    <w:right w:val="none" w:sz="0" w:space="0" w:color="auto"/>
                  </w:divBdr>
                  <w:divsChild>
                    <w:div w:id="204412212">
                      <w:marLeft w:val="0"/>
                      <w:marRight w:val="0"/>
                      <w:marTop w:val="0"/>
                      <w:marBottom w:val="0"/>
                      <w:divBdr>
                        <w:top w:val="none" w:sz="0" w:space="0" w:color="auto"/>
                        <w:left w:val="none" w:sz="0" w:space="0" w:color="auto"/>
                        <w:bottom w:val="none" w:sz="0" w:space="0" w:color="auto"/>
                        <w:right w:val="none" w:sz="0" w:space="0" w:color="auto"/>
                      </w:divBdr>
                      <w:divsChild>
                        <w:div w:id="200240843">
                          <w:marLeft w:val="0"/>
                          <w:marRight w:val="0"/>
                          <w:marTop w:val="0"/>
                          <w:marBottom w:val="0"/>
                          <w:divBdr>
                            <w:top w:val="none" w:sz="0" w:space="0" w:color="auto"/>
                            <w:left w:val="none" w:sz="0" w:space="0" w:color="auto"/>
                            <w:bottom w:val="none" w:sz="0" w:space="0" w:color="auto"/>
                            <w:right w:val="none" w:sz="0" w:space="0" w:color="auto"/>
                          </w:divBdr>
                          <w:divsChild>
                            <w:div w:id="627050760">
                              <w:marLeft w:val="0"/>
                              <w:marRight w:val="0"/>
                              <w:marTop w:val="120"/>
                              <w:marBottom w:val="360"/>
                              <w:divBdr>
                                <w:top w:val="none" w:sz="0" w:space="0" w:color="auto"/>
                                <w:left w:val="none" w:sz="0" w:space="0" w:color="auto"/>
                                <w:bottom w:val="none" w:sz="0" w:space="0" w:color="auto"/>
                                <w:right w:val="none" w:sz="0" w:space="0" w:color="auto"/>
                              </w:divBdr>
                              <w:divsChild>
                                <w:div w:id="150827310">
                                  <w:marLeft w:val="420"/>
                                  <w:marRight w:val="0"/>
                                  <w:marTop w:val="0"/>
                                  <w:marBottom w:val="0"/>
                                  <w:divBdr>
                                    <w:top w:val="none" w:sz="0" w:space="0" w:color="auto"/>
                                    <w:left w:val="none" w:sz="0" w:space="0" w:color="auto"/>
                                    <w:bottom w:val="none" w:sz="0" w:space="0" w:color="auto"/>
                                    <w:right w:val="none" w:sz="0" w:space="0" w:color="auto"/>
                                  </w:divBdr>
                                  <w:divsChild>
                                    <w:div w:id="6997454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578492">
      <w:bodyDiv w:val="1"/>
      <w:marLeft w:val="0"/>
      <w:marRight w:val="0"/>
      <w:marTop w:val="0"/>
      <w:marBottom w:val="0"/>
      <w:divBdr>
        <w:top w:val="none" w:sz="0" w:space="0" w:color="auto"/>
        <w:left w:val="none" w:sz="0" w:space="0" w:color="auto"/>
        <w:bottom w:val="none" w:sz="0" w:space="0" w:color="auto"/>
        <w:right w:val="none" w:sz="0" w:space="0" w:color="auto"/>
      </w:divBdr>
    </w:div>
    <w:div w:id="394816488">
      <w:bodyDiv w:val="1"/>
      <w:marLeft w:val="0"/>
      <w:marRight w:val="0"/>
      <w:marTop w:val="0"/>
      <w:marBottom w:val="0"/>
      <w:divBdr>
        <w:top w:val="none" w:sz="0" w:space="0" w:color="auto"/>
        <w:left w:val="none" w:sz="0" w:space="0" w:color="auto"/>
        <w:bottom w:val="none" w:sz="0" w:space="0" w:color="auto"/>
        <w:right w:val="none" w:sz="0" w:space="0" w:color="auto"/>
      </w:divBdr>
      <w:divsChild>
        <w:div w:id="578828422">
          <w:marLeft w:val="0"/>
          <w:marRight w:val="1"/>
          <w:marTop w:val="0"/>
          <w:marBottom w:val="0"/>
          <w:divBdr>
            <w:top w:val="none" w:sz="0" w:space="0" w:color="auto"/>
            <w:left w:val="none" w:sz="0" w:space="0" w:color="auto"/>
            <w:bottom w:val="none" w:sz="0" w:space="0" w:color="auto"/>
            <w:right w:val="none" w:sz="0" w:space="0" w:color="auto"/>
          </w:divBdr>
          <w:divsChild>
            <w:div w:id="1022560681">
              <w:marLeft w:val="0"/>
              <w:marRight w:val="0"/>
              <w:marTop w:val="0"/>
              <w:marBottom w:val="0"/>
              <w:divBdr>
                <w:top w:val="none" w:sz="0" w:space="0" w:color="auto"/>
                <w:left w:val="none" w:sz="0" w:space="0" w:color="auto"/>
                <w:bottom w:val="none" w:sz="0" w:space="0" w:color="auto"/>
                <w:right w:val="none" w:sz="0" w:space="0" w:color="auto"/>
              </w:divBdr>
              <w:divsChild>
                <w:div w:id="886723258">
                  <w:marLeft w:val="0"/>
                  <w:marRight w:val="1"/>
                  <w:marTop w:val="0"/>
                  <w:marBottom w:val="0"/>
                  <w:divBdr>
                    <w:top w:val="none" w:sz="0" w:space="0" w:color="auto"/>
                    <w:left w:val="none" w:sz="0" w:space="0" w:color="auto"/>
                    <w:bottom w:val="none" w:sz="0" w:space="0" w:color="auto"/>
                    <w:right w:val="none" w:sz="0" w:space="0" w:color="auto"/>
                  </w:divBdr>
                  <w:divsChild>
                    <w:div w:id="674769794">
                      <w:marLeft w:val="0"/>
                      <w:marRight w:val="0"/>
                      <w:marTop w:val="0"/>
                      <w:marBottom w:val="0"/>
                      <w:divBdr>
                        <w:top w:val="none" w:sz="0" w:space="0" w:color="auto"/>
                        <w:left w:val="none" w:sz="0" w:space="0" w:color="auto"/>
                        <w:bottom w:val="none" w:sz="0" w:space="0" w:color="auto"/>
                        <w:right w:val="none" w:sz="0" w:space="0" w:color="auto"/>
                      </w:divBdr>
                      <w:divsChild>
                        <w:div w:id="1302928660">
                          <w:marLeft w:val="0"/>
                          <w:marRight w:val="0"/>
                          <w:marTop w:val="0"/>
                          <w:marBottom w:val="0"/>
                          <w:divBdr>
                            <w:top w:val="none" w:sz="0" w:space="0" w:color="auto"/>
                            <w:left w:val="none" w:sz="0" w:space="0" w:color="auto"/>
                            <w:bottom w:val="none" w:sz="0" w:space="0" w:color="auto"/>
                            <w:right w:val="none" w:sz="0" w:space="0" w:color="auto"/>
                          </w:divBdr>
                          <w:divsChild>
                            <w:div w:id="1451557653">
                              <w:marLeft w:val="0"/>
                              <w:marRight w:val="0"/>
                              <w:marTop w:val="120"/>
                              <w:marBottom w:val="360"/>
                              <w:divBdr>
                                <w:top w:val="none" w:sz="0" w:space="0" w:color="auto"/>
                                <w:left w:val="none" w:sz="0" w:space="0" w:color="auto"/>
                                <w:bottom w:val="none" w:sz="0" w:space="0" w:color="auto"/>
                                <w:right w:val="none" w:sz="0" w:space="0" w:color="auto"/>
                              </w:divBdr>
                              <w:divsChild>
                                <w:div w:id="1939096963">
                                  <w:marLeft w:val="420"/>
                                  <w:marRight w:val="0"/>
                                  <w:marTop w:val="0"/>
                                  <w:marBottom w:val="0"/>
                                  <w:divBdr>
                                    <w:top w:val="none" w:sz="0" w:space="0" w:color="auto"/>
                                    <w:left w:val="none" w:sz="0" w:space="0" w:color="auto"/>
                                    <w:bottom w:val="none" w:sz="0" w:space="0" w:color="auto"/>
                                    <w:right w:val="none" w:sz="0" w:space="0" w:color="auto"/>
                                  </w:divBdr>
                                  <w:divsChild>
                                    <w:div w:id="44670311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5620">
      <w:bodyDiv w:val="1"/>
      <w:marLeft w:val="0"/>
      <w:marRight w:val="0"/>
      <w:marTop w:val="0"/>
      <w:marBottom w:val="0"/>
      <w:divBdr>
        <w:top w:val="none" w:sz="0" w:space="0" w:color="auto"/>
        <w:left w:val="none" w:sz="0" w:space="0" w:color="auto"/>
        <w:bottom w:val="none" w:sz="0" w:space="0" w:color="auto"/>
        <w:right w:val="none" w:sz="0" w:space="0" w:color="auto"/>
      </w:divBdr>
      <w:divsChild>
        <w:div w:id="1543788878">
          <w:marLeft w:val="0"/>
          <w:marRight w:val="1"/>
          <w:marTop w:val="0"/>
          <w:marBottom w:val="0"/>
          <w:divBdr>
            <w:top w:val="none" w:sz="0" w:space="0" w:color="auto"/>
            <w:left w:val="none" w:sz="0" w:space="0" w:color="auto"/>
            <w:bottom w:val="none" w:sz="0" w:space="0" w:color="auto"/>
            <w:right w:val="none" w:sz="0" w:space="0" w:color="auto"/>
          </w:divBdr>
          <w:divsChild>
            <w:div w:id="213586124">
              <w:marLeft w:val="0"/>
              <w:marRight w:val="0"/>
              <w:marTop w:val="0"/>
              <w:marBottom w:val="0"/>
              <w:divBdr>
                <w:top w:val="none" w:sz="0" w:space="0" w:color="auto"/>
                <w:left w:val="none" w:sz="0" w:space="0" w:color="auto"/>
                <w:bottom w:val="none" w:sz="0" w:space="0" w:color="auto"/>
                <w:right w:val="none" w:sz="0" w:space="0" w:color="auto"/>
              </w:divBdr>
              <w:divsChild>
                <w:div w:id="843472926">
                  <w:marLeft w:val="0"/>
                  <w:marRight w:val="1"/>
                  <w:marTop w:val="0"/>
                  <w:marBottom w:val="0"/>
                  <w:divBdr>
                    <w:top w:val="none" w:sz="0" w:space="0" w:color="auto"/>
                    <w:left w:val="none" w:sz="0" w:space="0" w:color="auto"/>
                    <w:bottom w:val="none" w:sz="0" w:space="0" w:color="auto"/>
                    <w:right w:val="none" w:sz="0" w:space="0" w:color="auto"/>
                  </w:divBdr>
                  <w:divsChild>
                    <w:div w:id="1081219408">
                      <w:marLeft w:val="0"/>
                      <w:marRight w:val="0"/>
                      <w:marTop w:val="0"/>
                      <w:marBottom w:val="0"/>
                      <w:divBdr>
                        <w:top w:val="none" w:sz="0" w:space="0" w:color="auto"/>
                        <w:left w:val="none" w:sz="0" w:space="0" w:color="auto"/>
                        <w:bottom w:val="none" w:sz="0" w:space="0" w:color="auto"/>
                        <w:right w:val="none" w:sz="0" w:space="0" w:color="auto"/>
                      </w:divBdr>
                      <w:divsChild>
                        <w:div w:id="1130437816">
                          <w:marLeft w:val="0"/>
                          <w:marRight w:val="0"/>
                          <w:marTop w:val="0"/>
                          <w:marBottom w:val="0"/>
                          <w:divBdr>
                            <w:top w:val="none" w:sz="0" w:space="0" w:color="auto"/>
                            <w:left w:val="none" w:sz="0" w:space="0" w:color="auto"/>
                            <w:bottom w:val="none" w:sz="0" w:space="0" w:color="auto"/>
                            <w:right w:val="none" w:sz="0" w:space="0" w:color="auto"/>
                          </w:divBdr>
                          <w:divsChild>
                            <w:div w:id="1513448343">
                              <w:marLeft w:val="0"/>
                              <w:marRight w:val="0"/>
                              <w:marTop w:val="120"/>
                              <w:marBottom w:val="360"/>
                              <w:divBdr>
                                <w:top w:val="none" w:sz="0" w:space="0" w:color="auto"/>
                                <w:left w:val="none" w:sz="0" w:space="0" w:color="auto"/>
                                <w:bottom w:val="none" w:sz="0" w:space="0" w:color="auto"/>
                                <w:right w:val="none" w:sz="0" w:space="0" w:color="auto"/>
                              </w:divBdr>
                              <w:divsChild>
                                <w:div w:id="373164011">
                                  <w:marLeft w:val="420"/>
                                  <w:marRight w:val="0"/>
                                  <w:marTop w:val="0"/>
                                  <w:marBottom w:val="0"/>
                                  <w:divBdr>
                                    <w:top w:val="none" w:sz="0" w:space="0" w:color="auto"/>
                                    <w:left w:val="none" w:sz="0" w:space="0" w:color="auto"/>
                                    <w:bottom w:val="none" w:sz="0" w:space="0" w:color="auto"/>
                                    <w:right w:val="none" w:sz="0" w:space="0" w:color="auto"/>
                                  </w:divBdr>
                                  <w:divsChild>
                                    <w:div w:id="5175481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22307">
      <w:bodyDiv w:val="1"/>
      <w:marLeft w:val="0"/>
      <w:marRight w:val="0"/>
      <w:marTop w:val="0"/>
      <w:marBottom w:val="0"/>
      <w:divBdr>
        <w:top w:val="none" w:sz="0" w:space="0" w:color="auto"/>
        <w:left w:val="none" w:sz="0" w:space="0" w:color="auto"/>
        <w:bottom w:val="none" w:sz="0" w:space="0" w:color="auto"/>
        <w:right w:val="none" w:sz="0" w:space="0" w:color="auto"/>
      </w:divBdr>
      <w:divsChild>
        <w:div w:id="1418744395">
          <w:marLeft w:val="0"/>
          <w:marRight w:val="0"/>
          <w:marTop w:val="34"/>
          <w:marBottom w:val="34"/>
          <w:divBdr>
            <w:top w:val="none" w:sz="0" w:space="0" w:color="auto"/>
            <w:left w:val="none" w:sz="0" w:space="0" w:color="auto"/>
            <w:bottom w:val="none" w:sz="0" w:space="0" w:color="auto"/>
            <w:right w:val="none" w:sz="0" w:space="0" w:color="auto"/>
          </w:divBdr>
        </w:div>
      </w:divsChild>
    </w:div>
    <w:div w:id="505245768">
      <w:bodyDiv w:val="1"/>
      <w:marLeft w:val="0"/>
      <w:marRight w:val="0"/>
      <w:marTop w:val="0"/>
      <w:marBottom w:val="0"/>
      <w:divBdr>
        <w:top w:val="none" w:sz="0" w:space="0" w:color="auto"/>
        <w:left w:val="none" w:sz="0" w:space="0" w:color="auto"/>
        <w:bottom w:val="none" w:sz="0" w:space="0" w:color="auto"/>
        <w:right w:val="none" w:sz="0" w:space="0" w:color="auto"/>
      </w:divBdr>
      <w:divsChild>
        <w:div w:id="589461323">
          <w:marLeft w:val="0"/>
          <w:marRight w:val="0"/>
          <w:marTop w:val="34"/>
          <w:marBottom w:val="34"/>
          <w:divBdr>
            <w:top w:val="none" w:sz="0" w:space="0" w:color="auto"/>
            <w:left w:val="none" w:sz="0" w:space="0" w:color="auto"/>
            <w:bottom w:val="none" w:sz="0" w:space="0" w:color="auto"/>
            <w:right w:val="none" w:sz="0" w:space="0" w:color="auto"/>
          </w:divBdr>
        </w:div>
      </w:divsChild>
    </w:div>
    <w:div w:id="507868531">
      <w:bodyDiv w:val="1"/>
      <w:marLeft w:val="0"/>
      <w:marRight w:val="0"/>
      <w:marTop w:val="0"/>
      <w:marBottom w:val="0"/>
      <w:divBdr>
        <w:top w:val="none" w:sz="0" w:space="0" w:color="auto"/>
        <w:left w:val="none" w:sz="0" w:space="0" w:color="auto"/>
        <w:bottom w:val="none" w:sz="0" w:space="0" w:color="auto"/>
        <w:right w:val="none" w:sz="0" w:space="0" w:color="auto"/>
      </w:divBdr>
      <w:divsChild>
        <w:div w:id="1265265592">
          <w:marLeft w:val="0"/>
          <w:marRight w:val="0"/>
          <w:marTop w:val="34"/>
          <w:marBottom w:val="34"/>
          <w:divBdr>
            <w:top w:val="none" w:sz="0" w:space="0" w:color="auto"/>
            <w:left w:val="none" w:sz="0" w:space="0" w:color="auto"/>
            <w:bottom w:val="none" w:sz="0" w:space="0" w:color="auto"/>
            <w:right w:val="none" w:sz="0" w:space="0" w:color="auto"/>
          </w:divBdr>
        </w:div>
      </w:divsChild>
    </w:div>
    <w:div w:id="611329148">
      <w:bodyDiv w:val="1"/>
      <w:marLeft w:val="0"/>
      <w:marRight w:val="0"/>
      <w:marTop w:val="0"/>
      <w:marBottom w:val="0"/>
      <w:divBdr>
        <w:top w:val="none" w:sz="0" w:space="0" w:color="auto"/>
        <w:left w:val="none" w:sz="0" w:space="0" w:color="auto"/>
        <w:bottom w:val="none" w:sz="0" w:space="0" w:color="auto"/>
        <w:right w:val="none" w:sz="0" w:space="0" w:color="auto"/>
      </w:divBdr>
    </w:div>
    <w:div w:id="627932176">
      <w:bodyDiv w:val="1"/>
      <w:marLeft w:val="0"/>
      <w:marRight w:val="0"/>
      <w:marTop w:val="0"/>
      <w:marBottom w:val="0"/>
      <w:divBdr>
        <w:top w:val="none" w:sz="0" w:space="0" w:color="auto"/>
        <w:left w:val="none" w:sz="0" w:space="0" w:color="auto"/>
        <w:bottom w:val="none" w:sz="0" w:space="0" w:color="auto"/>
        <w:right w:val="none" w:sz="0" w:space="0" w:color="auto"/>
      </w:divBdr>
      <w:divsChild>
        <w:div w:id="599916652">
          <w:marLeft w:val="0"/>
          <w:marRight w:val="1"/>
          <w:marTop w:val="0"/>
          <w:marBottom w:val="0"/>
          <w:divBdr>
            <w:top w:val="none" w:sz="0" w:space="0" w:color="auto"/>
            <w:left w:val="none" w:sz="0" w:space="0" w:color="auto"/>
            <w:bottom w:val="none" w:sz="0" w:space="0" w:color="auto"/>
            <w:right w:val="none" w:sz="0" w:space="0" w:color="auto"/>
          </w:divBdr>
          <w:divsChild>
            <w:div w:id="1214734187">
              <w:marLeft w:val="0"/>
              <w:marRight w:val="0"/>
              <w:marTop w:val="0"/>
              <w:marBottom w:val="0"/>
              <w:divBdr>
                <w:top w:val="none" w:sz="0" w:space="0" w:color="auto"/>
                <w:left w:val="none" w:sz="0" w:space="0" w:color="auto"/>
                <w:bottom w:val="none" w:sz="0" w:space="0" w:color="auto"/>
                <w:right w:val="none" w:sz="0" w:space="0" w:color="auto"/>
              </w:divBdr>
              <w:divsChild>
                <w:div w:id="659191925">
                  <w:marLeft w:val="0"/>
                  <w:marRight w:val="1"/>
                  <w:marTop w:val="0"/>
                  <w:marBottom w:val="0"/>
                  <w:divBdr>
                    <w:top w:val="none" w:sz="0" w:space="0" w:color="auto"/>
                    <w:left w:val="none" w:sz="0" w:space="0" w:color="auto"/>
                    <w:bottom w:val="none" w:sz="0" w:space="0" w:color="auto"/>
                    <w:right w:val="none" w:sz="0" w:space="0" w:color="auto"/>
                  </w:divBdr>
                  <w:divsChild>
                    <w:div w:id="1071152444">
                      <w:marLeft w:val="0"/>
                      <w:marRight w:val="0"/>
                      <w:marTop w:val="0"/>
                      <w:marBottom w:val="0"/>
                      <w:divBdr>
                        <w:top w:val="none" w:sz="0" w:space="0" w:color="auto"/>
                        <w:left w:val="none" w:sz="0" w:space="0" w:color="auto"/>
                        <w:bottom w:val="none" w:sz="0" w:space="0" w:color="auto"/>
                        <w:right w:val="none" w:sz="0" w:space="0" w:color="auto"/>
                      </w:divBdr>
                      <w:divsChild>
                        <w:div w:id="666054844">
                          <w:marLeft w:val="0"/>
                          <w:marRight w:val="0"/>
                          <w:marTop w:val="0"/>
                          <w:marBottom w:val="0"/>
                          <w:divBdr>
                            <w:top w:val="none" w:sz="0" w:space="0" w:color="auto"/>
                            <w:left w:val="none" w:sz="0" w:space="0" w:color="auto"/>
                            <w:bottom w:val="none" w:sz="0" w:space="0" w:color="auto"/>
                            <w:right w:val="none" w:sz="0" w:space="0" w:color="auto"/>
                          </w:divBdr>
                          <w:divsChild>
                            <w:div w:id="798765701">
                              <w:marLeft w:val="0"/>
                              <w:marRight w:val="0"/>
                              <w:marTop w:val="120"/>
                              <w:marBottom w:val="360"/>
                              <w:divBdr>
                                <w:top w:val="none" w:sz="0" w:space="0" w:color="auto"/>
                                <w:left w:val="none" w:sz="0" w:space="0" w:color="auto"/>
                                <w:bottom w:val="none" w:sz="0" w:space="0" w:color="auto"/>
                                <w:right w:val="none" w:sz="0" w:space="0" w:color="auto"/>
                              </w:divBdr>
                              <w:divsChild>
                                <w:div w:id="236793327">
                                  <w:marLeft w:val="420"/>
                                  <w:marRight w:val="0"/>
                                  <w:marTop w:val="0"/>
                                  <w:marBottom w:val="0"/>
                                  <w:divBdr>
                                    <w:top w:val="none" w:sz="0" w:space="0" w:color="auto"/>
                                    <w:left w:val="none" w:sz="0" w:space="0" w:color="auto"/>
                                    <w:bottom w:val="none" w:sz="0" w:space="0" w:color="auto"/>
                                    <w:right w:val="none" w:sz="0" w:space="0" w:color="auto"/>
                                  </w:divBdr>
                                  <w:divsChild>
                                    <w:div w:id="85114040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704574">
      <w:bodyDiv w:val="1"/>
      <w:marLeft w:val="0"/>
      <w:marRight w:val="0"/>
      <w:marTop w:val="0"/>
      <w:marBottom w:val="0"/>
      <w:divBdr>
        <w:top w:val="none" w:sz="0" w:space="0" w:color="auto"/>
        <w:left w:val="none" w:sz="0" w:space="0" w:color="auto"/>
        <w:bottom w:val="none" w:sz="0" w:space="0" w:color="auto"/>
        <w:right w:val="none" w:sz="0" w:space="0" w:color="auto"/>
      </w:divBdr>
      <w:divsChild>
        <w:div w:id="2031906308">
          <w:marLeft w:val="0"/>
          <w:marRight w:val="1"/>
          <w:marTop w:val="0"/>
          <w:marBottom w:val="0"/>
          <w:divBdr>
            <w:top w:val="none" w:sz="0" w:space="0" w:color="auto"/>
            <w:left w:val="none" w:sz="0" w:space="0" w:color="auto"/>
            <w:bottom w:val="none" w:sz="0" w:space="0" w:color="auto"/>
            <w:right w:val="none" w:sz="0" w:space="0" w:color="auto"/>
          </w:divBdr>
          <w:divsChild>
            <w:div w:id="356389625">
              <w:marLeft w:val="0"/>
              <w:marRight w:val="0"/>
              <w:marTop w:val="0"/>
              <w:marBottom w:val="0"/>
              <w:divBdr>
                <w:top w:val="none" w:sz="0" w:space="0" w:color="auto"/>
                <w:left w:val="none" w:sz="0" w:space="0" w:color="auto"/>
                <w:bottom w:val="none" w:sz="0" w:space="0" w:color="auto"/>
                <w:right w:val="none" w:sz="0" w:space="0" w:color="auto"/>
              </w:divBdr>
              <w:divsChild>
                <w:div w:id="1364557086">
                  <w:marLeft w:val="0"/>
                  <w:marRight w:val="1"/>
                  <w:marTop w:val="0"/>
                  <w:marBottom w:val="0"/>
                  <w:divBdr>
                    <w:top w:val="none" w:sz="0" w:space="0" w:color="auto"/>
                    <w:left w:val="none" w:sz="0" w:space="0" w:color="auto"/>
                    <w:bottom w:val="none" w:sz="0" w:space="0" w:color="auto"/>
                    <w:right w:val="none" w:sz="0" w:space="0" w:color="auto"/>
                  </w:divBdr>
                  <w:divsChild>
                    <w:div w:id="1273980387">
                      <w:marLeft w:val="0"/>
                      <w:marRight w:val="0"/>
                      <w:marTop w:val="0"/>
                      <w:marBottom w:val="0"/>
                      <w:divBdr>
                        <w:top w:val="none" w:sz="0" w:space="0" w:color="auto"/>
                        <w:left w:val="none" w:sz="0" w:space="0" w:color="auto"/>
                        <w:bottom w:val="none" w:sz="0" w:space="0" w:color="auto"/>
                        <w:right w:val="none" w:sz="0" w:space="0" w:color="auto"/>
                      </w:divBdr>
                      <w:divsChild>
                        <w:div w:id="374240676">
                          <w:marLeft w:val="0"/>
                          <w:marRight w:val="0"/>
                          <w:marTop w:val="0"/>
                          <w:marBottom w:val="0"/>
                          <w:divBdr>
                            <w:top w:val="none" w:sz="0" w:space="0" w:color="auto"/>
                            <w:left w:val="none" w:sz="0" w:space="0" w:color="auto"/>
                            <w:bottom w:val="none" w:sz="0" w:space="0" w:color="auto"/>
                            <w:right w:val="none" w:sz="0" w:space="0" w:color="auto"/>
                          </w:divBdr>
                          <w:divsChild>
                            <w:div w:id="1318803319">
                              <w:marLeft w:val="0"/>
                              <w:marRight w:val="0"/>
                              <w:marTop w:val="120"/>
                              <w:marBottom w:val="360"/>
                              <w:divBdr>
                                <w:top w:val="none" w:sz="0" w:space="0" w:color="auto"/>
                                <w:left w:val="none" w:sz="0" w:space="0" w:color="auto"/>
                                <w:bottom w:val="none" w:sz="0" w:space="0" w:color="auto"/>
                                <w:right w:val="none" w:sz="0" w:space="0" w:color="auto"/>
                              </w:divBdr>
                              <w:divsChild>
                                <w:div w:id="1748066680">
                                  <w:marLeft w:val="420"/>
                                  <w:marRight w:val="0"/>
                                  <w:marTop w:val="0"/>
                                  <w:marBottom w:val="0"/>
                                  <w:divBdr>
                                    <w:top w:val="none" w:sz="0" w:space="0" w:color="auto"/>
                                    <w:left w:val="none" w:sz="0" w:space="0" w:color="auto"/>
                                    <w:bottom w:val="none" w:sz="0" w:space="0" w:color="auto"/>
                                    <w:right w:val="none" w:sz="0" w:space="0" w:color="auto"/>
                                  </w:divBdr>
                                  <w:divsChild>
                                    <w:div w:id="5811361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2085">
      <w:bodyDiv w:val="1"/>
      <w:marLeft w:val="0"/>
      <w:marRight w:val="0"/>
      <w:marTop w:val="0"/>
      <w:marBottom w:val="0"/>
      <w:divBdr>
        <w:top w:val="none" w:sz="0" w:space="0" w:color="auto"/>
        <w:left w:val="none" w:sz="0" w:space="0" w:color="auto"/>
        <w:bottom w:val="none" w:sz="0" w:space="0" w:color="auto"/>
        <w:right w:val="none" w:sz="0" w:space="0" w:color="auto"/>
      </w:divBdr>
      <w:divsChild>
        <w:div w:id="527373157">
          <w:marLeft w:val="0"/>
          <w:marRight w:val="0"/>
          <w:marTop w:val="34"/>
          <w:marBottom w:val="34"/>
          <w:divBdr>
            <w:top w:val="none" w:sz="0" w:space="0" w:color="auto"/>
            <w:left w:val="none" w:sz="0" w:space="0" w:color="auto"/>
            <w:bottom w:val="none" w:sz="0" w:space="0" w:color="auto"/>
            <w:right w:val="none" w:sz="0" w:space="0" w:color="auto"/>
          </w:divBdr>
        </w:div>
      </w:divsChild>
    </w:div>
    <w:div w:id="792135247">
      <w:bodyDiv w:val="1"/>
      <w:marLeft w:val="0"/>
      <w:marRight w:val="0"/>
      <w:marTop w:val="0"/>
      <w:marBottom w:val="0"/>
      <w:divBdr>
        <w:top w:val="none" w:sz="0" w:space="0" w:color="auto"/>
        <w:left w:val="none" w:sz="0" w:space="0" w:color="auto"/>
        <w:bottom w:val="none" w:sz="0" w:space="0" w:color="auto"/>
        <w:right w:val="none" w:sz="0" w:space="0" w:color="auto"/>
      </w:divBdr>
      <w:divsChild>
        <w:div w:id="1716731549">
          <w:marLeft w:val="0"/>
          <w:marRight w:val="1"/>
          <w:marTop w:val="0"/>
          <w:marBottom w:val="0"/>
          <w:divBdr>
            <w:top w:val="none" w:sz="0" w:space="0" w:color="auto"/>
            <w:left w:val="none" w:sz="0" w:space="0" w:color="auto"/>
            <w:bottom w:val="none" w:sz="0" w:space="0" w:color="auto"/>
            <w:right w:val="none" w:sz="0" w:space="0" w:color="auto"/>
          </w:divBdr>
          <w:divsChild>
            <w:div w:id="288902989">
              <w:marLeft w:val="0"/>
              <w:marRight w:val="0"/>
              <w:marTop w:val="0"/>
              <w:marBottom w:val="0"/>
              <w:divBdr>
                <w:top w:val="none" w:sz="0" w:space="0" w:color="auto"/>
                <w:left w:val="none" w:sz="0" w:space="0" w:color="auto"/>
                <w:bottom w:val="none" w:sz="0" w:space="0" w:color="auto"/>
                <w:right w:val="none" w:sz="0" w:space="0" w:color="auto"/>
              </w:divBdr>
              <w:divsChild>
                <w:div w:id="1999729886">
                  <w:marLeft w:val="0"/>
                  <w:marRight w:val="1"/>
                  <w:marTop w:val="0"/>
                  <w:marBottom w:val="0"/>
                  <w:divBdr>
                    <w:top w:val="none" w:sz="0" w:space="0" w:color="auto"/>
                    <w:left w:val="none" w:sz="0" w:space="0" w:color="auto"/>
                    <w:bottom w:val="none" w:sz="0" w:space="0" w:color="auto"/>
                    <w:right w:val="none" w:sz="0" w:space="0" w:color="auto"/>
                  </w:divBdr>
                  <w:divsChild>
                    <w:div w:id="1653632724">
                      <w:marLeft w:val="0"/>
                      <w:marRight w:val="0"/>
                      <w:marTop w:val="0"/>
                      <w:marBottom w:val="0"/>
                      <w:divBdr>
                        <w:top w:val="none" w:sz="0" w:space="0" w:color="auto"/>
                        <w:left w:val="none" w:sz="0" w:space="0" w:color="auto"/>
                        <w:bottom w:val="none" w:sz="0" w:space="0" w:color="auto"/>
                        <w:right w:val="none" w:sz="0" w:space="0" w:color="auto"/>
                      </w:divBdr>
                      <w:divsChild>
                        <w:div w:id="326640271">
                          <w:marLeft w:val="0"/>
                          <w:marRight w:val="0"/>
                          <w:marTop w:val="0"/>
                          <w:marBottom w:val="0"/>
                          <w:divBdr>
                            <w:top w:val="none" w:sz="0" w:space="0" w:color="auto"/>
                            <w:left w:val="none" w:sz="0" w:space="0" w:color="auto"/>
                            <w:bottom w:val="none" w:sz="0" w:space="0" w:color="auto"/>
                            <w:right w:val="none" w:sz="0" w:space="0" w:color="auto"/>
                          </w:divBdr>
                          <w:divsChild>
                            <w:div w:id="1285772291">
                              <w:marLeft w:val="0"/>
                              <w:marRight w:val="0"/>
                              <w:marTop w:val="120"/>
                              <w:marBottom w:val="360"/>
                              <w:divBdr>
                                <w:top w:val="none" w:sz="0" w:space="0" w:color="auto"/>
                                <w:left w:val="none" w:sz="0" w:space="0" w:color="auto"/>
                                <w:bottom w:val="none" w:sz="0" w:space="0" w:color="auto"/>
                                <w:right w:val="none" w:sz="0" w:space="0" w:color="auto"/>
                              </w:divBdr>
                              <w:divsChild>
                                <w:div w:id="487211301">
                                  <w:marLeft w:val="0"/>
                                  <w:marRight w:val="0"/>
                                  <w:marTop w:val="0"/>
                                  <w:marBottom w:val="0"/>
                                  <w:divBdr>
                                    <w:top w:val="none" w:sz="0" w:space="0" w:color="auto"/>
                                    <w:left w:val="none" w:sz="0" w:space="0" w:color="auto"/>
                                    <w:bottom w:val="none" w:sz="0" w:space="0" w:color="auto"/>
                                    <w:right w:val="none" w:sz="0" w:space="0" w:color="auto"/>
                                  </w:divBdr>
                                </w:div>
                                <w:div w:id="10121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840747">
      <w:bodyDiv w:val="1"/>
      <w:marLeft w:val="0"/>
      <w:marRight w:val="0"/>
      <w:marTop w:val="0"/>
      <w:marBottom w:val="0"/>
      <w:divBdr>
        <w:top w:val="none" w:sz="0" w:space="0" w:color="auto"/>
        <w:left w:val="none" w:sz="0" w:space="0" w:color="auto"/>
        <w:bottom w:val="none" w:sz="0" w:space="0" w:color="auto"/>
        <w:right w:val="none" w:sz="0" w:space="0" w:color="auto"/>
      </w:divBdr>
      <w:divsChild>
        <w:div w:id="49110768">
          <w:marLeft w:val="0"/>
          <w:marRight w:val="1"/>
          <w:marTop w:val="0"/>
          <w:marBottom w:val="0"/>
          <w:divBdr>
            <w:top w:val="none" w:sz="0" w:space="0" w:color="auto"/>
            <w:left w:val="none" w:sz="0" w:space="0" w:color="auto"/>
            <w:bottom w:val="none" w:sz="0" w:space="0" w:color="auto"/>
            <w:right w:val="none" w:sz="0" w:space="0" w:color="auto"/>
          </w:divBdr>
          <w:divsChild>
            <w:div w:id="194273647">
              <w:marLeft w:val="0"/>
              <w:marRight w:val="0"/>
              <w:marTop w:val="0"/>
              <w:marBottom w:val="0"/>
              <w:divBdr>
                <w:top w:val="none" w:sz="0" w:space="0" w:color="auto"/>
                <w:left w:val="none" w:sz="0" w:space="0" w:color="auto"/>
                <w:bottom w:val="none" w:sz="0" w:space="0" w:color="auto"/>
                <w:right w:val="none" w:sz="0" w:space="0" w:color="auto"/>
              </w:divBdr>
              <w:divsChild>
                <w:div w:id="1663774560">
                  <w:marLeft w:val="0"/>
                  <w:marRight w:val="1"/>
                  <w:marTop w:val="0"/>
                  <w:marBottom w:val="0"/>
                  <w:divBdr>
                    <w:top w:val="none" w:sz="0" w:space="0" w:color="auto"/>
                    <w:left w:val="none" w:sz="0" w:space="0" w:color="auto"/>
                    <w:bottom w:val="none" w:sz="0" w:space="0" w:color="auto"/>
                    <w:right w:val="none" w:sz="0" w:space="0" w:color="auto"/>
                  </w:divBdr>
                  <w:divsChild>
                    <w:div w:id="1467429397">
                      <w:marLeft w:val="0"/>
                      <w:marRight w:val="0"/>
                      <w:marTop w:val="0"/>
                      <w:marBottom w:val="0"/>
                      <w:divBdr>
                        <w:top w:val="none" w:sz="0" w:space="0" w:color="auto"/>
                        <w:left w:val="none" w:sz="0" w:space="0" w:color="auto"/>
                        <w:bottom w:val="none" w:sz="0" w:space="0" w:color="auto"/>
                        <w:right w:val="none" w:sz="0" w:space="0" w:color="auto"/>
                      </w:divBdr>
                      <w:divsChild>
                        <w:div w:id="863589978">
                          <w:marLeft w:val="0"/>
                          <w:marRight w:val="0"/>
                          <w:marTop w:val="0"/>
                          <w:marBottom w:val="0"/>
                          <w:divBdr>
                            <w:top w:val="none" w:sz="0" w:space="0" w:color="auto"/>
                            <w:left w:val="none" w:sz="0" w:space="0" w:color="auto"/>
                            <w:bottom w:val="none" w:sz="0" w:space="0" w:color="auto"/>
                            <w:right w:val="none" w:sz="0" w:space="0" w:color="auto"/>
                          </w:divBdr>
                          <w:divsChild>
                            <w:div w:id="1500655978">
                              <w:marLeft w:val="0"/>
                              <w:marRight w:val="0"/>
                              <w:marTop w:val="120"/>
                              <w:marBottom w:val="360"/>
                              <w:divBdr>
                                <w:top w:val="none" w:sz="0" w:space="0" w:color="auto"/>
                                <w:left w:val="none" w:sz="0" w:space="0" w:color="auto"/>
                                <w:bottom w:val="none" w:sz="0" w:space="0" w:color="auto"/>
                                <w:right w:val="none" w:sz="0" w:space="0" w:color="auto"/>
                              </w:divBdr>
                              <w:divsChild>
                                <w:div w:id="1551724371">
                                  <w:marLeft w:val="420"/>
                                  <w:marRight w:val="0"/>
                                  <w:marTop w:val="0"/>
                                  <w:marBottom w:val="0"/>
                                  <w:divBdr>
                                    <w:top w:val="none" w:sz="0" w:space="0" w:color="auto"/>
                                    <w:left w:val="none" w:sz="0" w:space="0" w:color="auto"/>
                                    <w:bottom w:val="none" w:sz="0" w:space="0" w:color="auto"/>
                                    <w:right w:val="none" w:sz="0" w:space="0" w:color="auto"/>
                                  </w:divBdr>
                                  <w:divsChild>
                                    <w:div w:id="8268275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40092">
      <w:bodyDiv w:val="1"/>
      <w:marLeft w:val="0"/>
      <w:marRight w:val="0"/>
      <w:marTop w:val="0"/>
      <w:marBottom w:val="0"/>
      <w:divBdr>
        <w:top w:val="none" w:sz="0" w:space="0" w:color="auto"/>
        <w:left w:val="none" w:sz="0" w:space="0" w:color="auto"/>
        <w:bottom w:val="none" w:sz="0" w:space="0" w:color="auto"/>
        <w:right w:val="none" w:sz="0" w:space="0" w:color="auto"/>
      </w:divBdr>
      <w:divsChild>
        <w:div w:id="1908566288">
          <w:marLeft w:val="0"/>
          <w:marRight w:val="1"/>
          <w:marTop w:val="0"/>
          <w:marBottom w:val="0"/>
          <w:divBdr>
            <w:top w:val="none" w:sz="0" w:space="0" w:color="auto"/>
            <w:left w:val="none" w:sz="0" w:space="0" w:color="auto"/>
            <w:bottom w:val="none" w:sz="0" w:space="0" w:color="auto"/>
            <w:right w:val="none" w:sz="0" w:space="0" w:color="auto"/>
          </w:divBdr>
          <w:divsChild>
            <w:div w:id="728379678">
              <w:marLeft w:val="0"/>
              <w:marRight w:val="0"/>
              <w:marTop w:val="0"/>
              <w:marBottom w:val="0"/>
              <w:divBdr>
                <w:top w:val="none" w:sz="0" w:space="0" w:color="auto"/>
                <w:left w:val="none" w:sz="0" w:space="0" w:color="auto"/>
                <w:bottom w:val="none" w:sz="0" w:space="0" w:color="auto"/>
                <w:right w:val="none" w:sz="0" w:space="0" w:color="auto"/>
              </w:divBdr>
              <w:divsChild>
                <w:div w:id="991445311">
                  <w:marLeft w:val="0"/>
                  <w:marRight w:val="1"/>
                  <w:marTop w:val="0"/>
                  <w:marBottom w:val="0"/>
                  <w:divBdr>
                    <w:top w:val="none" w:sz="0" w:space="0" w:color="auto"/>
                    <w:left w:val="none" w:sz="0" w:space="0" w:color="auto"/>
                    <w:bottom w:val="none" w:sz="0" w:space="0" w:color="auto"/>
                    <w:right w:val="none" w:sz="0" w:space="0" w:color="auto"/>
                  </w:divBdr>
                  <w:divsChild>
                    <w:div w:id="1614895041">
                      <w:marLeft w:val="0"/>
                      <w:marRight w:val="0"/>
                      <w:marTop w:val="0"/>
                      <w:marBottom w:val="0"/>
                      <w:divBdr>
                        <w:top w:val="none" w:sz="0" w:space="0" w:color="auto"/>
                        <w:left w:val="none" w:sz="0" w:space="0" w:color="auto"/>
                        <w:bottom w:val="none" w:sz="0" w:space="0" w:color="auto"/>
                        <w:right w:val="none" w:sz="0" w:space="0" w:color="auto"/>
                      </w:divBdr>
                      <w:divsChild>
                        <w:div w:id="712970100">
                          <w:marLeft w:val="0"/>
                          <w:marRight w:val="0"/>
                          <w:marTop w:val="0"/>
                          <w:marBottom w:val="0"/>
                          <w:divBdr>
                            <w:top w:val="none" w:sz="0" w:space="0" w:color="auto"/>
                            <w:left w:val="none" w:sz="0" w:space="0" w:color="auto"/>
                            <w:bottom w:val="none" w:sz="0" w:space="0" w:color="auto"/>
                            <w:right w:val="none" w:sz="0" w:space="0" w:color="auto"/>
                          </w:divBdr>
                          <w:divsChild>
                            <w:div w:id="76289734">
                              <w:marLeft w:val="0"/>
                              <w:marRight w:val="0"/>
                              <w:marTop w:val="120"/>
                              <w:marBottom w:val="360"/>
                              <w:divBdr>
                                <w:top w:val="none" w:sz="0" w:space="0" w:color="auto"/>
                                <w:left w:val="none" w:sz="0" w:space="0" w:color="auto"/>
                                <w:bottom w:val="none" w:sz="0" w:space="0" w:color="auto"/>
                                <w:right w:val="none" w:sz="0" w:space="0" w:color="auto"/>
                              </w:divBdr>
                              <w:divsChild>
                                <w:div w:id="523205657">
                                  <w:marLeft w:val="420"/>
                                  <w:marRight w:val="0"/>
                                  <w:marTop w:val="0"/>
                                  <w:marBottom w:val="0"/>
                                  <w:divBdr>
                                    <w:top w:val="none" w:sz="0" w:space="0" w:color="auto"/>
                                    <w:left w:val="none" w:sz="0" w:space="0" w:color="auto"/>
                                    <w:bottom w:val="none" w:sz="0" w:space="0" w:color="auto"/>
                                    <w:right w:val="none" w:sz="0" w:space="0" w:color="auto"/>
                                  </w:divBdr>
                                  <w:divsChild>
                                    <w:div w:id="16600379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070449">
      <w:bodyDiv w:val="1"/>
      <w:marLeft w:val="0"/>
      <w:marRight w:val="0"/>
      <w:marTop w:val="0"/>
      <w:marBottom w:val="0"/>
      <w:divBdr>
        <w:top w:val="none" w:sz="0" w:space="0" w:color="auto"/>
        <w:left w:val="none" w:sz="0" w:space="0" w:color="auto"/>
        <w:bottom w:val="none" w:sz="0" w:space="0" w:color="auto"/>
        <w:right w:val="none" w:sz="0" w:space="0" w:color="auto"/>
      </w:divBdr>
    </w:div>
    <w:div w:id="888759361">
      <w:bodyDiv w:val="1"/>
      <w:marLeft w:val="0"/>
      <w:marRight w:val="0"/>
      <w:marTop w:val="0"/>
      <w:marBottom w:val="0"/>
      <w:divBdr>
        <w:top w:val="none" w:sz="0" w:space="0" w:color="auto"/>
        <w:left w:val="none" w:sz="0" w:space="0" w:color="auto"/>
        <w:bottom w:val="none" w:sz="0" w:space="0" w:color="auto"/>
        <w:right w:val="none" w:sz="0" w:space="0" w:color="auto"/>
      </w:divBdr>
    </w:div>
    <w:div w:id="908883679">
      <w:bodyDiv w:val="1"/>
      <w:marLeft w:val="0"/>
      <w:marRight w:val="0"/>
      <w:marTop w:val="0"/>
      <w:marBottom w:val="0"/>
      <w:divBdr>
        <w:top w:val="none" w:sz="0" w:space="0" w:color="auto"/>
        <w:left w:val="none" w:sz="0" w:space="0" w:color="auto"/>
        <w:bottom w:val="none" w:sz="0" w:space="0" w:color="auto"/>
        <w:right w:val="none" w:sz="0" w:space="0" w:color="auto"/>
      </w:divBdr>
    </w:div>
    <w:div w:id="926234029">
      <w:bodyDiv w:val="1"/>
      <w:marLeft w:val="0"/>
      <w:marRight w:val="0"/>
      <w:marTop w:val="0"/>
      <w:marBottom w:val="0"/>
      <w:divBdr>
        <w:top w:val="none" w:sz="0" w:space="0" w:color="auto"/>
        <w:left w:val="none" w:sz="0" w:space="0" w:color="auto"/>
        <w:bottom w:val="none" w:sz="0" w:space="0" w:color="auto"/>
        <w:right w:val="none" w:sz="0" w:space="0" w:color="auto"/>
      </w:divBdr>
    </w:div>
    <w:div w:id="926382406">
      <w:bodyDiv w:val="1"/>
      <w:marLeft w:val="0"/>
      <w:marRight w:val="0"/>
      <w:marTop w:val="0"/>
      <w:marBottom w:val="0"/>
      <w:divBdr>
        <w:top w:val="none" w:sz="0" w:space="0" w:color="auto"/>
        <w:left w:val="none" w:sz="0" w:space="0" w:color="auto"/>
        <w:bottom w:val="none" w:sz="0" w:space="0" w:color="auto"/>
        <w:right w:val="none" w:sz="0" w:space="0" w:color="auto"/>
      </w:divBdr>
      <w:divsChild>
        <w:div w:id="894852337">
          <w:marLeft w:val="0"/>
          <w:marRight w:val="0"/>
          <w:marTop w:val="34"/>
          <w:marBottom w:val="34"/>
          <w:divBdr>
            <w:top w:val="none" w:sz="0" w:space="0" w:color="auto"/>
            <w:left w:val="none" w:sz="0" w:space="0" w:color="auto"/>
            <w:bottom w:val="none" w:sz="0" w:space="0" w:color="auto"/>
            <w:right w:val="none" w:sz="0" w:space="0" w:color="auto"/>
          </w:divBdr>
        </w:div>
      </w:divsChild>
    </w:div>
    <w:div w:id="1033964344">
      <w:bodyDiv w:val="1"/>
      <w:marLeft w:val="0"/>
      <w:marRight w:val="0"/>
      <w:marTop w:val="0"/>
      <w:marBottom w:val="0"/>
      <w:divBdr>
        <w:top w:val="none" w:sz="0" w:space="0" w:color="auto"/>
        <w:left w:val="none" w:sz="0" w:space="0" w:color="auto"/>
        <w:bottom w:val="none" w:sz="0" w:space="0" w:color="auto"/>
        <w:right w:val="none" w:sz="0" w:space="0" w:color="auto"/>
      </w:divBdr>
      <w:divsChild>
        <w:div w:id="497110690">
          <w:marLeft w:val="0"/>
          <w:marRight w:val="1"/>
          <w:marTop w:val="0"/>
          <w:marBottom w:val="0"/>
          <w:divBdr>
            <w:top w:val="none" w:sz="0" w:space="0" w:color="auto"/>
            <w:left w:val="none" w:sz="0" w:space="0" w:color="auto"/>
            <w:bottom w:val="none" w:sz="0" w:space="0" w:color="auto"/>
            <w:right w:val="none" w:sz="0" w:space="0" w:color="auto"/>
          </w:divBdr>
          <w:divsChild>
            <w:div w:id="2127236621">
              <w:marLeft w:val="0"/>
              <w:marRight w:val="0"/>
              <w:marTop w:val="0"/>
              <w:marBottom w:val="0"/>
              <w:divBdr>
                <w:top w:val="none" w:sz="0" w:space="0" w:color="auto"/>
                <w:left w:val="none" w:sz="0" w:space="0" w:color="auto"/>
                <w:bottom w:val="none" w:sz="0" w:space="0" w:color="auto"/>
                <w:right w:val="none" w:sz="0" w:space="0" w:color="auto"/>
              </w:divBdr>
              <w:divsChild>
                <w:div w:id="1889487163">
                  <w:marLeft w:val="0"/>
                  <w:marRight w:val="1"/>
                  <w:marTop w:val="0"/>
                  <w:marBottom w:val="0"/>
                  <w:divBdr>
                    <w:top w:val="none" w:sz="0" w:space="0" w:color="auto"/>
                    <w:left w:val="none" w:sz="0" w:space="0" w:color="auto"/>
                    <w:bottom w:val="none" w:sz="0" w:space="0" w:color="auto"/>
                    <w:right w:val="none" w:sz="0" w:space="0" w:color="auto"/>
                  </w:divBdr>
                  <w:divsChild>
                    <w:div w:id="1204055781">
                      <w:marLeft w:val="0"/>
                      <w:marRight w:val="0"/>
                      <w:marTop w:val="0"/>
                      <w:marBottom w:val="0"/>
                      <w:divBdr>
                        <w:top w:val="none" w:sz="0" w:space="0" w:color="auto"/>
                        <w:left w:val="none" w:sz="0" w:space="0" w:color="auto"/>
                        <w:bottom w:val="none" w:sz="0" w:space="0" w:color="auto"/>
                        <w:right w:val="none" w:sz="0" w:space="0" w:color="auto"/>
                      </w:divBdr>
                      <w:divsChild>
                        <w:div w:id="1241911572">
                          <w:marLeft w:val="0"/>
                          <w:marRight w:val="0"/>
                          <w:marTop w:val="0"/>
                          <w:marBottom w:val="0"/>
                          <w:divBdr>
                            <w:top w:val="none" w:sz="0" w:space="0" w:color="auto"/>
                            <w:left w:val="none" w:sz="0" w:space="0" w:color="auto"/>
                            <w:bottom w:val="none" w:sz="0" w:space="0" w:color="auto"/>
                            <w:right w:val="none" w:sz="0" w:space="0" w:color="auto"/>
                          </w:divBdr>
                          <w:divsChild>
                            <w:div w:id="1332639741">
                              <w:marLeft w:val="0"/>
                              <w:marRight w:val="0"/>
                              <w:marTop w:val="120"/>
                              <w:marBottom w:val="360"/>
                              <w:divBdr>
                                <w:top w:val="none" w:sz="0" w:space="0" w:color="auto"/>
                                <w:left w:val="none" w:sz="0" w:space="0" w:color="auto"/>
                                <w:bottom w:val="none" w:sz="0" w:space="0" w:color="auto"/>
                                <w:right w:val="none" w:sz="0" w:space="0" w:color="auto"/>
                              </w:divBdr>
                              <w:divsChild>
                                <w:div w:id="1616982755">
                                  <w:marLeft w:val="420"/>
                                  <w:marRight w:val="0"/>
                                  <w:marTop w:val="0"/>
                                  <w:marBottom w:val="0"/>
                                  <w:divBdr>
                                    <w:top w:val="none" w:sz="0" w:space="0" w:color="auto"/>
                                    <w:left w:val="none" w:sz="0" w:space="0" w:color="auto"/>
                                    <w:bottom w:val="none" w:sz="0" w:space="0" w:color="auto"/>
                                    <w:right w:val="none" w:sz="0" w:space="0" w:color="auto"/>
                                  </w:divBdr>
                                  <w:divsChild>
                                    <w:div w:id="782164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8508">
      <w:bodyDiv w:val="1"/>
      <w:marLeft w:val="0"/>
      <w:marRight w:val="0"/>
      <w:marTop w:val="0"/>
      <w:marBottom w:val="0"/>
      <w:divBdr>
        <w:top w:val="none" w:sz="0" w:space="0" w:color="auto"/>
        <w:left w:val="none" w:sz="0" w:space="0" w:color="auto"/>
        <w:bottom w:val="none" w:sz="0" w:space="0" w:color="auto"/>
        <w:right w:val="none" w:sz="0" w:space="0" w:color="auto"/>
      </w:divBdr>
      <w:divsChild>
        <w:div w:id="14624062">
          <w:marLeft w:val="0"/>
          <w:marRight w:val="1"/>
          <w:marTop w:val="0"/>
          <w:marBottom w:val="0"/>
          <w:divBdr>
            <w:top w:val="none" w:sz="0" w:space="0" w:color="auto"/>
            <w:left w:val="none" w:sz="0" w:space="0" w:color="auto"/>
            <w:bottom w:val="none" w:sz="0" w:space="0" w:color="auto"/>
            <w:right w:val="none" w:sz="0" w:space="0" w:color="auto"/>
          </w:divBdr>
          <w:divsChild>
            <w:div w:id="1371538622">
              <w:marLeft w:val="0"/>
              <w:marRight w:val="0"/>
              <w:marTop w:val="0"/>
              <w:marBottom w:val="0"/>
              <w:divBdr>
                <w:top w:val="none" w:sz="0" w:space="0" w:color="auto"/>
                <w:left w:val="none" w:sz="0" w:space="0" w:color="auto"/>
                <w:bottom w:val="none" w:sz="0" w:space="0" w:color="auto"/>
                <w:right w:val="none" w:sz="0" w:space="0" w:color="auto"/>
              </w:divBdr>
              <w:divsChild>
                <w:div w:id="66462948">
                  <w:marLeft w:val="0"/>
                  <w:marRight w:val="1"/>
                  <w:marTop w:val="0"/>
                  <w:marBottom w:val="0"/>
                  <w:divBdr>
                    <w:top w:val="none" w:sz="0" w:space="0" w:color="auto"/>
                    <w:left w:val="none" w:sz="0" w:space="0" w:color="auto"/>
                    <w:bottom w:val="none" w:sz="0" w:space="0" w:color="auto"/>
                    <w:right w:val="none" w:sz="0" w:space="0" w:color="auto"/>
                  </w:divBdr>
                  <w:divsChild>
                    <w:div w:id="449470094">
                      <w:marLeft w:val="0"/>
                      <w:marRight w:val="0"/>
                      <w:marTop w:val="0"/>
                      <w:marBottom w:val="0"/>
                      <w:divBdr>
                        <w:top w:val="none" w:sz="0" w:space="0" w:color="auto"/>
                        <w:left w:val="none" w:sz="0" w:space="0" w:color="auto"/>
                        <w:bottom w:val="none" w:sz="0" w:space="0" w:color="auto"/>
                        <w:right w:val="none" w:sz="0" w:space="0" w:color="auto"/>
                      </w:divBdr>
                      <w:divsChild>
                        <w:div w:id="1812820440">
                          <w:marLeft w:val="0"/>
                          <w:marRight w:val="0"/>
                          <w:marTop w:val="0"/>
                          <w:marBottom w:val="0"/>
                          <w:divBdr>
                            <w:top w:val="none" w:sz="0" w:space="0" w:color="auto"/>
                            <w:left w:val="none" w:sz="0" w:space="0" w:color="auto"/>
                            <w:bottom w:val="none" w:sz="0" w:space="0" w:color="auto"/>
                            <w:right w:val="none" w:sz="0" w:space="0" w:color="auto"/>
                          </w:divBdr>
                          <w:divsChild>
                            <w:div w:id="802769698">
                              <w:marLeft w:val="0"/>
                              <w:marRight w:val="0"/>
                              <w:marTop w:val="120"/>
                              <w:marBottom w:val="360"/>
                              <w:divBdr>
                                <w:top w:val="none" w:sz="0" w:space="0" w:color="auto"/>
                                <w:left w:val="none" w:sz="0" w:space="0" w:color="auto"/>
                                <w:bottom w:val="none" w:sz="0" w:space="0" w:color="auto"/>
                                <w:right w:val="none" w:sz="0" w:space="0" w:color="auto"/>
                              </w:divBdr>
                              <w:divsChild>
                                <w:div w:id="140853591">
                                  <w:marLeft w:val="420"/>
                                  <w:marRight w:val="0"/>
                                  <w:marTop w:val="0"/>
                                  <w:marBottom w:val="0"/>
                                  <w:divBdr>
                                    <w:top w:val="none" w:sz="0" w:space="0" w:color="auto"/>
                                    <w:left w:val="none" w:sz="0" w:space="0" w:color="auto"/>
                                    <w:bottom w:val="none" w:sz="0" w:space="0" w:color="auto"/>
                                    <w:right w:val="none" w:sz="0" w:space="0" w:color="auto"/>
                                  </w:divBdr>
                                  <w:divsChild>
                                    <w:div w:id="1462866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68437">
      <w:bodyDiv w:val="1"/>
      <w:marLeft w:val="0"/>
      <w:marRight w:val="0"/>
      <w:marTop w:val="0"/>
      <w:marBottom w:val="0"/>
      <w:divBdr>
        <w:top w:val="none" w:sz="0" w:space="0" w:color="auto"/>
        <w:left w:val="none" w:sz="0" w:space="0" w:color="auto"/>
        <w:bottom w:val="none" w:sz="0" w:space="0" w:color="auto"/>
        <w:right w:val="none" w:sz="0" w:space="0" w:color="auto"/>
      </w:divBdr>
      <w:divsChild>
        <w:div w:id="1497961442">
          <w:marLeft w:val="0"/>
          <w:marRight w:val="0"/>
          <w:marTop w:val="34"/>
          <w:marBottom w:val="34"/>
          <w:divBdr>
            <w:top w:val="none" w:sz="0" w:space="0" w:color="auto"/>
            <w:left w:val="none" w:sz="0" w:space="0" w:color="auto"/>
            <w:bottom w:val="none" w:sz="0" w:space="0" w:color="auto"/>
            <w:right w:val="none" w:sz="0" w:space="0" w:color="auto"/>
          </w:divBdr>
        </w:div>
      </w:divsChild>
    </w:div>
    <w:div w:id="1271204392">
      <w:bodyDiv w:val="1"/>
      <w:marLeft w:val="0"/>
      <w:marRight w:val="0"/>
      <w:marTop w:val="0"/>
      <w:marBottom w:val="0"/>
      <w:divBdr>
        <w:top w:val="none" w:sz="0" w:space="0" w:color="auto"/>
        <w:left w:val="none" w:sz="0" w:space="0" w:color="auto"/>
        <w:bottom w:val="none" w:sz="0" w:space="0" w:color="auto"/>
        <w:right w:val="none" w:sz="0" w:space="0" w:color="auto"/>
      </w:divBdr>
      <w:divsChild>
        <w:div w:id="94518135">
          <w:marLeft w:val="0"/>
          <w:marRight w:val="1"/>
          <w:marTop w:val="0"/>
          <w:marBottom w:val="0"/>
          <w:divBdr>
            <w:top w:val="none" w:sz="0" w:space="0" w:color="auto"/>
            <w:left w:val="none" w:sz="0" w:space="0" w:color="auto"/>
            <w:bottom w:val="none" w:sz="0" w:space="0" w:color="auto"/>
            <w:right w:val="none" w:sz="0" w:space="0" w:color="auto"/>
          </w:divBdr>
          <w:divsChild>
            <w:div w:id="760491151">
              <w:marLeft w:val="0"/>
              <w:marRight w:val="0"/>
              <w:marTop w:val="0"/>
              <w:marBottom w:val="0"/>
              <w:divBdr>
                <w:top w:val="none" w:sz="0" w:space="0" w:color="auto"/>
                <w:left w:val="none" w:sz="0" w:space="0" w:color="auto"/>
                <w:bottom w:val="none" w:sz="0" w:space="0" w:color="auto"/>
                <w:right w:val="none" w:sz="0" w:space="0" w:color="auto"/>
              </w:divBdr>
              <w:divsChild>
                <w:div w:id="757679036">
                  <w:marLeft w:val="0"/>
                  <w:marRight w:val="1"/>
                  <w:marTop w:val="0"/>
                  <w:marBottom w:val="0"/>
                  <w:divBdr>
                    <w:top w:val="none" w:sz="0" w:space="0" w:color="auto"/>
                    <w:left w:val="none" w:sz="0" w:space="0" w:color="auto"/>
                    <w:bottom w:val="none" w:sz="0" w:space="0" w:color="auto"/>
                    <w:right w:val="none" w:sz="0" w:space="0" w:color="auto"/>
                  </w:divBdr>
                  <w:divsChild>
                    <w:div w:id="1396198697">
                      <w:marLeft w:val="0"/>
                      <w:marRight w:val="0"/>
                      <w:marTop w:val="0"/>
                      <w:marBottom w:val="0"/>
                      <w:divBdr>
                        <w:top w:val="none" w:sz="0" w:space="0" w:color="auto"/>
                        <w:left w:val="none" w:sz="0" w:space="0" w:color="auto"/>
                        <w:bottom w:val="none" w:sz="0" w:space="0" w:color="auto"/>
                        <w:right w:val="none" w:sz="0" w:space="0" w:color="auto"/>
                      </w:divBdr>
                      <w:divsChild>
                        <w:div w:id="1676765427">
                          <w:marLeft w:val="0"/>
                          <w:marRight w:val="0"/>
                          <w:marTop w:val="0"/>
                          <w:marBottom w:val="0"/>
                          <w:divBdr>
                            <w:top w:val="none" w:sz="0" w:space="0" w:color="auto"/>
                            <w:left w:val="none" w:sz="0" w:space="0" w:color="auto"/>
                            <w:bottom w:val="none" w:sz="0" w:space="0" w:color="auto"/>
                            <w:right w:val="none" w:sz="0" w:space="0" w:color="auto"/>
                          </w:divBdr>
                          <w:divsChild>
                            <w:div w:id="1728412119">
                              <w:marLeft w:val="0"/>
                              <w:marRight w:val="0"/>
                              <w:marTop w:val="120"/>
                              <w:marBottom w:val="360"/>
                              <w:divBdr>
                                <w:top w:val="none" w:sz="0" w:space="0" w:color="auto"/>
                                <w:left w:val="none" w:sz="0" w:space="0" w:color="auto"/>
                                <w:bottom w:val="none" w:sz="0" w:space="0" w:color="auto"/>
                                <w:right w:val="none" w:sz="0" w:space="0" w:color="auto"/>
                              </w:divBdr>
                              <w:divsChild>
                                <w:div w:id="1683241233">
                                  <w:marLeft w:val="420"/>
                                  <w:marRight w:val="0"/>
                                  <w:marTop w:val="0"/>
                                  <w:marBottom w:val="0"/>
                                  <w:divBdr>
                                    <w:top w:val="none" w:sz="0" w:space="0" w:color="auto"/>
                                    <w:left w:val="none" w:sz="0" w:space="0" w:color="auto"/>
                                    <w:bottom w:val="none" w:sz="0" w:space="0" w:color="auto"/>
                                    <w:right w:val="none" w:sz="0" w:space="0" w:color="auto"/>
                                  </w:divBdr>
                                  <w:divsChild>
                                    <w:div w:id="9551341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374563">
      <w:bodyDiv w:val="1"/>
      <w:marLeft w:val="0"/>
      <w:marRight w:val="0"/>
      <w:marTop w:val="0"/>
      <w:marBottom w:val="0"/>
      <w:divBdr>
        <w:top w:val="none" w:sz="0" w:space="0" w:color="auto"/>
        <w:left w:val="none" w:sz="0" w:space="0" w:color="auto"/>
        <w:bottom w:val="none" w:sz="0" w:space="0" w:color="auto"/>
        <w:right w:val="none" w:sz="0" w:space="0" w:color="auto"/>
      </w:divBdr>
      <w:divsChild>
        <w:div w:id="1173032399">
          <w:marLeft w:val="0"/>
          <w:marRight w:val="0"/>
          <w:marTop w:val="34"/>
          <w:marBottom w:val="34"/>
          <w:divBdr>
            <w:top w:val="none" w:sz="0" w:space="0" w:color="auto"/>
            <w:left w:val="none" w:sz="0" w:space="0" w:color="auto"/>
            <w:bottom w:val="none" w:sz="0" w:space="0" w:color="auto"/>
            <w:right w:val="none" w:sz="0" w:space="0" w:color="auto"/>
          </w:divBdr>
        </w:div>
      </w:divsChild>
    </w:div>
    <w:div w:id="1388796160">
      <w:bodyDiv w:val="1"/>
      <w:marLeft w:val="0"/>
      <w:marRight w:val="0"/>
      <w:marTop w:val="0"/>
      <w:marBottom w:val="0"/>
      <w:divBdr>
        <w:top w:val="none" w:sz="0" w:space="0" w:color="auto"/>
        <w:left w:val="none" w:sz="0" w:space="0" w:color="auto"/>
        <w:bottom w:val="none" w:sz="0" w:space="0" w:color="auto"/>
        <w:right w:val="none" w:sz="0" w:space="0" w:color="auto"/>
      </w:divBdr>
    </w:div>
    <w:div w:id="1392077213">
      <w:bodyDiv w:val="1"/>
      <w:marLeft w:val="0"/>
      <w:marRight w:val="0"/>
      <w:marTop w:val="0"/>
      <w:marBottom w:val="0"/>
      <w:divBdr>
        <w:top w:val="none" w:sz="0" w:space="0" w:color="auto"/>
        <w:left w:val="none" w:sz="0" w:space="0" w:color="auto"/>
        <w:bottom w:val="none" w:sz="0" w:space="0" w:color="auto"/>
        <w:right w:val="none" w:sz="0" w:space="0" w:color="auto"/>
      </w:divBdr>
    </w:div>
    <w:div w:id="1438138429">
      <w:bodyDiv w:val="1"/>
      <w:marLeft w:val="0"/>
      <w:marRight w:val="0"/>
      <w:marTop w:val="0"/>
      <w:marBottom w:val="0"/>
      <w:divBdr>
        <w:top w:val="none" w:sz="0" w:space="0" w:color="auto"/>
        <w:left w:val="none" w:sz="0" w:space="0" w:color="auto"/>
        <w:bottom w:val="none" w:sz="0" w:space="0" w:color="auto"/>
        <w:right w:val="none" w:sz="0" w:space="0" w:color="auto"/>
      </w:divBdr>
      <w:divsChild>
        <w:div w:id="1252543349">
          <w:marLeft w:val="0"/>
          <w:marRight w:val="1"/>
          <w:marTop w:val="0"/>
          <w:marBottom w:val="0"/>
          <w:divBdr>
            <w:top w:val="none" w:sz="0" w:space="0" w:color="auto"/>
            <w:left w:val="none" w:sz="0" w:space="0" w:color="auto"/>
            <w:bottom w:val="none" w:sz="0" w:space="0" w:color="auto"/>
            <w:right w:val="none" w:sz="0" w:space="0" w:color="auto"/>
          </w:divBdr>
          <w:divsChild>
            <w:div w:id="569080769">
              <w:marLeft w:val="0"/>
              <w:marRight w:val="0"/>
              <w:marTop w:val="0"/>
              <w:marBottom w:val="0"/>
              <w:divBdr>
                <w:top w:val="none" w:sz="0" w:space="0" w:color="auto"/>
                <w:left w:val="none" w:sz="0" w:space="0" w:color="auto"/>
                <w:bottom w:val="none" w:sz="0" w:space="0" w:color="auto"/>
                <w:right w:val="none" w:sz="0" w:space="0" w:color="auto"/>
              </w:divBdr>
              <w:divsChild>
                <w:div w:id="636183219">
                  <w:marLeft w:val="0"/>
                  <w:marRight w:val="1"/>
                  <w:marTop w:val="0"/>
                  <w:marBottom w:val="0"/>
                  <w:divBdr>
                    <w:top w:val="none" w:sz="0" w:space="0" w:color="auto"/>
                    <w:left w:val="none" w:sz="0" w:space="0" w:color="auto"/>
                    <w:bottom w:val="none" w:sz="0" w:space="0" w:color="auto"/>
                    <w:right w:val="none" w:sz="0" w:space="0" w:color="auto"/>
                  </w:divBdr>
                  <w:divsChild>
                    <w:div w:id="1577977977">
                      <w:marLeft w:val="0"/>
                      <w:marRight w:val="0"/>
                      <w:marTop w:val="0"/>
                      <w:marBottom w:val="0"/>
                      <w:divBdr>
                        <w:top w:val="none" w:sz="0" w:space="0" w:color="auto"/>
                        <w:left w:val="none" w:sz="0" w:space="0" w:color="auto"/>
                        <w:bottom w:val="none" w:sz="0" w:space="0" w:color="auto"/>
                        <w:right w:val="none" w:sz="0" w:space="0" w:color="auto"/>
                      </w:divBdr>
                      <w:divsChild>
                        <w:div w:id="1202941312">
                          <w:marLeft w:val="0"/>
                          <w:marRight w:val="0"/>
                          <w:marTop w:val="0"/>
                          <w:marBottom w:val="0"/>
                          <w:divBdr>
                            <w:top w:val="none" w:sz="0" w:space="0" w:color="auto"/>
                            <w:left w:val="none" w:sz="0" w:space="0" w:color="auto"/>
                            <w:bottom w:val="none" w:sz="0" w:space="0" w:color="auto"/>
                            <w:right w:val="none" w:sz="0" w:space="0" w:color="auto"/>
                          </w:divBdr>
                          <w:divsChild>
                            <w:div w:id="703596513">
                              <w:marLeft w:val="0"/>
                              <w:marRight w:val="0"/>
                              <w:marTop w:val="120"/>
                              <w:marBottom w:val="360"/>
                              <w:divBdr>
                                <w:top w:val="none" w:sz="0" w:space="0" w:color="auto"/>
                                <w:left w:val="none" w:sz="0" w:space="0" w:color="auto"/>
                                <w:bottom w:val="none" w:sz="0" w:space="0" w:color="auto"/>
                                <w:right w:val="none" w:sz="0" w:space="0" w:color="auto"/>
                              </w:divBdr>
                              <w:divsChild>
                                <w:div w:id="1112552573">
                                  <w:marLeft w:val="0"/>
                                  <w:marRight w:val="0"/>
                                  <w:marTop w:val="0"/>
                                  <w:marBottom w:val="0"/>
                                  <w:divBdr>
                                    <w:top w:val="none" w:sz="0" w:space="0" w:color="auto"/>
                                    <w:left w:val="none" w:sz="0" w:space="0" w:color="auto"/>
                                    <w:bottom w:val="none" w:sz="0" w:space="0" w:color="auto"/>
                                    <w:right w:val="none" w:sz="0" w:space="0" w:color="auto"/>
                                  </w:divBdr>
                                </w:div>
                                <w:div w:id="753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417239">
      <w:bodyDiv w:val="1"/>
      <w:marLeft w:val="0"/>
      <w:marRight w:val="0"/>
      <w:marTop w:val="0"/>
      <w:marBottom w:val="0"/>
      <w:divBdr>
        <w:top w:val="none" w:sz="0" w:space="0" w:color="auto"/>
        <w:left w:val="none" w:sz="0" w:space="0" w:color="auto"/>
        <w:bottom w:val="none" w:sz="0" w:space="0" w:color="auto"/>
        <w:right w:val="none" w:sz="0" w:space="0" w:color="auto"/>
      </w:divBdr>
      <w:divsChild>
        <w:div w:id="1715228346">
          <w:marLeft w:val="0"/>
          <w:marRight w:val="1"/>
          <w:marTop w:val="0"/>
          <w:marBottom w:val="0"/>
          <w:divBdr>
            <w:top w:val="none" w:sz="0" w:space="0" w:color="auto"/>
            <w:left w:val="none" w:sz="0" w:space="0" w:color="auto"/>
            <w:bottom w:val="none" w:sz="0" w:space="0" w:color="auto"/>
            <w:right w:val="none" w:sz="0" w:space="0" w:color="auto"/>
          </w:divBdr>
          <w:divsChild>
            <w:div w:id="91704678">
              <w:marLeft w:val="0"/>
              <w:marRight w:val="0"/>
              <w:marTop w:val="0"/>
              <w:marBottom w:val="0"/>
              <w:divBdr>
                <w:top w:val="none" w:sz="0" w:space="0" w:color="auto"/>
                <w:left w:val="none" w:sz="0" w:space="0" w:color="auto"/>
                <w:bottom w:val="none" w:sz="0" w:space="0" w:color="auto"/>
                <w:right w:val="none" w:sz="0" w:space="0" w:color="auto"/>
              </w:divBdr>
              <w:divsChild>
                <w:div w:id="297541190">
                  <w:marLeft w:val="0"/>
                  <w:marRight w:val="1"/>
                  <w:marTop w:val="0"/>
                  <w:marBottom w:val="0"/>
                  <w:divBdr>
                    <w:top w:val="none" w:sz="0" w:space="0" w:color="auto"/>
                    <w:left w:val="none" w:sz="0" w:space="0" w:color="auto"/>
                    <w:bottom w:val="none" w:sz="0" w:space="0" w:color="auto"/>
                    <w:right w:val="none" w:sz="0" w:space="0" w:color="auto"/>
                  </w:divBdr>
                  <w:divsChild>
                    <w:div w:id="1453480006">
                      <w:marLeft w:val="0"/>
                      <w:marRight w:val="0"/>
                      <w:marTop w:val="0"/>
                      <w:marBottom w:val="0"/>
                      <w:divBdr>
                        <w:top w:val="none" w:sz="0" w:space="0" w:color="auto"/>
                        <w:left w:val="none" w:sz="0" w:space="0" w:color="auto"/>
                        <w:bottom w:val="none" w:sz="0" w:space="0" w:color="auto"/>
                        <w:right w:val="none" w:sz="0" w:space="0" w:color="auto"/>
                      </w:divBdr>
                      <w:divsChild>
                        <w:div w:id="290595401">
                          <w:marLeft w:val="0"/>
                          <w:marRight w:val="0"/>
                          <w:marTop w:val="0"/>
                          <w:marBottom w:val="0"/>
                          <w:divBdr>
                            <w:top w:val="none" w:sz="0" w:space="0" w:color="auto"/>
                            <w:left w:val="none" w:sz="0" w:space="0" w:color="auto"/>
                            <w:bottom w:val="none" w:sz="0" w:space="0" w:color="auto"/>
                            <w:right w:val="none" w:sz="0" w:space="0" w:color="auto"/>
                          </w:divBdr>
                          <w:divsChild>
                            <w:div w:id="2075156564">
                              <w:marLeft w:val="0"/>
                              <w:marRight w:val="0"/>
                              <w:marTop w:val="120"/>
                              <w:marBottom w:val="360"/>
                              <w:divBdr>
                                <w:top w:val="none" w:sz="0" w:space="0" w:color="auto"/>
                                <w:left w:val="none" w:sz="0" w:space="0" w:color="auto"/>
                                <w:bottom w:val="none" w:sz="0" w:space="0" w:color="auto"/>
                                <w:right w:val="none" w:sz="0" w:space="0" w:color="auto"/>
                              </w:divBdr>
                              <w:divsChild>
                                <w:div w:id="628901340">
                                  <w:marLeft w:val="0"/>
                                  <w:marRight w:val="0"/>
                                  <w:marTop w:val="0"/>
                                  <w:marBottom w:val="0"/>
                                  <w:divBdr>
                                    <w:top w:val="none" w:sz="0" w:space="0" w:color="auto"/>
                                    <w:left w:val="none" w:sz="0" w:space="0" w:color="auto"/>
                                    <w:bottom w:val="none" w:sz="0" w:space="0" w:color="auto"/>
                                    <w:right w:val="none" w:sz="0" w:space="0" w:color="auto"/>
                                  </w:divBdr>
                                </w:div>
                                <w:div w:id="7549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485485">
      <w:bodyDiv w:val="1"/>
      <w:marLeft w:val="0"/>
      <w:marRight w:val="0"/>
      <w:marTop w:val="0"/>
      <w:marBottom w:val="0"/>
      <w:divBdr>
        <w:top w:val="none" w:sz="0" w:space="0" w:color="auto"/>
        <w:left w:val="none" w:sz="0" w:space="0" w:color="auto"/>
        <w:bottom w:val="none" w:sz="0" w:space="0" w:color="auto"/>
        <w:right w:val="none" w:sz="0" w:space="0" w:color="auto"/>
      </w:divBdr>
      <w:divsChild>
        <w:div w:id="1009866880">
          <w:marLeft w:val="0"/>
          <w:marRight w:val="1"/>
          <w:marTop w:val="0"/>
          <w:marBottom w:val="0"/>
          <w:divBdr>
            <w:top w:val="none" w:sz="0" w:space="0" w:color="auto"/>
            <w:left w:val="none" w:sz="0" w:space="0" w:color="auto"/>
            <w:bottom w:val="none" w:sz="0" w:space="0" w:color="auto"/>
            <w:right w:val="none" w:sz="0" w:space="0" w:color="auto"/>
          </w:divBdr>
          <w:divsChild>
            <w:div w:id="235669676">
              <w:marLeft w:val="0"/>
              <w:marRight w:val="0"/>
              <w:marTop w:val="0"/>
              <w:marBottom w:val="0"/>
              <w:divBdr>
                <w:top w:val="none" w:sz="0" w:space="0" w:color="auto"/>
                <w:left w:val="none" w:sz="0" w:space="0" w:color="auto"/>
                <w:bottom w:val="none" w:sz="0" w:space="0" w:color="auto"/>
                <w:right w:val="none" w:sz="0" w:space="0" w:color="auto"/>
              </w:divBdr>
              <w:divsChild>
                <w:div w:id="503864727">
                  <w:marLeft w:val="0"/>
                  <w:marRight w:val="1"/>
                  <w:marTop w:val="0"/>
                  <w:marBottom w:val="0"/>
                  <w:divBdr>
                    <w:top w:val="none" w:sz="0" w:space="0" w:color="auto"/>
                    <w:left w:val="none" w:sz="0" w:space="0" w:color="auto"/>
                    <w:bottom w:val="none" w:sz="0" w:space="0" w:color="auto"/>
                    <w:right w:val="none" w:sz="0" w:space="0" w:color="auto"/>
                  </w:divBdr>
                  <w:divsChild>
                    <w:div w:id="821655811">
                      <w:marLeft w:val="0"/>
                      <w:marRight w:val="0"/>
                      <w:marTop w:val="0"/>
                      <w:marBottom w:val="0"/>
                      <w:divBdr>
                        <w:top w:val="none" w:sz="0" w:space="0" w:color="auto"/>
                        <w:left w:val="none" w:sz="0" w:space="0" w:color="auto"/>
                        <w:bottom w:val="none" w:sz="0" w:space="0" w:color="auto"/>
                        <w:right w:val="none" w:sz="0" w:space="0" w:color="auto"/>
                      </w:divBdr>
                      <w:divsChild>
                        <w:div w:id="1998416501">
                          <w:marLeft w:val="0"/>
                          <w:marRight w:val="0"/>
                          <w:marTop w:val="0"/>
                          <w:marBottom w:val="0"/>
                          <w:divBdr>
                            <w:top w:val="none" w:sz="0" w:space="0" w:color="auto"/>
                            <w:left w:val="none" w:sz="0" w:space="0" w:color="auto"/>
                            <w:bottom w:val="none" w:sz="0" w:space="0" w:color="auto"/>
                            <w:right w:val="none" w:sz="0" w:space="0" w:color="auto"/>
                          </w:divBdr>
                          <w:divsChild>
                            <w:div w:id="860972225">
                              <w:marLeft w:val="0"/>
                              <w:marRight w:val="0"/>
                              <w:marTop w:val="120"/>
                              <w:marBottom w:val="360"/>
                              <w:divBdr>
                                <w:top w:val="none" w:sz="0" w:space="0" w:color="auto"/>
                                <w:left w:val="none" w:sz="0" w:space="0" w:color="auto"/>
                                <w:bottom w:val="none" w:sz="0" w:space="0" w:color="auto"/>
                                <w:right w:val="none" w:sz="0" w:space="0" w:color="auto"/>
                              </w:divBdr>
                              <w:divsChild>
                                <w:div w:id="610286564">
                                  <w:marLeft w:val="420"/>
                                  <w:marRight w:val="0"/>
                                  <w:marTop w:val="0"/>
                                  <w:marBottom w:val="0"/>
                                  <w:divBdr>
                                    <w:top w:val="none" w:sz="0" w:space="0" w:color="auto"/>
                                    <w:left w:val="none" w:sz="0" w:space="0" w:color="auto"/>
                                    <w:bottom w:val="none" w:sz="0" w:space="0" w:color="auto"/>
                                    <w:right w:val="none" w:sz="0" w:space="0" w:color="auto"/>
                                  </w:divBdr>
                                  <w:divsChild>
                                    <w:div w:id="128504500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2509">
      <w:bodyDiv w:val="1"/>
      <w:marLeft w:val="0"/>
      <w:marRight w:val="0"/>
      <w:marTop w:val="0"/>
      <w:marBottom w:val="0"/>
      <w:divBdr>
        <w:top w:val="none" w:sz="0" w:space="0" w:color="auto"/>
        <w:left w:val="none" w:sz="0" w:space="0" w:color="auto"/>
        <w:bottom w:val="none" w:sz="0" w:space="0" w:color="auto"/>
        <w:right w:val="none" w:sz="0" w:space="0" w:color="auto"/>
      </w:divBdr>
      <w:divsChild>
        <w:div w:id="1094130869">
          <w:marLeft w:val="0"/>
          <w:marRight w:val="1"/>
          <w:marTop w:val="0"/>
          <w:marBottom w:val="0"/>
          <w:divBdr>
            <w:top w:val="none" w:sz="0" w:space="0" w:color="auto"/>
            <w:left w:val="none" w:sz="0" w:space="0" w:color="auto"/>
            <w:bottom w:val="none" w:sz="0" w:space="0" w:color="auto"/>
            <w:right w:val="none" w:sz="0" w:space="0" w:color="auto"/>
          </w:divBdr>
          <w:divsChild>
            <w:div w:id="533008800">
              <w:marLeft w:val="0"/>
              <w:marRight w:val="0"/>
              <w:marTop w:val="0"/>
              <w:marBottom w:val="0"/>
              <w:divBdr>
                <w:top w:val="none" w:sz="0" w:space="0" w:color="auto"/>
                <w:left w:val="none" w:sz="0" w:space="0" w:color="auto"/>
                <w:bottom w:val="none" w:sz="0" w:space="0" w:color="auto"/>
                <w:right w:val="none" w:sz="0" w:space="0" w:color="auto"/>
              </w:divBdr>
              <w:divsChild>
                <w:div w:id="2093890381">
                  <w:marLeft w:val="0"/>
                  <w:marRight w:val="1"/>
                  <w:marTop w:val="0"/>
                  <w:marBottom w:val="0"/>
                  <w:divBdr>
                    <w:top w:val="none" w:sz="0" w:space="0" w:color="auto"/>
                    <w:left w:val="none" w:sz="0" w:space="0" w:color="auto"/>
                    <w:bottom w:val="none" w:sz="0" w:space="0" w:color="auto"/>
                    <w:right w:val="none" w:sz="0" w:space="0" w:color="auto"/>
                  </w:divBdr>
                  <w:divsChild>
                    <w:div w:id="72746071">
                      <w:marLeft w:val="0"/>
                      <w:marRight w:val="0"/>
                      <w:marTop w:val="0"/>
                      <w:marBottom w:val="0"/>
                      <w:divBdr>
                        <w:top w:val="none" w:sz="0" w:space="0" w:color="auto"/>
                        <w:left w:val="none" w:sz="0" w:space="0" w:color="auto"/>
                        <w:bottom w:val="none" w:sz="0" w:space="0" w:color="auto"/>
                        <w:right w:val="none" w:sz="0" w:space="0" w:color="auto"/>
                      </w:divBdr>
                      <w:divsChild>
                        <w:div w:id="894852209">
                          <w:marLeft w:val="0"/>
                          <w:marRight w:val="0"/>
                          <w:marTop w:val="0"/>
                          <w:marBottom w:val="0"/>
                          <w:divBdr>
                            <w:top w:val="none" w:sz="0" w:space="0" w:color="auto"/>
                            <w:left w:val="none" w:sz="0" w:space="0" w:color="auto"/>
                            <w:bottom w:val="none" w:sz="0" w:space="0" w:color="auto"/>
                            <w:right w:val="none" w:sz="0" w:space="0" w:color="auto"/>
                          </w:divBdr>
                          <w:divsChild>
                            <w:div w:id="1438596215">
                              <w:marLeft w:val="0"/>
                              <w:marRight w:val="0"/>
                              <w:marTop w:val="120"/>
                              <w:marBottom w:val="360"/>
                              <w:divBdr>
                                <w:top w:val="none" w:sz="0" w:space="0" w:color="auto"/>
                                <w:left w:val="none" w:sz="0" w:space="0" w:color="auto"/>
                                <w:bottom w:val="none" w:sz="0" w:space="0" w:color="auto"/>
                                <w:right w:val="none" w:sz="0" w:space="0" w:color="auto"/>
                              </w:divBdr>
                              <w:divsChild>
                                <w:div w:id="263459640">
                                  <w:marLeft w:val="420"/>
                                  <w:marRight w:val="0"/>
                                  <w:marTop w:val="0"/>
                                  <w:marBottom w:val="0"/>
                                  <w:divBdr>
                                    <w:top w:val="none" w:sz="0" w:space="0" w:color="auto"/>
                                    <w:left w:val="none" w:sz="0" w:space="0" w:color="auto"/>
                                    <w:bottom w:val="none" w:sz="0" w:space="0" w:color="auto"/>
                                    <w:right w:val="none" w:sz="0" w:space="0" w:color="auto"/>
                                  </w:divBdr>
                                  <w:divsChild>
                                    <w:div w:id="10782078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85647">
      <w:bodyDiv w:val="1"/>
      <w:marLeft w:val="0"/>
      <w:marRight w:val="0"/>
      <w:marTop w:val="0"/>
      <w:marBottom w:val="0"/>
      <w:divBdr>
        <w:top w:val="none" w:sz="0" w:space="0" w:color="auto"/>
        <w:left w:val="none" w:sz="0" w:space="0" w:color="auto"/>
        <w:bottom w:val="none" w:sz="0" w:space="0" w:color="auto"/>
        <w:right w:val="none" w:sz="0" w:space="0" w:color="auto"/>
      </w:divBdr>
      <w:divsChild>
        <w:div w:id="2111852375">
          <w:marLeft w:val="0"/>
          <w:marRight w:val="1"/>
          <w:marTop w:val="0"/>
          <w:marBottom w:val="0"/>
          <w:divBdr>
            <w:top w:val="none" w:sz="0" w:space="0" w:color="auto"/>
            <w:left w:val="none" w:sz="0" w:space="0" w:color="auto"/>
            <w:bottom w:val="none" w:sz="0" w:space="0" w:color="auto"/>
            <w:right w:val="none" w:sz="0" w:space="0" w:color="auto"/>
          </w:divBdr>
          <w:divsChild>
            <w:div w:id="631180936">
              <w:marLeft w:val="0"/>
              <w:marRight w:val="0"/>
              <w:marTop w:val="0"/>
              <w:marBottom w:val="0"/>
              <w:divBdr>
                <w:top w:val="none" w:sz="0" w:space="0" w:color="auto"/>
                <w:left w:val="none" w:sz="0" w:space="0" w:color="auto"/>
                <w:bottom w:val="none" w:sz="0" w:space="0" w:color="auto"/>
                <w:right w:val="none" w:sz="0" w:space="0" w:color="auto"/>
              </w:divBdr>
              <w:divsChild>
                <w:div w:id="361437510">
                  <w:marLeft w:val="0"/>
                  <w:marRight w:val="1"/>
                  <w:marTop w:val="0"/>
                  <w:marBottom w:val="0"/>
                  <w:divBdr>
                    <w:top w:val="none" w:sz="0" w:space="0" w:color="auto"/>
                    <w:left w:val="none" w:sz="0" w:space="0" w:color="auto"/>
                    <w:bottom w:val="none" w:sz="0" w:space="0" w:color="auto"/>
                    <w:right w:val="none" w:sz="0" w:space="0" w:color="auto"/>
                  </w:divBdr>
                  <w:divsChild>
                    <w:div w:id="886452248">
                      <w:marLeft w:val="0"/>
                      <w:marRight w:val="0"/>
                      <w:marTop w:val="0"/>
                      <w:marBottom w:val="0"/>
                      <w:divBdr>
                        <w:top w:val="none" w:sz="0" w:space="0" w:color="auto"/>
                        <w:left w:val="none" w:sz="0" w:space="0" w:color="auto"/>
                        <w:bottom w:val="none" w:sz="0" w:space="0" w:color="auto"/>
                        <w:right w:val="none" w:sz="0" w:space="0" w:color="auto"/>
                      </w:divBdr>
                      <w:divsChild>
                        <w:div w:id="255216953">
                          <w:marLeft w:val="0"/>
                          <w:marRight w:val="0"/>
                          <w:marTop w:val="0"/>
                          <w:marBottom w:val="0"/>
                          <w:divBdr>
                            <w:top w:val="none" w:sz="0" w:space="0" w:color="auto"/>
                            <w:left w:val="none" w:sz="0" w:space="0" w:color="auto"/>
                            <w:bottom w:val="none" w:sz="0" w:space="0" w:color="auto"/>
                            <w:right w:val="none" w:sz="0" w:space="0" w:color="auto"/>
                          </w:divBdr>
                          <w:divsChild>
                            <w:div w:id="1957521335">
                              <w:marLeft w:val="0"/>
                              <w:marRight w:val="0"/>
                              <w:marTop w:val="120"/>
                              <w:marBottom w:val="360"/>
                              <w:divBdr>
                                <w:top w:val="none" w:sz="0" w:space="0" w:color="auto"/>
                                <w:left w:val="none" w:sz="0" w:space="0" w:color="auto"/>
                                <w:bottom w:val="none" w:sz="0" w:space="0" w:color="auto"/>
                                <w:right w:val="none" w:sz="0" w:space="0" w:color="auto"/>
                              </w:divBdr>
                              <w:divsChild>
                                <w:div w:id="2072270359">
                                  <w:marLeft w:val="0"/>
                                  <w:marRight w:val="0"/>
                                  <w:marTop w:val="0"/>
                                  <w:marBottom w:val="0"/>
                                  <w:divBdr>
                                    <w:top w:val="none" w:sz="0" w:space="0" w:color="auto"/>
                                    <w:left w:val="none" w:sz="0" w:space="0" w:color="auto"/>
                                    <w:bottom w:val="none" w:sz="0" w:space="0" w:color="auto"/>
                                    <w:right w:val="none" w:sz="0" w:space="0" w:color="auto"/>
                                  </w:divBdr>
                                </w:div>
                                <w:div w:id="13640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456615">
      <w:bodyDiv w:val="1"/>
      <w:marLeft w:val="0"/>
      <w:marRight w:val="0"/>
      <w:marTop w:val="0"/>
      <w:marBottom w:val="0"/>
      <w:divBdr>
        <w:top w:val="none" w:sz="0" w:space="0" w:color="auto"/>
        <w:left w:val="none" w:sz="0" w:space="0" w:color="auto"/>
        <w:bottom w:val="none" w:sz="0" w:space="0" w:color="auto"/>
        <w:right w:val="none" w:sz="0" w:space="0" w:color="auto"/>
      </w:divBdr>
      <w:divsChild>
        <w:div w:id="1450201600">
          <w:marLeft w:val="0"/>
          <w:marRight w:val="1"/>
          <w:marTop w:val="0"/>
          <w:marBottom w:val="0"/>
          <w:divBdr>
            <w:top w:val="none" w:sz="0" w:space="0" w:color="auto"/>
            <w:left w:val="none" w:sz="0" w:space="0" w:color="auto"/>
            <w:bottom w:val="none" w:sz="0" w:space="0" w:color="auto"/>
            <w:right w:val="none" w:sz="0" w:space="0" w:color="auto"/>
          </w:divBdr>
          <w:divsChild>
            <w:div w:id="89199206">
              <w:marLeft w:val="0"/>
              <w:marRight w:val="0"/>
              <w:marTop w:val="0"/>
              <w:marBottom w:val="0"/>
              <w:divBdr>
                <w:top w:val="none" w:sz="0" w:space="0" w:color="auto"/>
                <w:left w:val="none" w:sz="0" w:space="0" w:color="auto"/>
                <w:bottom w:val="none" w:sz="0" w:space="0" w:color="auto"/>
                <w:right w:val="none" w:sz="0" w:space="0" w:color="auto"/>
              </w:divBdr>
              <w:divsChild>
                <w:div w:id="2037653156">
                  <w:marLeft w:val="0"/>
                  <w:marRight w:val="1"/>
                  <w:marTop w:val="0"/>
                  <w:marBottom w:val="0"/>
                  <w:divBdr>
                    <w:top w:val="none" w:sz="0" w:space="0" w:color="auto"/>
                    <w:left w:val="none" w:sz="0" w:space="0" w:color="auto"/>
                    <w:bottom w:val="none" w:sz="0" w:space="0" w:color="auto"/>
                    <w:right w:val="none" w:sz="0" w:space="0" w:color="auto"/>
                  </w:divBdr>
                  <w:divsChild>
                    <w:div w:id="1689215710">
                      <w:marLeft w:val="0"/>
                      <w:marRight w:val="0"/>
                      <w:marTop w:val="0"/>
                      <w:marBottom w:val="0"/>
                      <w:divBdr>
                        <w:top w:val="none" w:sz="0" w:space="0" w:color="auto"/>
                        <w:left w:val="none" w:sz="0" w:space="0" w:color="auto"/>
                        <w:bottom w:val="none" w:sz="0" w:space="0" w:color="auto"/>
                        <w:right w:val="none" w:sz="0" w:space="0" w:color="auto"/>
                      </w:divBdr>
                      <w:divsChild>
                        <w:div w:id="792794713">
                          <w:marLeft w:val="0"/>
                          <w:marRight w:val="0"/>
                          <w:marTop w:val="0"/>
                          <w:marBottom w:val="0"/>
                          <w:divBdr>
                            <w:top w:val="none" w:sz="0" w:space="0" w:color="auto"/>
                            <w:left w:val="none" w:sz="0" w:space="0" w:color="auto"/>
                            <w:bottom w:val="none" w:sz="0" w:space="0" w:color="auto"/>
                            <w:right w:val="none" w:sz="0" w:space="0" w:color="auto"/>
                          </w:divBdr>
                          <w:divsChild>
                            <w:div w:id="772559158">
                              <w:marLeft w:val="0"/>
                              <w:marRight w:val="0"/>
                              <w:marTop w:val="120"/>
                              <w:marBottom w:val="360"/>
                              <w:divBdr>
                                <w:top w:val="none" w:sz="0" w:space="0" w:color="auto"/>
                                <w:left w:val="none" w:sz="0" w:space="0" w:color="auto"/>
                                <w:bottom w:val="none" w:sz="0" w:space="0" w:color="auto"/>
                                <w:right w:val="none" w:sz="0" w:space="0" w:color="auto"/>
                              </w:divBdr>
                              <w:divsChild>
                                <w:div w:id="1826048954">
                                  <w:marLeft w:val="420"/>
                                  <w:marRight w:val="0"/>
                                  <w:marTop w:val="0"/>
                                  <w:marBottom w:val="0"/>
                                  <w:divBdr>
                                    <w:top w:val="none" w:sz="0" w:space="0" w:color="auto"/>
                                    <w:left w:val="none" w:sz="0" w:space="0" w:color="auto"/>
                                    <w:bottom w:val="none" w:sz="0" w:space="0" w:color="auto"/>
                                    <w:right w:val="none" w:sz="0" w:space="0" w:color="auto"/>
                                  </w:divBdr>
                                  <w:divsChild>
                                    <w:div w:id="3736252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656670">
      <w:bodyDiv w:val="1"/>
      <w:marLeft w:val="0"/>
      <w:marRight w:val="0"/>
      <w:marTop w:val="0"/>
      <w:marBottom w:val="0"/>
      <w:divBdr>
        <w:top w:val="none" w:sz="0" w:space="0" w:color="auto"/>
        <w:left w:val="none" w:sz="0" w:space="0" w:color="auto"/>
        <w:bottom w:val="none" w:sz="0" w:space="0" w:color="auto"/>
        <w:right w:val="none" w:sz="0" w:space="0" w:color="auto"/>
      </w:divBdr>
    </w:div>
    <w:div w:id="1701130048">
      <w:bodyDiv w:val="1"/>
      <w:marLeft w:val="0"/>
      <w:marRight w:val="0"/>
      <w:marTop w:val="0"/>
      <w:marBottom w:val="0"/>
      <w:divBdr>
        <w:top w:val="none" w:sz="0" w:space="0" w:color="auto"/>
        <w:left w:val="none" w:sz="0" w:space="0" w:color="auto"/>
        <w:bottom w:val="none" w:sz="0" w:space="0" w:color="auto"/>
        <w:right w:val="none" w:sz="0" w:space="0" w:color="auto"/>
      </w:divBdr>
      <w:divsChild>
        <w:div w:id="1225991460">
          <w:marLeft w:val="0"/>
          <w:marRight w:val="1"/>
          <w:marTop w:val="0"/>
          <w:marBottom w:val="0"/>
          <w:divBdr>
            <w:top w:val="none" w:sz="0" w:space="0" w:color="auto"/>
            <w:left w:val="none" w:sz="0" w:space="0" w:color="auto"/>
            <w:bottom w:val="none" w:sz="0" w:space="0" w:color="auto"/>
            <w:right w:val="none" w:sz="0" w:space="0" w:color="auto"/>
          </w:divBdr>
          <w:divsChild>
            <w:div w:id="1144396557">
              <w:marLeft w:val="0"/>
              <w:marRight w:val="0"/>
              <w:marTop w:val="0"/>
              <w:marBottom w:val="0"/>
              <w:divBdr>
                <w:top w:val="none" w:sz="0" w:space="0" w:color="auto"/>
                <w:left w:val="none" w:sz="0" w:space="0" w:color="auto"/>
                <w:bottom w:val="none" w:sz="0" w:space="0" w:color="auto"/>
                <w:right w:val="none" w:sz="0" w:space="0" w:color="auto"/>
              </w:divBdr>
              <w:divsChild>
                <w:div w:id="1391348970">
                  <w:marLeft w:val="0"/>
                  <w:marRight w:val="1"/>
                  <w:marTop w:val="0"/>
                  <w:marBottom w:val="0"/>
                  <w:divBdr>
                    <w:top w:val="none" w:sz="0" w:space="0" w:color="auto"/>
                    <w:left w:val="none" w:sz="0" w:space="0" w:color="auto"/>
                    <w:bottom w:val="none" w:sz="0" w:space="0" w:color="auto"/>
                    <w:right w:val="none" w:sz="0" w:space="0" w:color="auto"/>
                  </w:divBdr>
                  <w:divsChild>
                    <w:div w:id="1320158280">
                      <w:marLeft w:val="0"/>
                      <w:marRight w:val="0"/>
                      <w:marTop w:val="0"/>
                      <w:marBottom w:val="0"/>
                      <w:divBdr>
                        <w:top w:val="none" w:sz="0" w:space="0" w:color="auto"/>
                        <w:left w:val="none" w:sz="0" w:space="0" w:color="auto"/>
                        <w:bottom w:val="none" w:sz="0" w:space="0" w:color="auto"/>
                        <w:right w:val="none" w:sz="0" w:space="0" w:color="auto"/>
                      </w:divBdr>
                      <w:divsChild>
                        <w:div w:id="762065699">
                          <w:marLeft w:val="0"/>
                          <w:marRight w:val="0"/>
                          <w:marTop w:val="0"/>
                          <w:marBottom w:val="0"/>
                          <w:divBdr>
                            <w:top w:val="none" w:sz="0" w:space="0" w:color="auto"/>
                            <w:left w:val="none" w:sz="0" w:space="0" w:color="auto"/>
                            <w:bottom w:val="none" w:sz="0" w:space="0" w:color="auto"/>
                            <w:right w:val="none" w:sz="0" w:space="0" w:color="auto"/>
                          </w:divBdr>
                          <w:divsChild>
                            <w:div w:id="1002008568">
                              <w:marLeft w:val="0"/>
                              <w:marRight w:val="0"/>
                              <w:marTop w:val="120"/>
                              <w:marBottom w:val="360"/>
                              <w:divBdr>
                                <w:top w:val="none" w:sz="0" w:space="0" w:color="auto"/>
                                <w:left w:val="none" w:sz="0" w:space="0" w:color="auto"/>
                                <w:bottom w:val="none" w:sz="0" w:space="0" w:color="auto"/>
                                <w:right w:val="none" w:sz="0" w:space="0" w:color="auto"/>
                              </w:divBdr>
                              <w:divsChild>
                                <w:div w:id="156505621">
                                  <w:marLeft w:val="420"/>
                                  <w:marRight w:val="0"/>
                                  <w:marTop w:val="0"/>
                                  <w:marBottom w:val="0"/>
                                  <w:divBdr>
                                    <w:top w:val="none" w:sz="0" w:space="0" w:color="auto"/>
                                    <w:left w:val="none" w:sz="0" w:space="0" w:color="auto"/>
                                    <w:bottom w:val="none" w:sz="0" w:space="0" w:color="auto"/>
                                    <w:right w:val="none" w:sz="0" w:space="0" w:color="auto"/>
                                  </w:divBdr>
                                  <w:divsChild>
                                    <w:div w:id="4076558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06841">
      <w:bodyDiv w:val="1"/>
      <w:marLeft w:val="0"/>
      <w:marRight w:val="0"/>
      <w:marTop w:val="0"/>
      <w:marBottom w:val="0"/>
      <w:divBdr>
        <w:top w:val="none" w:sz="0" w:space="0" w:color="auto"/>
        <w:left w:val="none" w:sz="0" w:space="0" w:color="auto"/>
        <w:bottom w:val="none" w:sz="0" w:space="0" w:color="auto"/>
        <w:right w:val="none" w:sz="0" w:space="0" w:color="auto"/>
      </w:divBdr>
      <w:divsChild>
        <w:div w:id="581911095">
          <w:marLeft w:val="0"/>
          <w:marRight w:val="1"/>
          <w:marTop w:val="0"/>
          <w:marBottom w:val="0"/>
          <w:divBdr>
            <w:top w:val="none" w:sz="0" w:space="0" w:color="auto"/>
            <w:left w:val="none" w:sz="0" w:space="0" w:color="auto"/>
            <w:bottom w:val="none" w:sz="0" w:space="0" w:color="auto"/>
            <w:right w:val="none" w:sz="0" w:space="0" w:color="auto"/>
          </w:divBdr>
          <w:divsChild>
            <w:div w:id="11762017">
              <w:marLeft w:val="0"/>
              <w:marRight w:val="0"/>
              <w:marTop w:val="0"/>
              <w:marBottom w:val="0"/>
              <w:divBdr>
                <w:top w:val="none" w:sz="0" w:space="0" w:color="auto"/>
                <w:left w:val="none" w:sz="0" w:space="0" w:color="auto"/>
                <w:bottom w:val="none" w:sz="0" w:space="0" w:color="auto"/>
                <w:right w:val="none" w:sz="0" w:space="0" w:color="auto"/>
              </w:divBdr>
              <w:divsChild>
                <w:div w:id="617834670">
                  <w:marLeft w:val="0"/>
                  <w:marRight w:val="1"/>
                  <w:marTop w:val="0"/>
                  <w:marBottom w:val="0"/>
                  <w:divBdr>
                    <w:top w:val="none" w:sz="0" w:space="0" w:color="auto"/>
                    <w:left w:val="none" w:sz="0" w:space="0" w:color="auto"/>
                    <w:bottom w:val="none" w:sz="0" w:space="0" w:color="auto"/>
                    <w:right w:val="none" w:sz="0" w:space="0" w:color="auto"/>
                  </w:divBdr>
                  <w:divsChild>
                    <w:div w:id="2051222372">
                      <w:marLeft w:val="0"/>
                      <w:marRight w:val="0"/>
                      <w:marTop w:val="0"/>
                      <w:marBottom w:val="0"/>
                      <w:divBdr>
                        <w:top w:val="none" w:sz="0" w:space="0" w:color="auto"/>
                        <w:left w:val="none" w:sz="0" w:space="0" w:color="auto"/>
                        <w:bottom w:val="none" w:sz="0" w:space="0" w:color="auto"/>
                        <w:right w:val="none" w:sz="0" w:space="0" w:color="auto"/>
                      </w:divBdr>
                      <w:divsChild>
                        <w:div w:id="1314484455">
                          <w:marLeft w:val="0"/>
                          <w:marRight w:val="0"/>
                          <w:marTop w:val="0"/>
                          <w:marBottom w:val="0"/>
                          <w:divBdr>
                            <w:top w:val="none" w:sz="0" w:space="0" w:color="auto"/>
                            <w:left w:val="none" w:sz="0" w:space="0" w:color="auto"/>
                            <w:bottom w:val="none" w:sz="0" w:space="0" w:color="auto"/>
                            <w:right w:val="none" w:sz="0" w:space="0" w:color="auto"/>
                          </w:divBdr>
                          <w:divsChild>
                            <w:div w:id="2020891633">
                              <w:marLeft w:val="0"/>
                              <w:marRight w:val="0"/>
                              <w:marTop w:val="120"/>
                              <w:marBottom w:val="360"/>
                              <w:divBdr>
                                <w:top w:val="none" w:sz="0" w:space="0" w:color="auto"/>
                                <w:left w:val="none" w:sz="0" w:space="0" w:color="auto"/>
                                <w:bottom w:val="none" w:sz="0" w:space="0" w:color="auto"/>
                                <w:right w:val="none" w:sz="0" w:space="0" w:color="auto"/>
                              </w:divBdr>
                              <w:divsChild>
                                <w:div w:id="758216388">
                                  <w:marLeft w:val="420"/>
                                  <w:marRight w:val="0"/>
                                  <w:marTop w:val="0"/>
                                  <w:marBottom w:val="0"/>
                                  <w:divBdr>
                                    <w:top w:val="none" w:sz="0" w:space="0" w:color="auto"/>
                                    <w:left w:val="none" w:sz="0" w:space="0" w:color="auto"/>
                                    <w:bottom w:val="none" w:sz="0" w:space="0" w:color="auto"/>
                                    <w:right w:val="none" w:sz="0" w:space="0" w:color="auto"/>
                                  </w:divBdr>
                                  <w:divsChild>
                                    <w:div w:id="9374932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315713">
      <w:bodyDiv w:val="1"/>
      <w:marLeft w:val="0"/>
      <w:marRight w:val="0"/>
      <w:marTop w:val="0"/>
      <w:marBottom w:val="0"/>
      <w:divBdr>
        <w:top w:val="none" w:sz="0" w:space="0" w:color="auto"/>
        <w:left w:val="none" w:sz="0" w:space="0" w:color="auto"/>
        <w:bottom w:val="none" w:sz="0" w:space="0" w:color="auto"/>
        <w:right w:val="none" w:sz="0" w:space="0" w:color="auto"/>
      </w:divBdr>
      <w:divsChild>
        <w:div w:id="963534684">
          <w:marLeft w:val="0"/>
          <w:marRight w:val="1"/>
          <w:marTop w:val="0"/>
          <w:marBottom w:val="0"/>
          <w:divBdr>
            <w:top w:val="none" w:sz="0" w:space="0" w:color="auto"/>
            <w:left w:val="none" w:sz="0" w:space="0" w:color="auto"/>
            <w:bottom w:val="none" w:sz="0" w:space="0" w:color="auto"/>
            <w:right w:val="none" w:sz="0" w:space="0" w:color="auto"/>
          </w:divBdr>
          <w:divsChild>
            <w:div w:id="661859836">
              <w:marLeft w:val="0"/>
              <w:marRight w:val="0"/>
              <w:marTop w:val="0"/>
              <w:marBottom w:val="0"/>
              <w:divBdr>
                <w:top w:val="none" w:sz="0" w:space="0" w:color="auto"/>
                <w:left w:val="none" w:sz="0" w:space="0" w:color="auto"/>
                <w:bottom w:val="none" w:sz="0" w:space="0" w:color="auto"/>
                <w:right w:val="none" w:sz="0" w:space="0" w:color="auto"/>
              </w:divBdr>
              <w:divsChild>
                <w:div w:id="2016103884">
                  <w:marLeft w:val="0"/>
                  <w:marRight w:val="1"/>
                  <w:marTop w:val="0"/>
                  <w:marBottom w:val="0"/>
                  <w:divBdr>
                    <w:top w:val="none" w:sz="0" w:space="0" w:color="auto"/>
                    <w:left w:val="none" w:sz="0" w:space="0" w:color="auto"/>
                    <w:bottom w:val="none" w:sz="0" w:space="0" w:color="auto"/>
                    <w:right w:val="none" w:sz="0" w:space="0" w:color="auto"/>
                  </w:divBdr>
                  <w:divsChild>
                    <w:div w:id="274485453">
                      <w:marLeft w:val="0"/>
                      <w:marRight w:val="0"/>
                      <w:marTop w:val="0"/>
                      <w:marBottom w:val="0"/>
                      <w:divBdr>
                        <w:top w:val="none" w:sz="0" w:space="0" w:color="auto"/>
                        <w:left w:val="none" w:sz="0" w:space="0" w:color="auto"/>
                        <w:bottom w:val="none" w:sz="0" w:space="0" w:color="auto"/>
                        <w:right w:val="none" w:sz="0" w:space="0" w:color="auto"/>
                      </w:divBdr>
                      <w:divsChild>
                        <w:div w:id="329187368">
                          <w:marLeft w:val="0"/>
                          <w:marRight w:val="0"/>
                          <w:marTop w:val="0"/>
                          <w:marBottom w:val="0"/>
                          <w:divBdr>
                            <w:top w:val="none" w:sz="0" w:space="0" w:color="auto"/>
                            <w:left w:val="none" w:sz="0" w:space="0" w:color="auto"/>
                            <w:bottom w:val="none" w:sz="0" w:space="0" w:color="auto"/>
                            <w:right w:val="none" w:sz="0" w:space="0" w:color="auto"/>
                          </w:divBdr>
                          <w:divsChild>
                            <w:div w:id="435909984">
                              <w:marLeft w:val="0"/>
                              <w:marRight w:val="0"/>
                              <w:marTop w:val="120"/>
                              <w:marBottom w:val="360"/>
                              <w:divBdr>
                                <w:top w:val="none" w:sz="0" w:space="0" w:color="auto"/>
                                <w:left w:val="none" w:sz="0" w:space="0" w:color="auto"/>
                                <w:bottom w:val="none" w:sz="0" w:space="0" w:color="auto"/>
                                <w:right w:val="none" w:sz="0" w:space="0" w:color="auto"/>
                              </w:divBdr>
                              <w:divsChild>
                                <w:div w:id="107704487">
                                  <w:marLeft w:val="0"/>
                                  <w:marRight w:val="0"/>
                                  <w:marTop w:val="0"/>
                                  <w:marBottom w:val="0"/>
                                  <w:divBdr>
                                    <w:top w:val="none" w:sz="0" w:space="0" w:color="auto"/>
                                    <w:left w:val="none" w:sz="0" w:space="0" w:color="auto"/>
                                    <w:bottom w:val="none" w:sz="0" w:space="0" w:color="auto"/>
                                    <w:right w:val="none" w:sz="0" w:space="0" w:color="auto"/>
                                  </w:divBdr>
                                </w:div>
                                <w:div w:id="16052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536754">
      <w:bodyDiv w:val="1"/>
      <w:marLeft w:val="0"/>
      <w:marRight w:val="0"/>
      <w:marTop w:val="0"/>
      <w:marBottom w:val="0"/>
      <w:divBdr>
        <w:top w:val="none" w:sz="0" w:space="0" w:color="auto"/>
        <w:left w:val="none" w:sz="0" w:space="0" w:color="auto"/>
        <w:bottom w:val="none" w:sz="0" w:space="0" w:color="auto"/>
        <w:right w:val="none" w:sz="0" w:space="0" w:color="auto"/>
      </w:divBdr>
      <w:divsChild>
        <w:div w:id="1492478866">
          <w:marLeft w:val="0"/>
          <w:marRight w:val="0"/>
          <w:marTop w:val="34"/>
          <w:marBottom w:val="34"/>
          <w:divBdr>
            <w:top w:val="none" w:sz="0" w:space="0" w:color="auto"/>
            <w:left w:val="none" w:sz="0" w:space="0" w:color="auto"/>
            <w:bottom w:val="none" w:sz="0" w:space="0" w:color="auto"/>
            <w:right w:val="none" w:sz="0" w:space="0" w:color="auto"/>
          </w:divBdr>
        </w:div>
      </w:divsChild>
    </w:div>
    <w:div w:id="1840268515">
      <w:bodyDiv w:val="1"/>
      <w:marLeft w:val="0"/>
      <w:marRight w:val="0"/>
      <w:marTop w:val="0"/>
      <w:marBottom w:val="0"/>
      <w:divBdr>
        <w:top w:val="none" w:sz="0" w:space="0" w:color="auto"/>
        <w:left w:val="none" w:sz="0" w:space="0" w:color="auto"/>
        <w:bottom w:val="none" w:sz="0" w:space="0" w:color="auto"/>
        <w:right w:val="none" w:sz="0" w:space="0" w:color="auto"/>
      </w:divBdr>
      <w:divsChild>
        <w:div w:id="1011908086">
          <w:marLeft w:val="0"/>
          <w:marRight w:val="1"/>
          <w:marTop w:val="0"/>
          <w:marBottom w:val="0"/>
          <w:divBdr>
            <w:top w:val="none" w:sz="0" w:space="0" w:color="auto"/>
            <w:left w:val="none" w:sz="0" w:space="0" w:color="auto"/>
            <w:bottom w:val="none" w:sz="0" w:space="0" w:color="auto"/>
            <w:right w:val="none" w:sz="0" w:space="0" w:color="auto"/>
          </w:divBdr>
          <w:divsChild>
            <w:div w:id="2004311014">
              <w:marLeft w:val="0"/>
              <w:marRight w:val="0"/>
              <w:marTop w:val="0"/>
              <w:marBottom w:val="0"/>
              <w:divBdr>
                <w:top w:val="none" w:sz="0" w:space="0" w:color="auto"/>
                <w:left w:val="none" w:sz="0" w:space="0" w:color="auto"/>
                <w:bottom w:val="none" w:sz="0" w:space="0" w:color="auto"/>
                <w:right w:val="none" w:sz="0" w:space="0" w:color="auto"/>
              </w:divBdr>
              <w:divsChild>
                <w:div w:id="1216090800">
                  <w:marLeft w:val="0"/>
                  <w:marRight w:val="1"/>
                  <w:marTop w:val="0"/>
                  <w:marBottom w:val="0"/>
                  <w:divBdr>
                    <w:top w:val="none" w:sz="0" w:space="0" w:color="auto"/>
                    <w:left w:val="none" w:sz="0" w:space="0" w:color="auto"/>
                    <w:bottom w:val="none" w:sz="0" w:space="0" w:color="auto"/>
                    <w:right w:val="none" w:sz="0" w:space="0" w:color="auto"/>
                  </w:divBdr>
                  <w:divsChild>
                    <w:div w:id="1545754525">
                      <w:marLeft w:val="0"/>
                      <w:marRight w:val="0"/>
                      <w:marTop w:val="0"/>
                      <w:marBottom w:val="0"/>
                      <w:divBdr>
                        <w:top w:val="none" w:sz="0" w:space="0" w:color="auto"/>
                        <w:left w:val="none" w:sz="0" w:space="0" w:color="auto"/>
                        <w:bottom w:val="none" w:sz="0" w:space="0" w:color="auto"/>
                        <w:right w:val="none" w:sz="0" w:space="0" w:color="auto"/>
                      </w:divBdr>
                      <w:divsChild>
                        <w:div w:id="927232697">
                          <w:marLeft w:val="0"/>
                          <w:marRight w:val="0"/>
                          <w:marTop w:val="0"/>
                          <w:marBottom w:val="0"/>
                          <w:divBdr>
                            <w:top w:val="none" w:sz="0" w:space="0" w:color="auto"/>
                            <w:left w:val="none" w:sz="0" w:space="0" w:color="auto"/>
                            <w:bottom w:val="none" w:sz="0" w:space="0" w:color="auto"/>
                            <w:right w:val="none" w:sz="0" w:space="0" w:color="auto"/>
                          </w:divBdr>
                          <w:divsChild>
                            <w:div w:id="55011000">
                              <w:marLeft w:val="0"/>
                              <w:marRight w:val="0"/>
                              <w:marTop w:val="120"/>
                              <w:marBottom w:val="360"/>
                              <w:divBdr>
                                <w:top w:val="none" w:sz="0" w:space="0" w:color="auto"/>
                                <w:left w:val="none" w:sz="0" w:space="0" w:color="auto"/>
                                <w:bottom w:val="none" w:sz="0" w:space="0" w:color="auto"/>
                                <w:right w:val="none" w:sz="0" w:space="0" w:color="auto"/>
                              </w:divBdr>
                              <w:divsChild>
                                <w:div w:id="454908334">
                                  <w:marLeft w:val="0"/>
                                  <w:marRight w:val="0"/>
                                  <w:marTop w:val="0"/>
                                  <w:marBottom w:val="0"/>
                                  <w:divBdr>
                                    <w:top w:val="none" w:sz="0" w:space="0" w:color="auto"/>
                                    <w:left w:val="none" w:sz="0" w:space="0" w:color="auto"/>
                                    <w:bottom w:val="none" w:sz="0" w:space="0" w:color="auto"/>
                                    <w:right w:val="none" w:sz="0" w:space="0" w:color="auto"/>
                                  </w:divBdr>
                                </w:div>
                                <w:div w:id="100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41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te-g.ziegler@helmholtz-muenchen.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ubmed/21430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5671</Words>
  <Characters>35733</Characters>
  <Application>Microsoft Office Word</Application>
  <DocSecurity>0</DocSecurity>
  <Lines>297</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41322</CharactersWithSpaces>
  <SharedDoc>false</SharedDoc>
  <HLinks>
    <vt:vector size="6" baseType="variant">
      <vt:variant>
        <vt:i4>983125</vt:i4>
      </vt:variant>
      <vt:variant>
        <vt:i4>0</vt:i4>
      </vt:variant>
      <vt:variant>
        <vt:i4>0</vt:i4>
      </vt:variant>
      <vt:variant>
        <vt:i4>5</vt:i4>
      </vt:variant>
      <vt:variant>
        <vt:lpwstr>https://www.ncbi.nlm.nih.gov/pubmed/21430083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anette-g.ziegler</dc:creator>
  <cp:lastModifiedBy>katrin.rauner</cp:lastModifiedBy>
  <cp:revision>2</cp:revision>
  <cp:lastPrinted>2019-01-30T09:56:00Z</cp:lastPrinted>
  <dcterms:created xsi:type="dcterms:W3CDTF">2019-06-27T08:23:00Z</dcterms:created>
  <dcterms:modified xsi:type="dcterms:W3CDTF">2019-06-27T08:23:00Z</dcterms:modified>
</cp:coreProperties>
</file>