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4EEE8B" w14:textId="77777777" w:rsidR="00DD142B" w:rsidRDefault="00F23CC1">
      <w:pPr>
        <w:spacing w:before="100" w:beforeAutospacing="1" w:line="276" w:lineRule="auto"/>
        <w:jc w:val="left"/>
        <w:outlineLvl w:val="0"/>
        <w:rPr>
          <w:rFonts w:eastAsia="Times New Roman" w:cs="Times New Roman"/>
          <w:b/>
          <w:bCs/>
          <w:iCs/>
          <w:color w:val="000000"/>
          <w:sz w:val="28"/>
          <w:szCs w:val="28"/>
        </w:rPr>
      </w:pPr>
      <w:bookmarkStart w:id="0" w:name="_GoBack"/>
      <w:bookmarkEnd w:id="0"/>
      <w:r>
        <w:rPr>
          <w:rFonts w:eastAsia="Times New Roman" w:cs="Times New Roman"/>
          <w:b/>
          <w:bCs/>
          <w:iCs/>
          <w:color w:val="000000" w:themeColor="text1"/>
          <w:sz w:val="28"/>
          <w:szCs w:val="28"/>
        </w:rPr>
        <w:t>The neuropeptide receptor calcitonin receptor-like (CALCRL) is a potential therapeutic target in acute myeloid leukemia</w:t>
      </w:r>
    </w:p>
    <w:p w14:paraId="5F220F94" w14:textId="75311416" w:rsidR="00DD142B" w:rsidRDefault="00F23CC1">
      <w:pPr>
        <w:spacing w:before="100" w:beforeAutospacing="1" w:after="100" w:afterAutospacing="1" w:line="276" w:lineRule="auto"/>
        <w:outlineLvl w:val="0"/>
        <w:rPr>
          <w:rFonts w:eastAsia="Times New Roman" w:cs="Times New Roman"/>
          <w:bCs/>
          <w:i/>
          <w:iCs/>
          <w:color w:val="000000"/>
          <w:szCs w:val="24"/>
          <w:vertAlign w:val="superscript"/>
        </w:rPr>
      </w:pPr>
      <w:r>
        <w:rPr>
          <w:rFonts w:eastAsia="Times New Roman" w:cs="Times New Roman"/>
          <w:bCs/>
          <w:i/>
          <w:iCs/>
          <w:color w:val="000000" w:themeColor="text1"/>
          <w:szCs w:val="24"/>
        </w:rPr>
        <w:t>Linus Angenendt</w:t>
      </w:r>
      <w:r>
        <w:rPr>
          <w:rFonts w:eastAsia="Times New Roman" w:cs="Times New Roman"/>
          <w:bCs/>
          <w:i/>
          <w:iCs/>
          <w:color w:val="000000" w:themeColor="text1"/>
          <w:szCs w:val="24"/>
          <w:vertAlign w:val="superscript"/>
        </w:rPr>
        <w:t>1</w:t>
      </w:r>
      <w:r>
        <w:rPr>
          <w:rFonts w:eastAsia="Times New Roman" w:cs="Times New Roman"/>
          <w:bCs/>
          <w:i/>
          <w:iCs/>
          <w:color w:val="000000" w:themeColor="text1"/>
          <w:szCs w:val="24"/>
        </w:rPr>
        <w:t>*, Eike Bormann</w:t>
      </w:r>
      <w:r>
        <w:rPr>
          <w:rFonts w:eastAsia="Times New Roman" w:cs="Times New Roman"/>
          <w:bCs/>
          <w:i/>
          <w:iCs/>
          <w:color w:val="000000" w:themeColor="text1"/>
          <w:szCs w:val="24"/>
          <w:vertAlign w:val="superscript"/>
        </w:rPr>
        <w:t>2</w:t>
      </w:r>
      <w:r>
        <w:rPr>
          <w:rFonts w:eastAsia="Times New Roman" w:cs="Times New Roman"/>
          <w:bCs/>
          <w:i/>
          <w:iCs/>
          <w:color w:val="000000" w:themeColor="text1"/>
          <w:szCs w:val="24"/>
        </w:rPr>
        <w:t>*, Caroline Pabst</w:t>
      </w:r>
      <w:r>
        <w:rPr>
          <w:rFonts w:eastAsia="Times New Roman" w:cs="Times New Roman"/>
          <w:bCs/>
          <w:i/>
          <w:iCs/>
          <w:color w:val="000000" w:themeColor="text1"/>
          <w:szCs w:val="24"/>
          <w:vertAlign w:val="superscript"/>
        </w:rPr>
        <w:t>3</w:t>
      </w:r>
      <w:r>
        <w:rPr>
          <w:rFonts w:eastAsia="Times New Roman" w:cs="Times New Roman"/>
          <w:bCs/>
          <w:i/>
          <w:iCs/>
          <w:color w:val="000000" w:themeColor="text1"/>
          <w:szCs w:val="24"/>
        </w:rPr>
        <w:t>, Vijay Alla</w:t>
      </w:r>
      <w:r>
        <w:rPr>
          <w:rFonts w:eastAsia="Times New Roman" w:cs="Times New Roman"/>
          <w:bCs/>
          <w:i/>
          <w:iCs/>
          <w:color w:val="000000" w:themeColor="text1"/>
          <w:szCs w:val="24"/>
          <w:vertAlign w:val="superscript"/>
        </w:rPr>
        <w:t>1</w:t>
      </w:r>
      <w:r>
        <w:rPr>
          <w:rFonts w:eastAsia="Times New Roman" w:cs="Times New Roman"/>
          <w:bCs/>
          <w:i/>
          <w:iCs/>
          <w:color w:val="000000" w:themeColor="text1"/>
          <w:szCs w:val="24"/>
        </w:rPr>
        <w:t>, Dennis Görlich</w:t>
      </w:r>
      <w:r>
        <w:rPr>
          <w:rFonts w:eastAsia="Times New Roman" w:cs="Times New Roman"/>
          <w:bCs/>
          <w:i/>
          <w:iCs/>
          <w:color w:val="000000" w:themeColor="text1"/>
          <w:szCs w:val="24"/>
          <w:vertAlign w:val="superscript"/>
        </w:rPr>
        <w:t>2</w:t>
      </w:r>
      <w:r>
        <w:rPr>
          <w:rFonts w:eastAsia="Times New Roman" w:cs="Times New Roman"/>
          <w:bCs/>
          <w:i/>
          <w:iCs/>
          <w:color w:val="000000" w:themeColor="text1"/>
          <w:szCs w:val="24"/>
        </w:rPr>
        <w:t>, Leonie Braun</w:t>
      </w:r>
      <w:r>
        <w:rPr>
          <w:rFonts w:eastAsia="Times New Roman" w:cs="Times New Roman"/>
          <w:bCs/>
          <w:i/>
          <w:iCs/>
          <w:color w:val="000000" w:themeColor="text1"/>
          <w:szCs w:val="24"/>
          <w:vertAlign w:val="superscript"/>
        </w:rPr>
        <w:t>1</w:t>
      </w:r>
      <w:r>
        <w:rPr>
          <w:rFonts w:eastAsia="Times New Roman" w:cs="Times New Roman"/>
          <w:bCs/>
          <w:i/>
          <w:iCs/>
          <w:color w:val="000000" w:themeColor="text1"/>
          <w:szCs w:val="24"/>
        </w:rPr>
        <w:t>, Kim Dohlich</w:t>
      </w:r>
      <w:r>
        <w:rPr>
          <w:rFonts w:eastAsia="Times New Roman" w:cs="Times New Roman"/>
          <w:bCs/>
          <w:i/>
          <w:iCs/>
          <w:color w:val="000000" w:themeColor="text1"/>
          <w:szCs w:val="24"/>
          <w:vertAlign w:val="superscript"/>
        </w:rPr>
        <w:t>1</w:t>
      </w:r>
      <w:r>
        <w:rPr>
          <w:rFonts w:eastAsia="Times New Roman" w:cs="Times New Roman"/>
          <w:bCs/>
          <w:i/>
          <w:iCs/>
          <w:color w:val="000000" w:themeColor="text1"/>
          <w:szCs w:val="24"/>
        </w:rPr>
        <w:t>, Christian Schwöppe</w:t>
      </w:r>
      <w:r>
        <w:rPr>
          <w:rFonts w:eastAsia="Times New Roman" w:cs="Times New Roman"/>
          <w:bCs/>
          <w:i/>
          <w:iCs/>
          <w:color w:val="000000" w:themeColor="text1"/>
          <w:szCs w:val="24"/>
          <w:vertAlign w:val="superscript"/>
        </w:rPr>
        <w:t>1</w:t>
      </w:r>
      <w:r>
        <w:rPr>
          <w:rFonts w:eastAsia="Times New Roman" w:cs="Times New Roman"/>
          <w:bCs/>
          <w:i/>
          <w:iCs/>
          <w:color w:val="000000" w:themeColor="text1"/>
          <w:szCs w:val="24"/>
        </w:rPr>
        <w:t>, Stefan K. Bohlander</w:t>
      </w:r>
      <w:r>
        <w:rPr>
          <w:rFonts w:eastAsia="Times New Roman" w:cs="Times New Roman"/>
          <w:bCs/>
          <w:i/>
          <w:iCs/>
          <w:color w:val="000000" w:themeColor="text1"/>
          <w:szCs w:val="24"/>
          <w:vertAlign w:val="superscript"/>
        </w:rPr>
        <w:t>4</w:t>
      </w:r>
      <w:r>
        <w:rPr>
          <w:rFonts w:eastAsia="Times New Roman" w:cs="Times New Roman"/>
          <w:bCs/>
          <w:i/>
          <w:iCs/>
          <w:color w:val="000000" w:themeColor="text1"/>
          <w:szCs w:val="24"/>
        </w:rPr>
        <w:t>, Maria Francisca Arteaga</w:t>
      </w:r>
      <w:r>
        <w:rPr>
          <w:rFonts w:eastAsia="Times New Roman" w:cs="Times New Roman"/>
          <w:bCs/>
          <w:i/>
          <w:iCs/>
          <w:color w:val="000000" w:themeColor="text1"/>
          <w:szCs w:val="24"/>
          <w:vertAlign w:val="superscript"/>
        </w:rPr>
        <w:t>1</w:t>
      </w:r>
      <w:r>
        <w:rPr>
          <w:rFonts w:eastAsia="Times New Roman" w:cs="Times New Roman"/>
          <w:bCs/>
          <w:i/>
          <w:iCs/>
          <w:color w:val="000000" w:themeColor="text1"/>
          <w:szCs w:val="24"/>
        </w:rPr>
        <w:t>, Klaus Wethmar</w:t>
      </w:r>
      <w:r>
        <w:rPr>
          <w:rFonts w:eastAsia="Times New Roman" w:cs="Times New Roman"/>
          <w:bCs/>
          <w:i/>
          <w:iCs/>
          <w:color w:val="000000" w:themeColor="text1"/>
          <w:szCs w:val="24"/>
          <w:vertAlign w:val="superscript"/>
        </w:rPr>
        <w:t>1</w:t>
      </w:r>
      <w:r>
        <w:rPr>
          <w:rFonts w:eastAsia="Times New Roman" w:cs="Times New Roman"/>
          <w:bCs/>
          <w:i/>
          <w:iCs/>
          <w:color w:val="000000" w:themeColor="text1"/>
          <w:szCs w:val="24"/>
        </w:rPr>
        <w:t>, Wolfgang Hartmann</w:t>
      </w:r>
      <w:r>
        <w:rPr>
          <w:rFonts w:eastAsia="Times New Roman" w:cs="Times New Roman"/>
          <w:bCs/>
          <w:i/>
          <w:iCs/>
          <w:color w:val="000000" w:themeColor="text1"/>
          <w:szCs w:val="24"/>
          <w:vertAlign w:val="superscript"/>
        </w:rPr>
        <w:t>5</w:t>
      </w:r>
      <w:r>
        <w:rPr>
          <w:rFonts w:eastAsia="Times New Roman" w:cs="Times New Roman"/>
          <w:bCs/>
          <w:i/>
          <w:iCs/>
          <w:color w:val="000000" w:themeColor="text1"/>
          <w:szCs w:val="24"/>
        </w:rPr>
        <w:t>, Adrian Angenendt</w:t>
      </w:r>
      <w:r>
        <w:rPr>
          <w:rFonts w:eastAsia="Times New Roman" w:cs="Times New Roman"/>
          <w:bCs/>
          <w:i/>
          <w:iCs/>
          <w:color w:val="000000" w:themeColor="text1"/>
          <w:szCs w:val="24"/>
          <w:vertAlign w:val="superscript"/>
        </w:rPr>
        <w:t>6</w:t>
      </w:r>
      <w:r>
        <w:rPr>
          <w:rFonts w:eastAsia="Times New Roman" w:cs="Times New Roman"/>
          <w:bCs/>
          <w:i/>
          <w:iCs/>
          <w:color w:val="000000" w:themeColor="text1"/>
          <w:szCs w:val="24"/>
        </w:rPr>
        <w:t>, Torsten Kessler</w:t>
      </w:r>
      <w:r>
        <w:rPr>
          <w:rFonts w:eastAsia="Times New Roman" w:cs="Times New Roman"/>
          <w:bCs/>
          <w:i/>
          <w:iCs/>
          <w:color w:val="000000" w:themeColor="text1"/>
          <w:szCs w:val="24"/>
          <w:vertAlign w:val="superscript"/>
        </w:rPr>
        <w:t>1</w:t>
      </w:r>
      <w:r>
        <w:rPr>
          <w:rFonts w:eastAsia="Times New Roman" w:cs="Times New Roman"/>
          <w:bCs/>
          <w:i/>
          <w:iCs/>
          <w:color w:val="000000" w:themeColor="text1"/>
          <w:szCs w:val="24"/>
        </w:rPr>
        <w:t>, Rolf M. Mesters</w:t>
      </w:r>
      <w:r>
        <w:rPr>
          <w:rFonts w:eastAsia="Times New Roman" w:cs="Times New Roman"/>
          <w:bCs/>
          <w:i/>
          <w:iCs/>
          <w:color w:val="000000" w:themeColor="text1"/>
          <w:szCs w:val="24"/>
          <w:vertAlign w:val="superscript"/>
        </w:rPr>
        <w:t>1</w:t>
      </w:r>
      <w:r>
        <w:rPr>
          <w:rFonts w:eastAsia="Times New Roman" w:cs="Times New Roman"/>
          <w:bCs/>
          <w:i/>
          <w:iCs/>
          <w:color w:val="000000" w:themeColor="text1"/>
          <w:szCs w:val="24"/>
        </w:rPr>
        <w:t>, Matthias Stelljes</w:t>
      </w:r>
      <w:r>
        <w:rPr>
          <w:rFonts w:eastAsia="Times New Roman" w:cs="Times New Roman"/>
          <w:bCs/>
          <w:i/>
          <w:iCs/>
          <w:color w:val="000000" w:themeColor="text1"/>
          <w:szCs w:val="24"/>
          <w:vertAlign w:val="superscript"/>
        </w:rPr>
        <w:t>1</w:t>
      </w:r>
      <w:r>
        <w:rPr>
          <w:rFonts w:eastAsia="Times New Roman" w:cs="Times New Roman"/>
          <w:bCs/>
          <w:i/>
          <w:iCs/>
          <w:color w:val="000000" w:themeColor="text1"/>
          <w:szCs w:val="24"/>
        </w:rPr>
        <w:t>, Maja Rothenberg-Thurley</w:t>
      </w:r>
      <w:r>
        <w:rPr>
          <w:rFonts w:eastAsia="Times New Roman" w:cs="Times New Roman"/>
          <w:bCs/>
          <w:i/>
          <w:iCs/>
          <w:color w:val="000000" w:themeColor="text1"/>
          <w:szCs w:val="24"/>
          <w:vertAlign w:val="superscript"/>
        </w:rPr>
        <w:t>7</w:t>
      </w:r>
      <w:r>
        <w:rPr>
          <w:rFonts w:eastAsia="Times New Roman" w:cs="Times New Roman"/>
          <w:bCs/>
          <w:i/>
          <w:iCs/>
          <w:color w:val="000000" w:themeColor="text1"/>
          <w:szCs w:val="24"/>
        </w:rPr>
        <w:t>, Karsten Spiekermann</w:t>
      </w:r>
      <w:r>
        <w:rPr>
          <w:rFonts w:eastAsia="Times New Roman" w:cs="Times New Roman"/>
          <w:bCs/>
          <w:i/>
          <w:iCs/>
          <w:color w:val="000000" w:themeColor="text1"/>
          <w:szCs w:val="24"/>
          <w:vertAlign w:val="superscript"/>
        </w:rPr>
        <w:t>7</w:t>
      </w:r>
      <w:r>
        <w:rPr>
          <w:rFonts w:eastAsia="Times New Roman" w:cs="Times New Roman"/>
          <w:bCs/>
          <w:i/>
          <w:iCs/>
          <w:color w:val="000000" w:themeColor="text1"/>
          <w:szCs w:val="24"/>
        </w:rPr>
        <w:t>, Josée Hébert</w:t>
      </w:r>
      <w:r>
        <w:rPr>
          <w:rFonts w:eastAsia="Times New Roman" w:cs="Times New Roman"/>
          <w:bCs/>
          <w:i/>
          <w:iCs/>
          <w:color w:val="000000" w:themeColor="text1"/>
          <w:szCs w:val="24"/>
          <w:vertAlign w:val="superscript"/>
        </w:rPr>
        <w:t>8,9,10,11</w:t>
      </w:r>
      <w:r>
        <w:rPr>
          <w:rFonts w:eastAsia="Times New Roman" w:cs="Times New Roman"/>
          <w:bCs/>
          <w:i/>
          <w:iCs/>
          <w:color w:val="000000" w:themeColor="text1"/>
          <w:szCs w:val="24"/>
        </w:rPr>
        <w:t>, Guy Sauvageau</w:t>
      </w:r>
      <w:r>
        <w:rPr>
          <w:rFonts w:eastAsia="Times New Roman" w:cs="Times New Roman"/>
          <w:bCs/>
          <w:i/>
          <w:iCs/>
          <w:color w:val="000000" w:themeColor="text1"/>
          <w:szCs w:val="24"/>
          <w:vertAlign w:val="superscript"/>
        </w:rPr>
        <w:t>8,9,10,11</w:t>
      </w:r>
      <w:r>
        <w:rPr>
          <w:rFonts w:eastAsia="Times New Roman" w:cs="Times New Roman"/>
          <w:bCs/>
          <w:i/>
          <w:iCs/>
          <w:color w:val="000000" w:themeColor="text1"/>
          <w:szCs w:val="24"/>
        </w:rPr>
        <w:t>, Peter J. M. Valk</w:t>
      </w:r>
      <w:r>
        <w:rPr>
          <w:rFonts w:eastAsia="Times New Roman" w:cs="Times New Roman"/>
          <w:bCs/>
          <w:i/>
          <w:iCs/>
          <w:color w:val="000000" w:themeColor="text1"/>
          <w:szCs w:val="24"/>
          <w:vertAlign w:val="superscript"/>
        </w:rPr>
        <w:t>12</w:t>
      </w:r>
      <w:r>
        <w:rPr>
          <w:rFonts w:eastAsia="Times New Roman" w:cs="Times New Roman"/>
          <w:bCs/>
          <w:i/>
          <w:iCs/>
          <w:color w:val="000000" w:themeColor="text1"/>
          <w:szCs w:val="24"/>
        </w:rPr>
        <w:t>, Bob Löwenberg</w:t>
      </w:r>
      <w:r>
        <w:rPr>
          <w:rFonts w:eastAsia="Times New Roman" w:cs="Times New Roman"/>
          <w:bCs/>
          <w:i/>
          <w:iCs/>
          <w:color w:val="000000" w:themeColor="text1"/>
          <w:szCs w:val="24"/>
          <w:vertAlign w:val="superscript"/>
        </w:rPr>
        <w:t>12</w:t>
      </w:r>
      <w:r>
        <w:rPr>
          <w:rFonts w:eastAsia="Times New Roman" w:cs="Times New Roman"/>
          <w:bCs/>
          <w:i/>
          <w:iCs/>
          <w:color w:val="000000" w:themeColor="text1"/>
          <w:szCs w:val="24"/>
        </w:rPr>
        <w:t>, Hubert Serve</w:t>
      </w:r>
      <w:r>
        <w:rPr>
          <w:rFonts w:eastAsia="Times New Roman" w:cs="Times New Roman"/>
          <w:bCs/>
          <w:i/>
          <w:iCs/>
          <w:color w:val="000000" w:themeColor="text1"/>
          <w:szCs w:val="24"/>
          <w:vertAlign w:val="superscript"/>
        </w:rPr>
        <w:t>13</w:t>
      </w:r>
      <w:r>
        <w:rPr>
          <w:rFonts w:eastAsia="Times New Roman" w:cs="Times New Roman"/>
          <w:bCs/>
          <w:i/>
          <w:iCs/>
          <w:color w:val="000000" w:themeColor="text1"/>
          <w:szCs w:val="24"/>
        </w:rPr>
        <w:t>, Carsten Müller-Tidow</w:t>
      </w:r>
      <w:r>
        <w:rPr>
          <w:rFonts w:eastAsia="Times New Roman" w:cs="Times New Roman"/>
          <w:bCs/>
          <w:i/>
          <w:iCs/>
          <w:color w:val="000000" w:themeColor="text1"/>
          <w:szCs w:val="24"/>
          <w:vertAlign w:val="superscript"/>
        </w:rPr>
        <w:t>3</w:t>
      </w:r>
      <w:r>
        <w:rPr>
          <w:rFonts w:eastAsia="Times New Roman" w:cs="Times New Roman"/>
          <w:bCs/>
          <w:i/>
          <w:iCs/>
          <w:color w:val="000000" w:themeColor="text1"/>
          <w:szCs w:val="24"/>
        </w:rPr>
        <w:t>, Georg Lenz</w:t>
      </w:r>
      <w:r>
        <w:rPr>
          <w:rFonts w:eastAsia="Times New Roman" w:cs="Times New Roman"/>
          <w:bCs/>
          <w:i/>
          <w:iCs/>
          <w:color w:val="000000" w:themeColor="text1"/>
          <w:szCs w:val="24"/>
          <w:vertAlign w:val="superscript"/>
        </w:rPr>
        <w:t>1</w:t>
      </w:r>
      <w:r>
        <w:rPr>
          <w:rFonts w:eastAsia="Times New Roman" w:cs="Times New Roman"/>
          <w:bCs/>
          <w:i/>
          <w:iCs/>
          <w:color w:val="000000" w:themeColor="text1"/>
          <w:szCs w:val="24"/>
        </w:rPr>
        <w:t>, Bernhard J. Wörmann</w:t>
      </w:r>
      <w:r>
        <w:rPr>
          <w:rFonts w:eastAsia="Times New Roman" w:cs="Times New Roman"/>
          <w:bCs/>
          <w:i/>
          <w:iCs/>
          <w:color w:val="000000" w:themeColor="text1"/>
          <w:szCs w:val="24"/>
          <w:vertAlign w:val="superscript"/>
        </w:rPr>
        <w:t>14</w:t>
      </w:r>
      <w:r>
        <w:rPr>
          <w:rFonts w:eastAsia="Times New Roman" w:cs="Times New Roman"/>
          <w:bCs/>
          <w:i/>
          <w:iCs/>
          <w:color w:val="000000" w:themeColor="text1"/>
          <w:szCs w:val="24"/>
        </w:rPr>
        <w:t>, M. Cristina Sauerland</w:t>
      </w:r>
      <w:r>
        <w:rPr>
          <w:rFonts w:eastAsia="Times New Roman" w:cs="Times New Roman"/>
          <w:bCs/>
          <w:i/>
          <w:iCs/>
          <w:color w:val="000000" w:themeColor="text1"/>
          <w:szCs w:val="24"/>
          <w:vertAlign w:val="superscript"/>
        </w:rPr>
        <w:t>2</w:t>
      </w:r>
      <w:r>
        <w:rPr>
          <w:rFonts w:eastAsia="Times New Roman" w:cs="Times New Roman"/>
          <w:bCs/>
          <w:i/>
          <w:iCs/>
          <w:color w:val="000000" w:themeColor="text1"/>
          <w:szCs w:val="24"/>
        </w:rPr>
        <w:t>, Wolfgang Hiddemann</w:t>
      </w:r>
      <w:r>
        <w:rPr>
          <w:rFonts w:eastAsia="Times New Roman" w:cs="Times New Roman"/>
          <w:bCs/>
          <w:i/>
          <w:iCs/>
          <w:color w:val="000000" w:themeColor="text1"/>
          <w:szCs w:val="24"/>
          <w:vertAlign w:val="superscript"/>
        </w:rPr>
        <w:t>7</w:t>
      </w:r>
      <w:r>
        <w:rPr>
          <w:rFonts w:eastAsia="Times New Roman" w:cs="Times New Roman"/>
          <w:bCs/>
          <w:i/>
          <w:iCs/>
          <w:color w:val="000000" w:themeColor="text1"/>
          <w:szCs w:val="24"/>
        </w:rPr>
        <w:t>, Wolfgang E. Berdel</w:t>
      </w:r>
      <w:r>
        <w:rPr>
          <w:rFonts w:eastAsia="Times New Roman" w:cs="Times New Roman"/>
          <w:bCs/>
          <w:i/>
          <w:iCs/>
          <w:color w:val="000000" w:themeColor="text1"/>
          <w:szCs w:val="24"/>
          <w:vertAlign w:val="superscript"/>
        </w:rPr>
        <w:t>1</w:t>
      </w:r>
      <w:r>
        <w:rPr>
          <w:rFonts w:eastAsia="Times New Roman" w:cs="Times New Roman"/>
          <w:bCs/>
          <w:i/>
          <w:iCs/>
          <w:color w:val="000000" w:themeColor="text1"/>
          <w:szCs w:val="24"/>
        </w:rPr>
        <w:t>, Utz Krug</w:t>
      </w:r>
      <w:r>
        <w:rPr>
          <w:rFonts w:eastAsia="Times New Roman" w:cs="Times New Roman"/>
          <w:bCs/>
          <w:i/>
          <w:iCs/>
          <w:color w:val="000000" w:themeColor="text1"/>
          <w:szCs w:val="24"/>
          <w:vertAlign w:val="superscript"/>
        </w:rPr>
        <w:t>15</w:t>
      </w:r>
      <w:r>
        <w:rPr>
          <w:rFonts w:eastAsia="Times New Roman" w:cs="Times New Roman"/>
          <w:bCs/>
          <w:i/>
          <w:iCs/>
          <w:color w:val="000000" w:themeColor="text1"/>
          <w:szCs w:val="24"/>
        </w:rPr>
        <w:t>, Klaus H. Metzeler</w:t>
      </w:r>
      <w:r>
        <w:rPr>
          <w:rFonts w:eastAsia="Times New Roman" w:cs="Times New Roman"/>
          <w:bCs/>
          <w:i/>
          <w:iCs/>
          <w:color w:val="000000" w:themeColor="text1"/>
          <w:szCs w:val="24"/>
          <w:vertAlign w:val="superscript"/>
        </w:rPr>
        <w:t>7</w:t>
      </w:r>
      <w:r>
        <w:rPr>
          <w:rFonts w:eastAsia="Times New Roman" w:cs="Times New Roman"/>
          <w:bCs/>
          <w:i/>
          <w:iCs/>
          <w:color w:val="000000" w:themeColor="text1"/>
          <w:szCs w:val="24"/>
        </w:rPr>
        <w:t>, Jan-Henrik Mikesch</w:t>
      </w:r>
      <w:r>
        <w:rPr>
          <w:rFonts w:eastAsia="Times New Roman" w:cs="Times New Roman"/>
          <w:bCs/>
          <w:i/>
          <w:iCs/>
          <w:color w:val="000000" w:themeColor="text1"/>
          <w:szCs w:val="24"/>
          <w:vertAlign w:val="superscript"/>
        </w:rPr>
        <w:t>1</w:t>
      </w:r>
      <w:r>
        <w:rPr>
          <w:rFonts w:eastAsia="Times New Roman" w:cs="Times New Roman"/>
          <w:bCs/>
          <w:i/>
          <w:iCs/>
          <w:color w:val="000000" w:themeColor="text1"/>
          <w:szCs w:val="24"/>
        </w:rPr>
        <w:t>, Tobias Herold</w:t>
      </w:r>
      <w:r>
        <w:rPr>
          <w:rFonts w:eastAsia="Times New Roman" w:cs="Times New Roman"/>
          <w:bCs/>
          <w:i/>
          <w:iCs/>
          <w:color w:val="000000" w:themeColor="text1"/>
          <w:szCs w:val="24"/>
          <w:vertAlign w:val="superscript"/>
        </w:rPr>
        <w:t>7</w:t>
      </w:r>
      <w:r w:rsidR="00B4061E">
        <w:rPr>
          <w:rFonts w:eastAsia="Times New Roman" w:cs="Times New Roman"/>
          <w:bCs/>
          <w:i/>
          <w:iCs/>
          <w:color w:val="000000" w:themeColor="text1"/>
          <w:szCs w:val="24"/>
          <w:vertAlign w:val="superscript"/>
        </w:rPr>
        <w:t>,16</w:t>
      </w:r>
      <w:r>
        <w:rPr>
          <w:rFonts w:eastAsia="Times New Roman" w:cs="Times New Roman"/>
          <w:bCs/>
          <w:i/>
          <w:iCs/>
          <w:color w:val="000000" w:themeColor="text1"/>
          <w:szCs w:val="24"/>
        </w:rPr>
        <w:t>**, Christoph Schliemann</w:t>
      </w:r>
      <w:r>
        <w:rPr>
          <w:rFonts w:eastAsia="Times New Roman" w:cs="Times New Roman"/>
          <w:bCs/>
          <w:i/>
          <w:iCs/>
          <w:color w:val="000000" w:themeColor="text1"/>
          <w:szCs w:val="24"/>
          <w:vertAlign w:val="superscript"/>
        </w:rPr>
        <w:t>1</w:t>
      </w:r>
      <w:r>
        <w:rPr>
          <w:rFonts w:eastAsia="Times New Roman" w:cs="Times New Roman"/>
          <w:bCs/>
          <w:i/>
          <w:iCs/>
          <w:color w:val="000000" w:themeColor="text1"/>
          <w:szCs w:val="24"/>
        </w:rPr>
        <w:t>**</w:t>
      </w:r>
    </w:p>
    <w:p w14:paraId="38BC8CBD" w14:textId="77777777" w:rsidR="00DD142B" w:rsidRDefault="00F23CC1">
      <w:pPr>
        <w:spacing w:line="276" w:lineRule="auto"/>
        <w:rPr>
          <w:rFonts w:eastAsia="Times New Roman" w:cs="Times New Roman"/>
          <w:bCs/>
          <w:i/>
          <w:iCs/>
          <w:color w:val="000000"/>
          <w:sz w:val="20"/>
          <w:szCs w:val="18"/>
        </w:rPr>
      </w:pPr>
      <w:r>
        <w:rPr>
          <w:rFonts w:eastAsia="Times New Roman" w:cs="Times New Roman"/>
          <w:bCs/>
          <w:i/>
          <w:iCs/>
          <w:color w:val="000000" w:themeColor="text1"/>
          <w:sz w:val="20"/>
          <w:szCs w:val="18"/>
          <w:vertAlign w:val="superscript"/>
        </w:rPr>
        <w:t>1</w:t>
      </w:r>
      <w:r>
        <w:rPr>
          <w:rFonts w:eastAsia="Times New Roman" w:cs="Times New Roman"/>
          <w:bCs/>
          <w:i/>
          <w:iCs/>
          <w:color w:val="000000" w:themeColor="text1"/>
          <w:sz w:val="20"/>
          <w:szCs w:val="18"/>
        </w:rPr>
        <w:t>Department of Medicine A, University Hospital Münster, Münster, Germany;</w:t>
      </w:r>
    </w:p>
    <w:p w14:paraId="346FFEAF" w14:textId="77777777" w:rsidR="00DD142B" w:rsidRDefault="00F23CC1">
      <w:pPr>
        <w:spacing w:line="276" w:lineRule="auto"/>
        <w:rPr>
          <w:rFonts w:eastAsia="Times New Roman" w:cs="Times New Roman"/>
          <w:bCs/>
          <w:i/>
          <w:iCs/>
          <w:color w:val="000000"/>
          <w:sz w:val="20"/>
          <w:szCs w:val="18"/>
        </w:rPr>
      </w:pPr>
      <w:r>
        <w:rPr>
          <w:rFonts w:eastAsia="Times New Roman" w:cs="Times New Roman"/>
          <w:bCs/>
          <w:i/>
          <w:iCs/>
          <w:color w:val="000000" w:themeColor="text1"/>
          <w:sz w:val="20"/>
          <w:szCs w:val="18"/>
          <w:vertAlign w:val="superscript"/>
        </w:rPr>
        <w:t>2</w:t>
      </w:r>
      <w:r>
        <w:rPr>
          <w:rFonts w:eastAsia="Times New Roman" w:cs="Times New Roman"/>
          <w:bCs/>
          <w:i/>
          <w:iCs/>
          <w:color w:val="000000" w:themeColor="text1"/>
          <w:sz w:val="20"/>
          <w:szCs w:val="18"/>
        </w:rPr>
        <w:t>Institute of Biostatistics and Clinical Research, University of Münster, Münster, Germany;</w:t>
      </w:r>
    </w:p>
    <w:p w14:paraId="478A591D" w14:textId="77777777" w:rsidR="00DD142B" w:rsidRDefault="00F23CC1">
      <w:pPr>
        <w:spacing w:line="276" w:lineRule="auto"/>
        <w:rPr>
          <w:rFonts w:eastAsia="Times New Roman" w:cs="Times New Roman"/>
          <w:bCs/>
          <w:i/>
          <w:iCs/>
          <w:color w:val="000000"/>
          <w:sz w:val="20"/>
          <w:szCs w:val="18"/>
        </w:rPr>
      </w:pPr>
      <w:r>
        <w:rPr>
          <w:rFonts w:eastAsia="Times New Roman" w:cs="Times New Roman"/>
          <w:bCs/>
          <w:i/>
          <w:iCs/>
          <w:color w:val="000000" w:themeColor="text1"/>
          <w:sz w:val="20"/>
          <w:szCs w:val="18"/>
          <w:vertAlign w:val="superscript"/>
        </w:rPr>
        <w:t>3</w:t>
      </w:r>
      <w:r>
        <w:rPr>
          <w:rFonts w:eastAsia="Times New Roman" w:cs="Times New Roman"/>
          <w:bCs/>
          <w:i/>
          <w:iCs/>
          <w:color w:val="000000" w:themeColor="text1"/>
          <w:sz w:val="20"/>
          <w:szCs w:val="18"/>
        </w:rPr>
        <w:t>Department of Medicine V, University Hospital Heidelberg, Heidelberg, Germany;</w:t>
      </w:r>
    </w:p>
    <w:p w14:paraId="218989B3" w14:textId="77777777" w:rsidR="00DD142B" w:rsidRDefault="00F23CC1">
      <w:pPr>
        <w:spacing w:line="276" w:lineRule="auto"/>
        <w:rPr>
          <w:rFonts w:eastAsia="Times New Roman" w:cs="Times New Roman"/>
          <w:bCs/>
          <w:i/>
          <w:iCs/>
          <w:color w:val="000000"/>
          <w:sz w:val="20"/>
          <w:szCs w:val="18"/>
        </w:rPr>
      </w:pPr>
      <w:r>
        <w:rPr>
          <w:rFonts w:eastAsia="Times New Roman" w:cs="Times New Roman"/>
          <w:bCs/>
          <w:i/>
          <w:iCs/>
          <w:color w:val="000000" w:themeColor="text1"/>
          <w:sz w:val="20"/>
          <w:szCs w:val="18"/>
          <w:vertAlign w:val="superscript"/>
        </w:rPr>
        <w:t>4</w:t>
      </w:r>
      <w:r>
        <w:rPr>
          <w:rFonts w:eastAsia="Times New Roman" w:cs="Times New Roman"/>
          <w:bCs/>
          <w:i/>
          <w:iCs/>
          <w:color w:val="000000" w:themeColor="text1"/>
          <w:sz w:val="20"/>
          <w:szCs w:val="18"/>
        </w:rPr>
        <w:t>Leukaemia &amp; Blood Cancer Research Unit, Department of Molecular Medicine and Pathology, University of Auckland, Auckland, New Zealand;</w:t>
      </w:r>
    </w:p>
    <w:p w14:paraId="34745B8A" w14:textId="77777777" w:rsidR="00DD142B" w:rsidRDefault="00F23CC1">
      <w:pPr>
        <w:spacing w:line="276" w:lineRule="auto"/>
        <w:rPr>
          <w:rFonts w:eastAsia="Times New Roman" w:cs="Times New Roman"/>
          <w:bCs/>
          <w:i/>
          <w:iCs/>
          <w:color w:val="000000"/>
          <w:sz w:val="20"/>
          <w:szCs w:val="18"/>
        </w:rPr>
      </w:pPr>
      <w:r>
        <w:rPr>
          <w:rFonts w:eastAsia="Times New Roman" w:cs="Times New Roman"/>
          <w:bCs/>
          <w:i/>
          <w:iCs/>
          <w:color w:val="000000" w:themeColor="text1"/>
          <w:sz w:val="20"/>
          <w:szCs w:val="18"/>
          <w:vertAlign w:val="superscript"/>
        </w:rPr>
        <w:t>5</w:t>
      </w:r>
      <w:r>
        <w:rPr>
          <w:rFonts w:eastAsia="Times New Roman" w:cs="Times New Roman"/>
          <w:bCs/>
          <w:i/>
          <w:iCs/>
          <w:color w:val="000000" w:themeColor="text1"/>
          <w:sz w:val="20"/>
          <w:szCs w:val="18"/>
        </w:rPr>
        <w:t>Gerhard-Domagk-Institute of Pathology, University Hospital Münster, Münster, Germany;</w:t>
      </w:r>
    </w:p>
    <w:p w14:paraId="6EE889DB" w14:textId="77777777" w:rsidR="00DD142B" w:rsidRDefault="00F23CC1">
      <w:pPr>
        <w:spacing w:line="276" w:lineRule="auto"/>
        <w:rPr>
          <w:rFonts w:eastAsia="Times New Roman" w:cs="Times New Roman"/>
          <w:bCs/>
          <w:i/>
          <w:iCs/>
          <w:color w:val="000000"/>
          <w:sz w:val="20"/>
          <w:szCs w:val="18"/>
        </w:rPr>
      </w:pPr>
      <w:r>
        <w:rPr>
          <w:rFonts w:eastAsia="Times New Roman" w:cs="Times New Roman"/>
          <w:bCs/>
          <w:i/>
          <w:iCs/>
          <w:color w:val="000000" w:themeColor="text1"/>
          <w:sz w:val="20"/>
          <w:szCs w:val="18"/>
          <w:vertAlign w:val="superscript"/>
        </w:rPr>
        <w:t>6</w:t>
      </w:r>
      <w:r>
        <w:rPr>
          <w:rFonts w:eastAsia="Times New Roman" w:cs="Times New Roman"/>
          <w:bCs/>
          <w:i/>
          <w:iCs/>
          <w:color w:val="000000" w:themeColor="text1"/>
          <w:sz w:val="20"/>
          <w:szCs w:val="18"/>
        </w:rPr>
        <w:t>Department of Biophysics, Faculty of Medicine, Centre for Integrative Physiology and Molecular Medicine (CIPMM), Saarland University, Homburg, Germany;</w:t>
      </w:r>
    </w:p>
    <w:p w14:paraId="69FD96C2" w14:textId="77777777" w:rsidR="00DD142B" w:rsidRDefault="00F23CC1">
      <w:pPr>
        <w:spacing w:line="276" w:lineRule="auto"/>
        <w:rPr>
          <w:rFonts w:cs="Times New Roman"/>
          <w:vertAlign w:val="superscript"/>
        </w:rPr>
      </w:pPr>
      <w:r>
        <w:rPr>
          <w:rFonts w:eastAsia="Times New Roman" w:cs="Times New Roman"/>
          <w:bCs/>
          <w:i/>
          <w:iCs/>
          <w:color w:val="000000" w:themeColor="text1"/>
          <w:sz w:val="20"/>
          <w:szCs w:val="18"/>
          <w:vertAlign w:val="superscript"/>
        </w:rPr>
        <w:t>7</w:t>
      </w:r>
      <w:r>
        <w:rPr>
          <w:rFonts w:eastAsia="Times New Roman" w:cs="Times New Roman"/>
          <w:bCs/>
          <w:i/>
          <w:iCs/>
          <w:color w:val="000000" w:themeColor="text1"/>
          <w:sz w:val="20"/>
          <w:szCs w:val="18"/>
        </w:rPr>
        <w:t>Department of Medicine III, University Hospital Grosshadern, LMU Munich, Munich, Germany;</w:t>
      </w:r>
    </w:p>
    <w:p w14:paraId="408D8896" w14:textId="77777777" w:rsidR="00DD142B" w:rsidRDefault="00F23CC1">
      <w:pPr>
        <w:spacing w:line="276" w:lineRule="auto"/>
        <w:rPr>
          <w:rFonts w:eastAsia="Times New Roman" w:cs="Times New Roman"/>
          <w:bCs/>
          <w:i/>
          <w:iCs/>
          <w:color w:val="000000"/>
          <w:sz w:val="20"/>
          <w:szCs w:val="18"/>
        </w:rPr>
      </w:pPr>
      <w:r>
        <w:rPr>
          <w:rFonts w:eastAsia="Times New Roman" w:cs="Times New Roman"/>
          <w:bCs/>
          <w:i/>
          <w:iCs/>
          <w:color w:val="000000" w:themeColor="text1"/>
          <w:sz w:val="20"/>
          <w:szCs w:val="18"/>
          <w:vertAlign w:val="superscript"/>
        </w:rPr>
        <w:t>8</w:t>
      </w:r>
      <w:r>
        <w:rPr>
          <w:rFonts w:eastAsia="Times New Roman" w:cs="Times New Roman"/>
          <w:bCs/>
          <w:i/>
          <w:iCs/>
          <w:color w:val="000000" w:themeColor="text1"/>
          <w:sz w:val="20"/>
          <w:szCs w:val="18"/>
        </w:rPr>
        <w:t>The Leucegene Project at Institute for Research in Immunology and Cancer, University of Montreal, Montreal, Quebec, Canada;</w:t>
      </w:r>
    </w:p>
    <w:p w14:paraId="10BDC2DA" w14:textId="77777777" w:rsidR="00DD142B" w:rsidRDefault="00F23CC1">
      <w:pPr>
        <w:spacing w:line="276" w:lineRule="auto"/>
        <w:rPr>
          <w:rFonts w:eastAsia="Times New Roman" w:cs="Times New Roman"/>
          <w:bCs/>
          <w:i/>
          <w:iCs/>
          <w:color w:val="000000"/>
          <w:sz w:val="20"/>
          <w:szCs w:val="18"/>
        </w:rPr>
      </w:pPr>
      <w:r>
        <w:rPr>
          <w:rFonts w:eastAsia="Times New Roman" w:cs="Times New Roman"/>
          <w:bCs/>
          <w:i/>
          <w:iCs/>
          <w:color w:val="000000" w:themeColor="text1"/>
          <w:sz w:val="20"/>
          <w:szCs w:val="18"/>
          <w:vertAlign w:val="superscript"/>
        </w:rPr>
        <w:t>9</w:t>
      </w:r>
      <w:r>
        <w:rPr>
          <w:rFonts w:eastAsia="Times New Roman" w:cs="Times New Roman"/>
          <w:bCs/>
          <w:i/>
          <w:iCs/>
          <w:color w:val="000000" w:themeColor="text1"/>
          <w:sz w:val="20"/>
          <w:szCs w:val="18"/>
        </w:rPr>
        <w:t>Division of Hematology-Oncology, Maisonneuve-Rosemont Hospital, Montreal, Quebec, Canada;</w:t>
      </w:r>
    </w:p>
    <w:p w14:paraId="5AE8EF4C" w14:textId="77777777" w:rsidR="00DD142B" w:rsidRDefault="00F23CC1">
      <w:pPr>
        <w:spacing w:line="276" w:lineRule="auto"/>
        <w:rPr>
          <w:rFonts w:eastAsia="Times New Roman" w:cs="Times New Roman"/>
          <w:bCs/>
          <w:i/>
          <w:iCs/>
          <w:color w:val="000000"/>
          <w:sz w:val="20"/>
          <w:szCs w:val="18"/>
        </w:rPr>
      </w:pPr>
      <w:r>
        <w:rPr>
          <w:rFonts w:eastAsia="Times New Roman" w:cs="Times New Roman"/>
          <w:bCs/>
          <w:i/>
          <w:iCs/>
          <w:color w:val="000000" w:themeColor="text1"/>
          <w:sz w:val="20"/>
          <w:szCs w:val="18"/>
          <w:vertAlign w:val="superscript"/>
        </w:rPr>
        <w:t>10</w:t>
      </w:r>
      <w:r>
        <w:rPr>
          <w:rFonts w:eastAsia="Times New Roman" w:cs="Times New Roman"/>
          <w:bCs/>
          <w:i/>
          <w:iCs/>
          <w:color w:val="000000" w:themeColor="text1"/>
          <w:sz w:val="20"/>
          <w:szCs w:val="18"/>
        </w:rPr>
        <w:t>Quebec Leukemia Cell Bank, Maisonneuve-Rosemont Hospital, Montreal, Quebec, Canada;</w:t>
      </w:r>
    </w:p>
    <w:p w14:paraId="3531291A" w14:textId="77777777" w:rsidR="00DD142B" w:rsidRDefault="00F23CC1">
      <w:pPr>
        <w:spacing w:line="276" w:lineRule="auto"/>
        <w:rPr>
          <w:rFonts w:eastAsia="Times New Roman" w:cs="Times New Roman"/>
          <w:bCs/>
          <w:i/>
          <w:iCs/>
          <w:color w:val="000000"/>
          <w:sz w:val="20"/>
          <w:szCs w:val="18"/>
        </w:rPr>
      </w:pPr>
      <w:r>
        <w:rPr>
          <w:rFonts w:eastAsia="Times New Roman" w:cs="Times New Roman"/>
          <w:bCs/>
          <w:i/>
          <w:iCs/>
          <w:color w:val="000000" w:themeColor="text1"/>
          <w:sz w:val="20"/>
          <w:szCs w:val="18"/>
          <w:vertAlign w:val="superscript"/>
        </w:rPr>
        <w:t>11</w:t>
      </w:r>
      <w:r>
        <w:rPr>
          <w:rFonts w:eastAsia="Times New Roman" w:cs="Times New Roman"/>
          <w:bCs/>
          <w:i/>
          <w:iCs/>
          <w:color w:val="000000" w:themeColor="text1"/>
          <w:sz w:val="20"/>
          <w:szCs w:val="18"/>
        </w:rPr>
        <w:t>Department of Medicine, University of Montreal, Montreal, Quebec, Canada;</w:t>
      </w:r>
    </w:p>
    <w:p w14:paraId="3A0292E7" w14:textId="77777777" w:rsidR="00DD142B" w:rsidRDefault="00F23CC1">
      <w:pPr>
        <w:spacing w:line="276" w:lineRule="auto"/>
        <w:rPr>
          <w:rFonts w:eastAsia="Times New Roman" w:cs="Times New Roman"/>
          <w:bCs/>
          <w:i/>
          <w:iCs/>
          <w:color w:val="000000"/>
          <w:sz w:val="20"/>
          <w:szCs w:val="18"/>
          <w:vertAlign w:val="superscript"/>
        </w:rPr>
      </w:pPr>
      <w:r>
        <w:rPr>
          <w:rFonts w:eastAsia="Times New Roman" w:cs="Times New Roman"/>
          <w:bCs/>
          <w:i/>
          <w:iCs/>
          <w:color w:val="000000" w:themeColor="text1"/>
          <w:sz w:val="20"/>
          <w:szCs w:val="18"/>
          <w:vertAlign w:val="superscript"/>
        </w:rPr>
        <w:t>12</w:t>
      </w:r>
      <w:r>
        <w:rPr>
          <w:rFonts w:eastAsia="Times New Roman" w:cs="Times New Roman"/>
          <w:bCs/>
          <w:i/>
          <w:iCs/>
          <w:color w:val="000000" w:themeColor="text1"/>
          <w:sz w:val="20"/>
          <w:szCs w:val="18"/>
        </w:rPr>
        <w:t>Department of Hematology, Erasmus University Medical Centre, Rotterdam, the Netherlands;</w:t>
      </w:r>
    </w:p>
    <w:p w14:paraId="0FCA7433" w14:textId="77777777" w:rsidR="00DD142B" w:rsidRDefault="00F23CC1">
      <w:pPr>
        <w:spacing w:line="276" w:lineRule="auto"/>
        <w:rPr>
          <w:rFonts w:eastAsia="Times New Roman" w:cs="Times New Roman"/>
          <w:bCs/>
          <w:iCs/>
          <w:color w:val="000000"/>
          <w:sz w:val="20"/>
          <w:szCs w:val="18"/>
        </w:rPr>
      </w:pPr>
      <w:r>
        <w:rPr>
          <w:rFonts w:eastAsia="Times New Roman" w:cs="Times New Roman"/>
          <w:bCs/>
          <w:i/>
          <w:iCs/>
          <w:color w:val="000000" w:themeColor="text1"/>
          <w:sz w:val="20"/>
          <w:szCs w:val="18"/>
          <w:vertAlign w:val="superscript"/>
        </w:rPr>
        <w:t>13</w:t>
      </w:r>
      <w:r>
        <w:rPr>
          <w:rFonts w:eastAsia="Times New Roman" w:cs="Times New Roman"/>
          <w:bCs/>
          <w:i/>
          <w:iCs/>
          <w:color w:val="000000" w:themeColor="text1"/>
          <w:sz w:val="20"/>
          <w:szCs w:val="18"/>
        </w:rPr>
        <w:t>Department of Hematology and Oncology, University Hospital Frankfurt, Frankfurt, Germany</w:t>
      </w:r>
      <w:r>
        <w:rPr>
          <w:rFonts w:eastAsia="Times New Roman" w:cs="Times New Roman"/>
          <w:bCs/>
          <w:iCs/>
          <w:color w:val="000000" w:themeColor="text1"/>
          <w:sz w:val="20"/>
          <w:szCs w:val="18"/>
        </w:rPr>
        <w:t>;</w:t>
      </w:r>
    </w:p>
    <w:p w14:paraId="64D8788E" w14:textId="77777777" w:rsidR="00DD142B" w:rsidRDefault="00F23CC1">
      <w:pPr>
        <w:spacing w:line="276" w:lineRule="auto"/>
        <w:rPr>
          <w:rFonts w:eastAsia="Times New Roman" w:cs="Times New Roman"/>
          <w:bCs/>
          <w:i/>
          <w:iCs/>
          <w:color w:val="000000"/>
          <w:sz w:val="20"/>
          <w:szCs w:val="18"/>
        </w:rPr>
      </w:pPr>
      <w:r>
        <w:rPr>
          <w:rFonts w:eastAsia="Times New Roman" w:cs="Times New Roman"/>
          <w:bCs/>
          <w:i/>
          <w:iCs/>
          <w:color w:val="000000" w:themeColor="text1"/>
          <w:sz w:val="20"/>
          <w:szCs w:val="18"/>
          <w:vertAlign w:val="superscript"/>
        </w:rPr>
        <w:t>14</w:t>
      </w:r>
      <w:r>
        <w:rPr>
          <w:rFonts w:eastAsia="Times New Roman" w:cs="Times New Roman"/>
          <w:bCs/>
          <w:i/>
          <w:iCs/>
          <w:color w:val="000000" w:themeColor="text1"/>
          <w:sz w:val="20"/>
          <w:szCs w:val="18"/>
        </w:rPr>
        <w:t>Department of Hematology, Oncology and Tumor Immunology, Charité University Medicine, Campus Virchow, Berlin, Germany;</w:t>
      </w:r>
    </w:p>
    <w:p w14:paraId="5F95C9FC" w14:textId="77777777" w:rsidR="00DD142B" w:rsidRDefault="00F23CC1">
      <w:pPr>
        <w:spacing w:line="276" w:lineRule="auto"/>
        <w:rPr>
          <w:rFonts w:eastAsia="Times New Roman" w:cs="Times New Roman"/>
          <w:bCs/>
          <w:i/>
          <w:iCs/>
          <w:color w:val="000000"/>
          <w:sz w:val="20"/>
          <w:szCs w:val="18"/>
        </w:rPr>
      </w:pPr>
      <w:r>
        <w:rPr>
          <w:rFonts w:eastAsia="Times New Roman" w:cs="Times New Roman"/>
          <w:bCs/>
          <w:i/>
          <w:iCs/>
          <w:color w:val="000000" w:themeColor="text1"/>
          <w:sz w:val="20"/>
          <w:szCs w:val="18"/>
          <w:vertAlign w:val="superscript"/>
        </w:rPr>
        <w:t>15</w:t>
      </w:r>
      <w:r>
        <w:rPr>
          <w:rFonts w:eastAsia="Times New Roman" w:cs="Times New Roman"/>
          <w:bCs/>
          <w:i/>
          <w:iCs/>
          <w:color w:val="000000" w:themeColor="text1"/>
          <w:sz w:val="20"/>
          <w:szCs w:val="18"/>
        </w:rPr>
        <w:t>Department of Medicine 3, Klinikum Leverkusen, Leverkusen, Germany;</w:t>
      </w:r>
    </w:p>
    <w:p w14:paraId="10729FB1" w14:textId="77777777" w:rsidR="00DD142B" w:rsidRDefault="00F23CC1">
      <w:pPr>
        <w:spacing w:line="276" w:lineRule="auto"/>
        <w:rPr>
          <w:rFonts w:eastAsia="Times New Roman" w:cs="Times New Roman"/>
          <w:bCs/>
          <w:i/>
          <w:iCs/>
          <w:color w:val="000000"/>
          <w:sz w:val="20"/>
          <w:szCs w:val="18"/>
        </w:rPr>
      </w:pPr>
      <w:r>
        <w:rPr>
          <w:rFonts w:eastAsia="Times New Roman" w:cs="Times New Roman"/>
          <w:bCs/>
          <w:i/>
          <w:iCs/>
          <w:color w:val="000000" w:themeColor="text1"/>
          <w:sz w:val="20"/>
          <w:szCs w:val="18"/>
          <w:vertAlign w:val="superscript"/>
        </w:rPr>
        <w:t>16</w:t>
      </w:r>
      <w:r>
        <w:rPr>
          <w:rFonts w:eastAsia="Times New Roman" w:cs="Times New Roman"/>
          <w:bCs/>
          <w:i/>
          <w:iCs/>
          <w:color w:val="000000" w:themeColor="text1"/>
          <w:sz w:val="20"/>
          <w:szCs w:val="18"/>
        </w:rPr>
        <w:t>Research Unit Apoptosis in Hematopoietic Stem Cells, Helmholtz Zentrum München, German Center for Environmental Health (HMGU), Munich, Germany;</w:t>
      </w:r>
    </w:p>
    <w:p w14:paraId="1865064C" w14:textId="77777777" w:rsidR="00DD142B" w:rsidRDefault="00F23CC1">
      <w:pPr>
        <w:spacing w:line="276" w:lineRule="auto"/>
        <w:rPr>
          <w:rFonts w:eastAsia="Times New Roman" w:cs="Times New Roman"/>
          <w:bCs/>
          <w:i/>
          <w:iCs/>
          <w:color w:val="000000"/>
          <w:sz w:val="20"/>
          <w:szCs w:val="18"/>
        </w:rPr>
      </w:pPr>
      <w:r>
        <w:rPr>
          <w:rFonts w:eastAsia="Times New Roman" w:cs="Times New Roman"/>
          <w:bCs/>
          <w:i/>
          <w:iCs/>
          <w:color w:val="000000" w:themeColor="text1"/>
          <w:sz w:val="20"/>
          <w:szCs w:val="18"/>
        </w:rPr>
        <w:t>*share first authorship; **share senior authorship</w:t>
      </w:r>
    </w:p>
    <w:p w14:paraId="76AF3F8A" w14:textId="77777777" w:rsidR="00DD142B" w:rsidRDefault="00DD142B">
      <w:pPr>
        <w:spacing w:after="0"/>
        <w:jc w:val="left"/>
        <w:rPr>
          <w:rStyle w:val="Hyperlink"/>
          <w:rFonts w:cs="Times New Roman"/>
          <w:color w:val="000000"/>
          <w:szCs w:val="24"/>
          <w:u w:val="none"/>
        </w:rPr>
      </w:pPr>
    </w:p>
    <w:p w14:paraId="3C25783C" w14:textId="77777777" w:rsidR="00DD142B" w:rsidRDefault="00DD142B">
      <w:pPr>
        <w:pStyle w:val="berschrift2"/>
        <w:rPr>
          <w:rFonts w:cs="Times New Roman"/>
        </w:rPr>
      </w:pPr>
    </w:p>
    <w:p w14:paraId="04826D3E" w14:textId="77777777" w:rsidR="00DD142B" w:rsidRDefault="00F23CC1">
      <w:pPr>
        <w:spacing w:after="0" w:line="240" w:lineRule="auto"/>
        <w:jc w:val="left"/>
        <w:rPr>
          <w:rFonts w:eastAsia="Times New Roman"/>
          <w:b/>
          <w:sz w:val="28"/>
        </w:rPr>
      </w:pPr>
      <w:r>
        <w:br w:type="page"/>
      </w:r>
    </w:p>
    <w:p w14:paraId="1AA59607" w14:textId="77777777" w:rsidR="00DD142B" w:rsidRDefault="00F23CC1">
      <w:pPr>
        <w:pStyle w:val="berschrift1"/>
        <w:rPr>
          <w:szCs w:val="24"/>
        </w:rPr>
      </w:pPr>
      <w:r>
        <w:lastRenderedPageBreak/>
        <w:t>Abstract</w:t>
      </w:r>
    </w:p>
    <w:p w14:paraId="5D794E5A" w14:textId="77777777" w:rsidR="00DD142B" w:rsidRDefault="00F23CC1">
      <w:pPr>
        <w:rPr>
          <w:rFonts w:cs="Times New Roman"/>
          <w:szCs w:val="24"/>
        </w:rPr>
      </w:pPr>
      <w:r>
        <w:rPr>
          <w:rFonts w:cs="Times New Roman"/>
          <w:bCs/>
          <w:i/>
          <w:iCs/>
          <w:szCs w:val="24"/>
        </w:rPr>
        <w:t>Calcitonin receptor-like</w:t>
      </w:r>
      <w:r>
        <w:rPr>
          <w:rFonts w:cs="Times New Roman"/>
          <w:bCs/>
          <w:iCs/>
          <w:szCs w:val="24"/>
        </w:rPr>
        <w:t xml:space="preserve"> (</w:t>
      </w:r>
      <w:r>
        <w:rPr>
          <w:rFonts w:cs="Times New Roman"/>
          <w:i/>
          <w:szCs w:val="24"/>
        </w:rPr>
        <w:t>CALCRL</w:t>
      </w:r>
      <w:r>
        <w:rPr>
          <w:rFonts w:cs="Times New Roman"/>
          <w:szCs w:val="24"/>
        </w:rPr>
        <w:t xml:space="preserve">) is a G-protein-coupled neuropeptide receptor involved in the regulation of blood pressure, angiogenesis, cell proliferation and apoptosis, and is currently emerging as a novel target for the treatment of migraine. This study characterizes the role of </w:t>
      </w:r>
      <w:r>
        <w:rPr>
          <w:rFonts w:cs="Times New Roman"/>
          <w:i/>
          <w:szCs w:val="24"/>
        </w:rPr>
        <w:t>CALCRL</w:t>
      </w:r>
      <w:r>
        <w:rPr>
          <w:rFonts w:cs="Times New Roman"/>
          <w:szCs w:val="24"/>
        </w:rPr>
        <w:t xml:space="preserve"> in acute myeloid leukemia (AML). We analyzed</w:t>
      </w:r>
      <w:r>
        <w:rPr>
          <w:rFonts w:cs="Times New Roman"/>
          <w:b/>
          <w:szCs w:val="24"/>
        </w:rPr>
        <w:t xml:space="preserve"> </w:t>
      </w:r>
      <w:r>
        <w:rPr>
          <w:rFonts w:cs="Times New Roman"/>
          <w:i/>
          <w:szCs w:val="24"/>
        </w:rPr>
        <w:t>CALCRL</w:t>
      </w:r>
      <w:r>
        <w:rPr>
          <w:rFonts w:cs="Times New Roman"/>
          <w:szCs w:val="24"/>
        </w:rPr>
        <w:t xml:space="preserve"> expression in collectively more than 1500 well-characterized AML patients from five international cohorts (AMLCG, HOVON, TCGA, Leucegene, and UKM) and evaluated associations with survival. In the AMLCG analytic cohort, increasing transcript levels of </w:t>
      </w:r>
      <w:r>
        <w:rPr>
          <w:rFonts w:cs="Times New Roman"/>
          <w:i/>
          <w:szCs w:val="24"/>
        </w:rPr>
        <w:t>CALCRL</w:t>
      </w:r>
      <w:r>
        <w:rPr>
          <w:rFonts w:cs="Times New Roman"/>
          <w:szCs w:val="24"/>
        </w:rPr>
        <w:t xml:space="preserve"> were associated with decreasing complete remission rates (71.5%, 53.7%, 49.6% for low, intermediate, high </w:t>
      </w:r>
      <w:r>
        <w:rPr>
          <w:rFonts w:cs="Times New Roman"/>
          <w:i/>
          <w:szCs w:val="24"/>
        </w:rPr>
        <w:t>CALCRL</w:t>
      </w:r>
      <w:r>
        <w:rPr>
          <w:rFonts w:cs="Times New Roman"/>
          <w:szCs w:val="24"/>
        </w:rPr>
        <w:t xml:space="preserve"> expression), 5-year overall (43.1%, 26.2%, 7.1%), and event-free survival (29.9%, 15.8%, 4.7%) (all </w:t>
      </w:r>
      <w:r>
        <w:rPr>
          <w:rFonts w:cs="Times New Roman"/>
          <w:i/>
          <w:szCs w:val="24"/>
        </w:rPr>
        <w:t>P</w:t>
      </w:r>
      <w:r>
        <w:rPr>
          <w:rFonts w:cs="Times New Roman"/>
          <w:szCs w:val="24"/>
        </w:rPr>
        <w:t xml:space="preserve"> &lt; .001). </w:t>
      </w:r>
      <w:r>
        <w:rPr>
          <w:rFonts w:cs="Times New Roman"/>
          <w:i/>
          <w:szCs w:val="24"/>
        </w:rPr>
        <w:t>CALCRL</w:t>
      </w:r>
      <w:r>
        <w:rPr>
          <w:rFonts w:cs="Times New Roman"/>
          <w:szCs w:val="24"/>
        </w:rPr>
        <w:t xml:space="preserve"> levels remained associated with all endpoints on multivariable regression analyses. The prognostic impact was confirmed in all validation sets. Genes highly expressed in </w:t>
      </w:r>
      <w:r>
        <w:rPr>
          <w:rFonts w:cs="Times New Roman"/>
          <w:i/>
          <w:szCs w:val="24"/>
        </w:rPr>
        <w:t>CALCRL</w:t>
      </w:r>
      <w:r>
        <w:rPr>
          <w:rFonts w:cs="Times New Roman"/>
          <w:szCs w:val="24"/>
          <w:vertAlign w:val="superscript"/>
        </w:rPr>
        <w:t>high</w:t>
      </w:r>
      <w:r>
        <w:rPr>
          <w:rFonts w:cs="Times New Roman"/>
          <w:szCs w:val="24"/>
        </w:rPr>
        <w:t xml:space="preserve"> AML were significantly enriched in leukemic stem cell signatures and </w:t>
      </w:r>
      <w:r>
        <w:rPr>
          <w:rFonts w:cs="Times New Roman"/>
          <w:i/>
          <w:szCs w:val="24"/>
        </w:rPr>
        <w:t>CALCRL</w:t>
      </w:r>
      <w:r>
        <w:rPr>
          <w:rFonts w:cs="Times New Roman"/>
          <w:szCs w:val="24"/>
        </w:rPr>
        <w:t xml:space="preserve"> levels were positively linked to the engraftment capacity of primary patient samples in immunocompromised mice. CRISPR-Cas9-mediated knockout of </w:t>
      </w:r>
      <w:r>
        <w:rPr>
          <w:rFonts w:cs="Times New Roman"/>
          <w:i/>
          <w:szCs w:val="24"/>
        </w:rPr>
        <w:t>CALCRL</w:t>
      </w:r>
      <w:r>
        <w:rPr>
          <w:rFonts w:cs="Times New Roman"/>
          <w:szCs w:val="24"/>
        </w:rPr>
        <w:t xml:space="preserve"> significantly impaired colony formation in human myeloid leukemia cell lines. Overall, our study demonstrates that </w:t>
      </w:r>
      <w:r>
        <w:rPr>
          <w:rFonts w:cs="Times New Roman"/>
          <w:i/>
          <w:szCs w:val="24"/>
        </w:rPr>
        <w:t>CALCRL</w:t>
      </w:r>
      <w:r>
        <w:rPr>
          <w:rFonts w:cs="Times New Roman"/>
          <w:szCs w:val="24"/>
        </w:rPr>
        <w:t xml:space="preserve"> predicts outcome beyond existing risk factors and is a potential therapeutic target in AML. </w:t>
      </w:r>
    </w:p>
    <w:p w14:paraId="11BFBB4C" w14:textId="77777777" w:rsidR="00DD142B" w:rsidRDefault="00F23CC1">
      <w:pPr>
        <w:spacing w:after="0"/>
        <w:jc w:val="left"/>
        <w:rPr>
          <w:rFonts w:eastAsia="Times New Roman" w:cs="Times New Roman"/>
          <w:b/>
          <w:sz w:val="28"/>
        </w:rPr>
      </w:pPr>
      <w:r>
        <w:rPr>
          <w:rFonts w:cs="Times New Roman"/>
        </w:rPr>
        <w:br w:type="page"/>
      </w:r>
    </w:p>
    <w:p w14:paraId="03811BF8" w14:textId="77777777" w:rsidR="00DD142B" w:rsidRDefault="00F23CC1">
      <w:pPr>
        <w:pStyle w:val="berschrift1"/>
        <w:rPr>
          <w:rFonts w:cs="Times New Roman"/>
        </w:rPr>
      </w:pPr>
      <w:r>
        <w:rPr>
          <w:rFonts w:cs="Times New Roman"/>
        </w:rPr>
        <w:lastRenderedPageBreak/>
        <w:t>Introduction</w:t>
      </w:r>
    </w:p>
    <w:p w14:paraId="0B1AA5E8" w14:textId="77777777" w:rsidR="00DD142B" w:rsidRDefault="00F23CC1">
      <w:pPr>
        <w:rPr>
          <w:rFonts w:cs="Times New Roman"/>
          <w:szCs w:val="24"/>
        </w:rPr>
      </w:pPr>
      <w:r>
        <w:rPr>
          <w:rFonts w:cs="Times New Roman"/>
          <w:szCs w:val="24"/>
        </w:rPr>
        <w:t xml:space="preserve">The </w:t>
      </w:r>
      <w:r>
        <w:rPr>
          <w:rFonts w:cs="Times New Roman"/>
          <w:i/>
          <w:szCs w:val="24"/>
        </w:rPr>
        <w:t>calcitonin receptor</w:t>
      </w:r>
      <w:r>
        <w:rPr>
          <w:rFonts w:eastAsia="Calibri" w:cs="Times New Roman"/>
          <w:i/>
          <w:szCs w:val="24"/>
        </w:rPr>
        <w:t>-</w:t>
      </w:r>
      <w:r>
        <w:rPr>
          <w:rFonts w:cs="Times New Roman"/>
          <w:i/>
          <w:szCs w:val="24"/>
        </w:rPr>
        <w:t>like</w:t>
      </w:r>
      <w:r>
        <w:rPr>
          <w:rFonts w:cs="Times New Roman"/>
          <w:szCs w:val="24"/>
        </w:rPr>
        <w:t xml:space="preserve"> (</w:t>
      </w:r>
      <w:r>
        <w:rPr>
          <w:rFonts w:cs="Times New Roman"/>
          <w:i/>
          <w:szCs w:val="24"/>
        </w:rPr>
        <w:t>CALCRL</w:t>
      </w:r>
      <w:r>
        <w:rPr>
          <w:rFonts w:cs="Times New Roman"/>
          <w:szCs w:val="24"/>
        </w:rPr>
        <w:t>) gene, located on chromosome 2q32.1, encodes for a seven-transmembrane G-protein-coupled receptor that mediates the pleiotropic effects of calcitonin gene-related peptide (CGRP) and adrenomedullin (ADM), two structurally related neuropeptides originally described as potent vasodilators.</w:t>
      </w:r>
      <w:r>
        <w:rPr>
          <w:rFonts w:cs="Times New Roman"/>
          <w:szCs w:val="24"/>
        </w:rPr>
        <w:fldChar w:fldCharType="begin"/>
      </w:r>
      <w:r>
        <w:rPr>
          <w:rFonts w:cs="Times New Roman"/>
          <w:szCs w:val="24"/>
        </w:rPr>
        <w:instrText xml:space="preserve"> ADDIN EN.CITE </w:instrText>
      </w:r>
      <w:r>
        <w:rPr>
          <w:rFonts w:cs="Times New Roman"/>
          <w:szCs w:val="24"/>
        </w:rPr>
        <w:fldChar w:fldCharType="begin"/>
      </w:r>
      <w:r>
        <w:rPr>
          <w:rFonts w:cs="Times New Roman"/>
          <w:szCs w:val="24"/>
        </w:rPr>
        <w:instrText xml:space="preserve"> ADDIN EN.CITE.DATA </w:instrText>
      </w:r>
      <w:r>
        <w:rPr>
          <w:rFonts w:cs="Times New Roman"/>
          <w:szCs w:val="24"/>
        </w:rPr>
        <w:fldChar w:fldCharType="end"/>
      </w:r>
      <w:r>
        <w:rPr>
          <w:rFonts w:cs="Times New Roman"/>
          <w:szCs w:val="24"/>
        </w:rPr>
        <w:fldChar w:fldCharType="separate"/>
      </w:r>
      <w:r>
        <w:rPr>
          <w:rFonts w:cs="Times New Roman"/>
          <w:szCs w:val="24"/>
          <w:vertAlign w:val="superscript"/>
        </w:rPr>
        <w:t>1, 2</w:t>
      </w:r>
      <w:r>
        <w:rPr>
          <w:rFonts w:cs="Times New Roman"/>
          <w:szCs w:val="24"/>
        </w:rPr>
        <w:fldChar w:fldCharType="end"/>
      </w:r>
      <w:r>
        <w:rPr>
          <w:rFonts w:cs="Times New Roman"/>
          <w:szCs w:val="24"/>
        </w:rPr>
        <w:t xml:space="preserve"> Beyond blood pressure regulation, CALCRL is involved in a variety of key biological processes, including cell proliferation, modulation of apoptosis, vascular biology, and inflammation,</w:t>
      </w:r>
      <w:r>
        <w:rPr>
          <w:rFonts w:cs="Times New Roman"/>
          <w:szCs w:val="24"/>
        </w:rPr>
        <w:fldChar w:fldCharType="begin"/>
      </w:r>
      <w:r>
        <w:rPr>
          <w:rFonts w:cs="Times New Roman"/>
          <w:szCs w:val="24"/>
        </w:rPr>
        <w:instrText xml:space="preserve"> ADDIN EN.CITE </w:instrText>
      </w:r>
      <w:r>
        <w:rPr>
          <w:rFonts w:cs="Times New Roman"/>
          <w:szCs w:val="24"/>
        </w:rPr>
        <w:fldChar w:fldCharType="begin"/>
      </w:r>
      <w:r>
        <w:rPr>
          <w:rFonts w:cs="Times New Roman"/>
          <w:szCs w:val="24"/>
        </w:rPr>
        <w:instrText xml:space="preserve"> ADDIN EN.CITE.DATA </w:instrText>
      </w:r>
      <w:r>
        <w:rPr>
          <w:rFonts w:cs="Times New Roman"/>
          <w:szCs w:val="24"/>
        </w:rPr>
        <w:fldChar w:fldCharType="end"/>
      </w:r>
      <w:r>
        <w:rPr>
          <w:rFonts w:cs="Times New Roman"/>
          <w:szCs w:val="24"/>
        </w:rPr>
        <w:fldChar w:fldCharType="separate"/>
      </w:r>
      <w:r>
        <w:rPr>
          <w:rFonts w:cs="Times New Roman"/>
          <w:szCs w:val="24"/>
          <w:vertAlign w:val="superscript"/>
        </w:rPr>
        <w:t>3-5</w:t>
      </w:r>
      <w:r>
        <w:rPr>
          <w:rFonts w:cs="Times New Roman"/>
          <w:szCs w:val="24"/>
        </w:rPr>
        <w:fldChar w:fldCharType="end"/>
      </w:r>
      <w:r>
        <w:rPr>
          <w:rFonts w:cs="Times New Roman"/>
          <w:szCs w:val="24"/>
        </w:rPr>
        <w:t xml:space="preserve"> and is currently emerging as a novel target for the therapy of migraine.</w:t>
      </w:r>
      <w:r>
        <w:rPr>
          <w:rFonts w:cs="Times New Roman"/>
          <w:szCs w:val="24"/>
        </w:rPr>
        <w:fldChar w:fldCharType="begin"/>
      </w:r>
      <w:r>
        <w:rPr>
          <w:rFonts w:cs="Times New Roman"/>
          <w:szCs w:val="24"/>
        </w:rPr>
        <w:instrText xml:space="preserve"> ADDIN EN.CITE </w:instrText>
      </w:r>
      <w:r>
        <w:rPr>
          <w:rFonts w:cs="Times New Roman"/>
          <w:szCs w:val="24"/>
        </w:rPr>
        <w:fldChar w:fldCharType="begin"/>
      </w:r>
      <w:r>
        <w:rPr>
          <w:rFonts w:cs="Times New Roman"/>
          <w:szCs w:val="24"/>
        </w:rPr>
        <w:instrText xml:space="preserve"> ADDIN EN.CITE.DATA </w:instrText>
      </w:r>
      <w:r>
        <w:rPr>
          <w:rFonts w:cs="Times New Roman"/>
          <w:szCs w:val="24"/>
        </w:rPr>
        <w:fldChar w:fldCharType="end"/>
      </w:r>
      <w:r>
        <w:rPr>
          <w:rFonts w:cs="Times New Roman"/>
          <w:szCs w:val="24"/>
        </w:rPr>
        <w:fldChar w:fldCharType="separate"/>
      </w:r>
      <w:r>
        <w:rPr>
          <w:rFonts w:cs="Times New Roman"/>
          <w:szCs w:val="24"/>
          <w:vertAlign w:val="superscript"/>
        </w:rPr>
        <w:t>6, 7</w:t>
      </w:r>
      <w:r>
        <w:rPr>
          <w:rFonts w:cs="Times New Roman"/>
          <w:szCs w:val="24"/>
        </w:rPr>
        <w:fldChar w:fldCharType="end"/>
      </w:r>
      <w:r>
        <w:rPr>
          <w:rFonts w:cs="Times New Roman"/>
          <w:szCs w:val="24"/>
        </w:rPr>
        <w:t xml:space="preserve"> In solid tumors, antibody-mediated inhibition of CALCRL signaling has been demonstrated to reduce tumor growth via disruption of angiogenesis or via direct antiproliferative effects on cancer cells.</w:t>
      </w:r>
      <w:r>
        <w:rPr>
          <w:rFonts w:cs="Times New Roman"/>
          <w:szCs w:val="24"/>
        </w:rPr>
        <w:fldChar w:fldCharType="begin"/>
      </w:r>
      <w:r>
        <w:rPr>
          <w:rFonts w:cs="Times New Roman"/>
          <w:szCs w:val="24"/>
        </w:rPr>
        <w:instrText xml:space="preserve"> ADDIN EN.CITE </w:instrText>
      </w:r>
      <w:r>
        <w:rPr>
          <w:rFonts w:cs="Times New Roman"/>
          <w:szCs w:val="24"/>
        </w:rPr>
        <w:fldChar w:fldCharType="begin"/>
      </w:r>
      <w:r>
        <w:rPr>
          <w:rFonts w:cs="Times New Roman"/>
          <w:szCs w:val="24"/>
        </w:rPr>
        <w:instrText xml:space="preserve"> ADDIN EN.CITE.DATA </w:instrText>
      </w:r>
      <w:r>
        <w:rPr>
          <w:rFonts w:cs="Times New Roman"/>
          <w:szCs w:val="24"/>
        </w:rPr>
        <w:fldChar w:fldCharType="end"/>
      </w:r>
      <w:r>
        <w:rPr>
          <w:rFonts w:cs="Times New Roman"/>
          <w:szCs w:val="24"/>
        </w:rPr>
        <w:fldChar w:fldCharType="separate"/>
      </w:r>
      <w:r>
        <w:rPr>
          <w:rFonts w:cs="Times New Roman"/>
          <w:szCs w:val="24"/>
          <w:vertAlign w:val="superscript"/>
        </w:rPr>
        <w:t>8-12</w:t>
      </w:r>
      <w:r>
        <w:rPr>
          <w:rFonts w:cs="Times New Roman"/>
          <w:szCs w:val="24"/>
        </w:rPr>
        <w:fldChar w:fldCharType="end"/>
      </w:r>
      <w:r>
        <w:rPr>
          <w:rFonts w:cs="Times New Roman"/>
          <w:szCs w:val="24"/>
        </w:rPr>
        <w:t xml:space="preserve"> Interestingly, it was further shown that </w:t>
      </w:r>
      <w:r>
        <w:rPr>
          <w:rFonts w:cs="Times New Roman"/>
          <w:i/>
          <w:szCs w:val="24"/>
        </w:rPr>
        <w:t>CALCRL</w:t>
      </w:r>
      <w:r>
        <w:rPr>
          <w:rFonts w:cs="Times New Roman"/>
          <w:szCs w:val="24"/>
        </w:rPr>
        <w:t xml:space="preserve"> is expressed in normal CD34+ hematopoietic progenitors and that CGRP and ADM directly act on CD34+ cells to promote colony formation </w:t>
      </w:r>
      <w:r>
        <w:rPr>
          <w:rFonts w:cs="Times New Roman"/>
          <w:i/>
          <w:szCs w:val="24"/>
        </w:rPr>
        <w:t>in vitro</w:t>
      </w:r>
      <w:r>
        <w:rPr>
          <w:rFonts w:cs="Times New Roman"/>
          <w:szCs w:val="24"/>
        </w:rPr>
        <w:t>, indicating a functional role of CALCRL in physiological myelopoiesis.</w:t>
      </w:r>
      <w:r>
        <w:rPr>
          <w:rFonts w:cs="Times New Roman"/>
          <w:szCs w:val="24"/>
        </w:rPr>
        <w:fldChar w:fldCharType="begin"/>
      </w:r>
      <w:r>
        <w:rPr>
          <w:rFonts w:cs="Times New Roman"/>
          <w:szCs w:val="24"/>
        </w:rPr>
        <w:instrText xml:space="preserve"> ADDIN EN.CITE </w:instrText>
      </w:r>
      <w:r>
        <w:rPr>
          <w:rFonts w:cs="Times New Roman"/>
          <w:szCs w:val="24"/>
        </w:rPr>
        <w:fldChar w:fldCharType="begin"/>
      </w:r>
      <w:r>
        <w:rPr>
          <w:rFonts w:cs="Times New Roman"/>
          <w:szCs w:val="24"/>
        </w:rPr>
        <w:instrText xml:space="preserve"> ADDIN EN.CITE.DATA </w:instrText>
      </w:r>
      <w:r>
        <w:rPr>
          <w:rFonts w:cs="Times New Roman"/>
          <w:szCs w:val="24"/>
        </w:rPr>
        <w:fldChar w:fldCharType="end"/>
      </w:r>
      <w:r>
        <w:rPr>
          <w:rFonts w:cs="Times New Roman"/>
          <w:szCs w:val="24"/>
        </w:rPr>
        <w:fldChar w:fldCharType="separate"/>
      </w:r>
      <w:r>
        <w:rPr>
          <w:rFonts w:cs="Times New Roman"/>
          <w:szCs w:val="24"/>
          <w:vertAlign w:val="superscript"/>
        </w:rPr>
        <w:t>13-16</w:t>
      </w:r>
      <w:r>
        <w:rPr>
          <w:rFonts w:cs="Times New Roman"/>
          <w:szCs w:val="24"/>
        </w:rPr>
        <w:fldChar w:fldCharType="end"/>
      </w:r>
    </w:p>
    <w:p w14:paraId="185B5A39" w14:textId="77777777" w:rsidR="00DD142B" w:rsidRDefault="00F23CC1">
      <w:pPr>
        <w:rPr>
          <w:rFonts w:cs="Times New Roman"/>
          <w:szCs w:val="24"/>
        </w:rPr>
      </w:pPr>
      <w:r>
        <w:rPr>
          <w:rFonts w:cs="Times New Roman"/>
          <w:szCs w:val="24"/>
        </w:rPr>
        <w:t>However, the role of CALCRL</w:t>
      </w:r>
      <w:r>
        <w:rPr>
          <w:rFonts w:cs="Times New Roman"/>
          <w:i/>
          <w:szCs w:val="24"/>
        </w:rPr>
        <w:t xml:space="preserve"> </w:t>
      </w:r>
      <w:r>
        <w:rPr>
          <w:rFonts w:cs="Times New Roman"/>
          <w:szCs w:val="24"/>
        </w:rPr>
        <w:t>in malignant hematopoiesis is unknown. Here, we comprehensively investigated the impact of CALCRL expression levels on clinical outcome in more than 1500 acute myeloid leukemia (AML) patients on transcript or protein level and provide biological insights that suggest targeting of the CALCRL pathway as a novel therapeutic strategy in AML.</w:t>
      </w:r>
    </w:p>
    <w:p w14:paraId="03A1053E" w14:textId="77777777" w:rsidR="00DD142B" w:rsidRDefault="00DD142B">
      <w:pPr>
        <w:rPr>
          <w:rFonts w:cs="Times New Roman"/>
          <w:szCs w:val="24"/>
        </w:rPr>
      </w:pPr>
    </w:p>
    <w:p w14:paraId="5352C868" w14:textId="77777777" w:rsidR="00DD142B" w:rsidRDefault="00F23CC1">
      <w:pPr>
        <w:pStyle w:val="berschrift1"/>
      </w:pPr>
      <w:r>
        <w:t>Methods</w:t>
      </w:r>
    </w:p>
    <w:p w14:paraId="29DF100E" w14:textId="77777777" w:rsidR="00DD142B" w:rsidRDefault="00F23CC1">
      <w:pPr>
        <w:pStyle w:val="berschrift2"/>
        <w:rPr>
          <w:rFonts w:cs="Times New Roman"/>
        </w:rPr>
      </w:pPr>
      <w:r>
        <w:rPr>
          <w:rFonts w:cs="Times New Roman"/>
        </w:rPr>
        <w:t>Patients, samples and treatment</w:t>
      </w:r>
    </w:p>
    <w:p w14:paraId="6D77AD7E" w14:textId="77777777" w:rsidR="00DD142B" w:rsidRDefault="00F23CC1">
      <w:pPr>
        <w:rPr>
          <w:rFonts w:cs="Times New Roman"/>
          <w:szCs w:val="24"/>
        </w:rPr>
      </w:pPr>
      <w:r>
        <w:rPr>
          <w:rFonts w:cs="Times New Roman"/>
          <w:i/>
          <w:szCs w:val="24"/>
        </w:rPr>
        <w:t>CALCRL</w:t>
      </w:r>
      <w:r>
        <w:rPr>
          <w:rFonts w:cs="Times New Roman"/>
          <w:szCs w:val="24"/>
        </w:rPr>
        <w:t xml:space="preserve"> gene expression was analyzed in diagnostic samples from 492 AML patients, who received intensive age-adapted chemotherapy within the AMLCG99 trial of the German AML Cooperative Group (analytic cohort; NCT00266136; Table 1).</w:t>
      </w:r>
      <w:r>
        <w:rPr>
          <w:rFonts w:cs="Times New Roman"/>
          <w:szCs w:val="24"/>
        </w:rPr>
        <w:fldChar w:fldCharType="begin"/>
      </w:r>
      <w:r>
        <w:rPr>
          <w:rFonts w:cs="Times New Roman"/>
          <w:szCs w:val="24"/>
        </w:rPr>
        <w:instrText xml:space="preserve"> ADDIN EN.CITE </w:instrText>
      </w:r>
      <w:r>
        <w:rPr>
          <w:rFonts w:cs="Times New Roman"/>
          <w:szCs w:val="24"/>
        </w:rPr>
        <w:fldChar w:fldCharType="begin"/>
      </w:r>
      <w:r>
        <w:rPr>
          <w:rFonts w:cs="Times New Roman"/>
          <w:szCs w:val="24"/>
        </w:rPr>
        <w:instrText xml:space="preserve"> ADDIN EN.CITE.DATA </w:instrText>
      </w:r>
      <w:r>
        <w:rPr>
          <w:rFonts w:cs="Times New Roman"/>
          <w:szCs w:val="24"/>
        </w:rPr>
        <w:fldChar w:fldCharType="end"/>
      </w:r>
      <w:r>
        <w:rPr>
          <w:rFonts w:cs="Times New Roman"/>
          <w:szCs w:val="24"/>
        </w:rPr>
        <w:fldChar w:fldCharType="separate"/>
      </w:r>
      <w:r>
        <w:rPr>
          <w:rFonts w:cs="Times New Roman"/>
          <w:szCs w:val="24"/>
          <w:vertAlign w:val="superscript"/>
        </w:rPr>
        <w:t>17</w:t>
      </w:r>
      <w:r>
        <w:rPr>
          <w:rFonts w:cs="Times New Roman"/>
          <w:szCs w:val="24"/>
        </w:rPr>
        <w:fldChar w:fldCharType="end"/>
      </w:r>
      <w:r>
        <w:rPr>
          <w:rFonts w:cs="Times New Roman"/>
          <w:szCs w:val="24"/>
        </w:rPr>
        <w:t xml:space="preserve"> A Dutch-Belgian Hematology Oncology Cooperative Group (HOVON) cohort of intensively treated patients with </w:t>
      </w:r>
      <w:r>
        <w:rPr>
          <w:rFonts w:cs="Times New Roman"/>
          <w:i/>
          <w:szCs w:val="24"/>
        </w:rPr>
        <w:t>de novo</w:t>
      </w:r>
      <w:r>
        <w:rPr>
          <w:rFonts w:cs="Times New Roman"/>
          <w:szCs w:val="24"/>
        </w:rPr>
        <w:t xml:space="preserve"> AML (n = 400),</w:t>
      </w:r>
      <w:r>
        <w:rPr>
          <w:rFonts w:cs="Times New Roman"/>
          <w:szCs w:val="24"/>
        </w:rPr>
        <w:fldChar w:fldCharType="begin"/>
      </w:r>
      <w:r>
        <w:rPr>
          <w:rFonts w:cs="Times New Roman"/>
          <w:szCs w:val="24"/>
        </w:rPr>
        <w:instrText xml:space="preserve"> ADDIN EN.CITE </w:instrText>
      </w:r>
      <w:r>
        <w:rPr>
          <w:rFonts w:cs="Times New Roman"/>
          <w:szCs w:val="24"/>
        </w:rPr>
        <w:fldChar w:fldCharType="begin"/>
      </w:r>
      <w:r>
        <w:rPr>
          <w:rFonts w:cs="Times New Roman"/>
          <w:szCs w:val="24"/>
        </w:rPr>
        <w:instrText xml:space="preserve"> ADDIN EN.CITE.DATA </w:instrText>
      </w:r>
      <w:r>
        <w:rPr>
          <w:rFonts w:cs="Times New Roman"/>
          <w:szCs w:val="24"/>
        </w:rPr>
        <w:fldChar w:fldCharType="end"/>
      </w:r>
      <w:r>
        <w:rPr>
          <w:rFonts w:cs="Times New Roman"/>
          <w:szCs w:val="24"/>
        </w:rPr>
        <w:fldChar w:fldCharType="separate"/>
      </w:r>
      <w:r>
        <w:rPr>
          <w:rFonts w:cs="Times New Roman"/>
          <w:szCs w:val="24"/>
          <w:vertAlign w:val="superscript"/>
        </w:rPr>
        <w:t>18, 19</w:t>
      </w:r>
      <w:r>
        <w:rPr>
          <w:rFonts w:cs="Times New Roman"/>
          <w:szCs w:val="24"/>
        </w:rPr>
        <w:fldChar w:fldCharType="end"/>
      </w:r>
      <w:r>
        <w:rPr>
          <w:rFonts w:cs="Times New Roman"/>
          <w:szCs w:val="24"/>
        </w:rPr>
        <w:t xml:space="preserve"> The Cancer Genome Atlas (TCGA) AML cohort (n = 157, intensively treated subcohort n = 125),</w:t>
      </w:r>
      <w:r>
        <w:rPr>
          <w:rFonts w:cs="Times New Roman"/>
          <w:szCs w:val="24"/>
        </w:rPr>
        <w:fldChar w:fldCharType="begin"/>
      </w:r>
      <w:r>
        <w:rPr>
          <w:rFonts w:cs="Times New Roman"/>
          <w:szCs w:val="24"/>
        </w:rPr>
        <w:instrText xml:space="preserve"> ADDIN EN.CITE &lt;EndNote&gt;&lt;Cite&gt;&lt;Author&gt;The Cancer Genome Atlas Research Network&lt;/Author&gt;&lt;Year&gt;2013&lt;/Year&gt;&lt;RecNum&gt;11&lt;/RecNum&gt;&lt;DisplayText&gt;&lt;style face="superscript"&gt;20&lt;/style&gt;&lt;/DisplayText&gt;&lt;record&gt;&lt;rec-number&gt;11&lt;/rec-number&gt;&lt;foreign-keys&gt;&lt;key app="EN" db-id="9vwrvaevl2ttzfetfxz5eafxspzsefs05fv2" timestamp="1523449699"&gt;11&lt;/key&gt;&lt;/foreign-keys&gt;&lt;ref-type name="Journal Article"&gt;17&lt;/ref-type&gt;&lt;contributors&gt;&lt;authors&gt;&lt;author&gt;The Cancer Genome Atlas Research Network,&lt;/author&gt;&lt;/authors&gt;&lt;/contributors&gt;&lt;titles&gt;&lt;title&gt;Genomic and epigenomic landscapes of adult de novo acute myeloid leukemia&lt;/title&gt;&lt;secondary-title&gt;N Engl J Med&lt;/secondary-title&gt;&lt;/titles&gt;&lt;periodical&gt;&lt;full-title&gt;N Engl J Med&lt;/full-title&gt;&lt;/periodical&gt;&lt;pages&gt;2059-74&lt;/pages&gt;&lt;volume&gt;368&lt;/volume&gt;&lt;number&gt;22&lt;/number&gt;&lt;keywords&gt;&lt;keyword&gt;Adult&lt;/keyword&gt;&lt;keyword&gt;CpG Islands&lt;/keyword&gt;&lt;keyword&gt;DNA Methylation&lt;/keyword&gt;&lt;keyword&gt;Epigenomics&lt;/keyword&gt;&lt;keyword&gt;Female&lt;/keyword&gt;&lt;keyword&gt;Gene Expression&lt;/keyword&gt;&lt;keyword&gt;Gene Fusion&lt;/keyword&gt;&lt;keyword&gt;Genome, Human&lt;/keyword&gt;&lt;keyword&gt;Humans&lt;/keyword&gt;&lt;keyword&gt;Leukemia, Myeloid, Acute/classification/*genetics&lt;/keyword&gt;&lt;keyword&gt;Male&lt;/keyword&gt;&lt;keyword&gt;MicroRNAs/genetics&lt;/keyword&gt;&lt;keyword&gt;Middle Aged&lt;/keyword&gt;&lt;keyword&gt;*Mutation&lt;/keyword&gt;&lt;keyword&gt;Sequence Analysis, DNA/methods&lt;/keyword&gt;&lt;/keywords&gt;&lt;dates&gt;&lt;year&gt;2013&lt;/year&gt;&lt;pub-dates&gt;&lt;date&gt;May 30&lt;/date&gt;&lt;/pub-dates&gt;&lt;/dates&gt;&lt;isbn&gt;1533-4406 (Electronic)&amp;#xD;0028-4793 (Linking)&lt;/isbn&gt;&lt;accession-num&gt;23634996&lt;/accession-num&gt;&lt;urls&gt;&lt;related-urls&gt;&lt;url&gt;https://www.ncbi.nlm.nih.gov/pubmed/23634996&lt;/url&gt;&lt;/related-urls&gt;&lt;/urls&gt;&lt;custom2&gt;PMC3767041&lt;/custom2&gt;&lt;electronic-resource-num&gt;10.1056/NEJMoa1301689&lt;/electronic-resource-num&gt;&lt;/record&gt;&lt;/Cite&gt;&lt;/EndNote&gt;</w:instrText>
      </w:r>
      <w:r>
        <w:rPr>
          <w:rFonts w:cs="Times New Roman"/>
          <w:szCs w:val="24"/>
        </w:rPr>
        <w:fldChar w:fldCharType="separate"/>
      </w:r>
      <w:r>
        <w:rPr>
          <w:rFonts w:cs="Times New Roman"/>
          <w:szCs w:val="24"/>
          <w:vertAlign w:val="superscript"/>
        </w:rPr>
        <w:t>20</w:t>
      </w:r>
      <w:r>
        <w:rPr>
          <w:rFonts w:cs="Times New Roman"/>
          <w:szCs w:val="24"/>
        </w:rPr>
        <w:fldChar w:fldCharType="end"/>
      </w:r>
      <w:r>
        <w:rPr>
          <w:rFonts w:cs="Times New Roman"/>
          <w:szCs w:val="24"/>
        </w:rPr>
        <w:t xml:space="preserve"> and a clinically annotated subcohort of the Canadian Leucegene</w:t>
      </w:r>
      <w:r>
        <w:rPr>
          <w:rFonts w:eastAsia="Times New Roman" w:cs="Times New Roman"/>
          <w:szCs w:val="24"/>
          <w:lang w:eastAsia="fr-CA"/>
        </w:rPr>
        <w:t xml:space="preserve"> 415 </w:t>
      </w:r>
      <w:r>
        <w:rPr>
          <w:rFonts w:cs="Times New Roman"/>
          <w:szCs w:val="24"/>
        </w:rPr>
        <w:t>AML patients cohort (n = 263)</w:t>
      </w:r>
      <w:r>
        <w:rPr>
          <w:rFonts w:cs="Times New Roman"/>
          <w:szCs w:val="24"/>
        </w:rPr>
        <w:fldChar w:fldCharType="begin"/>
      </w:r>
      <w:r>
        <w:rPr>
          <w:rFonts w:cs="Times New Roman"/>
          <w:szCs w:val="24"/>
        </w:rPr>
        <w:instrText xml:space="preserve"> ADDIN EN.CITE </w:instrText>
      </w:r>
      <w:r>
        <w:rPr>
          <w:rFonts w:cs="Times New Roman"/>
          <w:szCs w:val="24"/>
        </w:rPr>
        <w:fldChar w:fldCharType="begin"/>
      </w:r>
      <w:r>
        <w:rPr>
          <w:rFonts w:cs="Times New Roman"/>
          <w:szCs w:val="24"/>
        </w:rPr>
        <w:instrText xml:space="preserve"> ADDIN EN.CITE.DATA </w:instrText>
      </w:r>
      <w:r>
        <w:rPr>
          <w:rFonts w:cs="Times New Roman"/>
          <w:szCs w:val="24"/>
        </w:rPr>
        <w:fldChar w:fldCharType="end"/>
      </w:r>
      <w:r>
        <w:rPr>
          <w:rFonts w:cs="Times New Roman"/>
          <w:szCs w:val="24"/>
        </w:rPr>
        <w:fldChar w:fldCharType="separate"/>
      </w:r>
      <w:r>
        <w:rPr>
          <w:rFonts w:cs="Times New Roman"/>
          <w:szCs w:val="24"/>
          <w:vertAlign w:val="superscript"/>
        </w:rPr>
        <w:t>21</w:t>
      </w:r>
      <w:r>
        <w:rPr>
          <w:rFonts w:cs="Times New Roman"/>
          <w:szCs w:val="24"/>
        </w:rPr>
        <w:fldChar w:fldCharType="end"/>
      </w:r>
      <w:r>
        <w:rPr>
          <w:rFonts w:cs="Times New Roman"/>
          <w:szCs w:val="24"/>
        </w:rPr>
        <w:t xml:space="preserve"> served as validation sets (Supplementary Table 1 and 2). Apart from survival data, clinicopathological variables were not available from the Leucegene cohort. CALCRL protein expression was analyzed on tissue microarrays (TMA) of pretreatment bone marrow (BM) trephines from 190 AML patients receiving intensive chemotherapy at the University Hospital Münster (UKM; Supplementary Table 3). Patients with acute promyelocytic leukemia or myelodysplastic syndromes (except the former RAEB-t subtype) were excluded from all cohorts. A study profile is shown in Supplementary Fig. 1.</w:t>
      </w:r>
    </w:p>
    <w:p w14:paraId="2347B4C2" w14:textId="77777777" w:rsidR="00DD142B" w:rsidRDefault="00F23CC1">
      <w:pPr>
        <w:pStyle w:val="berschrift2"/>
        <w:rPr>
          <w:rFonts w:cs="Times New Roman"/>
          <w:szCs w:val="24"/>
        </w:rPr>
      </w:pPr>
      <w:r>
        <w:rPr>
          <w:rFonts w:cs="Times New Roman"/>
          <w:szCs w:val="24"/>
        </w:rPr>
        <w:t>Procedures</w:t>
      </w:r>
    </w:p>
    <w:p w14:paraId="10EE453B" w14:textId="77777777" w:rsidR="00DD142B" w:rsidRDefault="00F23CC1">
      <w:pPr>
        <w:rPr>
          <w:rFonts w:cs="Times New Roman"/>
          <w:szCs w:val="24"/>
        </w:rPr>
      </w:pPr>
      <w:r>
        <w:rPr>
          <w:rFonts w:cs="Times New Roman"/>
          <w:szCs w:val="24"/>
        </w:rPr>
        <w:t>Samples from the analytic cohort were analyzed using Affymetrix HG-U133 A, B, and Plus 2.0 microarrays (Affymetrix, Santa Clara, CA) as described (GSE37642; Supplementary Methods).</w:t>
      </w:r>
      <w:r>
        <w:rPr>
          <w:rFonts w:cs="Times New Roman"/>
          <w:szCs w:val="24"/>
        </w:rPr>
        <w:fldChar w:fldCharType="begin"/>
      </w:r>
      <w:r>
        <w:rPr>
          <w:rFonts w:cs="Times New Roman"/>
          <w:szCs w:val="24"/>
        </w:rPr>
        <w:instrText xml:space="preserve"> ADDIN EN.CITE </w:instrText>
      </w:r>
      <w:r>
        <w:rPr>
          <w:rFonts w:cs="Times New Roman"/>
          <w:szCs w:val="24"/>
        </w:rPr>
        <w:fldChar w:fldCharType="begin"/>
      </w:r>
      <w:r>
        <w:rPr>
          <w:rFonts w:cs="Times New Roman"/>
          <w:szCs w:val="24"/>
        </w:rPr>
        <w:instrText xml:space="preserve"> ADDIN EN.CITE.DATA </w:instrText>
      </w:r>
      <w:r>
        <w:rPr>
          <w:rFonts w:cs="Times New Roman"/>
          <w:szCs w:val="24"/>
        </w:rPr>
        <w:fldChar w:fldCharType="end"/>
      </w:r>
      <w:r>
        <w:rPr>
          <w:rFonts w:cs="Times New Roman"/>
          <w:szCs w:val="24"/>
        </w:rPr>
        <w:fldChar w:fldCharType="separate"/>
      </w:r>
      <w:r>
        <w:rPr>
          <w:rFonts w:cs="Times New Roman"/>
          <w:szCs w:val="24"/>
          <w:vertAlign w:val="superscript"/>
        </w:rPr>
        <w:t>22</w:t>
      </w:r>
      <w:r>
        <w:rPr>
          <w:rFonts w:cs="Times New Roman"/>
          <w:szCs w:val="24"/>
        </w:rPr>
        <w:fldChar w:fldCharType="end"/>
      </w:r>
      <w:r>
        <w:rPr>
          <w:rFonts w:cs="Times New Roman"/>
          <w:szCs w:val="24"/>
        </w:rPr>
        <w:t xml:space="preserve"> Expression data from the HOVON cohort generated with Affymetrix HG-U133 Plus 2.0 chips was preprocessed as above and clinical annotations were provided by the authors (GSE6891).</w:t>
      </w:r>
      <w:r>
        <w:rPr>
          <w:rFonts w:cs="Times New Roman"/>
          <w:color w:val="000000" w:themeColor="text1"/>
          <w:szCs w:val="24"/>
        </w:rPr>
        <w:fldChar w:fldCharType="begin"/>
      </w:r>
      <w:r>
        <w:rPr>
          <w:rFonts w:cs="Times New Roman"/>
          <w:color w:val="000000" w:themeColor="text1"/>
          <w:szCs w:val="24"/>
        </w:rPr>
        <w:instrText xml:space="preserve"> ADDIN EN.CITE &lt;EndNote&gt;&lt;Cite&gt;&lt;Author&gt;Verhaak&lt;/Author&gt;&lt;Year&gt;2009&lt;/Year&gt;&lt;RecNum&gt;9&lt;/RecNum&gt;&lt;DisplayText&gt;&lt;style face="superscript"&gt;18&lt;/style&gt;&lt;/DisplayText&gt;&lt;record&gt;&lt;rec-number&gt;9&lt;/rec-number&gt;&lt;foreign-keys&gt;&lt;key app="EN" db-id="9vwrvaevl2ttzfetfxz5eafxspzsefs05fv2" timestamp="1523449699"&gt;9&lt;/key&gt;&lt;/foreign-keys&gt;&lt;ref-type name="Journal Article"&gt;17&lt;/ref-type&gt;&lt;contributors&gt;&lt;authors&gt;&lt;author&gt;Verhaak, R. G.&lt;/author&gt;&lt;author&gt;Wouters, B. J.&lt;/author&gt;&lt;author&gt;Erpelinck, C. A.&lt;/author&gt;&lt;author&gt;Abbas, S.&lt;/author&gt;&lt;author&gt;Beverloo, H. B.&lt;/author&gt;&lt;author&gt;Lugthart, S.&lt;/author&gt;&lt;author&gt;Lowenberg, B.&lt;/author&gt;&lt;author&gt;Delwel, R.&lt;/author&gt;&lt;author&gt;Valk, P. J.&lt;/author&gt;&lt;/authors&gt;&lt;/contributors&gt;&lt;auth-address&gt;Erasmus University Medical Center Rotterdam, Department of Hematology, Rotterdam, The Netherlands.&lt;/auth-address&gt;&lt;titles&gt;&lt;title&gt;Prediction of molecular subtypes in acute myeloid leukemia based on gene expression profiling&lt;/title&gt;&lt;secondary-title&gt;Haematologica&lt;/secondary-title&gt;&lt;/titles&gt;&lt;periodical&gt;&lt;full-title&gt;Haematologica&lt;/full-title&gt;&lt;/periodical&gt;&lt;pages&gt;131-4&lt;/pages&gt;&lt;volume&gt;94&lt;/volume&gt;&lt;number&gt;1&lt;/number&gt;&lt;keywords&gt;&lt;keyword&gt;Adolescent&lt;/keyword&gt;&lt;keyword&gt;Adult&lt;/keyword&gt;&lt;keyword&gt;Female&lt;/keyword&gt;&lt;keyword&gt;Gene Expression Profiling&lt;/keyword&gt;&lt;keyword&gt;Gene Expression Regulation, Neoplastic/*genetics&lt;/keyword&gt;&lt;keyword&gt;Humans&lt;/keyword&gt;&lt;keyword&gt;Leukemia, Myeloid, Acute/*classification/*genetics/metabolism&lt;/keyword&gt;&lt;keyword&gt;Male&lt;/keyword&gt;&lt;keyword&gt;Middle Aged&lt;/keyword&gt;&lt;keyword&gt;Oligonucleotide Array Sequence Analysis&lt;/keyword&gt;&lt;/keywords&gt;&lt;dates&gt;&lt;year&gt;2009&lt;/year&gt;&lt;pub-dates&gt;&lt;date&gt;Jan&lt;/date&gt;&lt;/pub-dates&gt;&lt;/dates&gt;&lt;isbn&gt;1592-8721 (Electronic)&amp;#xD;0390-6078 (Linking)&lt;/isbn&gt;&lt;accession-num&gt;18838472&lt;/accession-num&gt;&lt;urls&gt;&lt;related-urls&gt;&lt;url&gt;https://www.ncbi.nlm.nih.gov/pubmed/18838472&lt;/url&gt;&lt;/related-urls&gt;&lt;/urls&gt;&lt;custom2&gt;PMC2625407&lt;/custom2&gt;&lt;electronic-resource-num&gt;10.3324/haematol.13299&lt;/electronic-resource-num&gt;&lt;/record&gt;&lt;/Cite&gt;&lt;/EndNote&gt;</w:instrText>
      </w:r>
      <w:r>
        <w:rPr>
          <w:rFonts w:cs="Times New Roman"/>
          <w:color w:val="000000" w:themeColor="text1"/>
          <w:szCs w:val="24"/>
        </w:rPr>
        <w:fldChar w:fldCharType="separate"/>
      </w:r>
      <w:r>
        <w:rPr>
          <w:rFonts w:cs="Times New Roman"/>
          <w:color w:val="000000" w:themeColor="text1"/>
          <w:szCs w:val="24"/>
          <w:vertAlign w:val="superscript"/>
        </w:rPr>
        <w:t>18</w:t>
      </w:r>
      <w:r>
        <w:rPr>
          <w:rFonts w:cs="Times New Roman"/>
          <w:color w:val="000000" w:themeColor="text1"/>
          <w:szCs w:val="24"/>
        </w:rPr>
        <w:fldChar w:fldCharType="end"/>
      </w:r>
      <w:r>
        <w:rPr>
          <w:rFonts w:cs="Times New Roman"/>
          <w:szCs w:val="24"/>
        </w:rPr>
        <w:t xml:space="preserve"> TCGA RNAseq and clinical data were downloaded from cBioPortal on July 25th, 2017.</w:t>
      </w:r>
      <w:r>
        <w:rPr>
          <w:rFonts w:cs="Times New Roman"/>
          <w:szCs w:val="24"/>
        </w:rPr>
        <w:fldChar w:fldCharType="begin"/>
      </w:r>
      <w:r>
        <w:rPr>
          <w:rFonts w:cs="Times New Roman"/>
          <w:szCs w:val="24"/>
        </w:rPr>
        <w:instrText xml:space="preserve"> ADDIN EN.CITE &lt;EndNote&gt;&lt;Cite&gt;&lt;Author&gt;The Cancer Genome Atlas Research Network&lt;/Author&gt;&lt;Year&gt;2013&lt;/Year&gt;&lt;RecNum&gt;11&lt;/RecNum&gt;&lt;DisplayText&gt;&lt;style face="superscript"&gt;20&lt;/style&gt;&lt;/DisplayText&gt;&lt;record&gt;&lt;rec-number&gt;11&lt;/rec-number&gt;&lt;foreign-keys&gt;&lt;key app="EN" db-id="9vwrvaevl2ttzfetfxz5eafxspzsefs05fv2" timestamp="1523449699"&gt;11&lt;/key&gt;&lt;/foreign-keys&gt;&lt;ref-type name="Journal Article"&gt;17&lt;/ref-type&gt;&lt;contributors&gt;&lt;authors&gt;&lt;author&gt;The Cancer Genome Atlas Research Network,&lt;/author&gt;&lt;/authors&gt;&lt;/contributors&gt;&lt;titles&gt;&lt;title&gt;Genomic and epigenomic landscapes of adult de novo acute myeloid leukemia&lt;/title&gt;&lt;secondary-title&gt;N Engl J Med&lt;/secondary-title&gt;&lt;/titles&gt;&lt;periodical&gt;&lt;full-title&gt;N Engl J Med&lt;/full-title&gt;&lt;/periodical&gt;&lt;pages&gt;2059-74&lt;/pages&gt;&lt;volume&gt;368&lt;/volume&gt;&lt;number&gt;22&lt;/number&gt;&lt;keywords&gt;&lt;keyword&gt;Adult&lt;/keyword&gt;&lt;keyword&gt;CpG Islands&lt;/keyword&gt;&lt;keyword&gt;DNA Methylation&lt;/keyword&gt;&lt;keyword&gt;Epigenomics&lt;/keyword&gt;&lt;keyword&gt;Female&lt;/keyword&gt;&lt;keyword&gt;Gene Expression&lt;/keyword&gt;&lt;keyword&gt;Gene Fusion&lt;/keyword&gt;&lt;keyword&gt;Genome, Human&lt;/keyword&gt;&lt;keyword&gt;Humans&lt;/keyword&gt;&lt;keyword&gt;Leukemia, Myeloid, Acute/classification/*genetics&lt;/keyword&gt;&lt;keyword&gt;Male&lt;/keyword&gt;&lt;keyword&gt;MicroRNAs/genetics&lt;/keyword&gt;&lt;keyword&gt;Middle Aged&lt;/keyword&gt;&lt;keyword&gt;*Mutation&lt;/keyword&gt;&lt;keyword&gt;Sequence Analysis, DNA/methods&lt;/keyword&gt;&lt;/keywords&gt;&lt;dates&gt;&lt;year&gt;2013&lt;/year&gt;&lt;pub-dates&gt;&lt;date&gt;May 30&lt;/date&gt;&lt;/pub-dates&gt;&lt;/dates&gt;&lt;isbn&gt;1533-4406 (Electronic)&amp;#xD;0028-4793 (Linking)&lt;/isbn&gt;&lt;accession-num&gt;23634996&lt;/accession-num&gt;&lt;urls&gt;&lt;related-urls&gt;&lt;url&gt;https://www.ncbi.nlm.nih.gov/pubmed/23634996&lt;/url&gt;&lt;/related-urls&gt;&lt;/urls&gt;&lt;custom2&gt;PMC3767041&lt;/custom2&gt;&lt;electronic-resource-num&gt;10.1056/NEJMoa1301689&lt;/electronic-resource-num&gt;&lt;/record&gt;&lt;/Cite&gt;&lt;/EndNote&gt;</w:instrText>
      </w:r>
      <w:r>
        <w:rPr>
          <w:rFonts w:cs="Times New Roman"/>
          <w:szCs w:val="24"/>
        </w:rPr>
        <w:fldChar w:fldCharType="separate"/>
      </w:r>
      <w:r>
        <w:rPr>
          <w:rFonts w:cs="Times New Roman"/>
          <w:szCs w:val="24"/>
          <w:vertAlign w:val="superscript"/>
        </w:rPr>
        <w:t>20</w:t>
      </w:r>
      <w:r>
        <w:rPr>
          <w:rFonts w:cs="Times New Roman"/>
          <w:szCs w:val="24"/>
        </w:rPr>
        <w:fldChar w:fldCharType="end"/>
      </w:r>
      <w:r>
        <w:rPr>
          <w:rFonts w:cs="Times New Roman"/>
          <w:szCs w:val="24"/>
        </w:rPr>
        <w:t xml:space="preserve"> The Leucegene cohort and methodology for RNAseq have been described previously</w:t>
      </w:r>
      <w:r>
        <w:rPr>
          <w:rFonts w:cs="Times New Roman"/>
          <w:szCs w:val="24"/>
        </w:rPr>
        <w:fldChar w:fldCharType="begin"/>
      </w:r>
      <w:r>
        <w:rPr>
          <w:rFonts w:cs="Times New Roman"/>
          <w:szCs w:val="24"/>
        </w:rPr>
        <w:instrText xml:space="preserve"> ADDIN EN.CITE </w:instrText>
      </w:r>
      <w:r>
        <w:rPr>
          <w:rFonts w:cs="Times New Roman"/>
          <w:szCs w:val="24"/>
        </w:rPr>
        <w:fldChar w:fldCharType="begin"/>
      </w:r>
      <w:r>
        <w:rPr>
          <w:rFonts w:cs="Times New Roman"/>
          <w:szCs w:val="24"/>
        </w:rPr>
        <w:instrText xml:space="preserve"> ADDIN EN.CITE.DATA </w:instrText>
      </w:r>
      <w:r>
        <w:rPr>
          <w:rFonts w:cs="Times New Roman"/>
          <w:szCs w:val="24"/>
        </w:rPr>
        <w:fldChar w:fldCharType="end"/>
      </w:r>
      <w:r>
        <w:rPr>
          <w:rFonts w:cs="Times New Roman"/>
          <w:szCs w:val="24"/>
        </w:rPr>
        <w:fldChar w:fldCharType="separate"/>
      </w:r>
      <w:r>
        <w:rPr>
          <w:rFonts w:cs="Times New Roman"/>
          <w:szCs w:val="24"/>
          <w:vertAlign w:val="superscript"/>
        </w:rPr>
        <w:t>21</w:t>
      </w:r>
      <w:r>
        <w:rPr>
          <w:rFonts w:cs="Times New Roman"/>
          <w:szCs w:val="24"/>
        </w:rPr>
        <w:fldChar w:fldCharType="end"/>
      </w:r>
      <w:r>
        <w:rPr>
          <w:rFonts w:cs="Times New Roman"/>
          <w:szCs w:val="24"/>
        </w:rPr>
        <w:t xml:space="preserve"> and survival data have been provided by the authors. Gene set enrichment analysis (GSEA) was performed using the “C2” collection of the Molecular Signatures Database (http://software.broadinstitute.org/gsea/msigdb/) consisting of 4731 gene sets curated from various sources.</w:t>
      </w:r>
    </w:p>
    <w:p w14:paraId="1FE2983D" w14:textId="77777777" w:rsidR="00DD142B" w:rsidRDefault="00F23CC1">
      <w:r>
        <w:t>CALCRL immunohistochemistry (IHC) was visually scored by two investigators using an H-score. Visual scores were then compared to semiautomatic digital scoring using TMARKER (v2.162), an application that uses machine learning for computer aided cell counting and staining estimation.</w:t>
      </w:r>
      <w:r>
        <w:fldChar w:fldCharType="begin"/>
      </w:r>
      <w:r>
        <w:instrText xml:space="preserve"> ADDIN EN.CITE &lt;EndNote&gt;&lt;Cite ExcludeYear="1"&gt;&lt;Author&gt;Schuffler&lt;/Author&gt;&lt;Year&gt;2013&lt;/Year&gt;&lt;RecNum&gt;80&lt;/RecNum&gt;&lt;DisplayText&gt;&lt;style face="superscript"&gt;23&lt;/style&gt;&lt;/DisplayText&gt;&lt;record&gt;&lt;rec-number&gt;80&lt;/rec-number&gt;&lt;foreign-keys&gt;&lt;key app="EN" db-id="9vwrvaevl2ttzfetfxz5eafxspzsefs05fv2" timestamp="1540757934"&gt;80&lt;/key&gt;&lt;/foreign-keys&gt;&lt;ref-type name="Journal Article"&gt;17&lt;/ref-type&gt;&lt;contributors&gt;&lt;authors&gt;&lt;author&gt;Schuffler, P. J.&lt;/author&gt;&lt;author&gt;Fuchs, T. J.&lt;/author&gt;&lt;author&gt;Ong, C. S.&lt;/author&gt;&lt;author&gt;Wild, P. J.&lt;/author&gt;&lt;author&gt;Rupp, N. J.&lt;/author&gt;&lt;author&gt;Buhmann, J. M.&lt;/author&gt;&lt;/authors&gt;&lt;/contributors&gt;&lt;auth-address&gt;Institute for Computational Science, ETH Zurich, Switzerland ; Competence Center for Systems Physiology and Metabolic Diseases, ETH Zurich, Switzerland.&lt;/auth-address&gt;&lt;titles&gt;&lt;title&gt;TMARKER: A free software toolkit for histopathological cell counting and staining estimation&lt;/title&gt;&lt;secondary-title&gt;J Pathol Inform&lt;/secondary-title&gt;&lt;/titles&gt;&lt;periodical&gt;&lt;full-title&gt;J Pathol Inform&lt;/full-title&gt;&lt;/periodical&gt;&lt;pages&gt;S2&lt;/pages&gt;&lt;volume&gt;4&lt;/volume&gt;&lt;number&gt;Suppl&lt;/number&gt;&lt;edition&gt;2013/06/15&lt;/edition&gt;&lt;keywords&gt;&lt;keyword&gt;Color deconvolution&lt;/keyword&gt;&lt;keyword&gt;nuclei detection&lt;/keyword&gt;&lt;keyword&gt;pathology&lt;/keyword&gt;&lt;keyword&gt;segmentation staining estimation&lt;/keyword&gt;&lt;keyword&gt;superpixel classification&lt;/keyword&gt;&lt;/keywords&gt;&lt;dates&gt;&lt;year&gt;2013&lt;/year&gt;&lt;/dates&gt;&lt;isbn&gt;2229-5089 (Print)&lt;/isbn&gt;&lt;accession-num&gt;23766938&lt;/accession-num&gt;&lt;urls&gt;&lt;related-urls&gt;&lt;url&gt;https://www.ncbi.nlm.nih.gov/pubmed/23766938&lt;/url&gt;&lt;/related-urls&gt;&lt;/urls&gt;&lt;custom2&gt;PMC3678753&lt;/custom2&gt;&lt;electronic-resource-num&gt;10.4103/2153-3539.109804&lt;/electronic-resource-num&gt;&lt;/record&gt;&lt;/Cite&gt;&lt;/EndNote&gt;</w:instrText>
      </w:r>
      <w:r>
        <w:fldChar w:fldCharType="separate"/>
      </w:r>
      <w:r>
        <w:rPr>
          <w:vertAlign w:val="superscript"/>
        </w:rPr>
        <w:t>23</w:t>
      </w:r>
      <w:r>
        <w:fldChar w:fldCharType="end"/>
      </w:r>
    </w:p>
    <w:p w14:paraId="52F731A7" w14:textId="77777777" w:rsidR="00DD142B" w:rsidRDefault="00F23CC1">
      <w:r>
        <w:rPr>
          <w:i/>
        </w:rPr>
        <w:t>CALCRL</w:t>
      </w:r>
      <w:r>
        <w:t xml:space="preserve"> gene expression was determined in sorted normal human BM, cord blood, and peripheral blood cell populations as well as in samples of 56 AML patients with low, intermediate and high leukemia stem cell (LSC) frequencies, as determined by engraftment capacity in NSG mice.</w:t>
      </w:r>
      <w:r>
        <w:fldChar w:fldCharType="begin"/>
      </w:r>
      <w:r>
        <w:instrText xml:space="preserve"> ADDIN EN.CITE </w:instrText>
      </w:r>
      <w:r>
        <w:fldChar w:fldCharType="begin"/>
      </w:r>
      <w:r>
        <w:instrText xml:space="preserve"> ADDIN EN.CITE.DATA </w:instrText>
      </w:r>
      <w:r>
        <w:fldChar w:fldCharType="end"/>
      </w:r>
      <w:r>
        <w:fldChar w:fldCharType="separate"/>
      </w:r>
      <w:r>
        <w:rPr>
          <w:vertAlign w:val="superscript"/>
        </w:rPr>
        <w:t>24</w:t>
      </w:r>
      <w:r>
        <w:fldChar w:fldCharType="end"/>
      </w:r>
    </w:p>
    <w:p w14:paraId="7038B72C" w14:textId="77777777" w:rsidR="00DD142B" w:rsidRDefault="00F23CC1">
      <w:r>
        <w:t xml:space="preserve">CRISPR-Cas9-mediated knockout of </w:t>
      </w:r>
      <w:r>
        <w:rPr>
          <w:i/>
        </w:rPr>
        <w:t>CALCRL</w:t>
      </w:r>
      <w:r>
        <w:t xml:space="preserve"> was performed in human myeloid leukemia cell lines by lentiviral transduction with lentiCRISPR v2 containing sgRNAs targeting human </w:t>
      </w:r>
      <w:r>
        <w:rPr>
          <w:i/>
        </w:rPr>
        <w:t>CALCRL</w:t>
      </w:r>
      <w:r>
        <w:t>. After antibiotic selection, cells were cultured in methylcellulose and colonies were counted after 10 days.</w:t>
      </w:r>
    </w:p>
    <w:p w14:paraId="4AD7F537" w14:textId="77777777" w:rsidR="00DD142B" w:rsidRDefault="00F23CC1">
      <w:pPr>
        <w:pStyle w:val="berschrift2"/>
        <w:rPr>
          <w:rFonts w:cs="Times New Roman"/>
        </w:rPr>
      </w:pPr>
      <w:r>
        <w:rPr>
          <w:rFonts w:cs="Times New Roman"/>
        </w:rPr>
        <w:t>Statistical analyses</w:t>
      </w:r>
    </w:p>
    <w:p w14:paraId="59E71DEA" w14:textId="77777777" w:rsidR="00DD142B" w:rsidRDefault="00F23CC1">
      <w:pPr>
        <w:rPr>
          <w:rFonts w:cs="Times New Roman"/>
          <w:szCs w:val="24"/>
        </w:rPr>
      </w:pPr>
      <w:r>
        <w:rPr>
          <w:rFonts w:cs="Times New Roman"/>
          <w:szCs w:val="24"/>
        </w:rPr>
        <w:t>Time-to-event and response variables were defined as described</w:t>
      </w:r>
      <w:r>
        <w:rPr>
          <w:rFonts w:cs="Times New Roman"/>
          <w:szCs w:val="24"/>
        </w:rPr>
        <w:fldChar w:fldCharType="begin"/>
      </w:r>
      <w:r>
        <w:rPr>
          <w:rFonts w:cs="Times New Roman"/>
          <w:szCs w:val="24"/>
        </w:rPr>
        <w:instrText xml:space="preserve"> ADDIN EN.CITE </w:instrText>
      </w:r>
      <w:r>
        <w:rPr>
          <w:rFonts w:cs="Times New Roman"/>
          <w:szCs w:val="24"/>
        </w:rPr>
        <w:fldChar w:fldCharType="begin"/>
      </w:r>
      <w:r>
        <w:rPr>
          <w:rFonts w:cs="Times New Roman"/>
          <w:szCs w:val="24"/>
        </w:rPr>
        <w:instrText xml:space="preserve"> ADDIN EN.CITE.DATA </w:instrText>
      </w:r>
      <w:r>
        <w:rPr>
          <w:rFonts w:cs="Times New Roman"/>
          <w:szCs w:val="24"/>
        </w:rPr>
        <w:fldChar w:fldCharType="end"/>
      </w:r>
      <w:r>
        <w:rPr>
          <w:rFonts w:cs="Times New Roman"/>
          <w:szCs w:val="24"/>
        </w:rPr>
        <w:fldChar w:fldCharType="separate"/>
      </w:r>
      <w:r>
        <w:rPr>
          <w:rFonts w:cs="Times New Roman"/>
          <w:szCs w:val="24"/>
          <w:vertAlign w:val="superscript"/>
        </w:rPr>
        <w:t>18, 20, 22</w:t>
      </w:r>
      <w:r>
        <w:rPr>
          <w:rFonts w:cs="Times New Roman"/>
          <w:szCs w:val="24"/>
        </w:rPr>
        <w:fldChar w:fldCharType="end"/>
      </w:r>
      <w:r>
        <w:rPr>
          <w:rFonts w:cs="Times New Roman"/>
          <w:szCs w:val="24"/>
        </w:rPr>
        <w:t xml:space="preserve"> or followed the 2017 European LeukemiaNet (ELN) recommendations.</w:t>
      </w:r>
      <w:r>
        <w:rPr>
          <w:rFonts w:cs="Times New Roman"/>
          <w:szCs w:val="24"/>
        </w:rPr>
        <w:fldChar w:fldCharType="begin"/>
      </w:r>
      <w:r>
        <w:rPr>
          <w:rFonts w:cs="Times New Roman"/>
          <w:szCs w:val="24"/>
        </w:rPr>
        <w:instrText xml:space="preserve"> ADDIN EN.CITE </w:instrText>
      </w:r>
      <w:r>
        <w:rPr>
          <w:rFonts w:cs="Times New Roman"/>
          <w:szCs w:val="24"/>
        </w:rPr>
        <w:fldChar w:fldCharType="begin"/>
      </w:r>
      <w:r>
        <w:rPr>
          <w:rFonts w:cs="Times New Roman"/>
          <w:szCs w:val="24"/>
        </w:rPr>
        <w:instrText xml:space="preserve"> ADDIN EN.CITE.DATA </w:instrText>
      </w:r>
      <w:r>
        <w:rPr>
          <w:rFonts w:cs="Times New Roman"/>
          <w:szCs w:val="24"/>
        </w:rPr>
        <w:fldChar w:fldCharType="end"/>
      </w:r>
      <w:r>
        <w:rPr>
          <w:rFonts w:cs="Times New Roman"/>
          <w:szCs w:val="24"/>
        </w:rPr>
        <w:fldChar w:fldCharType="separate"/>
      </w:r>
      <w:r>
        <w:rPr>
          <w:rFonts w:cs="Times New Roman"/>
          <w:szCs w:val="24"/>
          <w:vertAlign w:val="superscript"/>
        </w:rPr>
        <w:t>25</w:t>
      </w:r>
      <w:r>
        <w:rPr>
          <w:rFonts w:cs="Times New Roman"/>
          <w:szCs w:val="24"/>
        </w:rPr>
        <w:fldChar w:fldCharType="end"/>
      </w:r>
      <w:r>
        <w:rPr>
          <w:rFonts w:cs="Times New Roman"/>
          <w:szCs w:val="24"/>
        </w:rPr>
        <w:t xml:space="preserve"> Follow-up time was calculated by reverse Kaplan-Meier method. We used restricted cubic splines with three knots to delineate potential non-linear associations of </w:t>
      </w:r>
      <w:r>
        <w:rPr>
          <w:rFonts w:cs="Times New Roman"/>
          <w:i/>
          <w:szCs w:val="24"/>
        </w:rPr>
        <w:t>CALCRL</w:t>
      </w:r>
      <w:r>
        <w:rPr>
          <w:rFonts w:cs="Times New Roman"/>
          <w:szCs w:val="24"/>
        </w:rPr>
        <w:t xml:space="preserve"> with outcome. In each cohort, the lowest </w:t>
      </w:r>
      <w:r>
        <w:rPr>
          <w:rFonts w:cs="Times New Roman"/>
          <w:i/>
          <w:szCs w:val="24"/>
        </w:rPr>
        <w:t>CALCRL</w:t>
      </w:r>
      <w:r>
        <w:rPr>
          <w:rFonts w:cs="Times New Roman"/>
          <w:szCs w:val="24"/>
        </w:rPr>
        <w:t xml:space="preserve"> expression value was chosen as a reference category for calculation of the hazard (HR) and odds ratios (OR). Cox proportional hazards models were fitted to estimate the effect of an interquartile range increase in </w:t>
      </w:r>
      <w:r>
        <w:rPr>
          <w:rFonts w:cs="Times New Roman"/>
          <w:i/>
          <w:szCs w:val="24"/>
        </w:rPr>
        <w:t>CALCRL</w:t>
      </w:r>
      <w:r>
        <w:rPr>
          <w:rFonts w:cs="Times New Roman"/>
          <w:szCs w:val="24"/>
        </w:rPr>
        <w:t xml:space="preserve"> expression as a continuous term on overall (OS) and event-free survival (EFS), as implemented in the </w:t>
      </w:r>
      <w:r>
        <w:rPr>
          <w:rFonts w:cs="Times New Roman"/>
          <w:i/>
          <w:szCs w:val="24"/>
        </w:rPr>
        <w:t>rms</w:t>
      </w:r>
      <w:r>
        <w:rPr>
          <w:rFonts w:cs="Times New Roman"/>
          <w:szCs w:val="24"/>
        </w:rPr>
        <w:t xml:space="preserve"> package. Likewise, logistic regression models were fitted to assess associations with achievement of complete remission (CR). </w:t>
      </w:r>
      <w:r>
        <w:t xml:space="preserve">To visualize </w:t>
      </w:r>
      <w:r>
        <w:rPr>
          <w:rFonts w:cs="Times New Roman"/>
          <w:szCs w:val="24"/>
        </w:rPr>
        <w:t xml:space="preserve">survival probabilities with the Kaplan-Meier estimator </w:t>
      </w:r>
      <w:r>
        <w:t xml:space="preserve">cohorts were trichotomized by </w:t>
      </w:r>
      <w:r>
        <w:rPr>
          <w:i/>
        </w:rPr>
        <w:t>CALCRL</w:t>
      </w:r>
      <w:r>
        <w:t xml:space="preserve"> expression levels: low (Q1), intermediate (Q2/3), and high (Q4). </w:t>
      </w:r>
      <w:r>
        <w:rPr>
          <w:rFonts w:cs="Times New Roman"/>
          <w:szCs w:val="24"/>
        </w:rPr>
        <w:t xml:space="preserve">Survival probabilities were compared using log-rank tests and are given at 5 years. Clinical and molecular baseline variables were compared between </w:t>
      </w:r>
      <w:r>
        <w:rPr>
          <w:rFonts w:cs="Times New Roman"/>
          <w:i/>
          <w:szCs w:val="24"/>
        </w:rPr>
        <w:t>CALCRL</w:t>
      </w:r>
      <w:r>
        <w:rPr>
          <w:rFonts w:cs="Times New Roman"/>
          <w:szCs w:val="24"/>
        </w:rPr>
        <w:t xml:space="preserve"> expression groups using χ</w:t>
      </w:r>
      <w:r>
        <w:rPr>
          <w:rFonts w:cs="Times New Roman"/>
          <w:szCs w:val="24"/>
          <w:vertAlign w:val="superscript"/>
        </w:rPr>
        <w:t>2</w:t>
      </w:r>
      <w:r>
        <w:rPr>
          <w:rFonts w:cs="Times New Roman"/>
          <w:szCs w:val="24"/>
        </w:rPr>
        <w:t xml:space="preserve"> or Fisher`s exact test for categorical and the Kruskal-Wallis test for continuous variables. Potential heterogeneity of</w:t>
      </w:r>
      <w:r>
        <w:t xml:space="preserve"> prognostic effects across subgroups was examined with Cox proportional hazards models and Wald test for interaction.</w:t>
      </w:r>
    </w:p>
    <w:p w14:paraId="1273792B" w14:textId="77777777" w:rsidR="00DD142B" w:rsidRDefault="00F23CC1">
      <w:pPr>
        <w:rPr>
          <w:rFonts w:cs="Times New Roman"/>
          <w:szCs w:val="24"/>
        </w:rPr>
      </w:pPr>
      <w:r>
        <w:rPr>
          <w:rFonts w:cs="Times New Roman"/>
          <w:szCs w:val="24"/>
        </w:rPr>
        <w:t>Multivariable Cox proportional hazards models were generated to assess statistical significance of prognostic factors with respect to OS and EFS, and multivariable logistic regression models to assess achievement of CR.</w:t>
      </w:r>
      <w:r>
        <w:t xml:space="preserve"> </w:t>
      </w:r>
      <w:r>
        <w:rPr>
          <w:rFonts w:cs="Times New Roman"/>
          <w:szCs w:val="24"/>
        </w:rPr>
        <w:t xml:space="preserve">Besides </w:t>
      </w:r>
      <w:r>
        <w:rPr>
          <w:rFonts w:cs="Times New Roman"/>
          <w:i/>
          <w:szCs w:val="24"/>
        </w:rPr>
        <w:t>CALCRL</w:t>
      </w:r>
      <w:r>
        <w:rPr>
          <w:rFonts w:cs="Times New Roman"/>
          <w:szCs w:val="24"/>
        </w:rPr>
        <w:t xml:space="preserve"> expression, age, white blood cell (WBC) count, lactate dehydrogenase (LDH) activity, and cytogenetic and molecular risk factors were entered in the full multivariable models. Multicollinearity among predictors was examined using variance inflation factors (VIF). The proportional hazards assumption was verified for each variable individually</w:t>
      </w:r>
      <w:r>
        <w:t xml:space="preserve"> </w:t>
      </w:r>
      <w:r>
        <w:rPr>
          <w:rFonts w:cs="Times New Roman"/>
          <w:szCs w:val="24"/>
        </w:rPr>
        <w:t>by inspection of scaled Schoenfeld residuals</w:t>
      </w:r>
      <w:r>
        <w:t xml:space="preserve"> </w:t>
      </w:r>
      <w:r>
        <w:rPr>
          <w:rFonts w:cs="Times New Roman"/>
          <w:szCs w:val="24"/>
        </w:rPr>
        <w:t>and χ</w:t>
      </w:r>
      <w:r>
        <w:rPr>
          <w:rFonts w:cs="Times New Roman"/>
          <w:szCs w:val="24"/>
          <w:vertAlign w:val="superscript"/>
        </w:rPr>
        <w:t>2</w:t>
      </w:r>
      <w:r>
        <w:rPr>
          <w:rFonts w:cs="Times New Roman"/>
          <w:szCs w:val="24"/>
        </w:rPr>
        <w:t xml:space="preserve"> test for correlation of residuals with transformed survival time (all p&gt;0.05). In addition, we used elastic net penalized regression with 100-fold repeated tenfold cross-validation to identify sparse prognostic models in the context of correlated predictor variables.</w:t>
      </w:r>
      <w:r>
        <w:rPr>
          <w:rFonts w:cs="Times New Roman"/>
          <w:szCs w:val="24"/>
        </w:rPr>
        <w:fldChar w:fldCharType="begin"/>
      </w:r>
      <w:r>
        <w:rPr>
          <w:rFonts w:cs="Times New Roman"/>
          <w:szCs w:val="24"/>
        </w:rPr>
        <w:instrText xml:space="preserve"> ADDIN EN.CITE &lt;EndNote&gt;&lt;Cite ExcludeYear="1"&gt;&lt;Author&gt;Zou&lt;/Author&gt;&lt;Year&gt;2005&lt;/Year&gt;&lt;RecNum&gt;79&lt;/RecNum&gt;&lt;DisplayText&gt;&lt;style face="superscript"&gt;26&lt;/style&gt;&lt;/DisplayText&gt;&lt;record&gt;&lt;rec-number&gt;79&lt;/rec-number&gt;&lt;foreign-keys&gt;&lt;key app="EN" db-id="9vwrvaevl2ttzfetfxz5eafxspzsefs05fv2" timestamp="1540756062"&gt;79&lt;/key&gt;&lt;/foreign-keys&gt;&lt;ref-type name="Journal Article"&gt;17&lt;/ref-type&gt;&lt;contributors&gt;&lt;authors&gt;&lt;author&gt;Zou, Hui&lt;/author&gt;&lt;author&gt;Hastie, Trevor&lt;/author&gt;&lt;/authors&gt;&lt;/contributors&gt;&lt;titles&gt;&lt;title&gt;Regularization and variable selection via the elastic net&lt;/title&gt;&lt;secondary-title&gt;Journal of the Royal Statistical Society: Series B (Statistical Methodology)&lt;/secondary-title&gt;&lt;/titles&gt;&lt;pages&gt;301-320&lt;/pages&gt;&lt;volume&gt;67&lt;/volume&gt;&lt;number&gt;2&lt;/number&gt;&lt;section&gt;301&lt;/section&gt;&lt;dates&gt;&lt;year&gt;2005&lt;/year&gt;&lt;/dates&gt;&lt;isbn&gt;1369-7412&amp;#xD;1467-9868&lt;/isbn&gt;&lt;urls&gt;&lt;/urls&gt;&lt;electronic-resource-num&gt;10.1111/j.1467-9868.2005.00503.x&lt;/electronic-resource-num&gt;&lt;/record&gt;&lt;/Cite&gt;&lt;/EndNote&gt;</w:instrText>
      </w:r>
      <w:r>
        <w:rPr>
          <w:rFonts w:cs="Times New Roman"/>
          <w:szCs w:val="24"/>
        </w:rPr>
        <w:fldChar w:fldCharType="separate"/>
      </w:r>
      <w:r>
        <w:rPr>
          <w:rFonts w:cs="Times New Roman"/>
          <w:szCs w:val="24"/>
          <w:vertAlign w:val="superscript"/>
        </w:rPr>
        <w:t>26</w:t>
      </w:r>
      <w:r>
        <w:rPr>
          <w:rFonts w:cs="Times New Roman"/>
          <w:szCs w:val="24"/>
        </w:rPr>
        <w:fldChar w:fldCharType="end"/>
      </w:r>
      <w:r>
        <w:rPr>
          <w:rFonts w:cs="Times New Roman"/>
          <w:szCs w:val="24"/>
        </w:rPr>
        <w:t xml:space="preserve"> Missing data were not imputed. Two-sided </w:t>
      </w:r>
      <w:r>
        <w:rPr>
          <w:rFonts w:cs="Times New Roman"/>
          <w:i/>
          <w:szCs w:val="24"/>
        </w:rPr>
        <w:t>P</w:t>
      </w:r>
      <w:r>
        <w:rPr>
          <w:rFonts w:cs="Times New Roman"/>
          <w:szCs w:val="24"/>
        </w:rPr>
        <w:t xml:space="preserve"> values &lt; .05 were considered significant. Analyses were performed using</w:t>
      </w:r>
      <w:r>
        <w:t xml:space="preserve"> </w:t>
      </w:r>
      <w:r>
        <w:rPr>
          <w:rFonts w:cs="Times New Roman"/>
          <w:szCs w:val="24"/>
        </w:rPr>
        <w:t>SAS for Windows, version 9.4 (SAS Institute, Cary, North Carolina, USA) and R software, version 3.5.1 (www.r-project.org).</w:t>
      </w:r>
    </w:p>
    <w:p w14:paraId="72FC3452" w14:textId="77777777" w:rsidR="00DD142B" w:rsidRDefault="00F23CC1">
      <w:pPr>
        <w:pStyle w:val="berschrift1"/>
      </w:pPr>
      <w:r>
        <w:t>Results</w:t>
      </w:r>
    </w:p>
    <w:p w14:paraId="5070157D" w14:textId="77777777" w:rsidR="00DD142B" w:rsidRDefault="00F23CC1">
      <w:pPr>
        <w:rPr>
          <w:rFonts w:cs="Times New Roman"/>
          <w:szCs w:val="24"/>
        </w:rPr>
      </w:pPr>
      <w:r>
        <w:rPr>
          <w:rFonts w:cs="Times New Roman"/>
          <w:szCs w:val="24"/>
        </w:rPr>
        <w:t xml:space="preserve">The median follow-up time for AMLCG patients was 8.7 years (IQR 7.3-10.5). In restricted cubic spline analyses the OR for achievement of CR decreased, whereas HRs for death or experiencing an event increased over the whole range of </w:t>
      </w:r>
      <w:r>
        <w:rPr>
          <w:rFonts w:cs="Times New Roman"/>
          <w:i/>
          <w:szCs w:val="24"/>
        </w:rPr>
        <w:t>CALCRL</w:t>
      </w:r>
      <w:r>
        <w:rPr>
          <w:rFonts w:cs="Times New Roman"/>
          <w:szCs w:val="24"/>
        </w:rPr>
        <w:t xml:space="preserve"> expression values (Fig. 1 and Supplementary Fig. 2). An increase of </w:t>
      </w:r>
      <w:r>
        <w:rPr>
          <w:rFonts w:cs="Times New Roman"/>
          <w:i/>
          <w:szCs w:val="24"/>
        </w:rPr>
        <w:t>CALCRL</w:t>
      </w:r>
      <w:r>
        <w:rPr>
          <w:rFonts w:cs="Times New Roman"/>
          <w:szCs w:val="24"/>
        </w:rPr>
        <w:t xml:space="preserve"> expression from the 25</w:t>
      </w:r>
      <w:r>
        <w:rPr>
          <w:rFonts w:cs="Times New Roman"/>
          <w:szCs w:val="24"/>
          <w:vertAlign w:val="superscript"/>
        </w:rPr>
        <w:t>th</w:t>
      </w:r>
      <w:r>
        <w:rPr>
          <w:rFonts w:cs="Times New Roman"/>
          <w:szCs w:val="24"/>
        </w:rPr>
        <w:t xml:space="preserve"> to 75</w:t>
      </w:r>
      <w:r>
        <w:rPr>
          <w:rFonts w:cs="Times New Roman"/>
          <w:szCs w:val="24"/>
          <w:vertAlign w:val="superscript"/>
        </w:rPr>
        <w:t>th</w:t>
      </w:r>
      <w:r>
        <w:rPr>
          <w:rFonts w:cs="Times New Roman"/>
          <w:szCs w:val="24"/>
        </w:rPr>
        <w:t xml:space="preserve"> percentile was associated with inferior OS (hazard ratio [HR], 1.60; 95% confidence interval [CI], 1.33-1.93; </w:t>
      </w:r>
      <w:r>
        <w:rPr>
          <w:rFonts w:cs="Times New Roman"/>
          <w:i/>
          <w:szCs w:val="24"/>
        </w:rPr>
        <w:t>P</w:t>
      </w:r>
      <w:r>
        <w:rPr>
          <w:rFonts w:cs="Times New Roman"/>
          <w:szCs w:val="24"/>
        </w:rPr>
        <w:t xml:space="preserve"> &lt; .0001), EFS (HR, 1.58; 95% CI, 1.33-1.89; </w:t>
      </w:r>
      <w:r>
        <w:rPr>
          <w:rFonts w:cs="Times New Roman"/>
          <w:i/>
          <w:szCs w:val="24"/>
        </w:rPr>
        <w:t>P</w:t>
      </w:r>
      <w:r>
        <w:rPr>
          <w:rFonts w:cs="Times New Roman"/>
          <w:szCs w:val="24"/>
        </w:rPr>
        <w:t xml:space="preserve"> &lt; .0001), and CR rate (odds ratio [OR], 0.57; 95% CI, 0.41-0.79; </w:t>
      </w:r>
      <w:r>
        <w:rPr>
          <w:rFonts w:cs="Times New Roman"/>
          <w:i/>
          <w:szCs w:val="24"/>
        </w:rPr>
        <w:t>P</w:t>
      </w:r>
      <w:r>
        <w:rPr>
          <w:rFonts w:cs="Times New Roman"/>
          <w:szCs w:val="24"/>
        </w:rPr>
        <w:t xml:space="preserve"> &lt; .0010). As a categorical variable, </w:t>
      </w:r>
      <w:r>
        <w:rPr>
          <w:rFonts w:cs="Times New Roman"/>
          <w:i/>
          <w:szCs w:val="24"/>
        </w:rPr>
        <w:t>CALCRL</w:t>
      </w:r>
      <w:r>
        <w:rPr>
          <w:rFonts w:cs="Times New Roman"/>
          <w:szCs w:val="24"/>
          <w:vertAlign w:val="superscript"/>
        </w:rPr>
        <w:t>low</w:t>
      </w:r>
      <w:r>
        <w:rPr>
          <w:rFonts w:cs="Times New Roman"/>
          <w:i/>
          <w:szCs w:val="24"/>
        </w:rPr>
        <w:t xml:space="preserve"> </w:t>
      </w:r>
      <w:r>
        <w:rPr>
          <w:rFonts w:cs="Times New Roman"/>
          <w:szCs w:val="24"/>
        </w:rPr>
        <w:t xml:space="preserve">cases showed a significantly higher CR rate compared with </w:t>
      </w:r>
      <w:r>
        <w:rPr>
          <w:rFonts w:cs="Times New Roman"/>
          <w:i/>
          <w:szCs w:val="24"/>
        </w:rPr>
        <w:t>CALCRL</w:t>
      </w:r>
      <w:r>
        <w:rPr>
          <w:rFonts w:cs="Times New Roman"/>
          <w:szCs w:val="24"/>
          <w:vertAlign w:val="superscript"/>
        </w:rPr>
        <w:t>int</w:t>
      </w:r>
      <w:r>
        <w:rPr>
          <w:rFonts w:cs="Times New Roman"/>
          <w:i/>
          <w:szCs w:val="24"/>
        </w:rPr>
        <w:t xml:space="preserve"> </w:t>
      </w:r>
      <w:r>
        <w:rPr>
          <w:rFonts w:cs="Times New Roman"/>
          <w:szCs w:val="24"/>
        </w:rPr>
        <w:t xml:space="preserve">or </w:t>
      </w:r>
      <w:r>
        <w:rPr>
          <w:rFonts w:cs="Times New Roman"/>
          <w:i/>
          <w:szCs w:val="24"/>
        </w:rPr>
        <w:t>CALCRL</w:t>
      </w:r>
      <w:r>
        <w:rPr>
          <w:rFonts w:cs="Times New Roman"/>
          <w:szCs w:val="24"/>
          <w:vertAlign w:val="superscript"/>
        </w:rPr>
        <w:t>high</w:t>
      </w:r>
      <w:r>
        <w:rPr>
          <w:rFonts w:cs="Times New Roman"/>
          <w:i/>
          <w:szCs w:val="24"/>
        </w:rPr>
        <w:t xml:space="preserve"> </w:t>
      </w:r>
      <w:r>
        <w:rPr>
          <w:rFonts w:cs="Times New Roman"/>
          <w:szCs w:val="24"/>
        </w:rPr>
        <w:t xml:space="preserve">patients (71.5%, 53.7%, and 49.6% for low, intermediate, and high </w:t>
      </w:r>
      <w:r>
        <w:rPr>
          <w:rFonts w:cs="Times New Roman"/>
          <w:i/>
          <w:szCs w:val="24"/>
        </w:rPr>
        <w:t>CALCRL</w:t>
      </w:r>
      <w:r>
        <w:rPr>
          <w:rFonts w:cs="Times New Roman"/>
          <w:szCs w:val="24"/>
        </w:rPr>
        <w:t xml:space="preserve"> expression; </w:t>
      </w:r>
      <w:r>
        <w:rPr>
          <w:rFonts w:cs="Times New Roman"/>
          <w:i/>
          <w:szCs w:val="24"/>
        </w:rPr>
        <w:t>P</w:t>
      </w:r>
      <w:r>
        <w:rPr>
          <w:rFonts w:cs="Times New Roman"/>
          <w:szCs w:val="24"/>
        </w:rPr>
        <w:t xml:space="preserve"> = .0007). Progressively higher </w:t>
      </w:r>
      <w:r>
        <w:rPr>
          <w:rFonts w:cs="Times New Roman"/>
          <w:i/>
          <w:szCs w:val="24"/>
        </w:rPr>
        <w:t xml:space="preserve">CALCRL </w:t>
      </w:r>
      <w:r>
        <w:rPr>
          <w:rFonts w:cs="Times New Roman"/>
          <w:szCs w:val="24"/>
        </w:rPr>
        <w:t xml:space="preserve">levels predicted poorer OS (43.1%, 26.2%, 7.1% for low, intermediate, and high </w:t>
      </w:r>
      <w:r>
        <w:rPr>
          <w:rFonts w:cs="Times New Roman"/>
          <w:i/>
          <w:szCs w:val="24"/>
        </w:rPr>
        <w:t>CALCRL</w:t>
      </w:r>
      <w:r>
        <w:rPr>
          <w:rFonts w:cs="Times New Roman"/>
          <w:szCs w:val="24"/>
        </w:rPr>
        <w:t xml:space="preserve"> expression; </w:t>
      </w:r>
      <w:r>
        <w:rPr>
          <w:rFonts w:cs="Times New Roman"/>
          <w:i/>
          <w:szCs w:val="24"/>
        </w:rPr>
        <w:t>P</w:t>
      </w:r>
      <w:r>
        <w:rPr>
          <w:rFonts w:cs="Times New Roman"/>
          <w:szCs w:val="24"/>
        </w:rPr>
        <w:t xml:space="preserve"> &lt; .0001) and EFS (29.9%, 15.8%, 4.7%; </w:t>
      </w:r>
      <w:r>
        <w:rPr>
          <w:rFonts w:cs="Times New Roman"/>
          <w:i/>
          <w:szCs w:val="24"/>
        </w:rPr>
        <w:t>P</w:t>
      </w:r>
      <w:r>
        <w:rPr>
          <w:rFonts w:cs="Times New Roman"/>
          <w:szCs w:val="24"/>
        </w:rPr>
        <w:t xml:space="preserve"> &lt; .0001) (Fig. 1). When censoring at allogeneic HSCT, </w:t>
      </w:r>
      <w:r>
        <w:rPr>
          <w:rFonts w:cs="Times New Roman"/>
          <w:i/>
          <w:szCs w:val="24"/>
        </w:rPr>
        <w:t>CALCRL</w:t>
      </w:r>
      <w:r>
        <w:rPr>
          <w:rFonts w:cs="Times New Roman"/>
          <w:szCs w:val="24"/>
        </w:rPr>
        <w:t xml:space="preserve"> levels remained significantly associated with OS and EFS (both</w:t>
      </w:r>
      <w:r>
        <w:rPr>
          <w:rFonts w:cs="Times New Roman"/>
          <w:i/>
          <w:szCs w:val="24"/>
        </w:rPr>
        <w:t xml:space="preserve"> P</w:t>
      </w:r>
      <w:r>
        <w:rPr>
          <w:rFonts w:cs="Times New Roman"/>
          <w:szCs w:val="24"/>
        </w:rPr>
        <w:t xml:space="preserve"> &lt; .0001; Supplementary Fig. 3). </w:t>
      </w:r>
    </w:p>
    <w:p w14:paraId="76F5453B" w14:textId="77777777" w:rsidR="00DD142B" w:rsidRDefault="00F23CC1">
      <w:pPr>
        <w:rPr>
          <w:rFonts w:cs="Times New Roman"/>
          <w:szCs w:val="24"/>
        </w:rPr>
      </w:pPr>
      <w:r>
        <w:rPr>
          <w:rFonts w:cs="Times New Roman"/>
          <w:szCs w:val="24"/>
        </w:rPr>
        <w:t xml:space="preserve">Table 1 lists the baseline characteristics of the 492 patients from the AMLCG analytic cohort categorized by trichotomized </w:t>
      </w:r>
      <w:r>
        <w:rPr>
          <w:rFonts w:cs="Times New Roman"/>
          <w:i/>
          <w:szCs w:val="24"/>
        </w:rPr>
        <w:t xml:space="preserve">CALCRL </w:t>
      </w:r>
      <w:r>
        <w:rPr>
          <w:rFonts w:cs="Times New Roman"/>
          <w:szCs w:val="24"/>
        </w:rPr>
        <w:t xml:space="preserve">expression. Higher </w:t>
      </w:r>
      <w:r>
        <w:rPr>
          <w:rFonts w:cs="Times New Roman"/>
          <w:i/>
          <w:szCs w:val="24"/>
        </w:rPr>
        <w:t>CALCRL</w:t>
      </w:r>
      <w:r>
        <w:rPr>
          <w:rFonts w:cs="Times New Roman"/>
          <w:szCs w:val="24"/>
        </w:rPr>
        <w:t xml:space="preserve"> transcript levels significantly associated with older age. </w:t>
      </w:r>
      <w:r>
        <w:rPr>
          <w:rFonts w:cs="Times New Roman"/>
          <w:i/>
          <w:szCs w:val="24"/>
        </w:rPr>
        <w:t>CALCRL</w:t>
      </w:r>
      <w:r>
        <w:rPr>
          <w:rFonts w:cs="Times New Roman"/>
          <w:szCs w:val="24"/>
          <w:vertAlign w:val="superscript"/>
        </w:rPr>
        <w:t>high</w:t>
      </w:r>
      <w:r>
        <w:rPr>
          <w:rFonts w:cs="Times New Roman"/>
          <w:szCs w:val="24"/>
        </w:rPr>
        <w:t xml:space="preserve"> expression significantly co-occurred with immature cytomorphology (FAB M0/1), and </w:t>
      </w:r>
      <w:r>
        <w:rPr>
          <w:rFonts w:cs="Times New Roman"/>
          <w:i/>
          <w:szCs w:val="24"/>
        </w:rPr>
        <w:t>CALCRL</w:t>
      </w:r>
      <w:r>
        <w:rPr>
          <w:rFonts w:cs="Times New Roman"/>
          <w:szCs w:val="24"/>
          <w:vertAlign w:val="superscript"/>
        </w:rPr>
        <w:t>low</w:t>
      </w:r>
      <w:r>
        <w:rPr>
          <w:rFonts w:cs="Times New Roman"/>
          <w:szCs w:val="24"/>
        </w:rPr>
        <w:t xml:space="preserve"> expression with monocytic differentiation (M4/M5; </w:t>
      </w:r>
      <w:r>
        <w:rPr>
          <w:rFonts w:cs="Times New Roman"/>
          <w:i/>
          <w:szCs w:val="24"/>
        </w:rPr>
        <w:t>P</w:t>
      </w:r>
      <w:r>
        <w:rPr>
          <w:rFonts w:cs="Times New Roman"/>
          <w:szCs w:val="24"/>
        </w:rPr>
        <w:t xml:space="preserve"> &lt; .0001). Patients with </w:t>
      </w:r>
      <w:r>
        <w:rPr>
          <w:rFonts w:cs="Times New Roman"/>
          <w:i/>
          <w:szCs w:val="24"/>
        </w:rPr>
        <w:t>CALCRL</w:t>
      </w:r>
      <w:r>
        <w:rPr>
          <w:rFonts w:cs="Times New Roman"/>
          <w:szCs w:val="24"/>
          <w:vertAlign w:val="superscript"/>
        </w:rPr>
        <w:t>high</w:t>
      </w:r>
      <w:r>
        <w:rPr>
          <w:rFonts w:cs="Times New Roman"/>
          <w:i/>
          <w:szCs w:val="24"/>
        </w:rPr>
        <w:t xml:space="preserve"> </w:t>
      </w:r>
      <w:r>
        <w:rPr>
          <w:rFonts w:cs="Times New Roman"/>
          <w:szCs w:val="24"/>
        </w:rPr>
        <w:t xml:space="preserve">AML had higher BM blast counts, but lower lactate dehydrogenase (LDH) levels. High </w:t>
      </w:r>
      <w:r>
        <w:rPr>
          <w:rFonts w:cs="Times New Roman"/>
          <w:i/>
          <w:szCs w:val="24"/>
        </w:rPr>
        <w:t>CALCRL</w:t>
      </w:r>
      <w:r>
        <w:rPr>
          <w:rFonts w:cs="Times New Roman"/>
          <w:szCs w:val="24"/>
        </w:rPr>
        <w:t xml:space="preserve"> expression associated with complex karyotype, monosomal karyotype, inv(3)/t(3;3), -5/del(5q), -7, and -17/abn(17p) (Table 1; Supplementary Fig. 4). In contrast, core-binding factor (CBF) and 11q23</w:t>
      </w:r>
      <w:r>
        <w:rPr>
          <w:rFonts w:cs="Times New Roman"/>
          <w:i/>
          <w:szCs w:val="24"/>
        </w:rPr>
        <w:t xml:space="preserve"> </w:t>
      </w:r>
      <w:r>
        <w:rPr>
          <w:rFonts w:cs="Times New Roman"/>
          <w:szCs w:val="24"/>
        </w:rPr>
        <w:t xml:space="preserve">rearrangements were underrepresented among </w:t>
      </w:r>
      <w:r>
        <w:rPr>
          <w:rFonts w:cs="Times New Roman"/>
          <w:i/>
          <w:szCs w:val="24"/>
        </w:rPr>
        <w:t>CALCRL</w:t>
      </w:r>
      <w:r>
        <w:rPr>
          <w:rFonts w:cs="Times New Roman"/>
          <w:szCs w:val="24"/>
          <w:vertAlign w:val="superscript"/>
        </w:rPr>
        <w:t>high</w:t>
      </w:r>
      <w:r>
        <w:rPr>
          <w:rFonts w:cs="Times New Roman"/>
          <w:szCs w:val="24"/>
        </w:rPr>
        <w:t xml:space="preserve"> patients. There was no association between </w:t>
      </w:r>
      <w:r>
        <w:rPr>
          <w:rFonts w:cs="Times New Roman"/>
          <w:i/>
          <w:szCs w:val="24"/>
        </w:rPr>
        <w:t>CALCRL</w:t>
      </w:r>
      <w:r>
        <w:rPr>
          <w:rFonts w:cs="Times New Roman"/>
          <w:szCs w:val="24"/>
        </w:rPr>
        <w:t xml:space="preserve"> expression and </w:t>
      </w:r>
      <w:r>
        <w:rPr>
          <w:rFonts w:cs="Times New Roman"/>
          <w:i/>
          <w:szCs w:val="24"/>
        </w:rPr>
        <w:t>FLT3</w:t>
      </w:r>
      <w:r>
        <w:rPr>
          <w:rFonts w:cs="Times New Roman"/>
          <w:szCs w:val="24"/>
        </w:rPr>
        <w:t xml:space="preserve">-ITD or </w:t>
      </w:r>
      <w:r>
        <w:rPr>
          <w:rFonts w:cs="Times New Roman"/>
          <w:i/>
          <w:szCs w:val="24"/>
        </w:rPr>
        <w:t>NPM1</w:t>
      </w:r>
      <w:r>
        <w:rPr>
          <w:rFonts w:cs="Times New Roman"/>
          <w:szCs w:val="24"/>
        </w:rPr>
        <w:t xml:space="preserve"> mutations when analyzed separately. However, in </w:t>
      </w:r>
      <w:r>
        <w:rPr>
          <w:rFonts w:cs="Times New Roman"/>
          <w:i/>
          <w:szCs w:val="24"/>
        </w:rPr>
        <w:t>NPM1</w:t>
      </w:r>
      <w:r>
        <w:rPr>
          <w:rFonts w:cs="Times New Roman"/>
          <w:szCs w:val="24"/>
          <w:vertAlign w:val="superscript"/>
        </w:rPr>
        <w:t>mut</w:t>
      </w:r>
      <w:r>
        <w:rPr>
          <w:rFonts w:cs="Times New Roman"/>
          <w:szCs w:val="24"/>
        </w:rPr>
        <w:t xml:space="preserve"> AML, lower </w:t>
      </w:r>
      <w:r>
        <w:rPr>
          <w:rFonts w:cs="Times New Roman"/>
          <w:i/>
          <w:szCs w:val="24"/>
        </w:rPr>
        <w:t xml:space="preserve">CALCRL </w:t>
      </w:r>
      <w:r>
        <w:rPr>
          <w:rFonts w:cs="Times New Roman"/>
          <w:szCs w:val="24"/>
        </w:rPr>
        <w:t xml:space="preserve">levels were associated with </w:t>
      </w:r>
      <w:r>
        <w:rPr>
          <w:rFonts w:cs="Times New Roman"/>
          <w:i/>
          <w:szCs w:val="24"/>
        </w:rPr>
        <w:t>FLT3</w:t>
      </w:r>
      <w:r>
        <w:rPr>
          <w:rFonts w:cs="Times New Roman"/>
          <w:szCs w:val="24"/>
        </w:rPr>
        <w:t>-ITD</w:t>
      </w:r>
      <w:r>
        <w:rPr>
          <w:rFonts w:cs="Times New Roman"/>
          <w:szCs w:val="24"/>
          <w:vertAlign w:val="superscript"/>
        </w:rPr>
        <w:t>neg/low</w:t>
      </w:r>
      <w:r>
        <w:rPr>
          <w:rFonts w:cs="Times New Roman"/>
          <w:szCs w:val="24"/>
        </w:rPr>
        <w:t>,</w:t>
      </w:r>
      <w:r>
        <w:rPr>
          <w:rFonts w:cs="Times New Roman"/>
          <w:szCs w:val="24"/>
          <w:vertAlign w:val="superscript"/>
        </w:rPr>
        <w:t xml:space="preserve"> </w:t>
      </w:r>
      <w:r>
        <w:rPr>
          <w:rFonts w:cs="Times New Roman"/>
          <w:szCs w:val="24"/>
        </w:rPr>
        <w:t xml:space="preserve">whereas higher levels co-occurred with </w:t>
      </w:r>
      <w:r>
        <w:rPr>
          <w:rFonts w:cs="Times New Roman"/>
          <w:i/>
          <w:szCs w:val="24"/>
        </w:rPr>
        <w:t>FLT3</w:t>
      </w:r>
      <w:r>
        <w:rPr>
          <w:rFonts w:cs="Times New Roman"/>
          <w:szCs w:val="24"/>
        </w:rPr>
        <w:t>-ITD</w:t>
      </w:r>
      <w:r>
        <w:rPr>
          <w:rFonts w:cs="Times New Roman"/>
          <w:szCs w:val="24"/>
          <w:vertAlign w:val="superscript"/>
        </w:rPr>
        <w:t xml:space="preserve">high </w:t>
      </w:r>
      <w:r>
        <w:rPr>
          <w:rFonts w:cs="Times New Roman"/>
          <w:szCs w:val="24"/>
        </w:rPr>
        <w:t xml:space="preserve">status. </w:t>
      </w:r>
      <w:r>
        <w:rPr>
          <w:rFonts w:cs="Times New Roman"/>
          <w:i/>
          <w:szCs w:val="24"/>
        </w:rPr>
        <w:t>CALCRL</w:t>
      </w:r>
      <w:r>
        <w:rPr>
          <w:rFonts w:cs="Times New Roman"/>
          <w:szCs w:val="24"/>
          <w:vertAlign w:val="superscript"/>
        </w:rPr>
        <w:t>high</w:t>
      </w:r>
      <w:r>
        <w:rPr>
          <w:rFonts w:cs="Times New Roman"/>
          <w:szCs w:val="24"/>
        </w:rPr>
        <w:t xml:space="preserve"> AML more frequently harbored </w:t>
      </w:r>
      <w:r>
        <w:rPr>
          <w:rFonts w:cs="Times New Roman"/>
          <w:i/>
          <w:szCs w:val="24"/>
        </w:rPr>
        <w:t>RUNX1</w:t>
      </w:r>
      <w:r>
        <w:rPr>
          <w:rFonts w:cs="Times New Roman"/>
          <w:szCs w:val="24"/>
        </w:rPr>
        <w:t xml:space="preserve"> and </w:t>
      </w:r>
      <w:r>
        <w:rPr>
          <w:rFonts w:cs="Times New Roman"/>
          <w:i/>
          <w:szCs w:val="24"/>
        </w:rPr>
        <w:t>TP53</w:t>
      </w:r>
      <w:r>
        <w:rPr>
          <w:rFonts w:cs="Times New Roman"/>
          <w:szCs w:val="24"/>
        </w:rPr>
        <w:t xml:space="preserve">, but fewer biallelic </w:t>
      </w:r>
      <w:r>
        <w:rPr>
          <w:rFonts w:cs="Times New Roman"/>
          <w:i/>
          <w:szCs w:val="24"/>
        </w:rPr>
        <w:t>CEBPA</w:t>
      </w:r>
      <w:r>
        <w:rPr>
          <w:rFonts w:cs="Times New Roman"/>
          <w:szCs w:val="24"/>
        </w:rPr>
        <w:t xml:space="preserve"> (bi</w:t>
      </w:r>
      <w:r>
        <w:rPr>
          <w:rFonts w:cs="Times New Roman"/>
          <w:i/>
          <w:szCs w:val="24"/>
        </w:rPr>
        <w:t>CEBPA</w:t>
      </w:r>
      <w:r>
        <w:rPr>
          <w:rFonts w:cs="Times New Roman"/>
          <w:szCs w:val="24"/>
        </w:rPr>
        <w:t xml:space="preserve">) mutations. Taken together, </w:t>
      </w:r>
      <w:r>
        <w:rPr>
          <w:rFonts w:cs="Times New Roman"/>
          <w:i/>
          <w:szCs w:val="24"/>
        </w:rPr>
        <w:t>CALCRL</w:t>
      </w:r>
      <w:r>
        <w:rPr>
          <w:rFonts w:cs="Times New Roman"/>
          <w:szCs w:val="24"/>
          <w:vertAlign w:val="superscript"/>
        </w:rPr>
        <w:t>high</w:t>
      </w:r>
      <w:r>
        <w:rPr>
          <w:rFonts w:cs="Times New Roman"/>
          <w:szCs w:val="24"/>
        </w:rPr>
        <w:t xml:space="preserve"> expressers were more frequently classified in the adverse ELN 2017 risk group and </w:t>
      </w:r>
      <w:r>
        <w:rPr>
          <w:rFonts w:cs="Times New Roman"/>
          <w:i/>
          <w:szCs w:val="24"/>
        </w:rPr>
        <w:t>CALCRL</w:t>
      </w:r>
      <w:r>
        <w:rPr>
          <w:rFonts w:cs="Times New Roman"/>
          <w:szCs w:val="24"/>
          <w:vertAlign w:val="superscript"/>
        </w:rPr>
        <w:t>high</w:t>
      </w:r>
      <w:r>
        <w:rPr>
          <w:rFonts w:cs="Times New Roman"/>
          <w:szCs w:val="24"/>
        </w:rPr>
        <w:t xml:space="preserve"> status correlated with most of the individual alterations defining this category (except t(</w:t>
      </w:r>
      <w:r>
        <w:rPr>
          <w:rFonts w:cs="Times New Roman"/>
          <w:i/>
          <w:szCs w:val="24"/>
        </w:rPr>
        <w:t>v</w:t>
      </w:r>
      <w:r>
        <w:rPr>
          <w:rFonts w:cs="Times New Roman"/>
          <w:szCs w:val="24"/>
        </w:rPr>
        <w:t xml:space="preserve">;11q23) and </w:t>
      </w:r>
      <w:r>
        <w:rPr>
          <w:rFonts w:cs="Times New Roman"/>
          <w:i/>
          <w:szCs w:val="24"/>
        </w:rPr>
        <w:t>ASXL1</w:t>
      </w:r>
      <w:r>
        <w:rPr>
          <w:rFonts w:cs="Times New Roman"/>
          <w:szCs w:val="24"/>
        </w:rPr>
        <w:t xml:space="preserve"> mutations; t(6;9) and t(9;22) not evaluable due to low frequencies). In turn, more than half of the patients with </w:t>
      </w:r>
      <w:r>
        <w:rPr>
          <w:rFonts w:cs="Times New Roman"/>
          <w:i/>
          <w:szCs w:val="24"/>
        </w:rPr>
        <w:t>CALCRL</w:t>
      </w:r>
      <w:r>
        <w:rPr>
          <w:rFonts w:cs="Times New Roman"/>
          <w:szCs w:val="24"/>
          <w:vertAlign w:val="superscript"/>
        </w:rPr>
        <w:t>low</w:t>
      </w:r>
      <w:r>
        <w:rPr>
          <w:rFonts w:cs="Times New Roman"/>
          <w:szCs w:val="24"/>
        </w:rPr>
        <w:t xml:space="preserve"> AML but only 13.3% of the </w:t>
      </w:r>
      <w:r>
        <w:rPr>
          <w:rFonts w:cs="Times New Roman"/>
          <w:i/>
          <w:szCs w:val="24"/>
        </w:rPr>
        <w:t>CALCRL</w:t>
      </w:r>
      <w:r>
        <w:rPr>
          <w:rFonts w:cs="Times New Roman"/>
          <w:szCs w:val="24"/>
          <w:vertAlign w:val="superscript"/>
        </w:rPr>
        <w:t>high</w:t>
      </w:r>
      <w:r>
        <w:rPr>
          <w:rFonts w:cs="Times New Roman"/>
          <w:szCs w:val="24"/>
        </w:rPr>
        <w:t xml:space="preserve"> expressers had a favorable risk profile.</w:t>
      </w:r>
    </w:p>
    <w:p w14:paraId="3A6DED0F" w14:textId="77777777" w:rsidR="00DD142B" w:rsidRDefault="00F23CC1">
      <w:pPr>
        <w:rPr>
          <w:rFonts w:cs="Times New Roman"/>
          <w:szCs w:val="24"/>
        </w:rPr>
      </w:pPr>
      <w:r>
        <w:rPr>
          <w:rFonts w:cs="Times New Roman"/>
          <w:szCs w:val="24"/>
        </w:rPr>
        <w:t xml:space="preserve">In multivariable analyses, the likelihood of achieving a CR for </w:t>
      </w:r>
      <w:r>
        <w:rPr>
          <w:rFonts w:cs="Times New Roman"/>
          <w:i/>
          <w:szCs w:val="24"/>
        </w:rPr>
        <w:t>CALCRL</w:t>
      </w:r>
      <w:r>
        <w:rPr>
          <w:rFonts w:cs="Times New Roman"/>
          <w:szCs w:val="24"/>
          <w:vertAlign w:val="superscript"/>
        </w:rPr>
        <w:t>low</w:t>
      </w:r>
      <w:r>
        <w:rPr>
          <w:rFonts w:cs="Times New Roman"/>
          <w:szCs w:val="24"/>
        </w:rPr>
        <w:t xml:space="preserve"> expressers was more than double that of </w:t>
      </w:r>
      <w:r>
        <w:rPr>
          <w:rFonts w:cs="Times New Roman"/>
          <w:i/>
          <w:szCs w:val="24"/>
        </w:rPr>
        <w:t>CALCRL</w:t>
      </w:r>
      <w:r>
        <w:rPr>
          <w:rFonts w:cs="Times New Roman"/>
          <w:szCs w:val="24"/>
          <w:vertAlign w:val="superscript"/>
        </w:rPr>
        <w:t>int</w:t>
      </w:r>
      <w:r>
        <w:rPr>
          <w:rFonts w:cs="Times New Roman"/>
          <w:szCs w:val="24"/>
        </w:rPr>
        <w:t xml:space="preserve"> or </w:t>
      </w:r>
      <w:r>
        <w:rPr>
          <w:rFonts w:cs="Times New Roman"/>
          <w:i/>
          <w:szCs w:val="24"/>
        </w:rPr>
        <w:t>CALCRL</w:t>
      </w:r>
      <w:r>
        <w:rPr>
          <w:rFonts w:cs="Times New Roman"/>
          <w:szCs w:val="24"/>
          <w:vertAlign w:val="superscript"/>
        </w:rPr>
        <w:t>high</w:t>
      </w:r>
      <w:r>
        <w:rPr>
          <w:rFonts w:cs="Times New Roman"/>
          <w:szCs w:val="24"/>
        </w:rPr>
        <w:t xml:space="preserve"> expressers (odds ratio [OR], 2.29; 95% confidence interval [CI], 1.30-4.05; </w:t>
      </w:r>
      <w:r>
        <w:rPr>
          <w:rFonts w:cs="Times New Roman"/>
          <w:i/>
          <w:szCs w:val="24"/>
        </w:rPr>
        <w:t>P</w:t>
      </w:r>
      <w:r>
        <w:rPr>
          <w:rFonts w:cs="Times New Roman"/>
          <w:szCs w:val="24"/>
        </w:rPr>
        <w:t xml:space="preserve"> = .0052; Table 2). </w:t>
      </w:r>
      <w:r>
        <w:rPr>
          <w:rFonts w:cs="Times New Roman"/>
          <w:i/>
          <w:szCs w:val="24"/>
        </w:rPr>
        <w:t>CALCRL</w:t>
      </w:r>
      <w:r>
        <w:rPr>
          <w:rFonts w:cs="Times New Roman"/>
          <w:szCs w:val="24"/>
        </w:rPr>
        <w:t xml:space="preserve"> levels predicted OS (</w:t>
      </w:r>
      <w:r>
        <w:rPr>
          <w:rFonts w:cs="Times New Roman"/>
          <w:i/>
          <w:szCs w:val="24"/>
        </w:rPr>
        <w:t>P</w:t>
      </w:r>
      <w:r>
        <w:rPr>
          <w:rFonts w:cs="Times New Roman"/>
          <w:szCs w:val="24"/>
        </w:rPr>
        <w:t xml:space="preserve"> = .024) and EFS (</w:t>
      </w:r>
      <w:r>
        <w:rPr>
          <w:rFonts w:cs="Times New Roman"/>
          <w:i/>
          <w:szCs w:val="24"/>
        </w:rPr>
        <w:t>P</w:t>
      </w:r>
      <w:r>
        <w:rPr>
          <w:rFonts w:cs="Times New Roman"/>
          <w:szCs w:val="24"/>
        </w:rPr>
        <w:t xml:space="preserve"> = .0091), after adjusting for established risk factors, that remained in the final model after backward elimination, including age and cytogenetic and molecular risk factors from the ELN 2017 criteria. </w:t>
      </w:r>
      <w:r>
        <w:rPr>
          <w:rFonts w:cs="Times New Roman"/>
          <w:i/>
          <w:szCs w:val="24"/>
        </w:rPr>
        <w:t>CALCRL</w:t>
      </w:r>
      <w:r>
        <w:rPr>
          <w:rFonts w:cs="Times New Roman"/>
          <w:szCs w:val="24"/>
          <w:vertAlign w:val="superscript"/>
        </w:rPr>
        <w:t>low</w:t>
      </w:r>
      <w:r>
        <w:rPr>
          <w:rFonts w:cs="Times New Roman"/>
          <w:szCs w:val="24"/>
        </w:rPr>
        <w:t xml:space="preserve"> expressers had a one-third reduced risk of induction failure, relapse, or death (hazard ratio [HR] </w:t>
      </w:r>
      <w:r>
        <w:rPr>
          <w:rFonts w:cs="Times New Roman"/>
          <w:i/>
          <w:szCs w:val="24"/>
        </w:rPr>
        <w:t>CALCRL</w:t>
      </w:r>
      <w:r>
        <w:rPr>
          <w:rFonts w:cs="Times New Roman"/>
          <w:szCs w:val="24"/>
          <w:vertAlign w:val="superscript"/>
        </w:rPr>
        <w:t>low</w:t>
      </w:r>
      <w:r>
        <w:rPr>
          <w:rFonts w:cs="Times New Roman"/>
          <w:szCs w:val="24"/>
        </w:rPr>
        <w:t xml:space="preserve"> vs </w:t>
      </w:r>
      <w:r>
        <w:rPr>
          <w:rFonts w:cs="Times New Roman"/>
          <w:i/>
          <w:szCs w:val="24"/>
        </w:rPr>
        <w:t>CALCRL</w:t>
      </w:r>
      <w:r>
        <w:rPr>
          <w:rFonts w:cs="Times New Roman"/>
          <w:szCs w:val="24"/>
          <w:vertAlign w:val="superscript"/>
        </w:rPr>
        <w:t>int</w:t>
      </w:r>
      <w:r>
        <w:rPr>
          <w:rFonts w:cs="Times New Roman"/>
          <w:szCs w:val="24"/>
        </w:rPr>
        <w:t xml:space="preserve">, 0.66; 95% CI, 0.49-0.88; </w:t>
      </w:r>
      <w:r>
        <w:rPr>
          <w:rFonts w:cs="Times New Roman"/>
          <w:i/>
          <w:szCs w:val="24"/>
        </w:rPr>
        <w:t>P</w:t>
      </w:r>
      <w:r>
        <w:rPr>
          <w:rFonts w:cs="Times New Roman"/>
          <w:szCs w:val="24"/>
        </w:rPr>
        <w:t xml:space="preserve"> = .0048). We found only low to moderate collinearity among predictors with a median VIF of 1.2 (range 1.1-1.7). In a second multivariable model using elastic net regression for selection of prognostic factors from 21 genetic and clinical risk factors, </w:t>
      </w:r>
      <w:r>
        <w:rPr>
          <w:rFonts w:cs="Times New Roman"/>
          <w:i/>
          <w:szCs w:val="24"/>
        </w:rPr>
        <w:t>CALCRL</w:t>
      </w:r>
      <w:r>
        <w:rPr>
          <w:rFonts w:cs="Times New Roman"/>
          <w:szCs w:val="24"/>
        </w:rPr>
        <w:t xml:space="preserve"> expression consistently remained among the selected variables (Supplementary Fig. 5). </w:t>
      </w:r>
    </w:p>
    <w:p w14:paraId="262C1F69" w14:textId="77777777" w:rsidR="00DD142B" w:rsidRDefault="00F23CC1">
      <w:pPr>
        <w:rPr>
          <w:rFonts w:cs="Times New Roman"/>
          <w:szCs w:val="24"/>
        </w:rPr>
      </w:pPr>
      <w:r>
        <w:rPr>
          <w:rFonts w:cs="Times New Roman"/>
          <w:szCs w:val="24"/>
        </w:rPr>
        <w:t xml:space="preserve">In exploratory subgroup analyses, we found no significant heterogeneity of the prognostic effect of </w:t>
      </w:r>
      <w:r>
        <w:rPr>
          <w:rFonts w:cs="Times New Roman"/>
          <w:i/>
          <w:szCs w:val="24"/>
        </w:rPr>
        <w:t>CALCRL</w:t>
      </w:r>
      <w:r>
        <w:rPr>
          <w:rFonts w:cs="Times New Roman"/>
          <w:szCs w:val="24"/>
        </w:rPr>
        <w:t xml:space="preserve"> expression on OS across the larger clinicopathological subgroups including age (&lt;60 years versus ≥60 years) and ELN 2017 genetic risk categories (Supplementary Fig. 6). However, the hazard risk of death associated with high </w:t>
      </w:r>
      <w:r>
        <w:rPr>
          <w:rFonts w:cs="Times New Roman"/>
          <w:i/>
          <w:szCs w:val="24"/>
        </w:rPr>
        <w:t>CALCRL</w:t>
      </w:r>
      <w:r>
        <w:rPr>
          <w:rFonts w:cs="Times New Roman"/>
          <w:szCs w:val="24"/>
        </w:rPr>
        <w:t xml:space="preserve"> expression seemed to be higher in younger than in older patients (HR 2.57 vs 1.79 for &lt;60 vs ≥60 years; </w:t>
      </w:r>
      <w:r>
        <w:rPr>
          <w:rFonts w:cs="Times New Roman"/>
          <w:i/>
          <w:szCs w:val="24"/>
        </w:rPr>
        <w:t xml:space="preserve">P </w:t>
      </w:r>
      <w:r>
        <w:rPr>
          <w:rFonts w:cs="Times New Roman"/>
          <w:szCs w:val="24"/>
        </w:rPr>
        <w:t xml:space="preserve">= .13 for interaction) with a similar hazard risk of experiencing an event (2.59 vs 1.39 for &lt;60 vs ≥60 years; </w:t>
      </w:r>
      <w:r>
        <w:rPr>
          <w:rFonts w:cs="Times New Roman"/>
          <w:i/>
          <w:szCs w:val="24"/>
        </w:rPr>
        <w:t>P</w:t>
      </w:r>
      <w:r>
        <w:rPr>
          <w:rFonts w:cs="Times New Roman"/>
          <w:szCs w:val="24"/>
        </w:rPr>
        <w:t xml:space="preserve"> = .048 for interaction) (Supplementary Fig. 7). A more detailed analysis of </w:t>
      </w:r>
      <w:r>
        <w:rPr>
          <w:rFonts w:cs="Times New Roman"/>
          <w:i/>
          <w:szCs w:val="24"/>
        </w:rPr>
        <w:t>CALCRL</w:t>
      </w:r>
      <w:r>
        <w:rPr>
          <w:rFonts w:cs="Times New Roman"/>
          <w:szCs w:val="24"/>
        </w:rPr>
        <w:t xml:space="preserve"> expression in subgroups by age can be found in Supplementary Table  4 and 5 and Supplementary Fig. 8. In smaller genetic subgroups, we identified significant heterogeneity of the prognostic effect of </w:t>
      </w:r>
      <w:r>
        <w:rPr>
          <w:rFonts w:cs="Times New Roman"/>
          <w:i/>
          <w:szCs w:val="24"/>
        </w:rPr>
        <w:t>CALCRL</w:t>
      </w:r>
      <w:r>
        <w:rPr>
          <w:rFonts w:cs="Times New Roman"/>
          <w:szCs w:val="24"/>
        </w:rPr>
        <w:t xml:space="preserve"> expression on OS for patients with -7 (</w:t>
      </w:r>
      <w:r>
        <w:rPr>
          <w:rFonts w:cs="Times New Roman"/>
          <w:i/>
          <w:szCs w:val="24"/>
        </w:rPr>
        <w:t>P</w:t>
      </w:r>
      <w:r>
        <w:rPr>
          <w:rFonts w:cs="Times New Roman"/>
          <w:szCs w:val="24"/>
        </w:rPr>
        <w:t xml:space="preserve"> = .011 for interaction) and monosomal karyotype (</w:t>
      </w:r>
      <w:r>
        <w:rPr>
          <w:rFonts w:cs="Times New Roman"/>
          <w:i/>
          <w:szCs w:val="24"/>
        </w:rPr>
        <w:t>P</w:t>
      </w:r>
      <w:r>
        <w:rPr>
          <w:rFonts w:cs="Times New Roman"/>
          <w:szCs w:val="24"/>
        </w:rPr>
        <w:t xml:space="preserve"> = .030 for interaction). These interactions did not remain significant when analyzing subgroup effects on EFS (Supplementary Fig. 7).</w:t>
      </w:r>
    </w:p>
    <w:p w14:paraId="05BDB326" w14:textId="77777777" w:rsidR="00DD142B" w:rsidRDefault="00F23CC1">
      <w:pPr>
        <w:rPr>
          <w:rFonts w:cs="Times New Roman"/>
          <w:szCs w:val="24"/>
        </w:rPr>
      </w:pPr>
      <w:r>
        <w:rPr>
          <w:rFonts w:cs="Times New Roman"/>
          <w:szCs w:val="24"/>
        </w:rPr>
        <w:t xml:space="preserve">To validate our findings, we investigated </w:t>
      </w:r>
      <w:r>
        <w:rPr>
          <w:rFonts w:cs="Times New Roman"/>
          <w:i/>
          <w:szCs w:val="24"/>
        </w:rPr>
        <w:t xml:space="preserve">CALCRL </w:t>
      </w:r>
      <w:r>
        <w:rPr>
          <w:rFonts w:cs="Times New Roman"/>
          <w:szCs w:val="24"/>
        </w:rPr>
        <w:t xml:space="preserve">gene expression in three independent cohorts. As a continuous variable and when trichotomized as above, higher </w:t>
      </w:r>
      <w:r>
        <w:rPr>
          <w:rFonts w:cs="Times New Roman"/>
          <w:i/>
          <w:szCs w:val="24"/>
        </w:rPr>
        <w:t>CALCRL</w:t>
      </w:r>
      <w:r>
        <w:rPr>
          <w:rFonts w:cs="Times New Roman"/>
          <w:szCs w:val="24"/>
        </w:rPr>
        <w:t xml:space="preserve"> levels were consistently associated with an adverse outcome in the HOVON, TCGA (intensively treated subcohort), and Leucegene validation sets (Fig. 2). Again, </w:t>
      </w:r>
      <w:r>
        <w:rPr>
          <w:rFonts w:cs="Times New Roman"/>
          <w:i/>
          <w:szCs w:val="24"/>
        </w:rPr>
        <w:t>CALCRL</w:t>
      </w:r>
      <w:r>
        <w:rPr>
          <w:rFonts w:cs="Times New Roman"/>
          <w:szCs w:val="24"/>
        </w:rPr>
        <w:t xml:space="preserve"> remained independently associated with OS and EFS in the HOVON (</w:t>
      </w:r>
      <w:r>
        <w:rPr>
          <w:rFonts w:cs="Times New Roman"/>
          <w:i/>
          <w:szCs w:val="24"/>
        </w:rPr>
        <w:t>P</w:t>
      </w:r>
      <w:r>
        <w:rPr>
          <w:rFonts w:cs="Times New Roman"/>
          <w:szCs w:val="24"/>
        </w:rPr>
        <w:t xml:space="preserve"> = .014 and 0.041) and</w:t>
      </w:r>
      <w:r>
        <w:rPr>
          <w:rFonts w:cs="Times New Roman"/>
          <w:color w:val="000000" w:themeColor="text1"/>
          <w:szCs w:val="24"/>
        </w:rPr>
        <w:t xml:space="preserve"> in the TCGA cohort (</w:t>
      </w:r>
      <w:r>
        <w:rPr>
          <w:rFonts w:cs="Times New Roman"/>
          <w:i/>
          <w:szCs w:val="24"/>
        </w:rPr>
        <w:t>P</w:t>
      </w:r>
      <w:r>
        <w:rPr>
          <w:rFonts w:cs="Times New Roman"/>
          <w:szCs w:val="24"/>
        </w:rPr>
        <w:t xml:space="preserve"> = .</w:t>
      </w:r>
      <w:r>
        <w:rPr>
          <w:rFonts w:cs="Times New Roman"/>
          <w:color w:val="000000" w:themeColor="text1"/>
          <w:szCs w:val="24"/>
        </w:rPr>
        <w:t>014 and 0.0014) and consistently remained among the predictors in elastic net regression analyses (Supplementary Table 6 and 7; Supplementary Fig. 5). Variables other than OS were not available for the Leucegene dataset</w:t>
      </w:r>
      <w:r>
        <w:rPr>
          <w:rFonts w:cs="Times New Roman"/>
          <w:szCs w:val="24"/>
        </w:rPr>
        <w:t xml:space="preserve">. </w:t>
      </w:r>
    </w:p>
    <w:p w14:paraId="598E6E87" w14:textId="77777777" w:rsidR="00DD142B" w:rsidRDefault="00F23CC1">
      <w:pPr>
        <w:rPr>
          <w:rFonts w:cs="Times New Roman"/>
          <w:szCs w:val="24"/>
        </w:rPr>
      </w:pPr>
      <w:r>
        <w:rPr>
          <w:rFonts w:cs="Times New Roman"/>
          <w:szCs w:val="24"/>
        </w:rPr>
        <w:t>CALCRL protein expression was higher in AML as compared to normal BM (</w:t>
      </w:r>
      <w:r>
        <w:rPr>
          <w:rFonts w:cs="Times New Roman"/>
          <w:i/>
          <w:szCs w:val="24"/>
        </w:rPr>
        <w:t>P</w:t>
      </w:r>
      <w:r>
        <w:rPr>
          <w:rFonts w:cs="Times New Roman"/>
          <w:szCs w:val="24"/>
        </w:rPr>
        <w:t xml:space="preserve"> &lt; .0001; Fig. 3A and 3C). The median follow-up for patients of the UKM cohort was 3.2 years (IQR 1.6-4.6). When modelled as a continuous variable or when trichotomized as above, visually assessed CALCRL H-scores were inversely correlated with CR rate (70.2%, 58.1%, 36.7%; </w:t>
      </w:r>
      <w:r>
        <w:rPr>
          <w:rFonts w:cs="Times New Roman"/>
          <w:i/>
          <w:szCs w:val="24"/>
        </w:rPr>
        <w:t>P</w:t>
      </w:r>
      <w:r>
        <w:rPr>
          <w:rFonts w:cs="Times New Roman"/>
          <w:szCs w:val="24"/>
        </w:rPr>
        <w:t xml:space="preserve"> = .0034), OS (62.5%, 38.8%, 17.1%; </w:t>
      </w:r>
      <w:r>
        <w:rPr>
          <w:rFonts w:cs="Times New Roman"/>
          <w:i/>
          <w:szCs w:val="24"/>
        </w:rPr>
        <w:t>P</w:t>
      </w:r>
      <w:r>
        <w:rPr>
          <w:rFonts w:cs="Times New Roman"/>
          <w:szCs w:val="24"/>
        </w:rPr>
        <w:t xml:space="preserve"> &lt; .0001), and EFS (30.1%, 19.2%, 5.0%; </w:t>
      </w:r>
      <w:r>
        <w:rPr>
          <w:rFonts w:cs="Times New Roman"/>
          <w:i/>
          <w:szCs w:val="24"/>
        </w:rPr>
        <w:t>P</w:t>
      </w:r>
      <w:r>
        <w:rPr>
          <w:rFonts w:cs="Times New Roman"/>
          <w:szCs w:val="24"/>
        </w:rPr>
        <w:t xml:space="preserve"> = .0002; Fig. 3B and 3D-E and Supplementary Fig. 10) and remained associated with all endpoints in multivariable analyses (Supplementary Table 8). CALCRL remained among the selected predictors in multivariable elastic net regression (Supplementary Fig. 5). Computer-assisted digital quantification of CALCRL expression was highly correlated to visual scoring (r=0.83; </w:t>
      </w:r>
      <w:r>
        <w:rPr>
          <w:rFonts w:cs="Times New Roman"/>
          <w:i/>
          <w:szCs w:val="24"/>
        </w:rPr>
        <w:t>P</w:t>
      </w:r>
      <w:r>
        <w:rPr>
          <w:rFonts w:cs="Times New Roman"/>
          <w:szCs w:val="24"/>
        </w:rPr>
        <w:t xml:space="preserve"> &lt; .0001; Supplementary Fig. 11) and digital H-scores produced comparable results in Cox regression models (Supplementary Table 9).</w:t>
      </w:r>
    </w:p>
    <w:p w14:paraId="483313F3" w14:textId="77777777" w:rsidR="00DD142B" w:rsidRDefault="00F23CC1">
      <w:pPr>
        <w:rPr>
          <w:rFonts w:cs="Times New Roman"/>
          <w:szCs w:val="24"/>
        </w:rPr>
      </w:pPr>
      <w:r>
        <w:rPr>
          <w:rFonts w:cs="Times New Roman"/>
          <w:i/>
          <w:iCs/>
          <w:szCs w:val="24"/>
        </w:rPr>
        <w:t>CALCRL</w:t>
      </w:r>
      <w:r>
        <w:rPr>
          <w:rFonts w:cs="Times New Roman"/>
          <w:iCs/>
          <w:szCs w:val="24"/>
          <w:vertAlign w:val="superscript"/>
        </w:rPr>
        <w:t>high</w:t>
      </w:r>
      <w:r>
        <w:rPr>
          <w:rFonts w:cs="Times New Roman"/>
          <w:szCs w:val="24"/>
        </w:rPr>
        <w:t xml:space="preserve"> status was significantly (</w:t>
      </w:r>
      <w:r>
        <w:rPr>
          <w:rFonts w:cs="Times New Roman"/>
          <w:i/>
          <w:szCs w:val="24"/>
        </w:rPr>
        <w:t>P</w:t>
      </w:r>
      <w:r>
        <w:rPr>
          <w:rFonts w:cs="Times New Roman"/>
          <w:szCs w:val="24"/>
        </w:rPr>
        <w:t xml:space="preserve"> &lt; .0001) associated with the differential expression of 964 genes in the AMLCG cohort (193 up- and 771 downregulated). Fig. 4A shows a heatmap of the 200 most significantly regulated genes. Among others (Supplementary Table 10), we observed a positive correlation of </w:t>
      </w:r>
      <w:r>
        <w:rPr>
          <w:rFonts w:cs="Times New Roman"/>
          <w:i/>
          <w:szCs w:val="24"/>
        </w:rPr>
        <w:t>CALCRL</w:t>
      </w:r>
      <w:r>
        <w:rPr>
          <w:rFonts w:cs="Times New Roman"/>
          <w:szCs w:val="24"/>
        </w:rPr>
        <w:t xml:space="preserve"> with </w:t>
      </w:r>
      <w:r>
        <w:rPr>
          <w:rFonts w:cs="Times New Roman"/>
          <w:i/>
          <w:szCs w:val="24"/>
        </w:rPr>
        <w:t>MN1</w:t>
      </w:r>
      <w:r>
        <w:rPr>
          <w:rFonts w:cs="Times New Roman"/>
          <w:szCs w:val="24"/>
        </w:rPr>
        <w:t xml:space="preserve"> and </w:t>
      </w:r>
      <w:r>
        <w:rPr>
          <w:rFonts w:cs="Times New Roman"/>
          <w:i/>
          <w:szCs w:val="24"/>
        </w:rPr>
        <w:t>BAALC</w:t>
      </w:r>
      <w:r>
        <w:rPr>
          <w:rFonts w:cs="Times New Roman"/>
          <w:szCs w:val="24"/>
        </w:rPr>
        <w:t xml:space="preserve"> expression, which have been extensively characterized in the context of leukaemogenesis and prognosis in AML.</w:t>
      </w:r>
      <w:r>
        <w:rPr>
          <w:rFonts w:cs="Times New Roman"/>
          <w:szCs w:val="24"/>
        </w:rPr>
        <w:fldChar w:fldCharType="begin"/>
      </w:r>
      <w:r>
        <w:rPr>
          <w:rFonts w:cs="Times New Roman"/>
          <w:szCs w:val="24"/>
        </w:rPr>
        <w:instrText xml:space="preserve"> ADDIN EN.CITE </w:instrText>
      </w:r>
      <w:r>
        <w:rPr>
          <w:rFonts w:cs="Times New Roman"/>
          <w:szCs w:val="24"/>
        </w:rPr>
        <w:fldChar w:fldCharType="begin"/>
      </w:r>
      <w:r>
        <w:rPr>
          <w:rFonts w:cs="Times New Roman"/>
          <w:szCs w:val="24"/>
        </w:rPr>
        <w:instrText xml:space="preserve"> ADDIN EN.CITE.DATA </w:instrText>
      </w:r>
      <w:r>
        <w:rPr>
          <w:rFonts w:cs="Times New Roman"/>
          <w:szCs w:val="24"/>
        </w:rPr>
        <w:fldChar w:fldCharType="end"/>
      </w:r>
      <w:r>
        <w:rPr>
          <w:rFonts w:cs="Times New Roman"/>
          <w:szCs w:val="24"/>
        </w:rPr>
        <w:fldChar w:fldCharType="separate"/>
      </w:r>
      <w:r>
        <w:rPr>
          <w:rFonts w:cs="Times New Roman"/>
          <w:szCs w:val="24"/>
          <w:vertAlign w:val="superscript"/>
        </w:rPr>
        <w:t>27-32</w:t>
      </w:r>
      <w:r>
        <w:rPr>
          <w:rFonts w:cs="Times New Roman"/>
          <w:szCs w:val="24"/>
        </w:rPr>
        <w:fldChar w:fldCharType="end"/>
      </w:r>
      <w:r>
        <w:rPr>
          <w:rFonts w:cs="Times New Roman"/>
          <w:szCs w:val="24"/>
        </w:rPr>
        <w:t xml:space="preserve"> In multivariable models including </w:t>
      </w:r>
      <w:r>
        <w:rPr>
          <w:rFonts w:cs="Times New Roman"/>
          <w:i/>
          <w:szCs w:val="24"/>
        </w:rPr>
        <w:t>MN1</w:t>
      </w:r>
      <w:r>
        <w:rPr>
          <w:rFonts w:cs="Times New Roman"/>
          <w:szCs w:val="24"/>
        </w:rPr>
        <w:t xml:space="preserve">, </w:t>
      </w:r>
      <w:r>
        <w:rPr>
          <w:rFonts w:cs="Times New Roman"/>
          <w:i/>
          <w:szCs w:val="24"/>
        </w:rPr>
        <w:t>BAALC</w:t>
      </w:r>
      <w:r>
        <w:rPr>
          <w:rFonts w:cs="Times New Roman"/>
          <w:szCs w:val="24"/>
        </w:rPr>
        <w:t xml:space="preserve"> and</w:t>
      </w:r>
      <w:r>
        <w:rPr>
          <w:rFonts w:cs="Times New Roman"/>
          <w:i/>
          <w:szCs w:val="24"/>
        </w:rPr>
        <w:t xml:space="preserve"> CALCRL</w:t>
      </w:r>
      <w:r>
        <w:rPr>
          <w:rFonts w:cs="Times New Roman"/>
          <w:szCs w:val="24"/>
        </w:rPr>
        <w:t xml:space="preserve"> expression as covariables, however, only </w:t>
      </w:r>
      <w:r>
        <w:rPr>
          <w:rFonts w:cs="Times New Roman"/>
          <w:i/>
          <w:szCs w:val="24"/>
        </w:rPr>
        <w:t>CALCRL</w:t>
      </w:r>
      <w:r>
        <w:rPr>
          <w:rFonts w:cs="Times New Roman"/>
          <w:szCs w:val="24"/>
        </w:rPr>
        <w:t xml:space="preserve"> retained prognostic significance for survival in the full AMLCG, HOVON, and TCGA cohorts, and in the CN-AML subcohorts (Supplementary Table 11 and 12), whereas </w:t>
      </w:r>
      <w:r>
        <w:rPr>
          <w:rFonts w:cs="Times New Roman"/>
          <w:i/>
          <w:szCs w:val="24"/>
        </w:rPr>
        <w:t>MN1</w:t>
      </w:r>
      <w:r>
        <w:rPr>
          <w:rFonts w:cs="Times New Roman"/>
          <w:szCs w:val="24"/>
        </w:rPr>
        <w:t xml:space="preserve"> and </w:t>
      </w:r>
      <w:r>
        <w:rPr>
          <w:rFonts w:cs="Times New Roman"/>
          <w:i/>
          <w:szCs w:val="24"/>
        </w:rPr>
        <w:t>BAALC</w:t>
      </w:r>
      <w:r>
        <w:rPr>
          <w:rFonts w:cs="Times New Roman"/>
          <w:szCs w:val="24"/>
        </w:rPr>
        <w:t xml:space="preserve"> became uninformative (</w:t>
      </w:r>
      <w:r>
        <w:rPr>
          <w:rFonts w:cs="Times New Roman"/>
          <w:i/>
          <w:szCs w:val="24"/>
        </w:rPr>
        <w:t>P</w:t>
      </w:r>
      <w:r>
        <w:rPr>
          <w:rFonts w:cs="Times New Roman"/>
          <w:szCs w:val="24"/>
        </w:rPr>
        <w:t xml:space="preserve"> &gt; .05). </w:t>
      </w:r>
      <w:r>
        <w:rPr>
          <w:rFonts w:cs="Times New Roman"/>
          <w:i/>
          <w:szCs w:val="24"/>
        </w:rPr>
        <w:t>CALCRL</w:t>
      </w:r>
      <w:r>
        <w:rPr>
          <w:rFonts w:cs="Times New Roman"/>
          <w:szCs w:val="24"/>
        </w:rPr>
        <w:t xml:space="preserve"> also correlated with </w:t>
      </w:r>
      <w:r>
        <w:rPr>
          <w:rFonts w:cs="Times New Roman"/>
          <w:i/>
          <w:szCs w:val="24"/>
        </w:rPr>
        <w:t>BCAT1</w:t>
      </w:r>
      <w:r>
        <w:rPr>
          <w:rFonts w:cs="Times New Roman"/>
          <w:szCs w:val="24"/>
        </w:rPr>
        <w:t>, an aminotransferase for branched-chain amino acids that contributes to the differentiation block in AML.</w:t>
      </w:r>
      <w:r>
        <w:rPr>
          <w:rFonts w:cs="Times New Roman"/>
          <w:szCs w:val="24"/>
        </w:rPr>
        <w:fldChar w:fldCharType="begin"/>
      </w:r>
      <w:r>
        <w:rPr>
          <w:rFonts w:cs="Times New Roman"/>
          <w:szCs w:val="24"/>
        </w:rPr>
        <w:instrText xml:space="preserve"> ADDIN EN.CITE </w:instrText>
      </w:r>
      <w:r>
        <w:rPr>
          <w:rFonts w:cs="Times New Roman"/>
          <w:szCs w:val="24"/>
        </w:rPr>
        <w:fldChar w:fldCharType="begin"/>
      </w:r>
      <w:r>
        <w:rPr>
          <w:rFonts w:cs="Times New Roman"/>
          <w:szCs w:val="24"/>
        </w:rPr>
        <w:instrText xml:space="preserve"> ADDIN EN.CITE.DATA </w:instrText>
      </w:r>
      <w:r>
        <w:rPr>
          <w:rFonts w:cs="Times New Roman"/>
          <w:szCs w:val="24"/>
        </w:rPr>
        <w:fldChar w:fldCharType="end"/>
      </w:r>
      <w:r>
        <w:rPr>
          <w:rFonts w:cs="Times New Roman"/>
          <w:szCs w:val="24"/>
        </w:rPr>
        <w:fldChar w:fldCharType="separate"/>
      </w:r>
      <w:r>
        <w:rPr>
          <w:rFonts w:cs="Times New Roman"/>
          <w:szCs w:val="24"/>
          <w:vertAlign w:val="superscript"/>
        </w:rPr>
        <w:t>33</w:t>
      </w:r>
      <w:r>
        <w:rPr>
          <w:rFonts w:cs="Times New Roman"/>
          <w:szCs w:val="24"/>
        </w:rPr>
        <w:fldChar w:fldCharType="end"/>
      </w:r>
      <w:r>
        <w:rPr>
          <w:rFonts w:cs="Times New Roman"/>
          <w:szCs w:val="24"/>
        </w:rPr>
        <w:t xml:space="preserve"> Another gene, the transcription factor </w:t>
      </w:r>
      <w:r>
        <w:rPr>
          <w:rFonts w:cs="Times New Roman"/>
          <w:i/>
          <w:szCs w:val="24"/>
        </w:rPr>
        <w:t>ZNF521</w:t>
      </w:r>
      <w:r>
        <w:rPr>
          <w:rFonts w:cs="Times New Roman"/>
          <w:szCs w:val="24"/>
        </w:rPr>
        <w:t xml:space="preserve">, has been recently identified as a regulator of stem cell function and </w:t>
      </w:r>
      <w:r>
        <w:rPr>
          <w:rFonts w:cs="Times New Roman"/>
          <w:i/>
          <w:szCs w:val="24"/>
        </w:rPr>
        <w:t>MLL</w:t>
      </w:r>
      <w:r>
        <w:rPr>
          <w:rFonts w:cs="Times New Roman"/>
          <w:szCs w:val="24"/>
        </w:rPr>
        <w:t>-</w:t>
      </w:r>
      <w:r>
        <w:rPr>
          <w:rFonts w:cs="Times New Roman"/>
          <w:i/>
          <w:szCs w:val="24"/>
        </w:rPr>
        <w:t>AF9</w:t>
      </w:r>
      <w:r>
        <w:rPr>
          <w:rFonts w:cs="Times New Roman"/>
          <w:szCs w:val="24"/>
        </w:rPr>
        <w:t xml:space="preserve"> leukemogenesis.</w:t>
      </w:r>
      <w:r>
        <w:rPr>
          <w:rFonts w:cs="Times New Roman"/>
          <w:szCs w:val="24"/>
        </w:rPr>
        <w:fldChar w:fldCharType="begin"/>
      </w:r>
      <w:r>
        <w:rPr>
          <w:rFonts w:cs="Times New Roman"/>
          <w:szCs w:val="24"/>
        </w:rPr>
        <w:instrText xml:space="preserve"> ADDIN EN.CITE </w:instrText>
      </w:r>
      <w:r>
        <w:rPr>
          <w:rFonts w:cs="Times New Roman"/>
          <w:szCs w:val="24"/>
        </w:rPr>
        <w:fldChar w:fldCharType="begin"/>
      </w:r>
      <w:r>
        <w:rPr>
          <w:rFonts w:cs="Times New Roman"/>
          <w:szCs w:val="24"/>
        </w:rPr>
        <w:instrText xml:space="preserve"> ADDIN EN.CITE.DATA </w:instrText>
      </w:r>
      <w:r>
        <w:rPr>
          <w:rFonts w:cs="Times New Roman"/>
          <w:szCs w:val="24"/>
        </w:rPr>
        <w:fldChar w:fldCharType="end"/>
      </w:r>
      <w:r>
        <w:rPr>
          <w:rFonts w:cs="Times New Roman"/>
          <w:szCs w:val="24"/>
        </w:rPr>
        <w:fldChar w:fldCharType="separate"/>
      </w:r>
      <w:r>
        <w:rPr>
          <w:rFonts w:cs="Times New Roman"/>
          <w:szCs w:val="24"/>
          <w:vertAlign w:val="superscript"/>
        </w:rPr>
        <w:t>34</w:t>
      </w:r>
      <w:r>
        <w:rPr>
          <w:rFonts w:cs="Times New Roman"/>
          <w:szCs w:val="24"/>
        </w:rPr>
        <w:fldChar w:fldCharType="end"/>
      </w:r>
      <w:r>
        <w:rPr>
          <w:rFonts w:cs="Times New Roman"/>
          <w:szCs w:val="24"/>
        </w:rPr>
        <w:t xml:space="preserve"> In turn, there was an inverse relationship of </w:t>
      </w:r>
      <w:r>
        <w:rPr>
          <w:rFonts w:cs="Times New Roman"/>
          <w:i/>
          <w:szCs w:val="24"/>
        </w:rPr>
        <w:t>CALCRL</w:t>
      </w:r>
      <w:r>
        <w:rPr>
          <w:rFonts w:cs="Times New Roman"/>
          <w:szCs w:val="24"/>
        </w:rPr>
        <w:t xml:space="preserve"> expression with genes related to myeloid differentiation such as </w:t>
      </w:r>
      <w:r>
        <w:rPr>
          <w:rFonts w:cs="Times New Roman"/>
          <w:i/>
          <w:szCs w:val="24"/>
        </w:rPr>
        <w:t>AZU1</w:t>
      </w:r>
      <w:r>
        <w:rPr>
          <w:rFonts w:cs="Times New Roman"/>
          <w:szCs w:val="24"/>
        </w:rPr>
        <w:t xml:space="preserve">, </w:t>
      </w:r>
      <w:r>
        <w:rPr>
          <w:rFonts w:cs="Times New Roman"/>
          <w:i/>
          <w:szCs w:val="24"/>
        </w:rPr>
        <w:t>MPO</w:t>
      </w:r>
      <w:r>
        <w:rPr>
          <w:rFonts w:cs="Times New Roman"/>
          <w:szCs w:val="24"/>
        </w:rPr>
        <w:t xml:space="preserve">, </w:t>
      </w:r>
      <w:r>
        <w:rPr>
          <w:rFonts w:cs="Times New Roman"/>
          <w:i/>
          <w:szCs w:val="24"/>
        </w:rPr>
        <w:t>ELANE</w:t>
      </w:r>
      <w:r>
        <w:rPr>
          <w:rFonts w:cs="Times New Roman"/>
          <w:szCs w:val="24"/>
        </w:rPr>
        <w:t xml:space="preserve">, or </w:t>
      </w:r>
      <w:r>
        <w:rPr>
          <w:rFonts w:cs="Times New Roman"/>
          <w:i/>
          <w:szCs w:val="24"/>
        </w:rPr>
        <w:t>CTSG</w:t>
      </w:r>
      <w:r>
        <w:rPr>
          <w:rFonts w:cs="Times New Roman"/>
          <w:szCs w:val="24"/>
        </w:rPr>
        <w:t xml:space="preserve">. In GSEA, genes associated with </w:t>
      </w:r>
      <w:r>
        <w:rPr>
          <w:rFonts w:cs="Times New Roman"/>
          <w:i/>
          <w:szCs w:val="24"/>
        </w:rPr>
        <w:t>CALCRL</w:t>
      </w:r>
      <w:r>
        <w:rPr>
          <w:rFonts w:cs="Times New Roman"/>
          <w:szCs w:val="24"/>
          <w:vertAlign w:val="superscript"/>
        </w:rPr>
        <w:t>high</w:t>
      </w:r>
      <w:r>
        <w:rPr>
          <w:rFonts w:cs="Times New Roman"/>
          <w:szCs w:val="24"/>
        </w:rPr>
        <w:t xml:space="preserve"> AML were significantly enriched in HSC, LSC and cell adhesion signatures (Supplementary Table 13).</w:t>
      </w:r>
    </w:p>
    <w:p w14:paraId="6A91221F" w14:textId="77777777" w:rsidR="00DD142B" w:rsidRDefault="00F23CC1">
      <w:pPr>
        <w:rPr>
          <w:rFonts w:cs="Times New Roman"/>
          <w:szCs w:val="24"/>
        </w:rPr>
      </w:pPr>
      <w:r>
        <w:rPr>
          <w:rFonts w:cs="Times New Roman"/>
          <w:szCs w:val="24"/>
        </w:rPr>
        <w:t xml:space="preserve">When analyzing normal hematopoietic cells, </w:t>
      </w:r>
      <w:r>
        <w:rPr>
          <w:rFonts w:cs="Times New Roman"/>
          <w:i/>
          <w:szCs w:val="24"/>
        </w:rPr>
        <w:t>CALCRL</w:t>
      </w:r>
      <w:r>
        <w:rPr>
          <w:rFonts w:cs="Times New Roman"/>
          <w:szCs w:val="24"/>
        </w:rPr>
        <w:t xml:space="preserve"> expression was significantly increased in the CD34</w:t>
      </w:r>
      <w:r>
        <w:rPr>
          <w:rFonts w:cs="Times New Roman"/>
          <w:szCs w:val="24"/>
          <w:vertAlign w:val="superscript"/>
        </w:rPr>
        <w:t>+</w:t>
      </w:r>
      <w:r>
        <w:rPr>
          <w:rFonts w:cs="Times New Roman"/>
          <w:szCs w:val="24"/>
        </w:rPr>
        <w:t xml:space="preserve"> compartment, with higher expression in immature CD34</w:t>
      </w:r>
      <w:r>
        <w:rPr>
          <w:rFonts w:cs="Times New Roman"/>
          <w:szCs w:val="24"/>
          <w:vertAlign w:val="superscript"/>
        </w:rPr>
        <w:t>+</w:t>
      </w:r>
      <w:r>
        <w:rPr>
          <w:rFonts w:cs="Times New Roman"/>
          <w:szCs w:val="24"/>
        </w:rPr>
        <w:t>/CD45RA</w:t>
      </w:r>
      <w:r>
        <w:rPr>
          <w:rFonts w:cs="Times New Roman"/>
          <w:szCs w:val="24"/>
          <w:vertAlign w:val="superscript"/>
        </w:rPr>
        <w:t>-</w:t>
      </w:r>
      <w:r>
        <w:rPr>
          <w:rFonts w:cs="Times New Roman"/>
          <w:szCs w:val="24"/>
        </w:rPr>
        <w:t xml:space="preserve"> cells compared with committed CD34</w:t>
      </w:r>
      <w:r>
        <w:rPr>
          <w:rFonts w:cs="Times New Roman"/>
          <w:szCs w:val="24"/>
          <w:vertAlign w:val="superscript"/>
        </w:rPr>
        <w:t>+</w:t>
      </w:r>
      <w:r>
        <w:rPr>
          <w:rFonts w:cs="Times New Roman"/>
          <w:szCs w:val="24"/>
        </w:rPr>
        <w:t>/CD33</w:t>
      </w:r>
      <w:r>
        <w:rPr>
          <w:rFonts w:cs="Times New Roman"/>
          <w:szCs w:val="24"/>
          <w:vertAlign w:val="superscript"/>
        </w:rPr>
        <w:t>+</w:t>
      </w:r>
      <w:r>
        <w:rPr>
          <w:rFonts w:cs="Times New Roman"/>
          <w:szCs w:val="24"/>
        </w:rPr>
        <w:t xml:space="preserve"> myeloid progenitors but was virtually absent in mature myeloid cells (Fig. 4B). In AML, when analyzing 56 patient-derived specimens, </w:t>
      </w:r>
      <w:r>
        <w:rPr>
          <w:rFonts w:cs="Times New Roman"/>
          <w:i/>
          <w:szCs w:val="24"/>
        </w:rPr>
        <w:t>CALCRL</w:t>
      </w:r>
      <w:r>
        <w:rPr>
          <w:rFonts w:cs="Times New Roman"/>
          <w:szCs w:val="24"/>
        </w:rPr>
        <w:t xml:space="preserve"> levels were positively linked to a sample`s LSC frequency and leukemogenic potential in immunocompromised mice </w:t>
      </w:r>
      <w:r>
        <w:rPr>
          <w:rFonts w:cs="Times New Roman"/>
          <w:color w:val="000000"/>
          <w:szCs w:val="24"/>
        </w:rPr>
        <w:t xml:space="preserve">(Fig. 4C). CRISPR-Cas9-mediated knockout of </w:t>
      </w:r>
      <w:r>
        <w:rPr>
          <w:rFonts w:cs="Times New Roman"/>
          <w:i/>
          <w:color w:val="000000"/>
          <w:szCs w:val="24"/>
        </w:rPr>
        <w:t>CALCRL</w:t>
      </w:r>
      <w:r>
        <w:rPr>
          <w:rFonts w:cs="Times New Roman"/>
          <w:color w:val="000000"/>
          <w:szCs w:val="24"/>
        </w:rPr>
        <w:t xml:space="preserve"> resulted in a significant reduction of colony formation capacity of three myeloid leukemia cell lines as compared to controls (Fig. 4D; Supplementary Fig. 13). D</w:t>
      </w:r>
      <w:r>
        <w:rPr>
          <w:rFonts w:cs="Times New Roman"/>
          <w:szCs w:val="24"/>
        </w:rPr>
        <w:t xml:space="preserve">espite its correlation with LSC signatures, </w:t>
      </w:r>
      <w:r>
        <w:rPr>
          <w:rFonts w:cs="Times New Roman"/>
          <w:i/>
          <w:szCs w:val="24"/>
        </w:rPr>
        <w:t>CALCRL</w:t>
      </w:r>
      <w:r>
        <w:rPr>
          <w:rFonts w:cs="Times New Roman"/>
          <w:szCs w:val="24"/>
        </w:rPr>
        <w:t xml:space="preserve"> remained associated with outcome after adjusting for the 17-gene stemness (LSC17) score (Supplementary Table 14).</w:t>
      </w:r>
      <w:r>
        <w:rPr>
          <w:rFonts w:cs="Times New Roman"/>
          <w:szCs w:val="24"/>
        </w:rPr>
        <w:fldChar w:fldCharType="begin"/>
      </w:r>
      <w:r>
        <w:rPr>
          <w:rFonts w:cs="Times New Roman"/>
          <w:szCs w:val="24"/>
        </w:rPr>
        <w:instrText xml:space="preserve"> ADDIN EN.CITE </w:instrText>
      </w:r>
      <w:r>
        <w:rPr>
          <w:rFonts w:cs="Times New Roman"/>
          <w:szCs w:val="24"/>
        </w:rPr>
        <w:fldChar w:fldCharType="begin"/>
      </w:r>
      <w:r>
        <w:rPr>
          <w:rFonts w:cs="Times New Roman"/>
          <w:szCs w:val="24"/>
        </w:rPr>
        <w:instrText xml:space="preserve"> ADDIN EN.CITE.DATA </w:instrText>
      </w:r>
      <w:r>
        <w:rPr>
          <w:rFonts w:cs="Times New Roman"/>
          <w:szCs w:val="24"/>
        </w:rPr>
        <w:fldChar w:fldCharType="end"/>
      </w:r>
      <w:r>
        <w:rPr>
          <w:rFonts w:cs="Times New Roman"/>
          <w:szCs w:val="24"/>
        </w:rPr>
        <w:fldChar w:fldCharType="separate"/>
      </w:r>
      <w:r>
        <w:rPr>
          <w:rFonts w:cs="Times New Roman"/>
          <w:szCs w:val="24"/>
          <w:vertAlign w:val="superscript"/>
        </w:rPr>
        <w:t>35</w:t>
      </w:r>
      <w:r>
        <w:rPr>
          <w:rFonts w:cs="Times New Roman"/>
          <w:szCs w:val="24"/>
        </w:rPr>
        <w:fldChar w:fldCharType="end"/>
      </w:r>
      <w:r>
        <w:rPr>
          <w:rFonts w:cs="Times New Roman"/>
          <w:szCs w:val="24"/>
        </w:rPr>
        <w:t xml:space="preserve"> We found a significant interaction of low versus high </w:t>
      </w:r>
      <w:r>
        <w:rPr>
          <w:rFonts w:cs="Times New Roman"/>
          <w:i/>
          <w:szCs w:val="24"/>
        </w:rPr>
        <w:t>CALCRL</w:t>
      </w:r>
      <w:r>
        <w:rPr>
          <w:rFonts w:cs="Times New Roman"/>
          <w:szCs w:val="24"/>
        </w:rPr>
        <w:t xml:space="preserve"> expression and the LSC17 score (</w:t>
      </w:r>
      <w:r>
        <w:rPr>
          <w:rFonts w:cs="Times New Roman"/>
          <w:i/>
          <w:szCs w:val="24"/>
        </w:rPr>
        <w:t>P</w:t>
      </w:r>
      <w:r>
        <w:rPr>
          <w:rFonts w:cs="Times New Roman"/>
          <w:szCs w:val="24"/>
        </w:rPr>
        <w:t xml:space="preserve"> = .026 for interaction). </w:t>
      </w:r>
      <w:r>
        <w:rPr>
          <w:rFonts w:cs="Times New Roman"/>
          <w:i/>
          <w:szCs w:val="24"/>
        </w:rPr>
        <w:t>CALCRL</w:t>
      </w:r>
      <w:r>
        <w:rPr>
          <w:rFonts w:cs="Times New Roman"/>
          <w:szCs w:val="24"/>
        </w:rPr>
        <w:t xml:space="preserve"> further stratified survival in LSC17-classified low risk patients, with 5-year OS rates differing by more than 40% between LSC17</w:t>
      </w:r>
      <w:r>
        <w:rPr>
          <w:rFonts w:cs="Times New Roman"/>
          <w:szCs w:val="24"/>
          <w:vertAlign w:val="superscript"/>
        </w:rPr>
        <w:t>low</w:t>
      </w:r>
      <w:r>
        <w:rPr>
          <w:rFonts w:cs="Times New Roman"/>
          <w:szCs w:val="24"/>
        </w:rPr>
        <w:t>/</w:t>
      </w:r>
      <w:r>
        <w:rPr>
          <w:rFonts w:cs="Times New Roman"/>
          <w:i/>
          <w:szCs w:val="24"/>
        </w:rPr>
        <w:t>CALCRL</w:t>
      </w:r>
      <w:r>
        <w:rPr>
          <w:rFonts w:cs="Times New Roman"/>
          <w:szCs w:val="24"/>
          <w:vertAlign w:val="superscript"/>
        </w:rPr>
        <w:t>low</w:t>
      </w:r>
      <w:r>
        <w:rPr>
          <w:rFonts w:cs="Times New Roman"/>
          <w:szCs w:val="24"/>
        </w:rPr>
        <w:t xml:space="preserve"> and LSC17</w:t>
      </w:r>
      <w:r>
        <w:rPr>
          <w:rFonts w:cs="Times New Roman"/>
          <w:szCs w:val="24"/>
          <w:vertAlign w:val="superscript"/>
        </w:rPr>
        <w:t>low</w:t>
      </w:r>
      <w:r>
        <w:rPr>
          <w:rFonts w:cs="Times New Roman"/>
          <w:szCs w:val="24"/>
        </w:rPr>
        <w:t>/</w:t>
      </w:r>
      <w:r>
        <w:rPr>
          <w:rFonts w:cs="Times New Roman"/>
          <w:i/>
          <w:szCs w:val="24"/>
        </w:rPr>
        <w:t>CALCRL</w:t>
      </w:r>
      <w:r>
        <w:rPr>
          <w:rFonts w:cs="Times New Roman"/>
          <w:szCs w:val="24"/>
          <w:vertAlign w:val="superscript"/>
        </w:rPr>
        <w:t>high</w:t>
      </w:r>
      <w:r>
        <w:rPr>
          <w:rFonts w:cs="Times New Roman"/>
          <w:szCs w:val="24"/>
        </w:rPr>
        <w:t xml:space="preserve"> patients (Fig. 4E-G; Supplementary Fig. 14).</w:t>
      </w:r>
    </w:p>
    <w:p w14:paraId="5CD6FF17" w14:textId="77777777" w:rsidR="00DD142B" w:rsidRDefault="00DD142B">
      <w:pPr>
        <w:rPr>
          <w:rFonts w:cs="Times New Roman"/>
          <w:szCs w:val="24"/>
        </w:rPr>
      </w:pPr>
    </w:p>
    <w:p w14:paraId="3F04EA8D" w14:textId="77777777" w:rsidR="00DD142B" w:rsidRDefault="00F23CC1">
      <w:pPr>
        <w:pStyle w:val="berschrift1"/>
      </w:pPr>
      <w:r>
        <w:t>Discussion</w:t>
      </w:r>
    </w:p>
    <w:p w14:paraId="3AA6EADB" w14:textId="77777777" w:rsidR="00DD142B" w:rsidRDefault="00F23CC1">
      <w:pPr>
        <w:rPr>
          <w:rFonts w:cs="Times New Roman"/>
          <w:szCs w:val="24"/>
        </w:rPr>
      </w:pPr>
      <w:r>
        <w:rPr>
          <w:rFonts w:cs="Times New Roman"/>
          <w:szCs w:val="24"/>
        </w:rPr>
        <w:t xml:space="preserve">We report a consistent relationship of increasing </w:t>
      </w:r>
      <w:r>
        <w:rPr>
          <w:rFonts w:cs="Times New Roman"/>
          <w:i/>
          <w:szCs w:val="24"/>
        </w:rPr>
        <w:t>CALCRL</w:t>
      </w:r>
      <w:r>
        <w:rPr>
          <w:rFonts w:cs="Times New Roman"/>
          <w:szCs w:val="24"/>
        </w:rPr>
        <w:t xml:space="preserve"> expression levels with poor outcome across several independent cohorts of intensively treated AML patients and across different measurement platforms. Obviously, high </w:t>
      </w:r>
      <w:r>
        <w:rPr>
          <w:rFonts w:cs="Times New Roman"/>
          <w:i/>
          <w:szCs w:val="24"/>
        </w:rPr>
        <w:t>CALCRL</w:t>
      </w:r>
      <w:r>
        <w:rPr>
          <w:rFonts w:cs="Times New Roman"/>
          <w:szCs w:val="24"/>
        </w:rPr>
        <w:t xml:space="preserve"> overlapped with unfavorable genetics, including complex and monosomal karyotypes, -5/del(5q), -7, -17/abn(17p), inv(3)/t(3;3), and </w:t>
      </w:r>
      <w:r>
        <w:rPr>
          <w:rFonts w:cs="Times New Roman"/>
          <w:i/>
          <w:szCs w:val="24"/>
        </w:rPr>
        <w:t>RUNX1</w:t>
      </w:r>
      <w:r>
        <w:rPr>
          <w:rFonts w:cs="Times New Roman"/>
          <w:szCs w:val="24"/>
        </w:rPr>
        <w:t xml:space="preserve"> and </w:t>
      </w:r>
      <w:r>
        <w:rPr>
          <w:rFonts w:cs="Times New Roman"/>
          <w:i/>
          <w:szCs w:val="24"/>
        </w:rPr>
        <w:t>TP53</w:t>
      </w:r>
      <w:r>
        <w:rPr>
          <w:rFonts w:cs="Times New Roman"/>
          <w:szCs w:val="24"/>
        </w:rPr>
        <w:t xml:space="preserve"> mutations, suggesting that </w:t>
      </w:r>
      <w:r>
        <w:rPr>
          <w:rFonts w:cs="Times New Roman"/>
          <w:i/>
          <w:szCs w:val="24"/>
        </w:rPr>
        <w:t>CALCRL</w:t>
      </w:r>
      <w:r>
        <w:rPr>
          <w:rFonts w:cs="Times New Roman"/>
          <w:szCs w:val="24"/>
        </w:rPr>
        <w:t xml:space="preserve"> might be part of a shared network induced by diverse genetic events. In turn, low </w:t>
      </w:r>
      <w:r>
        <w:rPr>
          <w:rFonts w:cs="Times New Roman"/>
          <w:i/>
          <w:szCs w:val="24"/>
        </w:rPr>
        <w:t>CALCRL</w:t>
      </w:r>
      <w:r>
        <w:rPr>
          <w:rFonts w:cs="Times New Roman"/>
          <w:szCs w:val="24"/>
        </w:rPr>
        <w:t xml:space="preserve"> expression associated with CBF cytogenetics, bi</w:t>
      </w:r>
      <w:r>
        <w:rPr>
          <w:rFonts w:cs="Times New Roman"/>
          <w:i/>
          <w:szCs w:val="24"/>
        </w:rPr>
        <w:t>CEBPA</w:t>
      </w:r>
      <w:r>
        <w:rPr>
          <w:rFonts w:cs="Times New Roman"/>
          <w:szCs w:val="24"/>
        </w:rPr>
        <w:t xml:space="preserve"> mutations and </w:t>
      </w:r>
      <w:r>
        <w:rPr>
          <w:rFonts w:cs="Times New Roman"/>
          <w:i/>
          <w:szCs w:val="24"/>
        </w:rPr>
        <w:t>NPM1</w:t>
      </w:r>
      <w:r>
        <w:rPr>
          <w:rFonts w:cs="Times New Roman"/>
          <w:szCs w:val="24"/>
          <w:vertAlign w:val="superscript"/>
        </w:rPr>
        <w:t>mut</w:t>
      </w:r>
      <w:r>
        <w:rPr>
          <w:rFonts w:cs="Times New Roman"/>
          <w:szCs w:val="24"/>
        </w:rPr>
        <w:t>/</w:t>
      </w:r>
      <w:r>
        <w:rPr>
          <w:rFonts w:cs="Times New Roman"/>
          <w:i/>
          <w:szCs w:val="24"/>
        </w:rPr>
        <w:t>FLT3</w:t>
      </w:r>
      <w:r>
        <w:rPr>
          <w:rFonts w:cs="Times New Roman"/>
          <w:szCs w:val="24"/>
        </w:rPr>
        <w:t>-ITD</w:t>
      </w:r>
      <w:r>
        <w:rPr>
          <w:rFonts w:cs="Times New Roman"/>
          <w:szCs w:val="24"/>
          <w:vertAlign w:val="superscript"/>
        </w:rPr>
        <w:t>neg/low</w:t>
      </w:r>
      <w:r>
        <w:rPr>
          <w:rFonts w:cs="Times New Roman"/>
          <w:szCs w:val="24"/>
        </w:rPr>
        <w:t xml:space="preserve"> status. However, the prognostic impact of </w:t>
      </w:r>
      <w:r>
        <w:rPr>
          <w:rFonts w:cs="Times New Roman"/>
          <w:i/>
          <w:szCs w:val="24"/>
        </w:rPr>
        <w:t>CALCRL</w:t>
      </w:r>
      <w:r>
        <w:rPr>
          <w:rFonts w:cs="Times New Roman"/>
          <w:szCs w:val="24"/>
        </w:rPr>
        <w:t xml:space="preserve"> does not merely reflect its correlation with established risk factors since </w:t>
      </w:r>
      <w:r>
        <w:rPr>
          <w:rFonts w:cs="Times New Roman"/>
          <w:i/>
          <w:szCs w:val="24"/>
        </w:rPr>
        <w:t>CALCRL</w:t>
      </w:r>
      <w:r>
        <w:rPr>
          <w:rFonts w:cs="Times New Roman"/>
          <w:szCs w:val="24"/>
        </w:rPr>
        <w:t xml:space="preserve"> predicted a poor prognosis, even when all criteria defined in the ELN 2017 risk stratification were included as covariables in the multivariable models. Furthermore, the prognostic impact of </w:t>
      </w:r>
      <w:r>
        <w:rPr>
          <w:rFonts w:cs="Times New Roman"/>
          <w:i/>
          <w:szCs w:val="24"/>
        </w:rPr>
        <w:t>CALCRL</w:t>
      </w:r>
      <w:r>
        <w:rPr>
          <w:rFonts w:cs="Times New Roman"/>
          <w:szCs w:val="24"/>
        </w:rPr>
        <w:t xml:space="preserve"> was independent from </w:t>
      </w:r>
      <w:r>
        <w:rPr>
          <w:rFonts w:cs="Times New Roman"/>
          <w:i/>
          <w:szCs w:val="24"/>
        </w:rPr>
        <w:t>BAALC</w:t>
      </w:r>
      <w:r>
        <w:rPr>
          <w:rFonts w:cs="Times New Roman"/>
          <w:szCs w:val="24"/>
        </w:rPr>
        <w:t xml:space="preserve"> and </w:t>
      </w:r>
      <w:r>
        <w:rPr>
          <w:rFonts w:cs="Times New Roman"/>
          <w:i/>
          <w:szCs w:val="24"/>
        </w:rPr>
        <w:t>MN1</w:t>
      </w:r>
      <w:r>
        <w:rPr>
          <w:rFonts w:cs="Times New Roman"/>
          <w:szCs w:val="24"/>
        </w:rPr>
        <w:t xml:space="preserve"> expression, which have been extensively described for their prognostic role in AML,</w:t>
      </w:r>
      <w:r>
        <w:rPr>
          <w:rFonts w:cs="Times New Roman"/>
          <w:szCs w:val="24"/>
        </w:rPr>
        <w:fldChar w:fldCharType="begin"/>
      </w:r>
      <w:r>
        <w:rPr>
          <w:rFonts w:cs="Times New Roman"/>
          <w:szCs w:val="24"/>
        </w:rPr>
        <w:instrText xml:space="preserve"> ADDIN EN.CITE </w:instrText>
      </w:r>
      <w:r>
        <w:rPr>
          <w:rFonts w:cs="Times New Roman"/>
          <w:szCs w:val="24"/>
        </w:rPr>
        <w:fldChar w:fldCharType="begin"/>
      </w:r>
      <w:r>
        <w:rPr>
          <w:rFonts w:cs="Times New Roman"/>
          <w:szCs w:val="24"/>
        </w:rPr>
        <w:instrText xml:space="preserve"> ADDIN EN.CITE.DATA </w:instrText>
      </w:r>
      <w:r>
        <w:rPr>
          <w:rFonts w:cs="Times New Roman"/>
          <w:szCs w:val="24"/>
        </w:rPr>
        <w:fldChar w:fldCharType="end"/>
      </w:r>
      <w:r>
        <w:rPr>
          <w:rFonts w:cs="Times New Roman"/>
          <w:szCs w:val="24"/>
        </w:rPr>
        <w:fldChar w:fldCharType="separate"/>
      </w:r>
      <w:r>
        <w:rPr>
          <w:rFonts w:cs="Times New Roman"/>
          <w:szCs w:val="24"/>
          <w:vertAlign w:val="superscript"/>
        </w:rPr>
        <w:t>27-32</w:t>
      </w:r>
      <w:r>
        <w:rPr>
          <w:rFonts w:cs="Times New Roman"/>
          <w:szCs w:val="24"/>
        </w:rPr>
        <w:fldChar w:fldCharType="end"/>
      </w:r>
      <w:r>
        <w:rPr>
          <w:rFonts w:cs="Times New Roman"/>
          <w:szCs w:val="24"/>
        </w:rPr>
        <w:t xml:space="preserve"> and from the recently described 17-gene stemness score LSC17 (which does not contain </w:t>
      </w:r>
      <w:r>
        <w:rPr>
          <w:rFonts w:cs="Times New Roman"/>
          <w:i/>
          <w:szCs w:val="24"/>
        </w:rPr>
        <w:t>CALCRL</w:t>
      </w:r>
      <w:r>
        <w:rPr>
          <w:rFonts w:cs="Times New Roman"/>
          <w:szCs w:val="24"/>
        </w:rPr>
        <w:t xml:space="preserve"> as a component).</w:t>
      </w:r>
      <w:r>
        <w:rPr>
          <w:rFonts w:cs="Times New Roman"/>
          <w:szCs w:val="24"/>
        </w:rPr>
        <w:fldChar w:fldCharType="begin"/>
      </w:r>
      <w:r>
        <w:rPr>
          <w:rFonts w:cs="Times New Roman"/>
          <w:szCs w:val="24"/>
        </w:rPr>
        <w:instrText xml:space="preserve"> ADDIN EN.CITE </w:instrText>
      </w:r>
      <w:r>
        <w:rPr>
          <w:rFonts w:cs="Times New Roman"/>
          <w:szCs w:val="24"/>
        </w:rPr>
        <w:fldChar w:fldCharType="begin"/>
      </w:r>
      <w:r>
        <w:rPr>
          <w:rFonts w:cs="Times New Roman"/>
          <w:szCs w:val="24"/>
        </w:rPr>
        <w:instrText xml:space="preserve"> ADDIN EN.CITE.DATA </w:instrText>
      </w:r>
      <w:r>
        <w:rPr>
          <w:rFonts w:cs="Times New Roman"/>
          <w:szCs w:val="24"/>
        </w:rPr>
        <w:fldChar w:fldCharType="end"/>
      </w:r>
      <w:r>
        <w:rPr>
          <w:rFonts w:cs="Times New Roman"/>
          <w:szCs w:val="24"/>
        </w:rPr>
        <w:fldChar w:fldCharType="separate"/>
      </w:r>
      <w:r>
        <w:rPr>
          <w:rFonts w:cs="Times New Roman"/>
          <w:szCs w:val="24"/>
          <w:vertAlign w:val="superscript"/>
        </w:rPr>
        <w:t>35</w:t>
      </w:r>
      <w:r>
        <w:rPr>
          <w:rFonts w:cs="Times New Roman"/>
          <w:szCs w:val="24"/>
        </w:rPr>
        <w:fldChar w:fldCharType="end"/>
      </w:r>
    </w:p>
    <w:p w14:paraId="308C9FE9" w14:textId="77777777" w:rsidR="00DD142B" w:rsidRDefault="00F23CC1">
      <w:pPr>
        <w:rPr>
          <w:rFonts w:cs="Times New Roman"/>
          <w:szCs w:val="24"/>
        </w:rPr>
      </w:pPr>
      <w:r>
        <w:rPr>
          <w:rFonts w:cs="Times New Roman"/>
          <w:szCs w:val="24"/>
        </w:rPr>
        <w:t>Allogeneic HSCT is usually recommended for transplant-eligible patients with intermediate- or adverse-risk genetics, whereas favorable-risk patients typically receive consolidation chemotherapy.</w:t>
      </w:r>
      <w:r>
        <w:rPr>
          <w:rFonts w:cs="Times New Roman"/>
          <w:szCs w:val="24"/>
        </w:rPr>
        <w:fldChar w:fldCharType="begin"/>
      </w:r>
      <w:r>
        <w:rPr>
          <w:rFonts w:cs="Times New Roman"/>
          <w:szCs w:val="24"/>
        </w:rPr>
        <w:instrText xml:space="preserve"> ADDIN EN.CITE </w:instrText>
      </w:r>
      <w:r>
        <w:rPr>
          <w:rFonts w:cs="Times New Roman"/>
          <w:szCs w:val="24"/>
        </w:rPr>
        <w:fldChar w:fldCharType="begin"/>
      </w:r>
      <w:r>
        <w:rPr>
          <w:rFonts w:cs="Times New Roman"/>
          <w:szCs w:val="24"/>
        </w:rPr>
        <w:instrText xml:space="preserve"> ADDIN EN.CITE.DATA </w:instrText>
      </w:r>
      <w:r>
        <w:rPr>
          <w:rFonts w:cs="Times New Roman"/>
          <w:szCs w:val="24"/>
        </w:rPr>
        <w:fldChar w:fldCharType="end"/>
      </w:r>
      <w:r>
        <w:rPr>
          <w:rFonts w:cs="Times New Roman"/>
          <w:szCs w:val="24"/>
        </w:rPr>
        <w:fldChar w:fldCharType="separate"/>
      </w:r>
      <w:r>
        <w:rPr>
          <w:rFonts w:cs="Times New Roman"/>
          <w:szCs w:val="24"/>
          <w:vertAlign w:val="superscript"/>
        </w:rPr>
        <w:t>25</w:t>
      </w:r>
      <w:r>
        <w:rPr>
          <w:rFonts w:cs="Times New Roman"/>
          <w:szCs w:val="24"/>
        </w:rPr>
        <w:fldChar w:fldCharType="end"/>
      </w:r>
      <w:r>
        <w:rPr>
          <w:rFonts w:cs="Times New Roman"/>
          <w:szCs w:val="24"/>
        </w:rPr>
        <w:t xml:space="preserve"> We found no heterogeneity of the prognostic impact of </w:t>
      </w:r>
      <w:r>
        <w:rPr>
          <w:rFonts w:cs="Times New Roman"/>
          <w:i/>
          <w:szCs w:val="24"/>
        </w:rPr>
        <w:t>CALCRL</w:t>
      </w:r>
      <w:r>
        <w:rPr>
          <w:rFonts w:cs="Times New Roman"/>
          <w:szCs w:val="24"/>
        </w:rPr>
        <w:t xml:space="preserve"> expression across subgroups defined by ELN 2017 genetic risk. </w:t>
      </w:r>
      <w:r>
        <w:rPr>
          <w:rFonts w:cs="Times New Roman"/>
          <w:i/>
          <w:szCs w:val="24"/>
        </w:rPr>
        <w:t>CALCRL</w:t>
      </w:r>
      <w:r>
        <w:rPr>
          <w:rFonts w:cs="Times New Roman"/>
          <w:szCs w:val="24"/>
        </w:rPr>
        <w:t xml:space="preserve"> expression might be used to further stratify genetic risk. However, the exploratory nature of these subgroup analyses demands further validation. Given the limited number of allogeneic HSCTs performed in first CR in the AMLCG study (7.4%) and our gene expression subcohort (6.3%),</w:t>
      </w:r>
      <w:r>
        <w:rPr>
          <w:rFonts w:cs="Times New Roman"/>
          <w:szCs w:val="24"/>
        </w:rPr>
        <w:fldChar w:fldCharType="begin"/>
      </w:r>
      <w:r>
        <w:rPr>
          <w:rFonts w:cs="Times New Roman"/>
          <w:szCs w:val="24"/>
        </w:rPr>
        <w:instrText xml:space="preserve"> ADDIN EN.CITE </w:instrText>
      </w:r>
      <w:r>
        <w:rPr>
          <w:rFonts w:cs="Times New Roman"/>
          <w:szCs w:val="24"/>
        </w:rPr>
        <w:fldChar w:fldCharType="begin"/>
      </w:r>
      <w:r>
        <w:rPr>
          <w:rFonts w:cs="Times New Roman"/>
          <w:szCs w:val="24"/>
        </w:rPr>
        <w:instrText xml:space="preserve"> ADDIN EN.CITE.DATA </w:instrText>
      </w:r>
      <w:r>
        <w:rPr>
          <w:rFonts w:cs="Times New Roman"/>
          <w:szCs w:val="24"/>
        </w:rPr>
        <w:fldChar w:fldCharType="end"/>
      </w:r>
      <w:r>
        <w:rPr>
          <w:rFonts w:cs="Times New Roman"/>
          <w:szCs w:val="24"/>
        </w:rPr>
        <w:fldChar w:fldCharType="separate"/>
      </w:r>
      <w:r>
        <w:rPr>
          <w:rFonts w:cs="Times New Roman"/>
          <w:szCs w:val="24"/>
          <w:vertAlign w:val="superscript"/>
        </w:rPr>
        <w:t>17, 36</w:t>
      </w:r>
      <w:r>
        <w:rPr>
          <w:rFonts w:cs="Times New Roman"/>
          <w:szCs w:val="24"/>
        </w:rPr>
        <w:fldChar w:fldCharType="end"/>
      </w:r>
      <w:r>
        <w:rPr>
          <w:rFonts w:cs="Times New Roman"/>
          <w:szCs w:val="24"/>
        </w:rPr>
        <w:t xml:space="preserve"> we were not able to evaluate the impact of transplantation in </w:t>
      </w:r>
      <w:r>
        <w:rPr>
          <w:rFonts w:cs="Times New Roman"/>
          <w:i/>
          <w:szCs w:val="24"/>
        </w:rPr>
        <w:t>CALCRL</w:t>
      </w:r>
      <w:r>
        <w:rPr>
          <w:rFonts w:cs="Times New Roman"/>
          <w:szCs w:val="24"/>
          <w:vertAlign w:val="superscript"/>
        </w:rPr>
        <w:t>high</w:t>
      </w:r>
      <w:r>
        <w:rPr>
          <w:rFonts w:cs="Times New Roman"/>
          <w:szCs w:val="24"/>
        </w:rPr>
        <w:t xml:space="preserve"> AML, much less in </w:t>
      </w:r>
      <w:r>
        <w:rPr>
          <w:rFonts w:cs="Times New Roman"/>
          <w:i/>
          <w:szCs w:val="24"/>
        </w:rPr>
        <w:t>CALCRL</w:t>
      </w:r>
      <w:r>
        <w:rPr>
          <w:rFonts w:cs="Times New Roman"/>
          <w:szCs w:val="24"/>
          <w:vertAlign w:val="superscript"/>
        </w:rPr>
        <w:t>high</w:t>
      </w:r>
      <w:r>
        <w:rPr>
          <w:rFonts w:cs="Times New Roman"/>
          <w:szCs w:val="24"/>
        </w:rPr>
        <w:t xml:space="preserve"> AML with favorable ELN risk. This should be evaluated within the framework of prospective trials incorporating</w:t>
      </w:r>
      <w:r>
        <w:rPr>
          <w:rFonts w:cs="Times New Roman"/>
        </w:rPr>
        <w:t xml:space="preserve"> </w:t>
      </w:r>
      <w:r>
        <w:rPr>
          <w:rFonts w:cs="Times New Roman"/>
          <w:szCs w:val="24"/>
        </w:rPr>
        <w:t xml:space="preserve">risk-based stratification or randomization strategies. In any case, before quantitative measures of </w:t>
      </w:r>
      <w:r>
        <w:rPr>
          <w:rFonts w:cs="Times New Roman"/>
          <w:i/>
          <w:iCs/>
          <w:szCs w:val="24"/>
        </w:rPr>
        <w:t xml:space="preserve">CALCRL </w:t>
      </w:r>
      <w:r>
        <w:rPr>
          <w:rFonts w:cs="Times New Roman"/>
          <w:szCs w:val="24"/>
        </w:rPr>
        <w:t>expression can be used for clinical decision-making, standardization of the methods used to determine expression levels is necessary.</w:t>
      </w:r>
      <w:r>
        <w:rPr>
          <w:rFonts w:cs="Times New Roman"/>
        </w:rPr>
        <w:t xml:space="preserve"> </w:t>
      </w:r>
      <w:r>
        <w:rPr>
          <w:rFonts w:cs="Times New Roman"/>
          <w:szCs w:val="24"/>
        </w:rPr>
        <w:t>Conventional immunohistochemistry and visual or digital assessment of CALCRL expression in BM sections as performed in this study may represent one option for clinical translation.</w:t>
      </w:r>
    </w:p>
    <w:p w14:paraId="1DDF8B02" w14:textId="77777777" w:rsidR="00DD142B" w:rsidRDefault="00F23CC1">
      <w:pPr>
        <w:rPr>
          <w:rFonts w:cs="Times New Roman"/>
          <w:szCs w:val="24"/>
        </w:rPr>
      </w:pPr>
      <w:r>
        <w:rPr>
          <w:rFonts w:cs="Times New Roman"/>
          <w:szCs w:val="24"/>
        </w:rPr>
        <w:t>Indeed, CALCRL protein expression was highly prognostic in a fifth independent cohort, further underscoring a role for CALCRL in the pathophysiology of AML. However, it is unknown how it contributes to poor chemotherapy responsiveness and aggressive disease behavior. The CALCRL pathway has been characterized in diverse pathophysiological conditions, including migraine,</w:t>
      </w:r>
      <w:r>
        <w:rPr>
          <w:rFonts w:cs="Times New Roman"/>
          <w:szCs w:val="24"/>
        </w:rPr>
        <w:fldChar w:fldCharType="begin"/>
      </w:r>
      <w:r>
        <w:rPr>
          <w:rFonts w:cs="Times New Roman"/>
          <w:szCs w:val="24"/>
        </w:rPr>
        <w:instrText xml:space="preserve"> ADDIN EN.CITE </w:instrText>
      </w:r>
      <w:r>
        <w:rPr>
          <w:rFonts w:cs="Times New Roman"/>
          <w:szCs w:val="24"/>
        </w:rPr>
        <w:fldChar w:fldCharType="begin"/>
      </w:r>
      <w:r>
        <w:rPr>
          <w:rFonts w:cs="Times New Roman"/>
          <w:szCs w:val="24"/>
        </w:rPr>
        <w:instrText xml:space="preserve"> ADDIN EN.CITE.DATA </w:instrText>
      </w:r>
      <w:r>
        <w:rPr>
          <w:rFonts w:cs="Times New Roman"/>
          <w:szCs w:val="24"/>
        </w:rPr>
        <w:fldChar w:fldCharType="end"/>
      </w:r>
      <w:r>
        <w:rPr>
          <w:rFonts w:cs="Times New Roman"/>
          <w:szCs w:val="24"/>
        </w:rPr>
        <w:fldChar w:fldCharType="separate"/>
      </w:r>
      <w:r>
        <w:rPr>
          <w:rFonts w:cs="Times New Roman"/>
          <w:szCs w:val="24"/>
          <w:vertAlign w:val="superscript"/>
        </w:rPr>
        <w:t>6, 7</w:t>
      </w:r>
      <w:r>
        <w:rPr>
          <w:rFonts w:cs="Times New Roman"/>
          <w:szCs w:val="24"/>
        </w:rPr>
        <w:fldChar w:fldCharType="end"/>
      </w:r>
      <w:r>
        <w:rPr>
          <w:rFonts w:cs="Times New Roman"/>
          <w:szCs w:val="24"/>
        </w:rPr>
        <w:t xml:space="preserve"> sepsis,</w:t>
      </w:r>
      <w:r>
        <w:rPr>
          <w:rFonts w:cs="Times New Roman"/>
          <w:szCs w:val="24"/>
        </w:rPr>
        <w:fldChar w:fldCharType="begin"/>
      </w:r>
      <w:r>
        <w:rPr>
          <w:rFonts w:cs="Times New Roman"/>
          <w:szCs w:val="24"/>
        </w:rPr>
        <w:instrText xml:space="preserve"> ADDIN EN.CITE &lt;EndNote&gt;&lt;Cite&gt;&lt;Author&gt;Marino&lt;/Author&gt;&lt;Year&gt;2014&lt;/Year&gt;&lt;RecNum&gt;19&lt;/RecNum&gt;&lt;DisplayText&gt;&lt;style face="superscript"&gt;37&lt;/style&gt;&lt;/DisplayText&gt;&lt;record&gt;&lt;rec-number&gt;19&lt;/rec-number&gt;&lt;foreign-keys&gt;&lt;key app="EN" db-id="9vwrvaevl2ttzfetfxz5eafxspzsefs05fv2" timestamp="1523449699"&gt;19&lt;/key&gt;&lt;/foreign-keys&gt;&lt;ref-type name="Journal Article"&gt;17&lt;/ref-type&gt;&lt;contributors&gt;&lt;authors&gt;&lt;author&gt;Marino, R.&lt;/author&gt;&lt;author&gt;Struck, J.&lt;/author&gt;&lt;author&gt;Maisel, A. S.&lt;/author&gt;&lt;author&gt;Magrini, L.&lt;/author&gt;&lt;author&gt;Bergmann, A.&lt;/author&gt;&lt;author&gt;Di Somma, S.&lt;/author&gt;&lt;/authors&gt;&lt;/contributors&gt;&lt;titles&gt;&lt;title&gt;Plasma adrenomedullin is associated with short-term mortality and vasopressor requirement in patients admitted with sepsis&lt;/title&gt;&lt;secondary-title&gt;Crit Care&lt;/secondary-title&gt;&lt;/titles&gt;&lt;periodical&gt;&lt;full-title&gt;Crit Care&lt;/full-title&gt;&lt;/periodical&gt;&lt;pages&gt;R34&lt;/pages&gt;&lt;volume&gt;18&lt;/volume&gt;&lt;number&gt;1&lt;/number&gt;&lt;keywords&gt;&lt;keyword&gt;Apache&lt;/keyword&gt;&lt;keyword&gt;Adrenomedullin/*blood&lt;/keyword&gt;&lt;keyword&gt;Adult&lt;/keyword&gt;&lt;keyword&gt;Aged&lt;/keyword&gt;&lt;keyword&gt;Emergency Service, Hospital&lt;/keyword&gt;&lt;keyword&gt;Female&lt;/keyword&gt;&lt;keyword&gt;Humans&lt;/keyword&gt;&lt;keyword&gt;Male&lt;/keyword&gt;&lt;keyword&gt;Middle Aged&lt;/keyword&gt;&lt;keyword&gt;Prognosis&lt;/keyword&gt;&lt;keyword&gt;Sepsis/*blood/mortality/therapy&lt;/keyword&gt;&lt;keyword&gt;Severity of Illness Index&lt;/keyword&gt;&lt;keyword&gt;Vasoconstrictor Agents/*therapeutic use&lt;/keyword&gt;&lt;/keywords&gt;&lt;dates&gt;&lt;year&gt;2014&lt;/year&gt;&lt;pub-dates&gt;&lt;date&gt;Feb 17&lt;/date&gt;&lt;/pub-dates&gt;&lt;/dates&gt;&lt;isbn&gt;1466-609X (Electronic)&amp;#xD;1364-8535 (Linking)&lt;/isbn&gt;&lt;accession-num&gt;24533868&lt;/accession-num&gt;&lt;urls&gt;&lt;related-urls&gt;&lt;url&gt;https://www.ncbi.nlm.nih.gov/pubmed/24533868&lt;/url&gt;&lt;/related-urls&gt;&lt;/urls&gt;&lt;custom2&gt;PMC4056312&lt;/custom2&gt;&lt;electronic-resource-num&gt;10.1186/cc13731&lt;/electronic-resource-num&gt;&lt;/record&gt;&lt;/Cite&gt;&lt;/EndNote&gt;</w:instrText>
      </w:r>
      <w:r>
        <w:rPr>
          <w:rFonts w:cs="Times New Roman"/>
          <w:szCs w:val="24"/>
        </w:rPr>
        <w:fldChar w:fldCharType="separate"/>
      </w:r>
      <w:r>
        <w:rPr>
          <w:rFonts w:cs="Times New Roman"/>
          <w:szCs w:val="24"/>
          <w:vertAlign w:val="superscript"/>
        </w:rPr>
        <w:t>37</w:t>
      </w:r>
      <w:r>
        <w:rPr>
          <w:rFonts w:cs="Times New Roman"/>
          <w:szCs w:val="24"/>
        </w:rPr>
        <w:fldChar w:fldCharType="end"/>
      </w:r>
      <w:r>
        <w:rPr>
          <w:rFonts w:cs="Times New Roman"/>
          <w:szCs w:val="24"/>
        </w:rPr>
        <w:t xml:space="preserve"> vascular disease,</w:t>
      </w:r>
      <w:r>
        <w:rPr>
          <w:rFonts w:cs="Times New Roman"/>
          <w:szCs w:val="24"/>
        </w:rPr>
        <w:fldChar w:fldCharType="begin"/>
      </w:r>
      <w:r>
        <w:rPr>
          <w:rFonts w:cs="Times New Roman"/>
          <w:szCs w:val="24"/>
        </w:rPr>
        <w:instrText xml:space="preserve"> ADDIN EN.CITE </w:instrText>
      </w:r>
      <w:r>
        <w:rPr>
          <w:rFonts w:cs="Times New Roman"/>
          <w:szCs w:val="24"/>
        </w:rPr>
        <w:fldChar w:fldCharType="begin"/>
      </w:r>
      <w:r>
        <w:rPr>
          <w:rFonts w:cs="Times New Roman"/>
          <w:szCs w:val="24"/>
        </w:rPr>
        <w:instrText xml:space="preserve"> ADDIN EN.CITE.DATA </w:instrText>
      </w:r>
      <w:r>
        <w:rPr>
          <w:rFonts w:cs="Times New Roman"/>
          <w:szCs w:val="24"/>
        </w:rPr>
        <w:fldChar w:fldCharType="end"/>
      </w:r>
      <w:r>
        <w:rPr>
          <w:rFonts w:cs="Times New Roman"/>
          <w:szCs w:val="24"/>
        </w:rPr>
        <w:fldChar w:fldCharType="separate"/>
      </w:r>
      <w:r>
        <w:rPr>
          <w:rFonts w:cs="Times New Roman"/>
          <w:szCs w:val="24"/>
          <w:vertAlign w:val="superscript"/>
        </w:rPr>
        <w:t>38</w:t>
      </w:r>
      <w:r>
        <w:rPr>
          <w:rFonts w:cs="Times New Roman"/>
          <w:szCs w:val="24"/>
        </w:rPr>
        <w:fldChar w:fldCharType="end"/>
      </w:r>
      <w:r>
        <w:rPr>
          <w:rFonts w:cs="Times New Roman"/>
          <w:szCs w:val="24"/>
        </w:rPr>
        <w:t xml:space="preserve"> and solid tumors, where autocrine and paracrine CALCRL signaling loops stimulate the growth of tumor and/or endothelial cells.</w:t>
      </w:r>
      <w:r>
        <w:rPr>
          <w:rFonts w:cs="Times New Roman"/>
          <w:szCs w:val="24"/>
        </w:rPr>
        <w:fldChar w:fldCharType="begin"/>
      </w:r>
      <w:r>
        <w:rPr>
          <w:rFonts w:cs="Times New Roman"/>
          <w:szCs w:val="24"/>
        </w:rPr>
        <w:instrText xml:space="preserve"> ADDIN EN.CITE </w:instrText>
      </w:r>
      <w:r>
        <w:rPr>
          <w:rFonts w:cs="Times New Roman"/>
          <w:szCs w:val="24"/>
        </w:rPr>
        <w:fldChar w:fldCharType="begin"/>
      </w:r>
      <w:r>
        <w:rPr>
          <w:rFonts w:cs="Times New Roman"/>
          <w:szCs w:val="24"/>
        </w:rPr>
        <w:instrText xml:space="preserve"> ADDIN EN.CITE.DATA </w:instrText>
      </w:r>
      <w:r>
        <w:rPr>
          <w:rFonts w:cs="Times New Roman"/>
          <w:szCs w:val="24"/>
        </w:rPr>
        <w:fldChar w:fldCharType="end"/>
      </w:r>
      <w:r>
        <w:rPr>
          <w:rFonts w:cs="Times New Roman"/>
          <w:szCs w:val="24"/>
        </w:rPr>
        <w:fldChar w:fldCharType="separate"/>
      </w:r>
      <w:r>
        <w:rPr>
          <w:rFonts w:cs="Times New Roman"/>
          <w:szCs w:val="24"/>
          <w:vertAlign w:val="superscript"/>
        </w:rPr>
        <w:t>3, 8-12, 39-41</w:t>
      </w:r>
      <w:r>
        <w:rPr>
          <w:rFonts w:cs="Times New Roman"/>
          <w:szCs w:val="24"/>
        </w:rPr>
        <w:fldChar w:fldCharType="end"/>
      </w:r>
      <w:r>
        <w:rPr>
          <w:rFonts w:cs="Times New Roman"/>
          <w:szCs w:val="24"/>
        </w:rPr>
        <w:t xml:space="preserve"> In particular, CALCRL has been associated with stem cell functions across many tissues,</w:t>
      </w:r>
      <w:r>
        <w:rPr>
          <w:rFonts w:cs="Times New Roman"/>
          <w:szCs w:val="24"/>
        </w:rPr>
        <w:fldChar w:fldCharType="begin"/>
      </w:r>
      <w:r>
        <w:rPr>
          <w:rFonts w:cs="Times New Roman"/>
          <w:szCs w:val="24"/>
        </w:rPr>
        <w:instrText xml:space="preserve"> ADDIN EN.CITE </w:instrText>
      </w:r>
      <w:r>
        <w:rPr>
          <w:rFonts w:cs="Times New Roman"/>
          <w:szCs w:val="24"/>
        </w:rPr>
        <w:fldChar w:fldCharType="begin"/>
      </w:r>
      <w:r>
        <w:rPr>
          <w:rFonts w:cs="Times New Roman"/>
          <w:szCs w:val="24"/>
        </w:rPr>
        <w:instrText xml:space="preserve"> ADDIN EN.CITE.DATA </w:instrText>
      </w:r>
      <w:r>
        <w:rPr>
          <w:rFonts w:cs="Times New Roman"/>
          <w:szCs w:val="24"/>
        </w:rPr>
        <w:fldChar w:fldCharType="end"/>
      </w:r>
      <w:r>
        <w:rPr>
          <w:rFonts w:cs="Times New Roman"/>
          <w:szCs w:val="24"/>
        </w:rPr>
        <w:fldChar w:fldCharType="separate"/>
      </w:r>
      <w:r>
        <w:rPr>
          <w:rFonts w:cs="Times New Roman"/>
          <w:szCs w:val="24"/>
          <w:vertAlign w:val="superscript"/>
        </w:rPr>
        <w:t>42, 43</w:t>
      </w:r>
      <w:r>
        <w:rPr>
          <w:rFonts w:cs="Times New Roman"/>
          <w:szCs w:val="24"/>
        </w:rPr>
        <w:fldChar w:fldCharType="end"/>
      </w:r>
      <w:r>
        <w:rPr>
          <w:rFonts w:cs="Times New Roman"/>
          <w:szCs w:val="24"/>
        </w:rPr>
        <w:t xml:space="preserve"> including normal hematopoiesis, where CGRP and ADM support colony formation of CALCRL+/CD34+ progenitors </w:t>
      </w:r>
      <w:r>
        <w:rPr>
          <w:rFonts w:cs="Times New Roman"/>
          <w:i/>
          <w:szCs w:val="24"/>
        </w:rPr>
        <w:t>in vitro</w:t>
      </w:r>
      <w:r>
        <w:rPr>
          <w:rFonts w:cs="Times New Roman"/>
          <w:szCs w:val="24"/>
        </w:rPr>
        <w:t>.</w:t>
      </w:r>
      <w:r>
        <w:rPr>
          <w:rFonts w:cs="Times New Roman"/>
          <w:szCs w:val="24"/>
        </w:rPr>
        <w:fldChar w:fldCharType="begin"/>
      </w:r>
      <w:r>
        <w:rPr>
          <w:rFonts w:cs="Times New Roman"/>
          <w:szCs w:val="24"/>
        </w:rPr>
        <w:instrText xml:space="preserve"> ADDIN EN.CITE </w:instrText>
      </w:r>
      <w:r>
        <w:rPr>
          <w:rFonts w:cs="Times New Roman"/>
          <w:szCs w:val="24"/>
        </w:rPr>
        <w:fldChar w:fldCharType="begin"/>
      </w:r>
      <w:r>
        <w:rPr>
          <w:rFonts w:cs="Times New Roman"/>
          <w:szCs w:val="24"/>
        </w:rPr>
        <w:instrText xml:space="preserve"> ADDIN EN.CITE.DATA </w:instrText>
      </w:r>
      <w:r>
        <w:rPr>
          <w:rFonts w:cs="Times New Roman"/>
          <w:szCs w:val="24"/>
        </w:rPr>
        <w:fldChar w:fldCharType="end"/>
      </w:r>
      <w:r>
        <w:rPr>
          <w:rFonts w:cs="Times New Roman"/>
          <w:szCs w:val="24"/>
        </w:rPr>
        <w:fldChar w:fldCharType="separate"/>
      </w:r>
      <w:r>
        <w:rPr>
          <w:rFonts w:cs="Times New Roman"/>
          <w:szCs w:val="24"/>
          <w:vertAlign w:val="superscript"/>
        </w:rPr>
        <w:t>13-16</w:t>
      </w:r>
      <w:r>
        <w:rPr>
          <w:rFonts w:cs="Times New Roman"/>
          <w:szCs w:val="24"/>
        </w:rPr>
        <w:fldChar w:fldCharType="end"/>
      </w:r>
      <w:r>
        <w:rPr>
          <w:rFonts w:cs="Times New Roman"/>
          <w:szCs w:val="24"/>
        </w:rPr>
        <w:t xml:space="preserve"> In our study, high </w:t>
      </w:r>
      <w:r>
        <w:rPr>
          <w:rFonts w:cs="Times New Roman"/>
          <w:i/>
          <w:szCs w:val="24"/>
        </w:rPr>
        <w:t>CALCRL</w:t>
      </w:r>
      <w:r>
        <w:rPr>
          <w:rFonts w:cs="Times New Roman"/>
          <w:szCs w:val="24"/>
        </w:rPr>
        <w:t xml:space="preserve"> expression correlated with immature cytomorphology, with HSC and LSC gene expression signatures, and with the </w:t>
      </w:r>
      <w:r>
        <w:rPr>
          <w:rFonts w:cs="Times New Roman"/>
          <w:i/>
          <w:szCs w:val="24"/>
        </w:rPr>
        <w:t>in vivo</w:t>
      </w:r>
      <w:r>
        <w:rPr>
          <w:rFonts w:cs="Times New Roman"/>
          <w:szCs w:val="24"/>
        </w:rPr>
        <w:t xml:space="preserve"> repopulating capacity of primary AML samples in mice. In addition, </w:t>
      </w:r>
      <w:r>
        <w:rPr>
          <w:rFonts w:cs="Times New Roman"/>
          <w:i/>
          <w:szCs w:val="24"/>
        </w:rPr>
        <w:t>CALCRL</w:t>
      </w:r>
      <w:r>
        <w:rPr>
          <w:rFonts w:cs="Times New Roman"/>
          <w:szCs w:val="24"/>
        </w:rPr>
        <w:t xml:space="preserve"> knockout significantly impaired the colony forming capacity of human myeloid leukemia cell lines, and </w:t>
      </w:r>
      <w:r>
        <w:rPr>
          <w:rFonts w:cs="Times New Roman"/>
          <w:i/>
          <w:szCs w:val="24"/>
        </w:rPr>
        <w:t xml:space="preserve">CALCRL </w:t>
      </w:r>
      <w:r>
        <w:rPr>
          <w:rFonts w:cs="Times New Roman"/>
          <w:szCs w:val="24"/>
        </w:rPr>
        <w:t xml:space="preserve">levels were higher in immature than in mature myeloid cells. Collectively, these findings point towards a role of </w:t>
      </w:r>
      <w:r>
        <w:rPr>
          <w:rFonts w:cs="Times New Roman"/>
          <w:i/>
          <w:szCs w:val="24"/>
        </w:rPr>
        <w:t>CALCRL</w:t>
      </w:r>
      <w:r>
        <w:rPr>
          <w:rFonts w:cs="Times New Roman"/>
          <w:szCs w:val="24"/>
        </w:rPr>
        <w:t xml:space="preserve"> in HSCs and LSCs and suggest that high </w:t>
      </w:r>
      <w:r>
        <w:rPr>
          <w:rFonts w:cs="Times New Roman"/>
          <w:i/>
          <w:szCs w:val="24"/>
        </w:rPr>
        <w:t>CALCRL</w:t>
      </w:r>
      <w:r>
        <w:rPr>
          <w:rFonts w:cs="Times New Roman"/>
          <w:szCs w:val="24"/>
        </w:rPr>
        <w:t xml:space="preserve"> expression indicates an AML phenotype at a more undifferentiated stage.</w:t>
      </w:r>
    </w:p>
    <w:p w14:paraId="23E48BA4" w14:textId="77777777" w:rsidR="00DD142B" w:rsidRDefault="00F23CC1">
      <w:pPr>
        <w:rPr>
          <w:rFonts w:cs="Times New Roman"/>
          <w:szCs w:val="24"/>
        </w:rPr>
      </w:pPr>
      <w:r>
        <w:rPr>
          <w:rFonts w:cs="Times New Roman"/>
          <w:szCs w:val="24"/>
        </w:rPr>
        <w:t>In addition, CALCRL has a role in malignancy-associated angiogenesis,</w:t>
      </w:r>
      <w:r>
        <w:rPr>
          <w:rFonts w:cs="Times New Roman"/>
          <w:szCs w:val="24"/>
        </w:rPr>
        <w:fldChar w:fldCharType="begin"/>
      </w:r>
      <w:r>
        <w:rPr>
          <w:rFonts w:cs="Times New Roman"/>
          <w:szCs w:val="24"/>
        </w:rPr>
        <w:instrText xml:space="preserve"> ADDIN EN.CITE </w:instrText>
      </w:r>
      <w:r>
        <w:rPr>
          <w:rFonts w:cs="Times New Roman"/>
          <w:szCs w:val="24"/>
        </w:rPr>
        <w:fldChar w:fldCharType="begin"/>
      </w:r>
      <w:r>
        <w:rPr>
          <w:rFonts w:cs="Times New Roman"/>
          <w:szCs w:val="24"/>
        </w:rPr>
        <w:instrText xml:space="preserve"> ADDIN EN.CITE.DATA </w:instrText>
      </w:r>
      <w:r>
        <w:rPr>
          <w:rFonts w:cs="Times New Roman"/>
          <w:szCs w:val="24"/>
        </w:rPr>
        <w:fldChar w:fldCharType="end"/>
      </w:r>
      <w:r>
        <w:rPr>
          <w:rFonts w:cs="Times New Roman"/>
          <w:szCs w:val="24"/>
        </w:rPr>
        <w:fldChar w:fldCharType="separate"/>
      </w:r>
      <w:r>
        <w:rPr>
          <w:rFonts w:cs="Times New Roman"/>
          <w:szCs w:val="24"/>
          <w:vertAlign w:val="superscript"/>
        </w:rPr>
        <w:t>9, 11, 12, 41</w:t>
      </w:r>
      <w:r>
        <w:rPr>
          <w:rFonts w:cs="Times New Roman"/>
          <w:szCs w:val="24"/>
        </w:rPr>
        <w:fldChar w:fldCharType="end"/>
      </w:r>
      <w:r>
        <w:rPr>
          <w:rFonts w:cs="Times New Roman"/>
          <w:szCs w:val="24"/>
        </w:rPr>
        <w:t xml:space="preserve"> a process that is also involved in the pathophysiology of AML via reciprocal stimulation of leukemic and endothelial cells</w:t>
      </w:r>
      <w:r>
        <w:rPr>
          <w:rFonts w:cs="Times New Roman"/>
          <w:szCs w:val="24"/>
        </w:rPr>
        <w:fldChar w:fldCharType="begin"/>
      </w:r>
      <w:r>
        <w:rPr>
          <w:rFonts w:cs="Times New Roman"/>
          <w:szCs w:val="24"/>
        </w:rPr>
        <w:instrText xml:space="preserve"> ADDIN EN.CITE </w:instrText>
      </w:r>
      <w:r>
        <w:rPr>
          <w:rFonts w:cs="Times New Roman"/>
          <w:szCs w:val="24"/>
        </w:rPr>
        <w:fldChar w:fldCharType="begin"/>
      </w:r>
      <w:r>
        <w:rPr>
          <w:rFonts w:cs="Times New Roman"/>
          <w:szCs w:val="24"/>
        </w:rPr>
        <w:instrText xml:space="preserve"> ADDIN EN.CITE.DATA </w:instrText>
      </w:r>
      <w:r>
        <w:rPr>
          <w:rFonts w:cs="Times New Roman"/>
          <w:szCs w:val="24"/>
        </w:rPr>
        <w:fldChar w:fldCharType="end"/>
      </w:r>
      <w:r>
        <w:rPr>
          <w:rFonts w:cs="Times New Roman"/>
          <w:szCs w:val="24"/>
        </w:rPr>
        <w:fldChar w:fldCharType="separate"/>
      </w:r>
      <w:r>
        <w:rPr>
          <w:rFonts w:cs="Times New Roman"/>
          <w:szCs w:val="24"/>
          <w:vertAlign w:val="superscript"/>
        </w:rPr>
        <w:t>44, 45</w:t>
      </w:r>
      <w:r>
        <w:rPr>
          <w:rFonts w:cs="Times New Roman"/>
          <w:szCs w:val="24"/>
        </w:rPr>
        <w:fldChar w:fldCharType="end"/>
      </w:r>
      <w:r>
        <w:rPr>
          <w:rFonts w:cs="Times New Roman"/>
          <w:szCs w:val="24"/>
        </w:rPr>
        <w:t xml:space="preserve"> and that provides a protective niche for LSCs.</w:t>
      </w:r>
      <w:r>
        <w:rPr>
          <w:rFonts w:cs="Times New Roman"/>
          <w:szCs w:val="24"/>
        </w:rPr>
        <w:fldChar w:fldCharType="begin"/>
      </w:r>
      <w:r>
        <w:rPr>
          <w:rFonts w:cs="Times New Roman"/>
          <w:szCs w:val="24"/>
        </w:rPr>
        <w:instrText xml:space="preserve"> ADDIN EN.CITE </w:instrText>
      </w:r>
      <w:r>
        <w:rPr>
          <w:rFonts w:cs="Times New Roman"/>
          <w:szCs w:val="24"/>
        </w:rPr>
        <w:fldChar w:fldCharType="begin"/>
      </w:r>
      <w:r>
        <w:rPr>
          <w:rFonts w:cs="Times New Roman"/>
          <w:szCs w:val="24"/>
        </w:rPr>
        <w:instrText xml:space="preserve"> ADDIN EN.CITE.DATA </w:instrText>
      </w:r>
      <w:r>
        <w:rPr>
          <w:rFonts w:cs="Times New Roman"/>
          <w:szCs w:val="24"/>
        </w:rPr>
        <w:fldChar w:fldCharType="end"/>
      </w:r>
      <w:r>
        <w:rPr>
          <w:rFonts w:cs="Times New Roman"/>
          <w:szCs w:val="24"/>
        </w:rPr>
        <w:fldChar w:fldCharType="separate"/>
      </w:r>
      <w:r>
        <w:rPr>
          <w:rFonts w:cs="Times New Roman"/>
          <w:szCs w:val="24"/>
          <w:vertAlign w:val="superscript"/>
        </w:rPr>
        <w:t>46</w:t>
      </w:r>
      <w:r>
        <w:rPr>
          <w:rFonts w:cs="Times New Roman"/>
          <w:szCs w:val="24"/>
        </w:rPr>
        <w:fldChar w:fldCharType="end"/>
      </w:r>
      <w:r>
        <w:rPr>
          <w:rFonts w:cs="Times New Roman"/>
          <w:szCs w:val="24"/>
        </w:rPr>
        <w:t xml:space="preserve"> It has long been established that angiogenic mediators such as vascular endothelial growth factor, the angiopoietins, or, more recently, epithelial growth factor-like 7, not only act in a paracrine fashion on BM endothelial cells, but also in direct autocrine loops to support leukemic blasts.</w:t>
      </w:r>
      <w:r>
        <w:rPr>
          <w:rFonts w:cs="Times New Roman"/>
          <w:szCs w:val="24"/>
        </w:rPr>
        <w:fldChar w:fldCharType="begin"/>
      </w:r>
      <w:r>
        <w:rPr>
          <w:rFonts w:cs="Times New Roman"/>
          <w:szCs w:val="24"/>
        </w:rPr>
        <w:instrText xml:space="preserve"> ADDIN EN.CITE </w:instrText>
      </w:r>
      <w:r>
        <w:rPr>
          <w:rFonts w:cs="Times New Roman"/>
          <w:szCs w:val="24"/>
        </w:rPr>
        <w:fldChar w:fldCharType="begin"/>
      </w:r>
      <w:r>
        <w:rPr>
          <w:rFonts w:cs="Times New Roman"/>
          <w:szCs w:val="24"/>
        </w:rPr>
        <w:instrText xml:space="preserve"> ADDIN EN.CITE.DATA </w:instrText>
      </w:r>
      <w:r>
        <w:rPr>
          <w:rFonts w:cs="Times New Roman"/>
          <w:szCs w:val="24"/>
        </w:rPr>
        <w:fldChar w:fldCharType="end"/>
      </w:r>
      <w:r>
        <w:rPr>
          <w:rFonts w:cs="Times New Roman"/>
          <w:szCs w:val="24"/>
        </w:rPr>
        <w:fldChar w:fldCharType="separate"/>
      </w:r>
      <w:r>
        <w:rPr>
          <w:rFonts w:cs="Times New Roman"/>
          <w:szCs w:val="24"/>
          <w:vertAlign w:val="superscript"/>
        </w:rPr>
        <w:t>47-49</w:t>
      </w:r>
      <w:r>
        <w:rPr>
          <w:rFonts w:cs="Times New Roman"/>
          <w:szCs w:val="24"/>
        </w:rPr>
        <w:fldChar w:fldCharType="end"/>
      </w:r>
      <w:r>
        <w:rPr>
          <w:rFonts w:cs="Times New Roman"/>
          <w:szCs w:val="24"/>
        </w:rPr>
        <w:t xml:space="preserve"> Indeed, the only report investigating the CALCRL axis in leukemia suggests that autocrine ADM signaling through CALCRL could be involved in the impaired differentiation of AML cells,</w:t>
      </w:r>
      <w:r>
        <w:rPr>
          <w:rFonts w:cs="Times New Roman"/>
          <w:szCs w:val="24"/>
        </w:rPr>
        <w:fldChar w:fldCharType="begin"/>
      </w:r>
      <w:r>
        <w:rPr>
          <w:rFonts w:cs="Times New Roman"/>
          <w:szCs w:val="24"/>
        </w:rPr>
        <w:instrText xml:space="preserve"> ADDIN EN.CITE </w:instrText>
      </w:r>
      <w:r>
        <w:rPr>
          <w:rFonts w:cs="Times New Roman"/>
          <w:szCs w:val="24"/>
        </w:rPr>
        <w:fldChar w:fldCharType="begin"/>
      </w:r>
      <w:r>
        <w:rPr>
          <w:rFonts w:cs="Times New Roman"/>
          <w:szCs w:val="24"/>
        </w:rPr>
        <w:instrText xml:space="preserve"> ADDIN EN.CITE.DATA </w:instrText>
      </w:r>
      <w:r>
        <w:rPr>
          <w:rFonts w:cs="Times New Roman"/>
          <w:szCs w:val="24"/>
        </w:rPr>
        <w:fldChar w:fldCharType="end"/>
      </w:r>
      <w:r>
        <w:rPr>
          <w:rFonts w:cs="Times New Roman"/>
          <w:szCs w:val="24"/>
        </w:rPr>
        <w:fldChar w:fldCharType="separate"/>
      </w:r>
      <w:r>
        <w:rPr>
          <w:rFonts w:cs="Times New Roman"/>
          <w:szCs w:val="24"/>
          <w:vertAlign w:val="superscript"/>
        </w:rPr>
        <w:t>50</w:t>
      </w:r>
      <w:r>
        <w:rPr>
          <w:rFonts w:cs="Times New Roman"/>
          <w:szCs w:val="24"/>
        </w:rPr>
        <w:fldChar w:fldCharType="end"/>
      </w:r>
      <w:r>
        <w:rPr>
          <w:rFonts w:cs="Times New Roman"/>
          <w:szCs w:val="24"/>
        </w:rPr>
        <w:t xml:space="preserve"> whereas in multiple myeloma, a paracrine ADM-CALCRL pathway has been identified as a major driver of the myeloma-associated angiogenic switch.</w:t>
      </w:r>
      <w:r>
        <w:rPr>
          <w:rFonts w:cs="Times New Roman"/>
          <w:szCs w:val="24"/>
        </w:rPr>
        <w:fldChar w:fldCharType="begin"/>
      </w:r>
      <w:r>
        <w:rPr>
          <w:rFonts w:cs="Times New Roman"/>
          <w:szCs w:val="24"/>
        </w:rPr>
        <w:instrText xml:space="preserve"> ADDIN EN.CITE &lt;EndNote&gt;&lt;Cite&gt;&lt;Author&gt;Kocemba&lt;/Author&gt;&lt;Year&gt;2013&lt;/Year&gt;&lt;RecNum&gt;31&lt;/RecNum&gt;&lt;DisplayText&gt;&lt;style face="superscript"&gt;51&lt;/style&gt;&lt;/DisplayText&gt;&lt;record&gt;&lt;rec-number&gt;31&lt;/rec-number&gt;&lt;foreign-keys&gt;&lt;key app="EN" db-id="9vwrvaevl2ttzfetfxz5eafxspzsefs05fv2" timestamp="1523449699"&gt;31&lt;/key&gt;&lt;/foreign-keys&gt;&lt;ref-type name="Journal Article"&gt;17&lt;/ref-type&gt;&lt;contributors&gt;&lt;authors&gt;&lt;author&gt;Kocemba, K. A.&lt;/author&gt;&lt;author&gt;van Andel, H.&lt;/author&gt;&lt;author&gt;de Haan-Kramer, A.&lt;/author&gt;&lt;author&gt;Mahtouk, K.&lt;/author&gt;&lt;author&gt;Versteeg, R.&lt;/author&gt;&lt;author&gt;Kersten, M. J.&lt;/author&gt;&lt;author&gt;Spaargaren, M.&lt;/author&gt;&lt;author&gt;Pals, S. T.&lt;/author&gt;&lt;/authors&gt;&lt;/contributors&gt;&lt;auth-address&gt;Department of Pathology, Academic Medical Center, University of Amsterdam, Amsterdam, The Netherlands.&lt;/auth-address&gt;&lt;titles&gt;&lt;title&gt;The hypoxia target adrenomedullin is aberrantly expressed in multiple myeloma and promotes angiogenesis&lt;/title&gt;&lt;secondary-title&gt;Leukemia&lt;/secondary-title&gt;&lt;/titles&gt;&lt;periodical&gt;&lt;full-title&gt;Leukemia&lt;/full-title&gt;&lt;/periodical&gt;&lt;pages&gt;1729-37&lt;/pages&gt;&lt;volume&gt;27&lt;/volume&gt;&lt;number&gt;8&lt;/number&gt;&lt;keywords&gt;&lt;keyword&gt;Adrenomedullin/*genetics&lt;/keyword&gt;&lt;keyword&gt;Cell Line, Tumor&lt;/keyword&gt;&lt;keyword&gt;Disease Progression&lt;/keyword&gt;&lt;keyword&gt;Gene Expression Profiling&lt;/keyword&gt;&lt;keyword&gt;*Gene Expression Regulation, Neoplastic&lt;/keyword&gt;&lt;keyword&gt;Humans&lt;/keyword&gt;&lt;keyword&gt;Hypoxia/*genetics&lt;/keyword&gt;&lt;keyword&gt;Hypoxia-Inducible Factor 1, alpha Subunit/genetics/metabolism&lt;/keyword&gt;&lt;keyword&gt;Multiple Myeloma/*genetics/metabolism/*pathology&lt;/keyword&gt;&lt;keyword&gt;NF-kappa B/genetics/metabolism&lt;/keyword&gt;&lt;keyword&gt;Neovascularization, Pathologic/*genetics&lt;/keyword&gt;&lt;keyword&gt;Transcription, Genetic&lt;/keyword&gt;&lt;/keywords&gt;&lt;dates&gt;&lt;year&gt;2013&lt;/year&gt;&lt;pub-dates&gt;&lt;date&gt;Aug&lt;/date&gt;&lt;/pub-dates&gt;&lt;/dates&gt;&lt;isbn&gt;1476-5551 (Electronic)&amp;#xD;0887-6924 (Linking)&lt;/isbn&gt;&lt;accession-num&gt;23478664&lt;/accession-num&gt;&lt;urls&gt;&lt;related-urls&gt;&lt;url&gt;https://www.ncbi.nlm.nih.gov/pubmed/23478664&lt;/url&gt;&lt;/related-urls&gt;&lt;/urls&gt;&lt;electronic-resource-num&gt;10.1038/leu.2013.76&lt;/electronic-resource-num&gt;&lt;/record&gt;&lt;/Cite&gt;&lt;/EndNote&gt;</w:instrText>
      </w:r>
      <w:r>
        <w:rPr>
          <w:rFonts w:cs="Times New Roman"/>
          <w:szCs w:val="24"/>
        </w:rPr>
        <w:fldChar w:fldCharType="separate"/>
      </w:r>
      <w:r>
        <w:rPr>
          <w:rFonts w:cs="Times New Roman"/>
          <w:szCs w:val="24"/>
          <w:vertAlign w:val="superscript"/>
        </w:rPr>
        <w:t>51</w:t>
      </w:r>
      <w:r>
        <w:rPr>
          <w:rFonts w:cs="Times New Roman"/>
          <w:szCs w:val="24"/>
        </w:rPr>
        <w:fldChar w:fldCharType="end"/>
      </w:r>
      <w:r>
        <w:rPr>
          <w:rFonts w:cs="Times New Roman"/>
          <w:szCs w:val="24"/>
        </w:rPr>
        <w:t xml:space="preserve"> However, further studies will be necessary to clarify the mechanisms governing regulation of CALCRL expression, its downstream signaling pathways and biological function in the context of AML.</w:t>
      </w:r>
    </w:p>
    <w:p w14:paraId="11CDEA19" w14:textId="77777777" w:rsidR="00DD142B" w:rsidRDefault="00F23CC1">
      <w:pPr>
        <w:rPr>
          <w:rFonts w:cs="Times New Roman"/>
          <w:szCs w:val="24"/>
        </w:rPr>
      </w:pPr>
      <w:r>
        <w:rPr>
          <w:rFonts w:cs="Times New Roman"/>
          <w:szCs w:val="24"/>
        </w:rPr>
        <w:t>Importantly, the first antibody (erenumab)</w:t>
      </w:r>
      <w:r>
        <w:rPr>
          <w:rFonts w:cs="Times New Roman"/>
          <w:szCs w:val="24"/>
        </w:rPr>
        <w:fldChar w:fldCharType="begin"/>
      </w:r>
      <w:r>
        <w:rPr>
          <w:rFonts w:cs="Times New Roman"/>
          <w:szCs w:val="24"/>
        </w:rPr>
        <w:instrText xml:space="preserve"> ADDIN EN.CITE </w:instrText>
      </w:r>
      <w:r>
        <w:rPr>
          <w:rFonts w:cs="Times New Roman"/>
          <w:szCs w:val="24"/>
        </w:rPr>
        <w:fldChar w:fldCharType="begin"/>
      </w:r>
      <w:r>
        <w:rPr>
          <w:rFonts w:cs="Times New Roman"/>
          <w:szCs w:val="24"/>
        </w:rPr>
        <w:instrText xml:space="preserve"> ADDIN EN.CITE.DATA </w:instrText>
      </w:r>
      <w:r>
        <w:rPr>
          <w:rFonts w:cs="Times New Roman"/>
          <w:szCs w:val="24"/>
        </w:rPr>
        <w:fldChar w:fldCharType="end"/>
      </w:r>
      <w:r>
        <w:rPr>
          <w:rFonts w:cs="Times New Roman"/>
          <w:szCs w:val="24"/>
        </w:rPr>
        <w:fldChar w:fldCharType="separate"/>
      </w:r>
      <w:r>
        <w:rPr>
          <w:rFonts w:cs="Times New Roman"/>
          <w:szCs w:val="24"/>
          <w:vertAlign w:val="superscript"/>
        </w:rPr>
        <w:t>52</w:t>
      </w:r>
      <w:r>
        <w:rPr>
          <w:rFonts w:cs="Times New Roman"/>
          <w:szCs w:val="24"/>
        </w:rPr>
        <w:fldChar w:fldCharType="end"/>
      </w:r>
      <w:r>
        <w:rPr>
          <w:rFonts w:cs="Times New Roman"/>
          <w:szCs w:val="24"/>
        </w:rPr>
        <w:t xml:space="preserve"> interfering with CALCRL signaling has recently been approved by the FDA and EMA for the preventive treatment of migraine and others are under investigation (galcanezumab, eptinezumab, and fremanezumab).</w:t>
      </w:r>
      <w:r>
        <w:rPr>
          <w:rFonts w:cs="Times New Roman"/>
          <w:szCs w:val="24"/>
        </w:rPr>
        <w:fldChar w:fldCharType="begin"/>
      </w:r>
      <w:r>
        <w:rPr>
          <w:rFonts w:cs="Times New Roman"/>
          <w:szCs w:val="24"/>
        </w:rPr>
        <w:instrText xml:space="preserve"> ADDIN EN.CITE </w:instrText>
      </w:r>
      <w:r>
        <w:rPr>
          <w:rFonts w:cs="Times New Roman"/>
          <w:szCs w:val="24"/>
        </w:rPr>
        <w:fldChar w:fldCharType="begin"/>
      </w:r>
      <w:r>
        <w:rPr>
          <w:rFonts w:cs="Times New Roman"/>
          <w:szCs w:val="24"/>
        </w:rPr>
        <w:instrText xml:space="preserve"> ADDIN EN.CITE.DATA </w:instrText>
      </w:r>
      <w:r>
        <w:rPr>
          <w:rFonts w:cs="Times New Roman"/>
          <w:szCs w:val="24"/>
        </w:rPr>
        <w:fldChar w:fldCharType="end"/>
      </w:r>
      <w:r>
        <w:rPr>
          <w:rFonts w:cs="Times New Roman"/>
          <w:szCs w:val="24"/>
        </w:rPr>
        <w:fldChar w:fldCharType="separate"/>
      </w:r>
      <w:r>
        <w:rPr>
          <w:rFonts w:cs="Times New Roman"/>
          <w:szCs w:val="24"/>
          <w:vertAlign w:val="superscript"/>
        </w:rPr>
        <w:t>6, 7</w:t>
      </w:r>
      <w:r>
        <w:rPr>
          <w:rFonts w:cs="Times New Roman"/>
          <w:szCs w:val="24"/>
        </w:rPr>
        <w:fldChar w:fldCharType="end"/>
      </w:r>
      <w:r>
        <w:rPr>
          <w:rFonts w:cs="Times New Roman"/>
          <w:szCs w:val="24"/>
        </w:rPr>
        <w:t xml:space="preserve"> These antibodies have so far exhibited excellent tolerability without significant hematotoxicity, rendering them attractive potential add-ons for intensive chemotherapy in AML. Nonetheless, a better understanding of the relative vulnerabilities of LSCs and HSCs to CALCRL inhibition is required, both in the absence and presence of chemotherapy. Given that CALCRL can be activated through different ligands, it will be equally important to elucidate whether ADM or CGRP, or both, is primarily functional in leukemic as compared to normal hematopoiesis or whether one ligand is predominantly active in specific AML subtypes.</w:t>
      </w:r>
    </w:p>
    <w:p w14:paraId="239A7A8E" w14:textId="77777777" w:rsidR="00DD142B" w:rsidRDefault="00F23CC1">
      <w:pPr>
        <w:rPr>
          <w:rFonts w:cs="Times New Roman"/>
          <w:szCs w:val="24"/>
        </w:rPr>
      </w:pPr>
      <w:r>
        <w:rPr>
          <w:rFonts w:cs="Times New Roman"/>
          <w:szCs w:val="24"/>
        </w:rPr>
        <w:t xml:space="preserve">In conclusion, we identified the neuropeptide receptor </w:t>
      </w:r>
      <w:r>
        <w:rPr>
          <w:rFonts w:cs="Times New Roman"/>
          <w:i/>
          <w:iCs/>
          <w:szCs w:val="24"/>
        </w:rPr>
        <w:t>CALCRL</w:t>
      </w:r>
      <w:r>
        <w:rPr>
          <w:rFonts w:cs="Times New Roman"/>
          <w:iCs/>
          <w:szCs w:val="24"/>
        </w:rPr>
        <w:t xml:space="preserve"> as </w:t>
      </w:r>
      <w:r>
        <w:rPr>
          <w:rFonts w:cs="Times New Roman"/>
          <w:szCs w:val="24"/>
        </w:rPr>
        <w:t xml:space="preserve">a novel risk factor associated with stemness and poor survival in five independent AML cohorts. Further studies should more deeply characterize the functional role of </w:t>
      </w:r>
      <w:r>
        <w:rPr>
          <w:rFonts w:cs="Times New Roman"/>
          <w:i/>
          <w:szCs w:val="24"/>
        </w:rPr>
        <w:t>CALCRL</w:t>
      </w:r>
      <w:r>
        <w:rPr>
          <w:rFonts w:cs="Times New Roman"/>
          <w:szCs w:val="24"/>
        </w:rPr>
        <w:t xml:space="preserve"> in leukemia and evaluate whether CALCRL-targeting drugs can be successfully repurposed into the context of AML.</w:t>
      </w:r>
    </w:p>
    <w:p w14:paraId="785C5946" w14:textId="77777777" w:rsidR="00DD142B" w:rsidRDefault="00F23CC1">
      <w:pPr>
        <w:spacing w:after="0" w:line="240" w:lineRule="auto"/>
        <w:jc w:val="left"/>
        <w:rPr>
          <w:rFonts w:eastAsia="Times New Roman"/>
          <w:b/>
        </w:rPr>
      </w:pPr>
      <w:r>
        <w:br w:type="page"/>
      </w:r>
    </w:p>
    <w:p w14:paraId="09D9BB68" w14:textId="77777777" w:rsidR="00DD142B" w:rsidRDefault="00F23CC1">
      <w:pPr>
        <w:pStyle w:val="berschrift2"/>
      </w:pPr>
      <w:r>
        <w:t>Acknowledgements</w:t>
      </w:r>
      <w:bookmarkStart w:id="1" w:name="m_4234189522441678939__GoBack"/>
      <w:bookmarkEnd w:id="1"/>
    </w:p>
    <w:p w14:paraId="00F74AB2" w14:textId="77777777" w:rsidR="00DD142B" w:rsidRDefault="00F23CC1">
      <w:pPr>
        <w:rPr>
          <w:rFonts w:cs="Times New Roman"/>
        </w:rPr>
      </w:pPr>
      <w:r>
        <w:rPr>
          <w:rFonts w:cs="Times New Roman"/>
        </w:rPr>
        <w:t>This work is dedicated to the memory of Professor Thomas Büchner. We thank all patients and clinicians participating in the trials. The help of Irina Arnhold, Mirco Witte, and Hans-Joachim Schnittler with TMA staining and analysis is gratefully acknowledged. The statistical analysis was partially funded by the José Carreras Foundation (DJCLS H 09/01f to DG). The Leucegene project is supported by the Government of Canada through Genome Canada and the Ministère de l’économie, de l’innovation et des exportations du Québec through Génome Québec, with supplementary funds from AmorChem. GS and JH are recipients of research chairs from the Canada Research Chair program and Industrielle-Alliance (Université de Montréal), respectively. The Banque de cellules leucémiques du Québec (BCLQ) is supported by grants from the Cancer Research Network of the Fonds de recherche du Québec-Santé. CP is supported by the German Cancer Aid (70111531). SKB is supported by Leukemia &amp; Blood Cancer New Zealand and the family of Marijanna Kumerich. GL and WEB are supported by the German Research Foundation (DFG EXC 1003, Cluster of excellence ‘Cells in Motion’). TH and KS are supported by the Wilhelm Sander Foundation (2013.086.1 to TH and KS and 2013.086.2 to TH). TH is supported by the Physician Scientists Grant (G-509200-004) from the Helmholtz Zentrum München. CSchl and LA are supported by the Innovative Medical Research Fund of the University of Münster Medical School (SC211008 to CS and AN111813 to LA).</w:t>
      </w:r>
    </w:p>
    <w:p w14:paraId="29F92DD6" w14:textId="77777777" w:rsidR="00DD142B" w:rsidRDefault="00F23CC1">
      <w:pPr>
        <w:pStyle w:val="berschrift2"/>
      </w:pPr>
      <w:r>
        <w:t>Competing Interests</w:t>
      </w:r>
    </w:p>
    <w:p w14:paraId="576033CC" w14:textId="77777777" w:rsidR="00DD142B" w:rsidRDefault="00F23CC1">
      <w:pPr>
        <w:rPr>
          <w:rFonts w:cs="Times New Roman"/>
        </w:rPr>
      </w:pPr>
      <w:r>
        <w:rPr>
          <w:rFonts w:cs="Times New Roman"/>
        </w:rPr>
        <w:t>The authors declare no competing interests.</w:t>
      </w:r>
    </w:p>
    <w:p w14:paraId="20B00246" w14:textId="77777777" w:rsidR="00DD142B" w:rsidRDefault="00F23CC1">
      <w:pPr>
        <w:pStyle w:val="berschrift2"/>
      </w:pPr>
      <w:r>
        <w:t>Author contributions</w:t>
      </w:r>
    </w:p>
    <w:p w14:paraId="1B53FB78" w14:textId="77777777" w:rsidR="00DD142B" w:rsidRDefault="00F23CC1">
      <w:r>
        <w:t xml:space="preserve">LA, EB, TH and CSchl designed the study. LA, MCS, DG, AA, UK, KHM, CSchl and EB performed statistical studies and analyzed the data. KW, TK, RMM, MS, HS and GL contributed to data analysis. KHM, SKB, MRT, KS, WHi and TH provided expression and mutational data on the AMLCG cohort. MCS, BJW, WHi and WEB coordinated the AMLCG99 trial. JH, GS, PJMV and BL provided expression data and clinical annotations for validation cohorts. LA, LB, KD, CSchw, WHa and CSchl characterized the UKM cohort and performed TMA stainings. CP and CMT provided expression data in hematopoietic subsets and </w:t>
      </w:r>
      <w:r>
        <w:rPr>
          <w:i/>
        </w:rPr>
        <w:t>in vivo</w:t>
      </w:r>
      <w:r>
        <w:t xml:space="preserve"> engraftment experiments. VA, MFA and JHM performed the CRISPR-Cas9 experiments. CSchl and LA wrote the manuscript. All authors interpreted the data and made the decision to submit the manuscript for publication.</w:t>
      </w:r>
    </w:p>
    <w:p w14:paraId="7FE2DB5E" w14:textId="77777777" w:rsidR="00DD142B" w:rsidRDefault="00F23CC1">
      <w:pPr>
        <w:pStyle w:val="berschrift2"/>
        <w:rPr>
          <w:szCs w:val="24"/>
        </w:rPr>
      </w:pPr>
      <w:r>
        <w:t>Corresponding authors</w:t>
      </w:r>
    </w:p>
    <w:p w14:paraId="3D06AEDE" w14:textId="77777777" w:rsidR="00DD142B" w:rsidRDefault="00F23CC1">
      <w:pPr>
        <w:rPr>
          <w:rStyle w:val="Hyperlink"/>
          <w:rFonts w:cs="Times New Roman"/>
          <w:color w:val="auto"/>
          <w:szCs w:val="24"/>
          <w:u w:val="none"/>
        </w:rPr>
      </w:pPr>
      <w:r>
        <w:rPr>
          <w:rFonts w:cs="Times New Roman"/>
          <w:szCs w:val="24"/>
        </w:rPr>
        <w:t>Linus Angenendt, Department of Medicine A, University Hospital Münster, Albert-Schweitzer-Campus 1, 48149 Münster, Germany; e-mail: linus.angenendt@ukmuenster.de; Tobias Herold, Department of Medicine III, University Hospital, LMU Munich, Marchioninistr. 15, 81377 Munich, Germany; e-mail: tobias.herold@med.uni-muenchen.de; and Christoph Schliemann, Department of Medicine A, University Hospital Münster, Albert-Schweitzer-Campus 1, 48149 Münster, Germany; e-</w:t>
      </w:r>
      <w:r>
        <w:rPr>
          <w:rFonts w:cs="Times New Roman"/>
          <w:color w:val="000000" w:themeColor="text1"/>
          <w:szCs w:val="24"/>
        </w:rPr>
        <w:t xml:space="preserve">mail: </w:t>
      </w:r>
      <w:hyperlink r:id="rId8" w:history="1">
        <w:r>
          <w:rPr>
            <w:rStyle w:val="Hyperlink"/>
            <w:rFonts w:cs="Times New Roman"/>
            <w:color w:val="000000" w:themeColor="text1"/>
            <w:szCs w:val="24"/>
            <w:u w:val="none"/>
          </w:rPr>
          <w:t>christoph.schliemann@ukmuenster.de</w:t>
        </w:r>
      </w:hyperlink>
      <w:r>
        <w:rPr>
          <w:rStyle w:val="Hyperlink"/>
          <w:rFonts w:cs="Times New Roman"/>
          <w:color w:val="000000" w:themeColor="text1"/>
          <w:szCs w:val="24"/>
          <w:u w:val="none"/>
        </w:rPr>
        <w:t>.</w:t>
      </w:r>
    </w:p>
    <w:p w14:paraId="446F4F18" w14:textId="77777777" w:rsidR="00DD142B" w:rsidRDefault="00DD142B"/>
    <w:p w14:paraId="7D3A1A64" w14:textId="77777777" w:rsidR="00DD142B" w:rsidRDefault="00F23CC1">
      <w:pPr>
        <w:pStyle w:val="berschrift1"/>
      </w:pPr>
      <w:r>
        <w:br w:type="page"/>
        <w:t>References</w:t>
      </w:r>
    </w:p>
    <w:p w14:paraId="391363E4" w14:textId="77777777" w:rsidR="00DD142B" w:rsidRDefault="00F23CC1">
      <w:pPr>
        <w:pStyle w:val="EndNoteBibliography"/>
      </w:pPr>
      <w:r>
        <w:fldChar w:fldCharType="begin"/>
      </w:r>
      <w:r>
        <w:instrText xml:space="preserve"> ADDIN EN.REFLIST </w:instrText>
      </w:r>
      <w:r>
        <w:fldChar w:fldCharType="separate"/>
      </w:r>
      <w:r>
        <w:t>1.</w:t>
      </w:r>
      <w:r>
        <w:tab/>
        <w:t>Kitamura K, Kangawa K, Kawamoto M, Ichiki Y, Nakamura S, Matsuo H</w:t>
      </w:r>
      <w:r>
        <w:rPr>
          <w:i/>
        </w:rPr>
        <w:t>, et al.</w:t>
      </w:r>
      <w:r>
        <w:t xml:space="preserve"> Adrenomedullin: a novel hypotensive peptide isolated from human pheochromocytoma. </w:t>
      </w:r>
      <w:r>
        <w:rPr>
          <w:i/>
        </w:rPr>
        <w:t>Biochem Biophys Res Commun</w:t>
      </w:r>
      <w:r>
        <w:t xml:space="preserve"> 1993 Apr 30; </w:t>
      </w:r>
      <w:r>
        <w:rPr>
          <w:b/>
        </w:rPr>
        <w:t>192</w:t>
      </w:r>
      <w:r>
        <w:t>(2)</w:t>
      </w:r>
      <w:r>
        <w:rPr>
          <w:b/>
        </w:rPr>
        <w:t>:</w:t>
      </w:r>
      <w:r>
        <w:t xml:space="preserve"> 553-560.</w:t>
      </w:r>
    </w:p>
    <w:p w14:paraId="37EBFB85" w14:textId="77777777" w:rsidR="00DD142B" w:rsidRDefault="00DD142B">
      <w:pPr>
        <w:pStyle w:val="EndNoteBibliography"/>
        <w:spacing w:after="240"/>
      </w:pPr>
    </w:p>
    <w:p w14:paraId="731CE10C" w14:textId="77777777" w:rsidR="00DD142B" w:rsidRDefault="00F23CC1">
      <w:pPr>
        <w:pStyle w:val="EndNoteBibliography"/>
      </w:pPr>
      <w:r>
        <w:t>2.</w:t>
      </w:r>
      <w:r>
        <w:tab/>
        <w:t xml:space="preserve">Brain SD, Williams TJ, Tippins JR, Morris HR, MacIntyre I. Calcitonin gene-related peptide is a potent vasodilator. </w:t>
      </w:r>
      <w:r>
        <w:rPr>
          <w:i/>
        </w:rPr>
        <w:t>Nature</w:t>
      </w:r>
      <w:r>
        <w:t xml:space="preserve"> 1985 Jan 3-9; </w:t>
      </w:r>
      <w:r>
        <w:rPr>
          <w:b/>
        </w:rPr>
        <w:t>313</w:t>
      </w:r>
      <w:r>
        <w:t>(5997)</w:t>
      </w:r>
      <w:r>
        <w:rPr>
          <w:b/>
        </w:rPr>
        <w:t>:</w:t>
      </w:r>
      <w:r>
        <w:t xml:space="preserve"> 54-56.</w:t>
      </w:r>
    </w:p>
    <w:p w14:paraId="35F2915B" w14:textId="77777777" w:rsidR="00DD142B" w:rsidRDefault="00DD142B">
      <w:pPr>
        <w:pStyle w:val="EndNoteBibliography"/>
        <w:spacing w:after="240"/>
      </w:pPr>
    </w:p>
    <w:p w14:paraId="35BF1D9C" w14:textId="77777777" w:rsidR="00DD142B" w:rsidRDefault="00F23CC1">
      <w:pPr>
        <w:pStyle w:val="EndNoteBibliography"/>
      </w:pPr>
      <w:r>
        <w:t>3.</w:t>
      </w:r>
      <w:r>
        <w:tab/>
        <w:t xml:space="preserve">Larrayoz IM, Martinez-Herrero S, Garcia-Sanmartin J, Ochoa-Callejero L, Martinez A. Adrenomedullin and tumour microenvironment. </w:t>
      </w:r>
      <w:r>
        <w:rPr>
          <w:i/>
        </w:rPr>
        <w:t>J Transl Med</w:t>
      </w:r>
      <w:r>
        <w:t xml:space="preserve"> 2014 Dec 05; </w:t>
      </w:r>
      <w:r>
        <w:rPr>
          <w:b/>
        </w:rPr>
        <w:t>12:</w:t>
      </w:r>
      <w:r>
        <w:t xml:space="preserve"> 339.</w:t>
      </w:r>
    </w:p>
    <w:p w14:paraId="7FDFC36F" w14:textId="77777777" w:rsidR="00DD142B" w:rsidRDefault="00DD142B">
      <w:pPr>
        <w:pStyle w:val="EndNoteBibliography"/>
        <w:spacing w:after="240"/>
      </w:pPr>
    </w:p>
    <w:p w14:paraId="46596A64" w14:textId="77777777" w:rsidR="00DD142B" w:rsidRDefault="00F23CC1">
      <w:pPr>
        <w:pStyle w:val="EndNoteBibliography"/>
      </w:pPr>
      <w:r>
        <w:t>4.</w:t>
      </w:r>
      <w:r>
        <w:tab/>
        <w:t xml:space="preserve">Russell FA, King R, Smillie SJ, Kodji X, Brain SD. Calcitonin gene-related peptide: physiology and pathophysiology. </w:t>
      </w:r>
      <w:r>
        <w:rPr>
          <w:i/>
        </w:rPr>
        <w:t>Physiol Rev</w:t>
      </w:r>
      <w:r>
        <w:t xml:space="preserve"> 2014 Oct; </w:t>
      </w:r>
      <w:r>
        <w:rPr>
          <w:b/>
        </w:rPr>
        <w:t>94</w:t>
      </w:r>
      <w:r>
        <w:t>(4)</w:t>
      </w:r>
      <w:r>
        <w:rPr>
          <w:b/>
        </w:rPr>
        <w:t>:</w:t>
      </w:r>
      <w:r>
        <w:t xml:space="preserve"> 1099-1142.</w:t>
      </w:r>
    </w:p>
    <w:p w14:paraId="6F535BE9" w14:textId="77777777" w:rsidR="00DD142B" w:rsidRDefault="00DD142B">
      <w:pPr>
        <w:pStyle w:val="EndNoteBibliography"/>
        <w:spacing w:after="240"/>
      </w:pPr>
    </w:p>
    <w:p w14:paraId="6BF9F4D3" w14:textId="77777777" w:rsidR="00DD142B" w:rsidRDefault="00F23CC1">
      <w:pPr>
        <w:pStyle w:val="EndNoteBibliography"/>
      </w:pPr>
      <w:r>
        <w:t>5.</w:t>
      </w:r>
      <w:r>
        <w:tab/>
        <w:t xml:space="preserve">Davis RB, Kechele DO, Blakeney ES, Pawlak JB, Caron KM. Lymphatic deletion of calcitonin receptor-like receptor exacerbates intestinal inflammation. </w:t>
      </w:r>
      <w:r>
        <w:rPr>
          <w:i/>
        </w:rPr>
        <w:t>JCI Insight</w:t>
      </w:r>
      <w:r>
        <w:t xml:space="preserve"> 2017 Mar 23; </w:t>
      </w:r>
      <w:r>
        <w:rPr>
          <w:b/>
        </w:rPr>
        <w:t>2</w:t>
      </w:r>
      <w:r>
        <w:t>(6)</w:t>
      </w:r>
      <w:r>
        <w:rPr>
          <w:b/>
        </w:rPr>
        <w:t>:</w:t>
      </w:r>
      <w:r>
        <w:t xml:space="preserve"> e92465.</w:t>
      </w:r>
    </w:p>
    <w:p w14:paraId="6F32342B" w14:textId="77777777" w:rsidR="00DD142B" w:rsidRDefault="00DD142B">
      <w:pPr>
        <w:pStyle w:val="EndNoteBibliography"/>
        <w:spacing w:after="240"/>
      </w:pPr>
    </w:p>
    <w:p w14:paraId="740836A6" w14:textId="77777777" w:rsidR="00DD142B" w:rsidRDefault="00F23CC1">
      <w:pPr>
        <w:pStyle w:val="EndNoteBibliography"/>
      </w:pPr>
      <w:r>
        <w:t>6.</w:t>
      </w:r>
      <w:r>
        <w:tab/>
        <w:t xml:space="preserve">Hershey AD. CGRP - The Next Frontier for Migraine. </w:t>
      </w:r>
      <w:r>
        <w:rPr>
          <w:i/>
        </w:rPr>
        <w:t>N Engl J Med</w:t>
      </w:r>
      <w:r>
        <w:t xml:space="preserve"> 2017 Nov 30; </w:t>
      </w:r>
      <w:r>
        <w:rPr>
          <w:b/>
        </w:rPr>
        <w:t>377</w:t>
      </w:r>
      <w:r>
        <w:t>(22)</w:t>
      </w:r>
      <w:r>
        <w:rPr>
          <w:b/>
        </w:rPr>
        <w:t>:</w:t>
      </w:r>
      <w:r>
        <w:t xml:space="preserve"> 2190-2191.</w:t>
      </w:r>
    </w:p>
    <w:p w14:paraId="7A258732" w14:textId="77777777" w:rsidR="00DD142B" w:rsidRDefault="00DD142B">
      <w:pPr>
        <w:pStyle w:val="EndNoteBibliography"/>
        <w:spacing w:after="240"/>
      </w:pPr>
    </w:p>
    <w:p w14:paraId="0CC083FA" w14:textId="77777777" w:rsidR="00DD142B" w:rsidRDefault="00F23CC1">
      <w:pPr>
        <w:pStyle w:val="EndNoteBibliography"/>
      </w:pPr>
      <w:r>
        <w:t>7.</w:t>
      </w:r>
      <w:r>
        <w:tab/>
        <w:t xml:space="preserve">Dodick DW. Migraine. </w:t>
      </w:r>
      <w:r>
        <w:rPr>
          <w:i/>
        </w:rPr>
        <w:t>Lancet</w:t>
      </w:r>
      <w:r>
        <w:t xml:space="preserve"> 2018 Mar 6.</w:t>
      </w:r>
    </w:p>
    <w:p w14:paraId="5093B635" w14:textId="77777777" w:rsidR="00DD142B" w:rsidRDefault="00DD142B">
      <w:pPr>
        <w:pStyle w:val="EndNoteBibliography"/>
        <w:spacing w:after="240"/>
      </w:pPr>
    </w:p>
    <w:p w14:paraId="4DC1E56C" w14:textId="77777777" w:rsidR="00DD142B" w:rsidRDefault="00F23CC1">
      <w:pPr>
        <w:pStyle w:val="EndNoteBibliography"/>
      </w:pPr>
      <w:r>
        <w:t>8.</w:t>
      </w:r>
      <w:r>
        <w:tab/>
        <w:t>Berenguer-Daize C, Boudouresque F, Bastide C, Tounsi A, Benyahia Z, Acunzo J</w:t>
      </w:r>
      <w:r>
        <w:rPr>
          <w:i/>
        </w:rPr>
        <w:t>, et al.</w:t>
      </w:r>
      <w:r>
        <w:t xml:space="preserve"> Adrenomedullin blockade suppresses growth of human hormone-independent prostate tumor xenograft in mice. </w:t>
      </w:r>
      <w:r>
        <w:rPr>
          <w:i/>
        </w:rPr>
        <w:t>Clin Cancer Res</w:t>
      </w:r>
      <w:r>
        <w:t xml:space="preserve"> 2013 Nov 15; </w:t>
      </w:r>
      <w:r>
        <w:rPr>
          <w:b/>
        </w:rPr>
        <w:t>19</w:t>
      </w:r>
      <w:r>
        <w:t>(22)</w:t>
      </w:r>
      <w:r>
        <w:rPr>
          <w:b/>
        </w:rPr>
        <w:t>:</w:t>
      </w:r>
      <w:r>
        <w:t xml:space="preserve"> 6138-6150.</w:t>
      </w:r>
    </w:p>
    <w:p w14:paraId="228B35BB" w14:textId="77777777" w:rsidR="00DD142B" w:rsidRDefault="00DD142B">
      <w:pPr>
        <w:pStyle w:val="EndNoteBibliography"/>
        <w:spacing w:after="240"/>
      </w:pPr>
    </w:p>
    <w:p w14:paraId="51990413" w14:textId="77777777" w:rsidR="00DD142B" w:rsidRDefault="00F23CC1">
      <w:pPr>
        <w:pStyle w:val="EndNoteBibliography"/>
      </w:pPr>
      <w:r>
        <w:t>9.</w:t>
      </w:r>
      <w:r>
        <w:tab/>
        <w:t>Kaafarani I, Fernandez-Sauze S, Berenguer C, Chinot O, Delfino C, Dussert C</w:t>
      </w:r>
      <w:r>
        <w:rPr>
          <w:i/>
        </w:rPr>
        <w:t>, et al.</w:t>
      </w:r>
      <w:r>
        <w:t xml:space="preserve"> Targeting adrenomedullin receptors with systemic delivery of neutralizing antibodies inhibits tumor angiogenesis and suppresses growth of human tumor xenografts in mice. </w:t>
      </w:r>
      <w:r>
        <w:rPr>
          <w:i/>
        </w:rPr>
        <w:t>FASEB J</w:t>
      </w:r>
      <w:r>
        <w:t xml:space="preserve"> 2009 Oct; </w:t>
      </w:r>
      <w:r>
        <w:rPr>
          <w:b/>
        </w:rPr>
        <w:t>23</w:t>
      </w:r>
      <w:r>
        <w:t>(10)</w:t>
      </w:r>
      <w:r>
        <w:rPr>
          <w:b/>
        </w:rPr>
        <w:t>:</w:t>
      </w:r>
      <w:r>
        <w:t xml:space="preserve"> 3424-3435.</w:t>
      </w:r>
    </w:p>
    <w:p w14:paraId="763E2F21" w14:textId="77777777" w:rsidR="00DD142B" w:rsidRDefault="00DD142B">
      <w:pPr>
        <w:pStyle w:val="EndNoteBibliography"/>
        <w:spacing w:after="240"/>
      </w:pPr>
    </w:p>
    <w:p w14:paraId="4AA30A36" w14:textId="77777777" w:rsidR="00DD142B" w:rsidRDefault="00F23CC1">
      <w:pPr>
        <w:pStyle w:val="EndNoteBibliography"/>
      </w:pPr>
      <w:r>
        <w:t>10.</w:t>
      </w:r>
      <w:r>
        <w:tab/>
        <w:t>Ouafik L, Sauze S, Boudouresque F, Chinot O, Delfino C, Fina F</w:t>
      </w:r>
      <w:r>
        <w:rPr>
          <w:i/>
        </w:rPr>
        <w:t>, et al.</w:t>
      </w:r>
      <w:r>
        <w:t xml:space="preserve"> Neutralization of adrenomedullin inhibits the growth of human glioblastoma cell lines in vitro and suppresses tumor xenograft growth in vivo. </w:t>
      </w:r>
      <w:r>
        <w:rPr>
          <w:i/>
        </w:rPr>
        <w:t>Am J Pathol</w:t>
      </w:r>
      <w:r>
        <w:t xml:space="preserve"> 2002 Apr; </w:t>
      </w:r>
      <w:r>
        <w:rPr>
          <w:b/>
        </w:rPr>
        <w:t>160</w:t>
      </w:r>
      <w:r>
        <w:t>(4)</w:t>
      </w:r>
      <w:r>
        <w:rPr>
          <w:b/>
        </w:rPr>
        <w:t>:</w:t>
      </w:r>
      <w:r>
        <w:t xml:space="preserve"> 1279-1292.</w:t>
      </w:r>
    </w:p>
    <w:p w14:paraId="6BCB91F5" w14:textId="77777777" w:rsidR="00DD142B" w:rsidRDefault="00DD142B">
      <w:pPr>
        <w:pStyle w:val="EndNoteBibliography"/>
        <w:spacing w:after="240"/>
      </w:pPr>
    </w:p>
    <w:p w14:paraId="7BAB43C2" w14:textId="77777777" w:rsidR="00DD142B" w:rsidRDefault="00F23CC1">
      <w:pPr>
        <w:pStyle w:val="EndNoteBibliography"/>
      </w:pPr>
      <w:r>
        <w:t>11.</w:t>
      </w:r>
      <w:r>
        <w:tab/>
        <w:t>Chen P, Huang Y, Bong R, Ding Y, Song N, Wang X</w:t>
      </w:r>
      <w:r>
        <w:rPr>
          <w:i/>
        </w:rPr>
        <w:t>, et al.</w:t>
      </w:r>
      <w:r>
        <w:t xml:space="preserve"> Tumor-associated macrophages promote angiogenesis and melanoma growth via adrenomedullin in a paracrine and autocrine manner. </w:t>
      </w:r>
      <w:r>
        <w:rPr>
          <w:i/>
        </w:rPr>
        <w:t>Clin Cancer Res</w:t>
      </w:r>
      <w:r>
        <w:t xml:space="preserve"> 2011 Dec 01; </w:t>
      </w:r>
      <w:r>
        <w:rPr>
          <w:b/>
        </w:rPr>
        <w:t>17</w:t>
      </w:r>
      <w:r>
        <w:t>(23)</w:t>
      </w:r>
      <w:r>
        <w:rPr>
          <w:b/>
        </w:rPr>
        <w:t>:</w:t>
      </w:r>
      <w:r>
        <w:t xml:space="preserve"> 7230-7239.</w:t>
      </w:r>
    </w:p>
    <w:p w14:paraId="74536F12" w14:textId="77777777" w:rsidR="00DD142B" w:rsidRDefault="00DD142B">
      <w:pPr>
        <w:pStyle w:val="EndNoteBibliography"/>
        <w:spacing w:after="240"/>
      </w:pPr>
    </w:p>
    <w:p w14:paraId="3FD900A6" w14:textId="77777777" w:rsidR="00DD142B" w:rsidRDefault="00F23CC1">
      <w:pPr>
        <w:pStyle w:val="EndNoteBibliography"/>
      </w:pPr>
      <w:r>
        <w:t>12.</w:t>
      </w:r>
      <w:r>
        <w:tab/>
        <w:t>Toda M, Suzuki T, Hosono K, Hayashi I, Hashiba S, Onuma Y</w:t>
      </w:r>
      <w:r>
        <w:rPr>
          <w:i/>
        </w:rPr>
        <w:t>, et al.</w:t>
      </w:r>
      <w:r>
        <w:t xml:space="preserve"> Neuronal system-dependent facilitation of tumor angiogenesis and tumor growth by calcitonin gene-related peptide. </w:t>
      </w:r>
      <w:r>
        <w:rPr>
          <w:i/>
        </w:rPr>
        <w:t>Proc Natl Acad Sci U S A</w:t>
      </w:r>
      <w:r>
        <w:t xml:space="preserve"> 2008 Sep 09; </w:t>
      </w:r>
      <w:r>
        <w:rPr>
          <w:b/>
        </w:rPr>
        <w:t>105</w:t>
      </w:r>
      <w:r>
        <w:t>(36)</w:t>
      </w:r>
      <w:r>
        <w:rPr>
          <w:b/>
        </w:rPr>
        <w:t>:</w:t>
      </w:r>
      <w:r>
        <w:t xml:space="preserve"> 13550-13555.</w:t>
      </w:r>
    </w:p>
    <w:p w14:paraId="02FAA492" w14:textId="77777777" w:rsidR="00DD142B" w:rsidRDefault="00DD142B">
      <w:pPr>
        <w:pStyle w:val="EndNoteBibliography"/>
        <w:spacing w:after="240"/>
      </w:pPr>
    </w:p>
    <w:p w14:paraId="6488145B" w14:textId="77777777" w:rsidR="00DD142B" w:rsidRDefault="00F23CC1">
      <w:pPr>
        <w:pStyle w:val="EndNoteBibliography"/>
      </w:pPr>
      <w:r>
        <w:t>13.</w:t>
      </w:r>
      <w:r>
        <w:tab/>
        <w:t xml:space="preserve">Harzenetter MD, Keller U, Beer S, Riedl C, Peschel C, Holzmann B. Regulation and function of the CGRP receptor complex in human granulopoiesis. </w:t>
      </w:r>
      <w:r>
        <w:rPr>
          <w:i/>
        </w:rPr>
        <w:t>Exp Hematol</w:t>
      </w:r>
      <w:r>
        <w:t xml:space="preserve"> 2002 Apr; </w:t>
      </w:r>
      <w:r>
        <w:rPr>
          <w:b/>
        </w:rPr>
        <w:t>30</w:t>
      </w:r>
      <w:r>
        <w:t>(4)</w:t>
      </w:r>
      <w:r>
        <w:rPr>
          <w:b/>
        </w:rPr>
        <w:t>:</w:t>
      </w:r>
      <w:r>
        <w:t xml:space="preserve"> 306-312.</w:t>
      </w:r>
    </w:p>
    <w:p w14:paraId="5381E46A" w14:textId="77777777" w:rsidR="00DD142B" w:rsidRDefault="00DD142B">
      <w:pPr>
        <w:pStyle w:val="EndNoteBibliography"/>
        <w:spacing w:after="240"/>
      </w:pPr>
    </w:p>
    <w:p w14:paraId="3924A2EE" w14:textId="77777777" w:rsidR="00DD142B" w:rsidRDefault="00F23CC1">
      <w:pPr>
        <w:pStyle w:val="EndNoteBibliography"/>
      </w:pPr>
      <w:r>
        <w:t>14.</w:t>
      </w:r>
      <w:r>
        <w:tab/>
        <w:t xml:space="preserve">Chute JP, Muramoto GG, Dressman HK, Wolfe G, Chao NJ, Lin S. Molecular profile and partial functional analysis of novel endothelial cell-derived growth factors that regulate hematopoiesis. </w:t>
      </w:r>
      <w:r>
        <w:rPr>
          <w:i/>
        </w:rPr>
        <w:t>Stem Cells</w:t>
      </w:r>
      <w:r>
        <w:t xml:space="preserve"> 2006 May; </w:t>
      </w:r>
      <w:r>
        <w:rPr>
          <w:b/>
        </w:rPr>
        <w:t>24</w:t>
      </w:r>
      <w:r>
        <w:t>(5)</w:t>
      </w:r>
      <w:r>
        <w:rPr>
          <w:b/>
        </w:rPr>
        <w:t>:</w:t>
      </w:r>
      <w:r>
        <w:t xml:space="preserve"> 1315-1327.</w:t>
      </w:r>
    </w:p>
    <w:p w14:paraId="4D8B57EE" w14:textId="77777777" w:rsidR="00DD142B" w:rsidRDefault="00DD142B">
      <w:pPr>
        <w:pStyle w:val="EndNoteBibliography"/>
        <w:spacing w:after="240"/>
      </w:pPr>
    </w:p>
    <w:p w14:paraId="75B92CA2" w14:textId="77777777" w:rsidR="00DD142B" w:rsidRDefault="00F23CC1">
      <w:pPr>
        <w:pStyle w:val="EndNoteBibliography"/>
      </w:pPr>
      <w:r>
        <w:t>15.</w:t>
      </w:r>
      <w:r>
        <w:tab/>
        <w:t xml:space="preserve">Broome CS, Whetton AD, Miyan JA. Neuropeptide control of bone marrow neutrophil production is mediated by both direct and indirect effects on CFU-GM. </w:t>
      </w:r>
      <w:r>
        <w:rPr>
          <w:i/>
        </w:rPr>
        <w:t>Br J Haematol</w:t>
      </w:r>
      <w:r>
        <w:t xml:space="preserve"> 2000 Jan; </w:t>
      </w:r>
      <w:r>
        <w:rPr>
          <w:b/>
        </w:rPr>
        <w:t>108</w:t>
      </w:r>
      <w:r>
        <w:t>(1)</w:t>
      </w:r>
      <w:r>
        <w:rPr>
          <w:b/>
        </w:rPr>
        <w:t>:</w:t>
      </w:r>
      <w:r>
        <w:t xml:space="preserve"> 140-150.</w:t>
      </w:r>
    </w:p>
    <w:p w14:paraId="5BF247A0" w14:textId="77777777" w:rsidR="00DD142B" w:rsidRDefault="00DD142B">
      <w:pPr>
        <w:pStyle w:val="EndNoteBibliography"/>
        <w:spacing w:after="240"/>
      </w:pPr>
    </w:p>
    <w:p w14:paraId="78B299DE" w14:textId="77777777" w:rsidR="00DD142B" w:rsidRDefault="00F23CC1">
      <w:pPr>
        <w:pStyle w:val="EndNoteBibliography"/>
      </w:pPr>
      <w:r>
        <w:t>16.</w:t>
      </w:r>
      <w:r>
        <w:tab/>
        <w:t>De Angeli S, Di Liddo R, Buoro S, Toniolo L, Conconi MT, Belloni AS</w:t>
      </w:r>
      <w:r>
        <w:rPr>
          <w:i/>
        </w:rPr>
        <w:t>, et al.</w:t>
      </w:r>
      <w:r>
        <w:t xml:space="preserve"> New immortalized human stromal cell lines enhancing in vitro expansion of cord blood hematopoietic stem cells. </w:t>
      </w:r>
      <w:r>
        <w:rPr>
          <w:i/>
        </w:rPr>
        <w:t>Int J Mol Med</w:t>
      </w:r>
      <w:r>
        <w:t xml:space="preserve"> 2004 Mar; </w:t>
      </w:r>
      <w:r>
        <w:rPr>
          <w:b/>
        </w:rPr>
        <w:t>13</w:t>
      </w:r>
      <w:r>
        <w:t>(3)</w:t>
      </w:r>
      <w:r>
        <w:rPr>
          <w:b/>
        </w:rPr>
        <w:t>:</w:t>
      </w:r>
      <w:r>
        <w:t xml:space="preserve"> 363-371.</w:t>
      </w:r>
    </w:p>
    <w:p w14:paraId="76C5C432" w14:textId="77777777" w:rsidR="00DD142B" w:rsidRDefault="00DD142B">
      <w:pPr>
        <w:pStyle w:val="EndNoteBibliography"/>
        <w:spacing w:after="240"/>
      </w:pPr>
    </w:p>
    <w:p w14:paraId="1C049765" w14:textId="77777777" w:rsidR="00DD142B" w:rsidRDefault="00F23CC1">
      <w:pPr>
        <w:pStyle w:val="EndNoteBibliography"/>
      </w:pPr>
      <w:r>
        <w:t>17.</w:t>
      </w:r>
      <w:r>
        <w:tab/>
        <w:t>Krug U, Berdel WE, Gale RP, Haferlach C, Schnittger S, Muller-Tidow C</w:t>
      </w:r>
      <w:r>
        <w:rPr>
          <w:i/>
        </w:rPr>
        <w:t>, et al.</w:t>
      </w:r>
      <w:r>
        <w:t xml:space="preserve"> Increasing intensity of therapies assigned at diagnosis does not improve survival of adults with acute myeloid leukemia. </w:t>
      </w:r>
      <w:r>
        <w:rPr>
          <w:i/>
        </w:rPr>
        <w:t>Leukemia</w:t>
      </w:r>
      <w:r>
        <w:t xml:space="preserve"> 2016 Jun; </w:t>
      </w:r>
      <w:r>
        <w:rPr>
          <w:b/>
        </w:rPr>
        <w:t>30</w:t>
      </w:r>
      <w:r>
        <w:t>(6)</w:t>
      </w:r>
      <w:r>
        <w:rPr>
          <w:b/>
        </w:rPr>
        <w:t>:</w:t>
      </w:r>
      <w:r>
        <w:t xml:space="preserve"> 1230-1236.</w:t>
      </w:r>
    </w:p>
    <w:p w14:paraId="7730C073" w14:textId="77777777" w:rsidR="00DD142B" w:rsidRDefault="00DD142B">
      <w:pPr>
        <w:pStyle w:val="EndNoteBibliography"/>
        <w:spacing w:after="240"/>
      </w:pPr>
    </w:p>
    <w:p w14:paraId="2453F5EA" w14:textId="77777777" w:rsidR="00DD142B" w:rsidRDefault="00F23CC1">
      <w:pPr>
        <w:pStyle w:val="EndNoteBibliography"/>
      </w:pPr>
      <w:r>
        <w:t>18.</w:t>
      </w:r>
      <w:r>
        <w:tab/>
        <w:t>Verhaak RG, Wouters BJ, Erpelinck CA, Abbas S, Beverloo HB, Lugthart S</w:t>
      </w:r>
      <w:r>
        <w:rPr>
          <w:i/>
        </w:rPr>
        <w:t>, et al.</w:t>
      </w:r>
      <w:r>
        <w:t xml:space="preserve"> Prediction of molecular subtypes in acute myeloid leukemia based on gene expression profiling. </w:t>
      </w:r>
      <w:r>
        <w:rPr>
          <w:i/>
        </w:rPr>
        <w:t>Haematologica</w:t>
      </w:r>
      <w:r>
        <w:t xml:space="preserve"> 2009 Jan; </w:t>
      </w:r>
      <w:r>
        <w:rPr>
          <w:b/>
        </w:rPr>
        <w:t>94</w:t>
      </w:r>
      <w:r>
        <w:t>(1)</w:t>
      </w:r>
      <w:r>
        <w:rPr>
          <w:b/>
        </w:rPr>
        <w:t>:</w:t>
      </w:r>
      <w:r>
        <w:t xml:space="preserve"> 131-134.</w:t>
      </w:r>
    </w:p>
    <w:p w14:paraId="440DC87B" w14:textId="77777777" w:rsidR="00DD142B" w:rsidRDefault="00DD142B">
      <w:pPr>
        <w:pStyle w:val="EndNoteBibliography"/>
        <w:spacing w:after="240"/>
      </w:pPr>
    </w:p>
    <w:p w14:paraId="5FD0F28B" w14:textId="77777777" w:rsidR="00DD142B" w:rsidRDefault="00F23CC1">
      <w:pPr>
        <w:pStyle w:val="EndNoteBibliography"/>
      </w:pPr>
      <w:r>
        <w:t>19.</w:t>
      </w:r>
      <w:r>
        <w:tab/>
        <w:t>Valk PJ, Verhaak RG, Beijen MA, Erpelinck CA, Barjesteh van Waalwijk van Doorn-Khosrovani S, Boer JM</w:t>
      </w:r>
      <w:r>
        <w:rPr>
          <w:i/>
        </w:rPr>
        <w:t>, et al.</w:t>
      </w:r>
      <w:r>
        <w:t xml:space="preserve"> Prognostically useful gene-expression profiles in acute myeloid leukemia. </w:t>
      </w:r>
      <w:r>
        <w:rPr>
          <w:i/>
        </w:rPr>
        <w:t>N Engl J Med</w:t>
      </w:r>
      <w:r>
        <w:t xml:space="preserve"> 2004 Apr 15; </w:t>
      </w:r>
      <w:r>
        <w:rPr>
          <w:b/>
        </w:rPr>
        <w:t>350</w:t>
      </w:r>
      <w:r>
        <w:t>(16)</w:t>
      </w:r>
      <w:r>
        <w:rPr>
          <w:b/>
        </w:rPr>
        <w:t>:</w:t>
      </w:r>
      <w:r>
        <w:t xml:space="preserve"> 1617-1628.</w:t>
      </w:r>
    </w:p>
    <w:p w14:paraId="6DF5B2DB" w14:textId="77777777" w:rsidR="00DD142B" w:rsidRDefault="00DD142B">
      <w:pPr>
        <w:pStyle w:val="EndNoteBibliography"/>
        <w:spacing w:after="240"/>
      </w:pPr>
    </w:p>
    <w:p w14:paraId="05DB7F23" w14:textId="77777777" w:rsidR="00DD142B" w:rsidRDefault="00F23CC1">
      <w:pPr>
        <w:pStyle w:val="EndNoteBibliography"/>
      </w:pPr>
      <w:r>
        <w:t>20.</w:t>
      </w:r>
      <w:r>
        <w:tab/>
        <w:t xml:space="preserve">The Cancer Genome Atlas Research Network. Genomic and epigenomic landscapes of adult de novo acute myeloid leukemia. </w:t>
      </w:r>
      <w:r>
        <w:rPr>
          <w:i/>
        </w:rPr>
        <w:t>N Engl J Med</w:t>
      </w:r>
      <w:r>
        <w:t xml:space="preserve"> 2013 May 30; </w:t>
      </w:r>
      <w:r>
        <w:rPr>
          <w:b/>
        </w:rPr>
        <w:t>368</w:t>
      </w:r>
      <w:r>
        <w:t>(22)</w:t>
      </w:r>
      <w:r>
        <w:rPr>
          <w:b/>
        </w:rPr>
        <w:t>:</w:t>
      </w:r>
      <w:r>
        <w:t xml:space="preserve"> 2059-2074.</w:t>
      </w:r>
    </w:p>
    <w:p w14:paraId="50A913B1" w14:textId="77777777" w:rsidR="00DD142B" w:rsidRDefault="00DD142B">
      <w:pPr>
        <w:pStyle w:val="EndNoteBibliography"/>
        <w:spacing w:after="240"/>
      </w:pPr>
    </w:p>
    <w:p w14:paraId="01654D10" w14:textId="77777777" w:rsidR="00DD142B" w:rsidRPr="00B4061E" w:rsidRDefault="00F23CC1">
      <w:pPr>
        <w:pStyle w:val="EndNoteBibliography"/>
        <w:rPr>
          <w:lang w:val="de-DE"/>
        </w:rPr>
      </w:pPr>
      <w:r>
        <w:t>21.</w:t>
      </w:r>
      <w:r>
        <w:tab/>
        <w:t>Lavallee VP, Baccelli I, Krosl J, Wilhelm B, Barabe F, Gendron P</w:t>
      </w:r>
      <w:r>
        <w:rPr>
          <w:i/>
        </w:rPr>
        <w:t>, et al.</w:t>
      </w:r>
      <w:r>
        <w:t xml:space="preserve"> The transcriptomic landscape and directed chemical interrogation of MLL-rearranged acute myeloid leukemias. </w:t>
      </w:r>
      <w:r w:rsidRPr="00B4061E">
        <w:rPr>
          <w:i/>
          <w:lang w:val="de-DE"/>
        </w:rPr>
        <w:t>Nat Genet</w:t>
      </w:r>
      <w:r w:rsidRPr="00B4061E">
        <w:rPr>
          <w:lang w:val="de-DE"/>
        </w:rPr>
        <w:t xml:space="preserve"> 2015 Sep; </w:t>
      </w:r>
      <w:r w:rsidRPr="00B4061E">
        <w:rPr>
          <w:b/>
          <w:lang w:val="de-DE"/>
        </w:rPr>
        <w:t>47</w:t>
      </w:r>
      <w:r w:rsidRPr="00B4061E">
        <w:rPr>
          <w:lang w:val="de-DE"/>
        </w:rPr>
        <w:t>(9)</w:t>
      </w:r>
      <w:r w:rsidRPr="00B4061E">
        <w:rPr>
          <w:b/>
          <w:lang w:val="de-DE"/>
        </w:rPr>
        <w:t>:</w:t>
      </w:r>
      <w:r w:rsidRPr="00B4061E">
        <w:rPr>
          <w:lang w:val="de-DE"/>
        </w:rPr>
        <w:t xml:space="preserve"> 1030-1037.</w:t>
      </w:r>
    </w:p>
    <w:p w14:paraId="264A1789" w14:textId="77777777" w:rsidR="00DD142B" w:rsidRPr="00B4061E" w:rsidRDefault="00DD142B">
      <w:pPr>
        <w:pStyle w:val="EndNoteBibliography"/>
        <w:spacing w:after="240"/>
        <w:rPr>
          <w:lang w:val="de-DE"/>
        </w:rPr>
      </w:pPr>
    </w:p>
    <w:p w14:paraId="0375A982" w14:textId="77777777" w:rsidR="00DD142B" w:rsidRDefault="00F23CC1">
      <w:pPr>
        <w:pStyle w:val="EndNoteBibliography"/>
      </w:pPr>
      <w:r w:rsidRPr="00B4061E">
        <w:rPr>
          <w:lang w:val="de-DE"/>
        </w:rPr>
        <w:t>22.</w:t>
      </w:r>
      <w:r w:rsidRPr="00B4061E">
        <w:rPr>
          <w:lang w:val="de-DE"/>
        </w:rPr>
        <w:tab/>
        <w:t>Herold T, Metzeler KH, Vosberg S, Hartmann L, Rollig C, Stolzel F</w:t>
      </w:r>
      <w:r w:rsidRPr="00B4061E">
        <w:rPr>
          <w:i/>
          <w:lang w:val="de-DE"/>
        </w:rPr>
        <w:t>, et al.</w:t>
      </w:r>
      <w:r w:rsidRPr="00B4061E">
        <w:rPr>
          <w:lang w:val="de-DE"/>
        </w:rPr>
        <w:t xml:space="preserve"> </w:t>
      </w:r>
      <w:r>
        <w:t xml:space="preserve">Isolated trisomy 13 defines a homogeneous AML subgroup with high frequency of mutations in spliceosome genes and poor prognosis. </w:t>
      </w:r>
      <w:r>
        <w:rPr>
          <w:i/>
        </w:rPr>
        <w:t>Blood</w:t>
      </w:r>
      <w:r>
        <w:t xml:space="preserve"> 2014 Aug 21; </w:t>
      </w:r>
      <w:r>
        <w:rPr>
          <w:b/>
        </w:rPr>
        <w:t>124</w:t>
      </w:r>
      <w:r>
        <w:t>(8)</w:t>
      </w:r>
      <w:r>
        <w:rPr>
          <w:b/>
        </w:rPr>
        <w:t>:</w:t>
      </w:r>
      <w:r>
        <w:t xml:space="preserve"> 1304-1311.</w:t>
      </w:r>
    </w:p>
    <w:p w14:paraId="53F48AD3" w14:textId="77777777" w:rsidR="00DD142B" w:rsidRDefault="00DD142B">
      <w:pPr>
        <w:pStyle w:val="EndNoteBibliography"/>
        <w:spacing w:after="240"/>
      </w:pPr>
    </w:p>
    <w:p w14:paraId="677E9163" w14:textId="77777777" w:rsidR="00DD142B" w:rsidRDefault="00F23CC1">
      <w:pPr>
        <w:pStyle w:val="EndNoteBibliography"/>
      </w:pPr>
      <w:r>
        <w:t>23.</w:t>
      </w:r>
      <w:r>
        <w:tab/>
        <w:t xml:space="preserve">Schuffler PJ, Fuchs TJ, Ong CS, Wild PJ, Rupp NJ, Buhmann JM. TMARKER: A free software toolkit for histopathological cell counting and staining estimation. </w:t>
      </w:r>
      <w:r>
        <w:rPr>
          <w:i/>
        </w:rPr>
        <w:t>J Pathol Inform</w:t>
      </w:r>
      <w:r>
        <w:t xml:space="preserve"> 2013; </w:t>
      </w:r>
      <w:r>
        <w:rPr>
          <w:b/>
        </w:rPr>
        <w:t>4</w:t>
      </w:r>
      <w:r>
        <w:t>(Suppl)</w:t>
      </w:r>
      <w:r>
        <w:rPr>
          <w:b/>
        </w:rPr>
        <w:t>:</w:t>
      </w:r>
      <w:r>
        <w:t xml:space="preserve"> S2.</w:t>
      </w:r>
    </w:p>
    <w:p w14:paraId="7D9C651E" w14:textId="77777777" w:rsidR="00DD142B" w:rsidRDefault="00DD142B">
      <w:pPr>
        <w:pStyle w:val="EndNoteBibliography"/>
        <w:spacing w:after="240"/>
      </w:pPr>
    </w:p>
    <w:p w14:paraId="73E02E26" w14:textId="77777777" w:rsidR="00DD142B" w:rsidRPr="00B4061E" w:rsidRDefault="00F23CC1">
      <w:pPr>
        <w:pStyle w:val="EndNoteBibliography"/>
        <w:rPr>
          <w:lang w:val="de-DE"/>
        </w:rPr>
      </w:pPr>
      <w:r>
        <w:t>24.</w:t>
      </w:r>
      <w:r>
        <w:tab/>
        <w:t>Pabst C, Bergeron A, Lavallee VP, Yeh J, Gendron P, Norddahl GL</w:t>
      </w:r>
      <w:r>
        <w:rPr>
          <w:i/>
        </w:rPr>
        <w:t>, et al.</w:t>
      </w:r>
      <w:r>
        <w:t xml:space="preserve"> GPR56 identifies primary human acute myeloid leukemia cells with high repopulating potential in vivo. </w:t>
      </w:r>
      <w:r w:rsidRPr="00B4061E">
        <w:rPr>
          <w:i/>
          <w:lang w:val="de-DE"/>
        </w:rPr>
        <w:t>Blood</w:t>
      </w:r>
      <w:r w:rsidRPr="00B4061E">
        <w:rPr>
          <w:lang w:val="de-DE"/>
        </w:rPr>
        <w:t xml:space="preserve"> 2016 Apr 21; </w:t>
      </w:r>
      <w:r w:rsidRPr="00B4061E">
        <w:rPr>
          <w:b/>
          <w:lang w:val="de-DE"/>
        </w:rPr>
        <w:t>127</w:t>
      </w:r>
      <w:r w:rsidRPr="00B4061E">
        <w:rPr>
          <w:lang w:val="de-DE"/>
        </w:rPr>
        <w:t>(16)</w:t>
      </w:r>
      <w:r w:rsidRPr="00B4061E">
        <w:rPr>
          <w:b/>
          <w:lang w:val="de-DE"/>
        </w:rPr>
        <w:t>:</w:t>
      </w:r>
      <w:r w:rsidRPr="00B4061E">
        <w:rPr>
          <w:lang w:val="de-DE"/>
        </w:rPr>
        <w:t xml:space="preserve"> 2018-2027.</w:t>
      </w:r>
    </w:p>
    <w:p w14:paraId="7A576A8D" w14:textId="77777777" w:rsidR="00DD142B" w:rsidRPr="00B4061E" w:rsidRDefault="00DD142B">
      <w:pPr>
        <w:pStyle w:val="EndNoteBibliography"/>
        <w:spacing w:after="240"/>
        <w:rPr>
          <w:lang w:val="de-DE"/>
        </w:rPr>
      </w:pPr>
    </w:p>
    <w:p w14:paraId="069FA215" w14:textId="77777777" w:rsidR="00DD142B" w:rsidRDefault="00F23CC1">
      <w:pPr>
        <w:pStyle w:val="EndNoteBibliography"/>
      </w:pPr>
      <w:r w:rsidRPr="00B4061E">
        <w:rPr>
          <w:lang w:val="de-DE"/>
        </w:rPr>
        <w:t>25.</w:t>
      </w:r>
      <w:r w:rsidRPr="00B4061E">
        <w:rPr>
          <w:lang w:val="de-DE"/>
        </w:rPr>
        <w:tab/>
        <w:t>Dohner H, Estey E, Grimwade D, Amadori S, Appelbaum FR, Buchner T</w:t>
      </w:r>
      <w:r w:rsidRPr="00B4061E">
        <w:rPr>
          <w:i/>
          <w:lang w:val="de-DE"/>
        </w:rPr>
        <w:t>, et al.</w:t>
      </w:r>
      <w:r w:rsidRPr="00B4061E">
        <w:rPr>
          <w:lang w:val="de-DE"/>
        </w:rPr>
        <w:t xml:space="preserve"> </w:t>
      </w:r>
      <w:r>
        <w:t xml:space="preserve">Diagnosis and management of AML in adults: 2017 ELN recommendations from an international expert panel. </w:t>
      </w:r>
      <w:r>
        <w:rPr>
          <w:i/>
        </w:rPr>
        <w:t>Blood</w:t>
      </w:r>
      <w:r>
        <w:t xml:space="preserve"> 2017 Jan 26; </w:t>
      </w:r>
      <w:r>
        <w:rPr>
          <w:b/>
        </w:rPr>
        <w:t>129</w:t>
      </w:r>
      <w:r>
        <w:t>(4)</w:t>
      </w:r>
      <w:r>
        <w:rPr>
          <w:b/>
        </w:rPr>
        <w:t>:</w:t>
      </w:r>
      <w:r>
        <w:t xml:space="preserve"> 424-447.</w:t>
      </w:r>
    </w:p>
    <w:p w14:paraId="3519A0AC" w14:textId="77777777" w:rsidR="00DD142B" w:rsidRDefault="00DD142B">
      <w:pPr>
        <w:pStyle w:val="EndNoteBibliography"/>
        <w:spacing w:after="240"/>
      </w:pPr>
    </w:p>
    <w:p w14:paraId="3335C44C" w14:textId="77777777" w:rsidR="00DD142B" w:rsidRDefault="00F23CC1">
      <w:pPr>
        <w:pStyle w:val="EndNoteBibliography"/>
      </w:pPr>
      <w:r>
        <w:t>26.</w:t>
      </w:r>
      <w:r>
        <w:tab/>
        <w:t xml:space="preserve">Zou H, Hastie T. Regularization and variable selection via the elastic net. </w:t>
      </w:r>
      <w:r>
        <w:rPr>
          <w:i/>
        </w:rPr>
        <w:t>Journal of the Royal Statistical Society: Series B (Statistical Methodology)</w:t>
      </w:r>
      <w:r>
        <w:t xml:space="preserve"> 2005; </w:t>
      </w:r>
      <w:r>
        <w:rPr>
          <w:b/>
        </w:rPr>
        <w:t>67</w:t>
      </w:r>
      <w:r>
        <w:t>(2)</w:t>
      </w:r>
      <w:r>
        <w:rPr>
          <w:b/>
        </w:rPr>
        <w:t>:</w:t>
      </w:r>
      <w:r>
        <w:t xml:space="preserve"> 301-320.</w:t>
      </w:r>
    </w:p>
    <w:p w14:paraId="30B85AF9" w14:textId="77777777" w:rsidR="00DD142B" w:rsidRDefault="00DD142B">
      <w:pPr>
        <w:pStyle w:val="EndNoteBibliography"/>
        <w:spacing w:after="240"/>
      </w:pPr>
    </w:p>
    <w:p w14:paraId="2B86C140" w14:textId="77777777" w:rsidR="00DD142B" w:rsidRDefault="00F23CC1">
      <w:pPr>
        <w:pStyle w:val="EndNoteBibliography"/>
      </w:pPr>
      <w:r>
        <w:t>27.</w:t>
      </w:r>
      <w:r>
        <w:tab/>
        <w:t>Langer C, Marcucci G, Holland KB, Radmacher MD, Maharry K, Paschka P</w:t>
      </w:r>
      <w:r>
        <w:rPr>
          <w:i/>
        </w:rPr>
        <w:t>, et al.</w:t>
      </w:r>
      <w:r>
        <w:t xml:space="preserve"> Prognostic importance of MN1 transcript levels, and biologic insights from MN1-associated gene and microRNA expression signatures in cytogenetically normal acute myeloid leukemia: a cancer and leukemia group B study. </w:t>
      </w:r>
      <w:r>
        <w:rPr>
          <w:i/>
        </w:rPr>
        <w:t>J Clin Oncol</w:t>
      </w:r>
      <w:r>
        <w:t xml:space="preserve"> 2009 Jul 01; </w:t>
      </w:r>
      <w:r>
        <w:rPr>
          <w:b/>
        </w:rPr>
        <w:t>27</w:t>
      </w:r>
      <w:r>
        <w:t>(19)</w:t>
      </w:r>
      <w:r>
        <w:rPr>
          <w:b/>
        </w:rPr>
        <w:t>:</w:t>
      </w:r>
      <w:r>
        <w:t xml:space="preserve"> 3198-3204.</w:t>
      </w:r>
    </w:p>
    <w:p w14:paraId="6BB06FF7" w14:textId="77777777" w:rsidR="00DD142B" w:rsidRDefault="00DD142B">
      <w:pPr>
        <w:pStyle w:val="EndNoteBibliography"/>
        <w:spacing w:after="240"/>
      </w:pPr>
    </w:p>
    <w:p w14:paraId="6AC44E04" w14:textId="77777777" w:rsidR="00DD142B" w:rsidRPr="00B4061E" w:rsidRDefault="00F23CC1">
      <w:pPr>
        <w:pStyle w:val="EndNoteBibliography"/>
        <w:rPr>
          <w:lang w:val="de-DE"/>
        </w:rPr>
      </w:pPr>
      <w:r>
        <w:t>28.</w:t>
      </w:r>
      <w:r>
        <w:tab/>
        <w:t>Langer C, Radmacher MD, Ruppert AS, Whitman SP, Paschka P, Mrozek K</w:t>
      </w:r>
      <w:r>
        <w:rPr>
          <w:i/>
        </w:rPr>
        <w:t>, et al.</w:t>
      </w:r>
      <w:r>
        <w:t xml:space="preserve"> High BAALC expression associates with other molecular prognostic markers, poor outcome, and a distinct gene-expression signature in cytogenetically normal patients younger than 60 years with acute myeloid leukemia: a Cancer and Leukemia Group B (CALGB) study. </w:t>
      </w:r>
      <w:r w:rsidRPr="00B4061E">
        <w:rPr>
          <w:i/>
          <w:lang w:val="de-DE"/>
        </w:rPr>
        <w:t>Blood</w:t>
      </w:r>
      <w:r w:rsidRPr="00B4061E">
        <w:rPr>
          <w:lang w:val="de-DE"/>
        </w:rPr>
        <w:t xml:space="preserve"> 2008 Jun 01; </w:t>
      </w:r>
      <w:r w:rsidRPr="00B4061E">
        <w:rPr>
          <w:b/>
          <w:lang w:val="de-DE"/>
        </w:rPr>
        <w:t>111</w:t>
      </w:r>
      <w:r w:rsidRPr="00B4061E">
        <w:rPr>
          <w:lang w:val="de-DE"/>
        </w:rPr>
        <w:t>(11)</w:t>
      </w:r>
      <w:r w:rsidRPr="00B4061E">
        <w:rPr>
          <w:b/>
          <w:lang w:val="de-DE"/>
        </w:rPr>
        <w:t>:</w:t>
      </w:r>
      <w:r w:rsidRPr="00B4061E">
        <w:rPr>
          <w:lang w:val="de-DE"/>
        </w:rPr>
        <w:t xml:space="preserve"> 5371-5379.</w:t>
      </w:r>
    </w:p>
    <w:p w14:paraId="07F1CFE4" w14:textId="77777777" w:rsidR="00DD142B" w:rsidRPr="00B4061E" w:rsidRDefault="00DD142B">
      <w:pPr>
        <w:pStyle w:val="EndNoteBibliography"/>
        <w:spacing w:after="240"/>
        <w:rPr>
          <w:lang w:val="de-DE"/>
        </w:rPr>
      </w:pPr>
    </w:p>
    <w:p w14:paraId="62C1089C" w14:textId="77777777" w:rsidR="00DD142B" w:rsidRDefault="00F23CC1">
      <w:pPr>
        <w:pStyle w:val="EndNoteBibliography"/>
      </w:pPr>
      <w:r w:rsidRPr="00B4061E">
        <w:rPr>
          <w:lang w:val="de-DE"/>
        </w:rPr>
        <w:t>29.</w:t>
      </w:r>
      <w:r w:rsidRPr="00B4061E">
        <w:rPr>
          <w:lang w:val="de-DE"/>
        </w:rPr>
        <w:tab/>
        <w:t>Schwind S, Marcucci G, Kohlschmidt J, Radmacher MD, Mrozek K, Maharry K</w:t>
      </w:r>
      <w:r w:rsidRPr="00B4061E">
        <w:rPr>
          <w:i/>
          <w:lang w:val="de-DE"/>
        </w:rPr>
        <w:t>, et al.</w:t>
      </w:r>
      <w:r w:rsidRPr="00B4061E">
        <w:rPr>
          <w:lang w:val="de-DE"/>
        </w:rPr>
        <w:t xml:space="preserve"> </w:t>
      </w:r>
      <w:r>
        <w:t xml:space="preserve">Low expression of MN1 associates with better treatment response in older patients with de novo cytogenetically normal acute myeloid leukemia. </w:t>
      </w:r>
      <w:r>
        <w:rPr>
          <w:i/>
        </w:rPr>
        <w:t>Blood</w:t>
      </w:r>
      <w:r>
        <w:t xml:space="preserve"> 2011 Oct 13; </w:t>
      </w:r>
      <w:r>
        <w:rPr>
          <w:b/>
        </w:rPr>
        <w:t>118</w:t>
      </w:r>
      <w:r>
        <w:t>(15)</w:t>
      </w:r>
      <w:r>
        <w:rPr>
          <w:b/>
        </w:rPr>
        <w:t>:</w:t>
      </w:r>
      <w:r>
        <w:t xml:space="preserve"> 4188-4198.</w:t>
      </w:r>
    </w:p>
    <w:p w14:paraId="22743E03" w14:textId="77777777" w:rsidR="00DD142B" w:rsidRDefault="00DD142B">
      <w:pPr>
        <w:pStyle w:val="EndNoteBibliography"/>
        <w:spacing w:after="240"/>
      </w:pPr>
    </w:p>
    <w:p w14:paraId="607BBDCC" w14:textId="77777777" w:rsidR="00DD142B" w:rsidRDefault="00F23CC1">
      <w:pPr>
        <w:pStyle w:val="EndNoteBibliography"/>
      </w:pPr>
      <w:r>
        <w:t>30.</w:t>
      </w:r>
      <w:r>
        <w:tab/>
        <w:t>Tanner SM, Austin JL, Leone G, Rush LJ, Plass C, Heinonen K</w:t>
      </w:r>
      <w:r>
        <w:rPr>
          <w:i/>
        </w:rPr>
        <w:t>, et al.</w:t>
      </w:r>
      <w:r>
        <w:t xml:space="preserve"> BAALC, the human member of a novel mammalian neuroectoderm gene lineage, is implicated in hematopoiesis and acute leukemia. </w:t>
      </w:r>
      <w:r>
        <w:rPr>
          <w:i/>
        </w:rPr>
        <w:t>Proc Natl Acad Sci U S A</w:t>
      </w:r>
      <w:r>
        <w:t xml:space="preserve"> 2001 Nov 20; </w:t>
      </w:r>
      <w:r>
        <w:rPr>
          <w:b/>
        </w:rPr>
        <w:t>98</w:t>
      </w:r>
      <w:r>
        <w:t>(24)</w:t>
      </w:r>
      <w:r>
        <w:rPr>
          <w:b/>
        </w:rPr>
        <w:t>:</w:t>
      </w:r>
      <w:r>
        <w:t xml:space="preserve"> 13901-13906.</w:t>
      </w:r>
    </w:p>
    <w:p w14:paraId="062D2A9B" w14:textId="77777777" w:rsidR="00DD142B" w:rsidRDefault="00DD142B">
      <w:pPr>
        <w:pStyle w:val="EndNoteBibliography"/>
        <w:spacing w:after="240"/>
      </w:pPr>
    </w:p>
    <w:p w14:paraId="0DC83A94" w14:textId="77777777" w:rsidR="00DD142B" w:rsidRPr="00B4061E" w:rsidRDefault="00F23CC1">
      <w:pPr>
        <w:pStyle w:val="EndNoteBibliography"/>
        <w:rPr>
          <w:lang w:val="de-DE"/>
        </w:rPr>
      </w:pPr>
      <w:r>
        <w:t>31.</w:t>
      </w:r>
      <w:r>
        <w:tab/>
        <w:t xml:space="preserve">Baldus CD, Thiede C, Soucek S, Bloomfield CD, Thiel E, Ehninger G. BAALC expression and FLT3 internal tandem duplication mutations in acute myeloid leukemia patients with normal cytogenetics: prognostic implications. </w:t>
      </w:r>
      <w:r w:rsidRPr="00B4061E">
        <w:rPr>
          <w:i/>
          <w:lang w:val="de-DE"/>
        </w:rPr>
        <w:t>J Clin Oncol</w:t>
      </w:r>
      <w:r w:rsidRPr="00B4061E">
        <w:rPr>
          <w:lang w:val="de-DE"/>
        </w:rPr>
        <w:t xml:space="preserve"> 2006 Feb 10; </w:t>
      </w:r>
      <w:r w:rsidRPr="00B4061E">
        <w:rPr>
          <w:b/>
          <w:lang w:val="de-DE"/>
        </w:rPr>
        <w:t>24</w:t>
      </w:r>
      <w:r w:rsidRPr="00B4061E">
        <w:rPr>
          <w:lang w:val="de-DE"/>
        </w:rPr>
        <w:t>(5)</w:t>
      </w:r>
      <w:r w:rsidRPr="00B4061E">
        <w:rPr>
          <w:b/>
          <w:lang w:val="de-DE"/>
        </w:rPr>
        <w:t>:</w:t>
      </w:r>
      <w:r w:rsidRPr="00B4061E">
        <w:rPr>
          <w:lang w:val="de-DE"/>
        </w:rPr>
        <w:t xml:space="preserve"> 790-797.</w:t>
      </w:r>
    </w:p>
    <w:p w14:paraId="557BF111" w14:textId="77777777" w:rsidR="00DD142B" w:rsidRPr="00B4061E" w:rsidRDefault="00DD142B">
      <w:pPr>
        <w:pStyle w:val="EndNoteBibliography"/>
        <w:spacing w:after="240"/>
        <w:rPr>
          <w:lang w:val="de-DE"/>
        </w:rPr>
      </w:pPr>
    </w:p>
    <w:p w14:paraId="0EDC06F3" w14:textId="77777777" w:rsidR="00DD142B" w:rsidRPr="00B4061E" w:rsidRDefault="00F23CC1">
      <w:pPr>
        <w:pStyle w:val="EndNoteBibliography"/>
        <w:rPr>
          <w:lang w:val="de-DE"/>
        </w:rPr>
      </w:pPr>
      <w:r w:rsidRPr="00B4061E">
        <w:rPr>
          <w:lang w:val="de-DE"/>
        </w:rPr>
        <w:t>32.</w:t>
      </w:r>
      <w:r w:rsidRPr="00B4061E">
        <w:rPr>
          <w:lang w:val="de-DE"/>
        </w:rPr>
        <w:tab/>
        <w:t>Heuser M, Beutel G, Krauter J, Dohner K, von Neuhoff N, Schlegelberger B</w:t>
      </w:r>
      <w:r w:rsidRPr="00B4061E">
        <w:rPr>
          <w:i/>
          <w:lang w:val="de-DE"/>
        </w:rPr>
        <w:t>, et al.</w:t>
      </w:r>
      <w:r w:rsidRPr="00B4061E">
        <w:rPr>
          <w:lang w:val="de-DE"/>
        </w:rPr>
        <w:t xml:space="preserve"> </w:t>
      </w:r>
      <w:r>
        <w:t xml:space="preserve">High meningioma 1 (MN1) expression as a predictor for poor outcome in acute myeloid leukemia with normal cytogenetics. </w:t>
      </w:r>
      <w:r w:rsidRPr="00B4061E">
        <w:rPr>
          <w:i/>
          <w:lang w:val="de-DE"/>
        </w:rPr>
        <w:t>Blood</w:t>
      </w:r>
      <w:r w:rsidRPr="00B4061E">
        <w:rPr>
          <w:lang w:val="de-DE"/>
        </w:rPr>
        <w:t xml:space="preserve"> 2006 Dec 1; </w:t>
      </w:r>
      <w:r w:rsidRPr="00B4061E">
        <w:rPr>
          <w:b/>
          <w:lang w:val="de-DE"/>
        </w:rPr>
        <w:t>108</w:t>
      </w:r>
      <w:r w:rsidRPr="00B4061E">
        <w:rPr>
          <w:lang w:val="de-DE"/>
        </w:rPr>
        <w:t>(12)</w:t>
      </w:r>
      <w:r w:rsidRPr="00B4061E">
        <w:rPr>
          <w:b/>
          <w:lang w:val="de-DE"/>
        </w:rPr>
        <w:t>:</w:t>
      </w:r>
      <w:r w:rsidRPr="00B4061E">
        <w:rPr>
          <w:lang w:val="de-DE"/>
        </w:rPr>
        <w:t xml:space="preserve"> 3898-3905.</w:t>
      </w:r>
    </w:p>
    <w:p w14:paraId="2A034FBA" w14:textId="77777777" w:rsidR="00DD142B" w:rsidRPr="00B4061E" w:rsidRDefault="00DD142B">
      <w:pPr>
        <w:pStyle w:val="EndNoteBibliography"/>
        <w:spacing w:after="240"/>
        <w:rPr>
          <w:lang w:val="de-DE"/>
        </w:rPr>
      </w:pPr>
    </w:p>
    <w:p w14:paraId="5C1655EE" w14:textId="77777777" w:rsidR="00DD142B" w:rsidRDefault="00F23CC1">
      <w:pPr>
        <w:pStyle w:val="EndNoteBibliography"/>
      </w:pPr>
      <w:r w:rsidRPr="00B4061E">
        <w:rPr>
          <w:lang w:val="de-DE"/>
        </w:rPr>
        <w:t>33.</w:t>
      </w:r>
      <w:r w:rsidRPr="00B4061E">
        <w:rPr>
          <w:lang w:val="de-DE"/>
        </w:rPr>
        <w:tab/>
        <w:t>Hattori A, Tsunoda M, Konuma T, Kobayashi M, Nagy T, Glushka J</w:t>
      </w:r>
      <w:r w:rsidRPr="00B4061E">
        <w:rPr>
          <w:i/>
          <w:lang w:val="de-DE"/>
        </w:rPr>
        <w:t>, et al.</w:t>
      </w:r>
      <w:r w:rsidRPr="00B4061E">
        <w:rPr>
          <w:lang w:val="de-DE"/>
        </w:rPr>
        <w:t xml:space="preserve"> </w:t>
      </w:r>
      <w:r>
        <w:t xml:space="preserve">Cancer progression by reprogrammed BCAA metabolism in myeloid leukaemia. </w:t>
      </w:r>
      <w:r>
        <w:rPr>
          <w:i/>
        </w:rPr>
        <w:t>Nature</w:t>
      </w:r>
      <w:r>
        <w:t xml:space="preserve"> 2017 May 25; </w:t>
      </w:r>
      <w:r>
        <w:rPr>
          <w:b/>
        </w:rPr>
        <w:t>545</w:t>
      </w:r>
      <w:r>
        <w:t>(7655)</w:t>
      </w:r>
      <w:r>
        <w:rPr>
          <w:b/>
        </w:rPr>
        <w:t>:</w:t>
      </w:r>
      <w:r>
        <w:t xml:space="preserve"> 500-504.</w:t>
      </w:r>
    </w:p>
    <w:p w14:paraId="5FEB709D" w14:textId="77777777" w:rsidR="00DD142B" w:rsidRDefault="00DD142B">
      <w:pPr>
        <w:pStyle w:val="EndNoteBibliography"/>
        <w:spacing w:after="240"/>
      </w:pPr>
    </w:p>
    <w:p w14:paraId="664C191D" w14:textId="77777777" w:rsidR="00DD142B" w:rsidRDefault="00F23CC1">
      <w:pPr>
        <w:pStyle w:val="EndNoteBibliography"/>
      </w:pPr>
      <w:r>
        <w:t>34.</w:t>
      </w:r>
      <w:r>
        <w:tab/>
        <w:t>Garrison BS, Rybak AP, Beerman I, Heesters B, Mercier FE, Scadden DT</w:t>
      </w:r>
      <w:r>
        <w:rPr>
          <w:i/>
        </w:rPr>
        <w:t>, et al.</w:t>
      </w:r>
      <w:r>
        <w:t xml:space="preserve"> ZFP521 regulates murine hematopoietic stem cell function and facilitates MLL-AF9 leukemogenesis in mouse and human cells. </w:t>
      </w:r>
      <w:r>
        <w:rPr>
          <w:i/>
        </w:rPr>
        <w:t>Blood</w:t>
      </w:r>
      <w:r>
        <w:t xml:space="preserve"> 2017 Aug 03; </w:t>
      </w:r>
      <w:r>
        <w:rPr>
          <w:b/>
        </w:rPr>
        <w:t>130</w:t>
      </w:r>
      <w:r>
        <w:t>(5)</w:t>
      </w:r>
      <w:r>
        <w:rPr>
          <w:b/>
        </w:rPr>
        <w:t>:</w:t>
      </w:r>
      <w:r>
        <w:t xml:space="preserve"> 619-624.</w:t>
      </w:r>
    </w:p>
    <w:p w14:paraId="106C64D3" w14:textId="77777777" w:rsidR="00DD142B" w:rsidRDefault="00DD142B">
      <w:pPr>
        <w:pStyle w:val="EndNoteBibliography"/>
        <w:spacing w:after="240"/>
      </w:pPr>
    </w:p>
    <w:p w14:paraId="2964ACB9" w14:textId="77777777" w:rsidR="00DD142B" w:rsidRPr="00B4061E" w:rsidRDefault="00F23CC1">
      <w:pPr>
        <w:pStyle w:val="EndNoteBibliography"/>
        <w:rPr>
          <w:lang w:val="de-DE"/>
        </w:rPr>
      </w:pPr>
      <w:r>
        <w:t>35.</w:t>
      </w:r>
      <w:r>
        <w:tab/>
        <w:t>Ng SW, Mitchell A, Kennedy JA, Chen WC, McLeod J, Ibrahimova N</w:t>
      </w:r>
      <w:r>
        <w:rPr>
          <w:i/>
        </w:rPr>
        <w:t>, et al.</w:t>
      </w:r>
      <w:r>
        <w:t xml:space="preserve"> A 17-gene stemness score for rapid determination of risk in acute leukaemia. </w:t>
      </w:r>
      <w:r w:rsidRPr="00B4061E">
        <w:rPr>
          <w:i/>
          <w:lang w:val="de-DE"/>
        </w:rPr>
        <w:t>Nature</w:t>
      </w:r>
      <w:r w:rsidRPr="00B4061E">
        <w:rPr>
          <w:lang w:val="de-DE"/>
        </w:rPr>
        <w:t xml:space="preserve"> 2016 Dec 15; </w:t>
      </w:r>
      <w:r w:rsidRPr="00B4061E">
        <w:rPr>
          <w:b/>
          <w:lang w:val="de-DE"/>
        </w:rPr>
        <w:t>540</w:t>
      </w:r>
      <w:r w:rsidRPr="00B4061E">
        <w:rPr>
          <w:lang w:val="de-DE"/>
        </w:rPr>
        <w:t>(7633)</w:t>
      </w:r>
      <w:r w:rsidRPr="00B4061E">
        <w:rPr>
          <w:b/>
          <w:lang w:val="de-DE"/>
        </w:rPr>
        <w:t>:</w:t>
      </w:r>
      <w:r w:rsidRPr="00B4061E">
        <w:rPr>
          <w:lang w:val="de-DE"/>
        </w:rPr>
        <w:t xml:space="preserve"> 433-437.</w:t>
      </w:r>
    </w:p>
    <w:p w14:paraId="16430648" w14:textId="77777777" w:rsidR="00DD142B" w:rsidRPr="00B4061E" w:rsidRDefault="00DD142B">
      <w:pPr>
        <w:pStyle w:val="EndNoteBibliography"/>
        <w:spacing w:after="240"/>
        <w:rPr>
          <w:lang w:val="de-DE"/>
        </w:rPr>
      </w:pPr>
    </w:p>
    <w:p w14:paraId="2454C02A" w14:textId="77777777" w:rsidR="00DD142B" w:rsidRDefault="00F23CC1">
      <w:pPr>
        <w:pStyle w:val="EndNoteBibliography"/>
      </w:pPr>
      <w:r w:rsidRPr="00B4061E">
        <w:rPr>
          <w:lang w:val="de-DE"/>
        </w:rPr>
        <w:t>36.</w:t>
      </w:r>
      <w:r w:rsidRPr="00B4061E">
        <w:rPr>
          <w:lang w:val="de-DE"/>
        </w:rPr>
        <w:tab/>
        <w:t>Stelljes M, Krug U, Beelen DW, Braess J, Sauerland MC, Heinecke A</w:t>
      </w:r>
      <w:r w:rsidRPr="00B4061E">
        <w:rPr>
          <w:i/>
          <w:lang w:val="de-DE"/>
        </w:rPr>
        <w:t>, et al.</w:t>
      </w:r>
      <w:r w:rsidRPr="00B4061E">
        <w:rPr>
          <w:lang w:val="de-DE"/>
        </w:rPr>
        <w:t xml:space="preserve"> </w:t>
      </w:r>
      <w:r>
        <w:t xml:space="preserve">Allogeneic transplantation versus chemotherapy as postremission therapy for acute myeloid leukemia: a prospective matched pairs analysis. </w:t>
      </w:r>
      <w:r>
        <w:rPr>
          <w:i/>
        </w:rPr>
        <w:t>J Clin Oncol</w:t>
      </w:r>
      <w:r>
        <w:t xml:space="preserve"> 2014 Feb 1; </w:t>
      </w:r>
      <w:r>
        <w:rPr>
          <w:b/>
        </w:rPr>
        <w:t>32</w:t>
      </w:r>
      <w:r>
        <w:t>(4)</w:t>
      </w:r>
      <w:r>
        <w:rPr>
          <w:b/>
        </w:rPr>
        <w:t>:</w:t>
      </w:r>
      <w:r>
        <w:t xml:space="preserve"> 288-296.</w:t>
      </w:r>
    </w:p>
    <w:p w14:paraId="625CD416" w14:textId="77777777" w:rsidR="00DD142B" w:rsidRDefault="00DD142B">
      <w:pPr>
        <w:pStyle w:val="EndNoteBibliography"/>
        <w:spacing w:after="240"/>
      </w:pPr>
    </w:p>
    <w:p w14:paraId="1E413F1D" w14:textId="77777777" w:rsidR="00DD142B" w:rsidRDefault="00F23CC1">
      <w:pPr>
        <w:pStyle w:val="EndNoteBibliography"/>
      </w:pPr>
      <w:r>
        <w:t>37.</w:t>
      </w:r>
      <w:r>
        <w:tab/>
        <w:t xml:space="preserve">Marino R, Struck J, Maisel AS, Magrini L, Bergmann A, Di Somma S. Plasma adrenomedullin is associated with short-term mortality and vasopressor requirement in patients admitted with sepsis. </w:t>
      </w:r>
      <w:r>
        <w:rPr>
          <w:i/>
        </w:rPr>
        <w:t>Crit Care</w:t>
      </w:r>
      <w:r>
        <w:t xml:space="preserve"> 2014 Feb 17; </w:t>
      </w:r>
      <w:r>
        <w:rPr>
          <w:b/>
        </w:rPr>
        <w:t>18</w:t>
      </w:r>
      <w:r>
        <w:t>(1)</w:t>
      </w:r>
      <w:r>
        <w:rPr>
          <w:b/>
        </w:rPr>
        <w:t>:</w:t>
      </w:r>
      <w:r>
        <w:t xml:space="preserve"> R34.</w:t>
      </w:r>
    </w:p>
    <w:p w14:paraId="481EFD52" w14:textId="77777777" w:rsidR="00DD142B" w:rsidRDefault="00DD142B">
      <w:pPr>
        <w:pStyle w:val="EndNoteBibliography"/>
        <w:spacing w:after="240"/>
      </w:pPr>
    </w:p>
    <w:p w14:paraId="67E91F0F" w14:textId="77777777" w:rsidR="00DD142B" w:rsidRDefault="00F23CC1">
      <w:pPr>
        <w:pStyle w:val="EndNoteBibliography"/>
      </w:pPr>
      <w:r>
        <w:t>38.</w:t>
      </w:r>
      <w:r>
        <w:tab/>
        <w:t>Koyama T, Ochoa-Callejero L, Sakurai T, Kamiyoshi A, Ichikawa-Shindo Y, Iinuma N</w:t>
      </w:r>
      <w:r>
        <w:rPr>
          <w:i/>
        </w:rPr>
        <w:t>, et al.</w:t>
      </w:r>
      <w:r>
        <w:t xml:space="preserve"> Vascular endothelial adrenomedullin-RAMP2 system is essential for vascular integrity and organ homeostasis. </w:t>
      </w:r>
      <w:r>
        <w:rPr>
          <w:i/>
        </w:rPr>
        <w:t>Circulation</w:t>
      </w:r>
      <w:r>
        <w:t xml:space="preserve"> 2013 Feb 19; </w:t>
      </w:r>
      <w:r>
        <w:rPr>
          <w:b/>
        </w:rPr>
        <w:t>127</w:t>
      </w:r>
      <w:r>
        <w:t>(7)</w:t>
      </w:r>
      <w:r>
        <w:rPr>
          <w:b/>
        </w:rPr>
        <w:t>:</w:t>
      </w:r>
      <w:r>
        <w:t xml:space="preserve"> 842-853.</w:t>
      </w:r>
    </w:p>
    <w:p w14:paraId="75596E58" w14:textId="77777777" w:rsidR="00DD142B" w:rsidRDefault="00DD142B">
      <w:pPr>
        <w:pStyle w:val="EndNoteBibliography"/>
        <w:spacing w:after="240"/>
      </w:pPr>
    </w:p>
    <w:p w14:paraId="02EB1564" w14:textId="77777777" w:rsidR="00DD142B" w:rsidRDefault="00F23CC1">
      <w:pPr>
        <w:pStyle w:val="EndNoteBibliography"/>
      </w:pPr>
      <w:r>
        <w:t>39.</w:t>
      </w:r>
      <w:r>
        <w:tab/>
        <w:t>Nikitenko LL, Leek R, Henderson S, Pillay N, Turley H, Generali D</w:t>
      </w:r>
      <w:r>
        <w:rPr>
          <w:i/>
        </w:rPr>
        <w:t>, et al.</w:t>
      </w:r>
      <w:r>
        <w:t xml:space="preserve"> The G-protein-coupled receptor CLR is upregulated in an autocrine loop with adrenomedullin in clear cell renal cell carcinoma and associated with poor prognosis. </w:t>
      </w:r>
      <w:r>
        <w:rPr>
          <w:i/>
        </w:rPr>
        <w:t>Clin Cancer Res</w:t>
      </w:r>
      <w:r>
        <w:t xml:space="preserve"> 2013 Oct 15; </w:t>
      </w:r>
      <w:r>
        <w:rPr>
          <w:b/>
        </w:rPr>
        <w:t>19</w:t>
      </w:r>
      <w:r>
        <w:t>(20)</w:t>
      </w:r>
      <w:r>
        <w:rPr>
          <w:b/>
        </w:rPr>
        <w:t>:</w:t>
      </w:r>
      <w:r>
        <w:t xml:space="preserve"> 5740-5748.</w:t>
      </w:r>
    </w:p>
    <w:p w14:paraId="0FA054B4" w14:textId="77777777" w:rsidR="00DD142B" w:rsidRDefault="00DD142B">
      <w:pPr>
        <w:pStyle w:val="EndNoteBibliography"/>
        <w:spacing w:after="240"/>
      </w:pPr>
    </w:p>
    <w:p w14:paraId="14DE39CA" w14:textId="77777777" w:rsidR="00DD142B" w:rsidRDefault="00F23CC1">
      <w:pPr>
        <w:pStyle w:val="EndNoteBibliography"/>
      </w:pPr>
      <w:r>
        <w:t>40.</w:t>
      </w:r>
      <w:r>
        <w:tab/>
        <w:t>Martinez A, Vos M, Guedez L, Kaur G, Chen Z, Garayoa M</w:t>
      </w:r>
      <w:r>
        <w:rPr>
          <w:i/>
        </w:rPr>
        <w:t>, et al.</w:t>
      </w:r>
      <w:r>
        <w:t xml:space="preserve"> The effects of adrenomedullin overexpression in breast tumor cells. </w:t>
      </w:r>
      <w:r>
        <w:rPr>
          <w:i/>
        </w:rPr>
        <w:t>J Natl Cancer Inst</w:t>
      </w:r>
      <w:r>
        <w:t xml:space="preserve"> 2002 Aug 21; </w:t>
      </w:r>
      <w:r>
        <w:rPr>
          <w:b/>
        </w:rPr>
        <w:t>94</w:t>
      </w:r>
      <w:r>
        <w:t>(16)</w:t>
      </w:r>
      <w:r>
        <w:rPr>
          <w:b/>
        </w:rPr>
        <w:t>:</w:t>
      </w:r>
      <w:r>
        <w:t xml:space="preserve"> 1226-1237.</w:t>
      </w:r>
    </w:p>
    <w:p w14:paraId="2C5BADEF" w14:textId="77777777" w:rsidR="00DD142B" w:rsidRDefault="00DD142B">
      <w:pPr>
        <w:pStyle w:val="EndNoteBibliography"/>
        <w:spacing w:after="240"/>
      </w:pPr>
    </w:p>
    <w:p w14:paraId="542C8277" w14:textId="77777777" w:rsidR="00DD142B" w:rsidRDefault="00F23CC1">
      <w:pPr>
        <w:pStyle w:val="EndNoteBibliography"/>
      </w:pPr>
      <w:r>
        <w:t>41.</w:t>
      </w:r>
      <w:r>
        <w:tab/>
        <w:t xml:space="preserve">Oehler MK, Hague S, Rees MC, Bicknell R. Adrenomedullin promotes formation of xenografted endometrial tumors by stimulation of autocrine growth and angiogenesis. </w:t>
      </w:r>
      <w:r>
        <w:rPr>
          <w:i/>
        </w:rPr>
        <w:t>Oncogene</w:t>
      </w:r>
      <w:r>
        <w:t xml:space="preserve"> 2002 Apr 25; </w:t>
      </w:r>
      <w:r>
        <w:rPr>
          <w:b/>
        </w:rPr>
        <w:t>21</w:t>
      </w:r>
      <w:r>
        <w:t>(18)</w:t>
      </w:r>
      <w:r>
        <w:rPr>
          <w:b/>
        </w:rPr>
        <w:t>:</w:t>
      </w:r>
      <w:r>
        <w:t xml:space="preserve"> 2815-2821.</w:t>
      </w:r>
    </w:p>
    <w:p w14:paraId="4A95E480" w14:textId="77777777" w:rsidR="00DD142B" w:rsidRDefault="00DD142B">
      <w:pPr>
        <w:pStyle w:val="EndNoteBibliography"/>
        <w:spacing w:after="240"/>
      </w:pPr>
    </w:p>
    <w:p w14:paraId="736BD119" w14:textId="77777777" w:rsidR="00DD142B" w:rsidRDefault="00F23CC1">
      <w:pPr>
        <w:pStyle w:val="EndNoteBibliography"/>
      </w:pPr>
      <w:r>
        <w:t>42.</w:t>
      </w:r>
      <w:r>
        <w:tab/>
        <w:t>Dong J, He Y, Zhang X, Wang L, Sun T, Zhang M</w:t>
      </w:r>
      <w:r>
        <w:rPr>
          <w:i/>
        </w:rPr>
        <w:t>, et al.</w:t>
      </w:r>
      <w:r>
        <w:t xml:space="preserve"> Calcitonin gene-related peptide regulates the growth of epidermal stem cells in vitro. </w:t>
      </w:r>
      <w:r>
        <w:rPr>
          <w:i/>
        </w:rPr>
        <w:t>Peptides</w:t>
      </w:r>
      <w:r>
        <w:t xml:space="preserve"> 2010 Oct; </w:t>
      </w:r>
      <w:r>
        <w:rPr>
          <w:b/>
        </w:rPr>
        <w:t>31</w:t>
      </w:r>
      <w:r>
        <w:t>(10)</w:t>
      </w:r>
      <w:r>
        <w:rPr>
          <w:b/>
        </w:rPr>
        <w:t>:</w:t>
      </w:r>
      <w:r>
        <w:t xml:space="preserve"> 1860-1865.</w:t>
      </w:r>
    </w:p>
    <w:p w14:paraId="0A419AAE" w14:textId="77777777" w:rsidR="00DD142B" w:rsidRDefault="00DD142B">
      <w:pPr>
        <w:pStyle w:val="EndNoteBibliography"/>
        <w:spacing w:after="240"/>
      </w:pPr>
    </w:p>
    <w:p w14:paraId="11D7BC96" w14:textId="77777777" w:rsidR="00DD142B" w:rsidRPr="00B4061E" w:rsidRDefault="00F23CC1">
      <w:pPr>
        <w:pStyle w:val="EndNoteBibliography"/>
        <w:rPr>
          <w:lang w:val="de-DE"/>
        </w:rPr>
      </w:pPr>
      <w:r>
        <w:t>43.</w:t>
      </w:r>
      <w:r>
        <w:tab/>
        <w:t xml:space="preserve">Martinez-Herrero S, Larrayoz IM, Ochoa-Callejero L, Garcia-Sanmartin J, Martinez A. Adrenomedullin as a growth and cell fate regulatory factor for adult neural stem cells. </w:t>
      </w:r>
      <w:r w:rsidRPr="00B4061E">
        <w:rPr>
          <w:i/>
          <w:lang w:val="de-DE"/>
        </w:rPr>
        <w:t>Stem Cells Int</w:t>
      </w:r>
      <w:r w:rsidRPr="00B4061E">
        <w:rPr>
          <w:lang w:val="de-DE"/>
        </w:rPr>
        <w:t xml:space="preserve"> 2012; </w:t>
      </w:r>
      <w:r w:rsidRPr="00B4061E">
        <w:rPr>
          <w:b/>
          <w:lang w:val="de-DE"/>
        </w:rPr>
        <w:t>2012:</w:t>
      </w:r>
      <w:r w:rsidRPr="00B4061E">
        <w:rPr>
          <w:lang w:val="de-DE"/>
        </w:rPr>
        <w:t xml:space="preserve"> 804717.</w:t>
      </w:r>
    </w:p>
    <w:p w14:paraId="1C6A82E3" w14:textId="77777777" w:rsidR="00DD142B" w:rsidRPr="00B4061E" w:rsidRDefault="00DD142B">
      <w:pPr>
        <w:pStyle w:val="EndNoteBibliography"/>
        <w:spacing w:after="240"/>
        <w:rPr>
          <w:lang w:val="de-DE"/>
        </w:rPr>
      </w:pPr>
    </w:p>
    <w:p w14:paraId="3D2C0160" w14:textId="77777777" w:rsidR="00DD142B" w:rsidRDefault="00F23CC1">
      <w:pPr>
        <w:pStyle w:val="EndNoteBibliography"/>
      </w:pPr>
      <w:r w:rsidRPr="00B4061E">
        <w:rPr>
          <w:lang w:val="de-DE"/>
        </w:rPr>
        <w:t>44.</w:t>
      </w:r>
      <w:r w:rsidRPr="00B4061E">
        <w:rPr>
          <w:lang w:val="de-DE"/>
        </w:rPr>
        <w:tab/>
        <w:t>Padro T, Ruiz S, Bieker R, Burger H, Steins M, Kienast J</w:t>
      </w:r>
      <w:r w:rsidRPr="00B4061E">
        <w:rPr>
          <w:i/>
          <w:lang w:val="de-DE"/>
        </w:rPr>
        <w:t>, et al.</w:t>
      </w:r>
      <w:r w:rsidRPr="00B4061E">
        <w:rPr>
          <w:lang w:val="de-DE"/>
        </w:rPr>
        <w:t xml:space="preserve"> </w:t>
      </w:r>
      <w:r>
        <w:t xml:space="preserve">Increased angiogenesis in the bone marrow of patients with acute myeloid leukemia. </w:t>
      </w:r>
      <w:r>
        <w:rPr>
          <w:i/>
        </w:rPr>
        <w:t>Blood</w:t>
      </w:r>
      <w:r>
        <w:t xml:space="preserve"> 2000 Apr 15; </w:t>
      </w:r>
      <w:r>
        <w:rPr>
          <w:b/>
        </w:rPr>
        <w:t>95</w:t>
      </w:r>
      <w:r>
        <w:t>(8)</w:t>
      </w:r>
      <w:r>
        <w:rPr>
          <w:b/>
        </w:rPr>
        <w:t>:</w:t>
      </w:r>
      <w:r>
        <w:t xml:space="preserve"> 2637-2644.</w:t>
      </w:r>
    </w:p>
    <w:p w14:paraId="5C3DA195" w14:textId="77777777" w:rsidR="00DD142B" w:rsidRDefault="00DD142B">
      <w:pPr>
        <w:pStyle w:val="EndNoteBibliography"/>
        <w:spacing w:after="240"/>
      </w:pPr>
    </w:p>
    <w:p w14:paraId="436CA593" w14:textId="77777777" w:rsidR="00DD142B" w:rsidRDefault="00F23CC1">
      <w:pPr>
        <w:pStyle w:val="EndNoteBibliography"/>
      </w:pPr>
      <w:r>
        <w:t>45.</w:t>
      </w:r>
      <w:r>
        <w:tab/>
        <w:t>Passaro D, Di Tullio A, Abarrategi A, Rouault-Pierre K, Foster K, Ariza-McNaughton L</w:t>
      </w:r>
      <w:r>
        <w:rPr>
          <w:i/>
        </w:rPr>
        <w:t>, et al.</w:t>
      </w:r>
      <w:r>
        <w:t xml:space="preserve"> Increased Vascular Permeability in the Bone Marrow Microenvironment Contributes to Disease Progression and Drug Response in Acute Myeloid Leukemia. </w:t>
      </w:r>
      <w:r>
        <w:rPr>
          <w:i/>
        </w:rPr>
        <w:t>Cancer Cell</w:t>
      </w:r>
      <w:r>
        <w:t xml:space="preserve"> 2017 Sep 11; </w:t>
      </w:r>
      <w:r>
        <w:rPr>
          <w:b/>
        </w:rPr>
        <w:t>32</w:t>
      </w:r>
      <w:r>
        <w:t>(3)</w:t>
      </w:r>
      <w:r>
        <w:rPr>
          <w:b/>
        </w:rPr>
        <w:t>:</w:t>
      </w:r>
      <w:r>
        <w:t xml:space="preserve"> 324-341 e326.</w:t>
      </w:r>
    </w:p>
    <w:p w14:paraId="3A18C714" w14:textId="77777777" w:rsidR="00DD142B" w:rsidRDefault="00DD142B">
      <w:pPr>
        <w:pStyle w:val="EndNoteBibliography"/>
        <w:spacing w:after="240"/>
      </w:pPr>
    </w:p>
    <w:p w14:paraId="639A1977" w14:textId="77777777" w:rsidR="00DD142B" w:rsidRPr="00B4061E" w:rsidRDefault="00F23CC1">
      <w:pPr>
        <w:pStyle w:val="EndNoteBibliography"/>
        <w:rPr>
          <w:lang w:val="de-DE"/>
        </w:rPr>
      </w:pPr>
      <w:r>
        <w:t>46.</w:t>
      </w:r>
      <w:r>
        <w:tab/>
        <w:t xml:space="preserve">Schepers K, Campbell TB, Passegue E. Normal and leukemic stem cell niches: insights and therapeutic opportunities. </w:t>
      </w:r>
      <w:r w:rsidRPr="00B4061E">
        <w:rPr>
          <w:i/>
          <w:lang w:val="de-DE"/>
        </w:rPr>
        <w:t>Cell Stem Cell</w:t>
      </w:r>
      <w:r w:rsidRPr="00B4061E">
        <w:rPr>
          <w:lang w:val="de-DE"/>
        </w:rPr>
        <w:t xml:space="preserve"> 2015 Mar 05; </w:t>
      </w:r>
      <w:r w:rsidRPr="00B4061E">
        <w:rPr>
          <w:b/>
          <w:lang w:val="de-DE"/>
        </w:rPr>
        <w:t>16</w:t>
      </w:r>
      <w:r w:rsidRPr="00B4061E">
        <w:rPr>
          <w:lang w:val="de-DE"/>
        </w:rPr>
        <w:t>(3)</w:t>
      </w:r>
      <w:r w:rsidRPr="00B4061E">
        <w:rPr>
          <w:b/>
          <w:lang w:val="de-DE"/>
        </w:rPr>
        <w:t>:</w:t>
      </w:r>
      <w:r w:rsidRPr="00B4061E">
        <w:rPr>
          <w:lang w:val="de-DE"/>
        </w:rPr>
        <w:t xml:space="preserve"> 254-267.</w:t>
      </w:r>
    </w:p>
    <w:p w14:paraId="29CFC3D9" w14:textId="77777777" w:rsidR="00DD142B" w:rsidRPr="00B4061E" w:rsidRDefault="00DD142B">
      <w:pPr>
        <w:pStyle w:val="EndNoteBibliography"/>
        <w:spacing w:after="240"/>
        <w:rPr>
          <w:lang w:val="de-DE"/>
        </w:rPr>
      </w:pPr>
    </w:p>
    <w:p w14:paraId="2299189A" w14:textId="77777777" w:rsidR="00DD142B" w:rsidRDefault="00F23CC1">
      <w:pPr>
        <w:pStyle w:val="EndNoteBibliography"/>
      </w:pPr>
      <w:r w:rsidRPr="00B4061E">
        <w:rPr>
          <w:lang w:val="de-DE"/>
        </w:rPr>
        <w:t>47.</w:t>
      </w:r>
      <w:r w:rsidRPr="00B4061E">
        <w:rPr>
          <w:lang w:val="de-DE"/>
        </w:rPr>
        <w:tab/>
        <w:t>Schliemann C, Bieker R, Padro T, Kessler T, Hintelmann H, Buchner T</w:t>
      </w:r>
      <w:r w:rsidRPr="00B4061E">
        <w:rPr>
          <w:i/>
          <w:lang w:val="de-DE"/>
        </w:rPr>
        <w:t>, et al.</w:t>
      </w:r>
      <w:r w:rsidRPr="00B4061E">
        <w:rPr>
          <w:lang w:val="de-DE"/>
        </w:rPr>
        <w:t xml:space="preserve"> </w:t>
      </w:r>
      <w:r>
        <w:t xml:space="preserve">Expression of angiopoietins and their receptor Tie2 in the bone marrow of patients with acute myeloid leukemia. </w:t>
      </w:r>
      <w:r>
        <w:rPr>
          <w:i/>
        </w:rPr>
        <w:t>Haematologica</w:t>
      </w:r>
      <w:r>
        <w:t xml:space="preserve"> 2006 Sep; </w:t>
      </w:r>
      <w:r>
        <w:rPr>
          <w:b/>
        </w:rPr>
        <w:t>91</w:t>
      </w:r>
      <w:r>
        <w:t>(9)</w:t>
      </w:r>
      <w:r>
        <w:rPr>
          <w:b/>
        </w:rPr>
        <w:t>:</w:t>
      </w:r>
      <w:r>
        <w:t xml:space="preserve"> 1203-1211.</w:t>
      </w:r>
    </w:p>
    <w:p w14:paraId="66518B55" w14:textId="77777777" w:rsidR="00DD142B" w:rsidRDefault="00DD142B">
      <w:pPr>
        <w:pStyle w:val="EndNoteBibliography"/>
        <w:spacing w:after="240"/>
      </w:pPr>
    </w:p>
    <w:p w14:paraId="615B2F57" w14:textId="77777777" w:rsidR="00DD142B" w:rsidRDefault="00F23CC1">
      <w:pPr>
        <w:pStyle w:val="EndNoteBibliography"/>
      </w:pPr>
      <w:r>
        <w:t>48.</w:t>
      </w:r>
      <w:r>
        <w:tab/>
        <w:t>Dias S, Hattori K, Zhu Z, Heissig B, Choy M, Lane W</w:t>
      </w:r>
      <w:r>
        <w:rPr>
          <w:i/>
        </w:rPr>
        <w:t>, et al.</w:t>
      </w:r>
      <w:r>
        <w:t xml:space="preserve"> Autocrine stimulation of VEGFR-2 activates human leukemic cell growth and migration. </w:t>
      </w:r>
      <w:r>
        <w:rPr>
          <w:i/>
        </w:rPr>
        <w:t>J Clin Invest</w:t>
      </w:r>
      <w:r>
        <w:t xml:space="preserve"> 2000 Aug; </w:t>
      </w:r>
      <w:r>
        <w:rPr>
          <w:b/>
        </w:rPr>
        <w:t>106</w:t>
      </w:r>
      <w:r>
        <w:t>(4)</w:t>
      </w:r>
      <w:r>
        <w:rPr>
          <w:b/>
        </w:rPr>
        <w:t>:</w:t>
      </w:r>
      <w:r>
        <w:t xml:space="preserve"> 511-521.</w:t>
      </w:r>
    </w:p>
    <w:p w14:paraId="0234194A" w14:textId="77777777" w:rsidR="00DD142B" w:rsidRDefault="00DD142B">
      <w:pPr>
        <w:pStyle w:val="EndNoteBibliography"/>
        <w:spacing w:after="240"/>
      </w:pPr>
    </w:p>
    <w:p w14:paraId="23BAE8F4" w14:textId="77777777" w:rsidR="00DD142B" w:rsidRDefault="00F23CC1">
      <w:pPr>
        <w:pStyle w:val="EndNoteBibliography"/>
      </w:pPr>
      <w:r>
        <w:t>49.</w:t>
      </w:r>
      <w:r>
        <w:tab/>
        <w:t>Papaioannou D, Shen C, Nicolet D, McNeil B, Bill M, Karunasiri M</w:t>
      </w:r>
      <w:r>
        <w:rPr>
          <w:i/>
        </w:rPr>
        <w:t>, et al.</w:t>
      </w:r>
      <w:r>
        <w:t xml:space="preserve"> Prognostic and biological significance of the proangiogenic factor EGFL7 in acute myeloid leukemia. </w:t>
      </w:r>
      <w:r>
        <w:rPr>
          <w:i/>
        </w:rPr>
        <w:t>Proc Natl Acad Sci U S A</w:t>
      </w:r>
      <w:r>
        <w:t xml:space="preserve"> 2017 Jun 06; </w:t>
      </w:r>
      <w:r>
        <w:rPr>
          <w:b/>
        </w:rPr>
        <w:t>114</w:t>
      </w:r>
      <w:r>
        <w:t>(23)</w:t>
      </w:r>
      <w:r>
        <w:rPr>
          <w:b/>
        </w:rPr>
        <w:t>:</w:t>
      </w:r>
      <w:r>
        <w:t xml:space="preserve"> E4641-E4647.</w:t>
      </w:r>
    </w:p>
    <w:p w14:paraId="54878D8B" w14:textId="77777777" w:rsidR="00DD142B" w:rsidRDefault="00DD142B">
      <w:pPr>
        <w:pStyle w:val="EndNoteBibliography"/>
        <w:spacing w:after="240"/>
      </w:pPr>
    </w:p>
    <w:p w14:paraId="6F4DE11D" w14:textId="77777777" w:rsidR="00DD142B" w:rsidRDefault="00F23CC1">
      <w:pPr>
        <w:pStyle w:val="EndNoteBibliography"/>
      </w:pPr>
      <w:r>
        <w:t>50.</w:t>
      </w:r>
      <w:r>
        <w:tab/>
        <w:t>Di Liddo R, Bridi D, Gottardi M, De Angeli S, Grandi C, Tasso A</w:t>
      </w:r>
      <w:r>
        <w:rPr>
          <w:i/>
        </w:rPr>
        <w:t>, et al.</w:t>
      </w:r>
      <w:r>
        <w:t xml:space="preserve"> Adrenomedullin in the growth modulation and differentiation of acute myeloid leukemia cells. </w:t>
      </w:r>
      <w:r>
        <w:rPr>
          <w:i/>
        </w:rPr>
        <w:t>Int J Oncol</w:t>
      </w:r>
      <w:r>
        <w:t xml:space="preserve"> 2016 Apr; </w:t>
      </w:r>
      <w:r>
        <w:rPr>
          <w:b/>
        </w:rPr>
        <w:t>48</w:t>
      </w:r>
      <w:r>
        <w:t>(4)</w:t>
      </w:r>
      <w:r>
        <w:rPr>
          <w:b/>
        </w:rPr>
        <w:t>:</w:t>
      </w:r>
      <w:r>
        <w:t xml:space="preserve"> 1659-1669.</w:t>
      </w:r>
    </w:p>
    <w:p w14:paraId="19C20AA7" w14:textId="77777777" w:rsidR="00DD142B" w:rsidRDefault="00DD142B">
      <w:pPr>
        <w:pStyle w:val="EndNoteBibliography"/>
        <w:spacing w:after="240"/>
      </w:pPr>
    </w:p>
    <w:p w14:paraId="441F588C" w14:textId="77777777" w:rsidR="00DD142B" w:rsidRDefault="00F23CC1">
      <w:pPr>
        <w:pStyle w:val="EndNoteBibliography"/>
      </w:pPr>
      <w:r>
        <w:t>51.</w:t>
      </w:r>
      <w:r>
        <w:tab/>
        <w:t>Kocemba KA, van Andel H, de Haan-Kramer A, Mahtouk K, Versteeg R, Kersten MJ</w:t>
      </w:r>
      <w:r>
        <w:rPr>
          <w:i/>
        </w:rPr>
        <w:t>, et al.</w:t>
      </w:r>
      <w:r>
        <w:t xml:space="preserve"> The hypoxia target adrenomedullin is aberrantly expressed in multiple myeloma and promotes angiogenesis. </w:t>
      </w:r>
      <w:r>
        <w:rPr>
          <w:i/>
        </w:rPr>
        <w:t>Leukemia</w:t>
      </w:r>
      <w:r>
        <w:t xml:space="preserve"> 2013 Aug; </w:t>
      </w:r>
      <w:r>
        <w:rPr>
          <w:b/>
        </w:rPr>
        <w:t>27</w:t>
      </w:r>
      <w:r>
        <w:t>(8)</w:t>
      </w:r>
      <w:r>
        <w:rPr>
          <w:b/>
        </w:rPr>
        <w:t>:</w:t>
      </w:r>
      <w:r>
        <w:t xml:space="preserve"> 1729-1737.</w:t>
      </w:r>
    </w:p>
    <w:p w14:paraId="0194CF53" w14:textId="77777777" w:rsidR="00DD142B" w:rsidRDefault="00DD142B">
      <w:pPr>
        <w:pStyle w:val="EndNoteBibliography"/>
        <w:spacing w:after="240"/>
      </w:pPr>
    </w:p>
    <w:p w14:paraId="44E25C2C" w14:textId="77777777" w:rsidR="00DD142B" w:rsidRDefault="00F23CC1">
      <w:pPr>
        <w:pStyle w:val="EndNoteBibliography"/>
      </w:pPr>
      <w:r>
        <w:t>52.</w:t>
      </w:r>
      <w:r>
        <w:tab/>
        <w:t>Reuter U, Goadsby PJ, Lanteri-Minet M, Wen SH, Hours-Zesiger P, Ferrari MD</w:t>
      </w:r>
      <w:r>
        <w:rPr>
          <w:i/>
        </w:rPr>
        <w:t>, et al.</w:t>
      </w:r>
      <w:r>
        <w:t xml:space="preserve"> Efficacy and tolerability of erenumab in patients with episodic migraine in whom two-to-four previous preventive treatments were unsuccessful: a randomised, double-blind, placebo-controlled, phase 3b study. </w:t>
      </w:r>
      <w:r>
        <w:rPr>
          <w:i/>
        </w:rPr>
        <w:t>Lancet</w:t>
      </w:r>
      <w:r>
        <w:t xml:space="preserve"> 2018 Nov 24; </w:t>
      </w:r>
      <w:r>
        <w:rPr>
          <w:b/>
        </w:rPr>
        <w:t>392</w:t>
      </w:r>
      <w:r>
        <w:t>(10161)</w:t>
      </w:r>
      <w:r>
        <w:rPr>
          <w:b/>
        </w:rPr>
        <w:t>:</w:t>
      </w:r>
      <w:r>
        <w:t xml:space="preserve"> 2280-2287.</w:t>
      </w:r>
    </w:p>
    <w:p w14:paraId="3AF6E698" w14:textId="77777777" w:rsidR="00DD142B" w:rsidRDefault="00DD142B">
      <w:pPr>
        <w:pStyle w:val="EndNoteBibliography"/>
      </w:pPr>
    </w:p>
    <w:p w14:paraId="2CF915A9" w14:textId="77777777" w:rsidR="00DD142B" w:rsidRDefault="00F23CC1">
      <w:pPr>
        <w:rPr>
          <w:rFonts w:cs="Times New Roman"/>
        </w:rPr>
      </w:pPr>
      <w:r>
        <w:rPr>
          <w:rFonts w:cs="Times New Roman"/>
        </w:rPr>
        <w:fldChar w:fldCharType="end"/>
      </w:r>
    </w:p>
    <w:p w14:paraId="6AC0AFF6" w14:textId="77777777" w:rsidR="00DD142B" w:rsidRDefault="00F23CC1">
      <w:pPr>
        <w:pStyle w:val="berschrift1"/>
        <w:rPr>
          <w:rFonts w:cs="Times New Roman"/>
          <w:szCs w:val="24"/>
        </w:rPr>
      </w:pPr>
      <w:r>
        <w:rPr>
          <w:sz w:val="21"/>
          <w:szCs w:val="24"/>
        </w:rPr>
        <w:br w:type="page"/>
      </w:r>
    </w:p>
    <w:p w14:paraId="7D2B59B7" w14:textId="77777777" w:rsidR="00DD142B" w:rsidRDefault="00F23CC1">
      <w:pPr>
        <w:pStyle w:val="berschrift1"/>
        <w:rPr>
          <w:sz w:val="24"/>
        </w:rPr>
      </w:pPr>
      <w:r>
        <w:t>Tables</w:t>
      </w:r>
    </w:p>
    <w:p w14:paraId="031DAA29" w14:textId="77777777" w:rsidR="00DD142B" w:rsidRDefault="00F23CC1">
      <w:pPr>
        <w:pStyle w:val="berschrift1"/>
        <w:spacing w:line="240" w:lineRule="auto"/>
        <w:rPr>
          <w:rFonts w:cs="Times New Roman"/>
        </w:rPr>
      </w:pPr>
      <w:r>
        <w:rPr>
          <w:rFonts w:cs="Times New Roman"/>
          <w:szCs w:val="24"/>
        </w:rPr>
        <w:t>Table 2. Multivariable regression analyses in the AMLCG analytic cohort.</w:t>
      </w:r>
    </w:p>
    <w:tbl>
      <w:tblPr>
        <w:tblStyle w:val="EinfacheTabelle41"/>
        <w:tblW w:w="4985" w:type="pct"/>
        <w:jc w:val="center"/>
        <w:tblLook w:val="04A0" w:firstRow="1" w:lastRow="0" w:firstColumn="1" w:lastColumn="0" w:noHBand="0" w:noVBand="1"/>
      </w:tblPr>
      <w:tblGrid>
        <w:gridCol w:w="5201"/>
        <w:gridCol w:w="1699"/>
        <w:gridCol w:w="1321"/>
        <w:gridCol w:w="1031"/>
      </w:tblGrid>
      <w:tr w:rsidR="00DD142B" w14:paraId="25BA8B33" w14:textId="77777777" w:rsidTr="00DD142B">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811" w:type="pct"/>
            <w:tcBorders>
              <w:top w:val="single" w:sz="4" w:space="0" w:color="auto"/>
              <w:bottom w:val="single" w:sz="4" w:space="0" w:color="auto"/>
            </w:tcBorders>
            <w:shd w:val="clear" w:color="auto" w:fill="auto"/>
            <w:vAlign w:val="center"/>
          </w:tcPr>
          <w:p w14:paraId="241590EE" w14:textId="77777777" w:rsidR="00DD142B" w:rsidRDefault="00F23CC1">
            <w:pPr>
              <w:spacing w:line="240" w:lineRule="auto"/>
              <w:jc w:val="center"/>
              <w:rPr>
                <w:rFonts w:cs="Times New Roman"/>
                <w:sz w:val="20"/>
                <w:szCs w:val="20"/>
                <w:lang w:val="en-US"/>
              </w:rPr>
            </w:pPr>
            <w:r>
              <w:rPr>
                <w:rFonts w:cs="Times New Roman"/>
                <w:sz w:val="20"/>
                <w:szCs w:val="20"/>
                <w:lang w:val="en-US"/>
              </w:rPr>
              <w:t>Variables in final models</w:t>
            </w:r>
          </w:p>
        </w:tc>
        <w:tc>
          <w:tcPr>
            <w:tcW w:w="918" w:type="pct"/>
            <w:tcBorders>
              <w:top w:val="single" w:sz="4" w:space="0" w:color="auto"/>
              <w:bottom w:val="single" w:sz="4" w:space="0" w:color="auto"/>
            </w:tcBorders>
            <w:shd w:val="clear" w:color="auto" w:fill="auto"/>
            <w:vAlign w:val="center"/>
          </w:tcPr>
          <w:p w14:paraId="6A65D07B" w14:textId="77777777" w:rsidR="00DD142B" w:rsidRDefault="00F23CC1">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sz w:val="20"/>
                <w:szCs w:val="20"/>
                <w:lang w:val="en-US"/>
              </w:rPr>
            </w:pPr>
            <w:r>
              <w:rPr>
                <w:rFonts w:cs="Times New Roman"/>
                <w:sz w:val="20"/>
                <w:szCs w:val="20"/>
                <w:lang w:val="en-US"/>
              </w:rPr>
              <w:t>OR/HR</w:t>
            </w:r>
          </w:p>
        </w:tc>
        <w:tc>
          <w:tcPr>
            <w:tcW w:w="714" w:type="pct"/>
            <w:tcBorders>
              <w:top w:val="single" w:sz="4" w:space="0" w:color="auto"/>
              <w:bottom w:val="single" w:sz="4" w:space="0" w:color="auto"/>
            </w:tcBorders>
            <w:vAlign w:val="center"/>
          </w:tcPr>
          <w:p w14:paraId="5EFBDD3E" w14:textId="77777777" w:rsidR="00DD142B" w:rsidRDefault="00F23CC1">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i/>
                <w:sz w:val="20"/>
                <w:szCs w:val="20"/>
                <w:lang w:val="en-US"/>
              </w:rPr>
            </w:pPr>
            <w:r>
              <w:rPr>
                <w:rFonts w:cs="Times New Roman"/>
                <w:sz w:val="20"/>
                <w:szCs w:val="20"/>
                <w:lang w:val="en-US"/>
              </w:rPr>
              <w:t>95% CI</w:t>
            </w:r>
          </w:p>
        </w:tc>
        <w:tc>
          <w:tcPr>
            <w:tcW w:w="557" w:type="pct"/>
            <w:tcBorders>
              <w:top w:val="single" w:sz="4" w:space="0" w:color="auto"/>
              <w:bottom w:val="single" w:sz="4" w:space="0" w:color="auto"/>
            </w:tcBorders>
            <w:vAlign w:val="center"/>
          </w:tcPr>
          <w:p w14:paraId="7F637633" w14:textId="77777777" w:rsidR="00DD142B" w:rsidRDefault="00F23CC1">
            <w:pPr>
              <w:spacing w:line="240" w:lineRule="auto"/>
              <w:jc w:val="right"/>
              <w:cnfStyle w:val="100000000000" w:firstRow="1" w:lastRow="0" w:firstColumn="0" w:lastColumn="0" w:oddVBand="0" w:evenVBand="0" w:oddHBand="0" w:evenHBand="0" w:firstRowFirstColumn="0" w:firstRowLastColumn="0" w:lastRowFirstColumn="0" w:lastRowLastColumn="0"/>
              <w:rPr>
                <w:rFonts w:cs="Times New Roman"/>
                <w:sz w:val="20"/>
                <w:szCs w:val="20"/>
                <w:lang w:val="en-US"/>
              </w:rPr>
            </w:pPr>
            <w:r>
              <w:rPr>
                <w:rFonts w:cs="Times New Roman"/>
                <w:i/>
                <w:sz w:val="20"/>
                <w:szCs w:val="20"/>
                <w:lang w:val="en-US"/>
              </w:rPr>
              <w:t>P</w:t>
            </w:r>
            <w:r>
              <w:rPr>
                <w:rFonts w:cs="Times New Roman"/>
                <w:sz w:val="20"/>
                <w:szCs w:val="20"/>
                <w:lang w:val="en-US"/>
              </w:rPr>
              <w:t xml:space="preserve"> value</w:t>
            </w:r>
          </w:p>
        </w:tc>
      </w:tr>
      <w:tr w:rsidR="00DD142B" w14:paraId="0FFEE6BD"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Borders>
              <w:top w:val="single" w:sz="4" w:space="0" w:color="auto"/>
            </w:tcBorders>
          </w:tcPr>
          <w:p w14:paraId="007AE2FF" w14:textId="77777777" w:rsidR="00DD142B" w:rsidRDefault="00F23CC1">
            <w:pPr>
              <w:jc w:val="left"/>
              <w:rPr>
                <w:rFonts w:cs="Times New Roman"/>
                <w:sz w:val="18"/>
                <w:szCs w:val="18"/>
                <w:lang w:val="en-US"/>
              </w:rPr>
            </w:pPr>
            <w:r>
              <w:rPr>
                <w:rFonts w:cs="Times New Roman"/>
                <w:sz w:val="18"/>
                <w:szCs w:val="18"/>
                <w:lang w:val="en-US"/>
              </w:rPr>
              <w:t>Complete remission</w:t>
            </w:r>
          </w:p>
        </w:tc>
        <w:tc>
          <w:tcPr>
            <w:tcW w:w="918" w:type="pct"/>
            <w:tcBorders>
              <w:top w:val="single" w:sz="4" w:space="0" w:color="auto"/>
            </w:tcBorders>
          </w:tcPr>
          <w:p w14:paraId="0562FE59"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714" w:type="pct"/>
            <w:tcBorders>
              <w:top w:val="single" w:sz="4" w:space="0" w:color="auto"/>
            </w:tcBorders>
          </w:tcPr>
          <w:p w14:paraId="41C4482B"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557" w:type="pct"/>
            <w:tcBorders>
              <w:top w:val="single" w:sz="4" w:space="0" w:color="auto"/>
            </w:tcBorders>
          </w:tcPr>
          <w:p w14:paraId="22116290" w14:textId="77777777" w:rsidR="00DD142B" w:rsidRDefault="00DD142B">
            <w:pPr>
              <w:jc w:val="right"/>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r>
      <w:tr w:rsidR="00DD142B" w14:paraId="45CC94D6"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40E68B85" w14:textId="77777777" w:rsidR="00DD142B" w:rsidRDefault="00F23CC1">
            <w:pPr>
              <w:jc w:val="left"/>
              <w:rPr>
                <w:rFonts w:cs="Times New Roman"/>
                <w:sz w:val="18"/>
                <w:szCs w:val="18"/>
                <w:lang w:val="en-US"/>
              </w:rPr>
            </w:pPr>
            <w:r>
              <w:rPr>
                <w:rFonts w:cs="Times New Roman"/>
                <w:b w:val="0"/>
                <w:sz w:val="18"/>
                <w:szCs w:val="18"/>
                <w:lang w:val="en-US"/>
              </w:rPr>
              <w:t xml:space="preserve">   Age: ≥60 vs &lt;60 years</w:t>
            </w:r>
          </w:p>
        </w:tc>
        <w:tc>
          <w:tcPr>
            <w:tcW w:w="918" w:type="pct"/>
          </w:tcPr>
          <w:p w14:paraId="67834342"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0.59</w:t>
            </w:r>
          </w:p>
        </w:tc>
        <w:tc>
          <w:tcPr>
            <w:tcW w:w="714" w:type="pct"/>
          </w:tcPr>
          <w:p w14:paraId="31B821EE"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0.38-0.92</w:t>
            </w:r>
          </w:p>
        </w:tc>
        <w:tc>
          <w:tcPr>
            <w:tcW w:w="557" w:type="pct"/>
          </w:tcPr>
          <w:p w14:paraId="7FFA70F6" w14:textId="77777777" w:rsidR="00DD142B" w:rsidRDefault="00F23CC1">
            <w:pPr>
              <w:jc w:val="right"/>
              <w:cnfStyle w:val="000000000000" w:firstRow="0" w:lastRow="0" w:firstColumn="0" w:lastColumn="0" w:oddVBand="0" w:evenVBand="0" w:oddHBand="0" w:evenHBand="0" w:firstRowFirstColumn="0" w:firstRowLastColumn="0" w:lastRowFirstColumn="0" w:lastRowLastColumn="0"/>
              <w:rPr>
                <w:rFonts w:cs="Times New Roman"/>
                <w:b/>
                <w:sz w:val="18"/>
                <w:szCs w:val="18"/>
                <w:lang w:val="en-US"/>
              </w:rPr>
            </w:pPr>
            <w:r>
              <w:rPr>
                <w:rFonts w:cs="Times New Roman"/>
                <w:b/>
                <w:sz w:val="18"/>
                <w:szCs w:val="18"/>
                <w:lang w:val="en-US"/>
              </w:rPr>
              <w:t>.021</w:t>
            </w:r>
          </w:p>
        </w:tc>
      </w:tr>
      <w:tr w:rsidR="00DD142B" w14:paraId="6DAD9717"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5476BF2A" w14:textId="77777777" w:rsidR="00DD142B" w:rsidRDefault="00F23CC1">
            <w:pPr>
              <w:jc w:val="left"/>
              <w:rPr>
                <w:rFonts w:cs="Times New Roman"/>
                <w:sz w:val="18"/>
                <w:szCs w:val="18"/>
                <w:lang w:val="en-US"/>
              </w:rPr>
            </w:pPr>
            <w:r>
              <w:rPr>
                <w:rFonts w:cs="Times New Roman"/>
                <w:b w:val="0"/>
                <w:sz w:val="18"/>
                <w:szCs w:val="18"/>
                <w:lang w:val="en-US"/>
              </w:rPr>
              <w:t xml:space="preserve">   Karyotype</w:t>
            </w:r>
            <w:r>
              <w:rPr>
                <w:rFonts w:cs="Times New Roman"/>
                <w:b w:val="0"/>
                <w:sz w:val="18"/>
                <w:szCs w:val="18"/>
                <w:vertAlign w:val="superscript"/>
                <w:lang w:val="en-US"/>
              </w:rPr>
              <w:t>§</w:t>
            </w:r>
            <w:r>
              <w:rPr>
                <w:rFonts w:cs="Times New Roman"/>
                <w:b w:val="0"/>
                <w:sz w:val="18"/>
                <w:szCs w:val="18"/>
                <w:lang w:val="en-US"/>
              </w:rPr>
              <w:t>:</w:t>
            </w:r>
          </w:p>
        </w:tc>
        <w:tc>
          <w:tcPr>
            <w:tcW w:w="918" w:type="pct"/>
          </w:tcPr>
          <w:p w14:paraId="6A909DE6"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714" w:type="pct"/>
          </w:tcPr>
          <w:p w14:paraId="4906731F"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557" w:type="pct"/>
          </w:tcPr>
          <w:p w14:paraId="177B3BB0" w14:textId="77777777" w:rsidR="00DD142B" w:rsidRDefault="00F23CC1">
            <w:pPr>
              <w:jc w:val="right"/>
              <w:cnfStyle w:val="000000100000" w:firstRow="0" w:lastRow="0" w:firstColumn="0" w:lastColumn="0" w:oddVBand="0" w:evenVBand="0" w:oddHBand="1" w:evenHBand="0" w:firstRowFirstColumn="0" w:firstRowLastColumn="0" w:lastRowFirstColumn="0" w:lastRowLastColumn="0"/>
              <w:rPr>
                <w:rFonts w:cs="Times New Roman"/>
                <w:b/>
                <w:sz w:val="18"/>
                <w:szCs w:val="18"/>
                <w:lang w:val="en-US"/>
              </w:rPr>
            </w:pPr>
            <w:r>
              <w:rPr>
                <w:rFonts w:cs="Times New Roman"/>
                <w:b/>
                <w:sz w:val="18"/>
                <w:szCs w:val="18"/>
                <w:lang w:val="en-US"/>
              </w:rPr>
              <w:t>.0001</w:t>
            </w:r>
          </w:p>
        </w:tc>
      </w:tr>
      <w:tr w:rsidR="00DD142B" w14:paraId="75A84BB8"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378A4A7D" w14:textId="77777777" w:rsidR="00DD142B" w:rsidRDefault="00F23CC1">
            <w:pPr>
              <w:jc w:val="left"/>
              <w:rPr>
                <w:rFonts w:cs="Times New Roman"/>
                <w:sz w:val="18"/>
                <w:szCs w:val="18"/>
                <w:lang w:val="en-US"/>
              </w:rPr>
            </w:pPr>
            <w:r>
              <w:rPr>
                <w:rFonts w:cs="Times New Roman"/>
                <w:b w:val="0"/>
                <w:sz w:val="18"/>
                <w:szCs w:val="18"/>
                <w:lang w:val="en-US"/>
              </w:rPr>
              <w:t xml:space="preserve">      Favorable vs intermediate risk</w:t>
            </w:r>
          </w:p>
        </w:tc>
        <w:tc>
          <w:tcPr>
            <w:tcW w:w="918" w:type="pct"/>
          </w:tcPr>
          <w:p w14:paraId="4F585E13"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1.19</w:t>
            </w:r>
          </w:p>
        </w:tc>
        <w:tc>
          <w:tcPr>
            <w:tcW w:w="714" w:type="pct"/>
          </w:tcPr>
          <w:p w14:paraId="0C1DCF61"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0.56-2.51</w:t>
            </w:r>
          </w:p>
        </w:tc>
        <w:tc>
          <w:tcPr>
            <w:tcW w:w="557" w:type="pct"/>
          </w:tcPr>
          <w:p w14:paraId="6EA972DC" w14:textId="77777777" w:rsidR="00DD142B" w:rsidRDefault="00F23CC1">
            <w:pPr>
              <w:jc w:val="right"/>
              <w:cnfStyle w:val="000000000000" w:firstRow="0" w:lastRow="0" w:firstColumn="0" w:lastColumn="0" w:oddVBand="0" w:evenVBand="0" w:oddHBand="0" w:evenHBand="0" w:firstRowFirstColumn="0" w:firstRowLastColumn="0" w:lastRowFirstColumn="0" w:lastRowLastColumn="0"/>
              <w:rPr>
                <w:rFonts w:cs="Times New Roman"/>
                <w:b/>
                <w:sz w:val="18"/>
                <w:szCs w:val="18"/>
                <w:lang w:val="en-US"/>
              </w:rPr>
            </w:pPr>
            <w:r>
              <w:rPr>
                <w:rFonts w:cs="Times New Roman"/>
                <w:b/>
                <w:sz w:val="18"/>
                <w:szCs w:val="18"/>
                <w:lang w:val="en-US"/>
              </w:rPr>
              <w:t>.041</w:t>
            </w:r>
          </w:p>
        </w:tc>
      </w:tr>
      <w:tr w:rsidR="00DD142B" w14:paraId="37EA77CF"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546DBDF7" w14:textId="77777777" w:rsidR="00DD142B" w:rsidRDefault="00F23CC1">
            <w:pPr>
              <w:jc w:val="left"/>
              <w:rPr>
                <w:rFonts w:cs="Times New Roman"/>
                <w:sz w:val="18"/>
                <w:szCs w:val="18"/>
                <w:lang w:val="en-US"/>
              </w:rPr>
            </w:pPr>
            <w:r>
              <w:rPr>
                <w:rFonts w:cs="Times New Roman"/>
                <w:b w:val="0"/>
                <w:sz w:val="18"/>
                <w:szCs w:val="18"/>
                <w:lang w:val="en-US"/>
              </w:rPr>
              <w:t xml:space="preserve">      Adverse vs intermediate risk</w:t>
            </w:r>
          </w:p>
        </w:tc>
        <w:tc>
          <w:tcPr>
            <w:tcW w:w="918" w:type="pct"/>
          </w:tcPr>
          <w:p w14:paraId="111D8AC5"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0.31</w:t>
            </w:r>
          </w:p>
        </w:tc>
        <w:tc>
          <w:tcPr>
            <w:tcW w:w="714" w:type="pct"/>
          </w:tcPr>
          <w:p w14:paraId="35615978"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0.17-0.55</w:t>
            </w:r>
          </w:p>
        </w:tc>
        <w:tc>
          <w:tcPr>
            <w:tcW w:w="557" w:type="pct"/>
          </w:tcPr>
          <w:p w14:paraId="72B22962" w14:textId="77777777" w:rsidR="00DD142B" w:rsidRDefault="00F23CC1">
            <w:pPr>
              <w:jc w:val="right"/>
              <w:cnfStyle w:val="000000100000" w:firstRow="0" w:lastRow="0" w:firstColumn="0" w:lastColumn="0" w:oddVBand="0" w:evenVBand="0" w:oddHBand="1" w:evenHBand="0" w:firstRowFirstColumn="0" w:firstRowLastColumn="0" w:lastRowFirstColumn="0" w:lastRowLastColumn="0"/>
              <w:rPr>
                <w:rFonts w:cs="Times New Roman"/>
                <w:b/>
                <w:sz w:val="18"/>
                <w:szCs w:val="18"/>
                <w:lang w:val="en-US"/>
              </w:rPr>
            </w:pPr>
            <w:r>
              <w:rPr>
                <w:rFonts w:cs="Times New Roman"/>
                <w:b/>
                <w:sz w:val="18"/>
                <w:szCs w:val="18"/>
                <w:lang w:val="en-US"/>
              </w:rPr>
              <w:t>&lt;.0001</w:t>
            </w:r>
          </w:p>
        </w:tc>
      </w:tr>
      <w:tr w:rsidR="00DD142B" w14:paraId="663BDAEC"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3903068F" w14:textId="77777777" w:rsidR="00DD142B" w:rsidRDefault="00F23CC1">
            <w:pPr>
              <w:jc w:val="left"/>
              <w:rPr>
                <w:rFonts w:cs="Times New Roman"/>
                <w:sz w:val="18"/>
                <w:szCs w:val="18"/>
                <w:lang w:val="en-US"/>
              </w:rPr>
            </w:pPr>
            <w:r>
              <w:rPr>
                <w:rFonts w:cs="Times New Roman"/>
                <w:b w:val="0"/>
                <w:i/>
                <w:sz w:val="18"/>
                <w:szCs w:val="18"/>
                <w:lang w:val="en-US"/>
              </w:rPr>
              <w:t xml:space="preserve">   NPM1</w:t>
            </w:r>
            <w:r>
              <w:rPr>
                <w:rFonts w:cs="Times New Roman"/>
                <w:b w:val="0"/>
                <w:sz w:val="18"/>
                <w:szCs w:val="18"/>
                <w:lang w:val="en-US"/>
              </w:rPr>
              <w:t>/</w:t>
            </w:r>
            <w:r>
              <w:rPr>
                <w:rFonts w:cs="Times New Roman"/>
                <w:b w:val="0"/>
                <w:i/>
                <w:sz w:val="18"/>
                <w:szCs w:val="18"/>
                <w:lang w:val="en-US"/>
              </w:rPr>
              <w:t>FLT3</w:t>
            </w:r>
            <w:r>
              <w:rPr>
                <w:rFonts w:cs="Times New Roman"/>
                <w:b w:val="0"/>
                <w:sz w:val="18"/>
                <w:szCs w:val="18"/>
                <w:lang w:val="en-US"/>
              </w:rPr>
              <w:t>-ITD mutation status</w:t>
            </w:r>
            <w:r>
              <w:rPr>
                <w:rFonts w:cs="Times New Roman"/>
                <w:sz w:val="18"/>
                <w:szCs w:val="18"/>
                <w:vertAlign w:val="superscript"/>
                <w:lang w:val="en-US"/>
              </w:rPr>
              <w:t>‡</w:t>
            </w:r>
            <w:r>
              <w:rPr>
                <w:rFonts w:cs="Times New Roman"/>
                <w:b w:val="0"/>
                <w:sz w:val="18"/>
                <w:szCs w:val="18"/>
                <w:lang w:val="en-US"/>
              </w:rPr>
              <w:t>:</w:t>
            </w:r>
          </w:p>
        </w:tc>
        <w:tc>
          <w:tcPr>
            <w:tcW w:w="918" w:type="pct"/>
          </w:tcPr>
          <w:p w14:paraId="441F64EE" w14:textId="77777777" w:rsidR="00DD142B" w:rsidRDefault="00DD142B">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c>
          <w:tcPr>
            <w:tcW w:w="714" w:type="pct"/>
          </w:tcPr>
          <w:p w14:paraId="036FD528" w14:textId="77777777" w:rsidR="00DD142B" w:rsidRDefault="00DD142B">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c>
          <w:tcPr>
            <w:tcW w:w="557" w:type="pct"/>
          </w:tcPr>
          <w:p w14:paraId="74511913" w14:textId="77777777" w:rsidR="00DD142B" w:rsidRDefault="00F23CC1">
            <w:pPr>
              <w:jc w:val="right"/>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.051</w:t>
            </w:r>
          </w:p>
        </w:tc>
      </w:tr>
      <w:tr w:rsidR="00DD142B" w14:paraId="576B2752"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214A74AA" w14:textId="77777777" w:rsidR="00DD142B" w:rsidRDefault="00F23CC1">
            <w:pPr>
              <w:jc w:val="left"/>
              <w:rPr>
                <w:rFonts w:cs="Times New Roman"/>
                <w:sz w:val="18"/>
                <w:szCs w:val="18"/>
                <w:lang w:val="en-US"/>
              </w:rPr>
            </w:pPr>
            <w:r>
              <w:rPr>
                <w:rFonts w:cs="Times New Roman"/>
                <w:b w:val="0"/>
                <w:sz w:val="18"/>
                <w:szCs w:val="18"/>
                <w:lang w:val="en-US"/>
              </w:rPr>
              <w:t xml:space="preserve">      Low vs intermediate risk</w:t>
            </w:r>
          </w:p>
        </w:tc>
        <w:tc>
          <w:tcPr>
            <w:tcW w:w="918" w:type="pct"/>
          </w:tcPr>
          <w:p w14:paraId="406A6AEF"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1.71</w:t>
            </w:r>
          </w:p>
        </w:tc>
        <w:tc>
          <w:tcPr>
            <w:tcW w:w="714" w:type="pct"/>
          </w:tcPr>
          <w:p w14:paraId="4D95301C"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0.90-3.26</w:t>
            </w:r>
          </w:p>
        </w:tc>
        <w:tc>
          <w:tcPr>
            <w:tcW w:w="557" w:type="pct"/>
          </w:tcPr>
          <w:p w14:paraId="6F63817A" w14:textId="77777777" w:rsidR="00DD142B" w:rsidRDefault="00F23CC1">
            <w:pPr>
              <w:jc w:val="right"/>
              <w:cnfStyle w:val="000000100000" w:firstRow="0" w:lastRow="0" w:firstColumn="0" w:lastColumn="0" w:oddVBand="0" w:evenVBand="0" w:oddHBand="1" w:evenHBand="0" w:firstRowFirstColumn="0" w:firstRowLastColumn="0" w:lastRowFirstColumn="0" w:lastRowLastColumn="0"/>
              <w:rPr>
                <w:rFonts w:cs="Times New Roman"/>
                <w:b/>
                <w:sz w:val="18"/>
                <w:szCs w:val="18"/>
                <w:lang w:val="en-US"/>
              </w:rPr>
            </w:pPr>
            <w:r>
              <w:rPr>
                <w:rFonts w:cs="Times New Roman"/>
                <w:b/>
                <w:sz w:val="18"/>
                <w:szCs w:val="18"/>
                <w:lang w:val="en-US"/>
              </w:rPr>
              <w:t>.015</w:t>
            </w:r>
          </w:p>
        </w:tc>
      </w:tr>
      <w:tr w:rsidR="00DD142B" w14:paraId="5267372F"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44D05453" w14:textId="77777777" w:rsidR="00DD142B" w:rsidRDefault="00F23CC1">
            <w:pPr>
              <w:jc w:val="left"/>
              <w:rPr>
                <w:rFonts w:cs="Times New Roman"/>
                <w:sz w:val="18"/>
                <w:szCs w:val="18"/>
                <w:lang w:val="en-US"/>
              </w:rPr>
            </w:pPr>
            <w:r>
              <w:rPr>
                <w:rFonts w:cs="Times New Roman"/>
                <w:b w:val="0"/>
                <w:sz w:val="18"/>
                <w:szCs w:val="18"/>
                <w:lang w:val="en-US"/>
              </w:rPr>
              <w:t xml:space="preserve">      High vs intermediate risk</w:t>
            </w:r>
          </w:p>
        </w:tc>
        <w:tc>
          <w:tcPr>
            <w:tcW w:w="918" w:type="pct"/>
          </w:tcPr>
          <w:p w14:paraId="073FBE56"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0.41</w:t>
            </w:r>
          </w:p>
        </w:tc>
        <w:tc>
          <w:tcPr>
            <w:tcW w:w="714" w:type="pct"/>
          </w:tcPr>
          <w:p w14:paraId="337595FA"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0.14-1.18</w:t>
            </w:r>
          </w:p>
        </w:tc>
        <w:tc>
          <w:tcPr>
            <w:tcW w:w="557" w:type="pct"/>
          </w:tcPr>
          <w:p w14:paraId="41075C28" w14:textId="77777777" w:rsidR="00DD142B" w:rsidRDefault="00F23CC1">
            <w:pPr>
              <w:jc w:val="right"/>
              <w:cnfStyle w:val="000000000000" w:firstRow="0" w:lastRow="0" w:firstColumn="0" w:lastColumn="0" w:oddVBand="0" w:evenVBand="0" w:oddHBand="0" w:evenHBand="0" w:firstRowFirstColumn="0" w:firstRowLastColumn="0" w:lastRowFirstColumn="0" w:lastRowLastColumn="0"/>
              <w:rPr>
                <w:rFonts w:cs="Times New Roman"/>
                <w:b/>
                <w:sz w:val="18"/>
                <w:szCs w:val="18"/>
                <w:lang w:val="en-US"/>
              </w:rPr>
            </w:pPr>
            <w:r>
              <w:rPr>
                <w:rFonts w:cs="Times New Roman"/>
                <w:b/>
                <w:sz w:val="18"/>
                <w:szCs w:val="18"/>
                <w:lang w:val="en-US"/>
              </w:rPr>
              <w:t>.034</w:t>
            </w:r>
          </w:p>
        </w:tc>
      </w:tr>
      <w:tr w:rsidR="00DD142B" w14:paraId="4E70056B"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5CBCD8F2" w14:textId="77777777" w:rsidR="00DD142B" w:rsidRDefault="00F23CC1">
            <w:pPr>
              <w:jc w:val="left"/>
              <w:rPr>
                <w:rFonts w:cs="Times New Roman"/>
                <w:sz w:val="18"/>
                <w:szCs w:val="18"/>
                <w:lang w:val="en-US"/>
              </w:rPr>
            </w:pPr>
            <w:r>
              <w:rPr>
                <w:rFonts w:cs="Times New Roman"/>
                <w:b w:val="0"/>
                <w:i/>
                <w:sz w:val="18"/>
                <w:szCs w:val="18"/>
                <w:lang w:val="en-US"/>
              </w:rPr>
              <w:t xml:space="preserve">   RUNX1</w:t>
            </w:r>
            <w:r>
              <w:rPr>
                <w:rFonts w:cs="Times New Roman"/>
                <w:b w:val="0"/>
                <w:sz w:val="18"/>
                <w:szCs w:val="18"/>
                <w:lang w:val="en-US"/>
              </w:rPr>
              <w:t>: mutated vs wild type</w:t>
            </w:r>
          </w:p>
        </w:tc>
        <w:tc>
          <w:tcPr>
            <w:tcW w:w="918" w:type="pct"/>
          </w:tcPr>
          <w:p w14:paraId="53DB91B5"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0.53</w:t>
            </w:r>
          </w:p>
        </w:tc>
        <w:tc>
          <w:tcPr>
            <w:tcW w:w="714" w:type="pct"/>
          </w:tcPr>
          <w:p w14:paraId="2971A5C5"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0.29-0.99</w:t>
            </w:r>
          </w:p>
        </w:tc>
        <w:tc>
          <w:tcPr>
            <w:tcW w:w="557" w:type="pct"/>
          </w:tcPr>
          <w:p w14:paraId="07F14851" w14:textId="77777777" w:rsidR="00DD142B" w:rsidRDefault="00F23CC1">
            <w:pPr>
              <w:jc w:val="right"/>
              <w:cnfStyle w:val="000000100000" w:firstRow="0" w:lastRow="0" w:firstColumn="0" w:lastColumn="0" w:oddVBand="0" w:evenVBand="0" w:oddHBand="1" w:evenHBand="0" w:firstRowFirstColumn="0" w:firstRowLastColumn="0" w:lastRowFirstColumn="0" w:lastRowLastColumn="0"/>
              <w:rPr>
                <w:rFonts w:cs="Times New Roman"/>
                <w:b/>
                <w:sz w:val="18"/>
                <w:szCs w:val="18"/>
                <w:lang w:val="en-US"/>
              </w:rPr>
            </w:pPr>
            <w:r>
              <w:rPr>
                <w:rFonts w:cs="Times New Roman"/>
                <w:b/>
                <w:sz w:val="18"/>
                <w:szCs w:val="18"/>
                <w:lang w:val="en-US"/>
              </w:rPr>
              <w:t>.045</w:t>
            </w:r>
          </w:p>
        </w:tc>
      </w:tr>
      <w:tr w:rsidR="00DD142B" w14:paraId="3CFF51B9"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3A8CCA57" w14:textId="77777777" w:rsidR="00DD142B" w:rsidRDefault="00F23CC1">
            <w:pPr>
              <w:jc w:val="left"/>
              <w:rPr>
                <w:rFonts w:cs="Times New Roman"/>
                <w:sz w:val="18"/>
                <w:szCs w:val="18"/>
                <w:lang w:val="en-US"/>
              </w:rPr>
            </w:pPr>
            <w:r>
              <w:rPr>
                <w:rFonts w:cs="Times New Roman"/>
                <w:b w:val="0"/>
                <w:sz w:val="18"/>
                <w:szCs w:val="18"/>
                <w:lang w:val="en-US"/>
              </w:rPr>
              <w:t xml:space="preserve">   </w:t>
            </w:r>
            <w:r>
              <w:rPr>
                <w:rFonts w:cs="Times New Roman"/>
                <w:b w:val="0"/>
                <w:i/>
                <w:sz w:val="18"/>
                <w:szCs w:val="18"/>
                <w:lang w:val="en-US"/>
              </w:rPr>
              <w:t>CALCRL</w:t>
            </w:r>
            <w:r>
              <w:rPr>
                <w:rFonts w:cs="Times New Roman"/>
                <w:b w:val="0"/>
                <w:sz w:val="18"/>
                <w:szCs w:val="18"/>
                <w:lang w:val="en-US"/>
              </w:rPr>
              <w:t xml:space="preserve"> expression:</w:t>
            </w:r>
          </w:p>
        </w:tc>
        <w:tc>
          <w:tcPr>
            <w:tcW w:w="918" w:type="pct"/>
          </w:tcPr>
          <w:p w14:paraId="463B37BC" w14:textId="77777777" w:rsidR="00DD142B" w:rsidRDefault="00DD142B">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c>
          <w:tcPr>
            <w:tcW w:w="714" w:type="pct"/>
          </w:tcPr>
          <w:p w14:paraId="68D5EFC0" w14:textId="77777777" w:rsidR="00DD142B" w:rsidRDefault="00DD142B">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c>
          <w:tcPr>
            <w:tcW w:w="557" w:type="pct"/>
          </w:tcPr>
          <w:p w14:paraId="725B8B63" w14:textId="77777777" w:rsidR="00DD142B" w:rsidRDefault="00F23CC1">
            <w:pPr>
              <w:jc w:val="right"/>
              <w:cnfStyle w:val="000000000000" w:firstRow="0" w:lastRow="0" w:firstColumn="0" w:lastColumn="0" w:oddVBand="0" w:evenVBand="0" w:oddHBand="0" w:evenHBand="0" w:firstRowFirstColumn="0" w:firstRowLastColumn="0" w:lastRowFirstColumn="0" w:lastRowLastColumn="0"/>
              <w:rPr>
                <w:rFonts w:cs="Times New Roman"/>
                <w:b/>
                <w:sz w:val="18"/>
                <w:szCs w:val="18"/>
                <w:lang w:val="en-US"/>
              </w:rPr>
            </w:pPr>
            <w:r>
              <w:rPr>
                <w:rFonts w:cs="Times New Roman"/>
                <w:b/>
                <w:sz w:val="18"/>
                <w:szCs w:val="18"/>
                <w:lang w:val="en-US"/>
              </w:rPr>
              <w:t>.015</w:t>
            </w:r>
          </w:p>
        </w:tc>
      </w:tr>
      <w:tr w:rsidR="00DD142B" w14:paraId="2AC4337D"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29EEEA52" w14:textId="77777777" w:rsidR="00DD142B" w:rsidRDefault="00F23CC1">
            <w:pPr>
              <w:jc w:val="left"/>
              <w:rPr>
                <w:rFonts w:cs="Times New Roman"/>
                <w:sz w:val="18"/>
                <w:szCs w:val="18"/>
                <w:lang w:val="en-US"/>
              </w:rPr>
            </w:pPr>
            <w:r>
              <w:rPr>
                <w:rFonts w:cs="Times New Roman"/>
                <w:b w:val="0"/>
                <w:sz w:val="18"/>
                <w:szCs w:val="18"/>
                <w:lang w:val="en-US"/>
              </w:rPr>
              <w:t xml:space="preserve">      Low vs intermediate</w:t>
            </w:r>
          </w:p>
        </w:tc>
        <w:tc>
          <w:tcPr>
            <w:tcW w:w="918" w:type="pct"/>
          </w:tcPr>
          <w:p w14:paraId="4DA00389"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2.29</w:t>
            </w:r>
          </w:p>
        </w:tc>
        <w:tc>
          <w:tcPr>
            <w:tcW w:w="714" w:type="pct"/>
          </w:tcPr>
          <w:p w14:paraId="0EB47E02"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1.30-4.05</w:t>
            </w:r>
          </w:p>
        </w:tc>
        <w:tc>
          <w:tcPr>
            <w:tcW w:w="557" w:type="pct"/>
          </w:tcPr>
          <w:p w14:paraId="3D52C108" w14:textId="77777777" w:rsidR="00DD142B" w:rsidRDefault="00F23CC1">
            <w:pPr>
              <w:jc w:val="right"/>
              <w:cnfStyle w:val="000000100000" w:firstRow="0" w:lastRow="0" w:firstColumn="0" w:lastColumn="0" w:oddVBand="0" w:evenVBand="0" w:oddHBand="1" w:evenHBand="0" w:firstRowFirstColumn="0" w:firstRowLastColumn="0" w:lastRowFirstColumn="0" w:lastRowLastColumn="0"/>
              <w:rPr>
                <w:rFonts w:cs="Times New Roman"/>
                <w:b/>
                <w:sz w:val="18"/>
                <w:szCs w:val="18"/>
                <w:lang w:val="en-US"/>
              </w:rPr>
            </w:pPr>
            <w:r>
              <w:rPr>
                <w:rFonts w:cs="Times New Roman"/>
                <w:b/>
                <w:sz w:val="18"/>
                <w:szCs w:val="18"/>
                <w:lang w:val="en-US"/>
              </w:rPr>
              <w:t>.0052</w:t>
            </w:r>
          </w:p>
        </w:tc>
      </w:tr>
      <w:tr w:rsidR="00DD142B" w14:paraId="265ED8BE"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43F8053F" w14:textId="77777777" w:rsidR="00DD142B" w:rsidRDefault="00F23CC1">
            <w:pPr>
              <w:jc w:val="left"/>
              <w:rPr>
                <w:rFonts w:cs="Times New Roman"/>
                <w:sz w:val="18"/>
                <w:szCs w:val="18"/>
                <w:lang w:val="en-US"/>
              </w:rPr>
            </w:pPr>
            <w:r>
              <w:rPr>
                <w:rFonts w:cs="Times New Roman"/>
                <w:b w:val="0"/>
                <w:sz w:val="18"/>
                <w:szCs w:val="18"/>
                <w:lang w:val="en-US"/>
              </w:rPr>
              <w:t xml:space="preserve">      High vs intermediate</w:t>
            </w:r>
          </w:p>
        </w:tc>
        <w:tc>
          <w:tcPr>
            <w:tcW w:w="918" w:type="pct"/>
          </w:tcPr>
          <w:p w14:paraId="1CEE1CA1"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1.07</w:t>
            </w:r>
          </w:p>
        </w:tc>
        <w:tc>
          <w:tcPr>
            <w:tcW w:w="714" w:type="pct"/>
          </w:tcPr>
          <w:p w14:paraId="75CCFEB0"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0.63-1.83</w:t>
            </w:r>
          </w:p>
        </w:tc>
        <w:tc>
          <w:tcPr>
            <w:tcW w:w="557" w:type="pct"/>
          </w:tcPr>
          <w:p w14:paraId="54539A9A" w14:textId="77777777" w:rsidR="00DD142B" w:rsidRDefault="00F23CC1">
            <w:pPr>
              <w:jc w:val="right"/>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.20</w:t>
            </w:r>
          </w:p>
        </w:tc>
      </w:tr>
      <w:tr w:rsidR="00DD142B" w14:paraId="1D9A2CE2"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1FADBFDA" w14:textId="77777777" w:rsidR="00DD142B" w:rsidRDefault="00F23CC1">
            <w:pPr>
              <w:jc w:val="left"/>
              <w:rPr>
                <w:rFonts w:cs="Times New Roman"/>
                <w:sz w:val="18"/>
                <w:szCs w:val="18"/>
                <w:lang w:val="en-US"/>
              </w:rPr>
            </w:pPr>
            <w:r>
              <w:rPr>
                <w:rFonts w:cs="Times New Roman"/>
                <w:sz w:val="18"/>
                <w:szCs w:val="18"/>
                <w:lang w:val="en-US"/>
              </w:rPr>
              <w:t>Overall survival</w:t>
            </w:r>
          </w:p>
        </w:tc>
        <w:tc>
          <w:tcPr>
            <w:tcW w:w="918" w:type="pct"/>
          </w:tcPr>
          <w:p w14:paraId="67A5C4F7"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714" w:type="pct"/>
          </w:tcPr>
          <w:p w14:paraId="5D822F77"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557" w:type="pct"/>
          </w:tcPr>
          <w:p w14:paraId="6663CC1C" w14:textId="77777777" w:rsidR="00DD142B" w:rsidRDefault="00DD142B">
            <w:pPr>
              <w:jc w:val="right"/>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r>
      <w:tr w:rsidR="00DD142B" w14:paraId="517630B3"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3EB8A45B" w14:textId="77777777" w:rsidR="00DD142B" w:rsidRDefault="00F23CC1">
            <w:pPr>
              <w:jc w:val="left"/>
              <w:rPr>
                <w:rFonts w:cs="Times New Roman"/>
                <w:sz w:val="18"/>
                <w:szCs w:val="18"/>
                <w:lang w:val="en-US"/>
              </w:rPr>
            </w:pPr>
            <w:r>
              <w:rPr>
                <w:rFonts w:cs="Times New Roman"/>
                <w:b w:val="0"/>
                <w:sz w:val="18"/>
                <w:szCs w:val="18"/>
                <w:lang w:val="en-US"/>
              </w:rPr>
              <w:t xml:space="preserve">   Age: ≥60 vs &lt;60 years</w:t>
            </w:r>
          </w:p>
        </w:tc>
        <w:tc>
          <w:tcPr>
            <w:tcW w:w="918" w:type="pct"/>
          </w:tcPr>
          <w:p w14:paraId="4C86111F" w14:textId="77777777" w:rsidR="00DD142B" w:rsidRDefault="00F23CC1">
            <w:pPr>
              <w:tabs>
                <w:tab w:val="left" w:pos="1139"/>
              </w:tabs>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1.80</w:t>
            </w:r>
          </w:p>
        </w:tc>
        <w:tc>
          <w:tcPr>
            <w:tcW w:w="714" w:type="pct"/>
          </w:tcPr>
          <w:p w14:paraId="4E4BB8D7"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1.40-2.30</w:t>
            </w:r>
          </w:p>
        </w:tc>
        <w:tc>
          <w:tcPr>
            <w:tcW w:w="557" w:type="pct"/>
          </w:tcPr>
          <w:p w14:paraId="49FEDD22" w14:textId="77777777" w:rsidR="00DD142B" w:rsidRDefault="00F23CC1">
            <w:pPr>
              <w:jc w:val="right"/>
              <w:cnfStyle w:val="000000000000" w:firstRow="0" w:lastRow="0" w:firstColumn="0" w:lastColumn="0" w:oddVBand="0" w:evenVBand="0" w:oddHBand="0" w:evenHBand="0" w:firstRowFirstColumn="0" w:firstRowLastColumn="0" w:lastRowFirstColumn="0" w:lastRowLastColumn="0"/>
              <w:rPr>
                <w:rFonts w:cs="Times New Roman"/>
                <w:b/>
                <w:sz w:val="18"/>
                <w:szCs w:val="18"/>
                <w:lang w:val="en-US"/>
              </w:rPr>
            </w:pPr>
            <w:r>
              <w:rPr>
                <w:rFonts w:cs="Times New Roman"/>
                <w:b/>
                <w:sz w:val="18"/>
                <w:szCs w:val="18"/>
                <w:lang w:val="en-US"/>
              </w:rPr>
              <w:t>&lt;.0001</w:t>
            </w:r>
          </w:p>
        </w:tc>
      </w:tr>
      <w:tr w:rsidR="00DD142B" w14:paraId="2FAA2678"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3E372A94" w14:textId="77777777" w:rsidR="00DD142B" w:rsidRDefault="00F23CC1">
            <w:pPr>
              <w:jc w:val="left"/>
              <w:rPr>
                <w:rFonts w:cs="Times New Roman"/>
                <w:sz w:val="18"/>
                <w:szCs w:val="18"/>
                <w:lang w:val="en-US"/>
              </w:rPr>
            </w:pPr>
            <w:r>
              <w:rPr>
                <w:rFonts w:cs="Times New Roman"/>
                <w:b w:val="0"/>
                <w:sz w:val="18"/>
                <w:szCs w:val="18"/>
                <w:lang w:val="en-US"/>
              </w:rPr>
              <w:t xml:space="preserve">   WBC: ≥50 vs &lt;50 x 10</w:t>
            </w:r>
            <w:r>
              <w:rPr>
                <w:rFonts w:cs="Times New Roman"/>
                <w:b w:val="0"/>
                <w:sz w:val="18"/>
                <w:szCs w:val="18"/>
                <w:vertAlign w:val="superscript"/>
                <w:lang w:val="en-US"/>
              </w:rPr>
              <w:t>9</w:t>
            </w:r>
            <w:r>
              <w:rPr>
                <w:rFonts w:cs="Times New Roman"/>
                <w:b w:val="0"/>
                <w:sz w:val="18"/>
                <w:szCs w:val="18"/>
                <w:lang w:val="en-US"/>
              </w:rPr>
              <w:t>/L</w:t>
            </w:r>
          </w:p>
        </w:tc>
        <w:tc>
          <w:tcPr>
            <w:tcW w:w="918" w:type="pct"/>
          </w:tcPr>
          <w:p w14:paraId="65694AA7" w14:textId="77777777" w:rsidR="00DD142B" w:rsidRDefault="00F23CC1">
            <w:pPr>
              <w:tabs>
                <w:tab w:val="left" w:pos="1139"/>
              </w:tabs>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1.33</w:t>
            </w:r>
          </w:p>
        </w:tc>
        <w:tc>
          <w:tcPr>
            <w:tcW w:w="714" w:type="pct"/>
          </w:tcPr>
          <w:p w14:paraId="1361CF2C"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1.00-1.75</w:t>
            </w:r>
          </w:p>
        </w:tc>
        <w:tc>
          <w:tcPr>
            <w:tcW w:w="557" w:type="pct"/>
          </w:tcPr>
          <w:p w14:paraId="2A55910B" w14:textId="77777777" w:rsidR="00DD142B" w:rsidRDefault="00F23CC1">
            <w:pPr>
              <w:jc w:val="right"/>
              <w:cnfStyle w:val="000000100000" w:firstRow="0" w:lastRow="0" w:firstColumn="0" w:lastColumn="0" w:oddVBand="0" w:evenVBand="0" w:oddHBand="1" w:evenHBand="0" w:firstRowFirstColumn="0" w:firstRowLastColumn="0" w:lastRowFirstColumn="0" w:lastRowLastColumn="0"/>
              <w:rPr>
                <w:rFonts w:cs="Times New Roman"/>
                <w:b/>
                <w:sz w:val="18"/>
                <w:szCs w:val="18"/>
                <w:lang w:val="en-US"/>
              </w:rPr>
            </w:pPr>
            <w:r>
              <w:rPr>
                <w:rFonts w:cs="Times New Roman"/>
                <w:b/>
                <w:sz w:val="18"/>
                <w:szCs w:val="18"/>
                <w:lang w:val="en-US"/>
              </w:rPr>
              <w:t>.047</w:t>
            </w:r>
          </w:p>
        </w:tc>
      </w:tr>
      <w:tr w:rsidR="00DD142B" w14:paraId="3C546813"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2D928A68" w14:textId="77777777" w:rsidR="00DD142B" w:rsidRDefault="00F23CC1">
            <w:pPr>
              <w:jc w:val="left"/>
              <w:rPr>
                <w:rFonts w:cs="Times New Roman"/>
                <w:sz w:val="18"/>
                <w:szCs w:val="18"/>
                <w:lang w:val="en-US"/>
              </w:rPr>
            </w:pPr>
            <w:r>
              <w:rPr>
                <w:rFonts w:cs="Times New Roman"/>
                <w:b w:val="0"/>
                <w:sz w:val="18"/>
                <w:szCs w:val="18"/>
                <w:lang w:val="en-US"/>
              </w:rPr>
              <w:t xml:space="preserve">   LDH: ≥700 vs &lt;700 U/L</w:t>
            </w:r>
          </w:p>
        </w:tc>
        <w:tc>
          <w:tcPr>
            <w:tcW w:w="918" w:type="pct"/>
          </w:tcPr>
          <w:p w14:paraId="69D49630" w14:textId="77777777" w:rsidR="00DD142B" w:rsidRDefault="00F23CC1">
            <w:pPr>
              <w:tabs>
                <w:tab w:val="left" w:pos="1139"/>
              </w:tabs>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1.41</w:t>
            </w:r>
          </w:p>
        </w:tc>
        <w:tc>
          <w:tcPr>
            <w:tcW w:w="714" w:type="pct"/>
          </w:tcPr>
          <w:p w14:paraId="1B92AA8C"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1.08-1.86</w:t>
            </w:r>
          </w:p>
        </w:tc>
        <w:tc>
          <w:tcPr>
            <w:tcW w:w="557" w:type="pct"/>
          </w:tcPr>
          <w:p w14:paraId="64A5810B" w14:textId="77777777" w:rsidR="00DD142B" w:rsidRDefault="00F23CC1">
            <w:pPr>
              <w:jc w:val="right"/>
              <w:cnfStyle w:val="000000000000" w:firstRow="0" w:lastRow="0" w:firstColumn="0" w:lastColumn="0" w:oddVBand="0" w:evenVBand="0" w:oddHBand="0" w:evenHBand="0" w:firstRowFirstColumn="0" w:firstRowLastColumn="0" w:lastRowFirstColumn="0" w:lastRowLastColumn="0"/>
              <w:rPr>
                <w:rFonts w:cs="Times New Roman"/>
                <w:b/>
                <w:sz w:val="18"/>
                <w:szCs w:val="18"/>
                <w:lang w:val="en-US"/>
              </w:rPr>
            </w:pPr>
            <w:r>
              <w:rPr>
                <w:rFonts w:cs="Times New Roman"/>
                <w:b/>
                <w:sz w:val="18"/>
                <w:szCs w:val="18"/>
                <w:lang w:val="en-US"/>
              </w:rPr>
              <w:t>.012</w:t>
            </w:r>
          </w:p>
        </w:tc>
      </w:tr>
      <w:tr w:rsidR="00DD142B" w14:paraId="07024317"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0D297C05" w14:textId="77777777" w:rsidR="00DD142B" w:rsidRDefault="00F23CC1">
            <w:pPr>
              <w:jc w:val="left"/>
              <w:rPr>
                <w:rFonts w:cs="Times New Roman"/>
                <w:sz w:val="18"/>
                <w:szCs w:val="18"/>
                <w:lang w:val="en-US"/>
              </w:rPr>
            </w:pPr>
            <w:r>
              <w:rPr>
                <w:rFonts w:cs="Times New Roman"/>
                <w:b w:val="0"/>
                <w:sz w:val="18"/>
                <w:szCs w:val="18"/>
                <w:lang w:val="en-US"/>
              </w:rPr>
              <w:t xml:space="preserve">   Karyotype</w:t>
            </w:r>
            <w:r>
              <w:rPr>
                <w:rFonts w:cs="Times New Roman"/>
                <w:b w:val="0"/>
                <w:sz w:val="18"/>
                <w:szCs w:val="18"/>
                <w:vertAlign w:val="superscript"/>
                <w:lang w:val="en-US"/>
              </w:rPr>
              <w:t>§</w:t>
            </w:r>
            <w:r>
              <w:rPr>
                <w:rFonts w:cs="Times New Roman"/>
                <w:b w:val="0"/>
                <w:sz w:val="18"/>
                <w:szCs w:val="18"/>
                <w:lang w:val="en-US"/>
              </w:rPr>
              <w:t>:</w:t>
            </w:r>
          </w:p>
        </w:tc>
        <w:tc>
          <w:tcPr>
            <w:tcW w:w="918" w:type="pct"/>
          </w:tcPr>
          <w:p w14:paraId="0B877A80"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714" w:type="pct"/>
          </w:tcPr>
          <w:p w14:paraId="67733A31"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557" w:type="pct"/>
          </w:tcPr>
          <w:p w14:paraId="4A8C64C2" w14:textId="77777777" w:rsidR="00DD142B" w:rsidRDefault="00F23CC1">
            <w:pPr>
              <w:jc w:val="right"/>
              <w:cnfStyle w:val="000000100000" w:firstRow="0" w:lastRow="0" w:firstColumn="0" w:lastColumn="0" w:oddVBand="0" w:evenVBand="0" w:oddHBand="1" w:evenHBand="0" w:firstRowFirstColumn="0" w:firstRowLastColumn="0" w:lastRowFirstColumn="0" w:lastRowLastColumn="0"/>
              <w:rPr>
                <w:rFonts w:cs="Times New Roman"/>
                <w:b/>
                <w:sz w:val="18"/>
                <w:szCs w:val="18"/>
                <w:lang w:val="en-US"/>
              </w:rPr>
            </w:pPr>
            <w:r>
              <w:rPr>
                <w:rFonts w:cs="Times New Roman"/>
                <w:b/>
                <w:sz w:val="18"/>
                <w:szCs w:val="18"/>
                <w:lang w:val="en-US"/>
              </w:rPr>
              <w:t>.0003</w:t>
            </w:r>
          </w:p>
        </w:tc>
      </w:tr>
      <w:tr w:rsidR="00DD142B" w14:paraId="1D0F924F"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7CD4904F" w14:textId="77777777" w:rsidR="00DD142B" w:rsidRDefault="00F23CC1">
            <w:pPr>
              <w:jc w:val="left"/>
              <w:rPr>
                <w:rFonts w:cs="Times New Roman"/>
                <w:sz w:val="18"/>
                <w:szCs w:val="18"/>
                <w:lang w:val="en-US"/>
              </w:rPr>
            </w:pPr>
            <w:r>
              <w:rPr>
                <w:rFonts w:cs="Times New Roman"/>
                <w:b w:val="0"/>
                <w:sz w:val="18"/>
                <w:szCs w:val="18"/>
                <w:lang w:val="en-US"/>
              </w:rPr>
              <w:t xml:space="preserve">      Favorable vs intermediate risk</w:t>
            </w:r>
          </w:p>
        </w:tc>
        <w:tc>
          <w:tcPr>
            <w:tcW w:w="918" w:type="pct"/>
          </w:tcPr>
          <w:p w14:paraId="01B1276E"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0.38</w:t>
            </w:r>
          </w:p>
        </w:tc>
        <w:tc>
          <w:tcPr>
            <w:tcW w:w="714" w:type="pct"/>
          </w:tcPr>
          <w:p w14:paraId="04425CD7"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0.23-0.63</w:t>
            </w:r>
          </w:p>
        </w:tc>
        <w:tc>
          <w:tcPr>
            <w:tcW w:w="557" w:type="pct"/>
          </w:tcPr>
          <w:p w14:paraId="00F0483A" w14:textId="77777777" w:rsidR="00DD142B" w:rsidRDefault="00F23CC1">
            <w:pPr>
              <w:jc w:val="right"/>
              <w:cnfStyle w:val="000000000000" w:firstRow="0" w:lastRow="0" w:firstColumn="0" w:lastColumn="0" w:oddVBand="0" w:evenVBand="0" w:oddHBand="0" w:evenHBand="0" w:firstRowFirstColumn="0" w:firstRowLastColumn="0" w:lastRowFirstColumn="0" w:lastRowLastColumn="0"/>
              <w:rPr>
                <w:rFonts w:cs="Times New Roman"/>
                <w:b/>
                <w:sz w:val="18"/>
                <w:szCs w:val="18"/>
                <w:lang w:val="en-US"/>
              </w:rPr>
            </w:pPr>
            <w:r>
              <w:rPr>
                <w:rFonts w:cs="Times New Roman"/>
                <w:b/>
                <w:sz w:val="18"/>
                <w:szCs w:val="18"/>
                <w:lang w:val="en-US"/>
              </w:rPr>
              <w:t>.0002</w:t>
            </w:r>
          </w:p>
        </w:tc>
      </w:tr>
      <w:tr w:rsidR="00DD142B" w14:paraId="10EA7A09"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796CA296" w14:textId="77777777" w:rsidR="00DD142B" w:rsidRDefault="00F23CC1">
            <w:pPr>
              <w:jc w:val="left"/>
              <w:rPr>
                <w:rFonts w:cs="Times New Roman"/>
                <w:sz w:val="18"/>
                <w:szCs w:val="18"/>
                <w:lang w:val="en-US"/>
              </w:rPr>
            </w:pPr>
            <w:r>
              <w:rPr>
                <w:rFonts w:cs="Times New Roman"/>
                <w:b w:val="0"/>
                <w:sz w:val="18"/>
                <w:szCs w:val="18"/>
                <w:lang w:val="en-US"/>
              </w:rPr>
              <w:t xml:space="preserve">      Adverse vs intermediate risk</w:t>
            </w:r>
          </w:p>
        </w:tc>
        <w:tc>
          <w:tcPr>
            <w:tcW w:w="918" w:type="pct"/>
          </w:tcPr>
          <w:p w14:paraId="57A65AA6"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1.15</w:t>
            </w:r>
          </w:p>
        </w:tc>
        <w:tc>
          <w:tcPr>
            <w:tcW w:w="714" w:type="pct"/>
          </w:tcPr>
          <w:p w14:paraId="23F0882B"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0.82-1.60</w:t>
            </w:r>
          </w:p>
        </w:tc>
        <w:tc>
          <w:tcPr>
            <w:tcW w:w="557" w:type="pct"/>
          </w:tcPr>
          <w:p w14:paraId="5DA4A8BE" w14:textId="77777777" w:rsidR="00DD142B" w:rsidRDefault="00F23CC1">
            <w:pPr>
              <w:jc w:val="right"/>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.43</w:t>
            </w:r>
          </w:p>
        </w:tc>
      </w:tr>
      <w:tr w:rsidR="00DD142B" w14:paraId="266F18AF"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0E586C29" w14:textId="77777777" w:rsidR="00DD142B" w:rsidRDefault="00F23CC1">
            <w:pPr>
              <w:jc w:val="left"/>
              <w:rPr>
                <w:rFonts w:cs="Times New Roman"/>
                <w:sz w:val="18"/>
                <w:szCs w:val="18"/>
                <w:lang w:val="en-US"/>
              </w:rPr>
            </w:pPr>
            <w:r>
              <w:rPr>
                <w:rFonts w:cs="Times New Roman"/>
                <w:b w:val="0"/>
                <w:i/>
                <w:sz w:val="18"/>
                <w:szCs w:val="18"/>
                <w:lang w:val="en-US"/>
              </w:rPr>
              <w:t xml:space="preserve">   NPM1</w:t>
            </w:r>
            <w:r>
              <w:rPr>
                <w:rFonts w:cs="Times New Roman"/>
                <w:b w:val="0"/>
                <w:sz w:val="18"/>
                <w:szCs w:val="18"/>
                <w:lang w:val="en-US"/>
              </w:rPr>
              <w:t>/</w:t>
            </w:r>
            <w:r>
              <w:rPr>
                <w:rFonts w:cs="Times New Roman"/>
                <w:b w:val="0"/>
                <w:i/>
                <w:sz w:val="18"/>
                <w:szCs w:val="18"/>
                <w:lang w:val="en-US"/>
              </w:rPr>
              <w:t>FLT3</w:t>
            </w:r>
            <w:r>
              <w:rPr>
                <w:rFonts w:cs="Times New Roman"/>
                <w:b w:val="0"/>
                <w:sz w:val="18"/>
                <w:szCs w:val="18"/>
                <w:lang w:val="en-US"/>
              </w:rPr>
              <w:t>-ITD mutation status</w:t>
            </w:r>
            <w:r>
              <w:rPr>
                <w:rFonts w:cs="Times New Roman"/>
                <w:sz w:val="18"/>
                <w:szCs w:val="18"/>
                <w:vertAlign w:val="superscript"/>
                <w:lang w:val="en-US"/>
              </w:rPr>
              <w:t>‡</w:t>
            </w:r>
            <w:r>
              <w:rPr>
                <w:rFonts w:cs="Times New Roman"/>
                <w:b w:val="0"/>
                <w:sz w:val="18"/>
                <w:szCs w:val="18"/>
                <w:lang w:val="en-US"/>
              </w:rPr>
              <w:t>:</w:t>
            </w:r>
          </w:p>
        </w:tc>
        <w:tc>
          <w:tcPr>
            <w:tcW w:w="918" w:type="pct"/>
          </w:tcPr>
          <w:p w14:paraId="713A1FE8" w14:textId="77777777" w:rsidR="00DD142B" w:rsidRDefault="00DD142B">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c>
          <w:tcPr>
            <w:tcW w:w="714" w:type="pct"/>
          </w:tcPr>
          <w:p w14:paraId="5DE6FE44" w14:textId="77777777" w:rsidR="00DD142B" w:rsidRDefault="00DD142B">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c>
          <w:tcPr>
            <w:tcW w:w="557" w:type="pct"/>
          </w:tcPr>
          <w:p w14:paraId="01B561A1" w14:textId="77777777" w:rsidR="00DD142B" w:rsidRDefault="00F23CC1">
            <w:pPr>
              <w:jc w:val="right"/>
              <w:cnfStyle w:val="000000000000" w:firstRow="0" w:lastRow="0" w:firstColumn="0" w:lastColumn="0" w:oddVBand="0" w:evenVBand="0" w:oddHBand="0" w:evenHBand="0" w:firstRowFirstColumn="0" w:firstRowLastColumn="0" w:lastRowFirstColumn="0" w:lastRowLastColumn="0"/>
              <w:rPr>
                <w:rFonts w:cs="Times New Roman"/>
                <w:b/>
                <w:sz w:val="18"/>
                <w:szCs w:val="18"/>
                <w:lang w:val="en-US"/>
              </w:rPr>
            </w:pPr>
            <w:r>
              <w:rPr>
                <w:rFonts w:cs="Times New Roman"/>
                <w:b/>
                <w:sz w:val="18"/>
                <w:szCs w:val="18"/>
                <w:lang w:val="en-US"/>
              </w:rPr>
              <w:t>.0002</w:t>
            </w:r>
          </w:p>
        </w:tc>
      </w:tr>
      <w:tr w:rsidR="00DD142B" w14:paraId="572F2749"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0F12B816" w14:textId="77777777" w:rsidR="00DD142B" w:rsidRDefault="00F23CC1">
            <w:pPr>
              <w:jc w:val="left"/>
              <w:rPr>
                <w:rFonts w:cs="Times New Roman"/>
                <w:sz w:val="18"/>
                <w:szCs w:val="18"/>
                <w:lang w:val="en-US"/>
              </w:rPr>
            </w:pPr>
            <w:r>
              <w:rPr>
                <w:rFonts w:cs="Times New Roman"/>
                <w:b w:val="0"/>
                <w:sz w:val="18"/>
                <w:szCs w:val="18"/>
                <w:lang w:val="en-US"/>
              </w:rPr>
              <w:t xml:space="preserve">      Low vs intermediate risk</w:t>
            </w:r>
          </w:p>
        </w:tc>
        <w:tc>
          <w:tcPr>
            <w:tcW w:w="918" w:type="pct"/>
          </w:tcPr>
          <w:p w14:paraId="5C2CEB8C"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0.46</w:t>
            </w:r>
          </w:p>
        </w:tc>
        <w:tc>
          <w:tcPr>
            <w:tcW w:w="714" w:type="pct"/>
          </w:tcPr>
          <w:p w14:paraId="4255459B"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0.32-0.67</w:t>
            </w:r>
          </w:p>
        </w:tc>
        <w:tc>
          <w:tcPr>
            <w:tcW w:w="557" w:type="pct"/>
          </w:tcPr>
          <w:p w14:paraId="5C5C2CCA" w14:textId="77777777" w:rsidR="00DD142B" w:rsidRDefault="00F23CC1">
            <w:pPr>
              <w:jc w:val="right"/>
              <w:cnfStyle w:val="000000100000" w:firstRow="0" w:lastRow="0" w:firstColumn="0" w:lastColumn="0" w:oddVBand="0" w:evenVBand="0" w:oddHBand="1" w:evenHBand="0" w:firstRowFirstColumn="0" w:firstRowLastColumn="0" w:lastRowFirstColumn="0" w:lastRowLastColumn="0"/>
              <w:rPr>
                <w:rFonts w:cs="Times New Roman"/>
                <w:b/>
                <w:sz w:val="18"/>
                <w:szCs w:val="18"/>
                <w:lang w:val="en-US"/>
              </w:rPr>
            </w:pPr>
            <w:r>
              <w:rPr>
                <w:rFonts w:cs="Times New Roman"/>
                <w:b/>
                <w:sz w:val="18"/>
                <w:szCs w:val="18"/>
                <w:lang w:val="en-US"/>
              </w:rPr>
              <w:t>&lt;.0001</w:t>
            </w:r>
          </w:p>
        </w:tc>
      </w:tr>
      <w:tr w:rsidR="00DD142B" w14:paraId="2E0418B6"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4702F68F" w14:textId="77777777" w:rsidR="00DD142B" w:rsidRDefault="00F23CC1">
            <w:pPr>
              <w:jc w:val="left"/>
              <w:rPr>
                <w:rFonts w:cs="Times New Roman"/>
                <w:sz w:val="18"/>
                <w:szCs w:val="18"/>
                <w:lang w:val="en-US"/>
              </w:rPr>
            </w:pPr>
            <w:r>
              <w:rPr>
                <w:rFonts w:cs="Times New Roman"/>
                <w:b w:val="0"/>
                <w:sz w:val="18"/>
                <w:szCs w:val="18"/>
                <w:lang w:val="en-US"/>
              </w:rPr>
              <w:t xml:space="preserve">      High vs intermediate risk</w:t>
            </w:r>
          </w:p>
        </w:tc>
        <w:tc>
          <w:tcPr>
            <w:tcW w:w="918" w:type="pct"/>
          </w:tcPr>
          <w:p w14:paraId="57B99A06"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1.12</w:t>
            </w:r>
          </w:p>
        </w:tc>
        <w:tc>
          <w:tcPr>
            <w:tcW w:w="714" w:type="pct"/>
          </w:tcPr>
          <w:p w14:paraId="0656BC5D"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0.66-1.92</w:t>
            </w:r>
          </w:p>
        </w:tc>
        <w:tc>
          <w:tcPr>
            <w:tcW w:w="557" w:type="pct"/>
          </w:tcPr>
          <w:p w14:paraId="4884E9A4" w14:textId="77777777" w:rsidR="00DD142B" w:rsidRDefault="00F23CC1">
            <w:pPr>
              <w:jc w:val="right"/>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.67</w:t>
            </w:r>
          </w:p>
        </w:tc>
      </w:tr>
      <w:tr w:rsidR="00DD142B" w14:paraId="5438D3F7"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6E34D9AD" w14:textId="77777777" w:rsidR="00DD142B" w:rsidRDefault="00F23CC1">
            <w:pPr>
              <w:jc w:val="left"/>
              <w:rPr>
                <w:rFonts w:cs="Times New Roman"/>
                <w:sz w:val="18"/>
                <w:szCs w:val="18"/>
                <w:lang w:val="en-US"/>
              </w:rPr>
            </w:pPr>
            <w:r>
              <w:rPr>
                <w:rFonts w:cs="Times New Roman"/>
                <w:b w:val="0"/>
                <w:i/>
                <w:sz w:val="18"/>
                <w:szCs w:val="18"/>
                <w:lang w:val="en-US"/>
              </w:rPr>
              <w:t xml:space="preserve">   CEPBA</w:t>
            </w:r>
            <w:r>
              <w:rPr>
                <w:rFonts w:cs="Times New Roman"/>
                <w:b w:val="0"/>
                <w:sz w:val="18"/>
                <w:szCs w:val="18"/>
                <w:lang w:val="en-US"/>
              </w:rPr>
              <w:t>: double mutated vs wild type or single mutated</w:t>
            </w:r>
          </w:p>
        </w:tc>
        <w:tc>
          <w:tcPr>
            <w:tcW w:w="918" w:type="pct"/>
          </w:tcPr>
          <w:p w14:paraId="7C8FC0B3"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0.51</w:t>
            </w:r>
          </w:p>
        </w:tc>
        <w:tc>
          <w:tcPr>
            <w:tcW w:w="714" w:type="pct"/>
          </w:tcPr>
          <w:p w14:paraId="31E080CC"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0.24-1.06</w:t>
            </w:r>
          </w:p>
        </w:tc>
        <w:tc>
          <w:tcPr>
            <w:tcW w:w="557" w:type="pct"/>
          </w:tcPr>
          <w:p w14:paraId="0CB9EFFF" w14:textId="77777777" w:rsidR="00DD142B" w:rsidRDefault="00F23CC1">
            <w:pPr>
              <w:jc w:val="right"/>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.070</w:t>
            </w:r>
          </w:p>
        </w:tc>
      </w:tr>
      <w:tr w:rsidR="00DD142B" w14:paraId="29500B52"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23288BC4" w14:textId="77777777" w:rsidR="00DD142B" w:rsidRDefault="00F23CC1">
            <w:pPr>
              <w:jc w:val="left"/>
              <w:rPr>
                <w:rFonts w:cs="Times New Roman"/>
                <w:i/>
                <w:sz w:val="18"/>
                <w:szCs w:val="18"/>
                <w:lang w:val="en-US"/>
              </w:rPr>
            </w:pPr>
            <w:r>
              <w:rPr>
                <w:rFonts w:cs="Times New Roman"/>
                <w:b w:val="0"/>
                <w:i/>
                <w:sz w:val="18"/>
                <w:szCs w:val="18"/>
                <w:lang w:val="en-US"/>
              </w:rPr>
              <w:t xml:space="preserve">   RUNX1</w:t>
            </w:r>
            <w:r>
              <w:rPr>
                <w:rFonts w:cs="Times New Roman"/>
                <w:b w:val="0"/>
                <w:sz w:val="18"/>
                <w:szCs w:val="18"/>
                <w:lang w:val="en-US"/>
              </w:rPr>
              <w:t>: mutated vs wild type</w:t>
            </w:r>
          </w:p>
        </w:tc>
        <w:tc>
          <w:tcPr>
            <w:tcW w:w="918" w:type="pct"/>
          </w:tcPr>
          <w:p w14:paraId="65869A4B"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1.64</w:t>
            </w:r>
          </w:p>
        </w:tc>
        <w:tc>
          <w:tcPr>
            <w:tcW w:w="714" w:type="pct"/>
          </w:tcPr>
          <w:p w14:paraId="77DA2302"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1.18-2.29</w:t>
            </w:r>
          </w:p>
        </w:tc>
        <w:tc>
          <w:tcPr>
            <w:tcW w:w="557" w:type="pct"/>
          </w:tcPr>
          <w:p w14:paraId="067DF5EC" w14:textId="77777777" w:rsidR="00DD142B" w:rsidRDefault="00F23CC1">
            <w:pPr>
              <w:jc w:val="right"/>
              <w:cnfStyle w:val="000000000000" w:firstRow="0" w:lastRow="0" w:firstColumn="0" w:lastColumn="0" w:oddVBand="0" w:evenVBand="0" w:oddHBand="0" w:evenHBand="0" w:firstRowFirstColumn="0" w:firstRowLastColumn="0" w:lastRowFirstColumn="0" w:lastRowLastColumn="0"/>
              <w:rPr>
                <w:rFonts w:cs="Times New Roman"/>
                <w:b/>
                <w:sz w:val="18"/>
                <w:szCs w:val="18"/>
                <w:lang w:val="en-US"/>
              </w:rPr>
            </w:pPr>
            <w:r>
              <w:rPr>
                <w:rFonts w:cs="Times New Roman"/>
                <w:b/>
                <w:sz w:val="18"/>
                <w:szCs w:val="18"/>
                <w:lang w:val="en-US"/>
              </w:rPr>
              <w:t>.0035</w:t>
            </w:r>
          </w:p>
        </w:tc>
      </w:tr>
      <w:tr w:rsidR="00DD142B" w14:paraId="6A16D77E"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7ECEFF2F" w14:textId="77777777" w:rsidR="00DD142B" w:rsidRDefault="00F23CC1">
            <w:pPr>
              <w:jc w:val="left"/>
              <w:rPr>
                <w:rFonts w:cs="Times New Roman"/>
                <w:sz w:val="18"/>
                <w:szCs w:val="18"/>
                <w:lang w:val="en-US"/>
              </w:rPr>
            </w:pPr>
            <w:r>
              <w:rPr>
                <w:rFonts w:cs="Times New Roman"/>
                <w:b w:val="0"/>
                <w:sz w:val="18"/>
                <w:szCs w:val="18"/>
                <w:lang w:val="en-US"/>
              </w:rPr>
              <w:t xml:space="preserve">   </w:t>
            </w:r>
            <w:r>
              <w:rPr>
                <w:rFonts w:cs="Times New Roman"/>
                <w:b w:val="0"/>
                <w:i/>
                <w:sz w:val="18"/>
                <w:szCs w:val="18"/>
                <w:lang w:val="en-US"/>
              </w:rPr>
              <w:t>TP53</w:t>
            </w:r>
            <w:r>
              <w:rPr>
                <w:rFonts w:cs="Times New Roman"/>
                <w:b w:val="0"/>
                <w:sz w:val="18"/>
                <w:szCs w:val="18"/>
                <w:lang w:val="en-US"/>
              </w:rPr>
              <w:t>: mutated vs wild type</w:t>
            </w:r>
          </w:p>
        </w:tc>
        <w:tc>
          <w:tcPr>
            <w:tcW w:w="918" w:type="pct"/>
          </w:tcPr>
          <w:p w14:paraId="6620A954"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2.18</w:t>
            </w:r>
          </w:p>
        </w:tc>
        <w:tc>
          <w:tcPr>
            <w:tcW w:w="714" w:type="pct"/>
          </w:tcPr>
          <w:p w14:paraId="0E0CF414"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1.41-3.36</w:t>
            </w:r>
          </w:p>
        </w:tc>
        <w:tc>
          <w:tcPr>
            <w:tcW w:w="557" w:type="pct"/>
          </w:tcPr>
          <w:p w14:paraId="21FC60B6" w14:textId="77777777" w:rsidR="00DD142B" w:rsidRDefault="00F23CC1">
            <w:pPr>
              <w:jc w:val="right"/>
              <w:cnfStyle w:val="000000100000" w:firstRow="0" w:lastRow="0" w:firstColumn="0" w:lastColumn="0" w:oddVBand="0" w:evenVBand="0" w:oddHBand="1" w:evenHBand="0" w:firstRowFirstColumn="0" w:firstRowLastColumn="0" w:lastRowFirstColumn="0" w:lastRowLastColumn="0"/>
              <w:rPr>
                <w:rFonts w:cs="Times New Roman"/>
                <w:b/>
                <w:sz w:val="18"/>
                <w:szCs w:val="18"/>
                <w:lang w:val="en-US"/>
              </w:rPr>
            </w:pPr>
            <w:r>
              <w:rPr>
                <w:rFonts w:cs="Times New Roman"/>
                <w:b/>
                <w:sz w:val="18"/>
                <w:szCs w:val="18"/>
                <w:lang w:val="en-US"/>
              </w:rPr>
              <w:t>.0004</w:t>
            </w:r>
          </w:p>
        </w:tc>
      </w:tr>
      <w:tr w:rsidR="00DD142B" w14:paraId="6E6FB557"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0955F184" w14:textId="77777777" w:rsidR="00DD142B" w:rsidRDefault="00F23CC1">
            <w:pPr>
              <w:jc w:val="left"/>
              <w:rPr>
                <w:rFonts w:cs="Times New Roman"/>
                <w:sz w:val="18"/>
                <w:szCs w:val="18"/>
                <w:lang w:val="en-US"/>
              </w:rPr>
            </w:pPr>
            <w:r>
              <w:rPr>
                <w:rFonts w:cs="Times New Roman"/>
                <w:b w:val="0"/>
                <w:sz w:val="18"/>
                <w:szCs w:val="18"/>
                <w:lang w:val="en-US"/>
              </w:rPr>
              <w:t xml:space="preserve">   </w:t>
            </w:r>
            <w:r>
              <w:rPr>
                <w:rFonts w:cs="Times New Roman"/>
                <w:b w:val="0"/>
                <w:i/>
                <w:sz w:val="18"/>
                <w:szCs w:val="18"/>
                <w:lang w:val="en-US"/>
              </w:rPr>
              <w:t>CALCRL</w:t>
            </w:r>
            <w:r>
              <w:rPr>
                <w:rFonts w:cs="Times New Roman"/>
                <w:b w:val="0"/>
                <w:sz w:val="18"/>
                <w:szCs w:val="18"/>
                <w:lang w:val="en-US"/>
              </w:rPr>
              <w:t xml:space="preserve"> expression:</w:t>
            </w:r>
          </w:p>
        </w:tc>
        <w:tc>
          <w:tcPr>
            <w:tcW w:w="918" w:type="pct"/>
          </w:tcPr>
          <w:p w14:paraId="411F0847" w14:textId="77777777" w:rsidR="00DD142B" w:rsidRDefault="00DD142B">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c>
          <w:tcPr>
            <w:tcW w:w="714" w:type="pct"/>
          </w:tcPr>
          <w:p w14:paraId="5E8D75E4" w14:textId="77777777" w:rsidR="00DD142B" w:rsidRDefault="00DD142B">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c>
          <w:tcPr>
            <w:tcW w:w="557" w:type="pct"/>
          </w:tcPr>
          <w:p w14:paraId="73F08D75" w14:textId="77777777" w:rsidR="00DD142B" w:rsidRDefault="00F23CC1">
            <w:pPr>
              <w:jc w:val="right"/>
              <w:cnfStyle w:val="000000000000" w:firstRow="0" w:lastRow="0" w:firstColumn="0" w:lastColumn="0" w:oddVBand="0" w:evenVBand="0" w:oddHBand="0" w:evenHBand="0" w:firstRowFirstColumn="0" w:firstRowLastColumn="0" w:lastRowFirstColumn="0" w:lastRowLastColumn="0"/>
              <w:rPr>
                <w:rFonts w:cs="Times New Roman"/>
                <w:b/>
                <w:sz w:val="18"/>
                <w:szCs w:val="18"/>
                <w:lang w:val="en-US"/>
              </w:rPr>
            </w:pPr>
            <w:r>
              <w:rPr>
                <w:rFonts w:cs="Times New Roman"/>
                <w:b/>
                <w:sz w:val="18"/>
                <w:szCs w:val="18"/>
                <w:lang w:val="en-US"/>
              </w:rPr>
              <w:t>.024</w:t>
            </w:r>
          </w:p>
        </w:tc>
      </w:tr>
      <w:tr w:rsidR="00DD142B" w14:paraId="31BE14F3"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4E8CC3EA" w14:textId="77777777" w:rsidR="00DD142B" w:rsidRDefault="00F23CC1">
            <w:pPr>
              <w:jc w:val="left"/>
              <w:rPr>
                <w:rFonts w:cs="Times New Roman"/>
                <w:sz w:val="18"/>
                <w:szCs w:val="18"/>
                <w:lang w:val="en-US"/>
              </w:rPr>
            </w:pPr>
            <w:r>
              <w:rPr>
                <w:rFonts w:cs="Times New Roman"/>
                <w:b w:val="0"/>
                <w:sz w:val="18"/>
                <w:szCs w:val="18"/>
                <w:lang w:val="en-US"/>
              </w:rPr>
              <w:t xml:space="preserve">      Low vs intermediate</w:t>
            </w:r>
          </w:p>
        </w:tc>
        <w:tc>
          <w:tcPr>
            <w:tcW w:w="918" w:type="pct"/>
          </w:tcPr>
          <w:p w14:paraId="0944C4D9"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0.71</w:t>
            </w:r>
          </w:p>
        </w:tc>
        <w:tc>
          <w:tcPr>
            <w:tcW w:w="714" w:type="pct"/>
          </w:tcPr>
          <w:p w14:paraId="2E406E55"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0.51-0.98</w:t>
            </w:r>
          </w:p>
        </w:tc>
        <w:tc>
          <w:tcPr>
            <w:tcW w:w="557" w:type="pct"/>
          </w:tcPr>
          <w:p w14:paraId="78D580E0" w14:textId="77777777" w:rsidR="00DD142B" w:rsidRDefault="00F23CC1">
            <w:pPr>
              <w:jc w:val="right"/>
              <w:cnfStyle w:val="000000100000" w:firstRow="0" w:lastRow="0" w:firstColumn="0" w:lastColumn="0" w:oddVBand="0" w:evenVBand="0" w:oddHBand="1" w:evenHBand="0" w:firstRowFirstColumn="0" w:firstRowLastColumn="0" w:lastRowFirstColumn="0" w:lastRowLastColumn="0"/>
              <w:rPr>
                <w:rFonts w:cs="Times New Roman"/>
                <w:b/>
                <w:sz w:val="18"/>
                <w:szCs w:val="18"/>
                <w:lang w:val="en-US"/>
              </w:rPr>
            </w:pPr>
            <w:r>
              <w:rPr>
                <w:rFonts w:cs="Times New Roman"/>
                <w:b/>
                <w:sz w:val="18"/>
                <w:szCs w:val="18"/>
                <w:lang w:val="en-US"/>
              </w:rPr>
              <w:t>.038</w:t>
            </w:r>
          </w:p>
        </w:tc>
      </w:tr>
      <w:tr w:rsidR="00DD142B" w14:paraId="3FCCADCF"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6436869E" w14:textId="77777777" w:rsidR="00DD142B" w:rsidRDefault="00F23CC1">
            <w:pPr>
              <w:jc w:val="left"/>
              <w:rPr>
                <w:rFonts w:cs="Times New Roman"/>
                <w:sz w:val="18"/>
                <w:szCs w:val="18"/>
                <w:lang w:val="en-US"/>
              </w:rPr>
            </w:pPr>
            <w:r>
              <w:rPr>
                <w:rFonts w:cs="Times New Roman"/>
                <w:b w:val="0"/>
                <w:sz w:val="18"/>
                <w:szCs w:val="18"/>
                <w:lang w:val="en-US"/>
              </w:rPr>
              <w:t xml:space="preserve">      High vs intermediate</w:t>
            </w:r>
          </w:p>
        </w:tc>
        <w:tc>
          <w:tcPr>
            <w:tcW w:w="918" w:type="pct"/>
          </w:tcPr>
          <w:p w14:paraId="1AD73B29"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1.16</w:t>
            </w:r>
          </w:p>
        </w:tc>
        <w:tc>
          <w:tcPr>
            <w:tcW w:w="714" w:type="pct"/>
          </w:tcPr>
          <w:p w14:paraId="4E054C9D"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0.88-1.54</w:t>
            </w:r>
          </w:p>
        </w:tc>
        <w:tc>
          <w:tcPr>
            <w:tcW w:w="557" w:type="pct"/>
          </w:tcPr>
          <w:p w14:paraId="3C591022" w14:textId="77777777" w:rsidR="00DD142B" w:rsidRDefault="00F23CC1">
            <w:pPr>
              <w:jc w:val="right"/>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.30</w:t>
            </w:r>
          </w:p>
        </w:tc>
      </w:tr>
      <w:tr w:rsidR="00DD142B" w14:paraId="4E2EA1D1"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2A34C6A7" w14:textId="77777777" w:rsidR="00DD142B" w:rsidRDefault="00F23CC1">
            <w:pPr>
              <w:jc w:val="left"/>
              <w:rPr>
                <w:rFonts w:cs="Times New Roman"/>
                <w:sz w:val="18"/>
                <w:szCs w:val="18"/>
                <w:lang w:val="en-US"/>
              </w:rPr>
            </w:pPr>
            <w:r>
              <w:rPr>
                <w:rFonts w:cs="Times New Roman"/>
                <w:sz w:val="18"/>
                <w:szCs w:val="18"/>
                <w:lang w:val="en-US"/>
              </w:rPr>
              <w:t>Event-free survival</w:t>
            </w:r>
          </w:p>
        </w:tc>
        <w:tc>
          <w:tcPr>
            <w:tcW w:w="918" w:type="pct"/>
          </w:tcPr>
          <w:p w14:paraId="45B5B016"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714" w:type="pct"/>
          </w:tcPr>
          <w:p w14:paraId="66311767"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557" w:type="pct"/>
          </w:tcPr>
          <w:p w14:paraId="045BBB57" w14:textId="77777777" w:rsidR="00DD142B" w:rsidRDefault="00DD142B">
            <w:pPr>
              <w:jc w:val="right"/>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r>
      <w:tr w:rsidR="00DD142B" w14:paraId="117FC223"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6E02A504" w14:textId="77777777" w:rsidR="00DD142B" w:rsidRDefault="00F23CC1">
            <w:pPr>
              <w:jc w:val="left"/>
              <w:rPr>
                <w:rFonts w:cs="Times New Roman"/>
                <w:sz w:val="18"/>
                <w:szCs w:val="18"/>
                <w:lang w:val="en-US"/>
              </w:rPr>
            </w:pPr>
            <w:r>
              <w:rPr>
                <w:rFonts w:cs="Times New Roman"/>
                <w:b w:val="0"/>
                <w:sz w:val="18"/>
                <w:szCs w:val="18"/>
                <w:lang w:val="en-US"/>
              </w:rPr>
              <w:t xml:space="preserve">   Age: ≥60 vs &lt;60 years</w:t>
            </w:r>
          </w:p>
        </w:tc>
        <w:tc>
          <w:tcPr>
            <w:tcW w:w="918" w:type="pct"/>
          </w:tcPr>
          <w:p w14:paraId="76817F57"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1.62</w:t>
            </w:r>
          </w:p>
        </w:tc>
        <w:tc>
          <w:tcPr>
            <w:tcW w:w="714" w:type="pct"/>
          </w:tcPr>
          <w:p w14:paraId="60FF143B"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1.28-2.05</w:t>
            </w:r>
          </w:p>
        </w:tc>
        <w:tc>
          <w:tcPr>
            <w:tcW w:w="557" w:type="pct"/>
          </w:tcPr>
          <w:p w14:paraId="34B7FD5E" w14:textId="77777777" w:rsidR="00DD142B" w:rsidRDefault="00F23CC1">
            <w:pPr>
              <w:jc w:val="right"/>
              <w:cnfStyle w:val="000000000000" w:firstRow="0" w:lastRow="0" w:firstColumn="0" w:lastColumn="0" w:oddVBand="0" w:evenVBand="0" w:oddHBand="0" w:evenHBand="0" w:firstRowFirstColumn="0" w:firstRowLastColumn="0" w:lastRowFirstColumn="0" w:lastRowLastColumn="0"/>
              <w:rPr>
                <w:rFonts w:cs="Times New Roman"/>
                <w:b/>
                <w:sz w:val="18"/>
                <w:szCs w:val="18"/>
                <w:lang w:val="en-US"/>
              </w:rPr>
            </w:pPr>
            <w:r>
              <w:rPr>
                <w:rFonts w:cs="Times New Roman"/>
                <w:b/>
                <w:sz w:val="18"/>
                <w:szCs w:val="18"/>
                <w:lang w:val="en-US"/>
              </w:rPr>
              <w:t>&lt;.0001</w:t>
            </w:r>
          </w:p>
        </w:tc>
      </w:tr>
      <w:tr w:rsidR="00DD142B" w14:paraId="6B31ECC3"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6D477B06" w14:textId="77777777" w:rsidR="00DD142B" w:rsidRDefault="00F23CC1">
            <w:pPr>
              <w:jc w:val="left"/>
              <w:rPr>
                <w:rFonts w:cs="Times New Roman"/>
                <w:sz w:val="18"/>
                <w:szCs w:val="18"/>
                <w:lang w:val="en-US"/>
              </w:rPr>
            </w:pPr>
            <w:r>
              <w:rPr>
                <w:rFonts w:cs="Times New Roman"/>
                <w:b w:val="0"/>
                <w:sz w:val="18"/>
                <w:szCs w:val="18"/>
                <w:lang w:val="en-US"/>
              </w:rPr>
              <w:t xml:space="preserve">   WBC: ≥50 vs &lt;50 x 10</w:t>
            </w:r>
            <w:r>
              <w:rPr>
                <w:rFonts w:cs="Times New Roman"/>
                <w:b w:val="0"/>
                <w:sz w:val="18"/>
                <w:szCs w:val="18"/>
                <w:vertAlign w:val="superscript"/>
                <w:lang w:val="en-US"/>
              </w:rPr>
              <w:t>9</w:t>
            </w:r>
            <w:r>
              <w:rPr>
                <w:rFonts w:cs="Times New Roman"/>
                <w:b w:val="0"/>
                <w:sz w:val="18"/>
                <w:szCs w:val="18"/>
                <w:lang w:val="en-US"/>
              </w:rPr>
              <w:t>/L</w:t>
            </w:r>
          </w:p>
        </w:tc>
        <w:tc>
          <w:tcPr>
            <w:tcW w:w="918" w:type="pct"/>
          </w:tcPr>
          <w:p w14:paraId="6A478BDD"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1.43</w:t>
            </w:r>
          </w:p>
        </w:tc>
        <w:tc>
          <w:tcPr>
            <w:tcW w:w="714" w:type="pct"/>
          </w:tcPr>
          <w:p w14:paraId="55CD92B2"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1.12-1.82</w:t>
            </w:r>
          </w:p>
        </w:tc>
        <w:tc>
          <w:tcPr>
            <w:tcW w:w="557" w:type="pct"/>
          </w:tcPr>
          <w:p w14:paraId="4A81A8B4" w14:textId="77777777" w:rsidR="00DD142B" w:rsidRDefault="00F23CC1">
            <w:pPr>
              <w:jc w:val="right"/>
              <w:cnfStyle w:val="000000100000" w:firstRow="0" w:lastRow="0" w:firstColumn="0" w:lastColumn="0" w:oddVBand="0" w:evenVBand="0" w:oddHBand="1" w:evenHBand="0" w:firstRowFirstColumn="0" w:firstRowLastColumn="0" w:lastRowFirstColumn="0" w:lastRowLastColumn="0"/>
              <w:rPr>
                <w:rFonts w:cs="Times New Roman"/>
                <w:b/>
                <w:sz w:val="18"/>
                <w:szCs w:val="18"/>
                <w:lang w:val="en-US"/>
              </w:rPr>
            </w:pPr>
            <w:r>
              <w:rPr>
                <w:rFonts w:cs="Times New Roman"/>
                <w:b/>
                <w:sz w:val="18"/>
                <w:szCs w:val="18"/>
                <w:lang w:val="en-US"/>
              </w:rPr>
              <w:t>.0039</w:t>
            </w:r>
          </w:p>
        </w:tc>
      </w:tr>
      <w:tr w:rsidR="00DD142B" w14:paraId="505CD09F"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7554D9D7" w14:textId="77777777" w:rsidR="00DD142B" w:rsidRDefault="00F23CC1">
            <w:pPr>
              <w:jc w:val="left"/>
              <w:rPr>
                <w:rFonts w:cs="Times New Roman"/>
                <w:sz w:val="18"/>
                <w:szCs w:val="18"/>
                <w:lang w:val="en-US"/>
              </w:rPr>
            </w:pPr>
            <w:r>
              <w:rPr>
                <w:rFonts w:cs="Times New Roman"/>
                <w:b w:val="0"/>
                <w:sz w:val="18"/>
                <w:szCs w:val="18"/>
                <w:lang w:val="en-US"/>
              </w:rPr>
              <w:t xml:space="preserve">   Type of AML:</w:t>
            </w:r>
          </w:p>
        </w:tc>
        <w:tc>
          <w:tcPr>
            <w:tcW w:w="918" w:type="pct"/>
          </w:tcPr>
          <w:p w14:paraId="5336079D" w14:textId="77777777" w:rsidR="00DD142B" w:rsidRDefault="00DD142B">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c>
          <w:tcPr>
            <w:tcW w:w="714" w:type="pct"/>
          </w:tcPr>
          <w:p w14:paraId="5ACEEB46" w14:textId="77777777" w:rsidR="00DD142B" w:rsidRDefault="00DD142B">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c>
          <w:tcPr>
            <w:tcW w:w="557" w:type="pct"/>
          </w:tcPr>
          <w:p w14:paraId="4F24C315" w14:textId="77777777" w:rsidR="00DD142B" w:rsidRDefault="00F23CC1">
            <w:pPr>
              <w:jc w:val="right"/>
              <w:cnfStyle w:val="000000000000" w:firstRow="0" w:lastRow="0" w:firstColumn="0" w:lastColumn="0" w:oddVBand="0" w:evenVBand="0" w:oddHBand="0" w:evenHBand="0" w:firstRowFirstColumn="0" w:firstRowLastColumn="0" w:lastRowFirstColumn="0" w:lastRowLastColumn="0"/>
              <w:rPr>
                <w:rFonts w:cs="Times New Roman"/>
                <w:b/>
                <w:sz w:val="18"/>
                <w:szCs w:val="18"/>
                <w:lang w:val="en-US"/>
              </w:rPr>
            </w:pPr>
            <w:r>
              <w:rPr>
                <w:rFonts w:cs="Times New Roman"/>
                <w:b/>
                <w:sz w:val="18"/>
                <w:szCs w:val="18"/>
                <w:lang w:val="en-US"/>
              </w:rPr>
              <w:t>.024</w:t>
            </w:r>
          </w:p>
        </w:tc>
      </w:tr>
      <w:tr w:rsidR="00DD142B" w14:paraId="1F363F66"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13BC555B" w14:textId="77777777" w:rsidR="00DD142B" w:rsidRDefault="00F23CC1">
            <w:pPr>
              <w:jc w:val="left"/>
              <w:rPr>
                <w:rFonts w:cs="Times New Roman"/>
                <w:sz w:val="18"/>
                <w:szCs w:val="18"/>
                <w:lang w:val="en-US"/>
              </w:rPr>
            </w:pPr>
            <w:r>
              <w:rPr>
                <w:rFonts w:cs="Times New Roman"/>
                <w:b w:val="0"/>
                <w:sz w:val="18"/>
                <w:szCs w:val="18"/>
                <w:lang w:val="en-US"/>
              </w:rPr>
              <w:t xml:space="preserve">      s-AML vs </w:t>
            </w:r>
            <w:r>
              <w:rPr>
                <w:rFonts w:cs="Times New Roman"/>
                <w:b w:val="0"/>
                <w:i/>
                <w:sz w:val="18"/>
                <w:szCs w:val="18"/>
                <w:lang w:val="en-US"/>
              </w:rPr>
              <w:t>de novo</w:t>
            </w:r>
          </w:p>
        </w:tc>
        <w:tc>
          <w:tcPr>
            <w:tcW w:w="918" w:type="pct"/>
          </w:tcPr>
          <w:p w14:paraId="3B23459F"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0.87</w:t>
            </w:r>
          </w:p>
        </w:tc>
        <w:tc>
          <w:tcPr>
            <w:tcW w:w="714" w:type="pct"/>
          </w:tcPr>
          <w:p w14:paraId="5332BC21"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0.58-1.31</w:t>
            </w:r>
          </w:p>
        </w:tc>
        <w:tc>
          <w:tcPr>
            <w:tcW w:w="557" w:type="pct"/>
          </w:tcPr>
          <w:p w14:paraId="5C680FE2" w14:textId="77777777" w:rsidR="00DD142B" w:rsidRDefault="00F23CC1">
            <w:pPr>
              <w:jc w:val="right"/>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.51</w:t>
            </w:r>
          </w:p>
        </w:tc>
      </w:tr>
      <w:tr w:rsidR="00DD142B" w14:paraId="7C72DF81"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7F2AEDEA" w14:textId="77777777" w:rsidR="00DD142B" w:rsidRDefault="00F23CC1">
            <w:pPr>
              <w:jc w:val="left"/>
              <w:rPr>
                <w:rFonts w:cs="Times New Roman"/>
                <w:sz w:val="18"/>
                <w:szCs w:val="18"/>
              </w:rPr>
            </w:pPr>
            <w:r>
              <w:rPr>
                <w:rFonts w:cs="Times New Roman"/>
                <w:b w:val="0"/>
                <w:sz w:val="18"/>
                <w:szCs w:val="18"/>
              </w:rPr>
              <w:t xml:space="preserve">      t-AML vs </w:t>
            </w:r>
            <w:r>
              <w:rPr>
                <w:rFonts w:cs="Times New Roman"/>
                <w:b w:val="0"/>
                <w:i/>
                <w:sz w:val="18"/>
                <w:szCs w:val="18"/>
              </w:rPr>
              <w:t>de novo</w:t>
            </w:r>
          </w:p>
        </w:tc>
        <w:tc>
          <w:tcPr>
            <w:tcW w:w="918" w:type="pct"/>
          </w:tcPr>
          <w:p w14:paraId="2CF61D40"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2.08</w:t>
            </w:r>
          </w:p>
        </w:tc>
        <w:tc>
          <w:tcPr>
            <w:tcW w:w="714" w:type="pct"/>
          </w:tcPr>
          <w:p w14:paraId="78CCE1CF"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1.20-3.61</w:t>
            </w:r>
          </w:p>
        </w:tc>
        <w:tc>
          <w:tcPr>
            <w:tcW w:w="557" w:type="pct"/>
          </w:tcPr>
          <w:p w14:paraId="66FFBFED" w14:textId="77777777" w:rsidR="00DD142B" w:rsidRDefault="00F23CC1">
            <w:pPr>
              <w:jc w:val="right"/>
              <w:cnfStyle w:val="000000000000" w:firstRow="0" w:lastRow="0" w:firstColumn="0" w:lastColumn="0" w:oddVBand="0" w:evenVBand="0" w:oddHBand="0" w:evenHBand="0" w:firstRowFirstColumn="0" w:firstRowLastColumn="0" w:lastRowFirstColumn="0" w:lastRowLastColumn="0"/>
              <w:rPr>
                <w:rFonts w:cs="Times New Roman"/>
                <w:b/>
                <w:sz w:val="18"/>
                <w:szCs w:val="18"/>
                <w:lang w:val="en-US"/>
              </w:rPr>
            </w:pPr>
            <w:r>
              <w:rPr>
                <w:rFonts w:cs="Times New Roman"/>
                <w:b/>
                <w:sz w:val="18"/>
                <w:szCs w:val="18"/>
                <w:lang w:val="en-US"/>
              </w:rPr>
              <w:t>.0094</w:t>
            </w:r>
          </w:p>
        </w:tc>
      </w:tr>
      <w:tr w:rsidR="00DD142B" w14:paraId="55FC1580"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5DF55418" w14:textId="77777777" w:rsidR="00DD142B" w:rsidRDefault="00F23CC1">
            <w:pPr>
              <w:jc w:val="left"/>
              <w:rPr>
                <w:rFonts w:cs="Times New Roman"/>
                <w:sz w:val="18"/>
                <w:szCs w:val="18"/>
                <w:lang w:val="en-US"/>
              </w:rPr>
            </w:pPr>
            <w:r>
              <w:rPr>
                <w:rFonts w:cs="Times New Roman"/>
                <w:b w:val="0"/>
                <w:sz w:val="18"/>
                <w:szCs w:val="18"/>
                <w:lang w:val="en-US"/>
              </w:rPr>
              <w:t xml:space="preserve">   Karyotype</w:t>
            </w:r>
            <w:r>
              <w:rPr>
                <w:rFonts w:cs="Times New Roman"/>
                <w:b w:val="0"/>
                <w:sz w:val="18"/>
                <w:szCs w:val="18"/>
                <w:vertAlign w:val="superscript"/>
                <w:lang w:val="en-US"/>
              </w:rPr>
              <w:t>§</w:t>
            </w:r>
            <w:r>
              <w:rPr>
                <w:rFonts w:cs="Times New Roman"/>
                <w:b w:val="0"/>
                <w:sz w:val="18"/>
                <w:szCs w:val="18"/>
                <w:lang w:val="en-US"/>
              </w:rPr>
              <w:t>:</w:t>
            </w:r>
          </w:p>
        </w:tc>
        <w:tc>
          <w:tcPr>
            <w:tcW w:w="918" w:type="pct"/>
          </w:tcPr>
          <w:p w14:paraId="27A7FCDB"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714" w:type="pct"/>
          </w:tcPr>
          <w:p w14:paraId="729C12C1"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557" w:type="pct"/>
          </w:tcPr>
          <w:p w14:paraId="688874F7" w14:textId="77777777" w:rsidR="00DD142B" w:rsidRDefault="00F23CC1">
            <w:pPr>
              <w:jc w:val="right"/>
              <w:cnfStyle w:val="000000100000" w:firstRow="0" w:lastRow="0" w:firstColumn="0" w:lastColumn="0" w:oddVBand="0" w:evenVBand="0" w:oddHBand="1" w:evenHBand="0" w:firstRowFirstColumn="0" w:firstRowLastColumn="0" w:lastRowFirstColumn="0" w:lastRowLastColumn="0"/>
              <w:rPr>
                <w:rFonts w:cs="Times New Roman"/>
                <w:b/>
                <w:sz w:val="18"/>
                <w:szCs w:val="18"/>
                <w:lang w:val="en-US"/>
              </w:rPr>
            </w:pPr>
            <w:r>
              <w:rPr>
                <w:rFonts w:cs="Times New Roman"/>
                <w:b/>
                <w:sz w:val="18"/>
                <w:szCs w:val="18"/>
                <w:lang w:val="en-US"/>
              </w:rPr>
              <w:t>&lt;.0001</w:t>
            </w:r>
          </w:p>
        </w:tc>
      </w:tr>
      <w:tr w:rsidR="00DD142B" w14:paraId="664E31E5"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42D1AD4F" w14:textId="77777777" w:rsidR="00DD142B" w:rsidRDefault="00F23CC1">
            <w:pPr>
              <w:jc w:val="left"/>
              <w:rPr>
                <w:rFonts w:cs="Times New Roman"/>
                <w:sz w:val="18"/>
                <w:szCs w:val="18"/>
                <w:lang w:val="en-US"/>
              </w:rPr>
            </w:pPr>
            <w:r>
              <w:rPr>
                <w:rFonts w:cs="Times New Roman"/>
                <w:b w:val="0"/>
                <w:sz w:val="18"/>
                <w:szCs w:val="18"/>
                <w:lang w:val="en-US"/>
              </w:rPr>
              <w:t xml:space="preserve">      Favorable vs intermediate risk</w:t>
            </w:r>
          </w:p>
        </w:tc>
        <w:tc>
          <w:tcPr>
            <w:tcW w:w="918" w:type="pct"/>
          </w:tcPr>
          <w:p w14:paraId="00F2996D"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0.55</w:t>
            </w:r>
          </w:p>
        </w:tc>
        <w:tc>
          <w:tcPr>
            <w:tcW w:w="714" w:type="pct"/>
          </w:tcPr>
          <w:p w14:paraId="75F4A962"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0.36-0.84</w:t>
            </w:r>
          </w:p>
        </w:tc>
        <w:tc>
          <w:tcPr>
            <w:tcW w:w="557" w:type="pct"/>
          </w:tcPr>
          <w:p w14:paraId="46131D0C" w14:textId="77777777" w:rsidR="00DD142B" w:rsidRDefault="00F23CC1">
            <w:pPr>
              <w:jc w:val="right"/>
              <w:cnfStyle w:val="000000000000" w:firstRow="0" w:lastRow="0" w:firstColumn="0" w:lastColumn="0" w:oddVBand="0" w:evenVBand="0" w:oddHBand="0" w:evenHBand="0" w:firstRowFirstColumn="0" w:firstRowLastColumn="0" w:lastRowFirstColumn="0" w:lastRowLastColumn="0"/>
              <w:rPr>
                <w:rFonts w:cs="Times New Roman"/>
                <w:b/>
                <w:sz w:val="18"/>
                <w:szCs w:val="18"/>
                <w:lang w:val="en-US"/>
              </w:rPr>
            </w:pPr>
            <w:r>
              <w:rPr>
                <w:rFonts w:cs="Times New Roman"/>
                <w:b/>
                <w:sz w:val="18"/>
                <w:szCs w:val="18"/>
                <w:lang w:val="en-US"/>
              </w:rPr>
              <w:t>.0053</w:t>
            </w:r>
          </w:p>
        </w:tc>
      </w:tr>
      <w:tr w:rsidR="00DD142B" w14:paraId="347283DA"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60DD048B" w14:textId="77777777" w:rsidR="00DD142B" w:rsidRDefault="00F23CC1">
            <w:pPr>
              <w:jc w:val="left"/>
              <w:rPr>
                <w:rFonts w:cs="Times New Roman"/>
                <w:sz w:val="18"/>
                <w:szCs w:val="18"/>
                <w:lang w:val="en-US"/>
              </w:rPr>
            </w:pPr>
            <w:r>
              <w:rPr>
                <w:rFonts w:cs="Times New Roman"/>
                <w:b w:val="0"/>
                <w:sz w:val="18"/>
                <w:szCs w:val="18"/>
                <w:lang w:val="en-US"/>
              </w:rPr>
              <w:t xml:space="preserve">      Adverse vs intermediate risk</w:t>
            </w:r>
          </w:p>
        </w:tc>
        <w:tc>
          <w:tcPr>
            <w:tcW w:w="918" w:type="pct"/>
          </w:tcPr>
          <w:p w14:paraId="1A0426FC"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1.85</w:t>
            </w:r>
          </w:p>
        </w:tc>
        <w:tc>
          <w:tcPr>
            <w:tcW w:w="714" w:type="pct"/>
          </w:tcPr>
          <w:p w14:paraId="2C5846E6"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1.33-2.58</w:t>
            </w:r>
          </w:p>
        </w:tc>
        <w:tc>
          <w:tcPr>
            <w:tcW w:w="557" w:type="pct"/>
          </w:tcPr>
          <w:p w14:paraId="51A4A59E" w14:textId="77777777" w:rsidR="00DD142B" w:rsidRDefault="00F23CC1">
            <w:pPr>
              <w:jc w:val="right"/>
              <w:cnfStyle w:val="000000100000" w:firstRow="0" w:lastRow="0" w:firstColumn="0" w:lastColumn="0" w:oddVBand="0" w:evenVBand="0" w:oddHBand="1" w:evenHBand="0" w:firstRowFirstColumn="0" w:firstRowLastColumn="0" w:lastRowFirstColumn="0" w:lastRowLastColumn="0"/>
              <w:rPr>
                <w:rFonts w:cs="Times New Roman"/>
                <w:b/>
                <w:sz w:val="18"/>
                <w:szCs w:val="18"/>
                <w:lang w:val="en-US"/>
              </w:rPr>
            </w:pPr>
            <w:r>
              <w:rPr>
                <w:rFonts w:cs="Times New Roman"/>
                <w:b/>
                <w:sz w:val="18"/>
                <w:szCs w:val="18"/>
                <w:lang w:val="en-US"/>
              </w:rPr>
              <w:t>.0003</w:t>
            </w:r>
          </w:p>
        </w:tc>
      </w:tr>
      <w:tr w:rsidR="00DD142B" w14:paraId="080293FB"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283919CA" w14:textId="77777777" w:rsidR="00DD142B" w:rsidRDefault="00F23CC1">
            <w:pPr>
              <w:jc w:val="left"/>
              <w:rPr>
                <w:rFonts w:cs="Times New Roman"/>
                <w:sz w:val="18"/>
                <w:szCs w:val="18"/>
                <w:lang w:val="en-US"/>
              </w:rPr>
            </w:pPr>
            <w:r>
              <w:rPr>
                <w:rFonts w:cs="Times New Roman"/>
                <w:b w:val="0"/>
                <w:i/>
                <w:sz w:val="18"/>
                <w:szCs w:val="18"/>
                <w:lang w:val="en-US"/>
              </w:rPr>
              <w:t xml:space="preserve">   NPM1</w:t>
            </w:r>
            <w:r>
              <w:rPr>
                <w:rFonts w:cs="Times New Roman"/>
                <w:b w:val="0"/>
                <w:sz w:val="18"/>
                <w:szCs w:val="18"/>
                <w:lang w:val="en-US"/>
              </w:rPr>
              <w:t>/</w:t>
            </w:r>
            <w:r>
              <w:rPr>
                <w:rFonts w:cs="Times New Roman"/>
                <w:b w:val="0"/>
                <w:i/>
                <w:sz w:val="18"/>
                <w:szCs w:val="18"/>
                <w:lang w:val="en-US"/>
              </w:rPr>
              <w:t>FLT3</w:t>
            </w:r>
            <w:r>
              <w:rPr>
                <w:rFonts w:cs="Times New Roman"/>
                <w:b w:val="0"/>
                <w:sz w:val="18"/>
                <w:szCs w:val="18"/>
                <w:lang w:val="en-US"/>
              </w:rPr>
              <w:t>-ITD mutation status</w:t>
            </w:r>
            <w:r>
              <w:rPr>
                <w:rFonts w:cs="Times New Roman"/>
                <w:sz w:val="18"/>
                <w:szCs w:val="18"/>
                <w:vertAlign w:val="superscript"/>
                <w:lang w:val="en-US"/>
              </w:rPr>
              <w:t>‡</w:t>
            </w:r>
            <w:r>
              <w:rPr>
                <w:rFonts w:cs="Times New Roman"/>
                <w:b w:val="0"/>
                <w:sz w:val="18"/>
                <w:szCs w:val="18"/>
                <w:lang w:val="en-US"/>
              </w:rPr>
              <w:t>:</w:t>
            </w:r>
          </w:p>
        </w:tc>
        <w:tc>
          <w:tcPr>
            <w:tcW w:w="918" w:type="pct"/>
          </w:tcPr>
          <w:p w14:paraId="319F1AD3" w14:textId="77777777" w:rsidR="00DD142B" w:rsidRDefault="00DD142B">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c>
          <w:tcPr>
            <w:tcW w:w="714" w:type="pct"/>
          </w:tcPr>
          <w:p w14:paraId="3FD4CC38" w14:textId="77777777" w:rsidR="00DD142B" w:rsidRDefault="00DD142B">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c>
          <w:tcPr>
            <w:tcW w:w="557" w:type="pct"/>
          </w:tcPr>
          <w:p w14:paraId="61AB69B1" w14:textId="77777777" w:rsidR="00DD142B" w:rsidRDefault="00F23CC1">
            <w:pPr>
              <w:jc w:val="right"/>
              <w:cnfStyle w:val="000000000000" w:firstRow="0" w:lastRow="0" w:firstColumn="0" w:lastColumn="0" w:oddVBand="0" w:evenVBand="0" w:oddHBand="0" w:evenHBand="0" w:firstRowFirstColumn="0" w:firstRowLastColumn="0" w:lastRowFirstColumn="0" w:lastRowLastColumn="0"/>
              <w:rPr>
                <w:rFonts w:cs="Times New Roman"/>
                <w:b/>
                <w:sz w:val="18"/>
                <w:szCs w:val="18"/>
                <w:lang w:val="en-US"/>
              </w:rPr>
            </w:pPr>
            <w:r>
              <w:rPr>
                <w:rFonts w:cs="Times New Roman"/>
                <w:b/>
                <w:sz w:val="18"/>
                <w:szCs w:val="18"/>
                <w:lang w:val="en-US"/>
              </w:rPr>
              <w:t>.0023</w:t>
            </w:r>
          </w:p>
        </w:tc>
      </w:tr>
      <w:tr w:rsidR="00DD142B" w14:paraId="430766E2"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65F3AE24" w14:textId="77777777" w:rsidR="00DD142B" w:rsidRDefault="00F23CC1">
            <w:pPr>
              <w:jc w:val="left"/>
              <w:rPr>
                <w:rFonts w:cs="Times New Roman"/>
                <w:i/>
                <w:sz w:val="18"/>
                <w:szCs w:val="18"/>
                <w:lang w:val="en-US"/>
              </w:rPr>
            </w:pPr>
            <w:r>
              <w:rPr>
                <w:rFonts w:cs="Times New Roman"/>
                <w:b w:val="0"/>
                <w:sz w:val="18"/>
                <w:szCs w:val="18"/>
                <w:lang w:val="en-US"/>
              </w:rPr>
              <w:t xml:space="preserve">      Low vs intermediate risk</w:t>
            </w:r>
          </w:p>
        </w:tc>
        <w:tc>
          <w:tcPr>
            <w:tcW w:w="918" w:type="pct"/>
          </w:tcPr>
          <w:p w14:paraId="506C907D"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0.60</w:t>
            </w:r>
          </w:p>
        </w:tc>
        <w:tc>
          <w:tcPr>
            <w:tcW w:w="714" w:type="pct"/>
          </w:tcPr>
          <w:p w14:paraId="6FEFFD73"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0.43-0.84</w:t>
            </w:r>
          </w:p>
        </w:tc>
        <w:tc>
          <w:tcPr>
            <w:tcW w:w="557" w:type="pct"/>
          </w:tcPr>
          <w:p w14:paraId="64DB1026" w14:textId="77777777" w:rsidR="00DD142B" w:rsidRDefault="00F23CC1">
            <w:pPr>
              <w:jc w:val="right"/>
              <w:cnfStyle w:val="000000100000" w:firstRow="0" w:lastRow="0" w:firstColumn="0" w:lastColumn="0" w:oddVBand="0" w:evenVBand="0" w:oddHBand="1" w:evenHBand="0" w:firstRowFirstColumn="0" w:firstRowLastColumn="0" w:lastRowFirstColumn="0" w:lastRowLastColumn="0"/>
              <w:rPr>
                <w:rFonts w:cs="Times New Roman"/>
                <w:b/>
                <w:sz w:val="18"/>
                <w:szCs w:val="18"/>
                <w:lang w:val="en-US"/>
              </w:rPr>
            </w:pPr>
            <w:r>
              <w:rPr>
                <w:rFonts w:cs="Times New Roman"/>
                <w:b/>
                <w:sz w:val="18"/>
                <w:szCs w:val="18"/>
                <w:lang w:val="en-US"/>
              </w:rPr>
              <w:t>.0029</w:t>
            </w:r>
          </w:p>
        </w:tc>
      </w:tr>
      <w:tr w:rsidR="00DD142B" w14:paraId="6D8A2CB9"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0E02C738" w14:textId="77777777" w:rsidR="00DD142B" w:rsidRDefault="00F23CC1">
            <w:pPr>
              <w:jc w:val="left"/>
              <w:rPr>
                <w:rFonts w:cs="Times New Roman"/>
                <w:sz w:val="18"/>
                <w:szCs w:val="18"/>
                <w:lang w:val="en-US"/>
              </w:rPr>
            </w:pPr>
            <w:r>
              <w:rPr>
                <w:rFonts w:cs="Times New Roman"/>
                <w:b w:val="0"/>
                <w:sz w:val="18"/>
                <w:szCs w:val="18"/>
                <w:lang w:val="en-US"/>
              </w:rPr>
              <w:t xml:space="preserve">      High vs intermediate risk</w:t>
            </w:r>
          </w:p>
        </w:tc>
        <w:tc>
          <w:tcPr>
            <w:tcW w:w="918" w:type="pct"/>
          </w:tcPr>
          <w:p w14:paraId="1BA15E07"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1.52</w:t>
            </w:r>
          </w:p>
        </w:tc>
        <w:tc>
          <w:tcPr>
            <w:tcW w:w="714" w:type="pct"/>
          </w:tcPr>
          <w:p w14:paraId="18A0EC3E"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0.92-2.50</w:t>
            </w:r>
          </w:p>
        </w:tc>
        <w:tc>
          <w:tcPr>
            <w:tcW w:w="557" w:type="pct"/>
          </w:tcPr>
          <w:p w14:paraId="7093B4C0" w14:textId="77777777" w:rsidR="00DD142B" w:rsidRDefault="00F23CC1">
            <w:pPr>
              <w:jc w:val="right"/>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.10</w:t>
            </w:r>
          </w:p>
        </w:tc>
      </w:tr>
      <w:tr w:rsidR="00DD142B" w14:paraId="2EFFF7A3"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68E2A286" w14:textId="77777777" w:rsidR="00DD142B" w:rsidRDefault="00F23CC1">
            <w:pPr>
              <w:jc w:val="left"/>
              <w:rPr>
                <w:rFonts w:cs="Times New Roman"/>
                <w:i/>
                <w:sz w:val="18"/>
                <w:szCs w:val="18"/>
                <w:lang w:val="en-US"/>
              </w:rPr>
            </w:pPr>
            <w:r>
              <w:rPr>
                <w:rFonts w:cs="Times New Roman"/>
                <w:b w:val="0"/>
                <w:i/>
                <w:sz w:val="18"/>
                <w:szCs w:val="18"/>
                <w:lang w:val="en-US"/>
              </w:rPr>
              <w:t xml:space="preserve">   RUNX1</w:t>
            </w:r>
            <w:r>
              <w:rPr>
                <w:rFonts w:cs="Times New Roman"/>
                <w:b w:val="0"/>
                <w:sz w:val="18"/>
                <w:szCs w:val="18"/>
                <w:lang w:val="en-US"/>
              </w:rPr>
              <w:t>: mutated vs wild type</w:t>
            </w:r>
          </w:p>
        </w:tc>
        <w:tc>
          <w:tcPr>
            <w:tcW w:w="918" w:type="pct"/>
          </w:tcPr>
          <w:p w14:paraId="5981EF7B"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1.71</w:t>
            </w:r>
          </w:p>
        </w:tc>
        <w:tc>
          <w:tcPr>
            <w:tcW w:w="714" w:type="pct"/>
          </w:tcPr>
          <w:p w14:paraId="68CD24BD"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1.24-2.34</w:t>
            </w:r>
          </w:p>
        </w:tc>
        <w:tc>
          <w:tcPr>
            <w:tcW w:w="557" w:type="pct"/>
          </w:tcPr>
          <w:p w14:paraId="21074572" w14:textId="77777777" w:rsidR="00DD142B" w:rsidRDefault="00F23CC1">
            <w:pPr>
              <w:jc w:val="right"/>
              <w:cnfStyle w:val="000000100000" w:firstRow="0" w:lastRow="0" w:firstColumn="0" w:lastColumn="0" w:oddVBand="0" w:evenVBand="0" w:oddHBand="1" w:evenHBand="0" w:firstRowFirstColumn="0" w:firstRowLastColumn="0" w:lastRowFirstColumn="0" w:lastRowLastColumn="0"/>
              <w:rPr>
                <w:rFonts w:cs="Times New Roman"/>
                <w:b/>
                <w:sz w:val="18"/>
                <w:szCs w:val="18"/>
                <w:lang w:val="en-US"/>
              </w:rPr>
            </w:pPr>
            <w:r>
              <w:rPr>
                <w:rFonts w:cs="Times New Roman"/>
                <w:b/>
                <w:sz w:val="18"/>
                <w:szCs w:val="18"/>
                <w:lang w:val="en-US"/>
              </w:rPr>
              <w:t>.0009</w:t>
            </w:r>
          </w:p>
        </w:tc>
      </w:tr>
      <w:tr w:rsidR="00DD142B" w14:paraId="07C9DEF2"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2CCBFE29" w14:textId="77777777" w:rsidR="00DD142B" w:rsidRDefault="00F23CC1">
            <w:pPr>
              <w:jc w:val="left"/>
              <w:rPr>
                <w:rFonts w:cs="Times New Roman"/>
                <w:i/>
                <w:sz w:val="18"/>
                <w:szCs w:val="18"/>
                <w:lang w:val="en-US"/>
              </w:rPr>
            </w:pPr>
            <w:r>
              <w:rPr>
                <w:rFonts w:cs="Times New Roman"/>
                <w:b w:val="0"/>
                <w:sz w:val="18"/>
                <w:szCs w:val="18"/>
                <w:lang w:val="en-US"/>
              </w:rPr>
              <w:t xml:space="preserve">   </w:t>
            </w:r>
            <w:r>
              <w:rPr>
                <w:rFonts w:cs="Times New Roman"/>
                <w:b w:val="0"/>
                <w:i/>
                <w:sz w:val="18"/>
                <w:szCs w:val="18"/>
                <w:lang w:val="en-US"/>
              </w:rPr>
              <w:t>TP53</w:t>
            </w:r>
            <w:r>
              <w:rPr>
                <w:rFonts w:cs="Times New Roman"/>
                <w:b w:val="0"/>
                <w:sz w:val="18"/>
                <w:szCs w:val="18"/>
                <w:lang w:val="en-US"/>
              </w:rPr>
              <w:t>: mutated vs wild type</w:t>
            </w:r>
          </w:p>
        </w:tc>
        <w:tc>
          <w:tcPr>
            <w:tcW w:w="918" w:type="pct"/>
          </w:tcPr>
          <w:p w14:paraId="28E22B7C"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1.52</w:t>
            </w:r>
          </w:p>
        </w:tc>
        <w:tc>
          <w:tcPr>
            <w:tcW w:w="714" w:type="pct"/>
          </w:tcPr>
          <w:p w14:paraId="07AAFD8E"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0.98-2.36</w:t>
            </w:r>
          </w:p>
        </w:tc>
        <w:tc>
          <w:tcPr>
            <w:tcW w:w="557" w:type="pct"/>
          </w:tcPr>
          <w:p w14:paraId="45CDEB54" w14:textId="77777777" w:rsidR="00DD142B" w:rsidRDefault="00F23CC1">
            <w:pPr>
              <w:jc w:val="right"/>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.060</w:t>
            </w:r>
          </w:p>
        </w:tc>
      </w:tr>
      <w:tr w:rsidR="00DD142B" w14:paraId="25681CCB"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667A8CD4" w14:textId="77777777" w:rsidR="00DD142B" w:rsidRDefault="00F23CC1">
            <w:pPr>
              <w:jc w:val="left"/>
              <w:rPr>
                <w:rFonts w:cs="Times New Roman"/>
                <w:sz w:val="18"/>
                <w:szCs w:val="18"/>
                <w:lang w:val="en-US"/>
              </w:rPr>
            </w:pPr>
            <w:r>
              <w:rPr>
                <w:rFonts w:cs="Times New Roman"/>
                <w:b w:val="0"/>
                <w:sz w:val="18"/>
                <w:szCs w:val="18"/>
                <w:lang w:val="en-US"/>
              </w:rPr>
              <w:t xml:space="preserve">   </w:t>
            </w:r>
            <w:r>
              <w:rPr>
                <w:rFonts w:cs="Times New Roman"/>
                <w:b w:val="0"/>
                <w:i/>
                <w:sz w:val="18"/>
                <w:szCs w:val="18"/>
                <w:lang w:val="en-US"/>
              </w:rPr>
              <w:t>CALCRL</w:t>
            </w:r>
            <w:r>
              <w:rPr>
                <w:rFonts w:cs="Times New Roman"/>
                <w:b w:val="0"/>
                <w:sz w:val="18"/>
                <w:szCs w:val="18"/>
                <w:lang w:val="en-US"/>
              </w:rPr>
              <w:t xml:space="preserve"> expression:</w:t>
            </w:r>
          </w:p>
        </w:tc>
        <w:tc>
          <w:tcPr>
            <w:tcW w:w="918" w:type="pct"/>
          </w:tcPr>
          <w:p w14:paraId="06799396"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714" w:type="pct"/>
          </w:tcPr>
          <w:p w14:paraId="011F8A8F"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557" w:type="pct"/>
          </w:tcPr>
          <w:p w14:paraId="321331BE" w14:textId="77777777" w:rsidR="00DD142B" w:rsidRDefault="00F23CC1">
            <w:pPr>
              <w:jc w:val="right"/>
              <w:cnfStyle w:val="000000100000" w:firstRow="0" w:lastRow="0" w:firstColumn="0" w:lastColumn="0" w:oddVBand="0" w:evenVBand="0" w:oddHBand="1" w:evenHBand="0" w:firstRowFirstColumn="0" w:firstRowLastColumn="0" w:lastRowFirstColumn="0" w:lastRowLastColumn="0"/>
              <w:rPr>
                <w:rFonts w:cs="Times New Roman"/>
                <w:b/>
                <w:sz w:val="18"/>
                <w:szCs w:val="18"/>
                <w:lang w:val="en-US"/>
              </w:rPr>
            </w:pPr>
            <w:r>
              <w:rPr>
                <w:rFonts w:cs="Times New Roman"/>
                <w:b/>
                <w:sz w:val="18"/>
                <w:szCs w:val="18"/>
                <w:lang w:val="en-US"/>
              </w:rPr>
              <w:t>.0091</w:t>
            </w:r>
          </w:p>
        </w:tc>
      </w:tr>
      <w:tr w:rsidR="00DD142B" w14:paraId="1C6E2C95"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Pr>
          <w:p w14:paraId="262563C3" w14:textId="77777777" w:rsidR="00DD142B" w:rsidRDefault="00F23CC1">
            <w:pPr>
              <w:jc w:val="left"/>
              <w:rPr>
                <w:rFonts w:cs="Times New Roman"/>
                <w:sz w:val="18"/>
                <w:szCs w:val="18"/>
                <w:lang w:val="en-US"/>
              </w:rPr>
            </w:pPr>
            <w:r>
              <w:rPr>
                <w:rFonts w:cs="Times New Roman"/>
                <w:b w:val="0"/>
                <w:sz w:val="18"/>
                <w:szCs w:val="18"/>
                <w:lang w:val="en-US"/>
              </w:rPr>
              <w:t xml:space="preserve">      Low vs intermediate</w:t>
            </w:r>
          </w:p>
        </w:tc>
        <w:tc>
          <w:tcPr>
            <w:tcW w:w="918" w:type="pct"/>
          </w:tcPr>
          <w:p w14:paraId="03710107"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0.66</w:t>
            </w:r>
          </w:p>
        </w:tc>
        <w:tc>
          <w:tcPr>
            <w:tcW w:w="714" w:type="pct"/>
          </w:tcPr>
          <w:p w14:paraId="214128D2"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0.49-0.88</w:t>
            </w:r>
          </w:p>
        </w:tc>
        <w:tc>
          <w:tcPr>
            <w:tcW w:w="557" w:type="pct"/>
          </w:tcPr>
          <w:p w14:paraId="5BC7D61E" w14:textId="77777777" w:rsidR="00DD142B" w:rsidRDefault="00F23CC1">
            <w:pPr>
              <w:jc w:val="right"/>
              <w:cnfStyle w:val="000000000000" w:firstRow="0" w:lastRow="0" w:firstColumn="0" w:lastColumn="0" w:oddVBand="0" w:evenVBand="0" w:oddHBand="0" w:evenHBand="0" w:firstRowFirstColumn="0" w:firstRowLastColumn="0" w:lastRowFirstColumn="0" w:lastRowLastColumn="0"/>
              <w:rPr>
                <w:rFonts w:cs="Times New Roman"/>
                <w:b/>
                <w:sz w:val="18"/>
                <w:szCs w:val="18"/>
                <w:lang w:val="en-US"/>
              </w:rPr>
            </w:pPr>
            <w:r>
              <w:rPr>
                <w:rFonts w:cs="Times New Roman"/>
                <w:b/>
                <w:sz w:val="18"/>
                <w:szCs w:val="18"/>
                <w:lang w:val="en-US"/>
              </w:rPr>
              <w:t>.0048</w:t>
            </w:r>
          </w:p>
        </w:tc>
      </w:tr>
      <w:tr w:rsidR="00DD142B" w14:paraId="6D3168E3"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2811" w:type="pct"/>
            <w:tcBorders>
              <w:bottom w:val="single" w:sz="4" w:space="0" w:color="auto"/>
            </w:tcBorders>
          </w:tcPr>
          <w:p w14:paraId="49B10CAC" w14:textId="77777777" w:rsidR="00DD142B" w:rsidRDefault="00F23CC1">
            <w:pPr>
              <w:jc w:val="left"/>
              <w:rPr>
                <w:rFonts w:cs="Times New Roman"/>
                <w:sz w:val="18"/>
                <w:szCs w:val="18"/>
                <w:lang w:val="en-US"/>
              </w:rPr>
            </w:pPr>
            <w:r>
              <w:rPr>
                <w:rFonts w:cs="Times New Roman"/>
                <w:b w:val="0"/>
                <w:sz w:val="18"/>
                <w:szCs w:val="18"/>
                <w:lang w:val="en-US"/>
              </w:rPr>
              <w:t xml:space="preserve">      High vs intermediate</w:t>
            </w:r>
          </w:p>
        </w:tc>
        <w:tc>
          <w:tcPr>
            <w:tcW w:w="918" w:type="pct"/>
            <w:tcBorders>
              <w:bottom w:val="single" w:sz="4" w:space="0" w:color="auto"/>
            </w:tcBorders>
          </w:tcPr>
          <w:p w14:paraId="283FF355"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1.05</w:t>
            </w:r>
          </w:p>
        </w:tc>
        <w:tc>
          <w:tcPr>
            <w:tcW w:w="714" w:type="pct"/>
            <w:tcBorders>
              <w:bottom w:val="single" w:sz="4" w:space="0" w:color="auto"/>
            </w:tcBorders>
          </w:tcPr>
          <w:p w14:paraId="3866DD58"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0.79-1.38</w:t>
            </w:r>
          </w:p>
        </w:tc>
        <w:tc>
          <w:tcPr>
            <w:tcW w:w="557" w:type="pct"/>
            <w:tcBorders>
              <w:bottom w:val="single" w:sz="4" w:space="0" w:color="auto"/>
            </w:tcBorders>
          </w:tcPr>
          <w:p w14:paraId="5D464E29" w14:textId="77777777" w:rsidR="00DD142B" w:rsidRDefault="00F23CC1">
            <w:pPr>
              <w:jc w:val="right"/>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.75</w:t>
            </w:r>
          </w:p>
        </w:tc>
      </w:tr>
    </w:tbl>
    <w:p w14:paraId="1B91BF2F" w14:textId="77777777" w:rsidR="00DD142B" w:rsidRDefault="00F23CC1">
      <w:pPr>
        <w:spacing w:after="0" w:line="240" w:lineRule="auto"/>
        <w:rPr>
          <w:rFonts w:cs="Times New Roman"/>
          <w:sz w:val="16"/>
          <w:szCs w:val="16"/>
        </w:rPr>
      </w:pPr>
      <w:r>
        <w:rPr>
          <w:rFonts w:cs="Times New Roman"/>
          <w:sz w:val="16"/>
          <w:szCs w:val="16"/>
        </w:rPr>
        <w:t xml:space="preserve">Odds ratios (OR) greater or less than 1.0 indicate higher or lower CR rates, respectively, for the first category listed. Hazard ratios (HR) greater or less than 1.0 indicate an increased or decreased risk, respectively, of an event for the first category listed. Significant </w:t>
      </w:r>
      <w:r>
        <w:rPr>
          <w:rFonts w:cs="Times New Roman"/>
          <w:i/>
          <w:sz w:val="16"/>
          <w:szCs w:val="16"/>
        </w:rPr>
        <w:t>P</w:t>
      </w:r>
      <w:r>
        <w:rPr>
          <w:rFonts w:cs="Times New Roman"/>
          <w:sz w:val="16"/>
          <w:szCs w:val="16"/>
        </w:rPr>
        <w:t xml:space="preserve"> values are marked in bold.</w:t>
      </w:r>
    </w:p>
    <w:p w14:paraId="41602526" w14:textId="77777777" w:rsidR="00DD142B" w:rsidRDefault="00F23CC1">
      <w:pPr>
        <w:spacing w:after="0" w:line="240" w:lineRule="auto"/>
        <w:rPr>
          <w:rFonts w:cs="Times New Roman"/>
          <w:sz w:val="16"/>
          <w:szCs w:val="16"/>
        </w:rPr>
      </w:pPr>
      <w:r>
        <w:rPr>
          <w:rFonts w:cs="Times New Roman"/>
          <w:sz w:val="16"/>
          <w:szCs w:val="16"/>
        </w:rPr>
        <w:t>Variables considered in the models for CR, OS, and EFS were age (≥60 vs &lt;60 years), WBC (≥50 vs &lt;50 x 10</w:t>
      </w:r>
      <w:r>
        <w:rPr>
          <w:rFonts w:cs="Times New Roman"/>
          <w:sz w:val="16"/>
          <w:szCs w:val="16"/>
          <w:vertAlign w:val="superscript"/>
        </w:rPr>
        <w:t>9</w:t>
      </w:r>
      <w:r>
        <w:rPr>
          <w:rFonts w:cs="Times New Roman"/>
          <w:sz w:val="16"/>
          <w:szCs w:val="16"/>
        </w:rPr>
        <w:t>/L), LDH (≥700 vs &lt;700 U/L), type of AML (</w:t>
      </w:r>
      <w:r>
        <w:rPr>
          <w:rFonts w:cs="Times New Roman"/>
          <w:i/>
          <w:sz w:val="16"/>
          <w:szCs w:val="16"/>
        </w:rPr>
        <w:t xml:space="preserve">de novo </w:t>
      </w:r>
      <w:r>
        <w:rPr>
          <w:rFonts w:cs="Times New Roman"/>
          <w:sz w:val="16"/>
          <w:szCs w:val="16"/>
        </w:rPr>
        <w:t>vs s-AML vs t-AML), karyotype (favorable vs intermediate vs adverse risk)</w:t>
      </w:r>
      <w:r>
        <w:rPr>
          <w:rFonts w:cs="Times New Roman"/>
          <w:sz w:val="16"/>
          <w:szCs w:val="16"/>
          <w:vertAlign w:val="superscript"/>
        </w:rPr>
        <w:t>§</w:t>
      </w:r>
      <w:r>
        <w:rPr>
          <w:rFonts w:cs="Times New Roman"/>
          <w:sz w:val="16"/>
          <w:szCs w:val="16"/>
        </w:rPr>
        <w:t xml:space="preserve">, </w:t>
      </w:r>
      <w:r>
        <w:rPr>
          <w:rFonts w:cs="Times New Roman"/>
          <w:i/>
          <w:sz w:val="16"/>
          <w:szCs w:val="16"/>
        </w:rPr>
        <w:t>NPM1/FLT3</w:t>
      </w:r>
      <w:r>
        <w:rPr>
          <w:rFonts w:cs="Times New Roman"/>
          <w:sz w:val="16"/>
          <w:szCs w:val="16"/>
        </w:rPr>
        <w:t>-ITD mutation status (low vs intermediate vs high risk)</w:t>
      </w:r>
      <w:r>
        <w:rPr>
          <w:rFonts w:cs="Times New Roman"/>
          <w:sz w:val="16"/>
          <w:szCs w:val="16"/>
          <w:vertAlign w:val="superscript"/>
        </w:rPr>
        <w:t>‡</w:t>
      </w:r>
      <w:r>
        <w:rPr>
          <w:rFonts w:cs="Times New Roman"/>
          <w:sz w:val="16"/>
          <w:szCs w:val="16"/>
        </w:rPr>
        <w:t xml:space="preserve">, </w:t>
      </w:r>
      <w:r>
        <w:rPr>
          <w:rFonts w:cs="Times New Roman"/>
          <w:i/>
          <w:sz w:val="16"/>
          <w:szCs w:val="16"/>
        </w:rPr>
        <w:t>CEBPA</w:t>
      </w:r>
      <w:r>
        <w:rPr>
          <w:rFonts w:cs="Times New Roman"/>
          <w:sz w:val="16"/>
          <w:szCs w:val="16"/>
        </w:rPr>
        <w:t xml:space="preserve"> (double mutated vs wild type or single mutated), </w:t>
      </w:r>
      <w:r>
        <w:rPr>
          <w:rFonts w:cs="Times New Roman"/>
          <w:i/>
          <w:sz w:val="16"/>
          <w:szCs w:val="16"/>
        </w:rPr>
        <w:t>RUNX1</w:t>
      </w:r>
      <w:r>
        <w:rPr>
          <w:rFonts w:cs="Times New Roman"/>
          <w:sz w:val="16"/>
          <w:szCs w:val="16"/>
        </w:rPr>
        <w:t xml:space="preserve"> (mutated vs wild type), </w:t>
      </w:r>
      <w:r>
        <w:rPr>
          <w:rFonts w:cs="Times New Roman"/>
          <w:i/>
          <w:sz w:val="16"/>
          <w:szCs w:val="16"/>
        </w:rPr>
        <w:t xml:space="preserve">ASXL1 </w:t>
      </w:r>
      <w:r>
        <w:rPr>
          <w:rFonts w:cs="Times New Roman"/>
          <w:sz w:val="16"/>
          <w:szCs w:val="16"/>
        </w:rPr>
        <w:t xml:space="preserve">(mutated vs wild type), </w:t>
      </w:r>
      <w:r>
        <w:rPr>
          <w:rFonts w:cs="Times New Roman"/>
          <w:i/>
          <w:sz w:val="16"/>
          <w:szCs w:val="16"/>
        </w:rPr>
        <w:t>TP53</w:t>
      </w:r>
      <w:r>
        <w:rPr>
          <w:rFonts w:cs="Times New Roman"/>
          <w:sz w:val="16"/>
          <w:szCs w:val="16"/>
        </w:rPr>
        <w:t xml:space="preserve"> (mutated vs wild type), and </w:t>
      </w:r>
      <w:r>
        <w:rPr>
          <w:rFonts w:cs="Times New Roman"/>
          <w:i/>
          <w:sz w:val="16"/>
          <w:szCs w:val="16"/>
        </w:rPr>
        <w:t>CALCRL</w:t>
      </w:r>
      <w:r>
        <w:rPr>
          <w:rFonts w:cs="Times New Roman"/>
          <w:sz w:val="16"/>
          <w:szCs w:val="16"/>
        </w:rPr>
        <w:t xml:space="preserve"> (low vs intermediate vs high).</w:t>
      </w:r>
    </w:p>
    <w:p w14:paraId="207DE9B0" w14:textId="77777777" w:rsidR="00DD142B" w:rsidRDefault="00F23CC1">
      <w:pPr>
        <w:spacing w:after="0" w:line="240" w:lineRule="auto"/>
        <w:rPr>
          <w:rFonts w:cs="Times New Roman"/>
          <w:sz w:val="16"/>
          <w:szCs w:val="16"/>
        </w:rPr>
      </w:pPr>
      <w:r>
        <w:rPr>
          <w:rFonts w:cs="Times New Roman"/>
          <w:sz w:val="16"/>
          <w:szCs w:val="16"/>
        </w:rPr>
        <w:t xml:space="preserve">Abbreviations: AML, acute myeloid leukemia; s-AML, secondary AML; t-AML, therapy-related AML; WBC, white blood cell count; LDH, lactate dehydrogenase; </w:t>
      </w:r>
      <w:r>
        <w:rPr>
          <w:rFonts w:cs="Times New Roman"/>
          <w:i/>
          <w:sz w:val="16"/>
          <w:szCs w:val="16"/>
        </w:rPr>
        <w:t>NPM1</w:t>
      </w:r>
      <w:r>
        <w:rPr>
          <w:rFonts w:cs="Times New Roman"/>
          <w:sz w:val="16"/>
          <w:szCs w:val="16"/>
        </w:rPr>
        <w:t xml:space="preserve">, nucleophosmin-1; </w:t>
      </w:r>
      <w:r>
        <w:rPr>
          <w:rFonts w:cs="Times New Roman"/>
          <w:i/>
          <w:sz w:val="16"/>
          <w:szCs w:val="16"/>
        </w:rPr>
        <w:t>FLT3</w:t>
      </w:r>
      <w:r>
        <w:rPr>
          <w:rFonts w:cs="Times New Roman"/>
          <w:sz w:val="16"/>
          <w:szCs w:val="16"/>
        </w:rPr>
        <w:t xml:space="preserve">-ITD, internal tandem duplication of the </w:t>
      </w:r>
      <w:r>
        <w:rPr>
          <w:rFonts w:cs="Times New Roman"/>
          <w:i/>
          <w:sz w:val="16"/>
          <w:szCs w:val="16"/>
        </w:rPr>
        <w:t>FLT3</w:t>
      </w:r>
      <w:r>
        <w:rPr>
          <w:rFonts w:cs="Times New Roman"/>
          <w:sz w:val="16"/>
          <w:szCs w:val="16"/>
        </w:rPr>
        <w:t xml:space="preserve"> gene; </w:t>
      </w:r>
      <w:r>
        <w:rPr>
          <w:rFonts w:cs="Times New Roman"/>
          <w:i/>
          <w:sz w:val="16"/>
          <w:szCs w:val="16"/>
        </w:rPr>
        <w:t>CEPBA</w:t>
      </w:r>
      <w:r>
        <w:rPr>
          <w:rFonts w:cs="Times New Roman"/>
          <w:sz w:val="16"/>
          <w:szCs w:val="16"/>
        </w:rPr>
        <w:t xml:space="preserve">, CCAAT/enhancer binding protein α; </w:t>
      </w:r>
      <w:r>
        <w:rPr>
          <w:rFonts w:cs="Times New Roman"/>
          <w:i/>
          <w:sz w:val="16"/>
          <w:szCs w:val="16"/>
        </w:rPr>
        <w:t>RUNX1</w:t>
      </w:r>
      <w:r>
        <w:rPr>
          <w:rFonts w:cs="Times New Roman"/>
          <w:sz w:val="16"/>
          <w:szCs w:val="16"/>
        </w:rPr>
        <w:t>, Runt-related transcription factor 1;</w:t>
      </w:r>
      <w:r>
        <w:rPr>
          <w:rFonts w:cs="Times New Roman"/>
          <w:i/>
          <w:sz w:val="16"/>
          <w:szCs w:val="16"/>
        </w:rPr>
        <w:t xml:space="preserve"> ASXL1</w:t>
      </w:r>
      <w:r>
        <w:rPr>
          <w:rFonts w:cs="Times New Roman"/>
          <w:sz w:val="16"/>
          <w:szCs w:val="16"/>
        </w:rPr>
        <w:t xml:space="preserve">, additional sex combs like 1; </w:t>
      </w:r>
      <w:r>
        <w:rPr>
          <w:rFonts w:cs="Times New Roman"/>
          <w:i/>
          <w:sz w:val="16"/>
          <w:szCs w:val="16"/>
        </w:rPr>
        <w:t>TP53</w:t>
      </w:r>
      <w:r>
        <w:rPr>
          <w:rFonts w:cs="Times New Roman"/>
          <w:sz w:val="16"/>
          <w:szCs w:val="16"/>
        </w:rPr>
        <w:t xml:space="preserve">, tumor protein p53; </w:t>
      </w:r>
      <w:r>
        <w:rPr>
          <w:rFonts w:cs="Times New Roman"/>
          <w:i/>
          <w:sz w:val="16"/>
          <w:szCs w:val="16"/>
        </w:rPr>
        <w:t>CALCRL</w:t>
      </w:r>
      <w:r>
        <w:rPr>
          <w:rFonts w:cs="Times New Roman"/>
          <w:sz w:val="16"/>
          <w:szCs w:val="16"/>
        </w:rPr>
        <w:t>, calcitonin-receptor like.</w:t>
      </w:r>
    </w:p>
    <w:p w14:paraId="197AD856" w14:textId="77777777" w:rsidR="00DD142B" w:rsidRDefault="00F23CC1">
      <w:pPr>
        <w:spacing w:after="0" w:line="240" w:lineRule="auto"/>
        <w:rPr>
          <w:rFonts w:cs="Times New Roman"/>
          <w:sz w:val="16"/>
          <w:szCs w:val="16"/>
        </w:rPr>
      </w:pPr>
      <w:r>
        <w:rPr>
          <w:rFonts w:cs="Times New Roman"/>
          <w:sz w:val="16"/>
          <w:szCs w:val="16"/>
          <w:vertAlign w:val="superscript"/>
        </w:rPr>
        <w:t>§</w:t>
      </w:r>
      <w:r>
        <w:rPr>
          <w:rFonts w:cs="Times New Roman"/>
          <w:sz w:val="16"/>
          <w:szCs w:val="16"/>
        </w:rPr>
        <w:t>Cytogenetic risk groups according to ELN 2017 definitions.</w:t>
      </w:r>
    </w:p>
    <w:p w14:paraId="18CA1517" w14:textId="77777777" w:rsidR="00DD142B" w:rsidRDefault="00F23CC1">
      <w:pPr>
        <w:spacing w:after="0" w:line="240" w:lineRule="auto"/>
        <w:rPr>
          <w:rFonts w:cs="Times New Roman"/>
          <w:sz w:val="16"/>
          <w:szCs w:val="16"/>
        </w:rPr>
      </w:pPr>
      <w:r>
        <w:rPr>
          <w:rFonts w:cs="Times New Roman"/>
          <w:sz w:val="16"/>
          <w:szCs w:val="16"/>
          <w:vertAlign w:val="superscript"/>
        </w:rPr>
        <w:t>‡</w:t>
      </w:r>
      <w:r>
        <w:rPr>
          <w:rFonts w:cs="Times New Roman"/>
          <w:sz w:val="16"/>
          <w:szCs w:val="16"/>
        </w:rPr>
        <w:t xml:space="preserve">The low-risk group is defined as </w:t>
      </w:r>
      <w:r>
        <w:rPr>
          <w:rFonts w:cs="Times New Roman"/>
          <w:i/>
          <w:sz w:val="16"/>
          <w:szCs w:val="16"/>
        </w:rPr>
        <w:t>NPM1</w:t>
      </w:r>
      <w:r>
        <w:rPr>
          <w:rFonts w:cs="Times New Roman"/>
          <w:sz w:val="16"/>
          <w:szCs w:val="16"/>
          <w:vertAlign w:val="superscript"/>
        </w:rPr>
        <w:t>mut</w:t>
      </w:r>
      <w:r>
        <w:rPr>
          <w:rFonts w:cs="Times New Roman"/>
          <w:sz w:val="16"/>
          <w:szCs w:val="16"/>
        </w:rPr>
        <w:t>/</w:t>
      </w:r>
      <w:r>
        <w:rPr>
          <w:rFonts w:cs="Times New Roman"/>
          <w:i/>
          <w:sz w:val="16"/>
          <w:szCs w:val="16"/>
        </w:rPr>
        <w:t>FLT3</w:t>
      </w:r>
      <w:r>
        <w:rPr>
          <w:rFonts w:cs="Times New Roman"/>
          <w:sz w:val="16"/>
          <w:szCs w:val="16"/>
        </w:rPr>
        <w:t>-ITD</w:t>
      </w:r>
      <w:r>
        <w:rPr>
          <w:rFonts w:cs="Times New Roman"/>
          <w:sz w:val="16"/>
          <w:szCs w:val="16"/>
          <w:vertAlign w:val="superscript"/>
        </w:rPr>
        <w:t>neg/low</w:t>
      </w:r>
      <w:r>
        <w:rPr>
          <w:rFonts w:cs="Times New Roman"/>
          <w:sz w:val="16"/>
          <w:szCs w:val="16"/>
        </w:rPr>
        <w:t xml:space="preserve">, the intermediate-risk group is defined as </w:t>
      </w:r>
      <w:r>
        <w:rPr>
          <w:rFonts w:cs="Times New Roman"/>
          <w:i/>
          <w:sz w:val="16"/>
          <w:szCs w:val="16"/>
        </w:rPr>
        <w:t>NPM1</w:t>
      </w:r>
      <w:r>
        <w:rPr>
          <w:rFonts w:cs="Times New Roman"/>
          <w:sz w:val="16"/>
          <w:szCs w:val="16"/>
          <w:vertAlign w:val="superscript"/>
        </w:rPr>
        <w:t>mut</w:t>
      </w:r>
      <w:r>
        <w:rPr>
          <w:rFonts w:cs="Times New Roman"/>
          <w:sz w:val="16"/>
          <w:szCs w:val="16"/>
        </w:rPr>
        <w:t>/</w:t>
      </w:r>
      <w:r>
        <w:rPr>
          <w:rFonts w:cs="Times New Roman"/>
          <w:i/>
          <w:sz w:val="16"/>
          <w:szCs w:val="16"/>
        </w:rPr>
        <w:t>FLT3</w:t>
      </w:r>
      <w:r>
        <w:rPr>
          <w:rFonts w:cs="Times New Roman"/>
          <w:sz w:val="16"/>
          <w:szCs w:val="16"/>
        </w:rPr>
        <w:t>-ITD</w:t>
      </w:r>
      <w:r>
        <w:rPr>
          <w:rFonts w:cs="Times New Roman"/>
          <w:sz w:val="16"/>
          <w:szCs w:val="16"/>
          <w:vertAlign w:val="superscript"/>
        </w:rPr>
        <w:t xml:space="preserve">high </w:t>
      </w:r>
      <w:r>
        <w:rPr>
          <w:rFonts w:cs="Times New Roman"/>
          <w:sz w:val="16"/>
          <w:szCs w:val="16"/>
        </w:rPr>
        <w:t xml:space="preserve">or </w:t>
      </w:r>
      <w:r>
        <w:rPr>
          <w:rFonts w:cs="Times New Roman"/>
          <w:i/>
          <w:sz w:val="16"/>
          <w:szCs w:val="16"/>
        </w:rPr>
        <w:t>NPM1</w:t>
      </w:r>
      <w:r>
        <w:rPr>
          <w:rFonts w:cs="Times New Roman"/>
          <w:sz w:val="16"/>
          <w:szCs w:val="16"/>
          <w:vertAlign w:val="superscript"/>
        </w:rPr>
        <w:t>wt</w:t>
      </w:r>
      <w:r>
        <w:rPr>
          <w:rFonts w:cs="Times New Roman"/>
          <w:sz w:val="16"/>
          <w:szCs w:val="16"/>
        </w:rPr>
        <w:t>/</w:t>
      </w:r>
      <w:r>
        <w:rPr>
          <w:rFonts w:cs="Times New Roman"/>
          <w:i/>
          <w:sz w:val="16"/>
          <w:szCs w:val="16"/>
        </w:rPr>
        <w:t>FLT3</w:t>
      </w:r>
      <w:r>
        <w:rPr>
          <w:rFonts w:cs="Times New Roman"/>
          <w:sz w:val="16"/>
          <w:szCs w:val="16"/>
        </w:rPr>
        <w:t>-ITD</w:t>
      </w:r>
      <w:r>
        <w:rPr>
          <w:rFonts w:cs="Times New Roman"/>
          <w:sz w:val="16"/>
          <w:szCs w:val="16"/>
          <w:vertAlign w:val="superscript"/>
        </w:rPr>
        <w:t>neg/low</w:t>
      </w:r>
      <w:r>
        <w:rPr>
          <w:rFonts w:cs="Times New Roman"/>
          <w:sz w:val="16"/>
          <w:szCs w:val="16"/>
        </w:rPr>
        <w:t xml:space="preserve">, and the high-risk group is defined as </w:t>
      </w:r>
      <w:r>
        <w:rPr>
          <w:rFonts w:cs="Times New Roman"/>
          <w:i/>
          <w:sz w:val="16"/>
          <w:szCs w:val="16"/>
        </w:rPr>
        <w:t>NPM1</w:t>
      </w:r>
      <w:r>
        <w:rPr>
          <w:rFonts w:cs="Times New Roman"/>
          <w:sz w:val="16"/>
          <w:szCs w:val="16"/>
          <w:vertAlign w:val="superscript"/>
        </w:rPr>
        <w:t>wt</w:t>
      </w:r>
      <w:r>
        <w:rPr>
          <w:rFonts w:cs="Times New Roman"/>
          <w:sz w:val="16"/>
          <w:szCs w:val="16"/>
        </w:rPr>
        <w:t>/</w:t>
      </w:r>
      <w:r>
        <w:rPr>
          <w:rFonts w:cs="Times New Roman"/>
          <w:i/>
          <w:sz w:val="16"/>
          <w:szCs w:val="16"/>
        </w:rPr>
        <w:t>FLT3</w:t>
      </w:r>
      <w:r>
        <w:rPr>
          <w:rFonts w:cs="Times New Roman"/>
          <w:sz w:val="16"/>
          <w:szCs w:val="16"/>
        </w:rPr>
        <w:t>-ITD</w:t>
      </w:r>
      <w:r>
        <w:rPr>
          <w:rFonts w:cs="Times New Roman"/>
          <w:sz w:val="16"/>
          <w:szCs w:val="16"/>
          <w:vertAlign w:val="superscript"/>
        </w:rPr>
        <w:t>high</w:t>
      </w:r>
      <w:r>
        <w:rPr>
          <w:rFonts w:cs="Times New Roman"/>
          <w:sz w:val="16"/>
          <w:szCs w:val="16"/>
        </w:rPr>
        <w:t>, in accordance with ELN 2017 definitions.</w:t>
      </w:r>
    </w:p>
    <w:p w14:paraId="1B97CF87" w14:textId="77777777" w:rsidR="00DD142B" w:rsidRDefault="00DD142B">
      <w:pPr>
        <w:jc w:val="left"/>
        <w:rPr>
          <w:rFonts w:cs="Times New Roman"/>
          <w:b/>
          <w:sz w:val="21"/>
          <w:szCs w:val="24"/>
        </w:rPr>
      </w:pPr>
    </w:p>
    <w:tbl>
      <w:tblPr>
        <w:tblStyle w:val="EinfacheTabelle41"/>
        <w:tblW w:w="5000" w:type="pct"/>
        <w:jc w:val="center"/>
        <w:tblLook w:val="04A0" w:firstRow="1" w:lastRow="0" w:firstColumn="1" w:lastColumn="0" w:noHBand="0" w:noVBand="1"/>
      </w:tblPr>
      <w:tblGrid>
        <w:gridCol w:w="224"/>
        <w:gridCol w:w="3283"/>
        <w:gridCol w:w="1292"/>
        <w:gridCol w:w="212"/>
        <w:gridCol w:w="1398"/>
        <w:gridCol w:w="108"/>
        <w:gridCol w:w="1505"/>
        <w:gridCol w:w="1258"/>
      </w:tblGrid>
      <w:tr w:rsidR="00DD142B" w14:paraId="4F9DDD48" w14:textId="77777777" w:rsidTr="00DD142B">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21" w:type="pct"/>
            <w:tcBorders>
              <w:bottom w:val="single" w:sz="4" w:space="0" w:color="auto"/>
            </w:tcBorders>
          </w:tcPr>
          <w:p w14:paraId="2A011C0D" w14:textId="77777777" w:rsidR="00DD142B" w:rsidRDefault="00DD142B">
            <w:pPr>
              <w:tabs>
                <w:tab w:val="left" w:pos="8364"/>
              </w:tabs>
              <w:jc w:val="left"/>
              <w:rPr>
                <w:rFonts w:cs="Times New Roman"/>
                <w:szCs w:val="24"/>
                <w:lang w:val="en-US"/>
              </w:rPr>
            </w:pPr>
          </w:p>
        </w:tc>
        <w:tc>
          <w:tcPr>
            <w:tcW w:w="4879" w:type="pct"/>
            <w:gridSpan w:val="7"/>
            <w:tcBorders>
              <w:bottom w:val="single" w:sz="4" w:space="0" w:color="auto"/>
            </w:tcBorders>
          </w:tcPr>
          <w:p w14:paraId="079DE66F" w14:textId="77777777" w:rsidR="00DD142B" w:rsidRDefault="00F23CC1">
            <w:pPr>
              <w:spacing w:line="240" w:lineRule="auto"/>
              <w:cnfStyle w:val="100000000000" w:firstRow="1" w:lastRow="0" w:firstColumn="0" w:lastColumn="0" w:oddVBand="0" w:evenVBand="0" w:oddHBand="0" w:evenHBand="0" w:firstRowFirstColumn="0" w:firstRowLastColumn="0" w:lastRowFirstColumn="0" w:lastRowLastColumn="0"/>
              <w:rPr>
                <w:rFonts w:cs="Times New Roman"/>
                <w:szCs w:val="24"/>
                <w:lang w:val="en-US"/>
              </w:rPr>
            </w:pPr>
            <w:r>
              <w:rPr>
                <w:rFonts w:cs="Times New Roman"/>
                <w:szCs w:val="24"/>
                <w:lang w:val="en-US"/>
              </w:rPr>
              <w:t xml:space="preserve">Table 1. Pretreatment characteristics of 492 AML patients of the AMLCG analytic cohort, categorized as </w:t>
            </w:r>
            <w:r>
              <w:rPr>
                <w:rFonts w:cs="Times New Roman"/>
                <w:i/>
                <w:szCs w:val="24"/>
                <w:lang w:val="en-US"/>
              </w:rPr>
              <w:t>CALCRL</w:t>
            </w:r>
            <w:r>
              <w:rPr>
                <w:rFonts w:cs="Times New Roman"/>
                <w:szCs w:val="24"/>
                <w:vertAlign w:val="superscript"/>
                <w:lang w:val="en-US"/>
              </w:rPr>
              <w:t>low</w:t>
            </w:r>
            <w:r>
              <w:rPr>
                <w:rFonts w:cs="Times New Roman"/>
                <w:szCs w:val="24"/>
                <w:lang w:val="en-US"/>
              </w:rPr>
              <w:t xml:space="preserve">, </w:t>
            </w:r>
            <w:r>
              <w:rPr>
                <w:rFonts w:cs="Times New Roman"/>
                <w:i/>
                <w:szCs w:val="24"/>
                <w:lang w:val="en-US"/>
              </w:rPr>
              <w:t>CALCRL</w:t>
            </w:r>
            <w:r>
              <w:rPr>
                <w:rFonts w:cs="Times New Roman"/>
                <w:szCs w:val="24"/>
                <w:vertAlign w:val="superscript"/>
                <w:lang w:val="en-US"/>
              </w:rPr>
              <w:t>int</w:t>
            </w:r>
            <w:r>
              <w:rPr>
                <w:rFonts w:cs="Times New Roman"/>
                <w:szCs w:val="24"/>
                <w:lang w:val="en-US"/>
              </w:rPr>
              <w:t xml:space="preserve"> and </w:t>
            </w:r>
            <w:r>
              <w:rPr>
                <w:rFonts w:cs="Times New Roman"/>
                <w:i/>
                <w:szCs w:val="24"/>
                <w:lang w:val="en-US"/>
              </w:rPr>
              <w:t>CALCRL</w:t>
            </w:r>
            <w:r>
              <w:rPr>
                <w:rFonts w:cs="Times New Roman"/>
                <w:szCs w:val="24"/>
                <w:vertAlign w:val="superscript"/>
                <w:lang w:val="en-US"/>
              </w:rPr>
              <w:t>high</w:t>
            </w:r>
            <w:r>
              <w:rPr>
                <w:rFonts w:cs="Times New Roman"/>
                <w:szCs w:val="24"/>
                <w:lang w:val="en-US"/>
              </w:rPr>
              <w:t>.</w:t>
            </w:r>
          </w:p>
        </w:tc>
      </w:tr>
      <w:tr w:rsidR="00DD142B" w14:paraId="29F47CDD" w14:textId="77777777" w:rsidTr="00DD142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90" w:type="pct"/>
            <w:gridSpan w:val="2"/>
            <w:vMerge w:val="restart"/>
            <w:tcBorders>
              <w:top w:val="single" w:sz="4" w:space="0" w:color="auto"/>
            </w:tcBorders>
            <w:shd w:val="clear" w:color="auto" w:fill="auto"/>
            <w:vAlign w:val="center"/>
          </w:tcPr>
          <w:p w14:paraId="763EEC65" w14:textId="77777777" w:rsidR="00DD142B" w:rsidRDefault="00F23CC1">
            <w:pPr>
              <w:spacing w:line="240" w:lineRule="auto"/>
              <w:jc w:val="center"/>
              <w:rPr>
                <w:rFonts w:cs="Times New Roman"/>
                <w:sz w:val="20"/>
                <w:szCs w:val="20"/>
                <w:lang w:val="en-US"/>
              </w:rPr>
            </w:pPr>
            <w:r>
              <w:rPr>
                <w:rFonts w:cs="Times New Roman"/>
                <w:sz w:val="20"/>
                <w:szCs w:val="20"/>
                <w:lang w:val="en-US"/>
              </w:rPr>
              <w:t>Variables</w:t>
            </w:r>
          </w:p>
        </w:tc>
        <w:tc>
          <w:tcPr>
            <w:tcW w:w="696" w:type="pct"/>
            <w:tcBorders>
              <w:top w:val="single" w:sz="4" w:space="0" w:color="auto"/>
              <w:bottom w:val="single" w:sz="4" w:space="0" w:color="auto"/>
            </w:tcBorders>
            <w:shd w:val="clear" w:color="auto" w:fill="auto"/>
            <w:vAlign w:val="center"/>
          </w:tcPr>
          <w:p w14:paraId="66FFC557" w14:textId="77777777" w:rsidR="00DD142B" w:rsidRDefault="00DD142B">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lang w:val="en-US"/>
              </w:rPr>
            </w:pPr>
          </w:p>
        </w:tc>
        <w:tc>
          <w:tcPr>
            <w:tcW w:w="867" w:type="pct"/>
            <w:gridSpan w:val="2"/>
            <w:tcBorders>
              <w:top w:val="single" w:sz="4" w:space="0" w:color="auto"/>
              <w:bottom w:val="single" w:sz="4" w:space="0" w:color="auto"/>
            </w:tcBorders>
            <w:shd w:val="clear" w:color="auto" w:fill="auto"/>
            <w:vAlign w:val="center"/>
          </w:tcPr>
          <w:p w14:paraId="7D42951C" w14:textId="77777777" w:rsidR="00DD142B" w:rsidRDefault="00F23CC1">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lang w:val="en-US"/>
              </w:rPr>
            </w:pPr>
            <w:r>
              <w:rPr>
                <w:rFonts w:cs="Times New Roman"/>
                <w:b/>
                <w:i/>
                <w:sz w:val="20"/>
                <w:szCs w:val="20"/>
                <w:lang w:val="en-US"/>
              </w:rPr>
              <w:t>CALCRL</w:t>
            </w:r>
          </w:p>
        </w:tc>
        <w:tc>
          <w:tcPr>
            <w:tcW w:w="1546" w:type="pct"/>
            <w:gridSpan w:val="3"/>
            <w:tcBorders>
              <w:top w:val="single" w:sz="4" w:space="0" w:color="auto"/>
              <w:bottom w:val="single" w:sz="4" w:space="0" w:color="auto"/>
            </w:tcBorders>
            <w:shd w:val="clear" w:color="auto" w:fill="auto"/>
            <w:vAlign w:val="center"/>
          </w:tcPr>
          <w:p w14:paraId="7E5F52B2" w14:textId="77777777" w:rsidR="00DD142B" w:rsidRDefault="00DD142B">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lang w:val="en-US"/>
              </w:rPr>
            </w:pPr>
          </w:p>
        </w:tc>
      </w:tr>
      <w:tr w:rsidR="00DD142B" w14:paraId="4D7F5343" w14:textId="77777777" w:rsidTr="00DD142B">
        <w:trPr>
          <w:trHeight w:val="340"/>
          <w:jc w:val="center"/>
        </w:trPr>
        <w:tc>
          <w:tcPr>
            <w:cnfStyle w:val="001000000000" w:firstRow="0" w:lastRow="0" w:firstColumn="1" w:lastColumn="0" w:oddVBand="0" w:evenVBand="0" w:oddHBand="0" w:evenHBand="0" w:firstRowFirstColumn="0" w:firstRowLastColumn="0" w:lastRowFirstColumn="0" w:lastRowLastColumn="0"/>
            <w:tcW w:w="1890" w:type="pct"/>
            <w:gridSpan w:val="2"/>
            <w:vMerge/>
            <w:tcBorders>
              <w:bottom w:val="single" w:sz="4" w:space="0" w:color="auto"/>
            </w:tcBorders>
            <w:shd w:val="clear" w:color="auto" w:fill="auto"/>
            <w:vAlign w:val="center"/>
          </w:tcPr>
          <w:p w14:paraId="2366EA0D" w14:textId="77777777" w:rsidR="00DD142B" w:rsidRDefault="00DD142B">
            <w:pPr>
              <w:spacing w:line="240" w:lineRule="auto"/>
              <w:jc w:val="left"/>
              <w:rPr>
                <w:rFonts w:cs="Times New Roman"/>
                <w:sz w:val="20"/>
                <w:szCs w:val="20"/>
                <w:lang w:val="en-US"/>
              </w:rPr>
            </w:pPr>
          </w:p>
        </w:tc>
        <w:tc>
          <w:tcPr>
            <w:tcW w:w="810" w:type="pct"/>
            <w:gridSpan w:val="2"/>
            <w:tcBorders>
              <w:top w:val="single" w:sz="4" w:space="0" w:color="auto"/>
              <w:bottom w:val="single" w:sz="4" w:space="0" w:color="auto"/>
            </w:tcBorders>
            <w:shd w:val="clear" w:color="auto" w:fill="auto"/>
            <w:vAlign w:val="center"/>
          </w:tcPr>
          <w:p w14:paraId="3E2DBE4D" w14:textId="77777777" w:rsidR="00DD142B" w:rsidRDefault="00F23CC1">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lang w:val="en-US"/>
              </w:rPr>
            </w:pPr>
            <w:r>
              <w:rPr>
                <w:rFonts w:cs="Times New Roman"/>
                <w:b/>
                <w:sz w:val="20"/>
                <w:szCs w:val="20"/>
                <w:lang w:val="en-US"/>
              </w:rPr>
              <w:t>Low</w:t>
            </w:r>
          </w:p>
        </w:tc>
        <w:tc>
          <w:tcPr>
            <w:tcW w:w="811" w:type="pct"/>
            <w:gridSpan w:val="2"/>
            <w:tcBorders>
              <w:top w:val="single" w:sz="4" w:space="0" w:color="auto"/>
              <w:bottom w:val="single" w:sz="4" w:space="0" w:color="auto"/>
            </w:tcBorders>
            <w:shd w:val="clear" w:color="auto" w:fill="auto"/>
            <w:vAlign w:val="center"/>
          </w:tcPr>
          <w:p w14:paraId="7BEA780B" w14:textId="77777777" w:rsidR="00DD142B" w:rsidRDefault="00F23CC1">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lang w:val="en-US"/>
              </w:rPr>
            </w:pPr>
            <w:r>
              <w:rPr>
                <w:rFonts w:cs="Times New Roman"/>
                <w:b/>
                <w:sz w:val="20"/>
                <w:szCs w:val="20"/>
                <w:lang w:val="en-US"/>
              </w:rPr>
              <w:t>Intermediate</w:t>
            </w:r>
          </w:p>
        </w:tc>
        <w:tc>
          <w:tcPr>
            <w:tcW w:w="811" w:type="pct"/>
            <w:tcBorders>
              <w:top w:val="single" w:sz="4" w:space="0" w:color="auto"/>
              <w:bottom w:val="single" w:sz="4" w:space="0" w:color="auto"/>
            </w:tcBorders>
            <w:shd w:val="clear" w:color="auto" w:fill="auto"/>
            <w:vAlign w:val="center"/>
          </w:tcPr>
          <w:p w14:paraId="6D0C49A9" w14:textId="77777777" w:rsidR="00DD142B" w:rsidRDefault="00F23CC1">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lang w:val="en-US"/>
              </w:rPr>
            </w:pPr>
            <w:r>
              <w:rPr>
                <w:rFonts w:cs="Times New Roman"/>
                <w:b/>
                <w:sz w:val="20"/>
                <w:szCs w:val="20"/>
                <w:lang w:val="en-US"/>
              </w:rPr>
              <w:t>High</w:t>
            </w:r>
          </w:p>
        </w:tc>
        <w:tc>
          <w:tcPr>
            <w:tcW w:w="677" w:type="pct"/>
            <w:tcBorders>
              <w:top w:val="single" w:sz="4" w:space="0" w:color="auto"/>
              <w:bottom w:val="single" w:sz="4" w:space="0" w:color="auto"/>
            </w:tcBorders>
            <w:vAlign w:val="center"/>
          </w:tcPr>
          <w:p w14:paraId="0B72C86A" w14:textId="77777777" w:rsidR="00DD142B" w:rsidRDefault="00F23CC1">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b/>
                <w:sz w:val="20"/>
                <w:szCs w:val="20"/>
                <w:lang w:val="en-US"/>
              </w:rPr>
            </w:pPr>
            <w:r>
              <w:rPr>
                <w:rFonts w:cs="Times New Roman"/>
                <w:b/>
                <w:i/>
                <w:sz w:val="20"/>
                <w:szCs w:val="20"/>
                <w:lang w:val="en-US"/>
              </w:rPr>
              <w:t>P</w:t>
            </w:r>
            <w:r>
              <w:rPr>
                <w:rFonts w:cs="Times New Roman"/>
                <w:b/>
                <w:sz w:val="20"/>
                <w:szCs w:val="20"/>
                <w:lang w:val="en-US"/>
              </w:rPr>
              <w:t xml:space="preserve"> value</w:t>
            </w:r>
          </w:p>
        </w:tc>
      </w:tr>
      <w:tr w:rsidR="00DD142B" w14:paraId="2E8E01B9"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Borders>
              <w:top w:val="single" w:sz="4" w:space="0" w:color="auto"/>
            </w:tcBorders>
          </w:tcPr>
          <w:p w14:paraId="28AA197E" w14:textId="77777777" w:rsidR="00DD142B" w:rsidRDefault="00F23CC1">
            <w:pPr>
              <w:jc w:val="left"/>
              <w:rPr>
                <w:rFonts w:cs="Times New Roman"/>
                <w:sz w:val="18"/>
                <w:szCs w:val="18"/>
                <w:lang w:val="en-US"/>
              </w:rPr>
            </w:pPr>
            <w:r>
              <w:rPr>
                <w:rFonts w:cs="Times New Roman"/>
                <w:sz w:val="18"/>
                <w:szCs w:val="18"/>
                <w:lang w:val="en-US"/>
              </w:rPr>
              <w:t>N</w:t>
            </w:r>
          </w:p>
        </w:tc>
        <w:tc>
          <w:tcPr>
            <w:tcW w:w="810" w:type="pct"/>
            <w:gridSpan w:val="2"/>
            <w:tcBorders>
              <w:top w:val="single" w:sz="4" w:space="0" w:color="auto"/>
            </w:tcBorders>
          </w:tcPr>
          <w:p w14:paraId="20A0BCAF"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123</w:t>
            </w:r>
          </w:p>
        </w:tc>
        <w:tc>
          <w:tcPr>
            <w:tcW w:w="811" w:type="pct"/>
            <w:gridSpan w:val="2"/>
            <w:tcBorders>
              <w:top w:val="single" w:sz="4" w:space="0" w:color="auto"/>
            </w:tcBorders>
          </w:tcPr>
          <w:p w14:paraId="51734B1B"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246</w:t>
            </w:r>
          </w:p>
        </w:tc>
        <w:tc>
          <w:tcPr>
            <w:tcW w:w="811" w:type="pct"/>
            <w:tcBorders>
              <w:top w:val="single" w:sz="4" w:space="0" w:color="auto"/>
            </w:tcBorders>
          </w:tcPr>
          <w:p w14:paraId="4F153A3A"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123</w:t>
            </w:r>
          </w:p>
        </w:tc>
        <w:tc>
          <w:tcPr>
            <w:tcW w:w="677" w:type="pct"/>
            <w:tcBorders>
              <w:top w:val="single" w:sz="4" w:space="0" w:color="auto"/>
            </w:tcBorders>
          </w:tcPr>
          <w:p w14:paraId="7C67A0BA" w14:textId="77777777" w:rsidR="00DD142B" w:rsidRDefault="00DD142B">
            <w:pPr>
              <w:jc w:val="right"/>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r>
      <w:tr w:rsidR="00DD142B" w14:paraId="09E1A982"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18E4DD51" w14:textId="77777777" w:rsidR="00DD142B" w:rsidRDefault="00F23CC1">
            <w:pPr>
              <w:jc w:val="left"/>
              <w:rPr>
                <w:rFonts w:cs="Times New Roman"/>
                <w:sz w:val="18"/>
                <w:szCs w:val="18"/>
                <w:lang w:val="en-US"/>
              </w:rPr>
            </w:pPr>
            <w:r>
              <w:rPr>
                <w:rFonts w:cs="Times New Roman"/>
                <w:sz w:val="18"/>
                <w:szCs w:val="18"/>
                <w:lang w:val="en-US"/>
              </w:rPr>
              <w:t>Age</w:t>
            </w:r>
            <w:r>
              <w:rPr>
                <w:rFonts w:cs="Times New Roman"/>
                <w:b w:val="0"/>
                <w:sz w:val="18"/>
                <w:szCs w:val="18"/>
                <w:lang w:val="en-US"/>
              </w:rPr>
              <w:t>, years</w:t>
            </w:r>
          </w:p>
        </w:tc>
        <w:tc>
          <w:tcPr>
            <w:tcW w:w="810" w:type="pct"/>
            <w:gridSpan w:val="2"/>
          </w:tcPr>
          <w:p w14:paraId="1F0B2E5D" w14:textId="77777777" w:rsidR="00DD142B" w:rsidRDefault="00DD142B">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c>
          <w:tcPr>
            <w:tcW w:w="811" w:type="pct"/>
            <w:gridSpan w:val="2"/>
          </w:tcPr>
          <w:p w14:paraId="0AFE79A2" w14:textId="77777777" w:rsidR="00DD142B" w:rsidRDefault="00DD142B">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c>
          <w:tcPr>
            <w:tcW w:w="811" w:type="pct"/>
          </w:tcPr>
          <w:p w14:paraId="5F8CF924" w14:textId="77777777" w:rsidR="00DD142B" w:rsidRDefault="00DD142B">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c>
          <w:tcPr>
            <w:tcW w:w="677" w:type="pct"/>
          </w:tcPr>
          <w:p w14:paraId="3E3ECA3F" w14:textId="77777777" w:rsidR="00DD142B" w:rsidRDefault="00F23CC1">
            <w:pPr>
              <w:jc w:val="right"/>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b/>
                <w:sz w:val="18"/>
                <w:szCs w:val="18"/>
                <w:lang w:val="en-US"/>
              </w:rPr>
              <w:t>&lt;.0001</w:t>
            </w:r>
            <w:r>
              <w:rPr>
                <w:rFonts w:cs="Times New Roman"/>
                <w:sz w:val="16"/>
                <w:szCs w:val="16"/>
                <w:vertAlign w:val="superscript"/>
                <w:lang w:val="en-US"/>
              </w:rPr>
              <w:t>§</w:t>
            </w:r>
          </w:p>
        </w:tc>
      </w:tr>
      <w:tr w:rsidR="00DD142B" w14:paraId="4759BFC5"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313092CE" w14:textId="77777777" w:rsidR="00DD142B" w:rsidRDefault="00F23CC1">
            <w:pPr>
              <w:jc w:val="left"/>
              <w:rPr>
                <w:rFonts w:cs="Times New Roman"/>
                <w:sz w:val="18"/>
                <w:szCs w:val="18"/>
                <w:lang w:val="en-US"/>
              </w:rPr>
            </w:pPr>
            <w:r>
              <w:rPr>
                <w:rFonts w:cs="Times New Roman"/>
                <w:b w:val="0"/>
                <w:sz w:val="18"/>
                <w:szCs w:val="18"/>
                <w:lang w:val="en-US"/>
              </w:rPr>
              <w:t xml:space="preserve">    Median (range)</w:t>
            </w:r>
          </w:p>
        </w:tc>
        <w:tc>
          <w:tcPr>
            <w:tcW w:w="810" w:type="pct"/>
            <w:gridSpan w:val="2"/>
          </w:tcPr>
          <w:p w14:paraId="2F7CB39E"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48 (19-83)</w:t>
            </w:r>
          </w:p>
        </w:tc>
        <w:tc>
          <w:tcPr>
            <w:tcW w:w="811" w:type="pct"/>
            <w:gridSpan w:val="2"/>
          </w:tcPr>
          <w:p w14:paraId="5E037283"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58 (18-85)</w:t>
            </w:r>
          </w:p>
        </w:tc>
        <w:tc>
          <w:tcPr>
            <w:tcW w:w="811" w:type="pct"/>
          </w:tcPr>
          <w:p w14:paraId="454CFBAF"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63 (20-79)</w:t>
            </w:r>
          </w:p>
        </w:tc>
        <w:tc>
          <w:tcPr>
            <w:tcW w:w="677" w:type="pct"/>
          </w:tcPr>
          <w:p w14:paraId="35603839" w14:textId="77777777" w:rsidR="00DD142B" w:rsidRDefault="00DD142B">
            <w:pPr>
              <w:jc w:val="right"/>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r>
      <w:tr w:rsidR="00DD142B" w14:paraId="3E00788F"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591EB2F8" w14:textId="77777777" w:rsidR="00DD142B" w:rsidRDefault="00F23CC1">
            <w:pPr>
              <w:jc w:val="left"/>
              <w:rPr>
                <w:rFonts w:cs="Times New Roman"/>
                <w:sz w:val="18"/>
                <w:szCs w:val="18"/>
                <w:lang w:val="en-US"/>
              </w:rPr>
            </w:pPr>
            <w:r>
              <w:rPr>
                <w:rFonts w:cs="Times New Roman"/>
                <w:sz w:val="18"/>
                <w:szCs w:val="18"/>
                <w:lang w:val="en-US"/>
              </w:rPr>
              <w:t>Sex</w:t>
            </w:r>
            <w:r>
              <w:rPr>
                <w:rFonts w:cs="Times New Roman"/>
                <w:b w:val="0"/>
                <w:sz w:val="18"/>
                <w:szCs w:val="18"/>
                <w:lang w:val="en-US"/>
              </w:rPr>
              <w:t>, no (%)</w:t>
            </w:r>
          </w:p>
        </w:tc>
        <w:tc>
          <w:tcPr>
            <w:tcW w:w="810" w:type="pct"/>
            <w:gridSpan w:val="2"/>
          </w:tcPr>
          <w:p w14:paraId="09C4BC19" w14:textId="77777777" w:rsidR="00DD142B" w:rsidRDefault="00DD142B">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c>
          <w:tcPr>
            <w:tcW w:w="811" w:type="pct"/>
            <w:gridSpan w:val="2"/>
          </w:tcPr>
          <w:p w14:paraId="5B70C30D" w14:textId="77777777" w:rsidR="00DD142B" w:rsidRDefault="00DD142B">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c>
          <w:tcPr>
            <w:tcW w:w="811" w:type="pct"/>
          </w:tcPr>
          <w:p w14:paraId="0FF7BDDD" w14:textId="77777777" w:rsidR="00DD142B" w:rsidRDefault="00DD142B">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vertAlign w:val="superscript"/>
                <w:lang w:val="en-US"/>
              </w:rPr>
            </w:pPr>
          </w:p>
        </w:tc>
        <w:tc>
          <w:tcPr>
            <w:tcW w:w="677" w:type="pct"/>
          </w:tcPr>
          <w:p w14:paraId="2E3B8F98" w14:textId="77777777" w:rsidR="00DD142B" w:rsidRDefault="00F23CC1">
            <w:pPr>
              <w:jc w:val="right"/>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.85</w:t>
            </w:r>
            <w:r>
              <w:rPr>
                <w:rFonts w:cs="Times New Roman"/>
                <w:sz w:val="16"/>
                <w:szCs w:val="16"/>
                <w:vertAlign w:val="superscript"/>
                <w:lang w:val="en-US"/>
              </w:rPr>
              <w:t>¶</w:t>
            </w:r>
          </w:p>
        </w:tc>
      </w:tr>
      <w:tr w:rsidR="00DD142B" w14:paraId="1F394C08"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331DE496" w14:textId="77777777" w:rsidR="00DD142B" w:rsidRDefault="00F23CC1">
            <w:pPr>
              <w:jc w:val="left"/>
              <w:rPr>
                <w:rFonts w:cs="Times New Roman"/>
                <w:sz w:val="18"/>
                <w:szCs w:val="18"/>
                <w:lang w:val="en-US"/>
              </w:rPr>
            </w:pPr>
            <w:r>
              <w:rPr>
                <w:rFonts w:cs="Times New Roman"/>
                <w:b w:val="0"/>
                <w:sz w:val="18"/>
                <w:szCs w:val="18"/>
                <w:lang w:val="en-US"/>
              </w:rPr>
              <w:t xml:space="preserve">    Male</w:t>
            </w:r>
          </w:p>
        </w:tc>
        <w:tc>
          <w:tcPr>
            <w:tcW w:w="810" w:type="pct"/>
            <w:gridSpan w:val="2"/>
          </w:tcPr>
          <w:p w14:paraId="1CD711C8"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59 (48.0)</w:t>
            </w:r>
          </w:p>
        </w:tc>
        <w:tc>
          <w:tcPr>
            <w:tcW w:w="811" w:type="pct"/>
            <w:gridSpan w:val="2"/>
          </w:tcPr>
          <w:p w14:paraId="01D1DD7B"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125 (50.8)</w:t>
            </w:r>
          </w:p>
        </w:tc>
        <w:tc>
          <w:tcPr>
            <w:tcW w:w="811" w:type="pct"/>
          </w:tcPr>
          <w:p w14:paraId="6B2A7785"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63 (51.2)</w:t>
            </w:r>
          </w:p>
        </w:tc>
        <w:tc>
          <w:tcPr>
            <w:tcW w:w="677" w:type="pct"/>
          </w:tcPr>
          <w:p w14:paraId="5738203B" w14:textId="77777777" w:rsidR="00DD142B" w:rsidRDefault="00DD142B">
            <w:pPr>
              <w:jc w:val="right"/>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r>
      <w:tr w:rsidR="00DD142B" w14:paraId="27729D79"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74268527" w14:textId="77777777" w:rsidR="00DD142B" w:rsidRDefault="00F23CC1">
            <w:pPr>
              <w:jc w:val="left"/>
              <w:rPr>
                <w:rFonts w:cs="Times New Roman"/>
                <w:sz w:val="18"/>
                <w:szCs w:val="18"/>
                <w:lang w:val="en-US"/>
              </w:rPr>
            </w:pPr>
            <w:r>
              <w:rPr>
                <w:rFonts w:cs="Times New Roman"/>
                <w:b w:val="0"/>
                <w:sz w:val="18"/>
                <w:szCs w:val="18"/>
                <w:lang w:val="en-US"/>
              </w:rPr>
              <w:t xml:space="preserve">    Female</w:t>
            </w:r>
          </w:p>
        </w:tc>
        <w:tc>
          <w:tcPr>
            <w:tcW w:w="810" w:type="pct"/>
            <w:gridSpan w:val="2"/>
          </w:tcPr>
          <w:p w14:paraId="04CF167E"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64 (52.0)</w:t>
            </w:r>
          </w:p>
        </w:tc>
        <w:tc>
          <w:tcPr>
            <w:tcW w:w="811" w:type="pct"/>
            <w:gridSpan w:val="2"/>
          </w:tcPr>
          <w:p w14:paraId="179E93DA"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121 (49.2)</w:t>
            </w:r>
          </w:p>
        </w:tc>
        <w:tc>
          <w:tcPr>
            <w:tcW w:w="811" w:type="pct"/>
          </w:tcPr>
          <w:p w14:paraId="399ACEE3"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60 (48.8)</w:t>
            </w:r>
          </w:p>
        </w:tc>
        <w:tc>
          <w:tcPr>
            <w:tcW w:w="677" w:type="pct"/>
          </w:tcPr>
          <w:p w14:paraId="02FFB941" w14:textId="77777777" w:rsidR="00DD142B" w:rsidRDefault="00DD142B">
            <w:pPr>
              <w:jc w:val="right"/>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r>
      <w:tr w:rsidR="00DD142B" w14:paraId="76C73536"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731000E6" w14:textId="77777777" w:rsidR="00DD142B" w:rsidRDefault="00F23CC1">
            <w:pPr>
              <w:jc w:val="left"/>
              <w:rPr>
                <w:rFonts w:cs="Times New Roman"/>
                <w:sz w:val="18"/>
                <w:szCs w:val="18"/>
                <w:lang w:val="en-US"/>
              </w:rPr>
            </w:pPr>
            <w:r>
              <w:rPr>
                <w:rFonts w:cs="Times New Roman"/>
                <w:sz w:val="18"/>
                <w:szCs w:val="18"/>
                <w:lang w:val="en-US"/>
              </w:rPr>
              <w:t>AML type</w:t>
            </w:r>
            <w:r>
              <w:rPr>
                <w:rFonts w:cs="Times New Roman"/>
                <w:b w:val="0"/>
                <w:sz w:val="18"/>
                <w:szCs w:val="18"/>
                <w:lang w:val="en-US"/>
              </w:rPr>
              <w:t>, no (%)</w:t>
            </w:r>
          </w:p>
        </w:tc>
        <w:tc>
          <w:tcPr>
            <w:tcW w:w="810" w:type="pct"/>
            <w:gridSpan w:val="2"/>
          </w:tcPr>
          <w:p w14:paraId="47FF7582"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811" w:type="pct"/>
            <w:gridSpan w:val="2"/>
          </w:tcPr>
          <w:p w14:paraId="2E4BE31B"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811" w:type="pct"/>
          </w:tcPr>
          <w:p w14:paraId="30544559"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677" w:type="pct"/>
          </w:tcPr>
          <w:p w14:paraId="2BF52633" w14:textId="77777777" w:rsidR="00DD142B" w:rsidRDefault="00F23CC1">
            <w:pPr>
              <w:jc w:val="right"/>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.10</w:t>
            </w:r>
            <w:r>
              <w:rPr>
                <w:rFonts w:cs="Times New Roman"/>
                <w:sz w:val="16"/>
                <w:szCs w:val="16"/>
                <w:vertAlign w:val="superscript"/>
                <w:lang w:val="en-US"/>
              </w:rPr>
              <w:t>¶</w:t>
            </w:r>
          </w:p>
        </w:tc>
      </w:tr>
      <w:tr w:rsidR="00DD142B" w14:paraId="3EC0C511"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53514BC8" w14:textId="77777777" w:rsidR="00DD142B" w:rsidRDefault="00F23CC1">
            <w:pPr>
              <w:jc w:val="left"/>
              <w:rPr>
                <w:rFonts w:cs="Times New Roman"/>
                <w:i/>
                <w:sz w:val="18"/>
                <w:szCs w:val="18"/>
                <w:lang w:val="en-US"/>
              </w:rPr>
            </w:pPr>
            <w:r>
              <w:rPr>
                <w:rFonts w:cs="Times New Roman"/>
                <w:b w:val="0"/>
                <w:sz w:val="18"/>
                <w:szCs w:val="18"/>
                <w:lang w:val="en-US"/>
              </w:rPr>
              <w:t xml:space="preserve">   </w:t>
            </w:r>
            <w:r>
              <w:rPr>
                <w:rFonts w:cs="Times New Roman"/>
                <w:b w:val="0"/>
                <w:i/>
                <w:sz w:val="18"/>
                <w:szCs w:val="18"/>
                <w:lang w:val="en-US"/>
              </w:rPr>
              <w:t xml:space="preserve"> De novo</w:t>
            </w:r>
          </w:p>
        </w:tc>
        <w:tc>
          <w:tcPr>
            <w:tcW w:w="810" w:type="pct"/>
            <w:gridSpan w:val="2"/>
          </w:tcPr>
          <w:p w14:paraId="70D51889"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111 (90.2)</w:t>
            </w:r>
          </w:p>
        </w:tc>
        <w:tc>
          <w:tcPr>
            <w:tcW w:w="811" w:type="pct"/>
            <w:gridSpan w:val="2"/>
          </w:tcPr>
          <w:p w14:paraId="3A1B3AA7"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201 (81.7)</w:t>
            </w:r>
          </w:p>
        </w:tc>
        <w:tc>
          <w:tcPr>
            <w:tcW w:w="811" w:type="pct"/>
          </w:tcPr>
          <w:p w14:paraId="41A5EE50"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105 (85.4)</w:t>
            </w:r>
          </w:p>
        </w:tc>
        <w:tc>
          <w:tcPr>
            <w:tcW w:w="677" w:type="pct"/>
          </w:tcPr>
          <w:p w14:paraId="15B43E25" w14:textId="77777777" w:rsidR="00DD142B" w:rsidRDefault="00DD142B">
            <w:pPr>
              <w:jc w:val="right"/>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r>
      <w:tr w:rsidR="00DD142B" w14:paraId="74E5CA81"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0454FCCA" w14:textId="77777777" w:rsidR="00DD142B" w:rsidRDefault="00F23CC1">
            <w:pPr>
              <w:jc w:val="left"/>
              <w:rPr>
                <w:rFonts w:cs="Times New Roman"/>
                <w:sz w:val="18"/>
                <w:szCs w:val="18"/>
                <w:lang w:val="en-US"/>
              </w:rPr>
            </w:pPr>
            <w:r>
              <w:rPr>
                <w:rFonts w:cs="Times New Roman"/>
                <w:b w:val="0"/>
                <w:sz w:val="18"/>
                <w:szCs w:val="18"/>
                <w:lang w:val="en-US"/>
              </w:rPr>
              <w:t xml:space="preserve">    s-AML</w:t>
            </w:r>
          </w:p>
        </w:tc>
        <w:tc>
          <w:tcPr>
            <w:tcW w:w="810" w:type="pct"/>
            <w:gridSpan w:val="2"/>
          </w:tcPr>
          <w:p w14:paraId="4B727C2B"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6 (4.9)</w:t>
            </w:r>
          </w:p>
        </w:tc>
        <w:tc>
          <w:tcPr>
            <w:tcW w:w="811" w:type="pct"/>
            <w:gridSpan w:val="2"/>
          </w:tcPr>
          <w:p w14:paraId="02124C9A"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33 (13.4)</w:t>
            </w:r>
          </w:p>
        </w:tc>
        <w:tc>
          <w:tcPr>
            <w:tcW w:w="811" w:type="pct"/>
          </w:tcPr>
          <w:p w14:paraId="13114E4B"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10 (8.1)</w:t>
            </w:r>
          </w:p>
        </w:tc>
        <w:tc>
          <w:tcPr>
            <w:tcW w:w="677" w:type="pct"/>
          </w:tcPr>
          <w:p w14:paraId="19F55C62" w14:textId="77777777" w:rsidR="00DD142B" w:rsidRDefault="00DD142B">
            <w:pPr>
              <w:jc w:val="right"/>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r>
      <w:tr w:rsidR="00DD142B" w14:paraId="069A6F05"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2E96ABD4" w14:textId="77777777" w:rsidR="00DD142B" w:rsidRDefault="00F23CC1">
            <w:pPr>
              <w:jc w:val="left"/>
              <w:rPr>
                <w:rFonts w:cs="Times New Roman"/>
                <w:sz w:val="18"/>
                <w:szCs w:val="18"/>
                <w:lang w:val="en-US"/>
              </w:rPr>
            </w:pPr>
            <w:r>
              <w:rPr>
                <w:rFonts w:cs="Times New Roman"/>
                <w:b w:val="0"/>
                <w:sz w:val="18"/>
                <w:szCs w:val="18"/>
                <w:lang w:val="en-US"/>
              </w:rPr>
              <w:t xml:space="preserve">    t-AML</w:t>
            </w:r>
          </w:p>
        </w:tc>
        <w:tc>
          <w:tcPr>
            <w:tcW w:w="810" w:type="pct"/>
            <w:gridSpan w:val="2"/>
          </w:tcPr>
          <w:p w14:paraId="654AAC52"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6 (4.9)</w:t>
            </w:r>
          </w:p>
        </w:tc>
        <w:tc>
          <w:tcPr>
            <w:tcW w:w="811" w:type="pct"/>
            <w:gridSpan w:val="2"/>
          </w:tcPr>
          <w:p w14:paraId="7CC1AA7D"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12 (4.9)</w:t>
            </w:r>
          </w:p>
        </w:tc>
        <w:tc>
          <w:tcPr>
            <w:tcW w:w="811" w:type="pct"/>
          </w:tcPr>
          <w:p w14:paraId="2CB68269"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8 (6.5)</w:t>
            </w:r>
          </w:p>
        </w:tc>
        <w:tc>
          <w:tcPr>
            <w:tcW w:w="677" w:type="pct"/>
          </w:tcPr>
          <w:p w14:paraId="70B5B981" w14:textId="77777777" w:rsidR="00DD142B" w:rsidRDefault="00DD142B">
            <w:pPr>
              <w:jc w:val="right"/>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r>
      <w:tr w:rsidR="00DD142B" w14:paraId="1D55F7B9"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6DA1CEAF" w14:textId="77777777" w:rsidR="00DD142B" w:rsidRDefault="00F23CC1">
            <w:pPr>
              <w:jc w:val="left"/>
              <w:rPr>
                <w:rFonts w:cs="Times New Roman"/>
                <w:sz w:val="18"/>
                <w:szCs w:val="18"/>
                <w:lang w:val="en-US"/>
              </w:rPr>
            </w:pPr>
            <w:r>
              <w:rPr>
                <w:rFonts w:cs="Times New Roman"/>
                <w:sz w:val="18"/>
                <w:szCs w:val="18"/>
                <w:lang w:val="en-US"/>
              </w:rPr>
              <w:t>FAB</w:t>
            </w:r>
            <w:r>
              <w:rPr>
                <w:rFonts w:cs="Times New Roman"/>
                <w:b w:val="0"/>
                <w:sz w:val="18"/>
                <w:szCs w:val="18"/>
                <w:lang w:val="en-US"/>
              </w:rPr>
              <w:t>, no (%)</w:t>
            </w:r>
          </w:p>
        </w:tc>
        <w:tc>
          <w:tcPr>
            <w:tcW w:w="810" w:type="pct"/>
            <w:gridSpan w:val="2"/>
          </w:tcPr>
          <w:p w14:paraId="7382EE6E"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811" w:type="pct"/>
            <w:gridSpan w:val="2"/>
          </w:tcPr>
          <w:p w14:paraId="0101F0AB"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811" w:type="pct"/>
          </w:tcPr>
          <w:p w14:paraId="427A8997"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677" w:type="pct"/>
          </w:tcPr>
          <w:p w14:paraId="71FD4BE8" w14:textId="77777777" w:rsidR="00DD142B" w:rsidRDefault="00F23CC1">
            <w:pPr>
              <w:jc w:val="right"/>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b/>
                <w:sz w:val="18"/>
                <w:szCs w:val="18"/>
                <w:lang w:val="en-US"/>
              </w:rPr>
              <w:t>&lt;.0001</w:t>
            </w:r>
            <w:r>
              <w:rPr>
                <w:rFonts w:cs="Times New Roman"/>
                <w:sz w:val="16"/>
                <w:szCs w:val="16"/>
                <w:vertAlign w:val="superscript"/>
                <w:lang w:val="en-US"/>
              </w:rPr>
              <w:t>¶</w:t>
            </w:r>
          </w:p>
        </w:tc>
      </w:tr>
      <w:tr w:rsidR="00DD142B" w14:paraId="208CCCFF"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060D322D" w14:textId="77777777" w:rsidR="00DD142B" w:rsidRDefault="00F23CC1">
            <w:pPr>
              <w:jc w:val="left"/>
              <w:rPr>
                <w:rFonts w:cs="Times New Roman"/>
                <w:sz w:val="18"/>
                <w:szCs w:val="18"/>
                <w:lang w:val="en-US"/>
              </w:rPr>
            </w:pPr>
            <w:r>
              <w:rPr>
                <w:rFonts w:cs="Times New Roman"/>
                <w:b w:val="0"/>
                <w:sz w:val="18"/>
                <w:szCs w:val="18"/>
                <w:lang w:val="en-US"/>
              </w:rPr>
              <w:t xml:space="preserve">    M0</w:t>
            </w:r>
          </w:p>
        </w:tc>
        <w:tc>
          <w:tcPr>
            <w:tcW w:w="810" w:type="pct"/>
            <w:gridSpan w:val="2"/>
          </w:tcPr>
          <w:p w14:paraId="434AA424"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2 (1.6)</w:t>
            </w:r>
          </w:p>
        </w:tc>
        <w:tc>
          <w:tcPr>
            <w:tcW w:w="811" w:type="pct"/>
            <w:gridSpan w:val="2"/>
          </w:tcPr>
          <w:p w14:paraId="2187D0F9"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7 (2.9)</w:t>
            </w:r>
          </w:p>
        </w:tc>
        <w:tc>
          <w:tcPr>
            <w:tcW w:w="811" w:type="pct"/>
          </w:tcPr>
          <w:p w14:paraId="72689667"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12 (9.8)</w:t>
            </w:r>
          </w:p>
        </w:tc>
        <w:tc>
          <w:tcPr>
            <w:tcW w:w="677" w:type="pct"/>
          </w:tcPr>
          <w:p w14:paraId="315EE53B" w14:textId="77777777" w:rsidR="00DD142B" w:rsidRDefault="00DD142B">
            <w:pPr>
              <w:jc w:val="right"/>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r>
      <w:tr w:rsidR="00DD142B" w14:paraId="1CC6D538"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54A10DD4" w14:textId="77777777" w:rsidR="00DD142B" w:rsidRDefault="00F23CC1">
            <w:pPr>
              <w:jc w:val="left"/>
              <w:rPr>
                <w:rFonts w:cs="Times New Roman"/>
                <w:sz w:val="18"/>
                <w:szCs w:val="18"/>
                <w:lang w:val="en-US"/>
              </w:rPr>
            </w:pPr>
            <w:r>
              <w:rPr>
                <w:rFonts w:cs="Times New Roman"/>
                <w:b w:val="0"/>
                <w:sz w:val="18"/>
                <w:szCs w:val="18"/>
                <w:lang w:val="en-US"/>
              </w:rPr>
              <w:t xml:space="preserve">    M1</w:t>
            </w:r>
          </w:p>
        </w:tc>
        <w:tc>
          <w:tcPr>
            <w:tcW w:w="810" w:type="pct"/>
            <w:gridSpan w:val="2"/>
          </w:tcPr>
          <w:p w14:paraId="419C6AE3"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19 (15.6)</w:t>
            </w:r>
          </w:p>
        </w:tc>
        <w:tc>
          <w:tcPr>
            <w:tcW w:w="811" w:type="pct"/>
            <w:gridSpan w:val="2"/>
          </w:tcPr>
          <w:p w14:paraId="28BD5D62"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43 (17.6)</w:t>
            </w:r>
          </w:p>
        </w:tc>
        <w:tc>
          <w:tcPr>
            <w:tcW w:w="811" w:type="pct"/>
          </w:tcPr>
          <w:p w14:paraId="03B4470E"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45 (36.9)</w:t>
            </w:r>
          </w:p>
        </w:tc>
        <w:tc>
          <w:tcPr>
            <w:tcW w:w="677" w:type="pct"/>
          </w:tcPr>
          <w:p w14:paraId="36169E62" w14:textId="77777777" w:rsidR="00DD142B" w:rsidRDefault="00DD142B">
            <w:pPr>
              <w:jc w:val="right"/>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r>
      <w:tr w:rsidR="00DD142B" w14:paraId="49256417"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12EE80FD" w14:textId="77777777" w:rsidR="00DD142B" w:rsidRDefault="00F23CC1">
            <w:pPr>
              <w:jc w:val="left"/>
              <w:rPr>
                <w:rFonts w:cs="Times New Roman"/>
                <w:sz w:val="18"/>
                <w:szCs w:val="18"/>
                <w:lang w:val="en-US"/>
              </w:rPr>
            </w:pPr>
            <w:r>
              <w:rPr>
                <w:rFonts w:cs="Times New Roman"/>
                <w:b w:val="0"/>
                <w:sz w:val="18"/>
                <w:szCs w:val="18"/>
                <w:lang w:val="en-US"/>
              </w:rPr>
              <w:t xml:space="preserve">    M2</w:t>
            </w:r>
          </w:p>
        </w:tc>
        <w:tc>
          <w:tcPr>
            <w:tcW w:w="810" w:type="pct"/>
            <w:gridSpan w:val="2"/>
          </w:tcPr>
          <w:p w14:paraId="62D733DD"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41 (33.6)</w:t>
            </w:r>
          </w:p>
        </w:tc>
        <w:tc>
          <w:tcPr>
            <w:tcW w:w="811" w:type="pct"/>
            <w:gridSpan w:val="2"/>
          </w:tcPr>
          <w:p w14:paraId="74ED89D6"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88 (36.1)</w:t>
            </w:r>
          </w:p>
        </w:tc>
        <w:tc>
          <w:tcPr>
            <w:tcW w:w="811" w:type="pct"/>
          </w:tcPr>
          <w:p w14:paraId="57CDCDCD"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30 (24.6)</w:t>
            </w:r>
          </w:p>
        </w:tc>
        <w:tc>
          <w:tcPr>
            <w:tcW w:w="677" w:type="pct"/>
          </w:tcPr>
          <w:p w14:paraId="0D5D2371" w14:textId="77777777" w:rsidR="00DD142B" w:rsidRDefault="00DD142B">
            <w:pPr>
              <w:jc w:val="right"/>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r>
      <w:tr w:rsidR="00DD142B" w14:paraId="0E39C482"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3A7DAF7B" w14:textId="77777777" w:rsidR="00DD142B" w:rsidRDefault="00F23CC1">
            <w:pPr>
              <w:jc w:val="left"/>
              <w:rPr>
                <w:rFonts w:cs="Times New Roman"/>
                <w:sz w:val="18"/>
                <w:szCs w:val="18"/>
                <w:lang w:val="en-US"/>
              </w:rPr>
            </w:pPr>
            <w:r>
              <w:rPr>
                <w:rFonts w:cs="Times New Roman"/>
                <w:b w:val="0"/>
                <w:sz w:val="18"/>
                <w:szCs w:val="18"/>
                <w:lang w:val="en-US"/>
              </w:rPr>
              <w:t xml:space="preserve">    M4</w:t>
            </w:r>
          </w:p>
        </w:tc>
        <w:tc>
          <w:tcPr>
            <w:tcW w:w="810" w:type="pct"/>
            <w:gridSpan w:val="2"/>
          </w:tcPr>
          <w:p w14:paraId="02C1D575"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35 (28.7)</w:t>
            </w:r>
          </w:p>
        </w:tc>
        <w:tc>
          <w:tcPr>
            <w:tcW w:w="811" w:type="pct"/>
            <w:gridSpan w:val="2"/>
          </w:tcPr>
          <w:p w14:paraId="61269FD3"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60 (24.6)</w:t>
            </w:r>
          </w:p>
        </w:tc>
        <w:tc>
          <w:tcPr>
            <w:tcW w:w="811" w:type="pct"/>
          </w:tcPr>
          <w:p w14:paraId="21CE55F2"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21 (17.2)</w:t>
            </w:r>
          </w:p>
        </w:tc>
        <w:tc>
          <w:tcPr>
            <w:tcW w:w="677" w:type="pct"/>
          </w:tcPr>
          <w:p w14:paraId="03C3EBCD" w14:textId="77777777" w:rsidR="00DD142B" w:rsidRDefault="00DD142B">
            <w:pPr>
              <w:jc w:val="right"/>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r>
      <w:tr w:rsidR="00DD142B" w14:paraId="3FA3BCB1"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59346912" w14:textId="77777777" w:rsidR="00DD142B" w:rsidRDefault="00F23CC1">
            <w:pPr>
              <w:jc w:val="left"/>
              <w:rPr>
                <w:rFonts w:cs="Times New Roman"/>
                <w:sz w:val="18"/>
                <w:szCs w:val="18"/>
                <w:lang w:val="en-US"/>
              </w:rPr>
            </w:pPr>
            <w:r>
              <w:rPr>
                <w:rFonts w:cs="Times New Roman"/>
                <w:b w:val="0"/>
                <w:sz w:val="18"/>
                <w:szCs w:val="18"/>
                <w:lang w:val="en-US"/>
              </w:rPr>
              <w:t xml:space="preserve">    M5</w:t>
            </w:r>
          </w:p>
        </w:tc>
        <w:tc>
          <w:tcPr>
            <w:tcW w:w="810" w:type="pct"/>
            <w:gridSpan w:val="2"/>
          </w:tcPr>
          <w:p w14:paraId="4AAFBA12"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23 (18.9)</w:t>
            </w:r>
          </w:p>
        </w:tc>
        <w:tc>
          <w:tcPr>
            <w:tcW w:w="811" w:type="pct"/>
            <w:gridSpan w:val="2"/>
          </w:tcPr>
          <w:p w14:paraId="528218E8"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32 (13.1)</w:t>
            </w:r>
          </w:p>
        </w:tc>
        <w:tc>
          <w:tcPr>
            <w:tcW w:w="811" w:type="pct"/>
          </w:tcPr>
          <w:p w14:paraId="64026A59"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7 (5.7)</w:t>
            </w:r>
          </w:p>
        </w:tc>
        <w:tc>
          <w:tcPr>
            <w:tcW w:w="677" w:type="pct"/>
          </w:tcPr>
          <w:p w14:paraId="4BB6D204" w14:textId="77777777" w:rsidR="00DD142B" w:rsidRDefault="00DD142B">
            <w:pPr>
              <w:jc w:val="right"/>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r>
      <w:tr w:rsidR="00DD142B" w14:paraId="2FF15335"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078AB8F5" w14:textId="77777777" w:rsidR="00DD142B" w:rsidRDefault="00F23CC1">
            <w:pPr>
              <w:jc w:val="left"/>
              <w:rPr>
                <w:rFonts w:cs="Times New Roman"/>
                <w:sz w:val="18"/>
                <w:szCs w:val="18"/>
                <w:lang w:val="en-US"/>
              </w:rPr>
            </w:pPr>
            <w:r>
              <w:rPr>
                <w:rFonts w:cs="Times New Roman"/>
                <w:b w:val="0"/>
                <w:sz w:val="18"/>
                <w:szCs w:val="18"/>
                <w:lang w:val="en-US"/>
              </w:rPr>
              <w:t xml:space="preserve">    M6</w:t>
            </w:r>
          </w:p>
        </w:tc>
        <w:tc>
          <w:tcPr>
            <w:tcW w:w="810" w:type="pct"/>
            <w:gridSpan w:val="2"/>
          </w:tcPr>
          <w:p w14:paraId="6FE63CA2"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2 (1.6)</w:t>
            </w:r>
          </w:p>
        </w:tc>
        <w:tc>
          <w:tcPr>
            <w:tcW w:w="811" w:type="pct"/>
            <w:gridSpan w:val="2"/>
          </w:tcPr>
          <w:p w14:paraId="6EB10471"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12 (4.9)</w:t>
            </w:r>
          </w:p>
        </w:tc>
        <w:tc>
          <w:tcPr>
            <w:tcW w:w="811" w:type="pct"/>
          </w:tcPr>
          <w:p w14:paraId="18044AFB"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6 (4.9)</w:t>
            </w:r>
          </w:p>
        </w:tc>
        <w:tc>
          <w:tcPr>
            <w:tcW w:w="677" w:type="pct"/>
          </w:tcPr>
          <w:p w14:paraId="77BD3042" w14:textId="77777777" w:rsidR="00DD142B" w:rsidRDefault="00DD142B">
            <w:pPr>
              <w:jc w:val="right"/>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r>
      <w:tr w:rsidR="00DD142B" w14:paraId="236E649F"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5811DC36" w14:textId="77777777" w:rsidR="00DD142B" w:rsidRDefault="00F23CC1">
            <w:pPr>
              <w:jc w:val="left"/>
              <w:rPr>
                <w:rFonts w:cs="Times New Roman"/>
                <w:sz w:val="18"/>
                <w:szCs w:val="18"/>
                <w:lang w:val="en-US"/>
              </w:rPr>
            </w:pPr>
            <w:r>
              <w:rPr>
                <w:rFonts w:cs="Times New Roman"/>
                <w:b w:val="0"/>
                <w:sz w:val="18"/>
                <w:szCs w:val="18"/>
                <w:lang w:val="en-US"/>
              </w:rPr>
              <w:t xml:space="preserve">    M7</w:t>
            </w:r>
          </w:p>
        </w:tc>
        <w:tc>
          <w:tcPr>
            <w:tcW w:w="810" w:type="pct"/>
            <w:gridSpan w:val="2"/>
          </w:tcPr>
          <w:p w14:paraId="4039FA27"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0 (0.0)</w:t>
            </w:r>
          </w:p>
        </w:tc>
        <w:tc>
          <w:tcPr>
            <w:tcW w:w="811" w:type="pct"/>
            <w:gridSpan w:val="2"/>
          </w:tcPr>
          <w:p w14:paraId="0B3E91A6"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2 (0.8)</w:t>
            </w:r>
          </w:p>
        </w:tc>
        <w:tc>
          <w:tcPr>
            <w:tcW w:w="811" w:type="pct"/>
          </w:tcPr>
          <w:p w14:paraId="7A663ADC"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 (0.8)</w:t>
            </w:r>
          </w:p>
        </w:tc>
        <w:tc>
          <w:tcPr>
            <w:tcW w:w="677" w:type="pct"/>
          </w:tcPr>
          <w:p w14:paraId="3EECF48C" w14:textId="77777777" w:rsidR="00DD142B" w:rsidRDefault="00DD142B">
            <w:pPr>
              <w:jc w:val="right"/>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r>
      <w:tr w:rsidR="00DD142B" w14:paraId="62F41854"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5D16DF5B" w14:textId="77777777" w:rsidR="00DD142B" w:rsidRDefault="00F23CC1">
            <w:pPr>
              <w:jc w:val="left"/>
              <w:rPr>
                <w:rFonts w:cs="Times New Roman"/>
                <w:sz w:val="18"/>
                <w:szCs w:val="18"/>
                <w:lang w:val="en-US"/>
              </w:rPr>
            </w:pPr>
            <w:r>
              <w:rPr>
                <w:rFonts w:cs="Times New Roman"/>
                <w:sz w:val="18"/>
                <w:szCs w:val="18"/>
                <w:lang w:val="en-US"/>
              </w:rPr>
              <w:t>WBC</w:t>
            </w:r>
            <w:r>
              <w:rPr>
                <w:rFonts w:cs="Times New Roman"/>
                <w:b w:val="0"/>
                <w:sz w:val="18"/>
                <w:szCs w:val="18"/>
                <w:lang w:val="en-US"/>
              </w:rPr>
              <w:t>, x 10</w:t>
            </w:r>
            <w:r>
              <w:rPr>
                <w:rFonts w:cs="Times New Roman"/>
                <w:b w:val="0"/>
                <w:sz w:val="18"/>
                <w:szCs w:val="18"/>
                <w:vertAlign w:val="superscript"/>
                <w:lang w:val="en-US"/>
              </w:rPr>
              <w:t>9</w:t>
            </w:r>
            <w:r>
              <w:rPr>
                <w:rFonts w:cs="Times New Roman"/>
                <w:b w:val="0"/>
                <w:sz w:val="18"/>
                <w:szCs w:val="18"/>
                <w:lang w:val="en-US"/>
              </w:rPr>
              <w:t xml:space="preserve">/L </w:t>
            </w:r>
          </w:p>
        </w:tc>
        <w:tc>
          <w:tcPr>
            <w:tcW w:w="810" w:type="pct"/>
            <w:gridSpan w:val="2"/>
          </w:tcPr>
          <w:p w14:paraId="51839DB8"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811" w:type="pct"/>
            <w:gridSpan w:val="2"/>
          </w:tcPr>
          <w:p w14:paraId="414678C1"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811" w:type="pct"/>
          </w:tcPr>
          <w:p w14:paraId="479366F2"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677" w:type="pct"/>
          </w:tcPr>
          <w:p w14:paraId="7CE11BCA" w14:textId="77777777" w:rsidR="00DD142B" w:rsidRDefault="00F23CC1">
            <w:pPr>
              <w:jc w:val="right"/>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.16</w:t>
            </w:r>
            <w:r>
              <w:rPr>
                <w:rFonts w:cs="Times New Roman"/>
                <w:sz w:val="16"/>
                <w:szCs w:val="16"/>
                <w:vertAlign w:val="superscript"/>
                <w:lang w:val="en-US"/>
              </w:rPr>
              <w:t>§</w:t>
            </w:r>
          </w:p>
        </w:tc>
      </w:tr>
      <w:tr w:rsidR="00DD142B" w14:paraId="32C4B586"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495649C6" w14:textId="77777777" w:rsidR="00DD142B" w:rsidRDefault="00F23CC1">
            <w:pPr>
              <w:jc w:val="left"/>
              <w:rPr>
                <w:rFonts w:cs="Times New Roman"/>
                <w:sz w:val="18"/>
                <w:szCs w:val="18"/>
                <w:lang w:val="en-US"/>
              </w:rPr>
            </w:pPr>
            <w:r>
              <w:rPr>
                <w:rFonts w:cs="Times New Roman"/>
                <w:b w:val="0"/>
                <w:sz w:val="18"/>
                <w:szCs w:val="18"/>
                <w:lang w:val="en-US"/>
              </w:rPr>
              <w:t xml:space="preserve">    Median (range)</w:t>
            </w:r>
          </w:p>
        </w:tc>
        <w:tc>
          <w:tcPr>
            <w:tcW w:w="810" w:type="pct"/>
            <w:gridSpan w:val="2"/>
          </w:tcPr>
          <w:p w14:paraId="0E59030E"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24.4 (0.9-280.1)</w:t>
            </w:r>
          </w:p>
        </w:tc>
        <w:tc>
          <w:tcPr>
            <w:tcW w:w="811" w:type="pct"/>
            <w:gridSpan w:val="2"/>
          </w:tcPr>
          <w:p w14:paraId="07D6E690"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16.0 (0.1-666.0)</w:t>
            </w:r>
          </w:p>
        </w:tc>
        <w:tc>
          <w:tcPr>
            <w:tcW w:w="811" w:type="pct"/>
          </w:tcPr>
          <w:p w14:paraId="5A57D7CF"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21.8 (0.9-486.0)</w:t>
            </w:r>
          </w:p>
        </w:tc>
        <w:tc>
          <w:tcPr>
            <w:tcW w:w="677" w:type="pct"/>
          </w:tcPr>
          <w:p w14:paraId="76FF148F" w14:textId="77777777" w:rsidR="00DD142B" w:rsidRDefault="00DD142B">
            <w:pPr>
              <w:jc w:val="right"/>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r>
      <w:tr w:rsidR="00DD142B" w14:paraId="24F74EE6"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3F74AE05" w14:textId="77777777" w:rsidR="00DD142B" w:rsidRDefault="00F23CC1">
            <w:pPr>
              <w:jc w:val="left"/>
              <w:rPr>
                <w:rFonts w:cs="Times New Roman"/>
                <w:sz w:val="18"/>
                <w:szCs w:val="18"/>
                <w:lang w:val="en-US"/>
              </w:rPr>
            </w:pPr>
            <w:r>
              <w:rPr>
                <w:rFonts w:cs="Times New Roman"/>
                <w:sz w:val="18"/>
                <w:szCs w:val="18"/>
                <w:lang w:val="en-US"/>
              </w:rPr>
              <w:t>LDH level</w:t>
            </w:r>
            <w:r>
              <w:rPr>
                <w:rFonts w:cs="Times New Roman"/>
                <w:b w:val="0"/>
                <w:sz w:val="18"/>
                <w:szCs w:val="18"/>
                <w:lang w:val="en-US"/>
              </w:rPr>
              <w:t>, U/L</w:t>
            </w:r>
          </w:p>
        </w:tc>
        <w:tc>
          <w:tcPr>
            <w:tcW w:w="810" w:type="pct"/>
            <w:gridSpan w:val="2"/>
          </w:tcPr>
          <w:p w14:paraId="7A44D592"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811" w:type="pct"/>
            <w:gridSpan w:val="2"/>
          </w:tcPr>
          <w:p w14:paraId="3DC2477D"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811" w:type="pct"/>
          </w:tcPr>
          <w:p w14:paraId="613D4D37"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677" w:type="pct"/>
          </w:tcPr>
          <w:p w14:paraId="07C829C6" w14:textId="77777777" w:rsidR="00DD142B" w:rsidRDefault="00F23CC1">
            <w:pPr>
              <w:jc w:val="right"/>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b/>
                <w:sz w:val="18"/>
                <w:szCs w:val="18"/>
                <w:lang w:val="en-US"/>
              </w:rPr>
              <w:t>.0017</w:t>
            </w:r>
            <w:r>
              <w:rPr>
                <w:rFonts w:cs="Times New Roman"/>
                <w:sz w:val="16"/>
                <w:szCs w:val="16"/>
                <w:vertAlign w:val="superscript"/>
                <w:lang w:val="en-US"/>
              </w:rPr>
              <w:t>§</w:t>
            </w:r>
          </w:p>
        </w:tc>
      </w:tr>
      <w:tr w:rsidR="00DD142B" w14:paraId="68EE4C2C"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3E9A8959" w14:textId="77777777" w:rsidR="00DD142B" w:rsidRDefault="00F23CC1">
            <w:pPr>
              <w:jc w:val="left"/>
              <w:rPr>
                <w:rFonts w:cs="Times New Roman"/>
                <w:sz w:val="18"/>
                <w:szCs w:val="18"/>
                <w:lang w:val="en-US"/>
              </w:rPr>
            </w:pPr>
            <w:r>
              <w:rPr>
                <w:rFonts w:cs="Times New Roman"/>
                <w:b w:val="0"/>
                <w:sz w:val="18"/>
                <w:szCs w:val="18"/>
                <w:lang w:val="en-US"/>
              </w:rPr>
              <w:t xml:space="preserve">    Median (range)</w:t>
            </w:r>
          </w:p>
        </w:tc>
        <w:tc>
          <w:tcPr>
            <w:tcW w:w="810" w:type="pct"/>
            <w:gridSpan w:val="2"/>
          </w:tcPr>
          <w:p w14:paraId="4993F339"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558 (127-4613)</w:t>
            </w:r>
          </w:p>
        </w:tc>
        <w:tc>
          <w:tcPr>
            <w:tcW w:w="811" w:type="pct"/>
            <w:gridSpan w:val="2"/>
          </w:tcPr>
          <w:p w14:paraId="4BE6AE05"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428 (76-3630)</w:t>
            </w:r>
          </w:p>
        </w:tc>
        <w:tc>
          <w:tcPr>
            <w:tcW w:w="811" w:type="pct"/>
          </w:tcPr>
          <w:p w14:paraId="6BAEC743"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436 (87-4610)</w:t>
            </w:r>
          </w:p>
        </w:tc>
        <w:tc>
          <w:tcPr>
            <w:tcW w:w="677" w:type="pct"/>
          </w:tcPr>
          <w:p w14:paraId="2B1F4030" w14:textId="77777777" w:rsidR="00DD142B" w:rsidRDefault="00DD142B">
            <w:pPr>
              <w:jc w:val="right"/>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r>
      <w:tr w:rsidR="00DD142B" w14:paraId="7D1E1407"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18ED32EA" w14:textId="77777777" w:rsidR="00DD142B" w:rsidRDefault="00F23CC1">
            <w:pPr>
              <w:jc w:val="left"/>
              <w:rPr>
                <w:rFonts w:cs="Times New Roman"/>
                <w:sz w:val="18"/>
                <w:szCs w:val="18"/>
                <w:lang w:val="en-US"/>
              </w:rPr>
            </w:pPr>
            <w:r>
              <w:rPr>
                <w:rFonts w:cs="Times New Roman"/>
                <w:sz w:val="18"/>
                <w:szCs w:val="18"/>
                <w:lang w:val="en-US"/>
              </w:rPr>
              <w:t>Hb</w:t>
            </w:r>
            <w:r>
              <w:rPr>
                <w:rFonts w:cs="Times New Roman"/>
                <w:b w:val="0"/>
                <w:sz w:val="18"/>
                <w:szCs w:val="18"/>
                <w:lang w:val="en-US"/>
              </w:rPr>
              <w:t>, g/dl</w:t>
            </w:r>
          </w:p>
        </w:tc>
        <w:tc>
          <w:tcPr>
            <w:tcW w:w="810" w:type="pct"/>
            <w:gridSpan w:val="2"/>
          </w:tcPr>
          <w:p w14:paraId="5EC7094E"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811" w:type="pct"/>
            <w:gridSpan w:val="2"/>
          </w:tcPr>
          <w:p w14:paraId="14BCEE6C"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811" w:type="pct"/>
          </w:tcPr>
          <w:p w14:paraId="2F136D18"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677" w:type="pct"/>
          </w:tcPr>
          <w:p w14:paraId="174CEC9D" w14:textId="77777777" w:rsidR="00DD142B" w:rsidRDefault="00F23CC1">
            <w:pPr>
              <w:jc w:val="right"/>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b/>
                <w:sz w:val="18"/>
                <w:szCs w:val="18"/>
                <w:lang w:val="en-US"/>
              </w:rPr>
              <w:t>.024</w:t>
            </w:r>
            <w:r>
              <w:rPr>
                <w:rFonts w:cs="Times New Roman"/>
                <w:sz w:val="16"/>
                <w:szCs w:val="16"/>
                <w:vertAlign w:val="superscript"/>
                <w:lang w:val="en-US"/>
              </w:rPr>
              <w:t>§</w:t>
            </w:r>
          </w:p>
        </w:tc>
      </w:tr>
      <w:tr w:rsidR="00DD142B" w14:paraId="200947E6"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05F35E50" w14:textId="77777777" w:rsidR="00DD142B" w:rsidRDefault="00F23CC1">
            <w:pPr>
              <w:jc w:val="left"/>
              <w:rPr>
                <w:rFonts w:cs="Times New Roman"/>
                <w:sz w:val="18"/>
                <w:szCs w:val="18"/>
                <w:lang w:val="en-US"/>
              </w:rPr>
            </w:pPr>
            <w:r>
              <w:rPr>
                <w:rFonts w:cs="Times New Roman"/>
                <w:b w:val="0"/>
                <w:sz w:val="18"/>
                <w:szCs w:val="18"/>
                <w:lang w:val="en-US"/>
              </w:rPr>
              <w:t xml:space="preserve">    Median (range)</w:t>
            </w:r>
          </w:p>
        </w:tc>
        <w:tc>
          <w:tcPr>
            <w:tcW w:w="810" w:type="pct"/>
            <w:gridSpan w:val="2"/>
          </w:tcPr>
          <w:p w14:paraId="6475C9A6"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9.4 (3.6-14.3)</w:t>
            </w:r>
          </w:p>
        </w:tc>
        <w:tc>
          <w:tcPr>
            <w:tcW w:w="811" w:type="pct"/>
            <w:gridSpan w:val="2"/>
          </w:tcPr>
          <w:p w14:paraId="15C5D40D"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9.0 (3.5-14.2)</w:t>
            </w:r>
          </w:p>
        </w:tc>
        <w:tc>
          <w:tcPr>
            <w:tcW w:w="811" w:type="pct"/>
          </w:tcPr>
          <w:p w14:paraId="6164BC08"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8.8 (4.0-15.4)</w:t>
            </w:r>
          </w:p>
        </w:tc>
        <w:tc>
          <w:tcPr>
            <w:tcW w:w="677" w:type="pct"/>
          </w:tcPr>
          <w:p w14:paraId="708E596B" w14:textId="77777777" w:rsidR="00DD142B" w:rsidRDefault="00DD142B">
            <w:pPr>
              <w:jc w:val="right"/>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r>
      <w:tr w:rsidR="00DD142B" w14:paraId="53BA272E"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1F17F6EF" w14:textId="77777777" w:rsidR="00DD142B" w:rsidRDefault="00F23CC1">
            <w:pPr>
              <w:jc w:val="left"/>
              <w:rPr>
                <w:rFonts w:cs="Times New Roman"/>
                <w:sz w:val="18"/>
                <w:szCs w:val="18"/>
                <w:lang w:val="en-US"/>
              </w:rPr>
            </w:pPr>
            <w:r>
              <w:rPr>
                <w:rFonts w:cs="Times New Roman"/>
                <w:sz w:val="18"/>
                <w:szCs w:val="18"/>
                <w:lang w:val="en-US"/>
              </w:rPr>
              <w:t>Platelets</w:t>
            </w:r>
            <w:r>
              <w:rPr>
                <w:rFonts w:cs="Times New Roman"/>
                <w:b w:val="0"/>
                <w:sz w:val="18"/>
                <w:szCs w:val="18"/>
                <w:lang w:val="en-US"/>
              </w:rPr>
              <w:t>, x 10</w:t>
            </w:r>
            <w:r>
              <w:rPr>
                <w:rFonts w:cs="Times New Roman"/>
                <w:b w:val="0"/>
                <w:sz w:val="18"/>
                <w:szCs w:val="18"/>
                <w:vertAlign w:val="superscript"/>
                <w:lang w:val="en-US"/>
              </w:rPr>
              <w:t>9</w:t>
            </w:r>
            <w:r>
              <w:rPr>
                <w:rFonts w:cs="Times New Roman"/>
                <w:b w:val="0"/>
                <w:sz w:val="18"/>
                <w:szCs w:val="18"/>
                <w:lang w:val="en-US"/>
              </w:rPr>
              <w:t>/L</w:t>
            </w:r>
          </w:p>
        </w:tc>
        <w:tc>
          <w:tcPr>
            <w:tcW w:w="810" w:type="pct"/>
            <w:gridSpan w:val="2"/>
          </w:tcPr>
          <w:p w14:paraId="7568E106"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811" w:type="pct"/>
            <w:gridSpan w:val="2"/>
          </w:tcPr>
          <w:p w14:paraId="538D97D8"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811" w:type="pct"/>
          </w:tcPr>
          <w:p w14:paraId="7A070C43"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677" w:type="pct"/>
          </w:tcPr>
          <w:p w14:paraId="7B6E5B86" w14:textId="77777777" w:rsidR="00DD142B" w:rsidRDefault="00F23CC1">
            <w:pPr>
              <w:jc w:val="right"/>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.53</w:t>
            </w:r>
            <w:r>
              <w:rPr>
                <w:rFonts w:cs="Times New Roman"/>
                <w:sz w:val="16"/>
                <w:szCs w:val="16"/>
                <w:vertAlign w:val="superscript"/>
                <w:lang w:val="en-US"/>
              </w:rPr>
              <w:t>§</w:t>
            </w:r>
          </w:p>
        </w:tc>
      </w:tr>
      <w:tr w:rsidR="00DD142B" w14:paraId="42897305"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277DE129" w14:textId="77777777" w:rsidR="00DD142B" w:rsidRDefault="00F23CC1">
            <w:pPr>
              <w:jc w:val="left"/>
              <w:rPr>
                <w:rFonts w:cs="Times New Roman"/>
                <w:sz w:val="18"/>
                <w:szCs w:val="18"/>
                <w:lang w:val="en-US"/>
              </w:rPr>
            </w:pPr>
            <w:r>
              <w:rPr>
                <w:rFonts w:cs="Times New Roman"/>
                <w:b w:val="0"/>
                <w:sz w:val="18"/>
                <w:szCs w:val="18"/>
                <w:lang w:val="en-US"/>
              </w:rPr>
              <w:t xml:space="preserve">    Median (range)</w:t>
            </w:r>
          </w:p>
        </w:tc>
        <w:tc>
          <w:tcPr>
            <w:tcW w:w="810" w:type="pct"/>
            <w:gridSpan w:val="2"/>
          </w:tcPr>
          <w:p w14:paraId="2333A662"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44 (6-406)</w:t>
            </w:r>
          </w:p>
        </w:tc>
        <w:tc>
          <w:tcPr>
            <w:tcW w:w="811" w:type="pct"/>
            <w:gridSpan w:val="2"/>
          </w:tcPr>
          <w:p w14:paraId="0F82B1D4"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53 (0-1760)</w:t>
            </w:r>
          </w:p>
        </w:tc>
        <w:tc>
          <w:tcPr>
            <w:tcW w:w="811" w:type="pct"/>
          </w:tcPr>
          <w:p w14:paraId="23ECDCA5"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53 (4-670)</w:t>
            </w:r>
          </w:p>
        </w:tc>
        <w:tc>
          <w:tcPr>
            <w:tcW w:w="677" w:type="pct"/>
          </w:tcPr>
          <w:p w14:paraId="50D97C7C" w14:textId="77777777" w:rsidR="00DD142B" w:rsidRDefault="00DD142B">
            <w:pPr>
              <w:jc w:val="right"/>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r>
      <w:tr w:rsidR="00DD142B" w14:paraId="0DCB1217"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2E0E55B8" w14:textId="77777777" w:rsidR="00DD142B" w:rsidRDefault="00F23CC1">
            <w:pPr>
              <w:jc w:val="left"/>
              <w:rPr>
                <w:rFonts w:cs="Times New Roman"/>
                <w:sz w:val="18"/>
                <w:szCs w:val="18"/>
                <w:lang w:val="en-US"/>
              </w:rPr>
            </w:pPr>
            <w:r>
              <w:rPr>
                <w:rFonts w:cs="Times New Roman"/>
                <w:sz w:val="18"/>
                <w:szCs w:val="18"/>
                <w:lang w:val="en-US"/>
              </w:rPr>
              <w:t>BM blasts</w:t>
            </w:r>
            <w:r>
              <w:rPr>
                <w:rFonts w:cs="Times New Roman"/>
                <w:b w:val="0"/>
                <w:sz w:val="18"/>
                <w:szCs w:val="18"/>
                <w:lang w:val="en-US"/>
              </w:rPr>
              <w:t>, %</w:t>
            </w:r>
          </w:p>
        </w:tc>
        <w:tc>
          <w:tcPr>
            <w:tcW w:w="810" w:type="pct"/>
            <w:gridSpan w:val="2"/>
          </w:tcPr>
          <w:p w14:paraId="76FB3195"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811" w:type="pct"/>
            <w:gridSpan w:val="2"/>
          </w:tcPr>
          <w:p w14:paraId="1DAA14BF"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811" w:type="pct"/>
          </w:tcPr>
          <w:p w14:paraId="20EAA15B"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677" w:type="pct"/>
          </w:tcPr>
          <w:p w14:paraId="643CDBD9" w14:textId="77777777" w:rsidR="00DD142B" w:rsidRDefault="00F23CC1">
            <w:pPr>
              <w:jc w:val="right"/>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b/>
                <w:sz w:val="18"/>
                <w:szCs w:val="18"/>
                <w:lang w:val="en-US"/>
              </w:rPr>
              <w:t>.036</w:t>
            </w:r>
            <w:r>
              <w:rPr>
                <w:rFonts w:cs="Times New Roman"/>
                <w:sz w:val="16"/>
                <w:szCs w:val="16"/>
                <w:vertAlign w:val="superscript"/>
                <w:lang w:val="en-US"/>
              </w:rPr>
              <w:t>§</w:t>
            </w:r>
          </w:p>
        </w:tc>
      </w:tr>
      <w:tr w:rsidR="00DD142B" w14:paraId="1980C91C"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4281B24E" w14:textId="77777777" w:rsidR="00DD142B" w:rsidRDefault="00F23CC1">
            <w:pPr>
              <w:jc w:val="left"/>
              <w:rPr>
                <w:rFonts w:cs="Times New Roman"/>
                <w:sz w:val="18"/>
                <w:szCs w:val="18"/>
                <w:lang w:val="en-US"/>
              </w:rPr>
            </w:pPr>
            <w:r>
              <w:rPr>
                <w:rFonts w:cs="Times New Roman"/>
                <w:b w:val="0"/>
                <w:sz w:val="18"/>
                <w:szCs w:val="18"/>
                <w:lang w:val="en-US"/>
              </w:rPr>
              <w:t xml:space="preserve">    Median (range)</w:t>
            </w:r>
          </w:p>
        </w:tc>
        <w:tc>
          <w:tcPr>
            <w:tcW w:w="810" w:type="pct"/>
            <w:gridSpan w:val="2"/>
          </w:tcPr>
          <w:p w14:paraId="04A22BC9"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80 (20-100)</w:t>
            </w:r>
          </w:p>
        </w:tc>
        <w:tc>
          <w:tcPr>
            <w:tcW w:w="811" w:type="pct"/>
            <w:gridSpan w:val="2"/>
          </w:tcPr>
          <w:p w14:paraId="5C768281"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80 (13-100)</w:t>
            </w:r>
          </w:p>
        </w:tc>
        <w:tc>
          <w:tcPr>
            <w:tcW w:w="811" w:type="pct"/>
          </w:tcPr>
          <w:p w14:paraId="49796974"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85 (21-100)</w:t>
            </w:r>
          </w:p>
        </w:tc>
        <w:tc>
          <w:tcPr>
            <w:tcW w:w="677" w:type="pct"/>
          </w:tcPr>
          <w:p w14:paraId="51CF51C5" w14:textId="77777777" w:rsidR="00DD142B" w:rsidRDefault="00DD142B">
            <w:pPr>
              <w:jc w:val="right"/>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r>
      <w:tr w:rsidR="00DD142B" w14:paraId="3D3EC7CF"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7CB00924" w14:textId="77777777" w:rsidR="00DD142B" w:rsidRDefault="00F23CC1">
            <w:pPr>
              <w:jc w:val="left"/>
              <w:rPr>
                <w:rFonts w:cs="Times New Roman"/>
                <w:sz w:val="18"/>
                <w:szCs w:val="18"/>
                <w:lang w:val="en-US"/>
              </w:rPr>
            </w:pPr>
            <w:r>
              <w:rPr>
                <w:rFonts w:cs="Times New Roman"/>
                <w:sz w:val="18"/>
                <w:szCs w:val="18"/>
                <w:lang w:val="en-US"/>
              </w:rPr>
              <w:t>Cytogenetics*</w:t>
            </w:r>
            <w:r>
              <w:rPr>
                <w:rFonts w:cs="Times New Roman"/>
                <w:b w:val="0"/>
                <w:sz w:val="18"/>
                <w:szCs w:val="18"/>
                <w:lang w:val="en-US"/>
              </w:rPr>
              <w:t>, no (%)</w:t>
            </w:r>
          </w:p>
        </w:tc>
        <w:tc>
          <w:tcPr>
            <w:tcW w:w="810" w:type="pct"/>
            <w:gridSpan w:val="2"/>
          </w:tcPr>
          <w:p w14:paraId="085B9F58"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811" w:type="pct"/>
            <w:gridSpan w:val="2"/>
          </w:tcPr>
          <w:p w14:paraId="3DFCB0C9"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811" w:type="pct"/>
          </w:tcPr>
          <w:p w14:paraId="2216E33E"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677" w:type="pct"/>
          </w:tcPr>
          <w:p w14:paraId="63187B4B" w14:textId="77777777" w:rsidR="00DD142B" w:rsidRDefault="00DD142B">
            <w:pPr>
              <w:jc w:val="right"/>
              <w:cnfStyle w:val="000000100000" w:firstRow="0" w:lastRow="0" w:firstColumn="0" w:lastColumn="0" w:oddVBand="0" w:evenVBand="0" w:oddHBand="1" w:evenHBand="0" w:firstRowFirstColumn="0" w:firstRowLastColumn="0" w:lastRowFirstColumn="0" w:lastRowLastColumn="0"/>
              <w:rPr>
                <w:rFonts w:cs="Times New Roman"/>
                <w:b/>
                <w:sz w:val="18"/>
                <w:szCs w:val="18"/>
                <w:lang w:val="en-US"/>
              </w:rPr>
            </w:pPr>
          </w:p>
        </w:tc>
      </w:tr>
      <w:tr w:rsidR="00DD142B" w14:paraId="283183F3"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2C8428B1" w14:textId="77777777" w:rsidR="00DD142B" w:rsidRDefault="00F23CC1">
            <w:pPr>
              <w:jc w:val="left"/>
              <w:rPr>
                <w:rFonts w:cs="Times New Roman"/>
                <w:sz w:val="18"/>
                <w:szCs w:val="18"/>
                <w:lang w:val="en-US"/>
              </w:rPr>
            </w:pPr>
            <w:r>
              <w:rPr>
                <w:rFonts w:cs="Times New Roman"/>
                <w:b w:val="0"/>
                <w:sz w:val="18"/>
                <w:szCs w:val="18"/>
                <w:lang w:val="en-US"/>
              </w:rPr>
              <w:t xml:space="preserve">    t(8;21)</w:t>
            </w:r>
          </w:p>
        </w:tc>
        <w:tc>
          <w:tcPr>
            <w:tcW w:w="810" w:type="pct"/>
            <w:gridSpan w:val="2"/>
          </w:tcPr>
          <w:p w14:paraId="6519D5A1"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12 (9.8)</w:t>
            </w:r>
          </w:p>
        </w:tc>
        <w:tc>
          <w:tcPr>
            <w:tcW w:w="811" w:type="pct"/>
            <w:gridSpan w:val="2"/>
          </w:tcPr>
          <w:p w14:paraId="2B257EB2"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16 (6.5)</w:t>
            </w:r>
          </w:p>
        </w:tc>
        <w:tc>
          <w:tcPr>
            <w:tcW w:w="811" w:type="pct"/>
          </w:tcPr>
          <w:p w14:paraId="587A3A25"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0 (0.0)</w:t>
            </w:r>
          </w:p>
        </w:tc>
        <w:tc>
          <w:tcPr>
            <w:tcW w:w="677" w:type="pct"/>
          </w:tcPr>
          <w:p w14:paraId="64158238" w14:textId="77777777" w:rsidR="00DD142B" w:rsidRDefault="00F23CC1">
            <w:pPr>
              <w:jc w:val="right"/>
              <w:cnfStyle w:val="000000000000" w:firstRow="0" w:lastRow="0" w:firstColumn="0" w:lastColumn="0" w:oddVBand="0" w:evenVBand="0" w:oddHBand="0" w:evenHBand="0" w:firstRowFirstColumn="0" w:firstRowLastColumn="0" w:lastRowFirstColumn="0" w:lastRowLastColumn="0"/>
              <w:rPr>
                <w:rFonts w:cs="Times New Roman"/>
                <w:b/>
                <w:sz w:val="18"/>
                <w:szCs w:val="18"/>
                <w:lang w:val="en-US"/>
              </w:rPr>
            </w:pPr>
            <w:r>
              <w:rPr>
                <w:rFonts w:cs="Times New Roman"/>
                <w:b/>
                <w:sz w:val="18"/>
                <w:szCs w:val="18"/>
                <w:lang w:val="en-US"/>
              </w:rPr>
              <w:t>.0032</w:t>
            </w:r>
            <w:r>
              <w:rPr>
                <w:rFonts w:cs="Times New Roman"/>
                <w:sz w:val="16"/>
                <w:szCs w:val="16"/>
                <w:vertAlign w:val="superscript"/>
                <w:lang w:val="en-US"/>
              </w:rPr>
              <w:t>¶</w:t>
            </w:r>
          </w:p>
        </w:tc>
      </w:tr>
      <w:tr w:rsidR="00DD142B" w14:paraId="2A72CD29"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0E9FC072" w14:textId="77777777" w:rsidR="00DD142B" w:rsidRDefault="00F23CC1">
            <w:pPr>
              <w:jc w:val="left"/>
              <w:rPr>
                <w:rFonts w:cs="Times New Roman"/>
                <w:sz w:val="18"/>
                <w:szCs w:val="18"/>
                <w:lang w:val="en-US"/>
              </w:rPr>
            </w:pPr>
            <w:r>
              <w:rPr>
                <w:rFonts w:cs="Times New Roman"/>
                <w:b w:val="0"/>
                <w:sz w:val="18"/>
                <w:szCs w:val="18"/>
                <w:lang w:val="en-US"/>
              </w:rPr>
              <w:t xml:space="preserve">    inv(16)/t(16;16)</w:t>
            </w:r>
          </w:p>
        </w:tc>
        <w:tc>
          <w:tcPr>
            <w:tcW w:w="810" w:type="pct"/>
            <w:gridSpan w:val="2"/>
          </w:tcPr>
          <w:p w14:paraId="21A68D9D"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15 (12.2)</w:t>
            </w:r>
          </w:p>
        </w:tc>
        <w:tc>
          <w:tcPr>
            <w:tcW w:w="811" w:type="pct"/>
            <w:gridSpan w:val="2"/>
          </w:tcPr>
          <w:p w14:paraId="0D937C5B"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19 (7.7)</w:t>
            </w:r>
          </w:p>
        </w:tc>
        <w:tc>
          <w:tcPr>
            <w:tcW w:w="811" w:type="pct"/>
          </w:tcPr>
          <w:p w14:paraId="6E166B00"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3 (2.4)</w:t>
            </w:r>
          </w:p>
        </w:tc>
        <w:tc>
          <w:tcPr>
            <w:tcW w:w="677" w:type="pct"/>
          </w:tcPr>
          <w:p w14:paraId="6D13C4D3" w14:textId="77777777" w:rsidR="00DD142B" w:rsidRDefault="00F23CC1">
            <w:pPr>
              <w:jc w:val="right"/>
              <w:cnfStyle w:val="000000100000" w:firstRow="0" w:lastRow="0" w:firstColumn="0" w:lastColumn="0" w:oddVBand="0" w:evenVBand="0" w:oddHBand="1" w:evenHBand="0" w:firstRowFirstColumn="0" w:firstRowLastColumn="0" w:lastRowFirstColumn="0" w:lastRowLastColumn="0"/>
              <w:rPr>
                <w:rFonts w:cs="Times New Roman"/>
                <w:b/>
                <w:sz w:val="18"/>
                <w:szCs w:val="18"/>
                <w:lang w:val="en-US"/>
              </w:rPr>
            </w:pPr>
            <w:r>
              <w:rPr>
                <w:rFonts w:cs="Times New Roman"/>
                <w:b/>
                <w:sz w:val="18"/>
                <w:szCs w:val="18"/>
                <w:lang w:val="en-US"/>
              </w:rPr>
              <w:t>.015</w:t>
            </w:r>
            <w:r>
              <w:rPr>
                <w:rFonts w:cs="Times New Roman"/>
                <w:sz w:val="16"/>
                <w:szCs w:val="16"/>
                <w:vertAlign w:val="superscript"/>
                <w:lang w:val="en-US"/>
              </w:rPr>
              <w:t>¶</w:t>
            </w:r>
          </w:p>
        </w:tc>
      </w:tr>
      <w:tr w:rsidR="00DD142B" w14:paraId="6A5FC6CC"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11357723" w14:textId="77777777" w:rsidR="00DD142B" w:rsidRDefault="00F23CC1">
            <w:pPr>
              <w:jc w:val="left"/>
              <w:rPr>
                <w:rFonts w:cs="Times New Roman"/>
                <w:sz w:val="18"/>
                <w:szCs w:val="18"/>
                <w:lang w:val="en-US"/>
              </w:rPr>
            </w:pPr>
            <w:r>
              <w:rPr>
                <w:rFonts w:cs="Times New Roman"/>
                <w:b w:val="0"/>
                <w:sz w:val="18"/>
                <w:szCs w:val="18"/>
                <w:lang w:val="en-US"/>
              </w:rPr>
              <w:t xml:space="preserve">    normal</w:t>
            </w:r>
          </w:p>
        </w:tc>
        <w:tc>
          <w:tcPr>
            <w:tcW w:w="810" w:type="pct"/>
            <w:gridSpan w:val="2"/>
          </w:tcPr>
          <w:p w14:paraId="4B283A01"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49 (39.8)</w:t>
            </w:r>
          </w:p>
        </w:tc>
        <w:tc>
          <w:tcPr>
            <w:tcW w:w="811" w:type="pct"/>
            <w:gridSpan w:val="2"/>
          </w:tcPr>
          <w:p w14:paraId="61460C5B"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100 (40.7)</w:t>
            </w:r>
          </w:p>
        </w:tc>
        <w:tc>
          <w:tcPr>
            <w:tcW w:w="811" w:type="pct"/>
          </w:tcPr>
          <w:p w14:paraId="5754F0A6"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56 (45.5)</w:t>
            </w:r>
          </w:p>
        </w:tc>
        <w:tc>
          <w:tcPr>
            <w:tcW w:w="677" w:type="pct"/>
          </w:tcPr>
          <w:p w14:paraId="70A0F83A" w14:textId="77777777" w:rsidR="00DD142B" w:rsidRDefault="00F23CC1">
            <w:pPr>
              <w:jc w:val="right"/>
              <w:cnfStyle w:val="000000000000" w:firstRow="0" w:lastRow="0" w:firstColumn="0" w:lastColumn="0" w:oddVBand="0" w:evenVBand="0" w:oddHBand="0" w:evenHBand="0" w:firstRowFirstColumn="0" w:firstRowLastColumn="0" w:lastRowFirstColumn="0" w:lastRowLastColumn="0"/>
              <w:rPr>
                <w:rFonts w:cs="Times New Roman"/>
                <w:b/>
                <w:sz w:val="18"/>
                <w:szCs w:val="18"/>
                <w:lang w:val="en-US"/>
              </w:rPr>
            </w:pPr>
            <w:r>
              <w:rPr>
                <w:rFonts w:cs="Times New Roman"/>
                <w:sz w:val="18"/>
                <w:szCs w:val="18"/>
                <w:lang w:val="en-US"/>
              </w:rPr>
              <w:t>.60</w:t>
            </w:r>
            <w:r>
              <w:rPr>
                <w:rFonts w:cs="Times New Roman"/>
                <w:sz w:val="16"/>
                <w:szCs w:val="16"/>
                <w:vertAlign w:val="superscript"/>
                <w:lang w:val="en-US"/>
              </w:rPr>
              <w:t>¶</w:t>
            </w:r>
          </w:p>
        </w:tc>
      </w:tr>
      <w:tr w:rsidR="00DD142B" w14:paraId="75CCF133"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775A7884" w14:textId="77777777" w:rsidR="00DD142B" w:rsidRDefault="00F23CC1">
            <w:pPr>
              <w:jc w:val="left"/>
              <w:rPr>
                <w:rFonts w:cs="Times New Roman"/>
                <w:sz w:val="18"/>
                <w:szCs w:val="18"/>
                <w:lang w:val="en-US"/>
              </w:rPr>
            </w:pPr>
            <w:r>
              <w:rPr>
                <w:rFonts w:cs="Times New Roman"/>
                <w:b w:val="0"/>
                <w:sz w:val="18"/>
                <w:szCs w:val="18"/>
                <w:lang w:val="en-US"/>
              </w:rPr>
              <w:t xml:space="preserve">    t(9;11)</w:t>
            </w:r>
          </w:p>
        </w:tc>
        <w:tc>
          <w:tcPr>
            <w:tcW w:w="810" w:type="pct"/>
            <w:gridSpan w:val="2"/>
          </w:tcPr>
          <w:p w14:paraId="64CE5C2F"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11 (8.9)</w:t>
            </w:r>
          </w:p>
        </w:tc>
        <w:tc>
          <w:tcPr>
            <w:tcW w:w="811" w:type="pct"/>
            <w:gridSpan w:val="2"/>
          </w:tcPr>
          <w:p w14:paraId="5BB35735"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7 (2.9)</w:t>
            </w:r>
          </w:p>
        </w:tc>
        <w:tc>
          <w:tcPr>
            <w:tcW w:w="811" w:type="pct"/>
          </w:tcPr>
          <w:p w14:paraId="0A2567D2"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1 (0.8)</w:t>
            </w:r>
          </w:p>
        </w:tc>
        <w:tc>
          <w:tcPr>
            <w:tcW w:w="677" w:type="pct"/>
          </w:tcPr>
          <w:p w14:paraId="580C956A" w14:textId="77777777" w:rsidR="00DD142B" w:rsidRDefault="00F23CC1">
            <w:pPr>
              <w:jc w:val="right"/>
              <w:cnfStyle w:val="000000100000" w:firstRow="0" w:lastRow="0" w:firstColumn="0" w:lastColumn="0" w:oddVBand="0" w:evenVBand="0" w:oddHBand="1" w:evenHBand="0" w:firstRowFirstColumn="0" w:firstRowLastColumn="0" w:lastRowFirstColumn="0" w:lastRowLastColumn="0"/>
              <w:rPr>
                <w:rFonts w:cs="Times New Roman"/>
                <w:b/>
                <w:sz w:val="18"/>
                <w:szCs w:val="18"/>
                <w:lang w:val="en-US"/>
              </w:rPr>
            </w:pPr>
            <w:r>
              <w:rPr>
                <w:rFonts w:cs="Times New Roman"/>
                <w:b/>
                <w:sz w:val="18"/>
                <w:szCs w:val="18"/>
                <w:lang w:val="en-US"/>
              </w:rPr>
              <w:t>.0031</w:t>
            </w:r>
            <w:r>
              <w:rPr>
                <w:rFonts w:cs="Times New Roman"/>
                <w:sz w:val="16"/>
                <w:szCs w:val="16"/>
                <w:vertAlign w:val="superscript"/>
                <w:lang w:val="en-US"/>
              </w:rPr>
              <w:t>‡</w:t>
            </w:r>
          </w:p>
        </w:tc>
      </w:tr>
      <w:tr w:rsidR="00DD142B" w14:paraId="7B05B63C"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524E2EBB" w14:textId="77777777" w:rsidR="00DD142B" w:rsidRDefault="00F23CC1">
            <w:pPr>
              <w:jc w:val="left"/>
              <w:rPr>
                <w:rFonts w:cs="Times New Roman"/>
                <w:sz w:val="18"/>
                <w:szCs w:val="18"/>
                <w:lang w:val="en-US"/>
              </w:rPr>
            </w:pPr>
            <w:r>
              <w:rPr>
                <w:rFonts w:cs="Times New Roman"/>
                <w:b w:val="0"/>
                <w:sz w:val="18"/>
                <w:szCs w:val="18"/>
                <w:lang w:val="en-US"/>
              </w:rPr>
              <w:t xml:space="preserve">    t(6;9)</w:t>
            </w:r>
          </w:p>
        </w:tc>
        <w:tc>
          <w:tcPr>
            <w:tcW w:w="810" w:type="pct"/>
            <w:gridSpan w:val="2"/>
          </w:tcPr>
          <w:p w14:paraId="1C63A9DB"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 (0.8)</w:t>
            </w:r>
          </w:p>
        </w:tc>
        <w:tc>
          <w:tcPr>
            <w:tcW w:w="811" w:type="pct"/>
            <w:gridSpan w:val="2"/>
          </w:tcPr>
          <w:p w14:paraId="3677FBF1"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3 (1.2)</w:t>
            </w:r>
          </w:p>
        </w:tc>
        <w:tc>
          <w:tcPr>
            <w:tcW w:w="811" w:type="pct"/>
          </w:tcPr>
          <w:p w14:paraId="34092E09"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0 (0.0)</w:t>
            </w:r>
          </w:p>
        </w:tc>
        <w:tc>
          <w:tcPr>
            <w:tcW w:w="677" w:type="pct"/>
          </w:tcPr>
          <w:p w14:paraId="5F37CECF" w14:textId="77777777" w:rsidR="00DD142B" w:rsidRDefault="00F23CC1">
            <w:pPr>
              <w:jc w:val="right"/>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.81</w:t>
            </w:r>
            <w:r>
              <w:rPr>
                <w:rFonts w:cs="Times New Roman"/>
                <w:sz w:val="16"/>
                <w:szCs w:val="16"/>
                <w:vertAlign w:val="superscript"/>
                <w:lang w:val="en-US"/>
              </w:rPr>
              <w:t>‡</w:t>
            </w:r>
          </w:p>
        </w:tc>
      </w:tr>
      <w:tr w:rsidR="00DD142B" w14:paraId="1739876F"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252D103D" w14:textId="77777777" w:rsidR="00DD142B" w:rsidRDefault="00F23CC1">
            <w:pPr>
              <w:jc w:val="left"/>
              <w:rPr>
                <w:rFonts w:cs="Times New Roman"/>
                <w:sz w:val="18"/>
                <w:szCs w:val="18"/>
                <w:lang w:val="en-US"/>
              </w:rPr>
            </w:pPr>
            <w:r>
              <w:rPr>
                <w:rFonts w:cs="Times New Roman"/>
                <w:b w:val="0"/>
                <w:sz w:val="18"/>
                <w:szCs w:val="18"/>
                <w:lang w:val="en-US"/>
              </w:rPr>
              <w:t xml:space="preserve">    t(9;22)</w:t>
            </w:r>
          </w:p>
        </w:tc>
        <w:tc>
          <w:tcPr>
            <w:tcW w:w="810" w:type="pct"/>
            <w:gridSpan w:val="2"/>
          </w:tcPr>
          <w:p w14:paraId="4CD4B220"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w:t>
            </w:r>
          </w:p>
        </w:tc>
        <w:tc>
          <w:tcPr>
            <w:tcW w:w="811" w:type="pct"/>
            <w:gridSpan w:val="2"/>
          </w:tcPr>
          <w:p w14:paraId="16C257C9"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w:t>
            </w:r>
          </w:p>
        </w:tc>
        <w:tc>
          <w:tcPr>
            <w:tcW w:w="811" w:type="pct"/>
          </w:tcPr>
          <w:p w14:paraId="38AE6B8C"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w:t>
            </w:r>
          </w:p>
        </w:tc>
        <w:tc>
          <w:tcPr>
            <w:tcW w:w="677" w:type="pct"/>
          </w:tcPr>
          <w:p w14:paraId="1660B62D" w14:textId="77777777" w:rsidR="00DD142B" w:rsidRDefault="00DD142B">
            <w:pPr>
              <w:jc w:val="right"/>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r>
      <w:tr w:rsidR="00DD142B" w14:paraId="38D8728D"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150D71D0" w14:textId="77777777" w:rsidR="00DD142B" w:rsidRDefault="00F23CC1">
            <w:pPr>
              <w:jc w:val="left"/>
              <w:rPr>
                <w:rFonts w:cs="Times New Roman"/>
                <w:sz w:val="18"/>
                <w:szCs w:val="18"/>
                <w:lang w:val="en-US"/>
              </w:rPr>
            </w:pPr>
            <w:r>
              <w:rPr>
                <w:rFonts w:cs="Times New Roman"/>
                <w:b w:val="0"/>
                <w:sz w:val="18"/>
                <w:szCs w:val="18"/>
                <w:lang w:val="en-US"/>
              </w:rPr>
              <w:t xml:space="preserve">    t(</w:t>
            </w:r>
            <w:r>
              <w:rPr>
                <w:rFonts w:cs="Times New Roman"/>
                <w:b w:val="0"/>
                <w:i/>
                <w:sz w:val="18"/>
                <w:szCs w:val="18"/>
                <w:lang w:val="en-US"/>
              </w:rPr>
              <w:t>v</w:t>
            </w:r>
            <w:r>
              <w:rPr>
                <w:rFonts w:cs="Times New Roman"/>
                <w:b w:val="0"/>
                <w:sz w:val="18"/>
                <w:szCs w:val="18"/>
                <w:lang w:val="en-US"/>
              </w:rPr>
              <w:t>;11q23)</w:t>
            </w:r>
          </w:p>
        </w:tc>
        <w:tc>
          <w:tcPr>
            <w:tcW w:w="810" w:type="pct"/>
            <w:gridSpan w:val="2"/>
          </w:tcPr>
          <w:p w14:paraId="3FD3ECCA"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7 (5.7)</w:t>
            </w:r>
          </w:p>
        </w:tc>
        <w:tc>
          <w:tcPr>
            <w:tcW w:w="811" w:type="pct"/>
            <w:gridSpan w:val="2"/>
          </w:tcPr>
          <w:p w14:paraId="402FCC03"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6 (2.4)</w:t>
            </w:r>
          </w:p>
        </w:tc>
        <w:tc>
          <w:tcPr>
            <w:tcW w:w="811" w:type="pct"/>
          </w:tcPr>
          <w:p w14:paraId="04B265A3"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3 (2.4)</w:t>
            </w:r>
          </w:p>
        </w:tc>
        <w:tc>
          <w:tcPr>
            <w:tcW w:w="677" w:type="pct"/>
          </w:tcPr>
          <w:p w14:paraId="4AF1C9D3" w14:textId="77777777" w:rsidR="00DD142B" w:rsidRDefault="00F23CC1">
            <w:pPr>
              <w:jc w:val="right"/>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.26</w:t>
            </w:r>
            <w:r>
              <w:rPr>
                <w:rFonts w:cs="Times New Roman"/>
                <w:sz w:val="16"/>
                <w:szCs w:val="16"/>
                <w:vertAlign w:val="superscript"/>
                <w:lang w:val="en-US"/>
              </w:rPr>
              <w:t>‡</w:t>
            </w:r>
          </w:p>
        </w:tc>
      </w:tr>
      <w:tr w:rsidR="00DD142B" w14:paraId="641AE6C7"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62AF6F53" w14:textId="77777777" w:rsidR="00DD142B" w:rsidRDefault="00F23CC1">
            <w:pPr>
              <w:jc w:val="left"/>
              <w:rPr>
                <w:rFonts w:cs="Times New Roman"/>
                <w:sz w:val="18"/>
                <w:szCs w:val="18"/>
                <w:lang w:val="en-US"/>
              </w:rPr>
            </w:pPr>
            <w:r>
              <w:rPr>
                <w:rFonts w:cs="Times New Roman"/>
                <w:b w:val="0"/>
                <w:sz w:val="18"/>
                <w:szCs w:val="18"/>
                <w:lang w:val="en-US"/>
              </w:rPr>
              <w:t xml:space="preserve">    inv(3)/t(3;3)</w:t>
            </w:r>
          </w:p>
        </w:tc>
        <w:tc>
          <w:tcPr>
            <w:tcW w:w="810" w:type="pct"/>
            <w:gridSpan w:val="2"/>
          </w:tcPr>
          <w:p w14:paraId="7F4EB6C3"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2 (1.6)</w:t>
            </w:r>
          </w:p>
        </w:tc>
        <w:tc>
          <w:tcPr>
            <w:tcW w:w="811" w:type="pct"/>
            <w:gridSpan w:val="2"/>
          </w:tcPr>
          <w:p w14:paraId="09C66176"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3 (1.2)</w:t>
            </w:r>
          </w:p>
        </w:tc>
        <w:tc>
          <w:tcPr>
            <w:tcW w:w="811" w:type="pct"/>
          </w:tcPr>
          <w:p w14:paraId="1A95A0D8"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8 (6.5)</w:t>
            </w:r>
          </w:p>
        </w:tc>
        <w:tc>
          <w:tcPr>
            <w:tcW w:w="677" w:type="pct"/>
          </w:tcPr>
          <w:p w14:paraId="7948420D" w14:textId="77777777" w:rsidR="00DD142B" w:rsidRDefault="00F23CC1">
            <w:pPr>
              <w:jc w:val="right"/>
              <w:cnfStyle w:val="000000100000" w:firstRow="0" w:lastRow="0" w:firstColumn="0" w:lastColumn="0" w:oddVBand="0" w:evenVBand="0" w:oddHBand="1" w:evenHBand="0" w:firstRowFirstColumn="0" w:firstRowLastColumn="0" w:lastRowFirstColumn="0" w:lastRowLastColumn="0"/>
              <w:rPr>
                <w:rFonts w:cs="Times New Roman"/>
                <w:b/>
                <w:sz w:val="18"/>
                <w:szCs w:val="18"/>
                <w:lang w:val="en-US"/>
              </w:rPr>
            </w:pPr>
            <w:r>
              <w:rPr>
                <w:rFonts w:cs="Times New Roman"/>
                <w:b/>
                <w:sz w:val="18"/>
                <w:szCs w:val="18"/>
                <w:lang w:val="en-US"/>
              </w:rPr>
              <w:t>.013</w:t>
            </w:r>
            <w:r>
              <w:rPr>
                <w:rFonts w:cs="Times New Roman"/>
                <w:b/>
                <w:sz w:val="16"/>
                <w:szCs w:val="16"/>
                <w:vertAlign w:val="superscript"/>
                <w:lang w:val="en-US"/>
              </w:rPr>
              <w:t>‡</w:t>
            </w:r>
          </w:p>
        </w:tc>
      </w:tr>
      <w:tr w:rsidR="00DD142B" w14:paraId="21D671A2"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77145C72" w14:textId="77777777" w:rsidR="00DD142B" w:rsidRDefault="00F23CC1">
            <w:pPr>
              <w:jc w:val="left"/>
              <w:rPr>
                <w:rFonts w:cs="Times New Roman"/>
                <w:sz w:val="18"/>
                <w:szCs w:val="18"/>
                <w:lang w:val="en-US"/>
              </w:rPr>
            </w:pPr>
            <w:r>
              <w:rPr>
                <w:rFonts w:cs="Times New Roman"/>
                <w:b w:val="0"/>
                <w:sz w:val="18"/>
                <w:szCs w:val="18"/>
                <w:lang w:val="en-US"/>
              </w:rPr>
              <w:t xml:space="preserve">    -5/del(5q)</w:t>
            </w:r>
          </w:p>
        </w:tc>
        <w:tc>
          <w:tcPr>
            <w:tcW w:w="810" w:type="pct"/>
            <w:gridSpan w:val="2"/>
          </w:tcPr>
          <w:p w14:paraId="632B80CA"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4 (3.3)</w:t>
            </w:r>
          </w:p>
        </w:tc>
        <w:tc>
          <w:tcPr>
            <w:tcW w:w="811" w:type="pct"/>
            <w:gridSpan w:val="2"/>
          </w:tcPr>
          <w:p w14:paraId="16F8BD7F"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21 (8.5)</w:t>
            </w:r>
          </w:p>
        </w:tc>
        <w:tc>
          <w:tcPr>
            <w:tcW w:w="811" w:type="pct"/>
          </w:tcPr>
          <w:p w14:paraId="5F8A6B21"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19 (15.5)</w:t>
            </w:r>
          </w:p>
        </w:tc>
        <w:tc>
          <w:tcPr>
            <w:tcW w:w="677" w:type="pct"/>
          </w:tcPr>
          <w:p w14:paraId="5C3CC174" w14:textId="77777777" w:rsidR="00DD142B" w:rsidRDefault="00F23CC1">
            <w:pPr>
              <w:jc w:val="right"/>
              <w:cnfStyle w:val="000000000000" w:firstRow="0" w:lastRow="0" w:firstColumn="0" w:lastColumn="0" w:oddVBand="0" w:evenVBand="0" w:oddHBand="0" w:evenHBand="0" w:firstRowFirstColumn="0" w:firstRowLastColumn="0" w:lastRowFirstColumn="0" w:lastRowLastColumn="0"/>
              <w:rPr>
                <w:rFonts w:cs="Times New Roman"/>
                <w:b/>
                <w:sz w:val="18"/>
                <w:szCs w:val="18"/>
                <w:lang w:val="en-US"/>
              </w:rPr>
            </w:pPr>
            <w:r>
              <w:rPr>
                <w:rFonts w:cs="Times New Roman"/>
                <w:b/>
                <w:sz w:val="18"/>
                <w:szCs w:val="18"/>
                <w:lang w:val="en-US"/>
              </w:rPr>
              <w:t>.0035</w:t>
            </w:r>
            <w:r>
              <w:rPr>
                <w:rFonts w:cs="Times New Roman"/>
                <w:sz w:val="16"/>
                <w:szCs w:val="16"/>
                <w:vertAlign w:val="superscript"/>
                <w:lang w:val="en-US"/>
              </w:rPr>
              <w:t>¶</w:t>
            </w:r>
          </w:p>
        </w:tc>
      </w:tr>
      <w:tr w:rsidR="00DD142B" w14:paraId="0E1F9B94"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3AD21C4F" w14:textId="77777777" w:rsidR="00DD142B" w:rsidRDefault="00F23CC1">
            <w:pPr>
              <w:jc w:val="left"/>
              <w:rPr>
                <w:rFonts w:cs="Times New Roman"/>
                <w:sz w:val="18"/>
                <w:szCs w:val="18"/>
                <w:lang w:val="en-US"/>
              </w:rPr>
            </w:pPr>
            <w:r>
              <w:rPr>
                <w:rFonts w:cs="Times New Roman"/>
                <w:b w:val="0"/>
                <w:sz w:val="18"/>
                <w:szCs w:val="18"/>
                <w:lang w:val="en-US"/>
              </w:rPr>
              <w:t xml:space="preserve">    -7</w:t>
            </w:r>
          </w:p>
        </w:tc>
        <w:tc>
          <w:tcPr>
            <w:tcW w:w="810" w:type="pct"/>
            <w:gridSpan w:val="2"/>
          </w:tcPr>
          <w:p w14:paraId="2994CEFA"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4 (3.3)</w:t>
            </w:r>
          </w:p>
        </w:tc>
        <w:tc>
          <w:tcPr>
            <w:tcW w:w="811" w:type="pct"/>
            <w:gridSpan w:val="2"/>
          </w:tcPr>
          <w:p w14:paraId="4CD52336"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15 (6.1)</w:t>
            </w:r>
          </w:p>
        </w:tc>
        <w:tc>
          <w:tcPr>
            <w:tcW w:w="811" w:type="pct"/>
          </w:tcPr>
          <w:p w14:paraId="27B4B904"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14 (11.4)</w:t>
            </w:r>
          </w:p>
        </w:tc>
        <w:tc>
          <w:tcPr>
            <w:tcW w:w="677" w:type="pct"/>
          </w:tcPr>
          <w:p w14:paraId="5B2AA598" w14:textId="77777777" w:rsidR="00DD142B" w:rsidRDefault="00F23CC1">
            <w:pPr>
              <w:jc w:val="right"/>
              <w:cnfStyle w:val="000000100000" w:firstRow="0" w:lastRow="0" w:firstColumn="0" w:lastColumn="0" w:oddVBand="0" w:evenVBand="0" w:oddHBand="1" w:evenHBand="0" w:firstRowFirstColumn="0" w:firstRowLastColumn="0" w:lastRowFirstColumn="0" w:lastRowLastColumn="0"/>
              <w:rPr>
                <w:rFonts w:cs="Times New Roman"/>
                <w:b/>
                <w:sz w:val="18"/>
                <w:szCs w:val="18"/>
                <w:lang w:val="en-US"/>
              </w:rPr>
            </w:pPr>
            <w:r>
              <w:rPr>
                <w:rFonts w:cs="Times New Roman"/>
                <w:b/>
                <w:sz w:val="18"/>
                <w:szCs w:val="18"/>
                <w:lang w:val="en-US"/>
              </w:rPr>
              <w:t>.034</w:t>
            </w:r>
            <w:r>
              <w:rPr>
                <w:rFonts w:cs="Times New Roman"/>
                <w:sz w:val="16"/>
                <w:szCs w:val="16"/>
                <w:vertAlign w:val="superscript"/>
                <w:lang w:val="en-US"/>
              </w:rPr>
              <w:t>¶</w:t>
            </w:r>
          </w:p>
        </w:tc>
      </w:tr>
      <w:tr w:rsidR="00DD142B" w14:paraId="18AADDB7"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6DA02AB2" w14:textId="77777777" w:rsidR="00DD142B" w:rsidRDefault="00F23CC1">
            <w:pPr>
              <w:jc w:val="left"/>
              <w:rPr>
                <w:rFonts w:cs="Times New Roman"/>
                <w:sz w:val="18"/>
                <w:szCs w:val="18"/>
                <w:lang w:val="en-US"/>
              </w:rPr>
            </w:pPr>
            <w:r>
              <w:rPr>
                <w:rFonts w:cs="Times New Roman"/>
                <w:b w:val="0"/>
                <w:sz w:val="18"/>
                <w:szCs w:val="18"/>
                <w:lang w:val="en-US"/>
              </w:rPr>
              <w:t xml:space="preserve">    -17/abn(17p)</w:t>
            </w:r>
          </w:p>
        </w:tc>
        <w:tc>
          <w:tcPr>
            <w:tcW w:w="810" w:type="pct"/>
            <w:gridSpan w:val="2"/>
          </w:tcPr>
          <w:p w14:paraId="3492D5C4"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2 (1.6)</w:t>
            </w:r>
          </w:p>
        </w:tc>
        <w:tc>
          <w:tcPr>
            <w:tcW w:w="811" w:type="pct"/>
            <w:gridSpan w:val="2"/>
          </w:tcPr>
          <w:p w14:paraId="001F97A6"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8 (3.3)</w:t>
            </w:r>
          </w:p>
        </w:tc>
        <w:tc>
          <w:tcPr>
            <w:tcW w:w="811" w:type="pct"/>
          </w:tcPr>
          <w:p w14:paraId="57096DCE"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12 (9.8)</w:t>
            </w:r>
          </w:p>
        </w:tc>
        <w:tc>
          <w:tcPr>
            <w:tcW w:w="677" w:type="pct"/>
          </w:tcPr>
          <w:p w14:paraId="1FC66203" w14:textId="77777777" w:rsidR="00DD142B" w:rsidRDefault="00F23CC1">
            <w:pPr>
              <w:jc w:val="right"/>
              <w:cnfStyle w:val="000000000000" w:firstRow="0" w:lastRow="0" w:firstColumn="0" w:lastColumn="0" w:oddVBand="0" w:evenVBand="0" w:oddHBand="0" w:evenHBand="0" w:firstRowFirstColumn="0" w:firstRowLastColumn="0" w:lastRowFirstColumn="0" w:lastRowLastColumn="0"/>
              <w:rPr>
                <w:rFonts w:cs="Times New Roman"/>
                <w:b/>
                <w:sz w:val="18"/>
                <w:szCs w:val="18"/>
                <w:lang w:val="en-US"/>
              </w:rPr>
            </w:pPr>
            <w:r>
              <w:rPr>
                <w:rFonts w:cs="Times New Roman"/>
                <w:b/>
                <w:sz w:val="18"/>
                <w:szCs w:val="18"/>
                <w:lang w:val="en-US"/>
              </w:rPr>
              <w:t>.0036</w:t>
            </w:r>
            <w:r>
              <w:rPr>
                <w:rFonts w:cs="Times New Roman"/>
                <w:sz w:val="16"/>
                <w:szCs w:val="16"/>
                <w:vertAlign w:val="superscript"/>
                <w:lang w:val="en-US"/>
              </w:rPr>
              <w:t>¶</w:t>
            </w:r>
          </w:p>
        </w:tc>
      </w:tr>
      <w:tr w:rsidR="00DD142B" w14:paraId="756B42F8"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6E087A0A" w14:textId="77777777" w:rsidR="00DD142B" w:rsidRDefault="00F23CC1">
            <w:pPr>
              <w:jc w:val="left"/>
              <w:rPr>
                <w:rFonts w:cs="Times New Roman"/>
                <w:sz w:val="18"/>
                <w:szCs w:val="18"/>
                <w:lang w:val="en-US"/>
              </w:rPr>
            </w:pPr>
            <w:r>
              <w:rPr>
                <w:rFonts w:cs="Times New Roman"/>
                <w:b w:val="0"/>
                <w:sz w:val="18"/>
                <w:szCs w:val="18"/>
                <w:lang w:val="en-US"/>
              </w:rPr>
              <w:t xml:space="preserve">    complex</w:t>
            </w:r>
          </w:p>
        </w:tc>
        <w:tc>
          <w:tcPr>
            <w:tcW w:w="810" w:type="pct"/>
            <w:gridSpan w:val="2"/>
          </w:tcPr>
          <w:p w14:paraId="563EB330"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8 (6.5)</w:t>
            </w:r>
          </w:p>
        </w:tc>
        <w:tc>
          <w:tcPr>
            <w:tcW w:w="811" w:type="pct"/>
            <w:gridSpan w:val="2"/>
          </w:tcPr>
          <w:p w14:paraId="3E6D2575"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31 (12.6)</w:t>
            </w:r>
          </w:p>
        </w:tc>
        <w:tc>
          <w:tcPr>
            <w:tcW w:w="811" w:type="pct"/>
          </w:tcPr>
          <w:p w14:paraId="7C42DE5B"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27 (22.0)</w:t>
            </w:r>
          </w:p>
        </w:tc>
        <w:tc>
          <w:tcPr>
            <w:tcW w:w="677" w:type="pct"/>
          </w:tcPr>
          <w:p w14:paraId="2C5935A2" w14:textId="77777777" w:rsidR="00DD142B" w:rsidRDefault="00F23CC1">
            <w:pPr>
              <w:jc w:val="right"/>
              <w:cnfStyle w:val="000000100000" w:firstRow="0" w:lastRow="0" w:firstColumn="0" w:lastColumn="0" w:oddVBand="0" w:evenVBand="0" w:oddHBand="1" w:evenHBand="0" w:firstRowFirstColumn="0" w:firstRowLastColumn="0" w:lastRowFirstColumn="0" w:lastRowLastColumn="0"/>
              <w:rPr>
                <w:rFonts w:cs="Times New Roman"/>
                <w:b/>
                <w:sz w:val="18"/>
                <w:szCs w:val="18"/>
                <w:lang w:val="en-US"/>
              </w:rPr>
            </w:pPr>
            <w:r>
              <w:rPr>
                <w:rFonts w:cs="Times New Roman"/>
                <w:b/>
                <w:sz w:val="18"/>
                <w:szCs w:val="18"/>
                <w:lang w:val="en-US"/>
              </w:rPr>
              <w:t>.0016</w:t>
            </w:r>
            <w:r>
              <w:rPr>
                <w:rFonts w:cs="Times New Roman"/>
                <w:sz w:val="16"/>
                <w:szCs w:val="16"/>
                <w:vertAlign w:val="superscript"/>
                <w:lang w:val="en-US"/>
              </w:rPr>
              <w:t>¶</w:t>
            </w:r>
          </w:p>
        </w:tc>
      </w:tr>
      <w:tr w:rsidR="00DD142B" w14:paraId="1068A335"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2EF509FF" w14:textId="77777777" w:rsidR="00DD142B" w:rsidRDefault="00F23CC1">
            <w:pPr>
              <w:jc w:val="left"/>
              <w:rPr>
                <w:rFonts w:cs="Times New Roman"/>
                <w:sz w:val="18"/>
                <w:szCs w:val="18"/>
                <w:lang w:val="en-US"/>
              </w:rPr>
            </w:pPr>
            <w:r>
              <w:rPr>
                <w:rFonts w:cs="Times New Roman"/>
                <w:sz w:val="18"/>
                <w:szCs w:val="18"/>
                <w:lang w:val="en-US"/>
              </w:rPr>
              <w:t xml:space="preserve">    </w:t>
            </w:r>
            <w:r>
              <w:rPr>
                <w:rFonts w:cs="Times New Roman"/>
                <w:b w:val="0"/>
                <w:sz w:val="18"/>
                <w:szCs w:val="18"/>
                <w:lang w:val="en-US"/>
              </w:rPr>
              <w:t>monosomal</w:t>
            </w:r>
          </w:p>
        </w:tc>
        <w:tc>
          <w:tcPr>
            <w:tcW w:w="810" w:type="pct"/>
            <w:gridSpan w:val="2"/>
          </w:tcPr>
          <w:p w14:paraId="098D56AE"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5 (4.1)</w:t>
            </w:r>
          </w:p>
        </w:tc>
        <w:tc>
          <w:tcPr>
            <w:tcW w:w="811" w:type="pct"/>
            <w:gridSpan w:val="2"/>
          </w:tcPr>
          <w:p w14:paraId="0E42F8ED"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19 (7.7)</w:t>
            </w:r>
          </w:p>
        </w:tc>
        <w:tc>
          <w:tcPr>
            <w:tcW w:w="811" w:type="pct"/>
          </w:tcPr>
          <w:p w14:paraId="3A5459EA"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22 (17.9)</w:t>
            </w:r>
          </w:p>
        </w:tc>
        <w:tc>
          <w:tcPr>
            <w:tcW w:w="677" w:type="pct"/>
          </w:tcPr>
          <w:p w14:paraId="510A3A3A" w14:textId="77777777" w:rsidR="00DD142B" w:rsidRDefault="00F23CC1">
            <w:pPr>
              <w:jc w:val="right"/>
              <w:cnfStyle w:val="000000000000" w:firstRow="0" w:lastRow="0" w:firstColumn="0" w:lastColumn="0" w:oddVBand="0" w:evenVBand="0" w:oddHBand="0" w:evenHBand="0" w:firstRowFirstColumn="0" w:firstRowLastColumn="0" w:lastRowFirstColumn="0" w:lastRowLastColumn="0"/>
              <w:rPr>
                <w:rFonts w:cs="Times New Roman"/>
                <w:b/>
                <w:sz w:val="18"/>
                <w:szCs w:val="18"/>
                <w:lang w:val="en-US"/>
              </w:rPr>
            </w:pPr>
            <w:r>
              <w:rPr>
                <w:rFonts w:cs="Times New Roman"/>
                <w:b/>
                <w:sz w:val="18"/>
                <w:szCs w:val="18"/>
                <w:lang w:val="en-US"/>
              </w:rPr>
              <w:t>.0005</w:t>
            </w:r>
            <w:r>
              <w:rPr>
                <w:rFonts w:cs="Times New Roman"/>
                <w:sz w:val="16"/>
                <w:szCs w:val="16"/>
                <w:vertAlign w:val="superscript"/>
                <w:lang w:val="en-US"/>
              </w:rPr>
              <w:t>¶</w:t>
            </w:r>
          </w:p>
        </w:tc>
      </w:tr>
      <w:tr w:rsidR="00DD142B" w14:paraId="5963B7F9"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1949DD75" w14:textId="77777777" w:rsidR="00DD142B" w:rsidRDefault="00F23CC1">
            <w:pPr>
              <w:jc w:val="left"/>
              <w:rPr>
                <w:rFonts w:cs="Times New Roman"/>
                <w:sz w:val="18"/>
                <w:szCs w:val="18"/>
                <w:lang w:val="en-US"/>
              </w:rPr>
            </w:pPr>
            <w:r>
              <w:rPr>
                <w:rFonts w:cs="Times New Roman"/>
                <w:b w:val="0"/>
                <w:sz w:val="18"/>
                <w:szCs w:val="18"/>
                <w:lang w:val="en-US"/>
              </w:rPr>
              <w:t xml:space="preserve">    other</w:t>
            </w:r>
          </w:p>
        </w:tc>
        <w:tc>
          <w:tcPr>
            <w:tcW w:w="810" w:type="pct"/>
            <w:gridSpan w:val="2"/>
          </w:tcPr>
          <w:p w14:paraId="41C183A2"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16 (13.0)</w:t>
            </w:r>
          </w:p>
        </w:tc>
        <w:tc>
          <w:tcPr>
            <w:tcW w:w="811" w:type="pct"/>
            <w:gridSpan w:val="2"/>
          </w:tcPr>
          <w:p w14:paraId="37E3A52F"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49 (19.9)</w:t>
            </w:r>
          </w:p>
        </w:tc>
        <w:tc>
          <w:tcPr>
            <w:tcW w:w="811" w:type="pct"/>
          </w:tcPr>
          <w:p w14:paraId="3344D2EB"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21 (17.1)</w:t>
            </w:r>
          </w:p>
        </w:tc>
        <w:tc>
          <w:tcPr>
            <w:tcW w:w="677" w:type="pct"/>
          </w:tcPr>
          <w:p w14:paraId="725C48DA" w14:textId="77777777" w:rsidR="00DD142B" w:rsidRDefault="00F23CC1">
            <w:pPr>
              <w:jc w:val="right"/>
              <w:cnfStyle w:val="000000100000" w:firstRow="0" w:lastRow="0" w:firstColumn="0" w:lastColumn="0" w:oddVBand="0" w:evenVBand="0" w:oddHBand="1" w:evenHBand="0" w:firstRowFirstColumn="0" w:firstRowLastColumn="0" w:lastRowFirstColumn="0" w:lastRowLastColumn="0"/>
              <w:rPr>
                <w:rFonts w:cs="Times New Roman"/>
                <w:b/>
                <w:sz w:val="18"/>
                <w:szCs w:val="18"/>
                <w:lang w:val="en-US"/>
              </w:rPr>
            </w:pPr>
            <w:r>
              <w:rPr>
                <w:rFonts w:cs="Times New Roman"/>
                <w:sz w:val="18"/>
                <w:szCs w:val="18"/>
                <w:lang w:val="en-US"/>
              </w:rPr>
              <w:t>.25</w:t>
            </w:r>
            <w:r>
              <w:rPr>
                <w:rFonts w:cs="Times New Roman"/>
                <w:sz w:val="16"/>
                <w:szCs w:val="16"/>
                <w:vertAlign w:val="superscript"/>
                <w:lang w:val="en-US"/>
              </w:rPr>
              <w:t>¶</w:t>
            </w:r>
          </w:p>
        </w:tc>
      </w:tr>
      <w:tr w:rsidR="00DD142B" w14:paraId="6F0F17A7"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6195B122" w14:textId="77777777" w:rsidR="00DD142B" w:rsidRDefault="00F23CC1">
            <w:pPr>
              <w:jc w:val="left"/>
              <w:rPr>
                <w:rFonts w:cs="Times New Roman"/>
                <w:sz w:val="18"/>
                <w:szCs w:val="18"/>
                <w:lang w:val="en-US"/>
              </w:rPr>
            </w:pPr>
            <w:r>
              <w:rPr>
                <w:rFonts w:cs="Times New Roman"/>
                <w:i/>
                <w:sz w:val="18"/>
                <w:szCs w:val="18"/>
                <w:lang w:val="en-US"/>
              </w:rPr>
              <w:t>FLT3</w:t>
            </w:r>
            <w:r>
              <w:rPr>
                <w:rFonts w:cs="Times New Roman"/>
                <w:sz w:val="18"/>
                <w:szCs w:val="18"/>
                <w:lang w:val="en-US"/>
              </w:rPr>
              <w:t>-ITD</w:t>
            </w:r>
            <w:r>
              <w:rPr>
                <w:rFonts w:cs="Times New Roman"/>
                <w:b w:val="0"/>
                <w:sz w:val="18"/>
                <w:szCs w:val="18"/>
                <w:lang w:val="en-US"/>
              </w:rPr>
              <w:t>, no (%)</w:t>
            </w:r>
          </w:p>
        </w:tc>
        <w:tc>
          <w:tcPr>
            <w:tcW w:w="810" w:type="pct"/>
            <w:gridSpan w:val="2"/>
          </w:tcPr>
          <w:p w14:paraId="46B951D9" w14:textId="77777777" w:rsidR="00DD142B" w:rsidRDefault="00DD142B">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c>
          <w:tcPr>
            <w:tcW w:w="811" w:type="pct"/>
            <w:gridSpan w:val="2"/>
          </w:tcPr>
          <w:p w14:paraId="4E85CC45" w14:textId="77777777" w:rsidR="00DD142B" w:rsidRDefault="00DD142B">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c>
          <w:tcPr>
            <w:tcW w:w="811" w:type="pct"/>
          </w:tcPr>
          <w:p w14:paraId="7DFA561E" w14:textId="77777777" w:rsidR="00DD142B" w:rsidRDefault="00DD142B">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c>
          <w:tcPr>
            <w:tcW w:w="677" w:type="pct"/>
          </w:tcPr>
          <w:p w14:paraId="07C6C20D" w14:textId="77777777" w:rsidR="00DD142B" w:rsidRDefault="00F23CC1">
            <w:pPr>
              <w:jc w:val="right"/>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.18</w:t>
            </w:r>
            <w:r>
              <w:rPr>
                <w:rFonts w:cs="Times New Roman"/>
                <w:sz w:val="16"/>
                <w:szCs w:val="16"/>
                <w:vertAlign w:val="superscript"/>
                <w:lang w:val="en-US"/>
              </w:rPr>
              <w:t>¶</w:t>
            </w:r>
          </w:p>
        </w:tc>
      </w:tr>
      <w:tr w:rsidR="00DD142B" w14:paraId="5DB80B9E"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310B64F2" w14:textId="77777777" w:rsidR="00DD142B" w:rsidRDefault="00F23CC1">
            <w:pPr>
              <w:jc w:val="left"/>
              <w:rPr>
                <w:rFonts w:cs="Times New Roman"/>
                <w:sz w:val="18"/>
                <w:szCs w:val="18"/>
                <w:lang w:val="en-US"/>
              </w:rPr>
            </w:pPr>
            <w:r>
              <w:rPr>
                <w:rFonts w:cs="Times New Roman"/>
                <w:b w:val="0"/>
                <w:sz w:val="18"/>
                <w:szCs w:val="18"/>
                <w:lang w:val="en-US"/>
              </w:rPr>
              <w:t xml:space="preserve">    Present</w:t>
            </w:r>
          </w:p>
        </w:tc>
        <w:tc>
          <w:tcPr>
            <w:tcW w:w="810" w:type="pct"/>
            <w:gridSpan w:val="2"/>
          </w:tcPr>
          <w:p w14:paraId="1D2C5462"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24 (20.5)</w:t>
            </w:r>
          </w:p>
        </w:tc>
        <w:tc>
          <w:tcPr>
            <w:tcW w:w="811" w:type="pct"/>
            <w:gridSpan w:val="2"/>
          </w:tcPr>
          <w:p w14:paraId="48ADFD7B"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70 (29.7)</w:t>
            </w:r>
          </w:p>
        </w:tc>
        <w:tc>
          <w:tcPr>
            <w:tcW w:w="811" w:type="pct"/>
          </w:tcPr>
          <w:p w14:paraId="55E23545"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31 (25.8)</w:t>
            </w:r>
          </w:p>
        </w:tc>
        <w:tc>
          <w:tcPr>
            <w:tcW w:w="677" w:type="pct"/>
          </w:tcPr>
          <w:p w14:paraId="62226CE2" w14:textId="77777777" w:rsidR="00DD142B" w:rsidRDefault="00F23CC1">
            <w:pPr>
              <w:jc w:val="right"/>
              <w:cnfStyle w:val="000000100000" w:firstRow="0" w:lastRow="0" w:firstColumn="0" w:lastColumn="0" w:oddVBand="0" w:evenVBand="0" w:oddHBand="1" w:evenHBand="0" w:firstRowFirstColumn="0" w:firstRowLastColumn="0" w:lastRowFirstColumn="0" w:lastRowLastColumn="0"/>
              <w:rPr>
                <w:rFonts w:cs="Times New Roman"/>
                <w:b/>
                <w:sz w:val="18"/>
                <w:szCs w:val="18"/>
                <w:lang w:val="en-US"/>
              </w:rPr>
            </w:pPr>
            <w:r>
              <w:rPr>
                <w:rFonts w:cs="Times New Roman"/>
                <w:b/>
                <w:sz w:val="18"/>
                <w:szCs w:val="18"/>
                <w:lang w:val="en-US"/>
              </w:rPr>
              <w:t>.021</w:t>
            </w:r>
            <w:r>
              <w:rPr>
                <w:rFonts w:cs="Times New Roman"/>
                <w:sz w:val="16"/>
                <w:szCs w:val="16"/>
                <w:vertAlign w:val="superscript"/>
                <w:lang w:val="en-US"/>
              </w:rPr>
              <w:t>¶</w:t>
            </w:r>
          </w:p>
        </w:tc>
      </w:tr>
      <w:tr w:rsidR="00DD142B" w14:paraId="021C2BCC"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78A28D5A" w14:textId="77777777" w:rsidR="00DD142B" w:rsidRDefault="00F23CC1">
            <w:pPr>
              <w:jc w:val="left"/>
              <w:rPr>
                <w:rFonts w:cs="Times New Roman"/>
                <w:sz w:val="18"/>
                <w:szCs w:val="18"/>
                <w:lang w:val="en-US"/>
              </w:rPr>
            </w:pPr>
            <w:r>
              <w:rPr>
                <w:rFonts w:cs="Times New Roman"/>
                <w:sz w:val="18"/>
                <w:szCs w:val="18"/>
                <w:lang w:val="en-US"/>
              </w:rPr>
              <w:t xml:space="preserve">        </w:t>
            </w:r>
            <w:r>
              <w:rPr>
                <w:rFonts w:cs="Times New Roman"/>
                <w:b w:val="0"/>
                <w:sz w:val="18"/>
                <w:szCs w:val="18"/>
                <w:lang w:val="en-US"/>
              </w:rPr>
              <w:t>High allelic ratio (≥0.5)</w:t>
            </w:r>
          </w:p>
        </w:tc>
        <w:tc>
          <w:tcPr>
            <w:tcW w:w="810" w:type="pct"/>
            <w:gridSpan w:val="2"/>
          </w:tcPr>
          <w:p w14:paraId="0F15B78D"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10 (41.7)</w:t>
            </w:r>
          </w:p>
        </w:tc>
        <w:tc>
          <w:tcPr>
            <w:tcW w:w="811" w:type="pct"/>
            <w:gridSpan w:val="2"/>
          </w:tcPr>
          <w:p w14:paraId="4F2F4775"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39 (54.9)</w:t>
            </w:r>
          </w:p>
        </w:tc>
        <w:tc>
          <w:tcPr>
            <w:tcW w:w="811" w:type="pct"/>
          </w:tcPr>
          <w:p w14:paraId="63D525EC"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24 (77.4)</w:t>
            </w:r>
          </w:p>
        </w:tc>
        <w:tc>
          <w:tcPr>
            <w:tcW w:w="677" w:type="pct"/>
          </w:tcPr>
          <w:p w14:paraId="031CC773" w14:textId="77777777" w:rsidR="00DD142B" w:rsidRDefault="00DD142B">
            <w:pPr>
              <w:jc w:val="right"/>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r>
      <w:tr w:rsidR="00DD142B" w14:paraId="126B7830"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0DC8DA40" w14:textId="77777777" w:rsidR="00DD142B" w:rsidRDefault="00F23CC1">
            <w:pPr>
              <w:jc w:val="left"/>
              <w:rPr>
                <w:rFonts w:cs="Times New Roman"/>
                <w:sz w:val="18"/>
                <w:szCs w:val="18"/>
                <w:lang w:val="en-US"/>
              </w:rPr>
            </w:pPr>
            <w:r>
              <w:rPr>
                <w:rFonts w:cs="Times New Roman"/>
                <w:sz w:val="18"/>
                <w:szCs w:val="18"/>
                <w:lang w:val="en-US"/>
              </w:rPr>
              <w:t xml:space="preserve">        </w:t>
            </w:r>
            <w:r>
              <w:rPr>
                <w:rFonts w:cs="Times New Roman"/>
                <w:b w:val="0"/>
                <w:sz w:val="18"/>
                <w:szCs w:val="18"/>
                <w:lang w:val="en-US"/>
              </w:rPr>
              <w:t>Low allelic ratio (&lt;0.5)</w:t>
            </w:r>
          </w:p>
        </w:tc>
        <w:tc>
          <w:tcPr>
            <w:tcW w:w="810" w:type="pct"/>
            <w:gridSpan w:val="2"/>
          </w:tcPr>
          <w:p w14:paraId="6D698902"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14 (58.3)</w:t>
            </w:r>
          </w:p>
        </w:tc>
        <w:tc>
          <w:tcPr>
            <w:tcW w:w="811" w:type="pct"/>
            <w:gridSpan w:val="2"/>
          </w:tcPr>
          <w:p w14:paraId="04B9FA0D"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32 (45.1)</w:t>
            </w:r>
          </w:p>
        </w:tc>
        <w:tc>
          <w:tcPr>
            <w:tcW w:w="811" w:type="pct"/>
          </w:tcPr>
          <w:p w14:paraId="6DBA6A69"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7 (22.6)</w:t>
            </w:r>
          </w:p>
        </w:tc>
        <w:tc>
          <w:tcPr>
            <w:tcW w:w="677" w:type="pct"/>
          </w:tcPr>
          <w:p w14:paraId="239125FF" w14:textId="77777777" w:rsidR="00DD142B" w:rsidRDefault="00DD142B">
            <w:pPr>
              <w:jc w:val="right"/>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r>
      <w:tr w:rsidR="00DD142B" w14:paraId="2FDABA02"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3FEE8707" w14:textId="77777777" w:rsidR="00DD142B" w:rsidRDefault="00F23CC1">
            <w:pPr>
              <w:jc w:val="left"/>
              <w:rPr>
                <w:rFonts w:cs="Times New Roman"/>
                <w:sz w:val="18"/>
                <w:szCs w:val="18"/>
                <w:lang w:val="en-US"/>
              </w:rPr>
            </w:pPr>
            <w:r>
              <w:rPr>
                <w:rFonts w:cs="Times New Roman"/>
                <w:b w:val="0"/>
                <w:sz w:val="18"/>
                <w:szCs w:val="18"/>
                <w:lang w:val="en-US"/>
              </w:rPr>
              <w:t xml:space="preserve">    Absent</w:t>
            </w:r>
          </w:p>
        </w:tc>
        <w:tc>
          <w:tcPr>
            <w:tcW w:w="810" w:type="pct"/>
            <w:gridSpan w:val="2"/>
          </w:tcPr>
          <w:p w14:paraId="3CBEFD39"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93 (79.5)</w:t>
            </w:r>
          </w:p>
        </w:tc>
        <w:tc>
          <w:tcPr>
            <w:tcW w:w="811" w:type="pct"/>
            <w:gridSpan w:val="2"/>
          </w:tcPr>
          <w:p w14:paraId="060539D8"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166 (70.3)</w:t>
            </w:r>
          </w:p>
        </w:tc>
        <w:tc>
          <w:tcPr>
            <w:tcW w:w="811" w:type="pct"/>
          </w:tcPr>
          <w:p w14:paraId="1188C78C"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89 (74.2)</w:t>
            </w:r>
          </w:p>
        </w:tc>
        <w:tc>
          <w:tcPr>
            <w:tcW w:w="677" w:type="pct"/>
          </w:tcPr>
          <w:p w14:paraId="475C028D" w14:textId="77777777" w:rsidR="00DD142B" w:rsidRDefault="00DD142B">
            <w:pPr>
              <w:jc w:val="right"/>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r>
      <w:tr w:rsidR="00DD142B" w14:paraId="1B4750F3"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751EAFF2" w14:textId="77777777" w:rsidR="00DD142B" w:rsidRDefault="00F23CC1">
            <w:pPr>
              <w:jc w:val="left"/>
              <w:rPr>
                <w:rFonts w:cs="Times New Roman"/>
                <w:sz w:val="18"/>
                <w:szCs w:val="18"/>
                <w:lang w:val="en-US"/>
              </w:rPr>
            </w:pPr>
            <w:r>
              <w:rPr>
                <w:rFonts w:cs="Times New Roman"/>
                <w:i/>
                <w:sz w:val="18"/>
                <w:szCs w:val="18"/>
                <w:lang w:val="en-US"/>
              </w:rPr>
              <w:t>NPM1</w:t>
            </w:r>
            <w:r>
              <w:rPr>
                <w:rFonts w:cs="Times New Roman"/>
                <w:b w:val="0"/>
                <w:sz w:val="18"/>
                <w:szCs w:val="18"/>
                <w:lang w:val="en-US"/>
              </w:rPr>
              <w:t>, no (%)</w:t>
            </w:r>
          </w:p>
        </w:tc>
        <w:tc>
          <w:tcPr>
            <w:tcW w:w="810" w:type="pct"/>
            <w:gridSpan w:val="2"/>
          </w:tcPr>
          <w:p w14:paraId="3550D339"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811" w:type="pct"/>
            <w:gridSpan w:val="2"/>
          </w:tcPr>
          <w:p w14:paraId="78C3F25E"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811" w:type="pct"/>
          </w:tcPr>
          <w:p w14:paraId="1035F6FD"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677" w:type="pct"/>
          </w:tcPr>
          <w:p w14:paraId="0150FEB0" w14:textId="77777777" w:rsidR="00DD142B" w:rsidRDefault="00F23CC1">
            <w:pPr>
              <w:jc w:val="right"/>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.51</w:t>
            </w:r>
            <w:r>
              <w:rPr>
                <w:rFonts w:cs="Times New Roman"/>
                <w:sz w:val="16"/>
                <w:szCs w:val="16"/>
                <w:vertAlign w:val="superscript"/>
                <w:lang w:val="en-US"/>
              </w:rPr>
              <w:t>¶</w:t>
            </w:r>
          </w:p>
        </w:tc>
      </w:tr>
      <w:tr w:rsidR="00DD142B" w14:paraId="5FC9C559"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19F937CC" w14:textId="77777777" w:rsidR="00DD142B" w:rsidRDefault="00F23CC1">
            <w:pPr>
              <w:jc w:val="left"/>
              <w:rPr>
                <w:rFonts w:cs="Times New Roman"/>
                <w:sz w:val="18"/>
                <w:szCs w:val="18"/>
                <w:lang w:val="en-US"/>
              </w:rPr>
            </w:pPr>
            <w:r>
              <w:rPr>
                <w:rFonts w:cs="Times New Roman"/>
                <w:b w:val="0"/>
                <w:sz w:val="18"/>
                <w:szCs w:val="18"/>
                <w:lang w:val="en-US"/>
              </w:rPr>
              <w:t xml:space="preserve">    Mutated</w:t>
            </w:r>
          </w:p>
        </w:tc>
        <w:tc>
          <w:tcPr>
            <w:tcW w:w="810" w:type="pct"/>
            <w:gridSpan w:val="2"/>
          </w:tcPr>
          <w:p w14:paraId="08DE50F6"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35 (29.9)</w:t>
            </w:r>
          </w:p>
        </w:tc>
        <w:tc>
          <w:tcPr>
            <w:tcW w:w="811" w:type="pct"/>
            <w:gridSpan w:val="2"/>
          </w:tcPr>
          <w:p w14:paraId="53D49FE8"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65 (27.5)</w:t>
            </w:r>
          </w:p>
        </w:tc>
        <w:tc>
          <w:tcPr>
            <w:tcW w:w="811" w:type="pct"/>
          </w:tcPr>
          <w:p w14:paraId="1F0761C2"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28 (23.3)</w:t>
            </w:r>
          </w:p>
        </w:tc>
        <w:tc>
          <w:tcPr>
            <w:tcW w:w="677" w:type="pct"/>
          </w:tcPr>
          <w:p w14:paraId="793E22CB" w14:textId="77777777" w:rsidR="00DD142B" w:rsidRDefault="00DD142B">
            <w:pPr>
              <w:jc w:val="right"/>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r>
      <w:tr w:rsidR="00DD142B" w14:paraId="50A27889"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5AA4CE0F" w14:textId="77777777" w:rsidR="00DD142B" w:rsidRDefault="00F23CC1">
            <w:pPr>
              <w:jc w:val="left"/>
              <w:rPr>
                <w:rFonts w:cs="Times New Roman"/>
                <w:sz w:val="18"/>
                <w:szCs w:val="18"/>
                <w:lang w:val="en-US"/>
              </w:rPr>
            </w:pPr>
            <w:r>
              <w:rPr>
                <w:rFonts w:cs="Times New Roman"/>
                <w:i/>
                <w:sz w:val="18"/>
                <w:szCs w:val="18"/>
                <w:lang w:val="en-US"/>
              </w:rPr>
              <w:t xml:space="preserve">   </w:t>
            </w:r>
            <w:r>
              <w:rPr>
                <w:rFonts w:cs="Times New Roman"/>
                <w:b w:val="0"/>
                <w:sz w:val="18"/>
                <w:szCs w:val="18"/>
                <w:lang w:val="en-US"/>
              </w:rPr>
              <w:t xml:space="preserve"> Wild type</w:t>
            </w:r>
          </w:p>
        </w:tc>
        <w:tc>
          <w:tcPr>
            <w:tcW w:w="810" w:type="pct"/>
            <w:gridSpan w:val="2"/>
          </w:tcPr>
          <w:p w14:paraId="7F81F069"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82 (70.1)</w:t>
            </w:r>
          </w:p>
        </w:tc>
        <w:tc>
          <w:tcPr>
            <w:tcW w:w="811" w:type="pct"/>
            <w:gridSpan w:val="2"/>
          </w:tcPr>
          <w:p w14:paraId="36F0D99E"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171 (72.5)</w:t>
            </w:r>
          </w:p>
        </w:tc>
        <w:tc>
          <w:tcPr>
            <w:tcW w:w="811" w:type="pct"/>
          </w:tcPr>
          <w:p w14:paraId="50D94469"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92 (76.7)</w:t>
            </w:r>
          </w:p>
        </w:tc>
        <w:tc>
          <w:tcPr>
            <w:tcW w:w="677" w:type="pct"/>
          </w:tcPr>
          <w:p w14:paraId="3A224AF5" w14:textId="77777777" w:rsidR="00DD142B" w:rsidRDefault="00DD142B">
            <w:pPr>
              <w:jc w:val="right"/>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r>
      <w:tr w:rsidR="00DD142B" w14:paraId="5D60CB14"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03F71051" w14:textId="77777777" w:rsidR="00DD142B" w:rsidRDefault="00F23CC1">
            <w:pPr>
              <w:jc w:val="left"/>
              <w:rPr>
                <w:rFonts w:cs="Times New Roman"/>
                <w:i/>
                <w:sz w:val="18"/>
                <w:szCs w:val="18"/>
                <w:lang w:val="en-US"/>
              </w:rPr>
            </w:pPr>
            <w:r>
              <w:rPr>
                <w:rFonts w:cs="Times New Roman"/>
                <w:i/>
                <w:sz w:val="18"/>
                <w:szCs w:val="18"/>
                <w:lang w:val="en-US"/>
              </w:rPr>
              <w:t>NPM1</w:t>
            </w:r>
            <w:r>
              <w:rPr>
                <w:rFonts w:cs="Times New Roman"/>
                <w:sz w:val="18"/>
                <w:szCs w:val="18"/>
                <w:lang w:val="en-US"/>
              </w:rPr>
              <w:t>/</w:t>
            </w:r>
            <w:r>
              <w:rPr>
                <w:rFonts w:cs="Times New Roman"/>
                <w:i/>
                <w:sz w:val="18"/>
                <w:szCs w:val="18"/>
                <w:lang w:val="en-US"/>
              </w:rPr>
              <w:t>FLT3</w:t>
            </w:r>
            <w:r>
              <w:rPr>
                <w:rFonts w:cs="Times New Roman"/>
                <w:sz w:val="18"/>
                <w:szCs w:val="18"/>
                <w:lang w:val="en-US"/>
              </w:rPr>
              <w:t>-ITD</w:t>
            </w:r>
            <w:r>
              <w:rPr>
                <w:rFonts w:cs="Times New Roman"/>
                <w:b w:val="0"/>
                <w:sz w:val="18"/>
                <w:szCs w:val="18"/>
                <w:lang w:val="en-US"/>
              </w:rPr>
              <w:t>, no (%)</w:t>
            </w:r>
          </w:p>
        </w:tc>
        <w:tc>
          <w:tcPr>
            <w:tcW w:w="810" w:type="pct"/>
            <w:gridSpan w:val="2"/>
          </w:tcPr>
          <w:p w14:paraId="3839A029" w14:textId="77777777" w:rsidR="00DD142B" w:rsidRDefault="00DD142B">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c>
          <w:tcPr>
            <w:tcW w:w="811" w:type="pct"/>
            <w:gridSpan w:val="2"/>
          </w:tcPr>
          <w:p w14:paraId="15C2093B" w14:textId="77777777" w:rsidR="00DD142B" w:rsidRDefault="00DD142B">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c>
          <w:tcPr>
            <w:tcW w:w="811" w:type="pct"/>
          </w:tcPr>
          <w:p w14:paraId="4FE8E916" w14:textId="77777777" w:rsidR="00DD142B" w:rsidRDefault="00DD142B">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c>
          <w:tcPr>
            <w:tcW w:w="677" w:type="pct"/>
          </w:tcPr>
          <w:p w14:paraId="3542C3DD" w14:textId="77777777" w:rsidR="00DD142B" w:rsidRDefault="00F23CC1">
            <w:pPr>
              <w:jc w:val="right"/>
              <w:cnfStyle w:val="000000000000" w:firstRow="0" w:lastRow="0" w:firstColumn="0" w:lastColumn="0" w:oddVBand="0" w:evenVBand="0" w:oddHBand="0" w:evenHBand="0" w:firstRowFirstColumn="0" w:firstRowLastColumn="0" w:lastRowFirstColumn="0" w:lastRowLastColumn="0"/>
              <w:rPr>
                <w:rFonts w:cs="Times New Roman"/>
                <w:sz w:val="16"/>
                <w:szCs w:val="16"/>
                <w:vertAlign w:val="superscript"/>
                <w:lang w:val="en-US"/>
              </w:rPr>
            </w:pPr>
            <w:r>
              <w:rPr>
                <w:rFonts w:cs="Times New Roman"/>
                <w:b/>
                <w:sz w:val="18"/>
                <w:szCs w:val="18"/>
                <w:lang w:val="en-US"/>
              </w:rPr>
              <w:t>.0070</w:t>
            </w:r>
            <w:r>
              <w:rPr>
                <w:rFonts w:cs="Times New Roman"/>
                <w:sz w:val="16"/>
                <w:szCs w:val="16"/>
                <w:vertAlign w:val="superscript"/>
                <w:lang w:val="en-US"/>
              </w:rPr>
              <w:t>¶</w:t>
            </w:r>
          </w:p>
        </w:tc>
      </w:tr>
      <w:tr w:rsidR="00DD142B" w14:paraId="17D0BA08"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655B9747" w14:textId="77777777" w:rsidR="00DD142B" w:rsidRDefault="00F23CC1">
            <w:pPr>
              <w:jc w:val="left"/>
              <w:rPr>
                <w:rFonts w:cs="Times New Roman"/>
                <w:i/>
                <w:sz w:val="18"/>
                <w:szCs w:val="18"/>
                <w:lang w:val="en-US"/>
              </w:rPr>
            </w:pPr>
            <w:r>
              <w:rPr>
                <w:rFonts w:cs="Times New Roman"/>
                <w:b w:val="0"/>
                <w:sz w:val="18"/>
                <w:szCs w:val="18"/>
                <w:lang w:val="en-US"/>
              </w:rPr>
              <w:t xml:space="preserve">    </w:t>
            </w:r>
            <w:r>
              <w:rPr>
                <w:rFonts w:cs="Times New Roman"/>
                <w:b w:val="0"/>
                <w:i/>
                <w:sz w:val="18"/>
                <w:szCs w:val="18"/>
                <w:lang w:val="en-US"/>
              </w:rPr>
              <w:t>NPM1</w:t>
            </w:r>
            <w:r>
              <w:rPr>
                <w:rFonts w:cs="Times New Roman"/>
                <w:b w:val="0"/>
                <w:sz w:val="18"/>
                <w:szCs w:val="18"/>
                <w:vertAlign w:val="superscript"/>
                <w:lang w:val="en-US"/>
              </w:rPr>
              <w:t>mut</w:t>
            </w:r>
            <w:r>
              <w:rPr>
                <w:rFonts w:cs="Times New Roman"/>
                <w:b w:val="0"/>
                <w:sz w:val="18"/>
                <w:szCs w:val="18"/>
                <w:lang w:val="en-US"/>
              </w:rPr>
              <w:t>/</w:t>
            </w:r>
            <w:r>
              <w:rPr>
                <w:rFonts w:cs="Times New Roman"/>
                <w:b w:val="0"/>
                <w:i/>
                <w:sz w:val="18"/>
                <w:szCs w:val="18"/>
                <w:lang w:val="en-US"/>
              </w:rPr>
              <w:t>FLT3</w:t>
            </w:r>
            <w:r>
              <w:rPr>
                <w:rFonts w:cs="Times New Roman"/>
                <w:b w:val="0"/>
                <w:sz w:val="18"/>
                <w:szCs w:val="18"/>
                <w:lang w:val="en-US"/>
              </w:rPr>
              <w:t>-ITD</w:t>
            </w:r>
            <w:r>
              <w:rPr>
                <w:rFonts w:cs="Times New Roman"/>
                <w:b w:val="0"/>
                <w:sz w:val="18"/>
                <w:szCs w:val="18"/>
                <w:vertAlign w:val="superscript"/>
                <w:lang w:val="en-US"/>
              </w:rPr>
              <w:t>neg/low</w:t>
            </w:r>
          </w:p>
        </w:tc>
        <w:tc>
          <w:tcPr>
            <w:tcW w:w="810" w:type="pct"/>
            <w:gridSpan w:val="2"/>
          </w:tcPr>
          <w:p w14:paraId="05C776E8"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28 (23.9)</w:t>
            </w:r>
          </w:p>
        </w:tc>
        <w:tc>
          <w:tcPr>
            <w:tcW w:w="811" w:type="pct"/>
            <w:gridSpan w:val="2"/>
          </w:tcPr>
          <w:p w14:paraId="50295C46"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40 (17.0)</w:t>
            </w:r>
          </w:p>
        </w:tc>
        <w:tc>
          <w:tcPr>
            <w:tcW w:w="811" w:type="pct"/>
          </w:tcPr>
          <w:p w14:paraId="5DC5D9E5"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9 (7.5)</w:t>
            </w:r>
          </w:p>
        </w:tc>
        <w:tc>
          <w:tcPr>
            <w:tcW w:w="677" w:type="pct"/>
          </w:tcPr>
          <w:p w14:paraId="0A4518AF" w14:textId="77777777" w:rsidR="00DD142B" w:rsidRDefault="00DD142B">
            <w:pPr>
              <w:jc w:val="right"/>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r>
      <w:tr w:rsidR="00DD142B" w14:paraId="3FC0E1C3"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3D7D912F" w14:textId="77777777" w:rsidR="00DD142B" w:rsidRDefault="00F23CC1">
            <w:pPr>
              <w:jc w:val="left"/>
              <w:rPr>
                <w:rFonts w:cs="Times New Roman"/>
                <w:i/>
                <w:sz w:val="18"/>
                <w:szCs w:val="18"/>
                <w:lang w:val="en-US"/>
              </w:rPr>
            </w:pPr>
            <w:r>
              <w:rPr>
                <w:rFonts w:cs="Times New Roman"/>
                <w:b w:val="0"/>
                <w:i/>
                <w:sz w:val="18"/>
                <w:szCs w:val="18"/>
                <w:lang w:val="en-US"/>
              </w:rPr>
              <w:t xml:space="preserve">   </w:t>
            </w:r>
            <w:r>
              <w:rPr>
                <w:rFonts w:cs="Times New Roman"/>
                <w:b w:val="0"/>
                <w:sz w:val="18"/>
                <w:szCs w:val="18"/>
                <w:lang w:val="en-US"/>
              </w:rPr>
              <w:t xml:space="preserve"> </w:t>
            </w:r>
            <w:r>
              <w:rPr>
                <w:rFonts w:cs="Times New Roman"/>
                <w:b w:val="0"/>
                <w:i/>
                <w:sz w:val="18"/>
                <w:szCs w:val="18"/>
                <w:lang w:val="en-US"/>
              </w:rPr>
              <w:t>NPM1</w:t>
            </w:r>
            <w:r>
              <w:rPr>
                <w:rFonts w:cs="Times New Roman"/>
                <w:b w:val="0"/>
                <w:sz w:val="18"/>
                <w:szCs w:val="18"/>
                <w:vertAlign w:val="superscript"/>
                <w:lang w:val="en-US"/>
              </w:rPr>
              <w:t>mut</w:t>
            </w:r>
            <w:r>
              <w:rPr>
                <w:rFonts w:cs="Times New Roman"/>
                <w:b w:val="0"/>
                <w:sz w:val="18"/>
                <w:szCs w:val="18"/>
                <w:lang w:val="en-US"/>
              </w:rPr>
              <w:t>/</w:t>
            </w:r>
            <w:r>
              <w:rPr>
                <w:rFonts w:cs="Times New Roman"/>
                <w:b w:val="0"/>
                <w:i/>
                <w:sz w:val="18"/>
                <w:szCs w:val="18"/>
                <w:lang w:val="en-US"/>
              </w:rPr>
              <w:t>FLT3</w:t>
            </w:r>
            <w:r>
              <w:rPr>
                <w:rFonts w:cs="Times New Roman"/>
                <w:b w:val="0"/>
                <w:sz w:val="18"/>
                <w:szCs w:val="18"/>
                <w:lang w:val="en-US"/>
              </w:rPr>
              <w:t>-ITD</w:t>
            </w:r>
            <w:r>
              <w:rPr>
                <w:rFonts w:cs="Times New Roman"/>
                <w:b w:val="0"/>
                <w:sz w:val="18"/>
                <w:szCs w:val="18"/>
                <w:vertAlign w:val="superscript"/>
                <w:lang w:val="en-US"/>
              </w:rPr>
              <w:t>high</w:t>
            </w:r>
          </w:p>
        </w:tc>
        <w:tc>
          <w:tcPr>
            <w:tcW w:w="810" w:type="pct"/>
            <w:gridSpan w:val="2"/>
          </w:tcPr>
          <w:p w14:paraId="15378E78"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7 (6.0)</w:t>
            </w:r>
          </w:p>
        </w:tc>
        <w:tc>
          <w:tcPr>
            <w:tcW w:w="811" w:type="pct"/>
            <w:gridSpan w:val="2"/>
          </w:tcPr>
          <w:p w14:paraId="0F6155A2"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25 (10.6)</w:t>
            </w:r>
          </w:p>
        </w:tc>
        <w:tc>
          <w:tcPr>
            <w:tcW w:w="811" w:type="pct"/>
          </w:tcPr>
          <w:p w14:paraId="241ED8A2"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19 (15.8)</w:t>
            </w:r>
          </w:p>
        </w:tc>
        <w:tc>
          <w:tcPr>
            <w:tcW w:w="677" w:type="pct"/>
          </w:tcPr>
          <w:p w14:paraId="4E697BD8" w14:textId="77777777" w:rsidR="00DD142B" w:rsidRDefault="00DD142B">
            <w:pPr>
              <w:jc w:val="right"/>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r>
      <w:tr w:rsidR="00DD142B" w14:paraId="2DA54388"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65A1DCF0" w14:textId="77777777" w:rsidR="00DD142B" w:rsidRDefault="00F23CC1">
            <w:pPr>
              <w:jc w:val="left"/>
              <w:rPr>
                <w:rFonts w:cs="Times New Roman"/>
                <w:i/>
                <w:sz w:val="18"/>
                <w:szCs w:val="18"/>
                <w:lang w:val="en-US"/>
              </w:rPr>
            </w:pPr>
            <w:r>
              <w:rPr>
                <w:rFonts w:cs="Times New Roman"/>
                <w:b w:val="0"/>
                <w:i/>
                <w:sz w:val="18"/>
                <w:szCs w:val="18"/>
                <w:lang w:val="en-US"/>
              </w:rPr>
              <w:t xml:space="preserve">    NPM1</w:t>
            </w:r>
            <w:r>
              <w:rPr>
                <w:rFonts w:cs="Times New Roman"/>
                <w:b w:val="0"/>
                <w:sz w:val="18"/>
                <w:szCs w:val="18"/>
                <w:vertAlign w:val="superscript"/>
                <w:lang w:val="en-US"/>
              </w:rPr>
              <w:t>wt</w:t>
            </w:r>
            <w:r>
              <w:rPr>
                <w:rFonts w:cs="Times New Roman"/>
                <w:b w:val="0"/>
                <w:sz w:val="18"/>
                <w:szCs w:val="18"/>
                <w:lang w:val="en-US"/>
              </w:rPr>
              <w:t>/</w:t>
            </w:r>
            <w:r>
              <w:rPr>
                <w:rFonts w:cs="Times New Roman"/>
                <w:b w:val="0"/>
                <w:i/>
                <w:sz w:val="18"/>
                <w:szCs w:val="18"/>
                <w:lang w:val="en-US"/>
              </w:rPr>
              <w:t>FLT3</w:t>
            </w:r>
            <w:r>
              <w:rPr>
                <w:rFonts w:cs="Times New Roman"/>
                <w:b w:val="0"/>
                <w:sz w:val="18"/>
                <w:szCs w:val="18"/>
                <w:lang w:val="en-US"/>
              </w:rPr>
              <w:t>-ITD</w:t>
            </w:r>
            <w:r>
              <w:rPr>
                <w:rFonts w:cs="Times New Roman"/>
                <w:b w:val="0"/>
                <w:sz w:val="18"/>
                <w:szCs w:val="18"/>
                <w:vertAlign w:val="superscript"/>
                <w:lang w:val="en-US"/>
              </w:rPr>
              <w:t>neg/low</w:t>
            </w:r>
          </w:p>
        </w:tc>
        <w:tc>
          <w:tcPr>
            <w:tcW w:w="810" w:type="pct"/>
            <w:gridSpan w:val="2"/>
          </w:tcPr>
          <w:p w14:paraId="0DA5E0FF"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79 (67.5)</w:t>
            </w:r>
          </w:p>
        </w:tc>
        <w:tc>
          <w:tcPr>
            <w:tcW w:w="811" w:type="pct"/>
            <w:gridSpan w:val="2"/>
          </w:tcPr>
          <w:p w14:paraId="2FB54924"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157 (66.5)</w:t>
            </w:r>
          </w:p>
        </w:tc>
        <w:tc>
          <w:tcPr>
            <w:tcW w:w="811" w:type="pct"/>
          </w:tcPr>
          <w:p w14:paraId="58C3ADE3"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87 (72.5)</w:t>
            </w:r>
          </w:p>
        </w:tc>
        <w:tc>
          <w:tcPr>
            <w:tcW w:w="677" w:type="pct"/>
          </w:tcPr>
          <w:p w14:paraId="65F2C610" w14:textId="77777777" w:rsidR="00DD142B" w:rsidRDefault="00DD142B">
            <w:pPr>
              <w:jc w:val="right"/>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r>
      <w:tr w:rsidR="00DD142B" w14:paraId="057D3A88"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381C8B94" w14:textId="77777777" w:rsidR="00DD142B" w:rsidRDefault="00F23CC1">
            <w:pPr>
              <w:jc w:val="left"/>
              <w:rPr>
                <w:rFonts w:cs="Times New Roman"/>
                <w:i/>
                <w:sz w:val="18"/>
                <w:szCs w:val="18"/>
                <w:lang w:val="en-US"/>
              </w:rPr>
            </w:pPr>
            <w:r>
              <w:rPr>
                <w:rFonts w:cs="Times New Roman"/>
                <w:b w:val="0"/>
                <w:i/>
                <w:sz w:val="18"/>
                <w:szCs w:val="18"/>
                <w:lang w:val="en-US"/>
              </w:rPr>
              <w:t xml:space="preserve">    NPM1</w:t>
            </w:r>
            <w:r>
              <w:rPr>
                <w:rFonts w:cs="Times New Roman"/>
                <w:b w:val="0"/>
                <w:sz w:val="18"/>
                <w:szCs w:val="18"/>
                <w:vertAlign w:val="superscript"/>
                <w:lang w:val="en-US"/>
              </w:rPr>
              <w:t>wt</w:t>
            </w:r>
            <w:r>
              <w:rPr>
                <w:rFonts w:cs="Times New Roman"/>
                <w:b w:val="0"/>
                <w:sz w:val="18"/>
                <w:szCs w:val="18"/>
                <w:lang w:val="en-US"/>
              </w:rPr>
              <w:t>/</w:t>
            </w:r>
            <w:r>
              <w:rPr>
                <w:rFonts w:cs="Times New Roman"/>
                <w:b w:val="0"/>
                <w:i/>
                <w:sz w:val="18"/>
                <w:szCs w:val="18"/>
                <w:lang w:val="en-US"/>
              </w:rPr>
              <w:t>FLT3</w:t>
            </w:r>
            <w:r>
              <w:rPr>
                <w:rFonts w:cs="Times New Roman"/>
                <w:b w:val="0"/>
                <w:sz w:val="18"/>
                <w:szCs w:val="18"/>
                <w:lang w:val="en-US"/>
              </w:rPr>
              <w:t>-ITD</w:t>
            </w:r>
            <w:r>
              <w:rPr>
                <w:rFonts w:cs="Times New Roman"/>
                <w:b w:val="0"/>
                <w:sz w:val="18"/>
                <w:szCs w:val="18"/>
                <w:vertAlign w:val="superscript"/>
                <w:lang w:val="en-US"/>
              </w:rPr>
              <w:t>high</w:t>
            </w:r>
          </w:p>
        </w:tc>
        <w:tc>
          <w:tcPr>
            <w:tcW w:w="810" w:type="pct"/>
            <w:gridSpan w:val="2"/>
          </w:tcPr>
          <w:p w14:paraId="3A237812"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3 (2.6)</w:t>
            </w:r>
          </w:p>
        </w:tc>
        <w:tc>
          <w:tcPr>
            <w:tcW w:w="811" w:type="pct"/>
            <w:gridSpan w:val="2"/>
          </w:tcPr>
          <w:p w14:paraId="7DC21311"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14 (5.9)</w:t>
            </w:r>
          </w:p>
        </w:tc>
        <w:tc>
          <w:tcPr>
            <w:tcW w:w="811" w:type="pct"/>
          </w:tcPr>
          <w:p w14:paraId="19626CC9"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5 (4.2)</w:t>
            </w:r>
          </w:p>
        </w:tc>
        <w:tc>
          <w:tcPr>
            <w:tcW w:w="677" w:type="pct"/>
          </w:tcPr>
          <w:p w14:paraId="6FF42D5D" w14:textId="77777777" w:rsidR="00DD142B" w:rsidRDefault="00DD142B">
            <w:pPr>
              <w:jc w:val="right"/>
              <w:cnfStyle w:val="000000000000" w:firstRow="0" w:lastRow="0" w:firstColumn="0" w:lastColumn="0" w:oddVBand="0" w:evenVBand="0" w:oddHBand="0" w:evenHBand="0" w:firstRowFirstColumn="0" w:firstRowLastColumn="0" w:lastRowFirstColumn="0" w:lastRowLastColumn="0"/>
              <w:rPr>
                <w:rFonts w:cs="Times New Roman"/>
                <w:b/>
                <w:sz w:val="18"/>
                <w:szCs w:val="18"/>
                <w:lang w:val="en-US"/>
              </w:rPr>
            </w:pPr>
          </w:p>
        </w:tc>
      </w:tr>
      <w:tr w:rsidR="00DD142B" w14:paraId="4DF560F4"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303B1CB1" w14:textId="77777777" w:rsidR="00DD142B" w:rsidRDefault="00F23CC1">
            <w:pPr>
              <w:jc w:val="left"/>
              <w:rPr>
                <w:rFonts w:cs="Times New Roman"/>
                <w:i/>
                <w:sz w:val="18"/>
                <w:szCs w:val="18"/>
                <w:lang w:val="en-US"/>
              </w:rPr>
            </w:pPr>
            <w:r>
              <w:rPr>
                <w:rFonts w:cs="Times New Roman"/>
                <w:i/>
                <w:sz w:val="18"/>
                <w:szCs w:val="18"/>
                <w:lang w:val="en-US"/>
              </w:rPr>
              <w:t>CEBPA</w:t>
            </w:r>
            <w:r>
              <w:rPr>
                <w:rFonts w:cs="Times New Roman"/>
                <w:b w:val="0"/>
                <w:sz w:val="18"/>
                <w:szCs w:val="18"/>
                <w:lang w:val="en-US"/>
              </w:rPr>
              <w:t>, no (%)</w:t>
            </w:r>
          </w:p>
        </w:tc>
        <w:tc>
          <w:tcPr>
            <w:tcW w:w="810" w:type="pct"/>
            <w:gridSpan w:val="2"/>
          </w:tcPr>
          <w:p w14:paraId="66C88F5C"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811" w:type="pct"/>
            <w:gridSpan w:val="2"/>
          </w:tcPr>
          <w:p w14:paraId="3730AD31"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811" w:type="pct"/>
          </w:tcPr>
          <w:p w14:paraId="6170F270"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677" w:type="pct"/>
          </w:tcPr>
          <w:p w14:paraId="45119106" w14:textId="77777777" w:rsidR="00DD142B" w:rsidRDefault="00F23CC1">
            <w:pPr>
              <w:jc w:val="right"/>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b/>
                <w:sz w:val="18"/>
                <w:szCs w:val="18"/>
                <w:lang w:val="en-US"/>
              </w:rPr>
              <w:t>.0029</w:t>
            </w:r>
            <w:r>
              <w:rPr>
                <w:rFonts w:cs="Times New Roman"/>
                <w:sz w:val="16"/>
                <w:szCs w:val="16"/>
                <w:vertAlign w:val="superscript"/>
                <w:lang w:val="en-US"/>
              </w:rPr>
              <w:t>‡</w:t>
            </w:r>
          </w:p>
        </w:tc>
      </w:tr>
      <w:tr w:rsidR="00DD142B" w14:paraId="68EAE4F0"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59955F4F" w14:textId="77777777" w:rsidR="00DD142B" w:rsidRDefault="00F23CC1">
            <w:pPr>
              <w:jc w:val="left"/>
              <w:rPr>
                <w:rFonts w:cs="Times New Roman"/>
                <w:i/>
                <w:sz w:val="18"/>
                <w:szCs w:val="18"/>
                <w:lang w:val="en-US"/>
              </w:rPr>
            </w:pPr>
            <w:r>
              <w:rPr>
                <w:rFonts w:cs="Times New Roman"/>
                <w:b w:val="0"/>
                <w:sz w:val="18"/>
                <w:szCs w:val="18"/>
                <w:lang w:val="en-US"/>
              </w:rPr>
              <w:t xml:space="preserve">    Double mutated</w:t>
            </w:r>
          </w:p>
        </w:tc>
        <w:tc>
          <w:tcPr>
            <w:tcW w:w="810" w:type="pct"/>
            <w:gridSpan w:val="2"/>
          </w:tcPr>
          <w:p w14:paraId="52763E67"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10 (9.9)</w:t>
            </w:r>
          </w:p>
        </w:tc>
        <w:tc>
          <w:tcPr>
            <w:tcW w:w="811" w:type="pct"/>
            <w:gridSpan w:val="2"/>
          </w:tcPr>
          <w:p w14:paraId="1D44D40E"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3 (1.5)</w:t>
            </w:r>
          </w:p>
        </w:tc>
        <w:tc>
          <w:tcPr>
            <w:tcW w:w="811" w:type="pct"/>
          </w:tcPr>
          <w:p w14:paraId="7487E05E"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4 (4.0)</w:t>
            </w:r>
          </w:p>
        </w:tc>
        <w:tc>
          <w:tcPr>
            <w:tcW w:w="677" w:type="pct"/>
          </w:tcPr>
          <w:p w14:paraId="1BB77AB3" w14:textId="77777777" w:rsidR="00DD142B" w:rsidRDefault="00DD142B">
            <w:pPr>
              <w:jc w:val="right"/>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r>
      <w:tr w:rsidR="00DD142B" w14:paraId="5127766E"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165DC912" w14:textId="77777777" w:rsidR="00DD142B" w:rsidRDefault="00F23CC1">
            <w:pPr>
              <w:jc w:val="left"/>
              <w:rPr>
                <w:rFonts w:cs="Times New Roman"/>
                <w:i/>
                <w:sz w:val="18"/>
                <w:szCs w:val="18"/>
                <w:lang w:val="en-US"/>
              </w:rPr>
            </w:pPr>
            <w:r>
              <w:rPr>
                <w:rFonts w:cs="Times New Roman"/>
                <w:b w:val="0"/>
                <w:sz w:val="18"/>
                <w:szCs w:val="18"/>
                <w:lang w:val="en-US"/>
              </w:rPr>
              <w:t xml:space="preserve">    Wild type or single mutated</w:t>
            </w:r>
          </w:p>
        </w:tc>
        <w:tc>
          <w:tcPr>
            <w:tcW w:w="810" w:type="pct"/>
            <w:gridSpan w:val="2"/>
          </w:tcPr>
          <w:p w14:paraId="26F77103"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91 (90.1)</w:t>
            </w:r>
          </w:p>
        </w:tc>
        <w:tc>
          <w:tcPr>
            <w:tcW w:w="811" w:type="pct"/>
            <w:gridSpan w:val="2"/>
          </w:tcPr>
          <w:p w14:paraId="7DB73FC7"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201 (98.5)</w:t>
            </w:r>
          </w:p>
        </w:tc>
        <w:tc>
          <w:tcPr>
            <w:tcW w:w="811" w:type="pct"/>
          </w:tcPr>
          <w:p w14:paraId="7A169E44"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95 (96.0)</w:t>
            </w:r>
          </w:p>
        </w:tc>
        <w:tc>
          <w:tcPr>
            <w:tcW w:w="677" w:type="pct"/>
          </w:tcPr>
          <w:p w14:paraId="50C282F9" w14:textId="77777777" w:rsidR="00DD142B" w:rsidRDefault="00DD142B">
            <w:pPr>
              <w:jc w:val="right"/>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r>
      <w:tr w:rsidR="00DD142B" w14:paraId="228F8940"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71F729FB" w14:textId="77777777" w:rsidR="00DD142B" w:rsidRDefault="00F23CC1">
            <w:pPr>
              <w:jc w:val="left"/>
              <w:rPr>
                <w:rFonts w:cs="Times New Roman"/>
                <w:i/>
                <w:sz w:val="18"/>
                <w:szCs w:val="18"/>
                <w:lang w:val="en-US"/>
              </w:rPr>
            </w:pPr>
            <w:r>
              <w:rPr>
                <w:rFonts w:cs="Times New Roman"/>
                <w:i/>
                <w:sz w:val="18"/>
                <w:szCs w:val="18"/>
                <w:lang w:val="en-US"/>
              </w:rPr>
              <w:t>RUNX1</w:t>
            </w:r>
            <w:r>
              <w:rPr>
                <w:rFonts w:cs="Times New Roman"/>
                <w:b w:val="0"/>
                <w:sz w:val="18"/>
                <w:szCs w:val="18"/>
                <w:lang w:val="en-US"/>
              </w:rPr>
              <w:t>, no (%)</w:t>
            </w:r>
          </w:p>
        </w:tc>
        <w:tc>
          <w:tcPr>
            <w:tcW w:w="810" w:type="pct"/>
            <w:gridSpan w:val="2"/>
          </w:tcPr>
          <w:p w14:paraId="32128216" w14:textId="77777777" w:rsidR="00DD142B" w:rsidRDefault="00DD142B">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c>
          <w:tcPr>
            <w:tcW w:w="811" w:type="pct"/>
            <w:gridSpan w:val="2"/>
          </w:tcPr>
          <w:p w14:paraId="0B15623C" w14:textId="77777777" w:rsidR="00DD142B" w:rsidRDefault="00DD142B">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c>
          <w:tcPr>
            <w:tcW w:w="811" w:type="pct"/>
          </w:tcPr>
          <w:p w14:paraId="4E663BE9" w14:textId="77777777" w:rsidR="00DD142B" w:rsidRDefault="00DD142B">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c>
          <w:tcPr>
            <w:tcW w:w="677" w:type="pct"/>
          </w:tcPr>
          <w:p w14:paraId="4315489D" w14:textId="77777777" w:rsidR="00DD142B" w:rsidRDefault="00F23CC1">
            <w:pPr>
              <w:jc w:val="right"/>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b/>
                <w:sz w:val="18"/>
                <w:szCs w:val="18"/>
                <w:lang w:val="en-US"/>
              </w:rPr>
              <w:t>&lt;.0001</w:t>
            </w:r>
            <w:r>
              <w:rPr>
                <w:rFonts w:cs="Times New Roman"/>
                <w:sz w:val="16"/>
                <w:szCs w:val="16"/>
                <w:vertAlign w:val="superscript"/>
                <w:lang w:val="en-US"/>
              </w:rPr>
              <w:t>¶</w:t>
            </w:r>
          </w:p>
        </w:tc>
      </w:tr>
      <w:tr w:rsidR="00DD142B" w14:paraId="356DC74D"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77912A66" w14:textId="77777777" w:rsidR="00DD142B" w:rsidRDefault="00F23CC1">
            <w:pPr>
              <w:jc w:val="left"/>
              <w:rPr>
                <w:rFonts w:cs="Times New Roman"/>
                <w:i/>
                <w:sz w:val="18"/>
                <w:szCs w:val="18"/>
                <w:lang w:val="en-US"/>
              </w:rPr>
            </w:pPr>
            <w:r>
              <w:rPr>
                <w:rFonts w:cs="Times New Roman"/>
                <w:b w:val="0"/>
                <w:sz w:val="18"/>
                <w:szCs w:val="18"/>
                <w:lang w:val="en-US"/>
              </w:rPr>
              <w:t xml:space="preserve">    Mutated</w:t>
            </w:r>
          </w:p>
        </w:tc>
        <w:tc>
          <w:tcPr>
            <w:tcW w:w="810" w:type="pct"/>
            <w:gridSpan w:val="2"/>
          </w:tcPr>
          <w:p w14:paraId="17147634"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12 (10.3)</w:t>
            </w:r>
          </w:p>
        </w:tc>
        <w:tc>
          <w:tcPr>
            <w:tcW w:w="811" w:type="pct"/>
            <w:gridSpan w:val="2"/>
          </w:tcPr>
          <w:p w14:paraId="07077925"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27 (11.4)</w:t>
            </w:r>
          </w:p>
        </w:tc>
        <w:tc>
          <w:tcPr>
            <w:tcW w:w="811" w:type="pct"/>
          </w:tcPr>
          <w:p w14:paraId="44BF2229"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33 (27.5)</w:t>
            </w:r>
          </w:p>
        </w:tc>
        <w:tc>
          <w:tcPr>
            <w:tcW w:w="677" w:type="pct"/>
          </w:tcPr>
          <w:p w14:paraId="738E4EB1" w14:textId="77777777" w:rsidR="00DD142B" w:rsidRDefault="00DD142B">
            <w:pPr>
              <w:jc w:val="right"/>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r>
      <w:tr w:rsidR="00DD142B" w14:paraId="71CAF521"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4F839722" w14:textId="77777777" w:rsidR="00DD142B" w:rsidRDefault="00F23CC1">
            <w:pPr>
              <w:jc w:val="left"/>
              <w:rPr>
                <w:rFonts w:cs="Times New Roman"/>
                <w:i/>
                <w:sz w:val="18"/>
                <w:szCs w:val="18"/>
                <w:lang w:val="en-US"/>
              </w:rPr>
            </w:pPr>
            <w:r>
              <w:rPr>
                <w:rFonts w:cs="Times New Roman"/>
                <w:i/>
                <w:sz w:val="18"/>
                <w:szCs w:val="18"/>
                <w:lang w:val="en-US"/>
              </w:rPr>
              <w:t xml:space="preserve">   </w:t>
            </w:r>
            <w:r>
              <w:rPr>
                <w:rFonts w:cs="Times New Roman"/>
                <w:b w:val="0"/>
                <w:sz w:val="18"/>
                <w:szCs w:val="18"/>
                <w:lang w:val="en-US"/>
              </w:rPr>
              <w:t xml:space="preserve"> Wild type</w:t>
            </w:r>
          </w:p>
        </w:tc>
        <w:tc>
          <w:tcPr>
            <w:tcW w:w="810" w:type="pct"/>
            <w:gridSpan w:val="2"/>
          </w:tcPr>
          <w:p w14:paraId="0649DC1B"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105 (89.7)</w:t>
            </w:r>
          </w:p>
        </w:tc>
        <w:tc>
          <w:tcPr>
            <w:tcW w:w="811" w:type="pct"/>
            <w:gridSpan w:val="2"/>
          </w:tcPr>
          <w:p w14:paraId="5A8DA8BC"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209 (88.6)</w:t>
            </w:r>
          </w:p>
        </w:tc>
        <w:tc>
          <w:tcPr>
            <w:tcW w:w="811" w:type="pct"/>
          </w:tcPr>
          <w:p w14:paraId="078F2598"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87 (72.5)</w:t>
            </w:r>
          </w:p>
        </w:tc>
        <w:tc>
          <w:tcPr>
            <w:tcW w:w="677" w:type="pct"/>
          </w:tcPr>
          <w:p w14:paraId="19A1DDE9" w14:textId="77777777" w:rsidR="00DD142B" w:rsidRDefault="00DD142B">
            <w:pPr>
              <w:jc w:val="right"/>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r>
      <w:tr w:rsidR="00DD142B" w14:paraId="5A53DE65"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122AE9C1" w14:textId="77777777" w:rsidR="00DD142B" w:rsidRDefault="00F23CC1">
            <w:pPr>
              <w:jc w:val="left"/>
              <w:rPr>
                <w:rFonts w:cs="Times New Roman"/>
                <w:i/>
                <w:sz w:val="18"/>
                <w:szCs w:val="18"/>
                <w:lang w:val="en-US"/>
              </w:rPr>
            </w:pPr>
            <w:r>
              <w:rPr>
                <w:rFonts w:cs="Times New Roman"/>
                <w:i/>
                <w:sz w:val="18"/>
                <w:szCs w:val="18"/>
                <w:lang w:val="en-US"/>
              </w:rPr>
              <w:t>ASXL1</w:t>
            </w:r>
            <w:r>
              <w:rPr>
                <w:rFonts w:cs="Times New Roman"/>
                <w:b w:val="0"/>
                <w:sz w:val="18"/>
                <w:szCs w:val="18"/>
                <w:lang w:val="en-US"/>
              </w:rPr>
              <w:t>, no (%)</w:t>
            </w:r>
          </w:p>
        </w:tc>
        <w:tc>
          <w:tcPr>
            <w:tcW w:w="810" w:type="pct"/>
            <w:gridSpan w:val="2"/>
          </w:tcPr>
          <w:p w14:paraId="135640D8"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811" w:type="pct"/>
            <w:gridSpan w:val="2"/>
          </w:tcPr>
          <w:p w14:paraId="6F026CFE"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811" w:type="pct"/>
          </w:tcPr>
          <w:p w14:paraId="4B1C33E6"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677" w:type="pct"/>
          </w:tcPr>
          <w:p w14:paraId="13FFE07D" w14:textId="77777777" w:rsidR="00DD142B" w:rsidRDefault="00F23CC1">
            <w:pPr>
              <w:jc w:val="right"/>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.57</w:t>
            </w:r>
            <w:r>
              <w:rPr>
                <w:rFonts w:cs="Times New Roman"/>
                <w:sz w:val="16"/>
                <w:szCs w:val="16"/>
                <w:vertAlign w:val="superscript"/>
                <w:lang w:val="en-US"/>
              </w:rPr>
              <w:t>¶</w:t>
            </w:r>
          </w:p>
        </w:tc>
      </w:tr>
      <w:tr w:rsidR="00DD142B" w14:paraId="7BD10C62"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5E87B15D" w14:textId="77777777" w:rsidR="00DD142B" w:rsidRDefault="00F23CC1">
            <w:pPr>
              <w:jc w:val="left"/>
              <w:rPr>
                <w:rFonts w:cs="Times New Roman"/>
                <w:i/>
                <w:sz w:val="18"/>
                <w:szCs w:val="18"/>
                <w:lang w:val="en-US"/>
              </w:rPr>
            </w:pPr>
            <w:r>
              <w:rPr>
                <w:rFonts w:cs="Times New Roman"/>
                <w:b w:val="0"/>
                <w:sz w:val="18"/>
                <w:szCs w:val="18"/>
                <w:lang w:val="en-US"/>
              </w:rPr>
              <w:t xml:space="preserve">    Mutated</w:t>
            </w:r>
          </w:p>
        </w:tc>
        <w:tc>
          <w:tcPr>
            <w:tcW w:w="810" w:type="pct"/>
            <w:gridSpan w:val="2"/>
          </w:tcPr>
          <w:p w14:paraId="16AC3379"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10 (8.6)</w:t>
            </w:r>
          </w:p>
        </w:tc>
        <w:tc>
          <w:tcPr>
            <w:tcW w:w="811" w:type="pct"/>
            <w:gridSpan w:val="2"/>
          </w:tcPr>
          <w:p w14:paraId="673F7801"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29 (12.3)</w:t>
            </w:r>
          </w:p>
        </w:tc>
        <w:tc>
          <w:tcPr>
            <w:tcW w:w="811" w:type="pct"/>
          </w:tcPr>
          <w:p w14:paraId="08EBB068"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14 (11.7)</w:t>
            </w:r>
          </w:p>
        </w:tc>
        <w:tc>
          <w:tcPr>
            <w:tcW w:w="677" w:type="pct"/>
          </w:tcPr>
          <w:p w14:paraId="54DB4ACA" w14:textId="77777777" w:rsidR="00DD142B" w:rsidRDefault="00DD142B">
            <w:pPr>
              <w:jc w:val="right"/>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r>
      <w:tr w:rsidR="00DD142B" w14:paraId="4C8C2532"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1DD5061D" w14:textId="77777777" w:rsidR="00DD142B" w:rsidRDefault="00F23CC1">
            <w:pPr>
              <w:jc w:val="left"/>
              <w:rPr>
                <w:rFonts w:cs="Times New Roman"/>
                <w:i/>
                <w:sz w:val="18"/>
                <w:szCs w:val="18"/>
                <w:lang w:val="en-US"/>
              </w:rPr>
            </w:pPr>
            <w:r>
              <w:rPr>
                <w:rFonts w:cs="Times New Roman"/>
                <w:i/>
                <w:sz w:val="18"/>
                <w:szCs w:val="18"/>
                <w:lang w:val="en-US"/>
              </w:rPr>
              <w:t xml:space="preserve">   </w:t>
            </w:r>
            <w:r>
              <w:rPr>
                <w:rFonts w:cs="Times New Roman"/>
                <w:b w:val="0"/>
                <w:sz w:val="18"/>
                <w:szCs w:val="18"/>
                <w:lang w:val="en-US"/>
              </w:rPr>
              <w:t xml:space="preserve"> Wild type</w:t>
            </w:r>
          </w:p>
        </w:tc>
        <w:tc>
          <w:tcPr>
            <w:tcW w:w="810" w:type="pct"/>
            <w:gridSpan w:val="2"/>
          </w:tcPr>
          <w:p w14:paraId="1058396A"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107 (91.4)</w:t>
            </w:r>
          </w:p>
        </w:tc>
        <w:tc>
          <w:tcPr>
            <w:tcW w:w="811" w:type="pct"/>
            <w:gridSpan w:val="2"/>
          </w:tcPr>
          <w:p w14:paraId="239F57CC"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207 (87.7)</w:t>
            </w:r>
          </w:p>
        </w:tc>
        <w:tc>
          <w:tcPr>
            <w:tcW w:w="811" w:type="pct"/>
          </w:tcPr>
          <w:p w14:paraId="32F8011B"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106 (88.3)</w:t>
            </w:r>
          </w:p>
        </w:tc>
        <w:tc>
          <w:tcPr>
            <w:tcW w:w="677" w:type="pct"/>
          </w:tcPr>
          <w:p w14:paraId="6F4F3409" w14:textId="77777777" w:rsidR="00DD142B" w:rsidRDefault="00DD142B">
            <w:pPr>
              <w:jc w:val="right"/>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r>
      <w:tr w:rsidR="00DD142B" w14:paraId="757769FF"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377BC69B" w14:textId="77777777" w:rsidR="00DD142B" w:rsidRDefault="00F23CC1">
            <w:pPr>
              <w:jc w:val="left"/>
              <w:rPr>
                <w:rFonts w:cs="Times New Roman"/>
                <w:i/>
                <w:sz w:val="18"/>
                <w:szCs w:val="18"/>
                <w:lang w:val="en-US"/>
              </w:rPr>
            </w:pPr>
            <w:r>
              <w:rPr>
                <w:rFonts w:cs="Times New Roman"/>
                <w:i/>
                <w:sz w:val="18"/>
                <w:szCs w:val="18"/>
                <w:lang w:val="en-US"/>
              </w:rPr>
              <w:t>TP53</w:t>
            </w:r>
            <w:r>
              <w:rPr>
                <w:rFonts w:cs="Times New Roman"/>
                <w:b w:val="0"/>
                <w:sz w:val="18"/>
                <w:szCs w:val="18"/>
                <w:lang w:val="en-US"/>
              </w:rPr>
              <w:t>, no (%)</w:t>
            </w:r>
          </w:p>
        </w:tc>
        <w:tc>
          <w:tcPr>
            <w:tcW w:w="810" w:type="pct"/>
            <w:gridSpan w:val="2"/>
          </w:tcPr>
          <w:p w14:paraId="227F012D" w14:textId="77777777" w:rsidR="00DD142B" w:rsidRDefault="00DD142B">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c>
          <w:tcPr>
            <w:tcW w:w="811" w:type="pct"/>
            <w:gridSpan w:val="2"/>
          </w:tcPr>
          <w:p w14:paraId="7D5CDF28" w14:textId="77777777" w:rsidR="00DD142B" w:rsidRDefault="00DD142B">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c>
          <w:tcPr>
            <w:tcW w:w="811" w:type="pct"/>
          </w:tcPr>
          <w:p w14:paraId="6EE9EA21" w14:textId="77777777" w:rsidR="00DD142B" w:rsidRDefault="00DD142B">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c>
          <w:tcPr>
            <w:tcW w:w="677" w:type="pct"/>
          </w:tcPr>
          <w:p w14:paraId="1EC7E3B5" w14:textId="77777777" w:rsidR="00DD142B" w:rsidRDefault="00F23CC1">
            <w:pPr>
              <w:jc w:val="right"/>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b/>
                <w:sz w:val="18"/>
                <w:szCs w:val="18"/>
                <w:lang w:val="en-US"/>
              </w:rPr>
              <w:t>.0017</w:t>
            </w:r>
            <w:r>
              <w:rPr>
                <w:rFonts w:cs="Times New Roman"/>
                <w:sz w:val="16"/>
                <w:szCs w:val="16"/>
                <w:vertAlign w:val="superscript"/>
                <w:lang w:val="en-US"/>
              </w:rPr>
              <w:t>¶</w:t>
            </w:r>
          </w:p>
        </w:tc>
      </w:tr>
      <w:tr w:rsidR="00DD142B" w14:paraId="75257181"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012A5447" w14:textId="77777777" w:rsidR="00DD142B" w:rsidRDefault="00F23CC1">
            <w:pPr>
              <w:jc w:val="left"/>
              <w:rPr>
                <w:rFonts w:cs="Times New Roman"/>
                <w:i/>
                <w:sz w:val="18"/>
                <w:szCs w:val="18"/>
                <w:lang w:val="en-US"/>
              </w:rPr>
            </w:pPr>
            <w:r>
              <w:rPr>
                <w:rFonts w:cs="Times New Roman"/>
                <w:b w:val="0"/>
                <w:sz w:val="18"/>
                <w:szCs w:val="18"/>
                <w:lang w:val="en-US"/>
              </w:rPr>
              <w:t xml:space="preserve">    Mutated</w:t>
            </w:r>
          </w:p>
        </w:tc>
        <w:tc>
          <w:tcPr>
            <w:tcW w:w="810" w:type="pct"/>
            <w:gridSpan w:val="2"/>
          </w:tcPr>
          <w:p w14:paraId="4FEFC5FD"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7 (6.0)</w:t>
            </w:r>
          </w:p>
        </w:tc>
        <w:tc>
          <w:tcPr>
            <w:tcW w:w="811" w:type="pct"/>
            <w:gridSpan w:val="2"/>
          </w:tcPr>
          <w:p w14:paraId="3C8B5C78"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23 (9.8)</w:t>
            </w:r>
          </w:p>
        </w:tc>
        <w:tc>
          <w:tcPr>
            <w:tcW w:w="811" w:type="pct"/>
          </w:tcPr>
          <w:p w14:paraId="49673991"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24 (20.0)</w:t>
            </w:r>
          </w:p>
        </w:tc>
        <w:tc>
          <w:tcPr>
            <w:tcW w:w="677" w:type="pct"/>
          </w:tcPr>
          <w:p w14:paraId="18183E94" w14:textId="77777777" w:rsidR="00DD142B" w:rsidRDefault="00DD142B">
            <w:pPr>
              <w:jc w:val="right"/>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r>
      <w:tr w:rsidR="00DD142B" w14:paraId="704E29D4"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3880557A" w14:textId="77777777" w:rsidR="00DD142B" w:rsidRDefault="00F23CC1">
            <w:pPr>
              <w:jc w:val="left"/>
              <w:rPr>
                <w:rFonts w:cs="Times New Roman"/>
                <w:i/>
                <w:sz w:val="18"/>
                <w:szCs w:val="18"/>
                <w:lang w:val="en-US"/>
              </w:rPr>
            </w:pPr>
            <w:r>
              <w:rPr>
                <w:rFonts w:cs="Times New Roman"/>
                <w:i/>
                <w:sz w:val="18"/>
                <w:szCs w:val="18"/>
                <w:lang w:val="en-US"/>
              </w:rPr>
              <w:t xml:space="preserve">   </w:t>
            </w:r>
            <w:r>
              <w:rPr>
                <w:rFonts w:cs="Times New Roman"/>
                <w:b w:val="0"/>
                <w:sz w:val="18"/>
                <w:szCs w:val="18"/>
                <w:lang w:val="en-US"/>
              </w:rPr>
              <w:t xml:space="preserve"> Wild type</w:t>
            </w:r>
          </w:p>
        </w:tc>
        <w:tc>
          <w:tcPr>
            <w:tcW w:w="810" w:type="pct"/>
            <w:gridSpan w:val="2"/>
          </w:tcPr>
          <w:p w14:paraId="2E5C0DA7"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110 (94.0)</w:t>
            </w:r>
          </w:p>
        </w:tc>
        <w:tc>
          <w:tcPr>
            <w:tcW w:w="811" w:type="pct"/>
            <w:gridSpan w:val="2"/>
          </w:tcPr>
          <w:p w14:paraId="1C847B77"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213 (90.2)</w:t>
            </w:r>
          </w:p>
        </w:tc>
        <w:tc>
          <w:tcPr>
            <w:tcW w:w="811" w:type="pct"/>
          </w:tcPr>
          <w:p w14:paraId="218135C3"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96 (80.0)</w:t>
            </w:r>
          </w:p>
        </w:tc>
        <w:tc>
          <w:tcPr>
            <w:tcW w:w="677" w:type="pct"/>
          </w:tcPr>
          <w:p w14:paraId="74F82FC9" w14:textId="77777777" w:rsidR="00DD142B" w:rsidRDefault="00DD142B">
            <w:pPr>
              <w:jc w:val="right"/>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r>
      <w:tr w:rsidR="00DD142B" w14:paraId="450CC701" w14:textId="77777777" w:rsidTr="00DD142B">
        <w:trPr>
          <w:cnfStyle w:val="000000100000" w:firstRow="0" w:lastRow="0" w:firstColumn="0" w:lastColumn="0" w:oddVBand="0" w:evenVBand="0" w:oddHBand="1" w:evenHBand="0" w:firstRowFirstColumn="0" w:firstRowLastColumn="0" w:lastRowFirstColumn="0" w:lastRowLastColumn="0"/>
          <w:trHeight w:hRule="exact" w:val="274"/>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01A794F1" w14:textId="77777777" w:rsidR="00DD142B" w:rsidRDefault="00F23CC1">
            <w:pPr>
              <w:jc w:val="left"/>
              <w:rPr>
                <w:rFonts w:cs="Times New Roman"/>
                <w:sz w:val="18"/>
                <w:szCs w:val="18"/>
                <w:lang w:val="en-US"/>
              </w:rPr>
            </w:pPr>
            <w:r>
              <w:rPr>
                <w:rFonts w:cs="Times New Roman"/>
                <w:sz w:val="18"/>
                <w:szCs w:val="18"/>
                <w:lang w:val="en-US"/>
              </w:rPr>
              <w:t>Cytogenetic and molecular risk</w:t>
            </w:r>
            <w:r>
              <w:rPr>
                <w:rFonts w:cs="Times New Roman"/>
                <w:b w:val="0"/>
                <w:sz w:val="18"/>
                <w:szCs w:val="18"/>
                <w:lang w:val="en-US"/>
              </w:rPr>
              <w:t>**, no (%)</w:t>
            </w:r>
          </w:p>
        </w:tc>
        <w:tc>
          <w:tcPr>
            <w:tcW w:w="810" w:type="pct"/>
            <w:gridSpan w:val="2"/>
          </w:tcPr>
          <w:p w14:paraId="15099CD2"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811" w:type="pct"/>
            <w:gridSpan w:val="2"/>
          </w:tcPr>
          <w:p w14:paraId="2CD1F1C5"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811" w:type="pct"/>
          </w:tcPr>
          <w:p w14:paraId="0D34CA81" w14:textId="77777777" w:rsidR="00DD142B" w:rsidRDefault="00DD142B">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c>
          <w:tcPr>
            <w:tcW w:w="677" w:type="pct"/>
          </w:tcPr>
          <w:p w14:paraId="3D496DF9" w14:textId="77777777" w:rsidR="00DD142B" w:rsidRDefault="00F23CC1">
            <w:pPr>
              <w:jc w:val="right"/>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b/>
                <w:sz w:val="18"/>
                <w:szCs w:val="18"/>
                <w:lang w:val="en-US"/>
              </w:rPr>
              <w:t>&lt;.0001</w:t>
            </w:r>
            <w:r>
              <w:rPr>
                <w:rFonts w:cs="Times New Roman"/>
                <w:sz w:val="16"/>
                <w:szCs w:val="16"/>
                <w:vertAlign w:val="superscript"/>
                <w:lang w:val="en-US"/>
              </w:rPr>
              <w:t>¶</w:t>
            </w:r>
          </w:p>
        </w:tc>
      </w:tr>
      <w:tr w:rsidR="00DD142B" w14:paraId="3FF223C4"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163B55EC" w14:textId="77777777" w:rsidR="00DD142B" w:rsidRDefault="00F23CC1">
            <w:pPr>
              <w:jc w:val="left"/>
              <w:rPr>
                <w:rFonts w:cs="Times New Roman"/>
                <w:sz w:val="18"/>
                <w:szCs w:val="18"/>
                <w:lang w:val="en-US"/>
              </w:rPr>
            </w:pPr>
            <w:r>
              <w:rPr>
                <w:rFonts w:cs="Times New Roman"/>
                <w:b w:val="0"/>
                <w:sz w:val="18"/>
                <w:szCs w:val="18"/>
                <w:lang w:val="en-US"/>
              </w:rPr>
              <w:t xml:space="preserve">    Favorable</w:t>
            </w:r>
          </w:p>
        </w:tc>
        <w:tc>
          <w:tcPr>
            <w:tcW w:w="810" w:type="pct"/>
            <w:gridSpan w:val="2"/>
          </w:tcPr>
          <w:p w14:paraId="7D5BE911"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65 (54.6)</w:t>
            </w:r>
          </w:p>
        </w:tc>
        <w:tc>
          <w:tcPr>
            <w:tcW w:w="811" w:type="pct"/>
            <w:gridSpan w:val="2"/>
          </w:tcPr>
          <w:p w14:paraId="4A092311"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78 (32.2)</w:t>
            </w:r>
          </w:p>
        </w:tc>
        <w:tc>
          <w:tcPr>
            <w:tcW w:w="811" w:type="pct"/>
          </w:tcPr>
          <w:p w14:paraId="5B93209C"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16 (13.3)</w:t>
            </w:r>
          </w:p>
        </w:tc>
        <w:tc>
          <w:tcPr>
            <w:tcW w:w="677" w:type="pct"/>
          </w:tcPr>
          <w:p w14:paraId="3656EDEB" w14:textId="77777777" w:rsidR="00DD142B" w:rsidRDefault="00DD142B">
            <w:pPr>
              <w:jc w:val="right"/>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r>
      <w:tr w:rsidR="00DD142B" w14:paraId="49DD5A2E" w14:textId="77777777" w:rsidTr="00DD142B">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Pr>
          <w:p w14:paraId="4752F669" w14:textId="77777777" w:rsidR="00DD142B" w:rsidRDefault="00F23CC1">
            <w:pPr>
              <w:jc w:val="left"/>
              <w:rPr>
                <w:rFonts w:cs="Times New Roman"/>
                <w:sz w:val="18"/>
                <w:szCs w:val="18"/>
                <w:lang w:val="en-US"/>
              </w:rPr>
            </w:pPr>
            <w:r>
              <w:rPr>
                <w:rFonts w:cs="Times New Roman"/>
                <w:b w:val="0"/>
                <w:sz w:val="18"/>
                <w:szCs w:val="18"/>
                <w:lang w:val="en-US"/>
              </w:rPr>
              <w:t xml:space="preserve">    Intermediate</w:t>
            </w:r>
          </w:p>
        </w:tc>
        <w:tc>
          <w:tcPr>
            <w:tcW w:w="810" w:type="pct"/>
            <w:gridSpan w:val="2"/>
          </w:tcPr>
          <w:p w14:paraId="54C3FCAD"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26 (21.9)</w:t>
            </w:r>
          </w:p>
        </w:tc>
        <w:tc>
          <w:tcPr>
            <w:tcW w:w="811" w:type="pct"/>
            <w:gridSpan w:val="2"/>
          </w:tcPr>
          <w:p w14:paraId="7DC14D37"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67 (27.7)</w:t>
            </w:r>
          </w:p>
        </w:tc>
        <w:tc>
          <w:tcPr>
            <w:tcW w:w="811" w:type="pct"/>
          </w:tcPr>
          <w:p w14:paraId="7BBC250C" w14:textId="77777777" w:rsidR="00DD142B" w:rsidRDefault="00F23CC1">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r>
              <w:rPr>
                <w:rFonts w:cs="Times New Roman"/>
                <w:sz w:val="18"/>
                <w:szCs w:val="18"/>
                <w:lang w:val="en-US"/>
              </w:rPr>
              <w:t>28 (23.3)</w:t>
            </w:r>
          </w:p>
        </w:tc>
        <w:tc>
          <w:tcPr>
            <w:tcW w:w="677" w:type="pct"/>
          </w:tcPr>
          <w:p w14:paraId="7BE6371D" w14:textId="77777777" w:rsidR="00DD142B" w:rsidRDefault="00DD142B">
            <w:pPr>
              <w:jc w:val="right"/>
              <w:cnfStyle w:val="000000100000" w:firstRow="0" w:lastRow="0" w:firstColumn="0" w:lastColumn="0" w:oddVBand="0" w:evenVBand="0" w:oddHBand="1" w:evenHBand="0" w:firstRowFirstColumn="0" w:firstRowLastColumn="0" w:lastRowFirstColumn="0" w:lastRowLastColumn="0"/>
              <w:rPr>
                <w:rFonts w:cs="Times New Roman"/>
                <w:sz w:val="18"/>
                <w:szCs w:val="18"/>
                <w:lang w:val="en-US"/>
              </w:rPr>
            </w:pPr>
          </w:p>
        </w:tc>
      </w:tr>
      <w:tr w:rsidR="00DD142B" w14:paraId="634FFFC8" w14:textId="77777777" w:rsidTr="00DD142B">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890" w:type="pct"/>
            <w:gridSpan w:val="2"/>
            <w:tcBorders>
              <w:bottom w:val="single" w:sz="4" w:space="0" w:color="auto"/>
            </w:tcBorders>
          </w:tcPr>
          <w:p w14:paraId="4BD98049" w14:textId="77777777" w:rsidR="00DD142B" w:rsidRDefault="00F23CC1">
            <w:pPr>
              <w:jc w:val="left"/>
              <w:rPr>
                <w:rFonts w:cs="Times New Roman"/>
                <w:sz w:val="18"/>
                <w:szCs w:val="18"/>
                <w:lang w:val="en-US"/>
              </w:rPr>
            </w:pPr>
            <w:r>
              <w:rPr>
                <w:rFonts w:cs="Times New Roman"/>
                <w:b w:val="0"/>
                <w:sz w:val="18"/>
                <w:szCs w:val="18"/>
                <w:lang w:val="en-US"/>
              </w:rPr>
              <w:t xml:space="preserve">    Adverse</w:t>
            </w:r>
          </w:p>
        </w:tc>
        <w:tc>
          <w:tcPr>
            <w:tcW w:w="810" w:type="pct"/>
            <w:gridSpan w:val="2"/>
            <w:tcBorders>
              <w:bottom w:val="single" w:sz="4" w:space="0" w:color="auto"/>
            </w:tcBorders>
          </w:tcPr>
          <w:p w14:paraId="721B47BC"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28 (23.5)</w:t>
            </w:r>
          </w:p>
        </w:tc>
        <w:tc>
          <w:tcPr>
            <w:tcW w:w="811" w:type="pct"/>
            <w:gridSpan w:val="2"/>
            <w:tcBorders>
              <w:bottom w:val="single" w:sz="4" w:space="0" w:color="auto"/>
            </w:tcBorders>
          </w:tcPr>
          <w:p w14:paraId="1B9BE19F"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97 (40.1)</w:t>
            </w:r>
          </w:p>
        </w:tc>
        <w:tc>
          <w:tcPr>
            <w:tcW w:w="811" w:type="pct"/>
            <w:tcBorders>
              <w:bottom w:val="single" w:sz="4" w:space="0" w:color="auto"/>
            </w:tcBorders>
          </w:tcPr>
          <w:p w14:paraId="462B6103" w14:textId="77777777" w:rsidR="00DD142B" w:rsidRDefault="00F23CC1">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r>
              <w:rPr>
                <w:rFonts w:cs="Times New Roman"/>
                <w:sz w:val="18"/>
                <w:szCs w:val="18"/>
                <w:lang w:val="en-US"/>
              </w:rPr>
              <w:t>76 (63.3)</w:t>
            </w:r>
          </w:p>
        </w:tc>
        <w:tc>
          <w:tcPr>
            <w:tcW w:w="677" w:type="pct"/>
            <w:tcBorders>
              <w:bottom w:val="single" w:sz="4" w:space="0" w:color="auto"/>
            </w:tcBorders>
          </w:tcPr>
          <w:p w14:paraId="0935782D" w14:textId="77777777" w:rsidR="00DD142B" w:rsidRDefault="00DD142B">
            <w:pPr>
              <w:jc w:val="right"/>
              <w:cnfStyle w:val="000000000000" w:firstRow="0" w:lastRow="0" w:firstColumn="0" w:lastColumn="0" w:oddVBand="0" w:evenVBand="0" w:oddHBand="0" w:evenHBand="0" w:firstRowFirstColumn="0" w:firstRowLastColumn="0" w:lastRowFirstColumn="0" w:lastRowLastColumn="0"/>
              <w:rPr>
                <w:rFonts w:cs="Times New Roman"/>
                <w:sz w:val="18"/>
                <w:szCs w:val="18"/>
                <w:lang w:val="en-US"/>
              </w:rPr>
            </w:pPr>
          </w:p>
        </w:tc>
      </w:tr>
    </w:tbl>
    <w:p w14:paraId="0F1486A8" w14:textId="77777777" w:rsidR="00DD142B" w:rsidRDefault="00F23CC1">
      <w:pPr>
        <w:spacing w:after="0" w:line="240" w:lineRule="auto"/>
        <w:rPr>
          <w:rFonts w:cs="Times New Roman"/>
          <w:sz w:val="16"/>
          <w:szCs w:val="16"/>
        </w:rPr>
      </w:pPr>
      <w:r>
        <w:rPr>
          <w:rFonts w:cs="Times New Roman"/>
          <w:sz w:val="16"/>
          <w:szCs w:val="16"/>
        </w:rPr>
        <w:t xml:space="preserve">Abbreviations: AML, acute myeloid leukemia; s-AML, secondary AML; t-AML, therapy-related AML; FAB, French-American-British classification; WBC, white blood cell count; LDH, lactate dehydrogenase; Hb, hemoglobin; BM, bone marrow; </w:t>
      </w:r>
      <w:r>
        <w:rPr>
          <w:rFonts w:cs="Times New Roman"/>
          <w:i/>
          <w:sz w:val="16"/>
          <w:szCs w:val="16"/>
        </w:rPr>
        <w:t>FLT3</w:t>
      </w:r>
      <w:r>
        <w:rPr>
          <w:rFonts w:cs="Times New Roman"/>
          <w:sz w:val="16"/>
          <w:szCs w:val="16"/>
        </w:rPr>
        <w:t xml:space="preserve">-ITD, internal tandem duplication of the </w:t>
      </w:r>
      <w:r>
        <w:rPr>
          <w:rFonts w:cs="Times New Roman"/>
          <w:i/>
          <w:sz w:val="16"/>
          <w:szCs w:val="16"/>
        </w:rPr>
        <w:t>FLT3</w:t>
      </w:r>
      <w:r>
        <w:rPr>
          <w:rFonts w:cs="Times New Roman"/>
          <w:sz w:val="16"/>
          <w:szCs w:val="16"/>
        </w:rPr>
        <w:t xml:space="preserve"> gene; </w:t>
      </w:r>
      <w:r>
        <w:rPr>
          <w:rFonts w:cs="Times New Roman"/>
          <w:i/>
          <w:sz w:val="16"/>
          <w:szCs w:val="16"/>
        </w:rPr>
        <w:t>NPM1</w:t>
      </w:r>
      <w:r>
        <w:rPr>
          <w:rFonts w:cs="Times New Roman"/>
          <w:sz w:val="16"/>
          <w:szCs w:val="16"/>
        </w:rPr>
        <w:t xml:space="preserve">, nucleophosmin-1; </w:t>
      </w:r>
      <w:r>
        <w:rPr>
          <w:rFonts w:cs="Times New Roman"/>
          <w:i/>
          <w:sz w:val="16"/>
          <w:szCs w:val="16"/>
        </w:rPr>
        <w:t>CEPBA</w:t>
      </w:r>
      <w:r>
        <w:rPr>
          <w:rFonts w:cs="Times New Roman"/>
          <w:sz w:val="16"/>
          <w:szCs w:val="16"/>
        </w:rPr>
        <w:t xml:space="preserve">, CCAAT/enhancer binding protein α; </w:t>
      </w:r>
      <w:r>
        <w:rPr>
          <w:rFonts w:cs="Times New Roman"/>
          <w:i/>
          <w:sz w:val="16"/>
          <w:szCs w:val="16"/>
        </w:rPr>
        <w:t>RUNX1</w:t>
      </w:r>
      <w:r>
        <w:rPr>
          <w:rFonts w:cs="Times New Roman"/>
          <w:sz w:val="16"/>
          <w:szCs w:val="16"/>
        </w:rPr>
        <w:t xml:space="preserve">, Runt-related transcription factor 1; </w:t>
      </w:r>
      <w:r>
        <w:rPr>
          <w:rFonts w:cs="Times New Roman"/>
          <w:i/>
          <w:sz w:val="16"/>
          <w:szCs w:val="16"/>
        </w:rPr>
        <w:t>ASXL1</w:t>
      </w:r>
      <w:r>
        <w:rPr>
          <w:rFonts w:cs="Times New Roman"/>
          <w:sz w:val="16"/>
          <w:szCs w:val="16"/>
        </w:rPr>
        <w:t xml:space="preserve">, additional sex combs like 1; </w:t>
      </w:r>
      <w:r>
        <w:rPr>
          <w:rFonts w:cs="Times New Roman"/>
          <w:i/>
          <w:sz w:val="16"/>
          <w:szCs w:val="16"/>
        </w:rPr>
        <w:t>TP53</w:t>
      </w:r>
      <w:r>
        <w:rPr>
          <w:rFonts w:cs="Times New Roman"/>
          <w:sz w:val="16"/>
          <w:szCs w:val="16"/>
        </w:rPr>
        <w:t>, tumor protein p53;</w:t>
      </w:r>
      <w:r>
        <w:rPr>
          <w:rFonts w:cs="Times New Roman"/>
          <w:i/>
          <w:sz w:val="16"/>
          <w:szCs w:val="16"/>
        </w:rPr>
        <w:t xml:space="preserve"> </w:t>
      </w:r>
      <w:r>
        <w:rPr>
          <w:rFonts w:cs="Times New Roman"/>
          <w:sz w:val="16"/>
          <w:szCs w:val="16"/>
        </w:rPr>
        <w:t xml:space="preserve">Significant </w:t>
      </w:r>
      <w:r>
        <w:rPr>
          <w:rFonts w:cs="Times New Roman"/>
          <w:i/>
          <w:sz w:val="16"/>
          <w:szCs w:val="16"/>
        </w:rPr>
        <w:t>P</w:t>
      </w:r>
      <w:r>
        <w:rPr>
          <w:rFonts w:cs="Times New Roman"/>
          <w:sz w:val="16"/>
          <w:szCs w:val="16"/>
        </w:rPr>
        <w:t xml:space="preserve"> values are marked in bold.</w:t>
      </w:r>
    </w:p>
    <w:p w14:paraId="217E9D32" w14:textId="77777777" w:rsidR="00DD142B" w:rsidRDefault="00F23CC1">
      <w:pPr>
        <w:spacing w:after="0" w:line="240" w:lineRule="auto"/>
        <w:rPr>
          <w:rFonts w:cs="Times New Roman"/>
          <w:sz w:val="16"/>
          <w:szCs w:val="16"/>
        </w:rPr>
      </w:pPr>
      <w:r>
        <w:rPr>
          <w:rFonts w:cs="Times New Roman"/>
          <w:sz w:val="16"/>
          <w:szCs w:val="16"/>
        </w:rPr>
        <w:t>*Patients may be counted more than once in cases with two or more coexisting cytogenetic abnormalities.</w:t>
      </w:r>
    </w:p>
    <w:p w14:paraId="1161498E" w14:textId="77777777" w:rsidR="00DD142B" w:rsidRDefault="00F23CC1">
      <w:pPr>
        <w:spacing w:after="0" w:line="240" w:lineRule="auto"/>
        <w:rPr>
          <w:rFonts w:cs="Times New Roman"/>
          <w:sz w:val="16"/>
          <w:szCs w:val="16"/>
        </w:rPr>
      </w:pPr>
      <w:r>
        <w:rPr>
          <w:rFonts w:cs="Times New Roman"/>
          <w:sz w:val="16"/>
          <w:szCs w:val="16"/>
        </w:rPr>
        <w:t>**According to European LeukemiaNet 2017 guidelines</w:t>
      </w:r>
    </w:p>
    <w:p w14:paraId="5C4F7D83" w14:textId="77777777" w:rsidR="00DD142B" w:rsidRDefault="00F23CC1">
      <w:pPr>
        <w:spacing w:after="0" w:line="240" w:lineRule="auto"/>
        <w:rPr>
          <w:rFonts w:cs="Times New Roman"/>
          <w:sz w:val="16"/>
          <w:szCs w:val="16"/>
        </w:rPr>
      </w:pPr>
      <w:r>
        <w:rPr>
          <w:rFonts w:cs="Times New Roman"/>
          <w:sz w:val="16"/>
          <w:szCs w:val="16"/>
          <w:vertAlign w:val="superscript"/>
        </w:rPr>
        <w:t>§</w:t>
      </w:r>
      <w:r>
        <w:rPr>
          <w:rFonts w:cs="Times New Roman"/>
          <w:sz w:val="16"/>
          <w:szCs w:val="16"/>
        </w:rPr>
        <w:t xml:space="preserve">Kruskal-Wallis test; </w:t>
      </w:r>
      <w:r>
        <w:rPr>
          <w:rFonts w:cs="Times New Roman"/>
          <w:sz w:val="16"/>
          <w:szCs w:val="16"/>
          <w:vertAlign w:val="superscript"/>
        </w:rPr>
        <w:t>‡</w:t>
      </w:r>
      <w:r>
        <w:rPr>
          <w:rFonts w:cs="Times New Roman"/>
          <w:sz w:val="16"/>
          <w:szCs w:val="16"/>
        </w:rPr>
        <w:t xml:space="preserve">Fisher’s exact test; </w:t>
      </w:r>
      <w:r>
        <w:rPr>
          <w:rFonts w:cs="Times New Roman"/>
          <w:sz w:val="16"/>
          <w:szCs w:val="16"/>
          <w:vertAlign w:val="superscript"/>
        </w:rPr>
        <w:t>¶</w:t>
      </w:r>
      <w:r>
        <w:rPr>
          <w:rFonts w:ascii="Symbol" w:eastAsia="Symbol" w:hAnsi="Symbol" w:cs="Symbol"/>
          <w:sz w:val="16"/>
          <w:szCs w:val="16"/>
        </w:rPr>
        <w:t></w:t>
      </w:r>
      <w:r>
        <w:rPr>
          <w:rFonts w:cs="Times New Roman"/>
          <w:sz w:val="16"/>
          <w:szCs w:val="16"/>
          <w:vertAlign w:val="superscript"/>
        </w:rPr>
        <w:t>2</w:t>
      </w:r>
      <w:r>
        <w:rPr>
          <w:rFonts w:cs="Times New Roman"/>
          <w:sz w:val="16"/>
          <w:szCs w:val="16"/>
        </w:rPr>
        <w:t xml:space="preserve"> test.</w:t>
      </w:r>
    </w:p>
    <w:p w14:paraId="708EFBE1" w14:textId="77777777" w:rsidR="00DD142B" w:rsidRDefault="00F23CC1">
      <w:pPr>
        <w:spacing w:after="0" w:line="240" w:lineRule="auto"/>
        <w:jc w:val="left"/>
        <w:rPr>
          <w:rFonts w:eastAsia="Times New Roman"/>
          <w:b/>
          <w:sz w:val="28"/>
        </w:rPr>
      </w:pPr>
      <w:r>
        <w:br w:type="page"/>
      </w:r>
    </w:p>
    <w:p w14:paraId="3861D928" w14:textId="77777777" w:rsidR="00DD142B" w:rsidRDefault="00F23CC1">
      <w:pPr>
        <w:pStyle w:val="berschrift1"/>
        <w:rPr>
          <w:sz w:val="21"/>
          <w:szCs w:val="24"/>
        </w:rPr>
      </w:pPr>
      <w:r>
        <w:t>Figure Legends</w:t>
      </w:r>
    </w:p>
    <w:p w14:paraId="1CD49519" w14:textId="77777777" w:rsidR="00DD142B" w:rsidRDefault="00F23CC1">
      <w:pPr>
        <w:rPr>
          <w:rFonts w:eastAsia="Times New Roman" w:cs="Times New Roman"/>
          <w:szCs w:val="24"/>
        </w:rPr>
      </w:pPr>
      <w:r>
        <w:rPr>
          <w:rFonts w:cs="Times New Roman"/>
          <w:b/>
          <w:szCs w:val="24"/>
        </w:rPr>
        <w:t xml:space="preserve">Fig. 1. </w:t>
      </w:r>
      <w:r>
        <w:rPr>
          <w:rFonts w:cs="Times New Roman"/>
          <w:b/>
          <w:i/>
          <w:szCs w:val="24"/>
        </w:rPr>
        <w:t>CALCRL</w:t>
      </w:r>
      <w:r>
        <w:rPr>
          <w:rFonts w:cs="Times New Roman"/>
          <w:b/>
          <w:szCs w:val="24"/>
        </w:rPr>
        <w:t xml:space="preserve"> gene expression and survival in the AMLCG analytic cohort.</w:t>
      </w:r>
      <w:r>
        <w:rPr>
          <w:rFonts w:cs="Times New Roman"/>
          <w:szCs w:val="24"/>
        </w:rPr>
        <w:t xml:space="preserve"> Overall survival (A, C) and event-free survival (B, D) according to continuous (A, B) and trichotomized (C, D) microarray-based </w:t>
      </w:r>
      <w:r>
        <w:rPr>
          <w:rFonts w:cs="Times New Roman"/>
          <w:i/>
          <w:szCs w:val="24"/>
        </w:rPr>
        <w:t>CALCRL</w:t>
      </w:r>
      <w:r>
        <w:rPr>
          <w:rFonts w:cs="Times New Roman"/>
          <w:szCs w:val="24"/>
        </w:rPr>
        <w:t xml:space="preserve"> expression levels. Splines (A, B) are shown with a 95% confidence interval. The horizontal dotted line indicates a hazard ratio of 1.</w:t>
      </w:r>
    </w:p>
    <w:p w14:paraId="22689116" w14:textId="77777777" w:rsidR="00DD142B" w:rsidRDefault="00F23CC1">
      <w:pPr>
        <w:rPr>
          <w:rFonts w:eastAsia="Times New Roman" w:cs="Times New Roman"/>
          <w:szCs w:val="24"/>
        </w:rPr>
      </w:pPr>
      <w:r>
        <w:rPr>
          <w:rFonts w:cs="Times New Roman"/>
          <w:b/>
          <w:szCs w:val="24"/>
        </w:rPr>
        <w:t xml:space="preserve">Fig. 2. </w:t>
      </w:r>
      <w:r>
        <w:rPr>
          <w:rFonts w:cs="Times New Roman"/>
          <w:b/>
          <w:i/>
          <w:szCs w:val="24"/>
        </w:rPr>
        <w:t>CALCRL</w:t>
      </w:r>
      <w:r>
        <w:rPr>
          <w:rFonts w:cs="Times New Roman"/>
          <w:b/>
          <w:szCs w:val="24"/>
        </w:rPr>
        <w:t xml:space="preserve"> gene expression and survival in the HOVON, TCGA and Leucegene validation cohorts.</w:t>
      </w:r>
      <w:r>
        <w:rPr>
          <w:rFonts w:cs="Times New Roman"/>
          <w:szCs w:val="24"/>
        </w:rPr>
        <w:t xml:space="preserve"> Overall (A-F) and event-free survival (G-J) according to </w:t>
      </w:r>
      <w:r>
        <w:rPr>
          <w:rFonts w:cs="Times New Roman"/>
          <w:i/>
          <w:szCs w:val="24"/>
        </w:rPr>
        <w:t>CALCRL</w:t>
      </w:r>
      <w:r>
        <w:rPr>
          <w:rFonts w:cs="Times New Roman"/>
          <w:szCs w:val="24"/>
        </w:rPr>
        <w:t xml:space="preserve"> transcript levels in the HOVON cohort (A, D, G, I), the intensively treated TCGA subcohort (B, E, H, J), and the Leucegene cohort (C, F). EFS data were not available for the Leucegene cohort. Splines (A, B, C, G, H) are shown with a 95% confidence interval. The horizontal dotted lines indicate a hazard ratio of 1.</w:t>
      </w:r>
    </w:p>
    <w:p w14:paraId="2092CAE4" w14:textId="77777777" w:rsidR="00DD142B" w:rsidRDefault="00F23CC1">
      <w:pPr>
        <w:rPr>
          <w:rFonts w:cs="Times New Roman"/>
          <w:szCs w:val="24"/>
        </w:rPr>
      </w:pPr>
      <w:r>
        <w:rPr>
          <w:rFonts w:cs="Times New Roman"/>
          <w:b/>
          <w:szCs w:val="24"/>
        </w:rPr>
        <w:t>Fig. 3. CALCRL protein expression and treatment outcome in the UKM cohort.</w:t>
      </w:r>
      <w:r>
        <w:rPr>
          <w:rFonts w:cs="Times New Roman"/>
          <w:szCs w:val="24"/>
        </w:rPr>
        <w:t xml:space="preserve"> (A) Representative IHC micrographs of CALCRL expression in pretherapeutic BM from an AML patient not achieving a CR (left), a patient achieving a CR (middle) and a non-leukemic donor (right). Scale bars are 25 µm. (B) Frequency of CALCRL H-scores divided into quartiles in patients achieving a CR (left) compared to patients not achieving a CR after induction therapy (right). (C) Comparison of CALCRL H-scores between AML and normal BM. Violin plots of H-scores including a boxplot with Tukey whiskers and 95% confidence interval (notch) of the median (white dot) are shown. ***</w:t>
      </w:r>
      <w:r>
        <w:rPr>
          <w:rFonts w:cs="Times New Roman"/>
          <w:i/>
          <w:szCs w:val="24"/>
        </w:rPr>
        <w:t>P</w:t>
      </w:r>
      <w:r>
        <w:rPr>
          <w:rFonts w:cs="Times New Roman"/>
          <w:szCs w:val="24"/>
        </w:rPr>
        <w:t xml:space="preserve"> &lt; .0001 (Welch’s t-test). A comparison of </w:t>
      </w:r>
      <w:r>
        <w:rPr>
          <w:rFonts w:cs="Times New Roman"/>
          <w:i/>
          <w:szCs w:val="24"/>
        </w:rPr>
        <w:t>CALCRL</w:t>
      </w:r>
      <w:r>
        <w:rPr>
          <w:rFonts w:cs="Times New Roman"/>
          <w:szCs w:val="24"/>
        </w:rPr>
        <w:t xml:space="preserve"> transcript levels between AML and normal BM in an independent cohort can be found in the Supplementary Fig. 12. Overall (D) and event-free survival (E) in the UKM cohort according to trichotomized CALCRL H-scores.</w:t>
      </w:r>
    </w:p>
    <w:p w14:paraId="3A7E54C3" w14:textId="77777777" w:rsidR="00DD142B" w:rsidRDefault="00F23CC1">
      <w:pPr>
        <w:rPr>
          <w:rFonts w:cs="Times New Roman"/>
          <w:szCs w:val="24"/>
        </w:rPr>
      </w:pPr>
      <w:r>
        <w:rPr>
          <w:rFonts w:cs="Times New Roman"/>
          <w:b/>
          <w:szCs w:val="24"/>
        </w:rPr>
        <w:t>Fig. 4.</w:t>
      </w:r>
      <w:r>
        <w:rPr>
          <w:rFonts w:cs="Times New Roman"/>
          <w:szCs w:val="24"/>
        </w:rPr>
        <w:t xml:space="preserve"> </w:t>
      </w:r>
      <w:r>
        <w:rPr>
          <w:rFonts w:cs="Times New Roman"/>
          <w:b/>
          <w:szCs w:val="24"/>
        </w:rPr>
        <w:t>Biological insights.</w:t>
      </w:r>
      <w:r>
        <w:rPr>
          <w:rFonts w:cs="Times New Roman"/>
          <w:szCs w:val="24"/>
        </w:rPr>
        <w:t xml:space="preserve"> (A) Heat map of the </w:t>
      </w:r>
      <w:r>
        <w:rPr>
          <w:rFonts w:cs="Times New Roman"/>
          <w:i/>
          <w:szCs w:val="24"/>
        </w:rPr>
        <w:t>CALCRL</w:t>
      </w:r>
      <w:r>
        <w:rPr>
          <w:rFonts w:cs="Times New Roman"/>
          <w:szCs w:val="24"/>
        </w:rPr>
        <w:t xml:space="preserve">-associated gene expression signature in the AMLCG cohort. Color-coded expression values of the 200 genes with the strongest correlation with </w:t>
      </w:r>
      <w:r>
        <w:rPr>
          <w:rFonts w:cs="Times New Roman"/>
          <w:i/>
          <w:szCs w:val="24"/>
        </w:rPr>
        <w:t>CALCRL</w:t>
      </w:r>
      <w:r>
        <w:rPr>
          <w:rFonts w:cs="Times New Roman"/>
          <w:szCs w:val="24"/>
        </w:rPr>
        <w:t xml:space="preserve"> are shown, with green indicating expression below and red indicating expression above the median value for the given gene. Rows represent probe sets and columns represent patients, ordered from left to right by </w:t>
      </w:r>
      <w:r>
        <w:rPr>
          <w:rFonts w:cs="Times New Roman"/>
          <w:i/>
          <w:szCs w:val="24"/>
        </w:rPr>
        <w:t>CALCRL</w:t>
      </w:r>
      <w:r>
        <w:rPr>
          <w:rFonts w:cs="Times New Roman"/>
          <w:szCs w:val="24"/>
        </w:rPr>
        <w:t xml:space="preserve"> expression. Up- and down-regulated genes mentioned in the text are indicated. The complete list can be found in Supplementary Table 8. (B) </w:t>
      </w:r>
      <w:r>
        <w:rPr>
          <w:rFonts w:cs="Times New Roman"/>
          <w:i/>
          <w:szCs w:val="24"/>
        </w:rPr>
        <w:t>CALCRL</w:t>
      </w:r>
      <w:r>
        <w:rPr>
          <w:rFonts w:cs="Times New Roman"/>
          <w:szCs w:val="24"/>
        </w:rPr>
        <w:t xml:space="preserve"> expression in human normal hematopoietic cell populations derived from sorted cord blood (CB), bone marrow (BM) or peripheral blood (PB) samples. (C) </w:t>
      </w:r>
      <w:r>
        <w:rPr>
          <w:rFonts w:cs="Times New Roman"/>
          <w:i/>
          <w:szCs w:val="24"/>
        </w:rPr>
        <w:t>CALCRL</w:t>
      </w:r>
      <w:r>
        <w:rPr>
          <w:rFonts w:cs="Times New Roman"/>
          <w:szCs w:val="24"/>
        </w:rPr>
        <w:t xml:space="preserve"> expression in human AML samples with varying LSC frequencies. LSC frequencies were determined as described.</w:t>
      </w:r>
      <w:r>
        <w:rPr>
          <w:rFonts w:cs="Times New Roman"/>
          <w:szCs w:val="24"/>
        </w:rPr>
        <w:fldChar w:fldCharType="begin"/>
      </w:r>
      <w:r>
        <w:rPr>
          <w:rFonts w:cs="Times New Roman"/>
          <w:szCs w:val="24"/>
        </w:rPr>
        <w:instrText xml:space="preserve"> ADDIN EN.CITE </w:instrText>
      </w:r>
      <w:r>
        <w:rPr>
          <w:rFonts w:cs="Times New Roman"/>
          <w:szCs w:val="24"/>
        </w:rPr>
        <w:fldChar w:fldCharType="begin"/>
      </w:r>
      <w:r>
        <w:rPr>
          <w:rFonts w:cs="Times New Roman"/>
          <w:szCs w:val="24"/>
        </w:rPr>
        <w:instrText xml:space="preserve"> ADDIN EN.CITE.DATA </w:instrText>
      </w:r>
      <w:r>
        <w:rPr>
          <w:rFonts w:cs="Times New Roman"/>
          <w:szCs w:val="24"/>
        </w:rPr>
        <w:fldChar w:fldCharType="end"/>
      </w:r>
      <w:r>
        <w:rPr>
          <w:rFonts w:cs="Times New Roman"/>
          <w:szCs w:val="24"/>
        </w:rPr>
        <w:fldChar w:fldCharType="separate"/>
      </w:r>
      <w:r>
        <w:rPr>
          <w:rFonts w:cs="Times New Roman"/>
          <w:szCs w:val="24"/>
          <w:vertAlign w:val="superscript"/>
        </w:rPr>
        <w:t>24</w:t>
      </w:r>
      <w:r>
        <w:rPr>
          <w:rFonts w:cs="Times New Roman"/>
          <w:szCs w:val="24"/>
        </w:rPr>
        <w:fldChar w:fldCharType="end"/>
      </w:r>
      <w:r>
        <w:rPr>
          <w:rFonts w:cs="Times New Roman"/>
          <w:szCs w:val="24"/>
        </w:rPr>
        <w:t xml:space="preserve"> *</w:t>
      </w:r>
      <w:r>
        <w:rPr>
          <w:rFonts w:cs="Times New Roman"/>
          <w:i/>
          <w:szCs w:val="24"/>
        </w:rPr>
        <w:t>P</w:t>
      </w:r>
      <w:r>
        <w:rPr>
          <w:rFonts w:cs="Times New Roman"/>
          <w:szCs w:val="24"/>
        </w:rPr>
        <w:t xml:space="preserve"> &lt; .05; **</w:t>
      </w:r>
      <w:r>
        <w:rPr>
          <w:rFonts w:cs="Times New Roman"/>
          <w:i/>
          <w:szCs w:val="24"/>
        </w:rPr>
        <w:t>P</w:t>
      </w:r>
      <w:r>
        <w:rPr>
          <w:rFonts w:cs="Times New Roman"/>
          <w:szCs w:val="24"/>
        </w:rPr>
        <w:t xml:space="preserve"> &lt; .005 (Welch’s t-test) (D) Impact of CRISPR-Cas9-mediated knockout of </w:t>
      </w:r>
      <w:r>
        <w:rPr>
          <w:rFonts w:cs="Times New Roman"/>
          <w:i/>
          <w:szCs w:val="24"/>
        </w:rPr>
        <w:t>CALCRL</w:t>
      </w:r>
      <w:r>
        <w:rPr>
          <w:rFonts w:cs="Times New Roman"/>
          <w:szCs w:val="24"/>
        </w:rPr>
        <w:t xml:space="preserve"> on colony forming capacity in three human myeloid leukemia cell lines using two different sgRNAs (mean ± SD, all experiments performed in triplicates, *</w:t>
      </w:r>
      <w:r>
        <w:rPr>
          <w:rFonts w:cs="Times New Roman"/>
          <w:i/>
          <w:szCs w:val="24"/>
        </w:rPr>
        <w:t>P</w:t>
      </w:r>
      <w:r>
        <w:rPr>
          <w:rFonts w:cs="Times New Roman"/>
          <w:szCs w:val="24"/>
        </w:rPr>
        <w:t xml:space="preserve"> &lt; .05; **</w:t>
      </w:r>
      <w:r>
        <w:rPr>
          <w:rFonts w:cs="Times New Roman"/>
          <w:i/>
          <w:szCs w:val="24"/>
        </w:rPr>
        <w:t>P</w:t>
      </w:r>
      <w:r>
        <w:rPr>
          <w:rFonts w:cs="Times New Roman"/>
          <w:szCs w:val="24"/>
        </w:rPr>
        <w:t xml:space="preserve"> &lt; .005 (Welch’s t-test)). (E) Overall survival (OS) according to the LSC17 score</w:t>
      </w:r>
      <w:r>
        <w:rPr>
          <w:rFonts w:cs="Times New Roman"/>
          <w:szCs w:val="24"/>
        </w:rPr>
        <w:fldChar w:fldCharType="begin"/>
      </w:r>
      <w:r>
        <w:rPr>
          <w:rFonts w:cs="Times New Roman"/>
          <w:szCs w:val="24"/>
        </w:rPr>
        <w:instrText xml:space="preserve"> ADDIN EN.CITE </w:instrText>
      </w:r>
      <w:r>
        <w:rPr>
          <w:rFonts w:cs="Times New Roman"/>
          <w:szCs w:val="24"/>
        </w:rPr>
        <w:fldChar w:fldCharType="begin"/>
      </w:r>
      <w:r>
        <w:rPr>
          <w:rFonts w:cs="Times New Roman"/>
          <w:szCs w:val="24"/>
        </w:rPr>
        <w:instrText xml:space="preserve"> ADDIN EN.CITE.DATA </w:instrText>
      </w:r>
      <w:r>
        <w:rPr>
          <w:rFonts w:cs="Times New Roman"/>
          <w:szCs w:val="24"/>
        </w:rPr>
        <w:fldChar w:fldCharType="end"/>
      </w:r>
      <w:r>
        <w:rPr>
          <w:rFonts w:cs="Times New Roman"/>
          <w:szCs w:val="24"/>
        </w:rPr>
        <w:fldChar w:fldCharType="separate"/>
      </w:r>
      <w:r>
        <w:rPr>
          <w:rFonts w:cs="Times New Roman"/>
          <w:szCs w:val="24"/>
          <w:vertAlign w:val="superscript"/>
        </w:rPr>
        <w:t>35</w:t>
      </w:r>
      <w:r>
        <w:rPr>
          <w:rFonts w:cs="Times New Roman"/>
          <w:szCs w:val="24"/>
        </w:rPr>
        <w:fldChar w:fldCharType="end"/>
      </w:r>
      <w:r>
        <w:rPr>
          <w:rFonts w:cs="Times New Roman"/>
          <w:szCs w:val="24"/>
        </w:rPr>
        <w:t xml:space="preserve"> in the AMLCG cohort. (F) OS according to </w:t>
      </w:r>
      <w:r>
        <w:rPr>
          <w:rFonts w:cs="Times New Roman"/>
          <w:i/>
          <w:szCs w:val="24"/>
        </w:rPr>
        <w:t>CALCRL</w:t>
      </w:r>
      <w:r>
        <w:rPr>
          <w:rFonts w:cs="Times New Roman"/>
          <w:szCs w:val="24"/>
        </w:rPr>
        <w:t xml:space="preserve"> expression in LSC17</w:t>
      </w:r>
      <w:r>
        <w:rPr>
          <w:rFonts w:cs="Times New Roman"/>
          <w:szCs w:val="24"/>
          <w:vertAlign w:val="superscript"/>
        </w:rPr>
        <w:t>low</w:t>
      </w:r>
      <w:r>
        <w:rPr>
          <w:rFonts w:cs="Times New Roman"/>
          <w:szCs w:val="24"/>
        </w:rPr>
        <w:t xml:space="preserve"> and (G) in LSC17</w:t>
      </w:r>
      <w:r>
        <w:rPr>
          <w:rFonts w:cs="Times New Roman"/>
          <w:szCs w:val="24"/>
          <w:vertAlign w:val="superscript"/>
        </w:rPr>
        <w:t>high</w:t>
      </w:r>
      <w:r>
        <w:rPr>
          <w:rFonts w:cs="Times New Roman"/>
          <w:szCs w:val="24"/>
        </w:rPr>
        <w:t xml:space="preserve"> patients.</w:t>
      </w:r>
    </w:p>
    <w:sectPr w:rsidR="00DD142B">
      <w:headerReference w:type="default" r:id="rId9"/>
      <w:footerReference w:type="even" r:id="rId10"/>
      <w:footerReference w:type="default" r:id="rId11"/>
      <w:pgSz w:w="11900" w:h="16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7D643" w14:textId="77777777" w:rsidR="00F23CC1" w:rsidRDefault="00F23CC1">
      <w:pPr>
        <w:spacing w:after="0" w:line="240" w:lineRule="auto"/>
      </w:pPr>
      <w:r>
        <w:separator/>
      </w:r>
    </w:p>
  </w:endnote>
  <w:endnote w:type="continuationSeparator" w:id="0">
    <w:p w14:paraId="3E5B2EE7" w14:textId="77777777" w:rsidR="00F23CC1" w:rsidRDefault="00F23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default"/>
  </w:font>
  <w:font w:name="Segoe UI">
    <w:panose1 w:val="020B0502040204020203"/>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0AEFA" w14:textId="77777777" w:rsidR="00DD142B" w:rsidRDefault="00F23CC1">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28584DD" w14:textId="77777777" w:rsidR="00DD142B" w:rsidRDefault="00DD142B">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31F30" w14:textId="77777777" w:rsidR="00DD142B" w:rsidRDefault="00F23CC1">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4A72FC">
      <w:rPr>
        <w:rStyle w:val="Seitenzahl"/>
        <w:noProof/>
      </w:rPr>
      <w:t>1</w:t>
    </w:r>
    <w:r>
      <w:rPr>
        <w:rStyle w:val="Seitenzahl"/>
      </w:rPr>
      <w:fldChar w:fldCharType="end"/>
    </w:r>
  </w:p>
  <w:p w14:paraId="6E20601B" w14:textId="77777777" w:rsidR="00DD142B" w:rsidRDefault="00DD142B">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D3B61" w14:textId="77777777" w:rsidR="00F23CC1" w:rsidRDefault="00F23CC1">
      <w:pPr>
        <w:spacing w:line="240" w:lineRule="auto"/>
      </w:pPr>
      <w:r>
        <w:separator/>
      </w:r>
    </w:p>
  </w:footnote>
  <w:footnote w:type="continuationSeparator" w:id="0">
    <w:p w14:paraId="50AFA3EB" w14:textId="77777777" w:rsidR="00F23CC1" w:rsidRDefault="00F23CC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DEC55" w14:textId="77777777" w:rsidR="00DD142B" w:rsidRDefault="00F23CC1">
    <w:pPr>
      <w:pStyle w:val="Kopfzeile"/>
      <w:rPr>
        <w:rFonts w:cs="Times New Roman"/>
        <w:sz w:val="20"/>
        <w:lang w:val="de-DE"/>
      </w:rPr>
    </w:pPr>
    <w:r>
      <w:rPr>
        <w:rFonts w:cs="Times New Roman"/>
        <w:sz w:val="20"/>
        <w:lang w:val="de-DE"/>
      </w:rPr>
      <w:t>Angenendt et al. CALCRL in AML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06AF"/>
    <w:multiLevelType w:val="hybridMultilevel"/>
    <w:tmpl w:val="4CB8C85E"/>
    <w:lvl w:ilvl="0" w:tplc="5EF686D4">
      <w:start w:val="1"/>
      <w:numFmt w:val="bullet"/>
      <w:lvlText w:val="-"/>
      <w:lvlJc w:val="left"/>
      <w:pPr>
        <w:ind w:left="720" w:hanging="359"/>
      </w:pPr>
      <w:rPr>
        <w:rFonts w:ascii="Arial" w:eastAsia="Cambria" w:hAnsi="Arial" w:cs="Arial" w:hint="default"/>
      </w:rPr>
    </w:lvl>
    <w:lvl w:ilvl="1" w:tplc="DE0ABAFC">
      <w:start w:val="1"/>
      <w:numFmt w:val="bullet"/>
      <w:lvlText w:val="o"/>
      <w:lvlJc w:val="left"/>
      <w:pPr>
        <w:ind w:left="1440" w:hanging="359"/>
      </w:pPr>
      <w:rPr>
        <w:rFonts w:ascii="Courier New" w:hAnsi="Courier New" w:cs="Courier New" w:hint="default"/>
      </w:rPr>
    </w:lvl>
    <w:lvl w:ilvl="2" w:tplc="F182A6C6">
      <w:start w:val="1"/>
      <w:numFmt w:val="bullet"/>
      <w:lvlText w:val=""/>
      <w:lvlJc w:val="left"/>
      <w:pPr>
        <w:ind w:left="2160" w:hanging="359"/>
      </w:pPr>
      <w:rPr>
        <w:rFonts w:ascii="Wingdings" w:hAnsi="Wingdings" w:hint="default"/>
      </w:rPr>
    </w:lvl>
    <w:lvl w:ilvl="3" w:tplc="8EE098D0">
      <w:start w:val="1"/>
      <w:numFmt w:val="bullet"/>
      <w:lvlText w:val=""/>
      <w:lvlJc w:val="left"/>
      <w:pPr>
        <w:ind w:left="2880" w:hanging="359"/>
      </w:pPr>
      <w:rPr>
        <w:rFonts w:ascii="Symbol" w:hAnsi="Symbol" w:hint="default"/>
      </w:rPr>
    </w:lvl>
    <w:lvl w:ilvl="4" w:tplc="CEF88AE8">
      <w:start w:val="1"/>
      <w:numFmt w:val="bullet"/>
      <w:lvlText w:val="o"/>
      <w:lvlJc w:val="left"/>
      <w:pPr>
        <w:ind w:left="3600" w:hanging="359"/>
      </w:pPr>
      <w:rPr>
        <w:rFonts w:ascii="Courier New" w:hAnsi="Courier New" w:cs="Courier New" w:hint="default"/>
      </w:rPr>
    </w:lvl>
    <w:lvl w:ilvl="5" w:tplc="686A4520">
      <w:start w:val="1"/>
      <w:numFmt w:val="bullet"/>
      <w:lvlText w:val=""/>
      <w:lvlJc w:val="left"/>
      <w:pPr>
        <w:ind w:left="4320" w:hanging="359"/>
      </w:pPr>
      <w:rPr>
        <w:rFonts w:ascii="Wingdings" w:hAnsi="Wingdings" w:hint="default"/>
      </w:rPr>
    </w:lvl>
    <w:lvl w:ilvl="6" w:tplc="366C18C0">
      <w:start w:val="1"/>
      <w:numFmt w:val="bullet"/>
      <w:lvlText w:val=""/>
      <w:lvlJc w:val="left"/>
      <w:pPr>
        <w:ind w:left="5040" w:hanging="359"/>
      </w:pPr>
      <w:rPr>
        <w:rFonts w:ascii="Symbol" w:hAnsi="Symbol" w:hint="default"/>
      </w:rPr>
    </w:lvl>
    <w:lvl w:ilvl="7" w:tplc="CB8409F2">
      <w:start w:val="1"/>
      <w:numFmt w:val="bullet"/>
      <w:lvlText w:val="o"/>
      <w:lvlJc w:val="left"/>
      <w:pPr>
        <w:ind w:left="5760" w:hanging="359"/>
      </w:pPr>
      <w:rPr>
        <w:rFonts w:ascii="Courier New" w:hAnsi="Courier New" w:cs="Courier New" w:hint="default"/>
      </w:rPr>
    </w:lvl>
    <w:lvl w:ilvl="8" w:tplc="FFB44862">
      <w:start w:val="1"/>
      <w:numFmt w:val="bullet"/>
      <w:lvlText w:val=""/>
      <w:lvlJc w:val="left"/>
      <w:pPr>
        <w:ind w:left="6480" w:hanging="359"/>
      </w:pPr>
      <w:rPr>
        <w:rFonts w:ascii="Wingdings" w:hAnsi="Wingdings" w:hint="default"/>
      </w:rPr>
    </w:lvl>
  </w:abstractNum>
  <w:abstractNum w:abstractNumId="1">
    <w:nsid w:val="0E0C25AF"/>
    <w:multiLevelType w:val="hybridMultilevel"/>
    <w:tmpl w:val="BB16D7B2"/>
    <w:lvl w:ilvl="0" w:tplc="5B94C4D8">
      <w:start w:val="76"/>
      <w:numFmt w:val="bullet"/>
      <w:lvlText w:val=""/>
      <w:lvlJc w:val="left"/>
      <w:pPr>
        <w:ind w:left="720" w:hanging="359"/>
      </w:pPr>
      <w:rPr>
        <w:rFonts w:ascii="Symbol" w:eastAsia="Cambria" w:hAnsi="Symbol" w:cs="Arial" w:hint="default"/>
      </w:rPr>
    </w:lvl>
    <w:lvl w:ilvl="1" w:tplc="0D00FECA">
      <w:start w:val="1"/>
      <w:numFmt w:val="bullet"/>
      <w:lvlText w:val="o"/>
      <w:lvlJc w:val="left"/>
      <w:pPr>
        <w:ind w:left="1440" w:hanging="359"/>
      </w:pPr>
      <w:rPr>
        <w:rFonts w:ascii="Courier New" w:hAnsi="Courier New" w:cs="Courier New" w:hint="default"/>
      </w:rPr>
    </w:lvl>
    <w:lvl w:ilvl="2" w:tplc="529E112E">
      <w:start w:val="1"/>
      <w:numFmt w:val="bullet"/>
      <w:lvlText w:val=""/>
      <w:lvlJc w:val="left"/>
      <w:pPr>
        <w:ind w:left="2160" w:hanging="359"/>
      </w:pPr>
      <w:rPr>
        <w:rFonts w:ascii="Wingdings" w:hAnsi="Wingdings" w:hint="default"/>
      </w:rPr>
    </w:lvl>
    <w:lvl w:ilvl="3" w:tplc="8F30D022">
      <w:start w:val="1"/>
      <w:numFmt w:val="bullet"/>
      <w:lvlText w:val=""/>
      <w:lvlJc w:val="left"/>
      <w:pPr>
        <w:ind w:left="2880" w:hanging="359"/>
      </w:pPr>
      <w:rPr>
        <w:rFonts w:ascii="Symbol" w:hAnsi="Symbol" w:hint="default"/>
      </w:rPr>
    </w:lvl>
    <w:lvl w:ilvl="4" w:tplc="49CC8804">
      <w:start w:val="1"/>
      <w:numFmt w:val="bullet"/>
      <w:lvlText w:val="o"/>
      <w:lvlJc w:val="left"/>
      <w:pPr>
        <w:ind w:left="3600" w:hanging="359"/>
      </w:pPr>
      <w:rPr>
        <w:rFonts w:ascii="Courier New" w:hAnsi="Courier New" w:cs="Courier New" w:hint="default"/>
      </w:rPr>
    </w:lvl>
    <w:lvl w:ilvl="5" w:tplc="8372493A">
      <w:start w:val="1"/>
      <w:numFmt w:val="bullet"/>
      <w:lvlText w:val=""/>
      <w:lvlJc w:val="left"/>
      <w:pPr>
        <w:ind w:left="4320" w:hanging="359"/>
      </w:pPr>
      <w:rPr>
        <w:rFonts w:ascii="Wingdings" w:hAnsi="Wingdings" w:hint="default"/>
      </w:rPr>
    </w:lvl>
    <w:lvl w:ilvl="6" w:tplc="9AE0EB78">
      <w:start w:val="1"/>
      <w:numFmt w:val="bullet"/>
      <w:lvlText w:val=""/>
      <w:lvlJc w:val="left"/>
      <w:pPr>
        <w:ind w:left="5040" w:hanging="359"/>
      </w:pPr>
      <w:rPr>
        <w:rFonts w:ascii="Symbol" w:hAnsi="Symbol" w:hint="default"/>
      </w:rPr>
    </w:lvl>
    <w:lvl w:ilvl="7" w:tplc="1FA2D362">
      <w:start w:val="1"/>
      <w:numFmt w:val="bullet"/>
      <w:lvlText w:val="o"/>
      <w:lvlJc w:val="left"/>
      <w:pPr>
        <w:ind w:left="5760" w:hanging="359"/>
      </w:pPr>
      <w:rPr>
        <w:rFonts w:ascii="Courier New" w:hAnsi="Courier New" w:cs="Courier New" w:hint="default"/>
      </w:rPr>
    </w:lvl>
    <w:lvl w:ilvl="8" w:tplc="FF144AA2">
      <w:start w:val="1"/>
      <w:numFmt w:val="bullet"/>
      <w:lvlText w:val=""/>
      <w:lvlJc w:val="left"/>
      <w:pPr>
        <w:ind w:left="6480" w:hanging="359"/>
      </w:pPr>
      <w:rPr>
        <w:rFonts w:ascii="Wingdings" w:hAnsi="Wingdings" w:hint="default"/>
      </w:rPr>
    </w:lvl>
  </w:abstractNum>
  <w:abstractNum w:abstractNumId="2">
    <w:nsid w:val="59833A78"/>
    <w:multiLevelType w:val="hybridMultilevel"/>
    <w:tmpl w:val="7E9245F2"/>
    <w:lvl w:ilvl="0" w:tplc="A8A68582">
      <w:start w:val="4"/>
      <w:numFmt w:val="bullet"/>
      <w:lvlText w:val="-"/>
      <w:lvlJc w:val="left"/>
      <w:pPr>
        <w:ind w:left="720" w:hanging="359"/>
      </w:pPr>
      <w:rPr>
        <w:rFonts w:ascii="Times New Roman" w:eastAsia="Cambria" w:hAnsi="Times New Roman" w:cs="Times New Roman" w:hint="default"/>
      </w:rPr>
    </w:lvl>
    <w:lvl w:ilvl="1" w:tplc="6960F468">
      <w:start w:val="1"/>
      <w:numFmt w:val="bullet"/>
      <w:lvlText w:val="o"/>
      <w:lvlJc w:val="left"/>
      <w:pPr>
        <w:ind w:left="1440" w:hanging="359"/>
      </w:pPr>
      <w:rPr>
        <w:rFonts w:ascii="Courier New" w:hAnsi="Courier New" w:cs="Courier New" w:hint="default"/>
      </w:rPr>
    </w:lvl>
    <w:lvl w:ilvl="2" w:tplc="BD608D8E">
      <w:start w:val="1"/>
      <w:numFmt w:val="bullet"/>
      <w:lvlText w:val=""/>
      <w:lvlJc w:val="left"/>
      <w:pPr>
        <w:ind w:left="2160" w:hanging="359"/>
      </w:pPr>
      <w:rPr>
        <w:rFonts w:ascii="Wingdings" w:hAnsi="Wingdings" w:hint="default"/>
      </w:rPr>
    </w:lvl>
    <w:lvl w:ilvl="3" w:tplc="04963E0C">
      <w:start w:val="1"/>
      <w:numFmt w:val="bullet"/>
      <w:lvlText w:val=""/>
      <w:lvlJc w:val="left"/>
      <w:pPr>
        <w:ind w:left="2880" w:hanging="359"/>
      </w:pPr>
      <w:rPr>
        <w:rFonts w:ascii="Symbol" w:hAnsi="Symbol" w:hint="default"/>
      </w:rPr>
    </w:lvl>
    <w:lvl w:ilvl="4" w:tplc="B00AED0E">
      <w:start w:val="1"/>
      <w:numFmt w:val="bullet"/>
      <w:lvlText w:val="o"/>
      <w:lvlJc w:val="left"/>
      <w:pPr>
        <w:ind w:left="3600" w:hanging="359"/>
      </w:pPr>
      <w:rPr>
        <w:rFonts w:ascii="Courier New" w:hAnsi="Courier New" w:cs="Courier New" w:hint="default"/>
      </w:rPr>
    </w:lvl>
    <w:lvl w:ilvl="5" w:tplc="CE4A9C2C">
      <w:start w:val="1"/>
      <w:numFmt w:val="bullet"/>
      <w:lvlText w:val=""/>
      <w:lvlJc w:val="left"/>
      <w:pPr>
        <w:ind w:left="4320" w:hanging="359"/>
      </w:pPr>
      <w:rPr>
        <w:rFonts w:ascii="Wingdings" w:hAnsi="Wingdings" w:hint="default"/>
      </w:rPr>
    </w:lvl>
    <w:lvl w:ilvl="6" w:tplc="BB9CD272">
      <w:start w:val="1"/>
      <w:numFmt w:val="bullet"/>
      <w:lvlText w:val=""/>
      <w:lvlJc w:val="left"/>
      <w:pPr>
        <w:ind w:left="5040" w:hanging="359"/>
      </w:pPr>
      <w:rPr>
        <w:rFonts w:ascii="Symbol" w:hAnsi="Symbol" w:hint="default"/>
      </w:rPr>
    </w:lvl>
    <w:lvl w:ilvl="7" w:tplc="E9282B32">
      <w:start w:val="1"/>
      <w:numFmt w:val="bullet"/>
      <w:lvlText w:val="o"/>
      <w:lvlJc w:val="left"/>
      <w:pPr>
        <w:ind w:left="5760" w:hanging="359"/>
      </w:pPr>
      <w:rPr>
        <w:rFonts w:ascii="Courier New" w:hAnsi="Courier New" w:cs="Courier New" w:hint="default"/>
      </w:rPr>
    </w:lvl>
    <w:lvl w:ilvl="8" w:tplc="AB44E51C">
      <w:start w:val="1"/>
      <w:numFmt w:val="bullet"/>
      <w:lvlText w:val=""/>
      <w:lvlJc w:val="left"/>
      <w:pPr>
        <w:ind w:left="6480" w:hanging="359"/>
      </w:pPr>
      <w:rPr>
        <w:rFonts w:ascii="Wingdings" w:hAnsi="Wingdings" w:hint="default"/>
      </w:rPr>
    </w:lvl>
  </w:abstractNum>
  <w:abstractNum w:abstractNumId="3">
    <w:nsid w:val="5AC2019B"/>
    <w:multiLevelType w:val="hybridMultilevel"/>
    <w:tmpl w:val="76A4CE26"/>
    <w:lvl w:ilvl="0" w:tplc="22BA8010">
      <w:start w:val="96"/>
      <w:numFmt w:val="bullet"/>
      <w:lvlText w:val=""/>
      <w:lvlJc w:val="left"/>
      <w:pPr>
        <w:ind w:left="720" w:hanging="359"/>
      </w:pPr>
      <w:rPr>
        <w:rFonts w:ascii="Symbol" w:eastAsia="Cambria" w:hAnsi="Symbol" w:cs="Arial" w:hint="default"/>
      </w:rPr>
    </w:lvl>
    <w:lvl w:ilvl="1" w:tplc="60ECA768">
      <w:start w:val="1"/>
      <w:numFmt w:val="bullet"/>
      <w:lvlText w:val="o"/>
      <w:lvlJc w:val="left"/>
      <w:pPr>
        <w:ind w:left="1440" w:hanging="359"/>
      </w:pPr>
      <w:rPr>
        <w:rFonts w:ascii="Courier New" w:hAnsi="Courier New" w:cs="Courier New" w:hint="default"/>
      </w:rPr>
    </w:lvl>
    <w:lvl w:ilvl="2" w:tplc="CC1E1612">
      <w:start w:val="1"/>
      <w:numFmt w:val="bullet"/>
      <w:lvlText w:val=""/>
      <w:lvlJc w:val="left"/>
      <w:pPr>
        <w:ind w:left="2160" w:hanging="359"/>
      </w:pPr>
      <w:rPr>
        <w:rFonts w:ascii="Wingdings" w:hAnsi="Wingdings" w:hint="default"/>
      </w:rPr>
    </w:lvl>
    <w:lvl w:ilvl="3" w:tplc="12C439D2">
      <w:start w:val="1"/>
      <w:numFmt w:val="bullet"/>
      <w:lvlText w:val=""/>
      <w:lvlJc w:val="left"/>
      <w:pPr>
        <w:ind w:left="2880" w:hanging="359"/>
      </w:pPr>
      <w:rPr>
        <w:rFonts w:ascii="Symbol" w:hAnsi="Symbol" w:hint="default"/>
      </w:rPr>
    </w:lvl>
    <w:lvl w:ilvl="4" w:tplc="876EF86E">
      <w:start w:val="1"/>
      <w:numFmt w:val="bullet"/>
      <w:lvlText w:val="o"/>
      <w:lvlJc w:val="left"/>
      <w:pPr>
        <w:ind w:left="3600" w:hanging="359"/>
      </w:pPr>
      <w:rPr>
        <w:rFonts w:ascii="Courier New" w:hAnsi="Courier New" w:cs="Courier New" w:hint="default"/>
      </w:rPr>
    </w:lvl>
    <w:lvl w:ilvl="5" w:tplc="5ABC75D2">
      <w:start w:val="1"/>
      <w:numFmt w:val="bullet"/>
      <w:lvlText w:val=""/>
      <w:lvlJc w:val="left"/>
      <w:pPr>
        <w:ind w:left="4320" w:hanging="359"/>
      </w:pPr>
      <w:rPr>
        <w:rFonts w:ascii="Wingdings" w:hAnsi="Wingdings" w:hint="default"/>
      </w:rPr>
    </w:lvl>
    <w:lvl w:ilvl="6" w:tplc="6DEA09E6">
      <w:start w:val="1"/>
      <w:numFmt w:val="bullet"/>
      <w:lvlText w:val=""/>
      <w:lvlJc w:val="left"/>
      <w:pPr>
        <w:ind w:left="5040" w:hanging="359"/>
      </w:pPr>
      <w:rPr>
        <w:rFonts w:ascii="Symbol" w:hAnsi="Symbol" w:hint="default"/>
      </w:rPr>
    </w:lvl>
    <w:lvl w:ilvl="7" w:tplc="2514C37C">
      <w:start w:val="1"/>
      <w:numFmt w:val="bullet"/>
      <w:lvlText w:val="o"/>
      <w:lvlJc w:val="left"/>
      <w:pPr>
        <w:ind w:left="5760" w:hanging="359"/>
      </w:pPr>
      <w:rPr>
        <w:rFonts w:ascii="Courier New" w:hAnsi="Courier New" w:cs="Courier New" w:hint="default"/>
      </w:rPr>
    </w:lvl>
    <w:lvl w:ilvl="8" w:tplc="02BC4EB0">
      <w:start w:val="1"/>
      <w:numFmt w:val="bullet"/>
      <w:lvlText w:val=""/>
      <w:lvlJc w:val="left"/>
      <w:pPr>
        <w:ind w:left="6480" w:hanging="359"/>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42B"/>
    <w:rsid w:val="004A72FC"/>
    <w:rsid w:val="00B4061E"/>
    <w:rsid w:val="00DD142B"/>
    <w:rsid w:val="00F23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B0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120" w:line="480" w:lineRule="auto"/>
      <w:jc w:val="both"/>
    </w:pPr>
    <w:rPr>
      <w:rFonts w:ascii="Times New Roman" w:hAnsi="Times New Roman" w:cs="Arial"/>
      <w:szCs w:val="22"/>
    </w:rPr>
  </w:style>
  <w:style w:type="paragraph" w:styleId="berschrift1">
    <w:name w:val="heading 1"/>
    <w:basedOn w:val="Standard"/>
    <w:link w:val="berschrift1Zchn"/>
    <w:uiPriority w:val="9"/>
    <w:qFormat/>
    <w:pPr>
      <w:outlineLvl w:val="0"/>
    </w:pPr>
    <w:rPr>
      <w:rFonts w:eastAsia="Times New Roman"/>
      <w:b/>
      <w:sz w:val="28"/>
    </w:rPr>
  </w:style>
  <w:style w:type="paragraph" w:styleId="berschrift2">
    <w:name w:val="heading 2"/>
    <w:basedOn w:val="berschrift1"/>
    <w:next w:val="Standard"/>
    <w:link w:val="berschrift2Zchn"/>
    <w:uiPriority w:val="9"/>
    <w:unhideWhenUsed/>
    <w:qFormat/>
    <w:pPr>
      <w:spacing w:before="120" w:after="0"/>
      <w:outlineLvl w:val="1"/>
    </w:pPr>
    <w:rPr>
      <w:sz w:val="2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b/>
      <w:bCs/>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b/>
      <w:bCs/>
      <w:sz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b/>
      <w:bCs/>
      <w:i/>
      <w:iCs/>
      <w:sz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i/>
      <w:iCs/>
      <w:sz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aleTabelle"/>
    <w:uiPriority w:val="99"/>
    <w:rPr>
      <w:color w:val="404040"/>
      <w:sz w:val="20"/>
      <w:szCs w:val="20"/>
      <w:lang w:val="de-DE"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rPr>
      <w:color w:val="404040"/>
      <w:sz w:val="20"/>
      <w:szCs w:val="20"/>
      <w:lang w:val="de-DE"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eTabelle"/>
    <w:uiPriority w:val="99"/>
    <w:rPr>
      <w:color w:val="404040"/>
      <w:sz w:val="20"/>
      <w:szCs w:val="20"/>
      <w:lang w:val="de-DE"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eTabelle"/>
    <w:uiPriority w:val="99"/>
    <w:rPr>
      <w:color w:val="404040"/>
      <w:sz w:val="20"/>
      <w:szCs w:val="20"/>
      <w:lang w:val="de-DE"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eTabelle"/>
    <w:uiPriority w:val="99"/>
    <w:rPr>
      <w:color w:val="404040"/>
      <w:sz w:val="20"/>
      <w:szCs w:val="20"/>
      <w:lang w:val="de-DE"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rPr>
      <w:color w:val="404040"/>
      <w:sz w:val="20"/>
      <w:szCs w:val="20"/>
      <w:lang w:val="de-DE"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rPr>
      <w:color w:val="404040"/>
      <w:sz w:val="20"/>
      <w:szCs w:val="20"/>
      <w:lang w:val="de-DE"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aleTabelle"/>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aleTabelle"/>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aleTabelle"/>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aleTabelle"/>
    <w:uiPriority w:val="99"/>
    <w:rPr>
      <w:color w:val="404040"/>
      <w:sz w:val="20"/>
      <w:szCs w:val="20"/>
      <w:lang w:val="de-DE" w:eastAsia="de-D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rPr>
      <w:color w:val="404040"/>
      <w:sz w:val="20"/>
      <w:szCs w:val="20"/>
      <w:lang w:val="de-DE" w:eastAsia="de-DE"/>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aleTabelle"/>
    <w:uiPriority w:val="99"/>
    <w:rPr>
      <w:color w:val="404040"/>
      <w:sz w:val="20"/>
      <w:szCs w:val="20"/>
      <w:lang w:val="de-DE" w:eastAsia="de-DE"/>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aleTabelle"/>
    <w:uiPriority w:val="99"/>
    <w:rPr>
      <w:color w:val="404040"/>
      <w:sz w:val="20"/>
      <w:szCs w:val="20"/>
      <w:lang w:val="de-DE" w:eastAsia="de-DE"/>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aleTabelle"/>
    <w:uiPriority w:val="99"/>
    <w:rPr>
      <w:color w:val="404040"/>
      <w:sz w:val="20"/>
      <w:szCs w:val="20"/>
      <w:lang w:val="de-DE" w:eastAsia="de-DE"/>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rPr>
      <w:color w:val="404040"/>
      <w:sz w:val="20"/>
      <w:szCs w:val="20"/>
      <w:lang w:val="de-DE" w:eastAsia="de-DE"/>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rPr>
      <w:color w:val="404040"/>
      <w:sz w:val="20"/>
      <w:szCs w:val="20"/>
      <w:lang w:val="de-DE" w:eastAsia="de-DE"/>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character" w:styleId="Hervorhebung">
    <w:name w:val="Emphasis"/>
    <w:basedOn w:val="Absatz-Standardschriftart"/>
    <w:uiPriority w:val="20"/>
    <w:qFormat/>
    <w:rPr>
      <w:i/>
      <w:iCs/>
    </w:rPr>
  </w:style>
  <w:style w:type="character" w:customStyle="1" w:styleId="berschrift1Zchn">
    <w:name w:val="Überschrift 1 Zchn"/>
    <w:basedOn w:val="Absatz-Standardschriftart"/>
    <w:link w:val="berschrift1"/>
    <w:uiPriority w:val="9"/>
    <w:rPr>
      <w:rFonts w:ascii="Times New Roman" w:eastAsia="Times New Roman" w:hAnsi="Times New Roman" w:cs="Arial"/>
      <w:b/>
      <w:sz w:val="28"/>
      <w:szCs w:val="22"/>
    </w:rPr>
  </w:style>
  <w:style w:type="character" w:customStyle="1" w:styleId="st">
    <w:name w:val="st"/>
    <w:basedOn w:val="Absatz-Standardschriftart"/>
  </w:style>
  <w:style w:type="paragraph" w:styleId="StandardWeb">
    <w:name w:val="Normal (Web)"/>
    <w:basedOn w:val="Standard"/>
    <w:uiPriority w:val="99"/>
    <w:semiHidden/>
    <w:unhideWhenUsed/>
    <w:pPr>
      <w:spacing w:before="100" w:beforeAutospacing="1" w:after="100" w:afterAutospacing="1"/>
    </w:pPr>
    <w:rPr>
      <w:rFonts w:ascii="Times" w:hAnsi="Times" w:cs="Times New Roman"/>
      <w:sz w:val="20"/>
      <w:szCs w:val="20"/>
    </w:rPr>
  </w:style>
  <w:style w:type="character" w:styleId="Fett">
    <w:name w:val="Strong"/>
    <w:basedOn w:val="Absatz-Standardschriftart"/>
    <w:uiPriority w:val="22"/>
    <w:qFormat/>
    <w:rPr>
      <w:b/>
      <w:bCs/>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customStyle="1" w:styleId="berschrift2Zchn">
    <w:name w:val="Überschrift 2 Zchn"/>
    <w:basedOn w:val="Absatz-Standardschriftart"/>
    <w:link w:val="berschrift2"/>
    <w:uiPriority w:val="9"/>
    <w:rPr>
      <w:rFonts w:ascii="Times New Roman" w:eastAsia="Times New Roman" w:hAnsi="Times New Roman" w:cs="Arial"/>
      <w:b/>
      <w:szCs w:val="22"/>
    </w:rPr>
  </w:style>
  <w:style w:type="character" w:styleId="Hyperlink">
    <w:name w:val="Hyperlink"/>
    <w:basedOn w:val="Absatz-Standardschriftart"/>
    <w:uiPriority w:val="99"/>
    <w:unhideWhenUsed/>
    <w:rPr>
      <w:color w:val="0000FF" w:themeColor="hyperlink"/>
      <w:u w:val="single"/>
    </w:rPr>
  </w:style>
  <w:style w:type="character" w:styleId="BesuchterHyperlink">
    <w:name w:val="FollowedHyperlink"/>
    <w:basedOn w:val="Absatz-Standardschriftart"/>
    <w:uiPriority w:val="99"/>
    <w:semiHidden/>
    <w:unhideWhenUsed/>
    <w:rPr>
      <w:color w:val="800080" w:themeColor="followedHyperlink"/>
      <w:u w:val="single"/>
    </w:rPr>
  </w:style>
  <w:style w:type="table" w:customStyle="1" w:styleId="EinfacheTabelle41">
    <w:name w:val="Einfache Tabelle 41"/>
    <w:basedOn w:val="NormaleTabelle"/>
    <w:uiPriority w:val="44"/>
    <w:rPr>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ndNoteBibliographyTitle">
    <w:name w:val="EndNote Bibliography Title"/>
    <w:basedOn w:val="Standard"/>
    <w:pPr>
      <w:jc w:val="center"/>
    </w:pPr>
    <w:rPr>
      <w:rFonts w:cs="Times New Roman"/>
    </w:rPr>
  </w:style>
  <w:style w:type="paragraph" w:customStyle="1" w:styleId="EndNoteBibliography">
    <w:name w:val="EndNote Bibliography"/>
    <w:basedOn w:val="Standard"/>
    <w:pPr>
      <w:spacing w:line="360" w:lineRule="auto"/>
    </w:pPr>
    <w:rPr>
      <w:rFonts w:cs="Times New Roman"/>
    </w:rPr>
  </w:style>
  <w:style w:type="paragraph" w:styleId="Listenabsatz">
    <w:name w:val="List Paragraph"/>
    <w:basedOn w:val="Standard"/>
    <w:uiPriority w:val="34"/>
    <w:qFormat/>
    <w:pPr>
      <w:ind w:left="720"/>
      <w:contextualSpacing/>
    </w:p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Arial" w:hAnsi="Arial" w:cs="Arial"/>
      <w:sz w:val="22"/>
      <w:szCs w:val="22"/>
    </w:rPr>
  </w:style>
  <w:style w:type="character" w:styleId="Seitenzahl">
    <w:name w:val="page number"/>
    <w:basedOn w:val="Absatz-Standardschriftart"/>
    <w:uiPriority w:val="99"/>
    <w:semiHidden/>
    <w:unhideWhenUsed/>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Arial" w:hAnsi="Arial" w:cs="Arial"/>
      <w:sz w:val="22"/>
      <w:szCs w:val="22"/>
    </w:rPr>
  </w:style>
  <w:style w:type="character" w:customStyle="1" w:styleId="UnresolvedMention">
    <w:name w:val="Unresolved Mention"/>
    <w:basedOn w:val="Absatz-Standardschriftart"/>
    <w:uiPriority w:val="99"/>
    <w:semiHidden/>
    <w:unhideWhenUsed/>
    <w:rPr>
      <w:color w:val="808080"/>
      <w:shd w:val="clear" w:color="auto" w:fill="E6E6E6"/>
    </w:rPr>
  </w:style>
  <w:style w:type="paragraph" w:styleId="berarbeitung">
    <w:name w:val="Revision"/>
    <w:hidden/>
    <w:uiPriority w:val="99"/>
    <w:semiHidden/>
    <w:rPr>
      <w:rFonts w:ascii="Arial" w:hAnsi="Arial" w:cs="Arial"/>
      <w:sz w:val="22"/>
      <w:szCs w:val="22"/>
    </w:rPr>
  </w:style>
  <w:style w:type="character" w:styleId="Zeilennummer">
    <w:name w:val="line number"/>
    <w:basedOn w:val="Absatz-Standardschriftar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120" w:line="480" w:lineRule="auto"/>
      <w:jc w:val="both"/>
    </w:pPr>
    <w:rPr>
      <w:rFonts w:ascii="Times New Roman" w:hAnsi="Times New Roman" w:cs="Arial"/>
      <w:szCs w:val="22"/>
    </w:rPr>
  </w:style>
  <w:style w:type="paragraph" w:styleId="berschrift1">
    <w:name w:val="heading 1"/>
    <w:basedOn w:val="Standard"/>
    <w:link w:val="berschrift1Zchn"/>
    <w:uiPriority w:val="9"/>
    <w:qFormat/>
    <w:pPr>
      <w:outlineLvl w:val="0"/>
    </w:pPr>
    <w:rPr>
      <w:rFonts w:eastAsia="Times New Roman"/>
      <w:b/>
      <w:sz w:val="28"/>
    </w:rPr>
  </w:style>
  <w:style w:type="paragraph" w:styleId="berschrift2">
    <w:name w:val="heading 2"/>
    <w:basedOn w:val="berschrift1"/>
    <w:next w:val="Standard"/>
    <w:link w:val="berschrift2Zchn"/>
    <w:uiPriority w:val="9"/>
    <w:unhideWhenUsed/>
    <w:qFormat/>
    <w:pPr>
      <w:spacing w:before="120" w:after="0"/>
      <w:outlineLvl w:val="1"/>
    </w:pPr>
    <w:rPr>
      <w:sz w:val="2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b/>
      <w:bCs/>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b/>
      <w:bCs/>
      <w:sz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b/>
      <w:bCs/>
      <w:i/>
      <w:iCs/>
      <w:sz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i/>
      <w:iCs/>
      <w:sz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aleTabelle"/>
    <w:uiPriority w:val="99"/>
    <w:rPr>
      <w:color w:val="404040"/>
      <w:sz w:val="20"/>
      <w:szCs w:val="20"/>
      <w:lang w:val="de-DE"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rPr>
      <w:color w:val="404040"/>
      <w:sz w:val="20"/>
      <w:szCs w:val="20"/>
      <w:lang w:val="de-DE"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eTabelle"/>
    <w:uiPriority w:val="99"/>
    <w:rPr>
      <w:color w:val="404040"/>
      <w:sz w:val="20"/>
      <w:szCs w:val="20"/>
      <w:lang w:val="de-DE"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eTabelle"/>
    <w:uiPriority w:val="99"/>
    <w:rPr>
      <w:color w:val="404040"/>
      <w:sz w:val="20"/>
      <w:szCs w:val="20"/>
      <w:lang w:val="de-DE"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eTabelle"/>
    <w:uiPriority w:val="99"/>
    <w:rPr>
      <w:color w:val="404040"/>
      <w:sz w:val="20"/>
      <w:szCs w:val="20"/>
      <w:lang w:val="de-DE"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rPr>
      <w:color w:val="404040"/>
      <w:sz w:val="20"/>
      <w:szCs w:val="20"/>
      <w:lang w:val="de-DE"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rPr>
      <w:color w:val="404040"/>
      <w:sz w:val="20"/>
      <w:szCs w:val="20"/>
      <w:lang w:val="de-DE"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aleTabelle"/>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aleTabelle"/>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aleTabelle"/>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aleTabelle"/>
    <w:uiPriority w:val="99"/>
    <w:rPr>
      <w:color w:val="404040"/>
      <w:sz w:val="20"/>
      <w:szCs w:val="20"/>
      <w:lang w:val="de-DE" w:eastAsia="de-D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rPr>
      <w:color w:val="404040"/>
      <w:sz w:val="20"/>
      <w:szCs w:val="20"/>
      <w:lang w:val="de-DE" w:eastAsia="de-DE"/>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aleTabelle"/>
    <w:uiPriority w:val="99"/>
    <w:rPr>
      <w:color w:val="404040"/>
      <w:sz w:val="20"/>
      <w:szCs w:val="20"/>
      <w:lang w:val="de-DE" w:eastAsia="de-DE"/>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aleTabelle"/>
    <w:uiPriority w:val="99"/>
    <w:rPr>
      <w:color w:val="404040"/>
      <w:sz w:val="20"/>
      <w:szCs w:val="20"/>
      <w:lang w:val="de-DE" w:eastAsia="de-DE"/>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aleTabelle"/>
    <w:uiPriority w:val="99"/>
    <w:rPr>
      <w:color w:val="404040"/>
      <w:sz w:val="20"/>
      <w:szCs w:val="20"/>
      <w:lang w:val="de-DE" w:eastAsia="de-DE"/>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rPr>
      <w:color w:val="404040"/>
      <w:sz w:val="20"/>
      <w:szCs w:val="20"/>
      <w:lang w:val="de-DE" w:eastAsia="de-DE"/>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rPr>
      <w:color w:val="404040"/>
      <w:sz w:val="20"/>
      <w:szCs w:val="20"/>
      <w:lang w:val="de-DE" w:eastAsia="de-DE"/>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character" w:styleId="Hervorhebung">
    <w:name w:val="Emphasis"/>
    <w:basedOn w:val="Absatz-Standardschriftart"/>
    <w:uiPriority w:val="20"/>
    <w:qFormat/>
    <w:rPr>
      <w:i/>
      <w:iCs/>
    </w:rPr>
  </w:style>
  <w:style w:type="character" w:customStyle="1" w:styleId="berschrift1Zchn">
    <w:name w:val="Überschrift 1 Zchn"/>
    <w:basedOn w:val="Absatz-Standardschriftart"/>
    <w:link w:val="berschrift1"/>
    <w:uiPriority w:val="9"/>
    <w:rPr>
      <w:rFonts w:ascii="Times New Roman" w:eastAsia="Times New Roman" w:hAnsi="Times New Roman" w:cs="Arial"/>
      <w:b/>
      <w:sz w:val="28"/>
      <w:szCs w:val="22"/>
    </w:rPr>
  </w:style>
  <w:style w:type="character" w:customStyle="1" w:styleId="st">
    <w:name w:val="st"/>
    <w:basedOn w:val="Absatz-Standardschriftart"/>
  </w:style>
  <w:style w:type="paragraph" w:styleId="StandardWeb">
    <w:name w:val="Normal (Web)"/>
    <w:basedOn w:val="Standard"/>
    <w:uiPriority w:val="99"/>
    <w:semiHidden/>
    <w:unhideWhenUsed/>
    <w:pPr>
      <w:spacing w:before="100" w:beforeAutospacing="1" w:after="100" w:afterAutospacing="1"/>
    </w:pPr>
    <w:rPr>
      <w:rFonts w:ascii="Times" w:hAnsi="Times" w:cs="Times New Roman"/>
      <w:sz w:val="20"/>
      <w:szCs w:val="20"/>
    </w:rPr>
  </w:style>
  <w:style w:type="character" w:styleId="Fett">
    <w:name w:val="Strong"/>
    <w:basedOn w:val="Absatz-Standardschriftart"/>
    <w:uiPriority w:val="22"/>
    <w:qFormat/>
    <w:rPr>
      <w:b/>
      <w:bCs/>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customStyle="1" w:styleId="berschrift2Zchn">
    <w:name w:val="Überschrift 2 Zchn"/>
    <w:basedOn w:val="Absatz-Standardschriftart"/>
    <w:link w:val="berschrift2"/>
    <w:uiPriority w:val="9"/>
    <w:rPr>
      <w:rFonts w:ascii="Times New Roman" w:eastAsia="Times New Roman" w:hAnsi="Times New Roman" w:cs="Arial"/>
      <w:b/>
      <w:szCs w:val="22"/>
    </w:rPr>
  </w:style>
  <w:style w:type="character" w:styleId="Hyperlink">
    <w:name w:val="Hyperlink"/>
    <w:basedOn w:val="Absatz-Standardschriftart"/>
    <w:uiPriority w:val="99"/>
    <w:unhideWhenUsed/>
    <w:rPr>
      <w:color w:val="0000FF" w:themeColor="hyperlink"/>
      <w:u w:val="single"/>
    </w:rPr>
  </w:style>
  <w:style w:type="character" w:styleId="BesuchterHyperlink">
    <w:name w:val="FollowedHyperlink"/>
    <w:basedOn w:val="Absatz-Standardschriftart"/>
    <w:uiPriority w:val="99"/>
    <w:semiHidden/>
    <w:unhideWhenUsed/>
    <w:rPr>
      <w:color w:val="800080" w:themeColor="followedHyperlink"/>
      <w:u w:val="single"/>
    </w:rPr>
  </w:style>
  <w:style w:type="table" w:customStyle="1" w:styleId="EinfacheTabelle41">
    <w:name w:val="Einfache Tabelle 41"/>
    <w:basedOn w:val="NormaleTabelle"/>
    <w:uiPriority w:val="44"/>
    <w:rPr>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ndNoteBibliographyTitle">
    <w:name w:val="EndNote Bibliography Title"/>
    <w:basedOn w:val="Standard"/>
    <w:pPr>
      <w:jc w:val="center"/>
    </w:pPr>
    <w:rPr>
      <w:rFonts w:cs="Times New Roman"/>
    </w:rPr>
  </w:style>
  <w:style w:type="paragraph" w:customStyle="1" w:styleId="EndNoteBibliography">
    <w:name w:val="EndNote Bibliography"/>
    <w:basedOn w:val="Standard"/>
    <w:pPr>
      <w:spacing w:line="360" w:lineRule="auto"/>
    </w:pPr>
    <w:rPr>
      <w:rFonts w:cs="Times New Roman"/>
    </w:rPr>
  </w:style>
  <w:style w:type="paragraph" w:styleId="Listenabsatz">
    <w:name w:val="List Paragraph"/>
    <w:basedOn w:val="Standard"/>
    <w:uiPriority w:val="34"/>
    <w:qFormat/>
    <w:pPr>
      <w:ind w:left="720"/>
      <w:contextualSpacing/>
    </w:p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Arial" w:hAnsi="Arial" w:cs="Arial"/>
      <w:sz w:val="22"/>
      <w:szCs w:val="22"/>
    </w:rPr>
  </w:style>
  <w:style w:type="character" w:styleId="Seitenzahl">
    <w:name w:val="page number"/>
    <w:basedOn w:val="Absatz-Standardschriftart"/>
    <w:uiPriority w:val="99"/>
    <w:semiHidden/>
    <w:unhideWhenUsed/>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Arial" w:hAnsi="Arial" w:cs="Arial"/>
      <w:sz w:val="22"/>
      <w:szCs w:val="22"/>
    </w:rPr>
  </w:style>
  <w:style w:type="character" w:customStyle="1" w:styleId="UnresolvedMention">
    <w:name w:val="Unresolved Mention"/>
    <w:basedOn w:val="Absatz-Standardschriftart"/>
    <w:uiPriority w:val="99"/>
    <w:semiHidden/>
    <w:unhideWhenUsed/>
    <w:rPr>
      <w:color w:val="808080"/>
      <w:shd w:val="clear" w:color="auto" w:fill="E6E6E6"/>
    </w:rPr>
  </w:style>
  <w:style w:type="paragraph" w:styleId="berarbeitung">
    <w:name w:val="Revision"/>
    <w:hidden/>
    <w:uiPriority w:val="99"/>
    <w:semiHidden/>
    <w:rPr>
      <w:rFonts w:ascii="Arial" w:hAnsi="Arial" w:cs="Arial"/>
      <w:sz w:val="22"/>
      <w:szCs w:val="22"/>
    </w:rPr>
  </w:style>
  <w:style w:type="character" w:styleId="Zeilennummer">
    <w:name w:val="line number"/>
    <w:basedOn w:val="Absatz-Standardschriftar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toph.schliemann@ukmuenster.d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8759</Words>
  <Characters>55182</Characters>
  <Application>Microsoft Office Word</Application>
  <DocSecurity>4</DocSecurity>
  <Lines>459</Lines>
  <Paragraphs>127</Paragraphs>
  <ScaleCrop>false</ScaleCrop>
  <HeadingPairs>
    <vt:vector size="2" baseType="variant">
      <vt:variant>
        <vt:lpstr>Titel</vt:lpstr>
      </vt:variant>
      <vt:variant>
        <vt:i4>1</vt:i4>
      </vt:variant>
    </vt:vector>
  </HeadingPairs>
  <TitlesOfParts>
    <vt:vector size="1" baseType="lpstr">
      <vt:lpstr/>
    </vt:vector>
  </TitlesOfParts>
  <Company>Helmholtz Zentrum München</Company>
  <LinksUpToDate>false</LinksUpToDate>
  <CharactersWithSpaces>63814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katrin.rauner</dc:creator>
  <cp:lastModifiedBy>katrin.rauner</cp:lastModifiedBy>
  <cp:revision>2</cp:revision>
  <dcterms:created xsi:type="dcterms:W3CDTF">2019-07-01T07:01:00Z</dcterms:created>
  <dcterms:modified xsi:type="dcterms:W3CDTF">2019-07-01T07:01:00Z</dcterms:modified>
</cp:coreProperties>
</file>