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13B" w:rsidRPr="0049773E" w:rsidRDefault="0080213B" w:rsidP="0080213B">
      <w:pPr>
        <w:spacing w:before="80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 xml:space="preserve">Synergy of </w:t>
      </w:r>
      <w:r w:rsidRPr="0049773E">
        <w:rPr>
          <w:b/>
          <w:sz w:val="28"/>
          <w:lang w:val="en-US"/>
        </w:rPr>
        <w:t xml:space="preserve">therapeutic </w:t>
      </w:r>
      <w:r>
        <w:rPr>
          <w:b/>
          <w:sz w:val="28"/>
          <w:lang w:val="en-US"/>
        </w:rPr>
        <w:t xml:space="preserve">heterologous prime-boost </w:t>
      </w:r>
      <w:r w:rsidRPr="0049773E">
        <w:rPr>
          <w:b/>
          <w:sz w:val="28"/>
          <w:lang w:val="en-US"/>
        </w:rPr>
        <w:t xml:space="preserve">hepatitis B vaccination </w:t>
      </w:r>
      <w:r>
        <w:rPr>
          <w:b/>
          <w:sz w:val="28"/>
          <w:lang w:val="en-US"/>
        </w:rPr>
        <w:t>with</w:t>
      </w:r>
      <w:r w:rsidRPr="0049773E">
        <w:rPr>
          <w:b/>
          <w:sz w:val="28"/>
          <w:lang w:val="en-US"/>
        </w:rPr>
        <w:t xml:space="preserve"> CpG-application </w:t>
      </w:r>
      <w:r>
        <w:rPr>
          <w:b/>
          <w:sz w:val="28"/>
          <w:lang w:val="en-US"/>
        </w:rPr>
        <w:t>to improve</w:t>
      </w:r>
      <w:r w:rsidRPr="0049773E">
        <w:rPr>
          <w:b/>
          <w:sz w:val="28"/>
          <w:lang w:val="en-US"/>
        </w:rPr>
        <w:t xml:space="preserve"> immune control of persistent HBV infection</w:t>
      </w:r>
    </w:p>
    <w:p w:rsidR="0080213B" w:rsidRPr="000F5031" w:rsidRDefault="0080213B" w:rsidP="0080213B">
      <w:pPr>
        <w:spacing w:before="80"/>
        <w:jc w:val="both"/>
        <w:rPr>
          <w:b/>
          <w:lang w:val="en-US"/>
        </w:rPr>
      </w:pPr>
    </w:p>
    <w:p w:rsidR="0080213B" w:rsidRPr="0080213B" w:rsidRDefault="0080213B" w:rsidP="0080213B">
      <w:pPr>
        <w:spacing w:before="80"/>
        <w:jc w:val="center"/>
        <w:rPr>
          <w:lang w:val="en-US"/>
        </w:rPr>
      </w:pPr>
      <w:r w:rsidRPr="0080213B">
        <w:rPr>
          <w:lang w:val="en-US"/>
        </w:rPr>
        <w:t>Anna D. Kosinska</w:t>
      </w:r>
      <w:r w:rsidRPr="0080213B">
        <w:rPr>
          <w:vertAlign w:val="superscript"/>
          <w:lang w:val="en-US"/>
        </w:rPr>
        <w:t>1,2,6</w:t>
      </w:r>
      <w:r w:rsidRPr="0080213B">
        <w:rPr>
          <w:lang w:val="en-US"/>
        </w:rPr>
        <w:t>, Abdul Moeed</w:t>
      </w:r>
      <w:r w:rsidRPr="0080213B">
        <w:rPr>
          <w:vertAlign w:val="superscript"/>
          <w:lang w:val="en-US"/>
        </w:rPr>
        <w:t>3</w:t>
      </w:r>
      <w:r w:rsidRPr="0080213B">
        <w:rPr>
          <w:lang w:val="en-US"/>
        </w:rPr>
        <w:t>, Nina Kallin</w:t>
      </w:r>
      <w:r w:rsidRPr="0080213B">
        <w:rPr>
          <w:vertAlign w:val="superscript"/>
          <w:lang w:val="en-US"/>
        </w:rPr>
        <w:t>3</w:t>
      </w:r>
      <w:r w:rsidRPr="0080213B">
        <w:rPr>
          <w:lang w:val="en-US"/>
        </w:rPr>
        <w:t>, Julia Festag</w:t>
      </w:r>
      <w:r w:rsidRPr="0080213B">
        <w:rPr>
          <w:vertAlign w:val="superscript"/>
          <w:lang w:val="en-US"/>
        </w:rPr>
        <w:t>1,2</w:t>
      </w:r>
      <w:r w:rsidRPr="0080213B">
        <w:rPr>
          <w:lang w:val="en-US"/>
        </w:rPr>
        <w:t xml:space="preserve">, </w:t>
      </w:r>
      <w:proofErr w:type="spellStart"/>
      <w:r w:rsidRPr="0080213B">
        <w:rPr>
          <w:lang w:val="en-US"/>
        </w:rPr>
        <w:t>Jinpeng</w:t>
      </w:r>
      <w:proofErr w:type="spellEnd"/>
      <w:r w:rsidRPr="0080213B">
        <w:rPr>
          <w:lang w:val="en-US"/>
        </w:rPr>
        <w:t xml:space="preserve"> Su</w:t>
      </w:r>
      <w:r w:rsidRPr="0080213B">
        <w:rPr>
          <w:vertAlign w:val="superscript"/>
          <w:lang w:val="en-US"/>
        </w:rPr>
        <w:t>1,2</w:t>
      </w:r>
      <w:r w:rsidRPr="0080213B">
        <w:rPr>
          <w:lang w:val="en-US"/>
        </w:rPr>
        <w:t>, Katja Steiger</w:t>
      </w:r>
      <w:r w:rsidRPr="0080213B">
        <w:rPr>
          <w:vertAlign w:val="superscript"/>
          <w:lang w:val="en-US"/>
        </w:rPr>
        <w:t>4</w:t>
      </w:r>
      <w:r w:rsidRPr="0080213B">
        <w:rPr>
          <w:lang w:val="en-US"/>
        </w:rPr>
        <w:t>, Marie-Louise Michel</w:t>
      </w:r>
      <w:r w:rsidRPr="0080213B">
        <w:rPr>
          <w:vertAlign w:val="superscript"/>
          <w:lang w:val="en-US"/>
        </w:rPr>
        <w:t>5</w:t>
      </w:r>
      <w:r w:rsidRPr="0080213B">
        <w:rPr>
          <w:lang w:val="en-US"/>
        </w:rPr>
        <w:t>, Ulrike Protzer</w:t>
      </w:r>
      <w:r w:rsidRPr="0080213B">
        <w:rPr>
          <w:vertAlign w:val="superscript"/>
          <w:lang w:val="en-US"/>
        </w:rPr>
        <w:t>1,2,6</w:t>
      </w:r>
      <w:r w:rsidRPr="0080213B">
        <w:rPr>
          <w:lang w:val="en-US"/>
        </w:rPr>
        <w:t>*, and Percy A. Knolle</w:t>
      </w:r>
      <w:r w:rsidRPr="0080213B">
        <w:rPr>
          <w:vertAlign w:val="superscript"/>
          <w:lang w:val="en-US"/>
        </w:rPr>
        <w:t>3,6</w:t>
      </w:r>
      <w:r w:rsidRPr="0080213B">
        <w:rPr>
          <w:lang w:val="en-US"/>
        </w:rPr>
        <w:t>*</w:t>
      </w:r>
    </w:p>
    <w:p w:rsidR="0080213B" w:rsidRPr="0080213B" w:rsidRDefault="0080213B" w:rsidP="0080213B">
      <w:pPr>
        <w:spacing w:before="80"/>
        <w:jc w:val="center"/>
        <w:rPr>
          <w:lang w:val="en-US"/>
        </w:rPr>
      </w:pPr>
    </w:p>
    <w:p w:rsidR="0080213B" w:rsidRDefault="0080213B" w:rsidP="0080213B">
      <w:pPr>
        <w:spacing w:before="80"/>
        <w:jc w:val="center"/>
        <w:rPr>
          <w:lang w:val="en-US"/>
        </w:rPr>
      </w:pPr>
      <w:r w:rsidRPr="0080213B">
        <w:rPr>
          <w:vertAlign w:val="superscript"/>
          <w:lang w:val="en-US"/>
        </w:rPr>
        <w:t>1</w:t>
      </w:r>
      <w:r w:rsidRPr="0080213B">
        <w:rPr>
          <w:lang w:val="en-US"/>
        </w:rPr>
        <w:t xml:space="preserve">Institute of Virology, Technical University of Munich; </w:t>
      </w:r>
      <w:r w:rsidRPr="0080213B">
        <w:rPr>
          <w:vertAlign w:val="superscript"/>
          <w:lang w:val="en-US"/>
        </w:rPr>
        <w:t>2</w:t>
      </w:r>
      <w:r w:rsidRPr="0080213B">
        <w:rPr>
          <w:lang w:val="en-US"/>
        </w:rPr>
        <w:t xml:space="preserve">Helmholtz Centre Munich; </w:t>
      </w:r>
      <w:r w:rsidRPr="0080213B">
        <w:rPr>
          <w:vertAlign w:val="superscript"/>
          <w:lang w:val="en-US"/>
        </w:rPr>
        <w:t>3</w:t>
      </w:r>
      <w:r w:rsidRPr="0080213B">
        <w:rPr>
          <w:lang w:val="en-US"/>
        </w:rPr>
        <w:t xml:space="preserve">Institute of Molecular Immunology and Experimental Oncology, Technical University of Munich; </w:t>
      </w:r>
      <w:r w:rsidRPr="0080213B">
        <w:rPr>
          <w:vertAlign w:val="superscript"/>
          <w:lang w:val="en-US"/>
        </w:rPr>
        <w:t>4</w:t>
      </w:r>
      <w:r w:rsidRPr="0080213B">
        <w:rPr>
          <w:lang w:val="en-US"/>
        </w:rPr>
        <w:t xml:space="preserve">Institute of Pathology, Technical University of Munich; </w:t>
      </w:r>
      <w:r w:rsidRPr="0080213B">
        <w:rPr>
          <w:vertAlign w:val="superscript"/>
          <w:lang w:val="en-US"/>
        </w:rPr>
        <w:t>5</w:t>
      </w:r>
      <w:r w:rsidRPr="0080213B">
        <w:rPr>
          <w:lang w:val="en-US"/>
        </w:rPr>
        <w:t xml:space="preserve">Institute Pasteur, Paris; </w:t>
      </w:r>
      <w:r w:rsidRPr="0080213B">
        <w:rPr>
          <w:vertAlign w:val="superscript"/>
          <w:lang w:val="en-US"/>
        </w:rPr>
        <w:t>6</w:t>
      </w:r>
      <w:r w:rsidRPr="0080213B">
        <w:rPr>
          <w:lang w:val="en-US"/>
        </w:rPr>
        <w:t>German Center for Infection Research (DZIF), Partner site München</w:t>
      </w:r>
    </w:p>
    <w:p w:rsidR="0080213B" w:rsidRDefault="0080213B">
      <w:pPr>
        <w:rPr>
          <w:lang w:val="en-US"/>
        </w:rPr>
      </w:pPr>
      <w:r>
        <w:rPr>
          <w:lang w:val="en-US"/>
        </w:rPr>
        <w:br w:type="page"/>
      </w:r>
    </w:p>
    <w:p w:rsidR="0080213B" w:rsidRPr="00AD0261" w:rsidRDefault="0080213B" w:rsidP="0080213B">
      <w:pPr>
        <w:spacing w:line="480" w:lineRule="auto"/>
        <w:rPr>
          <w:b/>
          <w:lang w:val="en-US"/>
        </w:rPr>
      </w:pPr>
      <w:r w:rsidRPr="00AD0261">
        <w:rPr>
          <w:b/>
          <w:lang w:val="en-US"/>
        </w:rPr>
        <w:lastRenderedPageBreak/>
        <w:t>Supplementary Figures</w:t>
      </w:r>
    </w:p>
    <w:p w:rsidR="0080213B" w:rsidRDefault="0080213B" w:rsidP="0080213B">
      <w:pPr>
        <w:spacing w:line="276" w:lineRule="auto"/>
        <w:jc w:val="both"/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>
            <wp:extent cx="3065488" cy="453770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 vs8 revised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4" r="53993" b="55868"/>
                    <a:stretch/>
                  </pic:blipFill>
                  <pic:spPr bwMode="auto">
                    <a:xfrm>
                      <a:off x="0" y="0"/>
                      <a:ext cx="3075331" cy="4552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213B" w:rsidRDefault="0080213B" w:rsidP="0080213B">
      <w:pPr>
        <w:spacing w:line="276" w:lineRule="auto"/>
        <w:jc w:val="both"/>
        <w:rPr>
          <w:lang w:val="en-US"/>
        </w:rPr>
      </w:pPr>
      <w:r w:rsidRPr="00C23225">
        <w:rPr>
          <w:b/>
          <w:lang w:val="en-US"/>
        </w:rPr>
        <w:t xml:space="preserve">Supplementary Figure 1: </w:t>
      </w:r>
      <w:r w:rsidR="0004177D">
        <w:rPr>
          <w:b/>
          <w:lang w:val="en-US"/>
        </w:rPr>
        <w:t xml:space="preserve">Optimal time point for CpG injection to enhance </w:t>
      </w:r>
      <w:r w:rsidR="00E637EC">
        <w:rPr>
          <w:b/>
          <w:lang w:val="en-US"/>
        </w:rPr>
        <w:t xml:space="preserve">efficacy of </w:t>
      </w:r>
      <w:r w:rsidR="0004177D">
        <w:rPr>
          <w:b/>
          <w:lang w:val="en-US"/>
        </w:rPr>
        <w:t xml:space="preserve">prime-boost vaccination. </w:t>
      </w:r>
      <w:r w:rsidRPr="00C23225">
        <w:rPr>
          <w:lang w:val="en-US"/>
        </w:rPr>
        <w:t xml:space="preserve">Wildtype C57BL/6 mice received heterologous prime-boost vaccination and at d3, d6 or d9 after the MVA boost </w:t>
      </w:r>
      <w:r w:rsidR="00E637EC">
        <w:rPr>
          <w:lang w:val="en-US"/>
        </w:rPr>
        <w:t>mice received</w:t>
      </w:r>
      <w:r w:rsidRPr="00C23225">
        <w:rPr>
          <w:lang w:val="en-US"/>
        </w:rPr>
        <w:t xml:space="preserve"> CpG or non-CpG control oligonucleotide</w:t>
      </w:r>
      <w:r w:rsidR="00E637EC">
        <w:rPr>
          <w:lang w:val="en-US"/>
        </w:rPr>
        <w:t>s</w:t>
      </w:r>
      <w:r w:rsidRPr="00C23225">
        <w:rPr>
          <w:lang w:val="en-US"/>
        </w:rPr>
        <w:t xml:space="preserve">. At d3 after </w:t>
      </w:r>
      <w:r w:rsidR="00E637EC">
        <w:rPr>
          <w:lang w:val="en-US"/>
        </w:rPr>
        <w:t xml:space="preserve">the </w:t>
      </w:r>
      <w:r w:rsidRPr="00C23225">
        <w:rPr>
          <w:lang w:val="en-US"/>
        </w:rPr>
        <w:t>CpG injection, CD8 T cells were isolated from liver and spleen and numbers of HBcAg-specific CD8 T cells as well as IFN</w:t>
      </w:r>
      <w:r w:rsidRPr="00C23225">
        <w:rPr>
          <w:rFonts w:ascii="Symbol" w:hAnsi="Symbol"/>
          <w:lang w:val="en-US"/>
        </w:rPr>
        <w:t></w:t>
      </w:r>
      <w:r w:rsidRPr="00C23225">
        <w:rPr>
          <w:rFonts w:ascii="Symbol" w:hAnsi="Symbol"/>
          <w:lang w:val="en-US"/>
        </w:rPr>
        <w:t></w:t>
      </w:r>
      <w:r w:rsidRPr="00C23225">
        <w:rPr>
          <w:lang w:val="en-US"/>
        </w:rPr>
        <w:t>and GzmB expressing CD8 T cells after</w:t>
      </w:r>
      <w:r w:rsidRPr="00C23225">
        <w:rPr>
          <w:i/>
          <w:lang w:val="en-US"/>
        </w:rPr>
        <w:t xml:space="preserve"> ex vivo</w:t>
      </w:r>
      <w:r w:rsidRPr="00C23225">
        <w:rPr>
          <w:lang w:val="en-US"/>
        </w:rPr>
        <w:t xml:space="preserve"> stimulation with HBcore peptide</w:t>
      </w:r>
      <w:r w:rsidR="00E637EC">
        <w:rPr>
          <w:lang w:val="en-US"/>
        </w:rPr>
        <w:t>s</w:t>
      </w:r>
      <w:r w:rsidRPr="00C23225">
        <w:rPr>
          <w:lang w:val="en-US"/>
        </w:rPr>
        <w:t xml:space="preserve"> were determined.</w:t>
      </w:r>
    </w:p>
    <w:p w:rsidR="0080213B" w:rsidRDefault="0080213B">
      <w:pPr>
        <w:rPr>
          <w:lang w:val="en-US"/>
        </w:rPr>
      </w:pPr>
      <w:r>
        <w:rPr>
          <w:lang w:val="en-US"/>
        </w:rPr>
        <w:br w:type="page"/>
      </w:r>
    </w:p>
    <w:p w:rsidR="0080213B" w:rsidRPr="00C23225" w:rsidRDefault="0080213B" w:rsidP="0080213B">
      <w:pPr>
        <w:spacing w:line="276" w:lineRule="auto"/>
        <w:jc w:val="both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756678" cy="5167424"/>
            <wp:effectExtent l="0" t="0" r="0" b="190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 vs7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3" b="31187"/>
                    <a:stretch/>
                  </pic:blipFill>
                  <pic:spPr bwMode="auto">
                    <a:xfrm>
                      <a:off x="0" y="0"/>
                      <a:ext cx="5756910" cy="5167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213B" w:rsidRPr="00AD0261" w:rsidRDefault="0080213B" w:rsidP="0080213B">
      <w:pPr>
        <w:spacing w:line="276" w:lineRule="auto"/>
        <w:rPr>
          <w:b/>
          <w:lang w:val="en-US"/>
        </w:rPr>
      </w:pPr>
    </w:p>
    <w:p w:rsidR="0080213B" w:rsidRDefault="0080213B" w:rsidP="0080213B">
      <w:pPr>
        <w:spacing w:line="276" w:lineRule="auto"/>
        <w:jc w:val="both"/>
        <w:rPr>
          <w:lang w:val="en-US"/>
        </w:rPr>
      </w:pPr>
      <w:r w:rsidRPr="00C23225">
        <w:rPr>
          <w:b/>
          <w:lang w:val="en-US"/>
        </w:rPr>
        <w:t xml:space="preserve">Supplementary Figure 2: </w:t>
      </w:r>
      <w:r w:rsidRPr="0004177D">
        <w:rPr>
          <w:b/>
          <w:lang w:val="en-US"/>
        </w:rPr>
        <w:t>Gating strategy for detection of HBcAg-specific CD8 T cells</w:t>
      </w:r>
      <w:r w:rsidRPr="00C23225">
        <w:rPr>
          <w:lang w:val="en-US"/>
        </w:rPr>
        <w:t>. (</w:t>
      </w:r>
      <w:r w:rsidRPr="00C23225">
        <w:rPr>
          <w:b/>
          <w:lang w:val="en-US"/>
        </w:rPr>
        <w:t>a</w:t>
      </w:r>
      <w:r w:rsidRPr="00C23225">
        <w:rPr>
          <w:lang w:val="en-US"/>
        </w:rPr>
        <w:t>) Lymphocyte populations were defined by flow cytometry using forward-scattered-light-height (FSC-H) and side-scattered-light-height (SSC-H) parameters. (</w:t>
      </w:r>
      <w:r w:rsidRPr="00C23225">
        <w:rPr>
          <w:b/>
          <w:lang w:val="en-US"/>
        </w:rPr>
        <w:t>b</w:t>
      </w:r>
      <w:r w:rsidRPr="00C23225">
        <w:rPr>
          <w:lang w:val="en-US"/>
        </w:rPr>
        <w:t xml:space="preserve">) </w:t>
      </w:r>
      <w:r>
        <w:rPr>
          <w:lang w:val="en-US"/>
        </w:rPr>
        <w:t>Cell d</w:t>
      </w:r>
      <w:r w:rsidRPr="00C23225">
        <w:rPr>
          <w:lang w:val="en-US"/>
        </w:rPr>
        <w:t xml:space="preserve">oublets were excluded from </w:t>
      </w:r>
      <w:r>
        <w:rPr>
          <w:lang w:val="en-US"/>
        </w:rPr>
        <w:t>analysis</w:t>
      </w:r>
      <w:r w:rsidRPr="00C23225">
        <w:rPr>
          <w:lang w:val="en-US"/>
        </w:rPr>
        <w:t xml:space="preserve"> by plotting forward-scattered-light height (FSC-H) against area (FSC-A) parameters and gating </w:t>
      </w:r>
      <w:r>
        <w:rPr>
          <w:lang w:val="en-US"/>
        </w:rPr>
        <w:t xml:space="preserve">only </w:t>
      </w:r>
      <w:r w:rsidRPr="00C23225">
        <w:rPr>
          <w:lang w:val="en-US"/>
        </w:rPr>
        <w:t>on the diagonal population. (</w:t>
      </w:r>
      <w:r w:rsidRPr="00C23225">
        <w:rPr>
          <w:b/>
          <w:lang w:val="en-US"/>
        </w:rPr>
        <w:t>c</w:t>
      </w:r>
      <w:r w:rsidRPr="00C23225">
        <w:rPr>
          <w:lang w:val="en-US"/>
        </w:rPr>
        <w:t>) Dead cells were excluded from analysis by gating on fixable viability dye (FVD-eFluor780)-negative cells. (</w:t>
      </w:r>
      <w:r w:rsidRPr="00C23225">
        <w:rPr>
          <w:b/>
          <w:lang w:val="en-US"/>
        </w:rPr>
        <w:t>d</w:t>
      </w:r>
      <w:r w:rsidRPr="00C23225">
        <w:rPr>
          <w:lang w:val="en-US"/>
        </w:rPr>
        <w:t>) For multimer staining, CD8 T cells were gated within the viable lymphocyte population by plotting FSC-H against CD8-specific fluorescence signal. HBcAg-specific CD8 T-cells were then detected using fluorescently labelled HBcore-specific multimers. Positioning of the gate was determined using control cells stained with OVA</w:t>
      </w:r>
      <w:r w:rsidRPr="00C23225">
        <w:rPr>
          <w:vertAlign w:val="subscript"/>
          <w:lang w:val="en-US"/>
        </w:rPr>
        <w:t>S8L</w:t>
      </w:r>
      <w:r w:rsidRPr="00C23225">
        <w:rPr>
          <w:lang w:val="en-US"/>
        </w:rPr>
        <w:t>-specific multimers. (</w:t>
      </w:r>
      <w:r w:rsidRPr="00C23225">
        <w:rPr>
          <w:b/>
          <w:lang w:val="en-US"/>
        </w:rPr>
        <w:t>e</w:t>
      </w:r>
      <w:r w:rsidRPr="00C23225">
        <w:rPr>
          <w:lang w:val="en-US"/>
        </w:rPr>
        <w:t>) For intracellular cytokine staining, CD8 T cell populations were gated within the viable lymphocyte population by plotting CD4-specific fluorescence signal against CD8</w:t>
      </w:r>
      <w:r>
        <w:rPr>
          <w:lang w:val="en-US"/>
        </w:rPr>
        <w:t>-specific fluorescence</w:t>
      </w:r>
      <w:r w:rsidRPr="00C23225">
        <w:rPr>
          <w:lang w:val="en-US"/>
        </w:rPr>
        <w:t xml:space="preserve">. To determine </w:t>
      </w:r>
      <w:proofErr w:type="spellStart"/>
      <w:r w:rsidRPr="00C23225">
        <w:rPr>
          <w:lang w:val="en-US"/>
        </w:rPr>
        <w:t>IFNγ</w:t>
      </w:r>
      <w:proofErr w:type="spellEnd"/>
      <w:r w:rsidRPr="00C23225">
        <w:rPr>
          <w:lang w:val="en-US"/>
        </w:rPr>
        <w:t xml:space="preserve"> and GzmB expression in response to </w:t>
      </w:r>
      <w:r w:rsidRPr="000B36C7">
        <w:rPr>
          <w:i/>
          <w:lang w:val="en-US"/>
        </w:rPr>
        <w:t>ex vivo</w:t>
      </w:r>
      <w:r w:rsidRPr="00C23225">
        <w:rPr>
          <w:lang w:val="en-US"/>
        </w:rPr>
        <w:t xml:space="preserve"> stimulation with HBcore peptides, HBcAg-</w:t>
      </w:r>
      <w:r>
        <w:rPr>
          <w:lang w:val="en-US"/>
        </w:rPr>
        <w:t>reactive</w:t>
      </w:r>
      <w:r w:rsidRPr="00C23225">
        <w:rPr>
          <w:lang w:val="en-US"/>
        </w:rPr>
        <w:t xml:space="preserve"> CD8 T cells were </w:t>
      </w:r>
      <w:r>
        <w:rPr>
          <w:lang w:val="en-US"/>
        </w:rPr>
        <w:t>detected</w:t>
      </w:r>
      <w:r w:rsidRPr="00C23225">
        <w:rPr>
          <w:lang w:val="en-US"/>
        </w:rPr>
        <w:t xml:space="preserve"> </w:t>
      </w:r>
      <w:r>
        <w:rPr>
          <w:lang w:val="en-US"/>
        </w:rPr>
        <w:t>by</w:t>
      </w:r>
      <w:r w:rsidRPr="00C23225">
        <w:rPr>
          <w:lang w:val="en-US"/>
        </w:rPr>
        <w:t xml:space="preserve"> intracellular cytokine staining</w:t>
      </w:r>
      <w:r>
        <w:rPr>
          <w:lang w:val="en-US"/>
        </w:rPr>
        <w:t xml:space="preserve">; to exclude non-specific staining </w:t>
      </w:r>
      <w:r w:rsidRPr="00C23225">
        <w:rPr>
          <w:lang w:val="en-US"/>
        </w:rPr>
        <w:t>gates</w:t>
      </w:r>
      <w:r>
        <w:rPr>
          <w:lang w:val="en-US"/>
        </w:rPr>
        <w:t xml:space="preserve"> for analysis</w:t>
      </w:r>
      <w:r w:rsidRPr="00C23225">
        <w:rPr>
          <w:lang w:val="en-US"/>
        </w:rPr>
        <w:t xml:space="preserve"> were set using CD8 T cells stimulated with ovalbumin-derived peptides (OVA</w:t>
      </w:r>
      <w:r w:rsidRPr="00C23225">
        <w:rPr>
          <w:vertAlign w:val="subscript"/>
          <w:lang w:val="en-US"/>
        </w:rPr>
        <w:t>S8L</w:t>
      </w:r>
      <w:r w:rsidRPr="00C23225">
        <w:rPr>
          <w:lang w:val="en-US"/>
        </w:rPr>
        <w:t>; SIINFEKL).</w:t>
      </w:r>
    </w:p>
    <w:p w:rsidR="0080213B" w:rsidRDefault="0080213B">
      <w:pPr>
        <w:rPr>
          <w:lang w:val="en-US"/>
        </w:rPr>
      </w:pPr>
      <w:r>
        <w:rPr>
          <w:lang w:val="en-US"/>
        </w:rPr>
        <w:br w:type="page"/>
      </w:r>
    </w:p>
    <w:p w:rsidR="0080213B" w:rsidRDefault="0080213B" w:rsidP="0080213B">
      <w:pPr>
        <w:spacing w:line="480" w:lineRule="auto"/>
        <w:jc w:val="both"/>
        <w:rPr>
          <w:lang w:val="en-US"/>
        </w:rPr>
      </w:pPr>
    </w:p>
    <w:p w:rsidR="0080213B" w:rsidRDefault="0080213B" w:rsidP="0080213B">
      <w:pPr>
        <w:spacing w:line="480" w:lineRule="auto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613400" cy="5898629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3new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" t="2246" r="1559" b="20890"/>
                    <a:stretch/>
                  </pic:blipFill>
                  <pic:spPr bwMode="auto">
                    <a:xfrm>
                      <a:off x="0" y="0"/>
                      <a:ext cx="5614675" cy="5899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213B" w:rsidRPr="0080213B" w:rsidRDefault="0080213B" w:rsidP="0080213B">
      <w:pPr>
        <w:spacing w:before="80" w:line="276" w:lineRule="auto"/>
        <w:jc w:val="both"/>
        <w:rPr>
          <w:lang w:val="en-US"/>
        </w:rPr>
      </w:pPr>
      <w:r w:rsidRPr="0080213B">
        <w:rPr>
          <w:b/>
          <w:lang w:val="en-US"/>
        </w:rPr>
        <w:t>Supplementary Figure 3</w:t>
      </w:r>
      <w:r w:rsidRPr="0080213B">
        <w:rPr>
          <w:lang w:val="en-US"/>
        </w:rPr>
        <w:t xml:space="preserve">: </w:t>
      </w:r>
      <w:r w:rsidRPr="0004177D">
        <w:rPr>
          <w:b/>
          <w:lang w:val="en-US"/>
        </w:rPr>
        <w:t>Expression of Ki67 in hepatic immune cells after CpG injection</w:t>
      </w:r>
      <w:r w:rsidRPr="0080213B">
        <w:rPr>
          <w:lang w:val="en-US"/>
        </w:rPr>
        <w:t>. (</w:t>
      </w:r>
      <w:r w:rsidRPr="0080213B">
        <w:rPr>
          <w:b/>
          <w:lang w:val="en-US"/>
        </w:rPr>
        <w:t>a</w:t>
      </w:r>
      <w:r w:rsidRPr="0080213B">
        <w:rPr>
          <w:lang w:val="en-US"/>
        </w:rPr>
        <w:t>) Immunohistochemistry for Ki67 expression in liver slices of vaccinated HBV-transgenic mice at d3 after CpG injection. (</w:t>
      </w:r>
      <w:r w:rsidRPr="0080213B">
        <w:rPr>
          <w:b/>
          <w:lang w:val="en-US"/>
        </w:rPr>
        <w:t>b</w:t>
      </w:r>
      <w:r w:rsidRPr="0080213B">
        <w:rPr>
          <w:lang w:val="en-US"/>
        </w:rPr>
        <w:t>) Ki67 expression detected by flow cytometry in hepatic CD8 T cells from HBV-transgenic mice, shown in a representative dot plot (left panels) and as quantification of numbers of positive CD8 T cells (right panels). (</w:t>
      </w:r>
      <w:r w:rsidRPr="0080213B">
        <w:rPr>
          <w:b/>
          <w:lang w:val="en-US"/>
        </w:rPr>
        <w:t>c</w:t>
      </w:r>
      <w:r w:rsidRPr="0080213B">
        <w:rPr>
          <w:lang w:val="en-US"/>
        </w:rPr>
        <w:t>) Immunohistochemistry for Ki67 expression in liver slices of vaccinated AAV-HBV transduced mice at d3 after CpG injection. (</w:t>
      </w:r>
      <w:r w:rsidRPr="0080213B">
        <w:rPr>
          <w:b/>
          <w:lang w:val="en-US"/>
        </w:rPr>
        <w:t>d</w:t>
      </w:r>
      <w:r w:rsidRPr="0080213B">
        <w:rPr>
          <w:lang w:val="en-US"/>
        </w:rPr>
        <w:t>) Ki67 expression detected by flow cytometry in hepatic CD8 T cells from AAV-HBV transduced mice, shown in a representative dot plot (left panels) and as quantification of numbers of positive CD8 T cells (right panels). Bars in (</w:t>
      </w:r>
      <w:proofErr w:type="spellStart"/>
      <w:proofErr w:type="gramStart"/>
      <w:r w:rsidRPr="0080213B">
        <w:rPr>
          <w:lang w:val="en-US"/>
        </w:rPr>
        <w:t>b,d</w:t>
      </w:r>
      <w:proofErr w:type="spellEnd"/>
      <w:proofErr w:type="gramEnd"/>
      <w:r w:rsidRPr="0080213B">
        <w:rPr>
          <w:lang w:val="en-US"/>
        </w:rPr>
        <w:t xml:space="preserve">) indicate mean values of n ≥ 3 mice per group + SEM. Statistical analyses were performed using Student´s t test. Asterisks mark statistically significant differences: ** </w:t>
      </w:r>
      <w:r w:rsidRPr="0080213B">
        <w:rPr>
          <w:i/>
          <w:lang w:val="en-US"/>
        </w:rPr>
        <w:t>p</w:t>
      </w:r>
      <w:r w:rsidRPr="0080213B">
        <w:rPr>
          <w:lang w:val="en-US"/>
        </w:rPr>
        <w:t xml:space="preserve"> &lt; 0.005.</w:t>
      </w:r>
    </w:p>
    <w:p w:rsidR="003807EC" w:rsidRDefault="003807EC" w:rsidP="0004177D">
      <w:pPr>
        <w:spacing w:line="276" w:lineRule="auto"/>
        <w:jc w:val="both"/>
        <w:rPr>
          <w:b/>
          <w:u w:val="single"/>
          <w:lang w:val="en-US"/>
        </w:rPr>
      </w:pPr>
    </w:p>
    <w:p w:rsidR="00091854" w:rsidRDefault="003807EC" w:rsidP="0004177D">
      <w:pPr>
        <w:spacing w:line="276" w:lineRule="auto"/>
        <w:jc w:val="both"/>
        <w:rPr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3AB55284" wp14:editId="592B783B">
            <wp:extent cx="4953000" cy="868680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5"/>
                    <a:stretch/>
                  </pic:blipFill>
                  <pic:spPr bwMode="auto">
                    <a:xfrm>
                      <a:off x="0" y="0"/>
                      <a:ext cx="4953000" cy="868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177D" w:rsidRDefault="0080213B" w:rsidP="0004177D">
      <w:pPr>
        <w:spacing w:line="276" w:lineRule="auto"/>
        <w:jc w:val="both"/>
        <w:rPr>
          <w:lang w:val="en-US"/>
        </w:rPr>
      </w:pPr>
      <w:r w:rsidRPr="0004177D">
        <w:rPr>
          <w:b/>
          <w:lang w:val="en-US"/>
        </w:rPr>
        <w:lastRenderedPageBreak/>
        <w:t>Supplementary Figure 4</w:t>
      </w:r>
      <w:r w:rsidRPr="0004177D">
        <w:rPr>
          <w:lang w:val="en-US"/>
        </w:rPr>
        <w:t xml:space="preserve">: </w:t>
      </w:r>
      <w:r w:rsidRPr="0004177D">
        <w:rPr>
          <w:b/>
          <w:lang w:val="en-US"/>
        </w:rPr>
        <w:t>Phenotypic characterization of liver CD11b</w:t>
      </w:r>
      <w:r w:rsidRPr="0004177D">
        <w:rPr>
          <w:b/>
          <w:vertAlign w:val="superscript"/>
          <w:lang w:val="en-US"/>
        </w:rPr>
        <w:t xml:space="preserve">+ </w:t>
      </w:r>
      <w:r w:rsidRPr="0004177D">
        <w:rPr>
          <w:b/>
          <w:lang w:val="en-US"/>
        </w:rPr>
        <w:t>cells after CpG injection</w:t>
      </w:r>
      <w:r w:rsidRPr="0004177D">
        <w:rPr>
          <w:lang w:val="en-US"/>
        </w:rPr>
        <w:t>. (</w:t>
      </w:r>
      <w:r w:rsidRPr="0004177D">
        <w:rPr>
          <w:b/>
          <w:lang w:val="en-US"/>
        </w:rPr>
        <w:t>a</w:t>
      </w:r>
      <w:r w:rsidRPr="0004177D">
        <w:rPr>
          <w:lang w:val="en-US"/>
        </w:rPr>
        <w:t>) Non-parenchymal cells were isolated from ctrl or CpG-injected HBV transgenic mice (d3 after CpG injection) and subjected to flow cytometric analysis. Shown are: increase in total numbers of CD11b</w:t>
      </w:r>
      <w:r w:rsidRPr="0004177D">
        <w:rPr>
          <w:vertAlign w:val="superscript"/>
          <w:lang w:val="en-US"/>
        </w:rPr>
        <w:t>+</w:t>
      </w:r>
      <w:r w:rsidRPr="0004177D">
        <w:rPr>
          <w:lang w:val="en-US"/>
        </w:rPr>
        <w:t>Ly6C</w:t>
      </w:r>
      <w:r w:rsidRPr="0004177D">
        <w:rPr>
          <w:vertAlign w:val="superscript"/>
          <w:lang w:val="en-US"/>
        </w:rPr>
        <w:t>+</w:t>
      </w:r>
      <w:r w:rsidRPr="0004177D">
        <w:rPr>
          <w:lang w:val="en-US"/>
        </w:rPr>
        <w:t xml:space="preserve"> inflammatory monocytes (left panel); augmented surface expression levels of CD80, CD86 and MHC-II in representative dot plots (middle panels) and quantification of the numbers of positive cells (right panels). (</w:t>
      </w:r>
      <w:r w:rsidRPr="0004177D">
        <w:rPr>
          <w:b/>
          <w:lang w:val="en-US"/>
        </w:rPr>
        <w:t>b</w:t>
      </w:r>
      <w:r w:rsidRPr="0004177D">
        <w:rPr>
          <w:lang w:val="en-US"/>
        </w:rPr>
        <w:t xml:space="preserve">) Analysis identical to (a) but from AAV-HBV transduced mice. Bars indicate mean values of n ≥ 3 mice per group + SEM. Asterisks mark statistically significant differences: * </w:t>
      </w:r>
      <w:r w:rsidRPr="0004177D">
        <w:rPr>
          <w:i/>
          <w:lang w:val="en-US"/>
        </w:rPr>
        <w:t>p</w:t>
      </w:r>
      <w:r w:rsidRPr="0004177D">
        <w:rPr>
          <w:lang w:val="en-US"/>
        </w:rPr>
        <w:t xml:space="preserve"> &lt; 0.05. </w:t>
      </w:r>
    </w:p>
    <w:p w:rsidR="0004177D" w:rsidRDefault="0004177D">
      <w:pPr>
        <w:rPr>
          <w:lang w:val="en-US"/>
        </w:rPr>
      </w:pPr>
      <w:r>
        <w:rPr>
          <w:lang w:val="en-US"/>
        </w:rPr>
        <w:br w:type="page"/>
      </w:r>
    </w:p>
    <w:p w:rsidR="0080213B" w:rsidRPr="0004177D" w:rsidRDefault="0004177D" w:rsidP="0004177D">
      <w:pPr>
        <w:spacing w:line="276" w:lineRule="auto"/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3454400" cy="6295869"/>
            <wp:effectExtent l="0" t="0" r="0" b="381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5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35"/>
                    <a:stretch/>
                  </pic:blipFill>
                  <pic:spPr bwMode="auto">
                    <a:xfrm>
                      <a:off x="0" y="0"/>
                      <a:ext cx="3454400" cy="6295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213B" w:rsidRDefault="0080213B" w:rsidP="0080213B">
      <w:pPr>
        <w:spacing w:line="480" w:lineRule="auto"/>
        <w:jc w:val="both"/>
        <w:rPr>
          <w:u w:val="single"/>
          <w:lang w:val="en-US"/>
        </w:rPr>
      </w:pPr>
    </w:p>
    <w:p w:rsidR="0080213B" w:rsidRPr="0004177D" w:rsidRDefault="0080213B" w:rsidP="0004177D">
      <w:pPr>
        <w:spacing w:line="276" w:lineRule="auto"/>
        <w:jc w:val="both"/>
        <w:rPr>
          <w:lang w:val="en-US"/>
        </w:rPr>
      </w:pPr>
      <w:r w:rsidRPr="0004177D">
        <w:rPr>
          <w:b/>
          <w:lang w:val="en-US"/>
        </w:rPr>
        <w:t>Supplementary Figure 5</w:t>
      </w:r>
      <w:r w:rsidRPr="0004177D">
        <w:rPr>
          <w:lang w:val="en-US"/>
        </w:rPr>
        <w:t>: Lack of anti-HBs or anti-</w:t>
      </w:r>
      <w:proofErr w:type="spellStart"/>
      <w:r w:rsidRPr="0004177D">
        <w:rPr>
          <w:lang w:val="en-US"/>
        </w:rPr>
        <w:t>HBe</w:t>
      </w:r>
      <w:proofErr w:type="spellEnd"/>
      <w:r w:rsidRPr="0004177D">
        <w:rPr>
          <w:lang w:val="en-US"/>
        </w:rPr>
        <w:t xml:space="preserve"> seroconversion. (</w:t>
      </w:r>
      <w:r w:rsidRPr="0004177D">
        <w:rPr>
          <w:b/>
          <w:lang w:val="en-US"/>
        </w:rPr>
        <w:t>a</w:t>
      </w:r>
      <w:r w:rsidRPr="0004177D">
        <w:rPr>
          <w:lang w:val="en-US"/>
        </w:rPr>
        <w:t>) Results for anti-HBs and anti-</w:t>
      </w:r>
      <w:proofErr w:type="spellStart"/>
      <w:r w:rsidRPr="0004177D">
        <w:rPr>
          <w:lang w:val="en-US"/>
        </w:rPr>
        <w:t>HBe</w:t>
      </w:r>
      <w:proofErr w:type="spellEnd"/>
      <w:r w:rsidRPr="0004177D">
        <w:rPr>
          <w:lang w:val="en-US"/>
        </w:rPr>
        <w:t xml:space="preserve"> antibody detection in serum of AAV-HBV transduced mice before start of vaccination. (</w:t>
      </w:r>
      <w:proofErr w:type="spellStart"/>
      <w:proofErr w:type="gramStart"/>
      <w:r w:rsidRPr="0004177D">
        <w:rPr>
          <w:b/>
          <w:lang w:val="en-US"/>
        </w:rPr>
        <w:t>b,c</w:t>
      </w:r>
      <w:proofErr w:type="spellEnd"/>
      <w:proofErr w:type="gramEnd"/>
      <w:r w:rsidRPr="0004177D">
        <w:rPr>
          <w:lang w:val="en-US"/>
        </w:rPr>
        <w:t>) Evaluation of anti-</w:t>
      </w:r>
      <w:proofErr w:type="spellStart"/>
      <w:r w:rsidRPr="0004177D">
        <w:rPr>
          <w:lang w:val="en-US"/>
        </w:rPr>
        <w:t>HBe</w:t>
      </w:r>
      <w:proofErr w:type="spellEnd"/>
      <w:r w:rsidRPr="0004177D">
        <w:rPr>
          <w:lang w:val="en-US"/>
        </w:rPr>
        <w:t xml:space="preserve"> (</w:t>
      </w:r>
      <w:r w:rsidRPr="0004177D">
        <w:rPr>
          <w:b/>
          <w:lang w:val="en-US"/>
        </w:rPr>
        <w:t>b</w:t>
      </w:r>
      <w:r w:rsidRPr="0004177D">
        <w:rPr>
          <w:lang w:val="en-US"/>
        </w:rPr>
        <w:t>) and anti-HBs antibodies (</w:t>
      </w:r>
      <w:r w:rsidRPr="0004177D">
        <w:rPr>
          <w:b/>
          <w:lang w:val="en-US"/>
        </w:rPr>
        <w:t>c</w:t>
      </w:r>
      <w:r w:rsidRPr="0004177D">
        <w:rPr>
          <w:lang w:val="en-US"/>
        </w:rPr>
        <w:t xml:space="preserve">) in serum from AAV-HBV transduced mice at d63. </w:t>
      </w:r>
      <w:r w:rsidRPr="0004177D">
        <w:rPr>
          <w:i/>
          <w:lang w:val="en-US"/>
        </w:rPr>
        <w:t>n.d</w:t>
      </w:r>
      <w:r w:rsidRPr="0004177D">
        <w:rPr>
          <w:lang w:val="en-US"/>
        </w:rPr>
        <w:t>. – not detectable.</w:t>
      </w:r>
    </w:p>
    <w:p w:rsidR="007F54A4" w:rsidRPr="0080213B" w:rsidRDefault="007F54A4">
      <w:pPr>
        <w:rPr>
          <w:lang w:val="en-US"/>
        </w:rPr>
      </w:pPr>
    </w:p>
    <w:sectPr w:rsidR="007F54A4" w:rsidRPr="0080213B" w:rsidSect="005F386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3B"/>
    <w:rsid w:val="00003F5C"/>
    <w:rsid w:val="000046DF"/>
    <w:rsid w:val="00015F57"/>
    <w:rsid w:val="00030767"/>
    <w:rsid w:val="000331CE"/>
    <w:rsid w:val="0004177D"/>
    <w:rsid w:val="00055DB2"/>
    <w:rsid w:val="00091083"/>
    <w:rsid w:val="00091854"/>
    <w:rsid w:val="000D4A07"/>
    <w:rsid w:val="000F6770"/>
    <w:rsid w:val="000F7576"/>
    <w:rsid w:val="001041D1"/>
    <w:rsid w:val="001079EA"/>
    <w:rsid w:val="00122E23"/>
    <w:rsid w:val="001312BF"/>
    <w:rsid w:val="001323D4"/>
    <w:rsid w:val="00133D4D"/>
    <w:rsid w:val="001839D1"/>
    <w:rsid w:val="001E12B6"/>
    <w:rsid w:val="001E39C4"/>
    <w:rsid w:val="0021139C"/>
    <w:rsid w:val="00230213"/>
    <w:rsid w:val="002466DB"/>
    <w:rsid w:val="002601ED"/>
    <w:rsid w:val="0028118F"/>
    <w:rsid w:val="002834D4"/>
    <w:rsid w:val="002A7EF9"/>
    <w:rsid w:val="00305A1E"/>
    <w:rsid w:val="00306225"/>
    <w:rsid w:val="003269FF"/>
    <w:rsid w:val="00330565"/>
    <w:rsid w:val="003552F0"/>
    <w:rsid w:val="00360D55"/>
    <w:rsid w:val="00375501"/>
    <w:rsid w:val="003807EC"/>
    <w:rsid w:val="003A1695"/>
    <w:rsid w:val="003B4416"/>
    <w:rsid w:val="003D4426"/>
    <w:rsid w:val="003D54DD"/>
    <w:rsid w:val="003F1168"/>
    <w:rsid w:val="00445E42"/>
    <w:rsid w:val="004474EF"/>
    <w:rsid w:val="00464BCB"/>
    <w:rsid w:val="00465FD1"/>
    <w:rsid w:val="00484C4B"/>
    <w:rsid w:val="0048780A"/>
    <w:rsid w:val="004C0E1E"/>
    <w:rsid w:val="004C38D7"/>
    <w:rsid w:val="004F7F60"/>
    <w:rsid w:val="00527A13"/>
    <w:rsid w:val="00535CE8"/>
    <w:rsid w:val="00561A4E"/>
    <w:rsid w:val="00564787"/>
    <w:rsid w:val="00576D77"/>
    <w:rsid w:val="00586286"/>
    <w:rsid w:val="00593B1B"/>
    <w:rsid w:val="005A159E"/>
    <w:rsid w:val="005B2050"/>
    <w:rsid w:val="005D1BB5"/>
    <w:rsid w:val="005D6169"/>
    <w:rsid w:val="005D6DB8"/>
    <w:rsid w:val="005E062F"/>
    <w:rsid w:val="005E1509"/>
    <w:rsid w:val="005F3863"/>
    <w:rsid w:val="00656559"/>
    <w:rsid w:val="00662158"/>
    <w:rsid w:val="006B2415"/>
    <w:rsid w:val="006B4351"/>
    <w:rsid w:val="006D07FA"/>
    <w:rsid w:val="006E260E"/>
    <w:rsid w:val="0070230E"/>
    <w:rsid w:val="007050D8"/>
    <w:rsid w:val="0070682B"/>
    <w:rsid w:val="00746984"/>
    <w:rsid w:val="00790E96"/>
    <w:rsid w:val="00793501"/>
    <w:rsid w:val="007B59A8"/>
    <w:rsid w:val="007D2929"/>
    <w:rsid w:val="007F54A4"/>
    <w:rsid w:val="0080213B"/>
    <w:rsid w:val="00832FCE"/>
    <w:rsid w:val="008576A0"/>
    <w:rsid w:val="008B046C"/>
    <w:rsid w:val="008D1715"/>
    <w:rsid w:val="00925631"/>
    <w:rsid w:val="00930D03"/>
    <w:rsid w:val="0093544E"/>
    <w:rsid w:val="00935DD6"/>
    <w:rsid w:val="00995510"/>
    <w:rsid w:val="009B0964"/>
    <w:rsid w:val="009C24ED"/>
    <w:rsid w:val="00A405B0"/>
    <w:rsid w:val="00A74F0C"/>
    <w:rsid w:val="00A82FCF"/>
    <w:rsid w:val="00AB7DA2"/>
    <w:rsid w:val="00AE5F55"/>
    <w:rsid w:val="00B13F57"/>
    <w:rsid w:val="00B2505D"/>
    <w:rsid w:val="00B342DF"/>
    <w:rsid w:val="00B63879"/>
    <w:rsid w:val="00B7240F"/>
    <w:rsid w:val="00B761B7"/>
    <w:rsid w:val="00BD178C"/>
    <w:rsid w:val="00BE0288"/>
    <w:rsid w:val="00C05393"/>
    <w:rsid w:val="00C06809"/>
    <w:rsid w:val="00C114E6"/>
    <w:rsid w:val="00C2625C"/>
    <w:rsid w:val="00C400C9"/>
    <w:rsid w:val="00C52502"/>
    <w:rsid w:val="00C55AFE"/>
    <w:rsid w:val="00C64477"/>
    <w:rsid w:val="00C66242"/>
    <w:rsid w:val="00C7289C"/>
    <w:rsid w:val="00CA1FBE"/>
    <w:rsid w:val="00CD3957"/>
    <w:rsid w:val="00D3343C"/>
    <w:rsid w:val="00D62781"/>
    <w:rsid w:val="00D8619F"/>
    <w:rsid w:val="00D94107"/>
    <w:rsid w:val="00DD77B7"/>
    <w:rsid w:val="00E25571"/>
    <w:rsid w:val="00E31D54"/>
    <w:rsid w:val="00E52B9C"/>
    <w:rsid w:val="00E637EC"/>
    <w:rsid w:val="00E75465"/>
    <w:rsid w:val="00E807EC"/>
    <w:rsid w:val="00E81FAC"/>
    <w:rsid w:val="00E857E0"/>
    <w:rsid w:val="00E934B4"/>
    <w:rsid w:val="00E94F62"/>
    <w:rsid w:val="00EA486E"/>
    <w:rsid w:val="00EE4A52"/>
    <w:rsid w:val="00F0551E"/>
    <w:rsid w:val="00F32AB6"/>
    <w:rsid w:val="00F35CDF"/>
    <w:rsid w:val="00F4191C"/>
    <w:rsid w:val="00FB1E27"/>
    <w:rsid w:val="00FB574B"/>
    <w:rsid w:val="00FC3C3B"/>
    <w:rsid w:val="00FC3CA1"/>
    <w:rsid w:val="00FF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8368EB"/>
  <w14:defaultImageDpi w14:val="32767"/>
  <w15:chartTrackingRefBased/>
  <w15:docId w15:val="{300F595A-9389-E74E-8BDC-490573B6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80213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625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Percy Knolle</dc:creator>
  <cp:keywords/>
  <dc:description/>
  <cp:lastModifiedBy>Percy Knolle</cp:lastModifiedBy>
  <cp:revision>2</cp:revision>
  <dcterms:created xsi:type="dcterms:W3CDTF">2019-06-18T06:04:00Z</dcterms:created>
  <dcterms:modified xsi:type="dcterms:W3CDTF">2019-06-21T06:55:00Z</dcterms:modified>
</cp:coreProperties>
</file>