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A587D" w14:textId="3E86ACD1" w:rsidR="00B17D26" w:rsidRPr="002E25AD" w:rsidRDefault="001220B2" w:rsidP="00B17D26">
      <w:pPr>
        <w:suppressLineNumbers/>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Dietary Antioxidant Capacity and Risk of Type 2 Diabetes Mellitus</w:t>
      </w:r>
      <w:r w:rsidR="00E13DD8" w:rsidRPr="002E25AD">
        <w:rPr>
          <w:rFonts w:ascii="Times New Roman" w:hAnsi="Times New Roman" w:cs="Times New Roman"/>
          <w:b/>
          <w:sz w:val="24"/>
          <w:szCs w:val="24"/>
          <w:lang w:val="en-US"/>
        </w:rPr>
        <w:t>, Prediabetes and Insulin Resistance</w:t>
      </w:r>
      <w:r w:rsidRPr="002E25AD">
        <w:rPr>
          <w:rFonts w:ascii="Times New Roman" w:hAnsi="Times New Roman" w:cs="Times New Roman"/>
          <w:b/>
          <w:sz w:val="24"/>
          <w:szCs w:val="24"/>
          <w:lang w:val="en-US"/>
        </w:rPr>
        <w:t>: The Rotterdam Study</w:t>
      </w:r>
    </w:p>
    <w:p w14:paraId="23ED2CC6" w14:textId="6E3A3B5C" w:rsidR="00B17D26" w:rsidRPr="002E25AD" w:rsidRDefault="001220B2" w:rsidP="00943E17">
      <w:pPr>
        <w:suppressLineNumbers/>
        <w:jc w:val="center"/>
        <w:rPr>
          <w:rFonts w:ascii="Times New Roman" w:hAnsi="Times New Roman" w:cs="Times New Roman"/>
          <w:i/>
          <w:sz w:val="24"/>
          <w:szCs w:val="24"/>
          <w:vertAlign w:val="superscript"/>
        </w:rPr>
      </w:pPr>
      <w:r w:rsidRPr="002E25AD">
        <w:rPr>
          <w:rFonts w:ascii="Times New Roman" w:hAnsi="Times New Roman" w:cs="Times New Roman"/>
          <w:i/>
          <w:sz w:val="24"/>
          <w:szCs w:val="24"/>
        </w:rPr>
        <w:t>N. van der Schaft</w:t>
      </w:r>
      <w:r w:rsidRPr="002E25AD">
        <w:rPr>
          <w:rFonts w:ascii="Times New Roman" w:hAnsi="Times New Roman" w:cs="Times New Roman"/>
          <w:i/>
          <w:sz w:val="24"/>
          <w:szCs w:val="24"/>
          <w:vertAlign w:val="superscript"/>
        </w:rPr>
        <w:t>1</w:t>
      </w:r>
      <w:r w:rsidR="00142382" w:rsidRPr="002E25AD">
        <w:rPr>
          <w:rFonts w:ascii="Times New Roman" w:hAnsi="Times New Roman" w:cs="Times New Roman"/>
          <w:i/>
          <w:sz w:val="24"/>
          <w:szCs w:val="24"/>
        </w:rPr>
        <w:t>,</w:t>
      </w:r>
      <w:r w:rsidRPr="002E25AD">
        <w:rPr>
          <w:rFonts w:ascii="Times New Roman" w:hAnsi="Times New Roman" w:cs="Times New Roman"/>
          <w:i/>
          <w:sz w:val="24"/>
          <w:szCs w:val="24"/>
        </w:rPr>
        <w:t xml:space="preserve"> </w:t>
      </w:r>
      <w:r w:rsidR="00943E17" w:rsidRPr="002E25AD">
        <w:rPr>
          <w:rFonts w:ascii="Times New Roman" w:hAnsi="Times New Roman" w:cs="Times New Roman"/>
          <w:i/>
          <w:sz w:val="24"/>
          <w:szCs w:val="24"/>
        </w:rPr>
        <w:t>J.D. Schoufour</w:t>
      </w:r>
      <w:r w:rsidR="00943E17" w:rsidRPr="002E25AD">
        <w:rPr>
          <w:rFonts w:ascii="Times New Roman" w:hAnsi="Times New Roman" w:cs="Times New Roman"/>
          <w:i/>
          <w:sz w:val="24"/>
          <w:szCs w:val="24"/>
          <w:vertAlign w:val="superscript"/>
        </w:rPr>
        <w:t>1,2</w:t>
      </w:r>
      <w:r w:rsidR="00943E17" w:rsidRPr="002E25AD">
        <w:rPr>
          <w:rFonts w:ascii="Times New Roman" w:hAnsi="Times New Roman" w:cs="Times New Roman"/>
          <w:i/>
          <w:sz w:val="24"/>
          <w:szCs w:val="24"/>
        </w:rPr>
        <w:t xml:space="preserve"> , J. Nano</w:t>
      </w:r>
      <w:r w:rsidR="00943E17" w:rsidRPr="002E25AD">
        <w:rPr>
          <w:rFonts w:ascii="Times New Roman" w:hAnsi="Times New Roman" w:cs="Times New Roman"/>
          <w:i/>
          <w:sz w:val="24"/>
          <w:szCs w:val="24"/>
          <w:vertAlign w:val="superscript"/>
        </w:rPr>
        <w:t>1</w:t>
      </w:r>
      <w:r w:rsidR="00E51C55" w:rsidRPr="002E25AD">
        <w:rPr>
          <w:rFonts w:ascii="Times New Roman" w:hAnsi="Times New Roman" w:cs="Times New Roman"/>
          <w:i/>
          <w:sz w:val="24"/>
          <w:szCs w:val="24"/>
          <w:vertAlign w:val="superscript"/>
        </w:rPr>
        <w:t>,3,4</w:t>
      </w:r>
      <w:r w:rsidR="00943E17" w:rsidRPr="002E25AD">
        <w:rPr>
          <w:rFonts w:ascii="Times New Roman" w:hAnsi="Times New Roman" w:cs="Times New Roman"/>
          <w:i/>
          <w:sz w:val="24"/>
          <w:szCs w:val="24"/>
        </w:rPr>
        <w:t>, J.C. Kiefte-de Jong</w:t>
      </w:r>
      <w:r w:rsidR="00943E17" w:rsidRPr="002E25AD">
        <w:rPr>
          <w:rFonts w:ascii="Times New Roman" w:hAnsi="Times New Roman" w:cs="Times New Roman"/>
          <w:i/>
          <w:sz w:val="24"/>
          <w:szCs w:val="24"/>
          <w:vertAlign w:val="superscript"/>
        </w:rPr>
        <w:t>1,</w:t>
      </w:r>
      <w:r w:rsidR="00E51C55" w:rsidRPr="002E25AD">
        <w:rPr>
          <w:rFonts w:ascii="Times New Roman" w:hAnsi="Times New Roman" w:cs="Times New Roman"/>
          <w:i/>
          <w:sz w:val="24"/>
          <w:szCs w:val="24"/>
          <w:vertAlign w:val="superscript"/>
        </w:rPr>
        <w:t>5</w:t>
      </w:r>
      <w:r w:rsidR="00943E17" w:rsidRPr="002E25AD">
        <w:rPr>
          <w:rFonts w:ascii="Times New Roman" w:hAnsi="Times New Roman" w:cs="Times New Roman"/>
          <w:i/>
          <w:sz w:val="24"/>
          <w:szCs w:val="24"/>
        </w:rPr>
        <w:t>, T. Muka</w:t>
      </w:r>
      <w:r w:rsidR="00E51C55" w:rsidRPr="002E25AD">
        <w:rPr>
          <w:rFonts w:ascii="Times New Roman" w:hAnsi="Times New Roman" w:cs="Times New Roman"/>
          <w:i/>
          <w:sz w:val="24"/>
          <w:szCs w:val="24"/>
          <w:vertAlign w:val="superscript"/>
        </w:rPr>
        <w:t>6</w:t>
      </w:r>
      <w:r w:rsidR="00943E17" w:rsidRPr="002E25AD">
        <w:rPr>
          <w:rFonts w:ascii="Times New Roman" w:hAnsi="Times New Roman" w:cs="Times New Roman"/>
          <w:i/>
          <w:sz w:val="24"/>
          <w:szCs w:val="24"/>
        </w:rPr>
        <w:t>, E.J.G. Sijbrands</w:t>
      </w:r>
      <w:r w:rsidR="00943E17" w:rsidRPr="002E25AD">
        <w:rPr>
          <w:rFonts w:ascii="Times New Roman" w:hAnsi="Times New Roman" w:cs="Times New Roman"/>
          <w:i/>
          <w:sz w:val="24"/>
          <w:szCs w:val="24"/>
          <w:vertAlign w:val="superscript"/>
        </w:rPr>
        <w:t>1,2</w:t>
      </w:r>
      <w:r w:rsidR="00943E17" w:rsidRPr="002E25AD">
        <w:rPr>
          <w:rFonts w:ascii="Times New Roman" w:hAnsi="Times New Roman" w:cs="Times New Roman"/>
          <w:i/>
          <w:sz w:val="24"/>
          <w:szCs w:val="24"/>
        </w:rPr>
        <w:t>, M.A. Ikram</w:t>
      </w:r>
      <w:r w:rsidR="00943E17" w:rsidRPr="002E25AD">
        <w:rPr>
          <w:rFonts w:ascii="Times New Roman" w:hAnsi="Times New Roman" w:cs="Times New Roman"/>
          <w:i/>
          <w:sz w:val="24"/>
          <w:szCs w:val="24"/>
          <w:vertAlign w:val="superscript"/>
        </w:rPr>
        <w:t>1</w:t>
      </w:r>
      <w:r w:rsidR="00943E17" w:rsidRPr="002E25AD">
        <w:rPr>
          <w:rFonts w:ascii="Times New Roman" w:hAnsi="Times New Roman" w:cs="Times New Roman"/>
          <w:i/>
          <w:sz w:val="24"/>
          <w:szCs w:val="24"/>
        </w:rPr>
        <w:t xml:space="preserve">, </w:t>
      </w:r>
      <w:r w:rsidRPr="002E25AD">
        <w:rPr>
          <w:rFonts w:ascii="Times New Roman" w:hAnsi="Times New Roman" w:cs="Times New Roman"/>
          <w:i/>
          <w:sz w:val="24"/>
          <w:szCs w:val="24"/>
        </w:rPr>
        <w:t>O.H. Franco</w:t>
      </w:r>
      <w:r w:rsidRPr="002E25AD">
        <w:rPr>
          <w:rFonts w:ascii="Times New Roman" w:hAnsi="Times New Roman" w:cs="Times New Roman"/>
          <w:i/>
          <w:sz w:val="24"/>
          <w:szCs w:val="24"/>
          <w:vertAlign w:val="superscript"/>
        </w:rPr>
        <w:t>1</w:t>
      </w:r>
      <w:r w:rsidR="00E51C55" w:rsidRPr="002E25AD">
        <w:rPr>
          <w:rFonts w:ascii="Times New Roman" w:hAnsi="Times New Roman" w:cs="Times New Roman"/>
          <w:i/>
          <w:sz w:val="24"/>
          <w:szCs w:val="24"/>
          <w:vertAlign w:val="superscript"/>
        </w:rPr>
        <w:t>,6</w:t>
      </w:r>
      <w:r w:rsidRPr="002E25AD">
        <w:rPr>
          <w:rFonts w:ascii="Times New Roman" w:hAnsi="Times New Roman" w:cs="Times New Roman"/>
          <w:i/>
          <w:sz w:val="24"/>
          <w:szCs w:val="24"/>
        </w:rPr>
        <w:t>,</w:t>
      </w:r>
      <w:r w:rsidR="00142382" w:rsidRPr="002E25AD">
        <w:rPr>
          <w:rFonts w:ascii="Times New Roman" w:hAnsi="Times New Roman" w:cs="Times New Roman"/>
          <w:i/>
          <w:sz w:val="24"/>
          <w:szCs w:val="24"/>
        </w:rPr>
        <w:t xml:space="preserve"> </w:t>
      </w:r>
      <w:r w:rsidRPr="002E25AD">
        <w:rPr>
          <w:rFonts w:ascii="Times New Roman" w:hAnsi="Times New Roman" w:cs="Times New Roman"/>
          <w:i/>
          <w:sz w:val="24"/>
          <w:szCs w:val="24"/>
        </w:rPr>
        <w:t>T. Voortman</w:t>
      </w:r>
      <w:r w:rsidRPr="002E25AD">
        <w:rPr>
          <w:rFonts w:ascii="Times New Roman" w:hAnsi="Times New Roman" w:cs="Times New Roman"/>
          <w:i/>
          <w:sz w:val="24"/>
          <w:szCs w:val="24"/>
          <w:vertAlign w:val="superscript"/>
        </w:rPr>
        <w:t>1</w:t>
      </w:r>
    </w:p>
    <w:p w14:paraId="1386DC21" w14:textId="561064F6" w:rsidR="001220B2" w:rsidRPr="002E25AD" w:rsidRDefault="001220B2" w:rsidP="00B17D26">
      <w:pPr>
        <w:suppressLineNumbers/>
        <w:rPr>
          <w:rFonts w:ascii="Times New Roman" w:hAnsi="Times New Roman" w:cs="Times New Roman"/>
          <w:sz w:val="24"/>
          <w:szCs w:val="24"/>
          <w:lang w:val="en-US"/>
        </w:rPr>
      </w:pPr>
      <w:r w:rsidRPr="002E25AD">
        <w:rPr>
          <w:rFonts w:ascii="Times New Roman" w:hAnsi="Times New Roman" w:cs="Times New Roman"/>
          <w:sz w:val="24"/>
          <w:szCs w:val="24"/>
          <w:vertAlign w:val="superscript"/>
          <w:lang w:val="en-US"/>
        </w:rPr>
        <w:t>1</w:t>
      </w:r>
      <w:r w:rsidRPr="002E25AD">
        <w:rPr>
          <w:rFonts w:ascii="Times New Roman" w:hAnsi="Times New Roman" w:cs="Times New Roman"/>
          <w:sz w:val="24"/>
          <w:szCs w:val="24"/>
          <w:lang w:val="en-US"/>
        </w:rPr>
        <w:t xml:space="preserve">Department of Epidemiology, Erasmus University Medical Center, </w:t>
      </w:r>
      <w:r w:rsidR="00B17D26" w:rsidRPr="002E25AD">
        <w:rPr>
          <w:rFonts w:ascii="Times New Roman" w:hAnsi="Times New Roman" w:cs="Times New Roman"/>
          <w:sz w:val="24"/>
          <w:szCs w:val="24"/>
          <w:lang w:val="en-US"/>
        </w:rPr>
        <w:t xml:space="preserve">3000 CA </w:t>
      </w:r>
      <w:r w:rsidRPr="002E25AD">
        <w:rPr>
          <w:rFonts w:ascii="Times New Roman" w:hAnsi="Times New Roman" w:cs="Times New Roman"/>
          <w:sz w:val="24"/>
          <w:szCs w:val="24"/>
          <w:lang w:val="en-US"/>
        </w:rPr>
        <w:t>Rotterdam, the Netherlands</w:t>
      </w:r>
    </w:p>
    <w:p w14:paraId="6CA0820D" w14:textId="32D84162" w:rsidR="00FD4229" w:rsidRPr="002E25AD" w:rsidRDefault="00FD4229" w:rsidP="00B17D26">
      <w:pPr>
        <w:suppressLineNumbers/>
        <w:rPr>
          <w:rFonts w:ascii="Times New Roman" w:hAnsi="Times New Roman" w:cs="Times New Roman"/>
          <w:sz w:val="24"/>
          <w:szCs w:val="24"/>
          <w:lang w:val="en-US"/>
        </w:rPr>
      </w:pPr>
      <w:r w:rsidRPr="002E25AD">
        <w:rPr>
          <w:rFonts w:ascii="Times New Roman" w:hAnsi="Times New Roman" w:cs="Times New Roman"/>
          <w:sz w:val="24"/>
          <w:szCs w:val="24"/>
          <w:vertAlign w:val="superscript"/>
          <w:lang w:val="en-US"/>
        </w:rPr>
        <w:t>2</w:t>
      </w:r>
      <w:r w:rsidRPr="002E25AD">
        <w:rPr>
          <w:rFonts w:ascii="Times New Roman" w:hAnsi="Times New Roman" w:cs="Times New Roman"/>
          <w:sz w:val="24"/>
          <w:szCs w:val="24"/>
          <w:lang w:val="en-US"/>
        </w:rPr>
        <w:t>Department of Internal Medicine, Erasmus University Medical Center, 3000 CA Rotterdam, the Netherlands</w:t>
      </w:r>
    </w:p>
    <w:p w14:paraId="2D510C84" w14:textId="76FBED91" w:rsidR="00E51C55" w:rsidRPr="002E25AD" w:rsidRDefault="00E51C55" w:rsidP="00B17D26">
      <w:pPr>
        <w:suppressLineNumbers/>
        <w:rPr>
          <w:rFonts w:ascii="Times New Roman" w:hAnsi="Times New Roman" w:cs="Times New Roman"/>
          <w:sz w:val="24"/>
          <w:szCs w:val="20"/>
          <w:shd w:val="clear" w:color="auto" w:fill="FFFFFF"/>
          <w:lang w:val="en-US"/>
        </w:rPr>
      </w:pPr>
      <w:r w:rsidRPr="002E25AD">
        <w:rPr>
          <w:rFonts w:ascii="Times New Roman" w:hAnsi="Times New Roman" w:cs="Times New Roman"/>
          <w:sz w:val="24"/>
          <w:szCs w:val="24"/>
          <w:vertAlign w:val="superscript"/>
          <w:lang w:val="en-US"/>
        </w:rPr>
        <w:t>3</w:t>
      </w:r>
      <w:r w:rsidRPr="002E25AD">
        <w:rPr>
          <w:rFonts w:ascii="Times New Roman" w:hAnsi="Times New Roman" w:cs="Times New Roman"/>
          <w:sz w:val="24"/>
          <w:szCs w:val="20"/>
          <w:shd w:val="clear" w:color="auto" w:fill="FFFFFF"/>
          <w:lang w:val="en-US"/>
        </w:rPr>
        <w:t>German Center for Diabetes Research, Neuherberg, Germany.</w:t>
      </w:r>
    </w:p>
    <w:p w14:paraId="39D5CC89" w14:textId="7FB396D9" w:rsidR="00E51C55" w:rsidRPr="002E25AD" w:rsidRDefault="00E51C55" w:rsidP="00B17D26">
      <w:pPr>
        <w:suppressLineNumbers/>
        <w:rPr>
          <w:rFonts w:ascii="Times New Roman" w:hAnsi="Times New Roman" w:cs="Times New Roman"/>
          <w:sz w:val="24"/>
          <w:szCs w:val="24"/>
          <w:shd w:val="clear" w:color="auto" w:fill="FFFFFF"/>
          <w:lang w:val="en-US"/>
        </w:rPr>
      </w:pPr>
      <w:r w:rsidRPr="002E25AD">
        <w:rPr>
          <w:rFonts w:ascii="Times New Roman" w:hAnsi="Times New Roman" w:cs="Times New Roman"/>
          <w:sz w:val="24"/>
          <w:szCs w:val="24"/>
          <w:shd w:val="clear" w:color="auto" w:fill="FFFFFF"/>
          <w:vertAlign w:val="superscript"/>
          <w:lang w:val="en-US"/>
        </w:rPr>
        <w:t>4</w:t>
      </w:r>
      <w:r w:rsidRPr="002E25AD">
        <w:rPr>
          <w:rFonts w:ascii="Times New Roman" w:hAnsi="Times New Roman" w:cs="Times New Roman"/>
          <w:sz w:val="24"/>
          <w:szCs w:val="24"/>
          <w:shd w:val="clear" w:color="auto" w:fill="FFFFFF"/>
          <w:lang w:val="en-US"/>
        </w:rPr>
        <w:t>Helmholtz Zentrum München-German Research Center for Environmental Health, Institute of Epidemiology, Neuherberg, Germany.</w:t>
      </w:r>
    </w:p>
    <w:p w14:paraId="609E9E1C" w14:textId="2988FD27" w:rsidR="00E51C55" w:rsidRPr="002E25AD" w:rsidRDefault="00E51C55" w:rsidP="00E51C55">
      <w:pPr>
        <w:suppressLineNumbers/>
        <w:spacing w:after="0" w:line="255" w:lineRule="atLeast"/>
        <w:rPr>
          <w:rFonts w:ascii="Times New Roman" w:eastAsia="Times New Roman" w:hAnsi="Times New Roman" w:cs="Times New Roman"/>
          <w:sz w:val="24"/>
          <w:szCs w:val="24"/>
          <w:lang w:val="en-GB" w:eastAsia="en-GB"/>
        </w:rPr>
      </w:pPr>
      <w:r w:rsidRPr="002E25AD">
        <w:rPr>
          <w:rFonts w:ascii="Times New Roman" w:eastAsia="Times New Roman" w:hAnsi="Times New Roman" w:cs="Times New Roman"/>
          <w:sz w:val="24"/>
          <w:szCs w:val="24"/>
          <w:vertAlign w:val="superscript"/>
          <w:lang w:val="en-GB" w:eastAsia="en-GB"/>
        </w:rPr>
        <w:t>5</w:t>
      </w:r>
      <w:r w:rsidRPr="002E25AD">
        <w:rPr>
          <w:rFonts w:ascii="Times New Roman" w:eastAsia="Times New Roman" w:hAnsi="Times New Roman" w:cs="Times New Roman"/>
          <w:sz w:val="24"/>
          <w:szCs w:val="24"/>
          <w:lang w:val="en-GB" w:eastAsia="en-GB"/>
        </w:rPr>
        <w:t xml:space="preserve">Department of Public Health and Primary Care/LUMC Campus The Hague, Leiden University Medical Center, Leiden, The Netherlands. </w:t>
      </w:r>
    </w:p>
    <w:p w14:paraId="07648103" w14:textId="35B5FA47" w:rsidR="00E51C55" w:rsidRPr="002E25AD" w:rsidRDefault="00E51C55" w:rsidP="00E51C55">
      <w:pPr>
        <w:suppressLineNumbers/>
        <w:spacing w:after="0" w:line="255" w:lineRule="atLeast"/>
        <w:rPr>
          <w:rFonts w:ascii="Times New Roman" w:eastAsia="Times New Roman" w:hAnsi="Times New Roman" w:cs="Times New Roman"/>
          <w:sz w:val="24"/>
          <w:szCs w:val="24"/>
          <w:lang w:val="en-GB" w:eastAsia="en-GB"/>
        </w:rPr>
      </w:pPr>
    </w:p>
    <w:p w14:paraId="37B7A087" w14:textId="2E9F7E23" w:rsidR="001220B2" w:rsidRPr="002E25AD" w:rsidRDefault="00E51C55" w:rsidP="00B17D26">
      <w:pPr>
        <w:suppressLineNumbers/>
        <w:rPr>
          <w:rFonts w:ascii="Times New Roman" w:hAnsi="Times New Roman" w:cs="Times New Roman"/>
          <w:sz w:val="24"/>
          <w:szCs w:val="24"/>
          <w:lang w:val="en-US"/>
        </w:rPr>
      </w:pPr>
      <w:r w:rsidRPr="002E25AD">
        <w:rPr>
          <w:rFonts w:ascii="Times New Roman" w:hAnsi="Times New Roman" w:cs="Times New Roman"/>
          <w:sz w:val="24"/>
          <w:szCs w:val="24"/>
          <w:vertAlign w:val="superscript"/>
          <w:lang w:val="en-US"/>
        </w:rPr>
        <w:t>6</w:t>
      </w:r>
      <w:r w:rsidRPr="002E25AD">
        <w:rPr>
          <w:rFonts w:ascii="Times New Roman" w:hAnsi="Times New Roman" w:cs="Times New Roman"/>
          <w:sz w:val="24"/>
          <w:szCs w:val="24"/>
          <w:lang w:val="en-US"/>
        </w:rPr>
        <w:t>Institute of Social and Preventive Medicine (ISPM), University of Bern, Bern, Switzerland.</w:t>
      </w:r>
    </w:p>
    <w:p w14:paraId="37B6D6D6" w14:textId="77777777" w:rsidR="00E51C55" w:rsidRPr="002E25AD" w:rsidRDefault="00E51C55" w:rsidP="00B17D26">
      <w:pPr>
        <w:suppressLineNumbers/>
        <w:rPr>
          <w:rFonts w:ascii="Times New Roman" w:hAnsi="Times New Roman" w:cs="Times New Roman"/>
          <w:b/>
          <w:sz w:val="24"/>
          <w:szCs w:val="24"/>
          <w:lang w:val="en-US"/>
        </w:rPr>
      </w:pPr>
    </w:p>
    <w:p w14:paraId="20048056" w14:textId="77777777" w:rsidR="00B17D26" w:rsidRPr="002E25AD" w:rsidRDefault="00B17D26" w:rsidP="00B17D26">
      <w:pPr>
        <w:suppressLineNumbers/>
        <w:rPr>
          <w:rFonts w:ascii="Times New Roman" w:hAnsi="Times New Roman" w:cs="Times New Roman"/>
          <w:sz w:val="24"/>
          <w:szCs w:val="24"/>
          <w:lang w:val="en-US"/>
        </w:rPr>
      </w:pPr>
      <w:r w:rsidRPr="002E25AD">
        <w:rPr>
          <w:rFonts w:ascii="Times New Roman" w:hAnsi="Times New Roman" w:cs="Times New Roman"/>
          <w:b/>
          <w:sz w:val="24"/>
          <w:szCs w:val="24"/>
          <w:lang w:val="en-US"/>
        </w:rPr>
        <w:t xml:space="preserve">Short running title: </w:t>
      </w:r>
      <w:r w:rsidRPr="002E25AD">
        <w:rPr>
          <w:rFonts w:ascii="Times New Roman" w:hAnsi="Times New Roman" w:cs="Times New Roman"/>
          <w:sz w:val="24"/>
          <w:szCs w:val="24"/>
          <w:lang w:val="en-US"/>
        </w:rPr>
        <w:t>Dietary Antioxidant Capacity and Type 2 Diabetes</w:t>
      </w:r>
    </w:p>
    <w:p w14:paraId="48095DEF" w14:textId="78B05988" w:rsidR="00105984" w:rsidRPr="002E25AD" w:rsidRDefault="00B17D26" w:rsidP="00B17D26">
      <w:pPr>
        <w:suppressLineNumbers/>
        <w:rPr>
          <w:rFonts w:ascii="Times New Roman" w:hAnsi="Times New Roman" w:cs="Times New Roman"/>
          <w:sz w:val="24"/>
          <w:szCs w:val="24"/>
          <w:lang w:val="en-US"/>
        </w:rPr>
      </w:pPr>
      <w:r w:rsidRPr="002E25AD">
        <w:rPr>
          <w:rFonts w:ascii="Times New Roman" w:hAnsi="Times New Roman" w:cs="Times New Roman"/>
          <w:b/>
          <w:sz w:val="24"/>
          <w:szCs w:val="24"/>
          <w:lang w:val="en-US"/>
        </w:rPr>
        <w:t xml:space="preserve">Corresponding author: </w:t>
      </w:r>
      <w:r w:rsidR="00FC739E" w:rsidRPr="002E25AD">
        <w:rPr>
          <w:rFonts w:ascii="Times New Roman" w:hAnsi="Times New Roman" w:cs="Times New Roman"/>
          <w:sz w:val="24"/>
          <w:szCs w:val="24"/>
          <w:lang w:val="en-US"/>
        </w:rPr>
        <w:t xml:space="preserve">Trudy Voortman, PhD, </w:t>
      </w:r>
      <w:r w:rsidRPr="002E25AD">
        <w:rPr>
          <w:rFonts w:ascii="Times New Roman" w:hAnsi="Times New Roman" w:cs="Times New Roman"/>
          <w:sz w:val="24"/>
          <w:szCs w:val="24"/>
          <w:lang w:val="en-US"/>
        </w:rPr>
        <w:t xml:space="preserve">Department of Epidemiology, Erasmus University Medical Center, </w:t>
      </w:r>
      <w:r w:rsidR="00FC739E" w:rsidRPr="002E25AD">
        <w:rPr>
          <w:rFonts w:ascii="Times New Roman" w:hAnsi="Times New Roman" w:cs="Times New Roman"/>
          <w:sz w:val="24"/>
          <w:szCs w:val="24"/>
          <w:lang w:val="en-US"/>
        </w:rPr>
        <w:t xml:space="preserve">PO Box 2040, </w:t>
      </w:r>
      <w:r w:rsidRPr="002E25AD">
        <w:rPr>
          <w:rFonts w:ascii="Times New Roman" w:hAnsi="Times New Roman" w:cs="Times New Roman"/>
          <w:sz w:val="24"/>
          <w:szCs w:val="24"/>
          <w:lang w:val="en-US"/>
        </w:rPr>
        <w:t>3000 CA Rotterdam, the Netherlands</w:t>
      </w:r>
      <w:r w:rsidR="00FD4229" w:rsidRPr="002E25AD">
        <w:rPr>
          <w:rFonts w:ascii="Times New Roman" w:hAnsi="Times New Roman" w:cs="Times New Roman"/>
          <w:sz w:val="24"/>
          <w:szCs w:val="24"/>
          <w:lang w:val="en-US"/>
        </w:rPr>
        <w:t xml:space="preserve">; </w:t>
      </w:r>
      <w:r w:rsidR="00FC739E" w:rsidRPr="002E25AD">
        <w:rPr>
          <w:rFonts w:ascii="Times New Roman" w:hAnsi="Times New Roman" w:cs="Times New Roman"/>
          <w:sz w:val="24"/>
          <w:szCs w:val="24"/>
          <w:lang w:val="en-US"/>
        </w:rPr>
        <w:t xml:space="preserve">e-mail: </w:t>
      </w:r>
      <w:hyperlink r:id="rId8" w:history="1">
        <w:r w:rsidR="00FC739E" w:rsidRPr="002E25AD">
          <w:rPr>
            <w:rStyle w:val="Hyperlink"/>
            <w:rFonts w:ascii="Times New Roman" w:hAnsi="Times New Roman" w:cs="Times New Roman"/>
            <w:color w:val="auto"/>
            <w:sz w:val="24"/>
            <w:szCs w:val="24"/>
            <w:lang w:val="en-US"/>
          </w:rPr>
          <w:t>trudy.voortman@erasmusmc.nl</w:t>
        </w:r>
      </w:hyperlink>
      <w:r w:rsidR="00FC739E" w:rsidRPr="002E25AD">
        <w:rPr>
          <w:rFonts w:ascii="Times New Roman" w:hAnsi="Times New Roman" w:cs="Times New Roman"/>
          <w:sz w:val="24"/>
          <w:szCs w:val="24"/>
          <w:lang w:val="en-US"/>
        </w:rPr>
        <w:t xml:space="preserve">; telephone: +31 10 70 </w:t>
      </w:r>
      <w:r w:rsidR="00B87524" w:rsidRPr="002E25AD">
        <w:rPr>
          <w:rFonts w:ascii="Times New Roman" w:hAnsi="Times New Roman" w:cs="Times New Roman"/>
          <w:sz w:val="24"/>
          <w:szCs w:val="24"/>
          <w:lang w:val="en-US"/>
        </w:rPr>
        <w:t>43536</w:t>
      </w:r>
      <w:r w:rsidR="00FC739E" w:rsidRPr="002E25AD">
        <w:rPr>
          <w:rFonts w:ascii="Times New Roman" w:hAnsi="Times New Roman" w:cs="Times New Roman"/>
          <w:sz w:val="24"/>
          <w:szCs w:val="24"/>
          <w:lang w:val="en-US"/>
        </w:rPr>
        <w:t>; fax: + 31 10 70 44657.</w:t>
      </w:r>
      <w:r w:rsidR="00105984" w:rsidRPr="002E25AD">
        <w:rPr>
          <w:rFonts w:ascii="Times New Roman" w:hAnsi="Times New Roman" w:cs="Times New Roman"/>
          <w:sz w:val="24"/>
          <w:szCs w:val="24"/>
          <w:lang w:val="en-US"/>
        </w:rPr>
        <w:t xml:space="preserve"> ORCID 0000-0003-2830-6813.</w:t>
      </w:r>
    </w:p>
    <w:p w14:paraId="1B8E8912" w14:textId="77777777" w:rsidR="00E2567D" w:rsidRPr="002E25AD" w:rsidRDefault="00E2567D" w:rsidP="00B17D26">
      <w:pPr>
        <w:suppressLineNumbers/>
        <w:rPr>
          <w:rFonts w:ascii="Times New Roman" w:hAnsi="Times New Roman" w:cs="Times New Roman"/>
          <w:b/>
          <w:sz w:val="24"/>
          <w:szCs w:val="24"/>
          <w:lang w:val="en-US"/>
        </w:rPr>
      </w:pPr>
    </w:p>
    <w:p w14:paraId="010766FD" w14:textId="2EB8F237" w:rsidR="00B17D26" w:rsidRPr="002E25AD" w:rsidRDefault="00B17D26" w:rsidP="00B17D26">
      <w:pPr>
        <w:suppressLineNumbers/>
        <w:rPr>
          <w:rFonts w:ascii="Times New Roman" w:hAnsi="Times New Roman" w:cs="Times New Roman"/>
          <w:b/>
          <w:sz w:val="24"/>
          <w:szCs w:val="24"/>
          <w:lang w:val="en-US"/>
        </w:rPr>
      </w:pPr>
      <w:r w:rsidRPr="002E25AD">
        <w:rPr>
          <w:rFonts w:ascii="Times New Roman" w:hAnsi="Times New Roman" w:cs="Times New Roman"/>
          <w:b/>
          <w:sz w:val="24"/>
          <w:szCs w:val="24"/>
          <w:lang w:val="en-US"/>
        </w:rPr>
        <w:t xml:space="preserve">Word count: </w:t>
      </w:r>
      <w:r w:rsidR="007141B6" w:rsidRPr="002E25AD">
        <w:rPr>
          <w:rFonts w:ascii="Times New Roman" w:hAnsi="Times New Roman" w:cs="Times New Roman"/>
          <w:sz w:val="24"/>
          <w:szCs w:val="24"/>
          <w:lang w:val="en-US"/>
        </w:rPr>
        <w:t>4,0</w:t>
      </w:r>
      <w:r w:rsidR="00595B30" w:rsidRPr="002E25AD">
        <w:rPr>
          <w:rFonts w:ascii="Times New Roman" w:hAnsi="Times New Roman" w:cs="Times New Roman"/>
          <w:sz w:val="24"/>
          <w:szCs w:val="24"/>
          <w:lang w:val="en-US"/>
        </w:rPr>
        <w:t>60</w:t>
      </w:r>
    </w:p>
    <w:p w14:paraId="1406B0B5" w14:textId="0B0A512A" w:rsidR="00B17D26" w:rsidRPr="002E25AD" w:rsidRDefault="00B17D26" w:rsidP="00B17D26">
      <w:pPr>
        <w:suppressLineNumbers/>
        <w:rPr>
          <w:rFonts w:ascii="Times New Roman" w:hAnsi="Times New Roman" w:cs="Times New Roman"/>
          <w:b/>
          <w:sz w:val="24"/>
          <w:szCs w:val="24"/>
          <w:lang w:val="en-US"/>
        </w:rPr>
      </w:pPr>
      <w:r w:rsidRPr="002E25AD">
        <w:rPr>
          <w:rFonts w:ascii="Times New Roman" w:hAnsi="Times New Roman" w:cs="Times New Roman"/>
          <w:b/>
          <w:sz w:val="24"/>
          <w:szCs w:val="24"/>
          <w:lang w:val="en-US"/>
        </w:rPr>
        <w:t xml:space="preserve">Number of tables: </w:t>
      </w:r>
      <w:r w:rsidR="006469B0" w:rsidRPr="002E25AD">
        <w:rPr>
          <w:rFonts w:ascii="Times New Roman" w:hAnsi="Times New Roman" w:cs="Times New Roman"/>
          <w:sz w:val="24"/>
          <w:szCs w:val="24"/>
          <w:lang w:val="en-US"/>
        </w:rPr>
        <w:t xml:space="preserve">3, additional 5 as online supplement. </w:t>
      </w:r>
    </w:p>
    <w:p w14:paraId="12CD8EE7" w14:textId="39AA08F8" w:rsidR="004F5D15" w:rsidRPr="002E25AD" w:rsidRDefault="00B17D26" w:rsidP="004F5D15">
      <w:pPr>
        <w:suppressLineNumbers/>
        <w:rPr>
          <w:rFonts w:ascii="Times New Roman" w:hAnsi="Times New Roman" w:cs="Times New Roman"/>
          <w:sz w:val="24"/>
          <w:szCs w:val="24"/>
          <w:lang w:val="en-US"/>
        </w:rPr>
      </w:pPr>
      <w:r w:rsidRPr="002E25AD">
        <w:rPr>
          <w:rFonts w:ascii="Times New Roman" w:hAnsi="Times New Roman" w:cs="Times New Roman"/>
          <w:b/>
          <w:sz w:val="24"/>
          <w:szCs w:val="24"/>
          <w:lang w:val="en-US"/>
        </w:rPr>
        <w:t xml:space="preserve">Number of figures: </w:t>
      </w:r>
      <w:r w:rsidRPr="002E25AD">
        <w:rPr>
          <w:rFonts w:ascii="Times New Roman" w:hAnsi="Times New Roman" w:cs="Times New Roman"/>
          <w:sz w:val="24"/>
          <w:szCs w:val="24"/>
          <w:lang w:val="en-US"/>
        </w:rPr>
        <w:t>0</w:t>
      </w:r>
      <w:r w:rsidR="004F5D15" w:rsidRPr="002E25AD">
        <w:rPr>
          <w:rFonts w:ascii="Times New Roman" w:hAnsi="Times New Roman" w:cs="Times New Roman"/>
          <w:sz w:val="24"/>
          <w:szCs w:val="24"/>
          <w:lang w:val="en-US"/>
        </w:rPr>
        <w:br w:type="page"/>
      </w:r>
    </w:p>
    <w:p w14:paraId="37820EF1" w14:textId="7116E25E" w:rsidR="00B17D26" w:rsidRPr="002E25AD" w:rsidRDefault="00636D97" w:rsidP="004F5D15">
      <w:pPr>
        <w:suppressLineNumbers/>
        <w:rPr>
          <w:rFonts w:ascii="Times New Roman" w:hAnsi="Times New Roman" w:cs="Times New Roman"/>
          <w:sz w:val="28"/>
          <w:szCs w:val="24"/>
          <w:lang w:val="en-US"/>
        </w:rPr>
      </w:pPr>
      <w:r w:rsidRPr="002E25AD">
        <w:rPr>
          <w:rFonts w:ascii="Times New Roman" w:hAnsi="Times New Roman" w:cs="Times New Roman"/>
          <w:b/>
          <w:sz w:val="28"/>
          <w:szCs w:val="24"/>
          <w:lang w:val="en-US"/>
        </w:rPr>
        <w:lastRenderedPageBreak/>
        <w:t>Abstract</w:t>
      </w:r>
    </w:p>
    <w:p w14:paraId="75D3FA09" w14:textId="20313628" w:rsidR="00B17D26" w:rsidRPr="002E25AD" w:rsidRDefault="002B602C" w:rsidP="004F5D15">
      <w:pPr>
        <w:spacing w:line="480" w:lineRule="auto"/>
        <w:rPr>
          <w:rFonts w:ascii="Times New Roman" w:hAnsi="Times New Roman" w:cs="Times New Roman"/>
          <w:sz w:val="24"/>
          <w:szCs w:val="24"/>
          <w:lang w:val="en-US"/>
        </w:rPr>
      </w:pPr>
      <w:r w:rsidRPr="002E25AD">
        <w:rPr>
          <w:rFonts w:ascii="Times New Roman" w:hAnsi="Times New Roman" w:cs="Times New Roman"/>
          <w:b/>
          <w:sz w:val="24"/>
          <w:szCs w:val="24"/>
          <w:lang w:val="en-US"/>
        </w:rPr>
        <w:t>Aims</w:t>
      </w:r>
      <w:r w:rsidR="00636D97" w:rsidRPr="002E25AD">
        <w:rPr>
          <w:rFonts w:ascii="Times New Roman" w:hAnsi="Times New Roman" w:cs="Times New Roman"/>
          <w:b/>
          <w:sz w:val="24"/>
          <w:szCs w:val="24"/>
          <w:lang w:val="en-US"/>
        </w:rPr>
        <w:t xml:space="preserve">: </w:t>
      </w:r>
      <w:r w:rsidR="00943E17" w:rsidRPr="002E25AD">
        <w:rPr>
          <w:rFonts w:ascii="Times New Roman" w:hAnsi="Times New Roman" w:cs="Times New Roman"/>
          <w:sz w:val="24"/>
          <w:szCs w:val="24"/>
          <w:lang w:val="en-US"/>
        </w:rPr>
        <w:t>Intake</w:t>
      </w:r>
      <w:r w:rsidR="00636D97" w:rsidRPr="002E25AD">
        <w:rPr>
          <w:rFonts w:ascii="Times New Roman" w:hAnsi="Times New Roman" w:cs="Times New Roman"/>
          <w:sz w:val="24"/>
          <w:szCs w:val="24"/>
          <w:lang w:val="en-US"/>
        </w:rPr>
        <w:t xml:space="preserve"> of individual antioxidants </w:t>
      </w:r>
      <w:r w:rsidR="00943E17" w:rsidRPr="002E25AD">
        <w:rPr>
          <w:rFonts w:ascii="Times New Roman" w:hAnsi="Times New Roman" w:cs="Times New Roman"/>
          <w:sz w:val="24"/>
          <w:szCs w:val="24"/>
          <w:lang w:val="en-US"/>
        </w:rPr>
        <w:t>has been related to a lower</w:t>
      </w:r>
      <w:r w:rsidR="00636D97" w:rsidRPr="002E25AD">
        <w:rPr>
          <w:rFonts w:ascii="Times New Roman" w:hAnsi="Times New Roman" w:cs="Times New Roman"/>
          <w:sz w:val="24"/>
          <w:szCs w:val="24"/>
          <w:lang w:val="en-US"/>
        </w:rPr>
        <w:t xml:space="preserve"> risk of type 2 diabetes. However, the diet may contain many antioxidants with additive or synergistic effects. Therefore, we aimed to determine association</w:t>
      </w:r>
      <w:r w:rsidR="00C412E5" w:rsidRPr="002E25AD">
        <w:rPr>
          <w:rFonts w:ascii="Times New Roman" w:hAnsi="Times New Roman" w:cs="Times New Roman"/>
          <w:sz w:val="24"/>
          <w:szCs w:val="24"/>
          <w:lang w:val="en-US"/>
        </w:rPr>
        <w:t>s</w:t>
      </w:r>
      <w:r w:rsidR="00636D97" w:rsidRPr="002E25AD">
        <w:rPr>
          <w:rFonts w:ascii="Times New Roman" w:hAnsi="Times New Roman" w:cs="Times New Roman"/>
          <w:sz w:val="24"/>
          <w:szCs w:val="24"/>
          <w:lang w:val="en-US"/>
        </w:rPr>
        <w:t xml:space="preserve"> between total dietary antioxidant capacity and risk of type 2 diabetes, prediabetes and insulin resistance.</w:t>
      </w:r>
    </w:p>
    <w:p w14:paraId="0A5F23C8" w14:textId="4DA77DBE" w:rsidR="00636D97" w:rsidRPr="002E25AD" w:rsidRDefault="00A65C25" w:rsidP="004F5D15">
      <w:pPr>
        <w:spacing w:line="480" w:lineRule="auto"/>
        <w:rPr>
          <w:rFonts w:ascii="Times New Roman" w:hAnsi="Times New Roman" w:cs="Times New Roman"/>
          <w:sz w:val="24"/>
          <w:szCs w:val="24"/>
          <w:lang w:val="en-US"/>
        </w:rPr>
      </w:pPr>
      <w:r w:rsidRPr="002E25AD">
        <w:rPr>
          <w:rFonts w:ascii="Times New Roman" w:hAnsi="Times New Roman" w:cs="Times New Roman"/>
          <w:b/>
          <w:sz w:val="24"/>
          <w:szCs w:val="24"/>
          <w:lang w:val="en-US"/>
        </w:rPr>
        <w:t>Methods</w:t>
      </w:r>
      <w:r w:rsidR="00636D97" w:rsidRPr="002E25AD">
        <w:rPr>
          <w:rFonts w:ascii="Times New Roman" w:hAnsi="Times New Roman" w:cs="Times New Roman"/>
          <w:b/>
          <w:sz w:val="24"/>
          <w:szCs w:val="24"/>
          <w:lang w:val="en-US"/>
        </w:rPr>
        <w:t xml:space="preserve">: </w:t>
      </w:r>
      <w:r w:rsidR="00636D97" w:rsidRPr="002E25AD">
        <w:rPr>
          <w:rFonts w:ascii="Times New Roman" w:hAnsi="Times New Roman" w:cs="Times New Roman"/>
          <w:sz w:val="24"/>
          <w:szCs w:val="24"/>
          <w:lang w:val="en-US"/>
        </w:rPr>
        <w:t xml:space="preserve">We estimated the dietary antioxidant capacity of 5,796 participants of the Rotterdam Study using a ferric reducing ability of plasma (FRAP) score. Of these participants, 4,957 had normoglycaemia and 839 had prediabetes at baseline. We used </w:t>
      </w:r>
      <w:r w:rsidR="00C405F7" w:rsidRPr="002E25AD">
        <w:rPr>
          <w:rFonts w:ascii="Times New Roman" w:hAnsi="Times New Roman" w:cs="Times New Roman"/>
          <w:sz w:val="24"/>
          <w:szCs w:val="24"/>
          <w:lang w:val="en-US"/>
        </w:rPr>
        <w:t xml:space="preserve">covariate-adjusted </w:t>
      </w:r>
      <w:r w:rsidR="00636D97" w:rsidRPr="002E25AD">
        <w:rPr>
          <w:rFonts w:ascii="Times New Roman" w:hAnsi="Times New Roman" w:cs="Times New Roman"/>
          <w:sz w:val="24"/>
          <w:szCs w:val="24"/>
          <w:lang w:val="en-US"/>
        </w:rPr>
        <w:t>proportional hazards models to estimate association</w:t>
      </w:r>
      <w:r w:rsidR="002F3655" w:rsidRPr="002E25AD">
        <w:rPr>
          <w:rFonts w:ascii="Times New Roman" w:hAnsi="Times New Roman" w:cs="Times New Roman"/>
          <w:sz w:val="24"/>
          <w:szCs w:val="24"/>
          <w:lang w:val="en-US"/>
        </w:rPr>
        <w:t>s</w:t>
      </w:r>
      <w:r w:rsidR="00636D97" w:rsidRPr="002E25AD">
        <w:rPr>
          <w:rFonts w:ascii="Times New Roman" w:hAnsi="Times New Roman" w:cs="Times New Roman"/>
          <w:sz w:val="24"/>
          <w:szCs w:val="24"/>
          <w:lang w:val="en-US"/>
        </w:rPr>
        <w:t xml:space="preserve"> between FRAP and risk of type 2 diabetes, risk of type 2 diabetes among </w:t>
      </w:r>
      <w:r w:rsidR="00564A9C" w:rsidRPr="002E25AD">
        <w:rPr>
          <w:rFonts w:ascii="Times New Roman" w:hAnsi="Times New Roman" w:cs="Times New Roman"/>
          <w:sz w:val="24"/>
          <w:szCs w:val="24"/>
          <w:lang w:val="en-US"/>
        </w:rPr>
        <w:t>participants with prediabetes</w:t>
      </w:r>
      <w:r w:rsidR="00C405F7" w:rsidRPr="002E25AD">
        <w:rPr>
          <w:rFonts w:ascii="Times New Roman" w:hAnsi="Times New Roman" w:cs="Times New Roman"/>
          <w:sz w:val="24"/>
          <w:szCs w:val="24"/>
          <w:lang w:val="en-US"/>
        </w:rPr>
        <w:t>,</w:t>
      </w:r>
      <w:r w:rsidR="00564A9C" w:rsidRPr="002E25AD">
        <w:rPr>
          <w:rFonts w:ascii="Times New Roman" w:hAnsi="Times New Roman" w:cs="Times New Roman"/>
          <w:sz w:val="24"/>
          <w:szCs w:val="24"/>
          <w:lang w:val="en-US"/>
        </w:rPr>
        <w:t xml:space="preserve"> </w:t>
      </w:r>
      <w:r w:rsidR="00636D97" w:rsidRPr="002E25AD">
        <w:rPr>
          <w:rFonts w:ascii="Times New Roman" w:hAnsi="Times New Roman" w:cs="Times New Roman"/>
          <w:sz w:val="24"/>
          <w:szCs w:val="24"/>
          <w:lang w:val="en-US"/>
        </w:rPr>
        <w:t>and risk of prediabetes</w:t>
      </w:r>
      <w:r w:rsidR="00C405F7" w:rsidRPr="002E25AD">
        <w:rPr>
          <w:rFonts w:ascii="Times New Roman" w:hAnsi="Times New Roman" w:cs="Times New Roman"/>
          <w:sz w:val="24"/>
          <w:szCs w:val="24"/>
          <w:lang w:val="en-US"/>
        </w:rPr>
        <w:t>.</w:t>
      </w:r>
      <w:r w:rsidR="00636D97" w:rsidRPr="002E25AD">
        <w:rPr>
          <w:rFonts w:ascii="Times New Roman" w:hAnsi="Times New Roman" w:cs="Times New Roman"/>
          <w:sz w:val="24"/>
          <w:szCs w:val="24"/>
          <w:lang w:val="en-US"/>
        </w:rPr>
        <w:t xml:space="preserve"> </w:t>
      </w:r>
      <w:r w:rsidR="00C405F7" w:rsidRPr="002E25AD">
        <w:rPr>
          <w:rFonts w:ascii="Times New Roman" w:hAnsi="Times New Roman" w:cs="Times New Roman"/>
          <w:sz w:val="24"/>
          <w:szCs w:val="24"/>
          <w:lang w:val="en-US"/>
        </w:rPr>
        <w:t>We used</w:t>
      </w:r>
      <w:r w:rsidR="00636D97" w:rsidRPr="002E25AD">
        <w:rPr>
          <w:rFonts w:ascii="Times New Roman" w:hAnsi="Times New Roman" w:cs="Times New Roman"/>
          <w:sz w:val="24"/>
          <w:szCs w:val="24"/>
          <w:lang w:val="en-US"/>
        </w:rPr>
        <w:t xml:space="preserve"> linear regression models to determine the association between FRAP score and insulin resistance (HOMA-IR).</w:t>
      </w:r>
    </w:p>
    <w:p w14:paraId="4CB82BA1" w14:textId="35CFDEAF" w:rsidR="00636D97" w:rsidRPr="002E25AD" w:rsidRDefault="00636D97" w:rsidP="004F5D15">
      <w:pPr>
        <w:spacing w:line="480" w:lineRule="auto"/>
        <w:rPr>
          <w:rFonts w:ascii="Times New Roman" w:hAnsi="Times New Roman" w:cs="Times New Roman"/>
          <w:sz w:val="24"/>
          <w:szCs w:val="24"/>
          <w:lang w:val="en-US"/>
        </w:rPr>
      </w:pPr>
      <w:r w:rsidRPr="002E25AD">
        <w:rPr>
          <w:rFonts w:ascii="Times New Roman" w:hAnsi="Times New Roman" w:cs="Times New Roman"/>
          <w:b/>
          <w:sz w:val="24"/>
          <w:szCs w:val="24"/>
          <w:lang w:val="en-US"/>
        </w:rPr>
        <w:t xml:space="preserve">Results: </w:t>
      </w:r>
      <w:r w:rsidRPr="002E25AD">
        <w:rPr>
          <w:rFonts w:ascii="Times New Roman" w:hAnsi="Times New Roman" w:cs="Times New Roman"/>
          <w:sz w:val="24"/>
          <w:szCs w:val="24"/>
          <w:lang w:val="en-US"/>
        </w:rPr>
        <w:t xml:space="preserve">We observed 532 cases of incident type 2 diabetes, of which 259 among </w:t>
      </w:r>
      <w:r w:rsidR="00564A9C" w:rsidRPr="002E25AD">
        <w:rPr>
          <w:rFonts w:ascii="Times New Roman" w:hAnsi="Times New Roman" w:cs="Times New Roman"/>
          <w:sz w:val="24"/>
          <w:szCs w:val="24"/>
          <w:lang w:val="en-US"/>
        </w:rPr>
        <w:t>participants with prediabetes</w:t>
      </w:r>
      <w:r w:rsidRPr="002E25AD">
        <w:rPr>
          <w:rFonts w:ascii="Times New Roman" w:hAnsi="Times New Roman" w:cs="Times New Roman"/>
          <w:sz w:val="24"/>
          <w:szCs w:val="24"/>
          <w:lang w:val="en-US"/>
        </w:rPr>
        <w:t xml:space="preserve">, and 794 cases of incident prediabetes during up to 15 years of follow-up. A higher FRAP score was associated with a lower risk of type 2 diabetes among the total population (HR per </w:t>
      </w:r>
      <w:r w:rsidR="00530348" w:rsidRPr="002E25AD">
        <w:rPr>
          <w:rFonts w:ascii="Times New Roman" w:hAnsi="Times New Roman" w:cs="Times New Roman"/>
          <w:sz w:val="24"/>
          <w:szCs w:val="24"/>
          <w:lang w:val="en-US"/>
        </w:rPr>
        <w:t xml:space="preserve">SD </w:t>
      </w:r>
      <w:r w:rsidRPr="002E25AD">
        <w:rPr>
          <w:rFonts w:ascii="Times New Roman" w:hAnsi="Times New Roman" w:cs="Times New Roman"/>
          <w:sz w:val="24"/>
          <w:szCs w:val="24"/>
          <w:lang w:val="en-US"/>
        </w:rPr>
        <w:t>FRAP</w:t>
      </w:r>
      <w:r w:rsidR="00530348" w:rsidRPr="002E25AD">
        <w:rPr>
          <w:rFonts w:ascii="Times New Roman" w:hAnsi="Times New Roman" w:cs="Times New Roman"/>
          <w:sz w:val="24"/>
          <w:szCs w:val="24"/>
          <w:lang w:val="en-US"/>
        </w:rPr>
        <w:t xml:space="preserve"> </w:t>
      </w:r>
      <w:r w:rsidRPr="002E25AD">
        <w:rPr>
          <w:rFonts w:ascii="Times New Roman" w:hAnsi="Times New Roman" w:cs="Times New Roman"/>
          <w:sz w:val="24"/>
          <w:szCs w:val="24"/>
          <w:lang w:val="en-US"/>
        </w:rPr>
        <w:t xml:space="preserve">0.84, 95% CI 0.75; 0.95) and among </w:t>
      </w:r>
      <w:r w:rsidR="00564A9C" w:rsidRPr="002E25AD">
        <w:rPr>
          <w:rFonts w:ascii="Times New Roman" w:hAnsi="Times New Roman" w:cs="Times New Roman"/>
          <w:sz w:val="24"/>
          <w:szCs w:val="24"/>
          <w:lang w:val="en-US"/>
        </w:rPr>
        <w:t>participants with prediabetes</w:t>
      </w:r>
      <w:r w:rsidRPr="002E25AD">
        <w:rPr>
          <w:rFonts w:ascii="Times New Roman" w:hAnsi="Times New Roman" w:cs="Times New Roman"/>
          <w:sz w:val="24"/>
          <w:szCs w:val="24"/>
          <w:lang w:val="en-US"/>
        </w:rPr>
        <w:t xml:space="preserve"> (HR 0.85, 95% CI 0.73; 0.99), but was not associated with risk of prediabetes. </w:t>
      </w:r>
      <w:r w:rsidR="002F3655" w:rsidRPr="002E25AD">
        <w:rPr>
          <w:rFonts w:ascii="Times New Roman" w:hAnsi="Times New Roman" w:cs="Times New Roman"/>
          <w:sz w:val="24"/>
          <w:szCs w:val="24"/>
          <w:lang w:val="en-US"/>
        </w:rPr>
        <w:t xml:space="preserve">Dietary </w:t>
      </w:r>
      <w:r w:rsidRPr="002E25AD">
        <w:rPr>
          <w:rFonts w:ascii="Times New Roman" w:hAnsi="Times New Roman" w:cs="Times New Roman"/>
          <w:sz w:val="24"/>
          <w:szCs w:val="24"/>
          <w:lang w:val="en-US"/>
        </w:rPr>
        <w:t>FRAP was inversely associated with HOMA-IR (</w:t>
      </w:r>
      <w:r w:rsidRPr="002E25AD">
        <w:rPr>
          <w:rFonts w:ascii="Times New Roman" w:hAnsi="Times New Roman" w:cs="Times New Roman"/>
          <w:sz w:val="24"/>
          <w:szCs w:val="24"/>
          <w:lang w:val="en-US"/>
        </w:rPr>
        <w:sym w:font="Symbol" w:char="F062"/>
      </w:r>
      <w:r w:rsidR="00943E17" w:rsidRPr="002E25AD">
        <w:rPr>
          <w:rFonts w:ascii="Times New Roman" w:hAnsi="Times New Roman" w:cs="Times New Roman"/>
          <w:sz w:val="24"/>
          <w:szCs w:val="24"/>
          <w:lang w:val="en-US"/>
        </w:rPr>
        <w:t xml:space="preserve"> -0.04, 95% CI -0.06; -0.03</w:t>
      </w:r>
      <w:r w:rsidRPr="002E25AD">
        <w:rPr>
          <w:rFonts w:ascii="Times New Roman" w:hAnsi="Times New Roman" w:cs="Times New Roman"/>
          <w:sz w:val="24"/>
          <w:szCs w:val="24"/>
          <w:lang w:val="en-US"/>
        </w:rPr>
        <w:t xml:space="preserve">). Effect estimates were generally similar between </w:t>
      </w:r>
      <w:r w:rsidR="00642D82" w:rsidRPr="002E25AD">
        <w:rPr>
          <w:rFonts w:ascii="Times New Roman" w:hAnsi="Times New Roman" w:cs="Times New Roman"/>
          <w:sz w:val="24"/>
          <w:szCs w:val="24"/>
          <w:lang w:val="en-US"/>
        </w:rPr>
        <w:t>sexes</w:t>
      </w:r>
      <w:r w:rsidRPr="002E25AD">
        <w:rPr>
          <w:rFonts w:ascii="Times New Roman" w:hAnsi="Times New Roman" w:cs="Times New Roman"/>
          <w:sz w:val="24"/>
          <w:szCs w:val="24"/>
          <w:lang w:val="en-US"/>
        </w:rPr>
        <w:t xml:space="preserve">. </w:t>
      </w:r>
    </w:p>
    <w:p w14:paraId="4F3DA4DA" w14:textId="0E53AB7C" w:rsidR="00A65C25" w:rsidRPr="002E25AD" w:rsidRDefault="00636D97" w:rsidP="00943E17">
      <w:pPr>
        <w:spacing w:line="480" w:lineRule="auto"/>
        <w:rPr>
          <w:rFonts w:ascii="Times New Roman" w:hAnsi="Times New Roman" w:cs="Times New Roman"/>
          <w:sz w:val="24"/>
          <w:szCs w:val="24"/>
          <w:lang w:val="en-US"/>
        </w:rPr>
      </w:pPr>
      <w:r w:rsidRPr="002E25AD">
        <w:rPr>
          <w:rFonts w:ascii="Times New Roman" w:hAnsi="Times New Roman" w:cs="Times New Roman"/>
          <w:b/>
          <w:sz w:val="24"/>
          <w:szCs w:val="24"/>
          <w:lang w:val="en-US"/>
        </w:rPr>
        <w:t xml:space="preserve">Conclusions: </w:t>
      </w:r>
      <w:r w:rsidR="00C2634F" w:rsidRPr="002E25AD">
        <w:rPr>
          <w:rFonts w:ascii="Times New Roman" w:hAnsi="Times New Roman" w:cs="Times New Roman"/>
          <w:sz w:val="24"/>
          <w:szCs w:val="24"/>
          <w:lang w:val="en-US"/>
        </w:rPr>
        <w:t>The</w:t>
      </w:r>
      <w:r w:rsidRPr="002E25AD">
        <w:rPr>
          <w:rFonts w:ascii="Times New Roman" w:hAnsi="Times New Roman" w:cs="Times New Roman"/>
          <w:sz w:val="24"/>
          <w:szCs w:val="24"/>
          <w:lang w:val="en-US"/>
        </w:rPr>
        <w:t xml:space="preserve"> findings</w:t>
      </w:r>
      <w:r w:rsidR="00C2634F" w:rsidRPr="002E25AD">
        <w:rPr>
          <w:rFonts w:ascii="Times New Roman" w:hAnsi="Times New Roman" w:cs="Times New Roman"/>
          <w:sz w:val="24"/>
          <w:szCs w:val="24"/>
          <w:lang w:val="en-US"/>
        </w:rPr>
        <w:t xml:space="preserve"> of our population-based study</w:t>
      </w:r>
      <w:r w:rsidRPr="002E25AD">
        <w:rPr>
          <w:rFonts w:ascii="Times New Roman" w:hAnsi="Times New Roman" w:cs="Times New Roman"/>
          <w:sz w:val="24"/>
          <w:szCs w:val="24"/>
          <w:lang w:val="en-US"/>
        </w:rPr>
        <w:t xml:space="preserve"> emphasize the beneficial effects of dietary antioxidant capacity on </w:t>
      </w:r>
      <w:r w:rsidR="00225612" w:rsidRPr="002E25AD">
        <w:rPr>
          <w:rFonts w:ascii="Times New Roman" w:hAnsi="Times New Roman" w:cs="Times New Roman"/>
          <w:sz w:val="24"/>
          <w:szCs w:val="24"/>
          <w:lang w:val="en-US"/>
        </w:rPr>
        <w:t>insulin resistance and risk of type 2 diabetes</w:t>
      </w:r>
      <w:r w:rsidR="00943E17" w:rsidRPr="002E25AD">
        <w:rPr>
          <w:rFonts w:ascii="Times New Roman" w:hAnsi="Times New Roman" w:cs="Times New Roman"/>
          <w:sz w:val="24"/>
          <w:szCs w:val="24"/>
          <w:lang w:val="en-US"/>
        </w:rPr>
        <w:t>.</w:t>
      </w:r>
    </w:p>
    <w:p w14:paraId="245D9C13" w14:textId="77777777" w:rsidR="00DB74D4" w:rsidRPr="002E25AD" w:rsidRDefault="00A65C25" w:rsidP="00943E17">
      <w:pPr>
        <w:spacing w:line="480" w:lineRule="auto"/>
        <w:rPr>
          <w:rFonts w:ascii="Times New Roman" w:hAnsi="Times New Roman" w:cs="Times New Roman"/>
          <w:sz w:val="24"/>
          <w:szCs w:val="24"/>
          <w:lang w:val="en-US"/>
        </w:rPr>
      </w:pPr>
      <w:r w:rsidRPr="002E25AD">
        <w:rPr>
          <w:rFonts w:ascii="Times New Roman" w:hAnsi="Times New Roman" w:cs="Times New Roman"/>
          <w:b/>
          <w:sz w:val="24"/>
          <w:szCs w:val="24"/>
          <w:lang w:val="en-US"/>
        </w:rPr>
        <w:t xml:space="preserve">Keywords: </w:t>
      </w:r>
      <w:r w:rsidRPr="002E25AD">
        <w:rPr>
          <w:rFonts w:ascii="Times New Roman" w:hAnsi="Times New Roman" w:cs="Times New Roman"/>
          <w:sz w:val="24"/>
          <w:szCs w:val="24"/>
          <w:lang w:val="en-US"/>
        </w:rPr>
        <w:t>type 2 diabetes, dietary antioxidant capacity, diet, prediabetes, insulin resistance</w:t>
      </w:r>
    </w:p>
    <w:p w14:paraId="24044A4C" w14:textId="77777777" w:rsidR="00DB74D4" w:rsidRPr="002E25AD" w:rsidRDefault="00DB74D4" w:rsidP="00943E17">
      <w:pPr>
        <w:spacing w:line="480" w:lineRule="auto"/>
        <w:rPr>
          <w:rFonts w:ascii="Times New Roman" w:hAnsi="Times New Roman" w:cs="Times New Roman"/>
          <w:sz w:val="24"/>
          <w:szCs w:val="24"/>
          <w:lang w:val="en-US"/>
        </w:rPr>
      </w:pPr>
    </w:p>
    <w:p w14:paraId="0B6CC256" w14:textId="6BA38EE0" w:rsidR="00C6469E" w:rsidRPr="002E25AD" w:rsidRDefault="001220B2" w:rsidP="0027506D">
      <w:pPr>
        <w:spacing w:line="480" w:lineRule="auto"/>
        <w:rPr>
          <w:rFonts w:ascii="Times New Roman" w:hAnsi="Times New Roman" w:cs="Times New Roman"/>
          <w:sz w:val="28"/>
          <w:szCs w:val="24"/>
          <w:lang w:val="en-US"/>
        </w:rPr>
      </w:pPr>
      <w:r w:rsidRPr="002E25AD">
        <w:rPr>
          <w:rFonts w:ascii="Times New Roman" w:hAnsi="Times New Roman" w:cs="Times New Roman"/>
          <w:b/>
          <w:sz w:val="28"/>
          <w:szCs w:val="24"/>
          <w:lang w:val="en-US"/>
        </w:rPr>
        <w:lastRenderedPageBreak/>
        <w:t>Introduction</w:t>
      </w:r>
    </w:p>
    <w:p w14:paraId="666803AE" w14:textId="6E67D337" w:rsidR="002A78E0" w:rsidRPr="002E25AD" w:rsidRDefault="001E7489" w:rsidP="001E6680">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Oxidative stress is commonly regarded</w:t>
      </w:r>
      <w:r w:rsidR="00272FE8" w:rsidRPr="002E25AD">
        <w:rPr>
          <w:rFonts w:ascii="Times New Roman" w:hAnsi="Times New Roman" w:cs="Times New Roman"/>
          <w:sz w:val="24"/>
          <w:szCs w:val="24"/>
          <w:lang w:val="en-US"/>
        </w:rPr>
        <w:t xml:space="preserve"> as an important contributing factor</w:t>
      </w:r>
      <w:r w:rsidR="002A78E0" w:rsidRPr="002E25AD">
        <w:rPr>
          <w:rFonts w:ascii="Times New Roman" w:hAnsi="Times New Roman" w:cs="Times New Roman"/>
          <w:sz w:val="24"/>
          <w:szCs w:val="24"/>
          <w:lang w:val="en-US"/>
        </w:rPr>
        <w:t xml:space="preserve"> in the pathogenesis of type 2 diabetes mellitus.</w:t>
      </w:r>
      <w:r w:rsidR="00C755FC"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aetcl2vs16","properties":{"formattedCitation":"(1)","plainCitation":"(1)","noteIndex":0},"citationItems":[{"id":153,"uris":["http://zotero.org/users/3710342/items/MMIEHJX9"],"uri":["http://zotero.org/users/3710342/items/MMIEHJX9"],"itemData":{"id":153,"type":"article-journal","title":"Diabetes, oxidative stress, and antioxidants: a review","container-title":"Journal of Biochemical and Molecular Toxicology","page":"24-38","volume":"17","issue":"1","source":"PubMed","abstract":"Increasing evidence in both experimental and clinical studies suggests that oxidative stress plays a major role in the pathogenesis of both types of diabetes mellitus. Free radicals are formed disproportionately in diabetes by glucose oxidation, nonenzymatic glycation of proteins, and the subsequent oxidative degradation of glycated proteins. Abnormally high levels of free radicals and the simultaneous decline of antioxidant defense mechanisms can lead to damage of cellular organelles and enzymes, increased lipid peroxidation, and development of insulin resistance. These consequences of oxidative stress can promote the development of complications of diabetes mellitus. Changes in oxidative stress biomarkers, including superoxide dismutase, catalase, glutathione reductase, glutathione peroxidase, glutathione levels, vitamins, lipid peroxidation, nitrite concentration, nonenzymatic glycosylated proteins, and hyperglycemia in diabetes, and their consequences, are discussed in this review. In vivo studies of the effects of various conventional and alternative drugs on these biomarkers are surveyed. There is a need to continue to explore the relationship between free radicals, diabetes, and its complications, and to elucidate the mechanisms by which increased oxidative stress accelerates the development of diabetic complications, in an effort to expand treatment options.","DOI":"10.1002/jbt.10058","ISSN":"1095-6670","note":"PMID: 12616644","title-short":"Diabetes, oxidative stress, and antioxidants","journalAbbreviation":"J. Biochem. Mol. Toxicol.","language":"eng","author":[{"family":"Maritim","given":"A. C."},{"family":"Sanders","given":"R. A."},{"family":"Watkins","given":"J. B."}],"issued":{"date-parts":[["2003"]]}}}],"schema":"https://github.com/citation-style-language/schema/raw/master/csl-citation.json"} </w:instrText>
      </w:r>
      <w:r w:rsidR="00C755FC" w:rsidRPr="002E25AD">
        <w:rPr>
          <w:rFonts w:ascii="Times New Roman" w:hAnsi="Times New Roman" w:cs="Times New Roman"/>
          <w:sz w:val="24"/>
          <w:szCs w:val="24"/>
          <w:lang w:val="en-US"/>
        </w:rPr>
        <w:fldChar w:fldCharType="separate"/>
      </w:r>
      <w:r w:rsidR="00C755FC" w:rsidRPr="002E25AD">
        <w:rPr>
          <w:rFonts w:ascii="Times New Roman" w:hAnsi="Times New Roman" w:cs="Times New Roman"/>
          <w:sz w:val="24"/>
          <w:szCs w:val="24"/>
          <w:lang w:val="en-US"/>
        </w:rPr>
        <w:t>(1)</w:t>
      </w:r>
      <w:r w:rsidR="00C755FC" w:rsidRPr="002E25AD">
        <w:rPr>
          <w:rFonts w:ascii="Times New Roman" w:hAnsi="Times New Roman" w:cs="Times New Roman"/>
          <w:sz w:val="24"/>
          <w:szCs w:val="24"/>
          <w:lang w:val="en-US"/>
        </w:rPr>
        <w:fldChar w:fldCharType="end"/>
      </w:r>
      <w:r w:rsidR="002A78E0" w:rsidRPr="002E25AD">
        <w:rPr>
          <w:rFonts w:ascii="Times New Roman" w:hAnsi="Times New Roman" w:cs="Times New Roman"/>
          <w:sz w:val="24"/>
          <w:szCs w:val="24"/>
          <w:lang w:val="en-US"/>
        </w:rPr>
        <w:t xml:space="preserve"> </w:t>
      </w:r>
      <w:r w:rsidR="007E5545" w:rsidRPr="002E25AD">
        <w:rPr>
          <w:rFonts w:ascii="Times New Roman" w:hAnsi="Times New Roman" w:cs="Times New Roman"/>
          <w:sz w:val="24"/>
          <w:szCs w:val="24"/>
          <w:lang w:val="en-US"/>
        </w:rPr>
        <w:t>Generally, oxidative stress is the result of an excess of reactive oxygen species (ROS), which are partially reduced forms of oxygen.</w:t>
      </w:r>
      <w:r w:rsidR="007E5545"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jEnUSin9","properties":{"formattedCitation":"(2)","plainCitation":"(2)","noteIndex":0},"citationItems":[{"id":156,"uris":["http://zotero.org/users/3710342/items/P2NVQ4HJ"],"uri":["http://zotero.org/users/3710342/items/P2NVQ4HJ"],"itemData":{"id":156,"type":"article-journal","title":"Antioxidants in Food","container-title":"Advances in Food and Nutrition Research","page":"1-53","volume":"71","source":"ScienceDirect","abstract":"There are a multitude of antioxidants in foods, especially in foods of plant origin. Higher intake of antioxidant-rich foods is clearly associated with better health and functional longevity. The specific agents and mechanisms responsible are not yet clear, but there is convincing evidence that including more plant-based, antioxidant-rich foods, herbs, and beverages in the diet is effective in promoting health and lowering risk of various age-related diseases. The content of some individual antioxidants, such as vitamin C, in food can be measured, but it is not feasible to attempt to measure each antioxidant separately, and methods have been developed to assess the “total antioxidant content” of foods. One of the most widely used methods is the ferric reducing/antioxidant power (FRAP) assay, which is relatively simple, quick, sensitive, and inexpensive to perform. There are many published studies that have used the FRAP assay, and these have generated a very large database of total antioxidant content of foods that can help guide food choices for increased antioxidant intake. The FRAP assay has also been used to assess the bioavailability of antioxidants in foods and to investigate the effects of growing conditions, storage, processing, and cooking method on the total antioxidant content of food. The test can be employed as a quality control check device, and to detect adulteration of food. Furthermore, in a modified form (FRASC), the assay can measure ascorbic acid content almost simultaneously with the total antioxidant content of the sample. In this chapter, basic concepts of oxidation and the role of antioxidants, as well as the types and action of different antioxidants in foods will be reviewed briefly, and the underpinning concepts and evidence for health benefits of increased intake of dietary antioxidants will be discussed, with some focus on vitamin C, and also in the context of our evolutionary development. The basic concepts and limitations of measuring “total antioxidant content” of food will be presented. The FRAP assay and the modified version FRASC will be described, and the total antioxidant content (as the FRAP value) of a range of foods will be presented. Finally, issues of bioavailability and redox balance will be discussed in relation to the biological significance and molecular action of antioxidants in foods, some caution and caveats are presented about overcoming biological barriers to absorption of antioxidant phytochemicals, and research needs to further our understanding in the important area of food, antioxidants, and health will be highlighted.","DOI":"10.1016/B978-0-12-800270-4.00001-8","ISSN":"1043-4526","journalAbbreviation":"Advances in Food and Nutrition Research","author":[{"family":"Benzie","given":"Iris F. F."},{"family":"Choi","given":"Siu-Wai"}],"issued":{"date-parts":[["2014",1,1]]}}}],"schema":"https://github.com/citation-style-language/schema/raw/master/csl-citation.json"} </w:instrText>
      </w:r>
      <w:r w:rsidR="007E5545" w:rsidRPr="002E25AD">
        <w:rPr>
          <w:rFonts w:ascii="Times New Roman" w:hAnsi="Times New Roman" w:cs="Times New Roman"/>
          <w:sz w:val="24"/>
          <w:szCs w:val="24"/>
          <w:lang w:val="en-US"/>
        </w:rPr>
        <w:fldChar w:fldCharType="separate"/>
      </w:r>
      <w:r w:rsidR="00272FE8" w:rsidRPr="002E25AD">
        <w:rPr>
          <w:rFonts w:ascii="Times New Roman" w:hAnsi="Times New Roman" w:cs="Times New Roman"/>
          <w:sz w:val="24"/>
          <w:szCs w:val="24"/>
          <w:lang w:val="en-US"/>
        </w:rPr>
        <w:t>(2)</w:t>
      </w:r>
      <w:r w:rsidR="007E5545" w:rsidRPr="002E25AD">
        <w:rPr>
          <w:rFonts w:ascii="Times New Roman" w:hAnsi="Times New Roman" w:cs="Times New Roman"/>
          <w:sz w:val="24"/>
          <w:szCs w:val="24"/>
          <w:lang w:val="en-US"/>
        </w:rPr>
        <w:fldChar w:fldCharType="end"/>
      </w:r>
      <w:r w:rsidR="0029210A" w:rsidRPr="002E25AD">
        <w:rPr>
          <w:rFonts w:ascii="Times New Roman" w:hAnsi="Times New Roman" w:cs="Times New Roman"/>
          <w:sz w:val="24"/>
          <w:szCs w:val="24"/>
          <w:lang w:val="en-US"/>
        </w:rPr>
        <w:t xml:space="preserve"> </w:t>
      </w:r>
      <w:r w:rsidR="007E5545" w:rsidRPr="002E25AD">
        <w:rPr>
          <w:rFonts w:ascii="Times New Roman" w:hAnsi="Times New Roman" w:cs="Times New Roman"/>
          <w:sz w:val="24"/>
          <w:szCs w:val="24"/>
          <w:lang w:val="en-US"/>
        </w:rPr>
        <w:t xml:space="preserve">While ROS </w:t>
      </w:r>
      <w:r w:rsidR="00917832" w:rsidRPr="002E25AD">
        <w:rPr>
          <w:rFonts w:ascii="Times New Roman" w:hAnsi="Times New Roman" w:cs="Times New Roman"/>
          <w:sz w:val="24"/>
          <w:szCs w:val="24"/>
          <w:lang w:val="en-US"/>
        </w:rPr>
        <w:t xml:space="preserve">are considered essential for normal physiological function, an excess of ROS </w:t>
      </w:r>
      <w:r w:rsidRPr="002E25AD">
        <w:rPr>
          <w:rFonts w:ascii="Times New Roman" w:hAnsi="Times New Roman" w:cs="Times New Roman"/>
          <w:sz w:val="24"/>
          <w:szCs w:val="24"/>
          <w:lang w:val="en-US"/>
        </w:rPr>
        <w:t>can lead to structural damage to important biomolecules</w:t>
      </w:r>
      <w:r w:rsidR="00C755FC" w:rsidRPr="002E25AD">
        <w:rPr>
          <w:rFonts w:ascii="Times New Roman" w:hAnsi="Times New Roman" w:cs="Times New Roman"/>
          <w:sz w:val="24"/>
          <w:szCs w:val="24"/>
          <w:lang w:val="en-US"/>
        </w:rPr>
        <w:t xml:space="preserve"> </w:t>
      </w:r>
      <w:r w:rsidRPr="002E25AD">
        <w:rPr>
          <w:rFonts w:ascii="Times New Roman" w:hAnsi="Times New Roman" w:cs="Times New Roman"/>
          <w:sz w:val="24"/>
          <w:szCs w:val="24"/>
          <w:lang w:val="en-US"/>
        </w:rPr>
        <w:t>and impairment of their function</w:t>
      </w:r>
      <w:r w:rsidR="00C13122" w:rsidRPr="002E25AD">
        <w:rPr>
          <w:rFonts w:ascii="Times New Roman" w:hAnsi="Times New Roman" w:cs="Times New Roman"/>
          <w:sz w:val="24"/>
          <w:szCs w:val="24"/>
          <w:lang w:val="en-US"/>
        </w:rPr>
        <w:t>.</w:t>
      </w:r>
      <w:r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0Z0Duyn4","properties":{"formattedCitation":"(2,3)","plainCitation":"(2,3)","noteIndex":0},"citationItems":[{"id":154,"uris":["http://zotero.org/users/3710342/items/6IRVGU3T"],"uri":["http://zotero.org/users/3710342/items/6IRVGU3T"],"itemData":{"id":154,"type":"article-journal","title":"Healthy aging: regulation of the metabolome by cellular redox modulation and prooxidant signaling systems: the essential roles of superoxide anion and hydrogen peroxide","container-title":"Biogerontology","page":"445-467","volume":"8","issue":"5","source":"PubMed","abstract":"The production of reactive oxygen species (ROS) and reactive nitrogen species (RNS) has long been proposed as leading to random deleterious modification of macromolecules with an associated progressive development of age associated systemic disease. ROS and RNS formation has been posited as a major contributor to the aging process. On the contrary, this review presents evidence that superoxide anion (and hydrogen peroxide) and nitric oxide (and peroxynitrite) constitute regulated prooxidant second messenger systems, with specific sub-cellular locales of production and are essential for normal metabolome and physiological function. The role of these second messengers in the regulation of the metabolome is discussed in terms of radical formation as an essential contributor to the physiologically normal regulation of sub-cellular bioenergy systems; proteolysis regulation; transcription activation; enzyme activation; mitochondrial DNA changes; redox regulation of metabolism and cell differentiation; the concept that orally administered small molecule antioxidant therapy is a chimera. The formation of superoxide anion/hydrogen peroxide and nitric oxide do not conditionally lead to random macromolecular damage; under normal physiological conditions their production is actually regulated consistent with their second messenger roles.","DOI":"10.1007/s10522-007-9096-4","ISSN":"1389-5729","note":"PMID: 17415678","title-short":"Healthy aging","journalAbbreviation":"Biogerontology","language":"eng","author":[{"family":"Linnane","given":"Anthony William"},{"family":"Kios","given":"Michael"},{"family":"Vitetta","given":"Luis"}],"issued":{"date-parts":[["2007",10]]}}},{"id":156,"uris":["http://zotero.org/users/3710342/items/P2NVQ4HJ"],"uri":["http://zotero.org/users/3710342/items/P2NVQ4HJ"],"itemData":{"id":156,"type":"article-journal","title":"Antioxidants in Food","container-title":"Advances in Food and Nutrition Research","page":"1-53","volume":"71","source":"ScienceDirect","abstract":"There are a multitude of antioxidants in foods, especially in foods of plant origin. Higher intake of antioxidant-rich foods is clearly associated with better health and functional longevity. The specific agents and mechanisms responsible are not yet clear, but there is convincing evidence that including more plant-based, antioxidant-rich foods, herbs, and beverages in the diet is effective in promoting health and lowering risk of various age-related diseases. The content of some individual antioxidants, such as vitamin C, in food can be measured, but it is not feasible to attempt to measure each antioxidant separately, and methods have been developed to assess the “total antioxidant content” of foods. One of the most widely used methods is the ferric reducing/antioxidant power (FRAP) assay, which is relatively simple, quick, sensitive, and inexpensive to perform. There are many published studies that have used the FRAP assay, and these have generated a very large database of total antioxidant content of foods that can help guide food choices for increased antioxidant intake. The FRAP assay has also been used to assess the bioavailability of antioxidants in foods and to investigate the effects of growing conditions, storage, processing, and cooking method on the total antioxidant content of food. The test can be employed as a quality control check device, and to detect adulteration of food. Furthermore, in a modified form (FRASC), the assay can measure ascorbic acid content almost simultaneously with the total antioxidant content of the sample. In this chapter, basic concepts of oxidation and the role of antioxidants, as well as the types and action of different antioxidants in foods will be reviewed briefly, and the underpinning concepts and evidence for health benefits of increased intake of dietary antioxidants will be discussed, with some focus on vitamin C, and also in the context of our evolutionary development. The basic concepts and limitations of measuring “total antioxidant content” of food will be presented. The FRAP assay and the modified version FRASC will be described, and the total antioxidant content (as the FRAP value) of a range of foods will be presented. Finally, issues of bioavailability and redox balance will be discussed in relation to the biological significance and molecular action of antioxidants in foods, some caution and caveats are presented about overcoming biological barriers to absorption of antioxidant phytochemicals, and research needs to further our understanding in the important area of food, antioxidants, and health will be highlighted.","DOI":"10.1016/B978-0-12-800270-4.00001-8","ISSN":"1043-4526","journalAbbreviation":"Advances in Food and Nutrition Research","author":[{"family":"Benzie","given":"Iris F. F."},{"family":"Choi","given":"Siu-Wai"}],"issued":{"date-parts":[["2014",1,1]]}}}],"schema":"https://github.com/citation-style-language/schema/raw/master/csl-citation.json"} </w:instrText>
      </w:r>
      <w:r w:rsidRPr="002E25AD">
        <w:rPr>
          <w:rFonts w:ascii="Times New Roman" w:hAnsi="Times New Roman" w:cs="Times New Roman"/>
          <w:sz w:val="24"/>
          <w:szCs w:val="24"/>
          <w:lang w:val="en-US"/>
        </w:rPr>
        <w:fldChar w:fldCharType="separate"/>
      </w:r>
      <w:r w:rsidR="00D2361D" w:rsidRPr="002E25AD">
        <w:rPr>
          <w:rFonts w:ascii="Times New Roman" w:hAnsi="Times New Roman" w:cs="Times New Roman"/>
          <w:sz w:val="24"/>
          <w:szCs w:val="24"/>
          <w:lang w:val="en-US"/>
        </w:rPr>
        <w:t>(2,3)</w:t>
      </w:r>
      <w:r w:rsidRPr="002E25AD">
        <w:rPr>
          <w:rFonts w:ascii="Times New Roman" w:hAnsi="Times New Roman" w:cs="Times New Roman"/>
          <w:sz w:val="24"/>
          <w:szCs w:val="24"/>
          <w:lang w:val="en-US"/>
        </w:rPr>
        <w:fldChar w:fldCharType="end"/>
      </w:r>
      <w:r w:rsidR="00C755FC" w:rsidRPr="002E25AD">
        <w:rPr>
          <w:rFonts w:ascii="Times New Roman" w:hAnsi="Times New Roman" w:cs="Times New Roman"/>
          <w:sz w:val="24"/>
          <w:szCs w:val="24"/>
          <w:lang w:val="en-US"/>
        </w:rPr>
        <w:t xml:space="preserve"> </w:t>
      </w:r>
      <w:r w:rsidR="00006771" w:rsidRPr="002E25AD">
        <w:rPr>
          <w:rFonts w:ascii="Times New Roman" w:hAnsi="Times New Roman" w:cs="Times New Roman"/>
          <w:sz w:val="24"/>
          <w:szCs w:val="24"/>
          <w:lang w:val="en-US"/>
        </w:rPr>
        <w:t xml:space="preserve">A biological </w:t>
      </w:r>
      <w:r w:rsidR="00643859" w:rsidRPr="002E25AD">
        <w:rPr>
          <w:rFonts w:ascii="Times New Roman" w:hAnsi="Times New Roman" w:cs="Times New Roman"/>
          <w:sz w:val="24"/>
          <w:szCs w:val="24"/>
          <w:lang w:val="en-US"/>
        </w:rPr>
        <w:t>defense</w:t>
      </w:r>
      <w:r w:rsidR="00006771" w:rsidRPr="002E25AD">
        <w:rPr>
          <w:rFonts w:ascii="Times New Roman" w:hAnsi="Times New Roman" w:cs="Times New Roman"/>
          <w:sz w:val="24"/>
          <w:szCs w:val="24"/>
          <w:lang w:val="en-US"/>
        </w:rPr>
        <w:t xml:space="preserve"> mechanism against </w:t>
      </w:r>
      <w:r w:rsidR="00A67442" w:rsidRPr="002E25AD">
        <w:rPr>
          <w:rFonts w:ascii="Times New Roman" w:hAnsi="Times New Roman" w:cs="Times New Roman"/>
          <w:sz w:val="24"/>
          <w:szCs w:val="24"/>
          <w:lang w:val="en-US"/>
        </w:rPr>
        <w:t xml:space="preserve">excess </w:t>
      </w:r>
      <w:r w:rsidR="00006771" w:rsidRPr="002E25AD">
        <w:rPr>
          <w:rFonts w:ascii="Times New Roman" w:hAnsi="Times New Roman" w:cs="Times New Roman"/>
          <w:sz w:val="24"/>
          <w:szCs w:val="24"/>
          <w:lang w:val="en-US"/>
        </w:rPr>
        <w:t>ROS is formed by antioxidants</w:t>
      </w:r>
      <w:r w:rsidR="001E6680" w:rsidRPr="002E25AD">
        <w:rPr>
          <w:rFonts w:ascii="Times New Roman" w:hAnsi="Times New Roman" w:cs="Times New Roman"/>
          <w:sz w:val="24"/>
          <w:szCs w:val="24"/>
          <w:lang w:val="en-US"/>
        </w:rPr>
        <w:t xml:space="preserve">. These bioactive compounds </w:t>
      </w:r>
      <w:r w:rsidR="00E613D9" w:rsidRPr="002E25AD">
        <w:rPr>
          <w:rFonts w:ascii="Times New Roman" w:hAnsi="Times New Roman" w:cs="Times New Roman"/>
          <w:sz w:val="24"/>
          <w:szCs w:val="24"/>
          <w:lang w:val="en-US"/>
        </w:rPr>
        <w:t>may</w:t>
      </w:r>
      <w:r w:rsidR="001E6680" w:rsidRPr="002E25AD">
        <w:rPr>
          <w:rFonts w:ascii="Times New Roman" w:hAnsi="Times New Roman" w:cs="Times New Roman"/>
          <w:sz w:val="24"/>
          <w:szCs w:val="24"/>
          <w:lang w:val="en-US"/>
        </w:rPr>
        <w:t xml:space="preserve"> prevent the generation</w:t>
      </w:r>
      <w:r w:rsidR="00FF128F" w:rsidRPr="002E25AD">
        <w:rPr>
          <w:rFonts w:ascii="Times New Roman" w:hAnsi="Times New Roman" w:cs="Times New Roman"/>
          <w:sz w:val="24"/>
          <w:szCs w:val="24"/>
          <w:lang w:val="en-US"/>
        </w:rPr>
        <w:t xml:space="preserve"> of ROS or</w:t>
      </w:r>
      <w:r w:rsidR="00C72298" w:rsidRPr="002E25AD">
        <w:rPr>
          <w:rFonts w:ascii="Times New Roman" w:hAnsi="Times New Roman" w:cs="Times New Roman"/>
          <w:sz w:val="24"/>
          <w:szCs w:val="24"/>
          <w:lang w:val="en-US"/>
        </w:rPr>
        <w:t xml:space="preserve"> scavenge free radicals</w:t>
      </w:r>
      <w:r w:rsidR="001E6680" w:rsidRPr="002E25AD">
        <w:rPr>
          <w:rFonts w:ascii="Times New Roman" w:hAnsi="Times New Roman" w:cs="Times New Roman"/>
          <w:sz w:val="24"/>
          <w:szCs w:val="24"/>
          <w:lang w:val="en-US"/>
        </w:rPr>
        <w:t>.</w:t>
      </w:r>
      <w:r w:rsidR="001E6680"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yQU2TpHi","properties":{"formattedCitation":"(1,2)","plainCitation":"(1,2)","noteIndex":0},"citationItems":[{"id":156,"uris":["http://zotero.org/users/3710342/items/P2NVQ4HJ"],"uri":["http://zotero.org/users/3710342/items/P2NVQ4HJ"],"itemData":{"id":156,"type":"article-journal","title":"Antioxidants in Food","container-title":"Advances in Food and Nutrition Research","page":"1-53","volume":"71","source":"ScienceDirect","abstract":"There are a multitude of antioxidants in foods, especially in foods of plant origin. Higher intake of antioxidant-rich foods is clearly associated with better health and functional longevity. The specific agents and mechanisms responsible are not yet clear, but there is convincing evidence that including more plant-based, antioxidant-rich foods, herbs, and beverages in the diet is effective in promoting health and lowering risk of various age-related diseases. The content of some individual antioxidants, such as vitamin C, in food can be measured, but it is not feasible to attempt to measure each antioxidant separately, and methods have been developed to assess the “total antioxidant content” of foods. One of the most widely used methods is the ferric reducing/antioxidant power (FRAP) assay, which is relatively simple, quick, sensitive, and inexpensive to perform. There are many published studies that have used the FRAP assay, and these have generated a very large database of total antioxidant content of foods that can help guide food choices for increased antioxidant intake. The FRAP assay has also been used to assess the bioavailability of antioxidants in foods and to investigate the effects of growing conditions, storage, processing, and cooking method on the total antioxidant content of food. The test can be employed as a quality control check device, and to detect adulteration of food. Furthermore, in a modified form (FRASC), the assay can measure ascorbic acid content almost simultaneously with the total antioxidant content of the sample. In this chapter, basic concepts of oxidation and the role of antioxidants, as well as the types and action of different antioxidants in foods will be reviewed briefly, and the underpinning concepts and evidence for health benefits of increased intake of dietary antioxidants will be discussed, with some focus on vitamin C, and also in the context of our evolutionary development. The basic concepts and limitations of measuring “total antioxidant content” of food will be presented. The FRAP assay and the modified version FRASC will be described, and the total antioxidant content (as the FRAP value) of a range of foods will be presented. Finally, issues of bioavailability and redox balance will be discussed in relation to the biological significance and molecular action of antioxidants in foods, some caution and caveats are presented about overcoming biological barriers to absorption of antioxidant phytochemicals, and research needs to further our understanding in the important area of food, antioxidants, and health will be highlighted.","DOI":"10.1016/B978-0-12-800270-4.00001-8","ISSN":"1043-4526","journalAbbreviation":"Advances in Food and Nutrition Research","author":[{"family":"Benzie","given":"Iris F. F."},{"family":"Choi","given":"Siu-Wai"}],"issued":{"date-parts":[["2014",1,1]]}}},{"id":153,"uris":["http://zotero.org/users/3710342/items/MMIEHJX9"],"uri":["http://zotero.org/users/3710342/items/MMIEHJX9"],"itemData":{"id":153,"type":"article-journal","title":"Diabetes, oxidative stress, and antioxidants: a review","container-title":"Journal of Biochemical and Molecular Toxicology","page":"24-38","volume":"17","issue":"1","source":"PubMed","abstract":"Increasing evidence in both experimental and clinical studies suggests that oxidative stress plays a major role in the pathogenesis of both types of diabetes mellitus. Free radicals are formed disproportionately in diabetes by glucose oxidation, nonenzymatic glycation of proteins, and the subsequent oxidative degradation of glycated proteins. Abnormally high levels of free radicals and the simultaneous decline of antioxidant defense mechanisms can lead to damage of cellular organelles and enzymes, increased lipid peroxidation, and development of insulin resistance. These consequences of oxidative stress can promote the development of complications of diabetes mellitus. Changes in oxidative stress biomarkers, including superoxide dismutase, catalase, glutathione reductase, glutathione peroxidase, glutathione levels, vitamins, lipid peroxidation, nitrite concentration, nonenzymatic glycosylated proteins, and hyperglycemia in diabetes, and their consequences, are discussed in this review. In vivo studies of the effects of various conventional and alternative drugs on these biomarkers are surveyed. There is a need to continue to explore the relationship between free radicals, diabetes, and its complications, and to elucidate the mechanisms by which increased oxidative stress accelerates the development of diabetic complications, in an effort to expand treatment options.","DOI":"10.1002/jbt.10058","ISSN":"1095-6670","note":"PMID: 12616644","title-short":"Diabetes, oxidative stress, and antioxidants","journalAbbreviation":"J. Biochem. Mol. Toxicol.","language":"eng","author":[{"family":"Maritim","given":"A. C."},{"family":"Sanders","given":"R. A."},{"family":"Watkins","given":"J. B."}],"issued":{"date-parts":[["2003"]]}}}],"schema":"https://github.com/citation-style-language/schema/raw/master/csl-citation.json"} </w:instrText>
      </w:r>
      <w:r w:rsidR="001E6680" w:rsidRPr="002E25AD">
        <w:rPr>
          <w:rFonts w:ascii="Times New Roman" w:hAnsi="Times New Roman" w:cs="Times New Roman"/>
          <w:sz w:val="24"/>
          <w:szCs w:val="24"/>
          <w:lang w:val="en-US"/>
        </w:rPr>
        <w:fldChar w:fldCharType="separate"/>
      </w:r>
      <w:r w:rsidR="00FF128F" w:rsidRPr="002E25AD">
        <w:rPr>
          <w:rFonts w:ascii="Times New Roman" w:hAnsi="Times New Roman" w:cs="Times New Roman"/>
          <w:sz w:val="24"/>
          <w:szCs w:val="24"/>
          <w:lang w:val="en-US"/>
        </w:rPr>
        <w:t>(1,2)</w:t>
      </w:r>
      <w:r w:rsidR="001E6680" w:rsidRPr="002E25AD">
        <w:rPr>
          <w:rFonts w:ascii="Times New Roman" w:hAnsi="Times New Roman" w:cs="Times New Roman"/>
          <w:sz w:val="24"/>
          <w:szCs w:val="24"/>
          <w:lang w:val="en-US"/>
        </w:rPr>
        <w:fldChar w:fldCharType="end"/>
      </w:r>
      <w:r w:rsidR="001E6680" w:rsidRPr="002E25AD">
        <w:rPr>
          <w:rFonts w:ascii="Times New Roman" w:hAnsi="Times New Roman" w:cs="Times New Roman"/>
          <w:sz w:val="24"/>
          <w:szCs w:val="24"/>
          <w:lang w:val="en-US"/>
        </w:rPr>
        <w:t xml:space="preserve"> Antioxidants can be endogenous, i.e. naturally occurring in the human body, such as uric acid and glutathione; or exogenous, in which case they are mainly derived from the diet</w:t>
      </w:r>
      <w:r w:rsidR="00006771" w:rsidRPr="002E25AD">
        <w:rPr>
          <w:rFonts w:ascii="Times New Roman" w:hAnsi="Times New Roman" w:cs="Times New Roman"/>
          <w:sz w:val="24"/>
          <w:szCs w:val="24"/>
          <w:lang w:val="en-US"/>
        </w:rPr>
        <w:t>.</w:t>
      </w:r>
      <w:r w:rsidR="00006771"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04ejS8B0","properties":{"formattedCitation":"(2)","plainCitation":"(2)","noteIndex":0},"citationItems":[{"id":156,"uris":["http://zotero.org/users/3710342/items/P2NVQ4HJ"],"uri":["http://zotero.org/users/3710342/items/P2NVQ4HJ"],"itemData":{"id":156,"type":"article-journal","title":"Antioxidants in Food","container-title":"Advances in Food and Nutrition Research","page":"1-53","volume":"71","source":"ScienceDirect","abstract":"There are a multitude of antioxidants in foods, especially in foods of plant origin. Higher intake of antioxidant-rich foods is clearly associated with better health and functional longevity. The specific agents and mechanisms responsible are not yet clear, but there is convincing evidence that including more plant-based, antioxidant-rich foods, herbs, and beverages in the diet is effective in promoting health and lowering risk of various age-related diseases. The content of some individual antioxidants, such as vitamin C, in food can be measured, but it is not feasible to attempt to measure each antioxidant separately, and methods have been developed to assess the “total antioxidant content” of foods. One of the most widely used methods is the ferric reducing/antioxidant power (FRAP) assay, which is relatively simple, quick, sensitive, and inexpensive to perform. There are many published studies that have used the FRAP assay, and these have generated a very large database of total antioxidant content of foods that can help guide food choices for increased antioxidant intake. The FRAP assay has also been used to assess the bioavailability of antioxidants in foods and to investigate the effects of growing conditions, storage, processing, and cooking method on the total antioxidant content of food. The test can be employed as a quality control check device, and to detect adulteration of food. Furthermore, in a modified form (FRASC), the assay can measure ascorbic acid content almost simultaneously with the total antioxidant content of the sample. In this chapter, basic concepts of oxidation and the role of antioxidants, as well as the types and action of different antioxidants in foods will be reviewed briefly, and the underpinning concepts and evidence for health benefits of increased intake of dietary antioxidants will be discussed, with some focus on vitamin C, and also in the context of our evolutionary development. The basic concepts and limitations of measuring “total antioxidant content” of food will be presented. The FRAP assay and the modified version FRASC will be described, and the total antioxidant content (as the FRAP value) of a range of foods will be presented. Finally, issues of bioavailability and redox balance will be discussed in relation to the biological significance and molecular action of antioxidants in foods, some caution and caveats are presented about overcoming biological barriers to absorption of antioxidant phytochemicals, and research needs to further our understanding in the important area of food, antioxidants, and health will be highlighted.","DOI":"10.1016/B978-0-12-800270-4.00001-8","ISSN":"1043-4526","journalAbbreviation":"Advances in Food and Nutrition Research","author":[{"family":"Benzie","given":"Iris F. F."},{"family":"Choi","given":"Siu-Wai"}],"issued":{"date-parts":[["2014",1,1]]}}}],"schema":"https://github.com/citation-style-language/schema/raw/master/csl-citation.json"} </w:instrText>
      </w:r>
      <w:r w:rsidR="00006771" w:rsidRPr="002E25AD">
        <w:rPr>
          <w:rFonts w:ascii="Times New Roman" w:hAnsi="Times New Roman" w:cs="Times New Roman"/>
          <w:sz w:val="24"/>
          <w:szCs w:val="24"/>
          <w:lang w:val="en-US"/>
        </w:rPr>
        <w:fldChar w:fldCharType="separate"/>
      </w:r>
      <w:r w:rsidR="00272FE8" w:rsidRPr="002E25AD">
        <w:rPr>
          <w:rFonts w:ascii="Times New Roman" w:hAnsi="Times New Roman" w:cs="Times New Roman"/>
          <w:sz w:val="24"/>
          <w:szCs w:val="24"/>
          <w:lang w:val="en-US"/>
        </w:rPr>
        <w:t>(2)</w:t>
      </w:r>
      <w:r w:rsidR="00006771" w:rsidRPr="002E25AD">
        <w:rPr>
          <w:rFonts w:ascii="Times New Roman" w:hAnsi="Times New Roman" w:cs="Times New Roman"/>
          <w:sz w:val="24"/>
          <w:szCs w:val="24"/>
          <w:lang w:val="en-US"/>
        </w:rPr>
        <w:fldChar w:fldCharType="end"/>
      </w:r>
      <w:r w:rsidR="00006771" w:rsidRPr="002E25AD">
        <w:rPr>
          <w:rFonts w:ascii="Times New Roman" w:hAnsi="Times New Roman" w:cs="Times New Roman"/>
          <w:sz w:val="24"/>
          <w:szCs w:val="24"/>
          <w:lang w:val="en-US"/>
        </w:rPr>
        <w:t xml:space="preserve"> </w:t>
      </w:r>
      <w:r w:rsidR="00D2361D" w:rsidRPr="002E25AD">
        <w:rPr>
          <w:rFonts w:ascii="Times New Roman" w:hAnsi="Times New Roman" w:cs="Times New Roman"/>
          <w:sz w:val="24"/>
          <w:szCs w:val="24"/>
          <w:lang w:val="en-US"/>
        </w:rPr>
        <w:t xml:space="preserve">Exogenous antioxidants, </w:t>
      </w:r>
      <w:r w:rsidR="00617C36" w:rsidRPr="002E25AD">
        <w:rPr>
          <w:rFonts w:ascii="Times New Roman" w:hAnsi="Times New Roman" w:cs="Times New Roman"/>
          <w:sz w:val="24"/>
          <w:szCs w:val="24"/>
          <w:lang w:val="en-US"/>
        </w:rPr>
        <w:t xml:space="preserve">such as vitamin E and carotenoids, </w:t>
      </w:r>
      <w:r w:rsidR="00D2361D" w:rsidRPr="002E25AD">
        <w:rPr>
          <w:rFonts w:ascii="Times New Roman" w:hAnsi="Times New Roman" w:cs="Times New Roman"/>
          <w:sz w:val="24"/>
          <w:szCs w:val="24"/>
          <w:lang w:val="en-US"/>
        </w:rPr>
        <w:t>form an indispensable complementary component of the natural antioxidant defense system.</w:t>
      </w:r>
      <w:r w:rsidR="00D2361D"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q48njop9k","properties":{"formattedCitation":"(4)","plainCitation":"(4)","noteIndex":0},"citationItems":[{"id":134,"uris":["http://zotero.org/users/3710342/items/TNSDRFGT"],"uri":["http://zotero.org/users/3710342/items/TNSDRFGT"],"itemData":{"id":134,"type":"article-journal","title":"Exogenous antioxidants—Double-edged swords in cellular redox state","container-title":"Oxidative Medicine and Cellular Longevity","page":"228-237","volume":"3","issue":"4","source":"PubMed Central","abstract":"The balance between oxidation and antioxidation is believed to be critical in maintaining healthy biological systems. Under physiological conditions, the human antioxidative defense system including e.g., superoxide dismutase (SOD), catalase (CAT), glutathione peroxidase (GPx), glutathione (GSH) and others, allows the elimination of excess reactive oxygen species (ROS) including, among others superoxide anions (O2.-), hydroxyl radicals (OH.), alkoxyl radicals (RO.) and peroxyradicals (ROO.). However, our endogenous antioxidant defense systems are incomplete without exogenous originating reducing compounds such as vitamin C, vitamin E, carotenoids and polyphenols, playing an essential role in many antioxidant mechanisms in living organisms. Therefore, there is continuous demand for exogenous antioxidants in order to prevent oxidative stress, representing a disequilibrium redox state in favor of oxidation. However, high doses of isolated compounds may be toxic, owing to prooxidative effects at high concentrations or their potential to react with beneficial concentrations of ROS normally present at physiological conditions that are required for optimal cellular functioning. This review aims to examine the double-edged effects of dietary originating antioxidants with a focus on the most abundant compounds, especially polyphenols, vitamin C, vitamin E and carotenoids. Different approaches to enrich our body with exogenous antioxidants such as via synthetic antioxidants, diets rich in fruits and vegetables and taking supplements will be reviewed and experimental and epidemiological evidences discussed, highlighting that antioxidants at physiological doses are generally safe, exhibiting interesting health beneficial effects.","DOI":"10.4161/oxim.3.4.12858","ISSN":"1942-0900","note":"PMID: 20972369\nPMCID: PMC2952083","journalAbbreviation":"Oxid Med Cell Longev","author":[{"family":"Bouayed","given":"Jaouad"},{"family":"Bohn","given":"Torsten"}],"issued":{"date-parts":[["2010"]]}}}],"schema":"https://github.com/citation-style-language/schema/raw/master/csl-citation.json"} </w:instrText>
      </w:r>
      <w:r w:rsidR="00D2361D" w:rsidRPr="002E25AD">
        <w:rPr>
          <w:rFonts w:ascii="Times New Roman" w:hAnsi="Times New Roman" w:cs="Times New Roman"/>
          <w:sz w:val="24"/>
          <w:szCs w:val="24"/>
          <w:lang w:val="en-US"/>
        </w:rPr>
        <w:fldChar w:fldCharType="separate"/>
      </w:r>
      <w:r w:rsidR="00FF128F" w:rsidRPr="002E25AD">
        <w:rPr>
          <w:rFonts w:ascii="Times New Roman" w:hAnsi="Times New Roman" w:cs="Times New Roman"/>
          <w:noProof/>
          <w:sz w:val="24"/>
          <w:szCs w:val="24"/>
          <w:lang w:val="en-US"/>
        </w:rPr>
        <w:t>(4)</w:t>
      </w:r>
      <w:r w:rsidR="00D2361D" w:rsidRPr="002E25AD">
        <w:rPr>
          <w:rFonts w:ascii="Times New Roman" w:hAnsi="Times New Roman" w:cs="Times New Roman"/>
          <w:sz w:val="24"/>
          <w:szCs w:val="24"/>
          <w:lang w:val="en-US"/>
        </w:rPr>
        <w:fldChar w:fldCharType="end"/>
      </w:r>
      <w:r w:rsidR="00D2361D" w:rsidRPr="002E25AD">
        <w:rPr>
          <w:rFonts w:ascii="Times New Roman" w:hAnsi="Times New Roman" w:cs="Times New Roman"/>
          <w:sz w:val="24"/>
          <w:szCs w:val="24"/>
          <w:lang w:val="en-US"/>
        </w:rPr>
        <w:t xml:space="preserve"> </w:t>
      </w:r>
    </w:p>
    <w:p w14:paraId="3942E418" w14:textId="1E2E6891" w:rsidR="00FE0CD7" w:rsidRPr="002E25AD" w:rsidRDefault="00527711" w:rsidP="0027506D">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A high dietary intake </w:t>
      </w:r>
      <w:r w:rsidR="00272FE8" w:rsidRPr="002E25AD">
        <w:rPr>
          <w:rFonts w:ascii="Times New Roman" w:hAnsi="Times New Roman" w:cs="Times New Roman"/>
          <w:sz w:val="24"/>
          <w:szCs w:val="24"/>
          <w:lang w:val="en-US"/>
        </w:rPr>
        <w:t xml:space="preserve">of </w:t>
      </w:r>
      <w:r w:rsidRPr="002E25AD">
        <w:rPr>
          <w:rFonts w:ascii="Times New Roman" w:hAnsi="Times New Roman" w:cs="Times New Roman"/>
          <w:sz w:val="24"/>
          <w:szCs w:val="24"/>
          <w:lang w:val="en-US"/>
        </w:rPr>
        <w:t>antioxidants</w:t>
      </w:r>
      <w:r w:rsidR="001E6680" w:rsidRPr="002E25AD">
        <w:rPr>
          <w:rFonts w:ascii="Times New Roman" w:hAnsi="Times New Roman" w:cs="Times New Roman"/>
          <w:sz w:val="24"/>
          <w:szCs w:val="24"/>
          <w:lang w:val="en-US"/>
        </w:rPr>
        <w:t xml:space="preserve"> may lower oxidative stress and thereby</w:t>
      </w:r>
      <w:r w:rsidR="00D61D82" w:rsidRPr="002E25AD">
        <w:rPr>
          <w:rFonts w:ascii="Times New Roman" w:hAnsi="Times New Roman" w:cs="Times New Roman"/>
          <w:sz w:val="24"/>
          <w:szCs w:val="24"/>
          <w:lang w:val="en-US"/>
        </w:rPr>
        <w:t xml:space="preserve"> lower</w:t>
      </w:r>
      <w:r w:rsidR="001E6680" w:rsidRPr="002E25AD">
        <w:rPr>
          <w:rFonts w:ascii="Times New Roman" w:hAnsi="Times New Roman" w:cs="Times New Roman"/>
          <w:sz w:val="24"/>
          <w:szCs w:val="24"/>
          <w:lang w:val="en-US"/>
        </w:rPr>
        <w:t xml:space="preserve"> the risk of diseases related to oxidative stress, such as type 2 diabetes. </w:t>
      </w:r>
      <w:r w:rsidR="00D61D82" w:rsidRPr="002E25AD">
        <w:rPr>
          <w:rFonts w:ascii="Times New Roman" w:hAnsi="Times New Roman" w:cs="Times New Roman"/>
          <w:sz w:val="24"/>
          <w:szCs w:val="24"/>
          <w:lang w:val="en-US"/>
        </w:rPr>
        <w:t>In line with this</w:t>
      </w:r>
      <w:r w:rsidR="001E6680" w:rsidRPr="002E25AD">
        <w:rPr>
          <w:rFonts w:ascii="Times New Roman" w:hAnsi="Times New Roman" w:cs="Times New Roman"/>
          <w:sz w:val="24"/>
          <w:szCs w:val="24"/>
          <w:lang w:val="en-US"/>
        </w:rPr>
        <w:t>, a higher intake of certain nutrients with antioxidative properties</w:t>
      </w:r>
      <w:r w:rsidR="00E5035C" w:rsidRPr="002E25AD">
        <w:rPr>
          <w:rFonts w:ascii="Times New Roman" w:hAnsi="Times New Roman" w:cs="Times New Roman"/>
          <w:sz w:val="24"/>
          <w:szCs w:val="24"/>
          <w:lang w:val="en-US"/>
        </w:rPr>
        <w:t xml:space="preserve"> </w:t>
      </w:r>
      <w:r w:rsidRPr="002E25AD">
        <w:rPr>
          <w:rFonts w:ascii="Times New Roman" w:hAnsi="Times New Roman" w:cs="Times New Roman"/>
          <w:sz w:val="24"/>
          <w:szCs w:val="24"/>
          <w:lang w:val="en-US"/>
        </w:rPr>
        <w:t xml:space="preserve">has been </w:t>
      </w:r>
      <w:r w:rsidR="00142382" w:rsidRPr="002E25AD">
        <w:rPr>
          <w:rFonts w:ascii="Times New Roman" w:hAnsi="Times New Roman" w:cs="Times New Roman"/>
          <w:sz w:val="24"/>
          <w:szCs w:val="24"/>
          <w:lang w:val="en-US"/>
        </w:rPr>
        <w:t>associated with a</w:t>
      </w:r>
      <w:r w:rsidRPr="002E25AD">
        <w:rPr>
          <w:rFonts w:ascii="Times New Roman" w:hAnsi="Times New Roman" w:cs="Times New Roman"/>
          <w:sz w:val="24"/>
          <w:szCs w:val="24"/>
          <w:lang w:val="en-US"/>
        </w:rPr>
        <w:t xml:space="preserve"> lower risk of type 2 diabetes mellitus.</w:t>
      </w:r>
      <w:r w:rsidR="002A78E0"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Ty0qgP8J","properties":{"formattedCitation":"(5,6)","plainCitation":"(5,6)","noteIndex":0},"citationItems":[{"id":166,"uris":["http://zotero.org/users/3710342/items/PUAFGVJG"],"uri":["http://zotero.org/users/3710342/items/PUAFGVJG"],"itemData":{"id":166,"type":"article-journal","title":"Dietary antioxidant intake and risk of type 2 diabetes","container-title":"Diabetes Care","page":"362-366","volume":"27","issue":"2","source":"PubMed","abstract":"OBJECTIVE: The intake of antioxidants was studied for its ability to predict type 2 diabetes.\nRESEARCH DESIGN AND METHODS: A cohort of 2,285 men and 2,019 women 40-69 years of age and free of diabetes at baseline (1967-1972) was studied. Food consumption during the previous year was estimated using a dietary history interview. The intake of vitamin C, four tocopherols, four tocotrienols, and six carotenoids was calculated. During a 23-year follow-up, a total of 164 male and 219 female incident cases occurred.\nRESULTS: Vitamin E intake was significantly associated with a reduced risk of type 2 diabetes. The relative risk (RR) of type 2 diabetes between the extreme quartiles of the intake was 0.69 (95% CI 0.51-0.94, P for trend = 0.003). Intakes of alpha-tocopherol, gamma-tocopherol, delta-tocopherol, and beta-tocotrienol were inversely related to a risk of type 2 diabetes. Among single carotenoids, beta-cryptoxanthin intake was significantly associated with a reduced risk of type 2 diabetes (RR 0.58, 95% CI 0.44-0.78, P &lt; 0.001). No association was evident between intake of vitamin C and type 2 diabetes risk.\nCONCLUSIONS: This study supports the hypothesis that development of type 2 diabetes may be reduced by the intake of antioxidants in the diet.","ISSN":"0149-5992","note":"PMID: 14747214","journalAbbreviation":"Diabetes Care","language":"eng","author":[{"family":"Montonen","given":"Jukka"},{"family":"Knekt","given":"Paul"},{"family":"Järvinen","given":"Ritva"},{"family":"Reunanen","given":"Antti"}],"issued":{"date-parts":[["2004",2]]}}},{"id":164,"uris":["http://zotero.org/users/3710342/items/G98NUUDV"],"uri":["http://zotero.org/users/3710342/items/G98NUUDV"],"itemData":{"id":164,"type":"article-journal","title":"Dietary intake of carotenoids and risk of type 2 diabetes","container-title":"Nutrition, metabolism, and cardiovascular diseases: NMCD","page":"376-381","volume":"25","issue":"4","source":"PubMed","abstract":"BACKGROUND AND AIMS: Carotenoids may reduce diabetes risk, due to their antioxidant properties. However, the association between dietary carotenoids intake and type 2 diabetes risk is still unclear. Therefore, the objective of this study was to examine whether higher dietary carotenoid intakes associate with reduced type 2 diabetes risk.\nMETHODS AND RESULTS: Data from 37,846 participants of the European Prospective Investigation into Cancer and Nutrition- Netherlands study were analyzed. Dietary intakes of β-carotene, α-carotene, β-cryptoxanthin, lycopene, lutein &amp; zeaxanthin and the sum of these carotenoids were assessed using a validated food frequency questionnaire. Incident type 2 diabetes was mainly self-reported, and verified against general practitioner information. Mean ±SD total carotenoid intake was 10 ± 4 mg/day. During a mean ±SD follow-up of 10 ± 2 years, 915 incident cases of type 2 diabetes were ascertained. After adjustment for age, sex, diabetes risk factors, dietary intake, waist circumference and BMI, higher β-carotene intakes associated inversely with diabetes risk [Hazard Ratio quartile 4 versus quartile 1 (HR(Q4)): 0.78 (95%CI:0.64,0.95), P-linear trend 0.01]. For α-carotene, a borderline significant reduced risk was observed, with a HR(Q4) of 0.85 (95%CI:0.70,1.03), and P-linear trend 0.05. β-cryptoxanthin, lycopene, lutein &amp; zeaxanthin, and the sum of all carotenoids did not associate with diabetes risk.\nCONCLUSIONS: This study shows that diets high in β-carotene and α-carotene are associated with reduced type 2 diabetes in generally healthy men and women.","DOI":"10.1016/j.numecd.2014.12.008","ISSN":"1590-3729","note":"PMID: 25716098","journalAbbreviation":"Nutr Metab Cardiovasc Dis","language":"eng","author":[{"family":"Sluijs","given":"I."},{"family":"Cadier","given":"E."},{"family":"Beulens","given":"J. W. J."},{"family":"A","given":"D. L.","non-dropping-particle":"van der"},{"family":"Spijkerman","given":"A. M. W."},{"family":"Schouw","given":"Y. T.","non-dropping-particle":"van der"}],"issued":{"date-parts":[["2015",4]]}}}],"schema":"https://github.com/citation-style-language/schema/raw/master/csl-citation.json"} </w:instrText>
      </w:r>
      <w:r w:rsidR="002A78E0" w:rsidRPr="002E25AD">
        <w:rPr>
          <w:rFonts w:ascii="Times New Roman" w:hAnsi="Times New Roman" w:cs="Times New Roman"/>
          <w:sz w:val="24"/>
          <w:szCs w:val="24"/>
          <w:lang w:val="en-US"/>
        </w:rPr>
        <w:fldChar w:fldCharType="separate"/>
      </w:r>
      <w:r w:rsidR="00FF128F" w:rsidRPr="002E25AD">
        <w:rPr>
          <w:rFonts w:ascii="Times New Roman" w:eastAsia="Times New Roman" w:hAnsi="Times New Roman" w:cs="Times New Roman"/>
          <w:sz w:val="24"/>
          <w:szCs w:val="24"/>
          <w:lang w:val="en-US"/>
        </w:rPr>
        <w:t>(5,6)</w:t>
      </w:r>
      <w:r w:rsidR="002A78E0" w:rsidRPr="002E25AD">
        <w:rPr>
          <w:rFonts w:ascii="Times New Roman" w:hAnsi="Times New Roman" w:cs="Times New Roman"/>
          <w:sz w:val="24"/>
          <w:szCs w:val="24"/>
          <w:lang w:val="en-US"/>
        </w:rPr>
        <w:fldChar w:fldCharType="end"/>
      </w:r>
      <w:r w:rsidRPr="002E25AD">
        <w:rPr>
          <w:rFonts w:ascii="Times New Roman" w:hAnsi="Times New Roman" w:cs="Times New Roman"/>
          <w:sz w:val="24"/>
          <w:szCs w:val="24"/>
          <w:lang w:val="en-US"/>
        </w:rPr>
        <w:t xml:space="preserve"> </w:t>
      </w:r>
      <w:r w:rsidR="006C4BE3" w:rsidRPr="002E25AD">
        <w:rPr>
          <w:rFonts w:ascii="Times New Roman" w:hAnsi="Times New Roman" w:cs="Times New Roman"/>
          <w:sz w:val="24"/>
          <w:szCs w:val="24"/>
          <w:lang w:val="en-US"/>
        </w:rPr>
        <w:t>In addition, serum levels</w:t>
      </w:r>
      <w:r w:rsidR="00440BB7" w:rsidRPr="002E25AD">
        <w:rPr>
          <w:rFonts w:ascii="Times New Roman" w:hAnsi="Times New Roman" w:cs="Times New Roman"/>
          <w:sz w:val="24"/>
          <w:szCs w:val="24"/>
          <w:lang w:val="en-US"/>
        </w:rPr>
        <w:t xml:space="preserve"> of certain antioxidants</w:t>
      </w:r>
      <w:r w:rsidR="006C4BE3" w:rsidRPr="002E25AD">
        <w:rPr>
          <w:rFonts w:ascii="Times New Roman" w:hAnsi="Times New Roman" w:cs="Times New Roman"/>
          <w:sz w:val="24"/>
          <w:szCs w:val="24"/>
          <w:lang w:val="en-US"/>
        </w:rPr>
        <w:t xml:space="preserve"> have been shown to be inversel</w:t>
      </w:r>
      <w:r w:rsidR="00583A27" w:rsidRPr="002E25AD">
        <w:rPr>
          <w:rFonts w:ascii="Times New Roman" w:hAnsi="Times New Roman" w:cs="Times New Roman"/>
          <w:sz w:val="24"/>
          <w:szCs w:val="24"/>
          <w:lang w:val="en-US"/>
        </w:rPr>
        <w:t>y related to plasma glucose levels and measures of insulin resistance</w:t>
      </w:r>
      <w:r w:rsidR="006C4BE3" w:rsidRPr="002E25AD">
        <w:rPr>
          <w:rFonts w:ascii="Times New Roman" w:hAnsi="Times New Roman" w:cs="Times New Roman"/>
          <w:sz w:val="24"/>
          <w:szCs w:val="24"/>
          <w:lang w:val="en-US"/>
        </w:rPr>
        <w:t>.</w:t>
      </w:r>
      <w:r w:rsidR="006C4BE3"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OtLsxR5z","properties":{"formattedCitation":"(7,8)","plainCitation":"(7,8)","noteIndex":0},"citationItems":[{"id":161,"uris":["http://zotero.org/users/3710342/items/P5IQ9GX5"],"uri":["http://zotero.org/users/3710342/items/P5IQ9GX5"],"itemData":{"id":161,"type":"article-journal","title":"Dietary antioxidant capacity is inversely associated with diabetes biomarkers: the ATTICA study","container-title":"Nutrition, metabolism, and cardiovascular diseases: NMCD","page":"561-567","volume":"21","issue":"8","source":"PubMed","abstract":"BACKGROUND AND AIMS: Elevated dietary antioxidant activity has been regarded as providing potential benefits to health. The present work aimed at evaluating the association of glycemic indices with total dietary antioxidant capacity in healthy adults.\nMETHODS AND RESULTS: The ATTICA study consisted of men and women, randomly selected from all areas of Attica region in Greece. In this work, a random sub-sample from the ATTICA study's database was studied, consisting of 551 men (41 ± 11 years) and 467 women (38 ± 11 years), with complete nutritional and biochemical information. Dietary habits were evaluated using a validated food-frequency questionnaire. The dietary antioxidant capacity was based on published values for Italian foods measured by three different assays: ferric-reducing antioxidant power (FRAP), total radical-trapping antioxidant parameter (TRAP) and Trolox equivalent antioxidant capacity (TEAC). Inverse, age-energy adjusted correlations were observed between FRAP and log-glucose (r = -0.149, p = 0.001), log-insulin (r = -0.221, p = 0.001) and log-HOMA-IR (r = -0.186, p = 0.001) concentration, as well as with TRAP and TEAC. After controlling for age, gender, body mass index, physical activity status, smoking habits and energy intake, multi-adjusted analysis confirmed the previous relationships only among participants who were not on the Mediterranean dietary pattern.\nCONCLUSIONS: Although more prospective studies are required, the data presented support the view that dietary modification towards higher consumption of antioxidants should be implemented in public health strategies, in order to better control glycemic markers in individuals, and prevent the development of diabetes at the population level.","DOI":"10.1016/j.numecd.2009.11.005","ISSN":"1590-3729","note":"PMID: 20171855","title-short":"Dietary antioxidant capacity is inversely associated with diabetes biomarkers","journalAbbreviation":"Nutr Metab Cardiovasc Dis","language":"eng","author":[{"family":"Psaltopoulou","given":"T."},{"family":"Panagiotakos","given":"D. B."},{"family":"Pitsavos","given":"C."},{"family":"Chrysochoou","given":"C."},{"family":"Detopoulou","given":"P."},{"family":"Skoumas","given":"J."},{"family":"Stefanadis","given":"C."}],"issued":{"date-parts":[["2011",8]]}}},{"id":160,"uris":["http://zotero.org/users/3710342/items/FBHRFEBR"],"uri":["http://zotero.org/users/3710342/items/FBHRFEBR"],"itemData":{"id":160,"type":"article-journal","title":"Dietary total antioxidant capacity is related to glucose tolerance in older people: the Hertfordshire Cohort Study","container-title":"Nutrition, metabolism, and cardiovascular diseases: NMCD","page":"301-308","volume":"24","issue":"3","source":"PubMed","abstract":"BACKGROUND AND AIMS: Dietary antioxidants may play a protective role in the aetiology of type 2 diabetes. However, observational studies that examine the relationship between the antioxidant capacity of the diet and glucose metabolism are limited, particularly in older people. We aimed to examine the relationships between dietary total antioxidant capacity (TAC) and markers of glucose metabolism among 1441 men and 1253 women aged 59-73 years who participated in the Hertfordshire Cohort Study, UK.\nMETHODS AND RESULTS: Diet was assessed by food frequency questionnaire. Dietary TAC was estimated using published databases of TAC measured by four different assays: oxygen radical absorbance capacity (ORAC), ferric-reducing ability of plasma (FRAP), total radical-trapping antioxidant parameter (TRAP) and trolox equivalent antioxidant capacity (TEAC). Fasting and 120-min plasma glucose and insulin concentrations were measured during a standard 75-g oral glucose tolerance test. In men, dietary TAC estimated by all four assays was inversely associated with fasting insulin concentration and homoeostasis model assessment of insulin resistance (HOMA-IR); with the exception of ORAC, dietary TAC was also inversely related to 120-min glucose concentration. There were no associations with fasting glucose or 120-min insulin concentrations. In women, with the exception of the association between ORAC and 120-min insulin concentration, dietary TAC estimated by all assays showed consistent inverse associations with fasting and 120-min glucose and insulin concentrations and HOMA-IR. These associations were more marked among women with BMI ≥ 30 kg/m(2).\nCONCLUSION: These findings suggest dietary TAC may have important protective effects on glucose tolerance, especially in older obese women.","DOI":"10.1016/j.numecd.2013.08.001","ISSN":"1590-3729","note":"PMID: 24370447\nPMCID: PMC4112602","title-short":"Dietary total antioxidant capacity is related to glucose tolerance in older people","journalAbbreviation":"Nutr Metab Cardiovasc Dis","language":"eng","author":[{"family":"Okubo","given":"H."},{"family":"Syddall","given":"H. E."},{"family":"Phillips","given":"D. I. W."},{"family":"Sayer","given":"A. A."},{"family":"Dennison","given":"E. M."},{"family":"Cooper","given":"C."},{"family":"Robinson","given":"S. M."},{"literal":"Hertfordshire Cohort Study Group"}],"issued":{"date-parts":[["2014",3]]}}}],"schema":"https://github.com/citation-style-language/schema/raw/master/csl-citation.json"} </w:instrText>
      </w:r>
      <w:r w:rsidR="006C4BE3" w:rsidRPr="002E25AD">
        <w:rPr>
          <w:rFonts w:ascii="Times New Roman" w:hAnsi="Times New Roman" w:cs="Times New Roman"/>
          <w:sz w:val="24"/>
          <w:szCs w:val="24"/>
          <w:lang w:val="en-US"/>
        </w:rPr>
        <w:fldChar w:fldCharType="separate"/>
      </w:r>
      <w:r w:rsidR="00FF128F" w:rsidRPr="002E25AD">
        <w:rPr>
          <w:rFonts w:ascii="Times New Roman" w:eastAsia="Times New Roman" w:hAnsi="Times New Roman" w:cs="Times New Roman"/>
          <w:sz w:val="24"/>
          <w:szCs w:val="24"/>
          <w:lang w:val="en-US"/>
        </w:rPr>
        <w:t>(7,8)</w:t>
      </w:r>
      <w:r w:rsidR="006C4BE3" w:rsidRPr="002E25AD">
        <w:rPr>
          <w:rFonts w:ascii="Times New Roman" w:hAnsi="Times New Roman" w:cs="Times New Roman"/>
          <w:sz w:val="24"/>
          <w:szCs w:val="24"/>
          <w:lang w:val="en-US"/>
        </w:rPr>
        <w:fldChar w:fldCharType="end"/>
      </w:r>
      <w:r w:rsidR="006C4BE3" w:rsidRPr="002E25AD">
        <w:rPr>
          <w:rFonts w:ascii="Times New Roman" w:hAnsi="Times New Roman" w:cs="Times New Roman"/>
          <w:sz w:val="24"/>
          <w:szCs w:val="24"/>
          <w:lang w:val="en-US"/>
        </w:rPr>
        <w:t xml:space="preserve"> </w:t>
      </w:r>
      <w:r w:rsidR="00A0561F" w:rsidRPr="002E25AD">
        <w:rPr>
          <w:rFonts w:ascii="Times New Roman" w:hAnsi="Times New Roman" w:cs="Times New Roman"/>
          <w:sz w:val="24"/>
          <w:szCs w:val="24"/>
          <w:lang w:val="en-US"/>
        </w:rPr>
        <w:t>However, t</w:t>
      </w:r>
      <w:r w:rsidR="001E6680" w:rsidRPr="002E25AD">
        <w:rPr>
          <w:rFonts w:ascii="Times New Roman" w:hAnsi="Times New Roman" w:cs="Times New Roman"/>
          <w:sz w:val="24"/>
          <w:szCs w:val="24"/>
          <w:lang w:val="en-US"/>
        </w:rPr>
        <w:t xml:space="preserve">he majority of </w:t>
      </w:r>
      <w:r w:rsidR="007A55B0" w:rsidRPr="002E25AD">
        <w:rPr>
          <w:rFonts w:ascii="Times New Roman" w:hAnsi="Times New Roman" w:cs="Times New Roman"/>
          <w:sz w:val="24"/>
          <w:szCs w:val="24"/>
          <w:lang w:val="en-US"/>
        </w:rPr>
        <w:t>previous studies on this topic have investigated individual antioxidant components</w:t>
      </w:r>
      <w:r w:rsidR="00440BB7" w:rsidRPr="002E25AD">
        <w:rPr>
          <w:rFonts w:ascii="Times New Roman" w:hAnsi="Times New Roman" w:cs="Times New Roman"/>
          <w:sz w:val="24"/>
          <w:szCs w:val="24"/>
          <w:lang w:val="en-US"/>
        </w:rPr>
        <w:t xml:space="preserve"> only</w:t>
      </w:r>
      <w:r w:rsidR="00D2361D" w:rsidRPr="002E25AD">
        <w:rPr>
          <w:rFonts w:ascii="Times New Roman" w:hAnsi="Times New Roman" w:cs="Times New Roman"/>
          <w:sz w:val="24"/>
          <w:szCs w:val="24"/>
          <w:lang w:val="en-US"/>
        </w:rPr>
        <w:t xml:space="preserve">, </w:t>
      </w:r>
      <w:r w:rsidR="007A55B0" w:rsidRPr="002E25AD">
        <w:rPr>
          <w:rFonts w:ascii="Times New Roman" w:hAnsi="Times New Roman" w:cs="Times New Roman"/>
          <w:sz w:val="24"/>
          <w:szCs w:val="24"/>
          <w:lang w:val="en-US"/>
        </w:rPr>
        <w:t xml:space="preserve">as opposed to using a comprehensive measure of total dietary antioxidant capacity. </w:t>
      </w:r>
      <w:r w:rsidR="00A0561F" w:rsidRPr="002E25AD">
        <w:rPr>
          <w:rFonts w:ascii="Times New Roman" w:hAnsi="Times New Roman" w:cs="Times New Roman"/>
          <w:sz w:val="24"/>
          <w:szCs w:val="24"/>
          <w:lang w:val="en-US"/>
        </w:rPr>
        <w:t>T</w:t>
      </w:r>
      <w:r w:rsidR="007A55B0" w:rsidRPr="002E25AD">
        <w:rPr>
          <w:rFonts w:ascii="Times New Roman" w:hAnsi="Times New Roman" w:cs="Times New Roman"/>
          <w:sz w:val="24"/>
          <w:szCs w:val="24"/>
          <w:lang w:val="en-US"/>
        </w:rPr>
        <w:t>he diet can contain many component</w:t>
      </w:r>
      <w:r w:rsidR="003B7F6C" w:rsidRPr="002E25AD">
        <w:rPr>
          <w:rFonts w:ascii="Times New Roman" w:hAnsi="Times New Roman" w:cs="Times New Roman"/>
          <w:sz w:val="24"/>
          <w:szCs w:val="24"/>
          <w:lang w:val="en-US"/>
        </w:rPr>
        <w:t>s with antioxidative properties</w:t>
      </w:r>
      <w:r w:rsidR="00393C91" w:rsidRPr="002E25AD">
        <w:rPr>
          <w:rFonts w:ascii="Times New Roman" w:hAnsi="Times New Roman" w:cs="Times New Roman"/>
          <w:sz w:val="24"/>
          <w:szCs w:val="24"/>
          <w:lang w:val="en-US"/>
        </w:rPr>
        <w:t xml:space="preserve"> which may have additive or synergistic effects</w:t>
      </w:r>
      <w:r w:rsidR="003B7F6C" w:rsidRPr="002E25AD">
        <w:rPr>
          <w:rFonts w:ascii="Times New Roman" w:hAnsi="Times New Roman" w:cs="Times New Roman"/>
          <w:sz w:val="24"/>
          <w:szCs w:val="24"/>
          <w:lang w:val="en-US"/>
        </w:rPr>
        <w:t xml:space="preserve">, and </w:t>
      </w:r>
      <w:r w:rsidR="00440BB7" w:rsidRPr="002E25AD">
        <w:rPr>
          <w:rFonts w:ascii="Times New Roman" w:hAnsi="Times New Roman" w:cs="Times New Roman"/>
          <w:sz w:val="24"/>
          <w:szCs w:val="24"/>
          <w:lang w:val="en-US"/>
        </w:rPr>
        <w:t>intake</w:t>
      </w:r>
      <w:r w:rsidR="003B7F6C" w:rsidRPr="002E25AD">
        <w:rPr>
          <w:rFonts w:ascii="Times New Roman" w:hAnsi="Times New Roman" w:cs="Times New Roman"/>
          <w:sz w:val="24"/>
          <w:szCs w:val="24"/>
          <w:lang w:val="en-US"/>
        </w:rPr>
        <w:t xml:space="preserve"> of individual antioxidants may therefore not reflect the total antioxidant capacity of the diet.</w:t>
      </w:r>
      <w:r w:rsidR="003B7F6C"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a117o2ggmkk","properties":{"formattedCitation":"(9)","plainCitation":"(9)","noteIndex":0},"citationItems":[{"id":158,"uris":["http://zotero.org/users/3710342/items/EEN58ETK"],"uri":["http://zotero.org/users/3710342/items/EEN58ETK"],"itemData":{"id":158,"type":"article-journal","title":"Development and Validation of a Food Frequency Questionnaire for the Assessment of Dietary Total Antioxidant Capacity","container-title":"The Journal of Nutrition","page":"93-98","volume":"137","issue":"1","source":"jn.nutrition.org","abstract":"The total antioxidant capacity (TAC) of the diet may be an important tool to monitor the protective effect of plant foods in epidemiological studies. We developed a semi-quantitative FFQ for the assessment of dietary TAC by 3 different assays, i.e., Trolox equivalent antioxidant capacity (TEAC), total radical-trapping antioxidant parameter (TRAP) and ferric reducing-antioxidant power (FRAP). The FFQ consists of 53 questions about the major sources of dietary TAC in Northern Italy and was validated against a 3-d weighed food record (3D-WR) in 285 individuals (159 males and 126 females) aged 35–88 y and living in the province of Parma (Italy). Plasma TAC was also evaluated in a subgroup of subjects using the TEAC and FRAP assays. The FFQ was associated with 3D-WR (quadratic-weighted κ = 0.49 for TEAC, 0.53 for TRAP, and 0.49 for FRAP; P &lt; 0.0001) and proved reasonably accurate to classify individuals into quartiles of TAC intake. The FFQ had a good repeatability when readministered after 1 y in 55 subjects (quadratic-weighted κ for intertertile agreement = 0.66 for TEAC, 0.70 for TRAP and 0.68 for FRAP; P &lt; 0.0001). With both dietary instruments, the main contributors to TAC intake were coffee and tea in women and alcoholic beverages in men, followed by fruits and vegetables in both sexes. Plasma TAC and dietary TAC were not associated. In conclusion, our FFQ has the potential for being used to rank subjects on the basis of their antioxidant intake as determined by dietary TAC in large epidemiological studies. The FFQ should be validated in external populations before being used for research purposes.","ISSN":"0022-3166, 1541-6100","note":"PMID: 17182807","journalAbbreviation":"J. Nutr.","language":"en","author":[{"family":"Pellegrini","given":"Nicoletta"},{"family":"Salvatore","given":"Sara"},{"family":"Valtueña","given":"Silvia"},{"family":"Bedogni","given":"Giorgio"},{"family":"Porrini","given":"Marisa"},{"family":"Pala","given":"Valeria"},{"family":"Rio","given":"Daniele Del"},{"family":"Sieri","given":"Sabina"},{"family":"Miglio","given":"Cristiana"},{"family":"Krogh","given":"Vittorio"},{"family":"Zavaroni","given":"Ivana"},{"family":"Brighenti","given":"Furio"}],"issued":{"date-parts":[["2007",1,1]]}}}],"schema":"https://github.com/citation-style-language/schema/raw/master/csl-citation.json"} </w:instrText>
      </w:r>
      <w:r w:rsidR="003B7F6C" w:rsidRPr="002E25AD">
        <w:rPr>
          <w:rFonts w:ascii="Times New Roman" w:hAnsi="Times New Roman" w:cs="Times New Roman"/>
          <w:sz w:val="24"/>
          <w:szCs w:val="24"/>
          <w:lang w:val="en-US"/>
        </w:rPr>
        <w:fldChar w:fldCharType="separate"/>
      </w:r>
      <w:r w:rsidR="00FF128F" w:rsidRPr="002E25AD">
        <w:rPr>
          <w:rFonts w:ascii="Times New Roman" w:hAnsi="Times New Roman" w:cs="Times New Roman"/>
          <w:sz w:val="24"/>
          <w:szCs w:val="24"/>
          <w:lang w:val="en-US"/>
        </w:rPr>
        <w:t>(9)</w:t>
      </w:r>
      <w:r w:rsidR="003B7F6C" w:rsidRPr="002E25AD">
        <w:rPr>
          <w:rFonts w:ascii="Times New Roman" w:hAnsi="Times New Roman" w:cs="Times New Roman"/>
          <w:sz w:val="24"/>
          <w:szCs w:val="24"/>
          <w:lang w:val="en-US"/>
        </w:rPr>
        <w:fldChar w:fldCharType="end"/>
      </w:r>
      <w:r w:rsidR="00651E42" w:rsidRPr="002E25AD">
        <w:rPr>
          <w:rFonts w:ascii="Times New Roman" w:hAnsi="Times New Roman" w:cs="Times New Roman"/>
          <w:sz w:val="24"/>
          <w:szCs w:val="24"/>
          <w:lang w:val="en-US"/>
        </w:rPr>
        <w:t xml:space="preserve"> The concept of total dietary antioxidant</w:t>
      </w:r>
      <w:r w:rsidR="001E6680" w:rsidRPr="002E25AD">
        <w:rPr>
          <w:rFonts w:ascii="Times New Roman" w:hAnsi="Times New Roman" w:cs="Times New Roman"/>
          <w:sz w:val="24"/>
          <w:szCs w:val="24"/>
          <w:lang w:val="en-US"/>
        </w:rPr>
        <w:t xml:space="preserve"> capacity </w:t>
      </w:r>
      <w:r w:rsidR="00440BB7" w:rsidRPr="002E25AD">
        <w:rPr>
          <w:rFonts w:ascii="Times New Roman" w:hAnsi="Times New Roman" w:cs="Times New Roman"/>
          <w:sz w:val="24"/>
          <w:szCs w:val="24"/>
          <w:lang w:val="en-US"/>
        </w:rPr>
        <w:t>aims to capture overall effects of antioxidants from dietary compounds and thereby facilitates</w:t>
      </w:r>
      <w:r w:rsidR="001E6680" w:rsidRPr="002E25AD">
        <w:rPr>
          <w:rFonts w:ascii="Times New Roman" w:hAnsi="Times New Roman" w:cs="Times New Roman"/>
          <w:sz w:val="24"/>
          <w:szCs w:val="24"/>
          <w:lang w:val="en-US"/>
        </w:rPr>
        <w:t xml:space="preserve"> </w:t>
      </w:r>
      <w:r w:rsidR="00440BB7" w:rsidRPr="002E25AD">
        <w:rPr>
          <w:rFonts w:ascii="Times New Roman" w:hAnsi="Times New Roman" w:cs="Times New Roman"/>
          <w:sz w:val="24"/>
          <w:szCs w:val="24"/>
          <w:lang w:val="en-US"/>
        </w:rPr>
        <w:t>studying</w:t>
      </w:r>
      <w:r w:rsidR="001E6680" w:rsidRPr="002E25AD">
        <w:rPr>
          <w:rFonts w:ascii="Times New Roman" w:hAnsi="Times New Roman" w:cs="Times New Roman"/>
          <w:sz w:val="24"/>
          <w:szCs w:val="24"/>
          <w:lang w:val="en-US"/>
        </w:rPr>
        <w:t xml:space="preserve"> </w:t>
      </w:r>
      <w:r w:rsidR="00651E42" w:rsidRPr="002E25AD">
        <w:rPr>
          <w:rFonts w:ascii="Times New Roman" w:hAnsi="Times New Roman" w:cs="Times New Roman"/>
          <w:sz w:val="24"/>
          <w:szCs w:val="24"/>
          <w:lang w:val="en-US"/>
        </w:rPr>
        <w:t>the effects of antioxidants in the context of complex diets.</w:t>
      </w:r>
      <w:r w:rsidR="00651E42"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a2o5sd8bk9g","properties":{"formattedCitation":"(10)","plainCitation":"(10)","noteIndex":0},"citationItems":[{"id":148,"uris":["http://zotero.org/users/3710342/items/Z3RCESPR"],"uri":["http://zotero.org/users/3710342/items/Z3RCESPR"],"itemData":{"id":148,"type":"article-journal","title":"The total antioxidant content of more than 3100 foods, beverages, spices, herbs and supplements used worldwide","container-title":"Nutrition Journal","page":"3","volume":"9","source":"BioMed Central","abstract":"A plant-based diet protects against chronic oxidative stress-related diseases. Dietary plants contain variable chemical families and amounts of antioxidants. It has been hypothesized that plant antioxidants may contribute to the beneficial health effects of dietary plants. Our objective was to develop a comprehensive food database consisting of the total antioxidant content of typical foods as well as other dietary items such as traditional medicine plants, herbs and spices and dietary supplements. This database is intended for use in a wide range of nutritional research, from in vitro and cell and animal studies, to clinical trials and nutritional epidemiological studies.","DOI":"10.1186/1475-2891-9-3","ISSN":"1475-2891","journalAbbreviation":"Nutrition Journal","author":[{"family":"Carlsen","given":"Monica H."},{"family":"Halvorsen","given":"Bente L."},{"family":"Holte","given":"Kari"},{"family":"Bøhn","given":"Siv K."},{"family":"Dragland","given":"Steinar"},{"family":"Sampson","given":"Laura"},{"family":"Willey","given":"Carol"},{"family":"Senoo","given":"Haruki"},{"family":"Umezono","given":"Yuko"},{"family":"Sanada","given":"Chiho"},{"family":"Barikmo","given":"Ingrid"},{"family":"Berhe","given":"Nega"},{"family":"Willett","given":"Walter C."},{"family":"Phillips","given":"Katherine M."},{"family":"Jacobs","given":"David R."},{"family":"Blomhoff","given":"Rune"}],"issued":{"date-parts":[["2010",1,22]]}}}],"schema":"https://github.com/citation-style-language/schema/raw/master/csl-citation.json"} </w:instrText>
      </w:r>
      <w:r w:rsidR="00651E42" w:rsidRPr="002E25AD">
        <w:rPr>
          <w:rFonts w:ascii="Times New Roman" w:hAnsi="Times New Roman" w:cs="Times New Roman"/>
          <w:sz w:val="24"/>
          <w:szCs w:val="24"/>
          <w:lang w:val="en-US"/>
        </w:rPr>
        <w:fldChar w:fldCharType="separate"/>
      </w:r>
      <w:r w:rsidR="00FF128F" w:rsidRPr="002E25AD">
        <w:rPr>
          <w:rFonts w:ascii="Times New Roman" w:hAnsi="Times New Roman" w:cs="Times New Roman"/>
          <w:sz w:val="24"/>
          <w:szCs w:val="24"/>
          <w:lang w:val="en-US"/>
        </w:rPr>
        <w:t>(10)</w:t>
      </w:r>
      <w:r w:rsidR="00651E42" w:rsidRPr="002E25AD">
        <w:rPr>
          <w:rFonts w:ascii="Times New Roman" w:hAnsi="Times New Roman" w:cs="Times New Roman"/>
          <w:sz w:val="24"/>
          <w:szCs w:val="24"/>
          <w:lang w:val="en-US"/>
        </w:rPr>
        <w:fldChar w:fldCharType="end"/>
      </w:r>
      <w:r w:rsidR="00651E42" w:rsidRPr="002E25AD">
        <w:rPr>
          <w:rFonts w:ascii="Times New Roman" w:hAnsi="Times New Roman" w:cs="Times New Roman"/>
          <w:sz w:val="24"/>
          <w:szCs w:val="24"/>
          <w:lang w:val="en-US"/>
        </w:rPr>
        <w:t xml:space="preserve"> </w:t>
      </w:r>
      <w:r w:rsidR="007A55B0" w:rsidRPr="002E25AD">
        <w:rPr>
          <w:rFonts w:ascii="Times New Roman" w:hAnsi="Times New Roman" w:cs="Times New Roman"/>
          <w:sz w:val="24"/>
          <w:szCs w:val="24"/>
          <w:lang w:val="en-US"/>
        </w:rPr>
        <w:t xml:space="preserve">Major </w:t>
      </w:r>
      <w:r w:rsidR="007A55B0" w:rsidRPr="002E25AD">
        <w:rPr>
          <w:rFonts w:ascii="Times New Roman" w:hAnsi="Times New Roman" w:cs="Times New Roman"/>
          <w:sz w:val="24"/>
          <w:szCs w:val="24"/>
          <w:lang w:val="en-US"/>
        </w:rPr>
        <w:lastRenderedPageBreak/>
        <w:t>contributors to the overall antioxidant capacity of the diet are co</w:t>
      </w:r>
      <w:r w:rsidR="00FC350C" w:rsidRPr="002E25AD">
        <w:rPr>
          <w:rFonts w:ascii="Times New Roman" w:hAnsi="Times New Roman" w:cs="Times New Roman"/>
          <w:sz w:val="24"/>
          <w:szCs w:val="24"/>
          <w:lang w:val="en-US"/>
        </w:rPr>
        <w:t xml:space="preserve">ffee, tea, red wine and </w:t>
      </w:r>
      <w:r w:rsidR="007A55B0" w:rsidRPr="002E25AD">
        <w:rPr>
          <w:rFonts w:ascii="Times New Roman" w:hAnsi="Times New Roman" w:cs="Times New Roman"/>
          <w:sz w:val="24"/>
          <w:szCs w:val="24"/>
          <w:lang w:val="en-US"/>
        </w:rPr>
        <w:t>various types of fruits (</w:t>
      </w:r>
      <w:r w:rsidR="003B7F6C" w:rsidRPr="002E25AD">
        <w:rPr>
          <w:rFonts w:ascii="Times New Roman" w:hAnsi="Times New Roman" w:cs="Times New Roman"/>
          <w:sz w:val="24"/>
          <w:szCs w:val="24"/>
          <w:lang w:val="en-US"/>
        </w:rPr>
        <w:t>blueberries, grapes</w:t>
      </w:r>
      <w:r w:rsidR="007A55B0" w:rsidRPr="002E25AD">
        <w:rPr>
          <w:rFonts w:ascii="Times New Roman" w:hAnsi="Times New Roman" w:cs="Times New Roman"/>
          <w:sz w:val="24"/>
          <w:szCs w:val="24"/>
          <w:lang w:val="en-US"/>
        </w:rPr>
        <w:t>, oranges) and vegetables (</w:t>
      </w:r>
      <w:r w:rsidR="006031E5" w:rsidRPr="002E25AD">
        <w:rPr>
          <w:rFonts w:ascii="Times New Roman" w:hAnsi="Times New Roman" w:cs="Times New Roman"/>
          <w:sz w:val="24"/>
          <w:szCs w:val="24"/>
          <w:lang w:val="en-US"/>
        </w:rPr>
        <w:t>cabbage species, spinach, broccoli</w:t>
      </w:r>
      <w:r w:rsidR="003B7F6C" w:rsidRPr="002E25AD">
        <w:rPr>
          <w:rFonts w:ascii="Times New Roman" w:hAnsi="Times New Roman" w:cs="Times New Roman"/>
          <w:sz w:val="24"/>
          <w:szCs w:val="24"/>
          <w:lang w:val="en-US"/>
        </w:rPr>
        <w:t>)</w:t>
      </w:r>
      <w:r w:rsidR="006031E5" w:rsidRPr="002E25AD">
        <w:rPr>
          <w:rFonts w:ascii="Times New Roman" w:hAnsi="Times New Roman" w:cs="Times New Roman"/>
          <w:sz w:val="24"/>
          <w:szCs w:val="24"/>
          <w:lang w:val="en-US"/>
        </w:rPr>
        <w:t>.</w:t>
      </w:r>
      <w:r w:rsidR="006031E5"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a2c56ip3fid","properties":{"formattedCitation":"(11,12)","plainCitation":"(11,12)","noteIndex":0},"citationItems":[{"id":157,"uris":["http://zotero.org/users/3710342/items/X43NU8JP"],"uri":["http://zotero.org/users/3710342/items/X43NU8JP"],"itemData":{"id":157,"type":"article-journal","title":"Effect of fruit and vegetable antioxidants on total antioxidant capacity of blood plasma","container-title":"Nutrition","page":"511-517","volume":"30","issue":"5","source":"ScienceDirect","abstract":"For a long time, the increased consumption of fruits and vegetables was considered critical in protecting humans against a number of diseases, such as cancer, diabetes, neurodegenerative diseases, and heart and brain vascular diseases. Presently, it is thought that the protective properties of these foods result from the presence of low-molecular antioxidants that protect the cells and their structures against oxidative damage. The alleged effect of reducing the risk for many diseases is not only due to the effect of individual antioxidants, such as α-tocopherol, ascorbic acid, or β-carotene, but also may be the result of antioxidant compounds not yet known or synergy of several different antioxidants present in fruits and vegetables. Studies on macromolecules (DNA, nucleotides, proteins) free-radical–related damage showed that diets enriched with extra servings of fruits and vegetables rich in β-carotene, tocopherols, and ascorbic acid had only limited effect on the inhibition of oxidation processes. A number of studies have shown, however, that consuming less common fruits and vegetables contribute much more to the reduction of free-radical processes, most likely because they contain a large amount of non-vitamin antioxidants, such as polyphenols and anthocyanins.","DOI":"10.1016/j.nut.2013.08.019","ISSN":"0899-9007","journalAbbreviation":"Nutrition","author":[{"family":"Harasym","given":"Joanna"},{"family":"Oledzki","given":"Remigiusz"}],"issued":{"date-parts":[["2014",5,1]]}}},{"id":165,"uris":["http://zotero.org/users/3710342/items/SFWKSM2K"],"uri":["http://zotero.org/users/3710342/items/SFWKSM2K"],"itemData":{"id":165,"type":"article-journal","title":"Food items contributing most to variation in antioxidant intake; a cross-sectional study among Norwegian women","container-title":"BMC public health","page":"45","volume":"14","source":"PubMed","abstract":"BACKGROUND: Fruit and vegetable intake has been found to reduce the risk of cardiovascular disease, certain types of cancer and diabetes mellitus. It is possible that antioxidants play a large part in this protective effect. However, which foods account for the variation in antioxidant intake in a population is not very clear. We used food frequency data from a population-based sample of women to identify the food items that contributed most to the variation in antioxidant intake in Norwegian diet.\nMETHODS: We used data from a study conducted among participants in the Norwegian Breast Cancer Screening Program (NBCSP), the national program which invites women aged 50-69 years to mammographic screening every 2 years. A subset of 6514 women who attended the screening in 2006/2007 completed a food frequency questionnaire (FFQ). Daily intake of energy, nutrients and antioxidant intake were estimated. We used multiple linear regression analysis to capture the variation in antioxidant intake.\nRESULTS: The mean (SD) antioxidant intake was 23.0 (8.5) mmol/day. Coffee consumption explained 54% of the variation in antioxidant intake, while fruits and vegetables explained 22%. The twenty food items that contributed most to the total variation in antioxidant intake explained 98% of the variation in intake. These included different types of coffee, tea, red wine, blueberries, walnuts, oranges, cinnamon and broccoli.\nCONCLUSIONS: In this study we identified a list of food items which capture the variation in antioxidant intake among these women. The major contributors to dietary total antioxidant intake were coffee, tea, red wine, blueberries, walnuts, oranges, cinnamon and broccoli. These items should be assessed in as much detail as possible in studies that wish to capture the variation in antioxidant intake.","DOI":"10.1186/1471-2458-14-45","ISSN":"1471-2458","note":"PMID: 24433390\nPMCID: PMC3902183","journalAbbreviation":"BMC Public Health","language":"eng","author":[{"family":"Qureshi","given":"Samera Azeem"},{"family":"Lund","given":"Annette Christin"},{"family":"Veierød","given":"Marit Bragelien"},{"family":"Carlsen","given":"Monica Hauger"},{"family":"Blomhoff","given":"Rune"},{"family":"Andersen","given":"Lene Frost"},{"family":"Ursin","given":"Giske"}],"issued":{"date-parts":[["2014",1,16]]}}}],"schema":"https://github.com/citation-style-language/schema/raw/master/csl-citation.json"} </w:instrText>
      </w:r>
      <w:r w:rsidR="006031E5" w:rsidRPr="002E25AD">
        <w:rPr>
          <w:rFonts w:ascii="Times New Roman" w:hAnsi="Times New Roman" w:cs="Times New Roman"/>
          <w:sz w:val="24"/>
          <w:szCs w:val="24"/>
          <w:lang w:val="en-US"/>
        </w:rPr>
        <w:fldChar w:fldCharType="separate"/>
      </w:r>
      <w:r w:rsidR="00FF128F" w:rsidRPr="002E25AD">
        <w:rPr>
          <w:rFonts w:ascii="Times New Roman" w:hAnsi="Times New Roman" w:cs="Times New Roman"/>
          <w:sz w:val="24"/>
          <w:szCs w:val="24"/>
          <w:lang w:val="en-US"/>
        </w:rPr>
        <w:t>(11,12)</w:t>
      </w:r>
      <w:r w:rsidR="006031E5" w:rsidRPr="002E25AD">
        <w:rPr>
          <w:rFonts w:ascii="Times New Roman" w:hAnsi="Times New Roman" w:cs="Times New Roman"/>
          <w:sz w:val="24"/>
          <w:szCs w:val="24"/>
          <w:lang w:val="en-US"/>
        </w:rPr>
        <w:fldChar w:fldCharType="end"/>
      </w:r>
      <w:r w:rsidR="006031E5" w:rsidRPr="002E25AD">
        <w:rPr>
          <w:rFonts w:ascii="Times New Roman" w:hAnsi="Times New Roman" w:cs="Times New Roman"/>
          <w:sz w:val="24"/>
          <w:szCs w:val="24"/>
          <w:lang w:val="en-US"/>
        </w:rPr>
        <w:t xml:space="preserve"> </w:t>
      </w:r>
      <w:r w:rsidR="00A0561F" w:rsidRPr="002E25AD">
        <w:rPr>
          <w:rFonts w:ascii="Times New Roman" w:hAnsi="Times New Roman" w:cs="Times New Roman"/>
          <w:sz w:val="24"/>
          <w:szCs w:val="24"/>
          <w:lang w:val="en-US"/>
        </w:rPr>
        <w:t xml:space="preserve"> </w:t>
      </w:r>
    </w:p>
    <w:p w14:paraId="2F4D8C5E" w14:textId="413B8442" w:rsidR="00080574" w:rsidRPr="002E25AD" w:rsidRDefault="00FE0CD7" w:rsidP="0027506D">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To our knowledge, only one previous study, among women only, examined the overall dietary antioxidant capacity in relation to type 2 diabetes.</w:t>
      </w:r>
      <w:r w:rsidR="005B37D9"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10smbnue5n","properties":{"formattedCitation":"(13)","plainCitation":"(13)","noteIndex":0},"citationItems":[{"id":100,"uris":["http://zotero.org/users/3710342/items/2JXHF52I"],"uri":["http://zotero.org/users/3710342/items/2JXHF52I"],"itemData":{"id":100,"type":"article-journal","title":"Dietary antioxidant capacity and risk of type 2 diabetes in the large prospective E3N-EPIC cohort","container-title":"Diabetologia","source":"PubMed","abstract":"AIMS/HYPOTHESIS: Recent evidence suggests that oxidative stress may contribute to the pathogenesis of type 2 diabetes. The diet, and especially fruit and vegetables, contains a variety of compounds with antioxidant activity, which may have cumulative/synergistic antioxidant effects. The total antioxidant capacity, an index derived from dietary intake, is a single estimate of antioxidant capacity from all dietary antioxidants. The main aim of this study was to investigate the relationship between total antioxidant capacity and risk of type 2 diabetes.\nMETHODS: Among 64,223 women (mean age 52 ± 7 years) from the French E3N-European Prospective Investigation into Cancer and Nutrition (EPIC) cohort, 1751 women had validated type 2 diabetes during 15 years of follow-up. The total antioxidant capacity was estimated with the ferric ion-reducing antioxidant power (FRAP) method. Adjusted Cox proportional hazards regression models were used to calculate HRs and 95% CIs for the associations between total antioxidant capacity and type 2 diabetes risk, adjusted for potential confounders.\nRESULTS: In multivariable models, higher levels of total antioxidant capacity were associated with a lower risk of type 2 diabetes. Compared with women in the lowest quintile, women in the third, fourth and fifth quintiles for total antioxidant capacity had HRs of 0.74 (95% CI 0.63, 0.86), 0.70 (95% CI 0.59, 0.83) and 0.73 (95% CI 0.60, 0.89), respectively. The inverse association between total antioxidant capacity and risk of type 2 diabetes was linear up to values of 15 mmol/day, after which the effect reached a plateau.\nCONCLUSIONS/INTERPRETATION: Our findings suggest that the total antioxidant capacity may play an important role in reducing the risk of type 2 diabetes in middle-aged women. More studies are warranted to better understand the biological mechanisms underlying this inverse association.","DOI":"10.1007/s00125-017-4489-7","ISSN":"1432-0428","note":"PMID: 29119242","journalAbbreviation":"Diabetologia","language":"eng","author":[{"family":"Mancini","given":"Francesca Romana"},{"family":"Affret","given":"Aurélie"},{"family":"Dow","given":"Courtney"},{"family":"Balkau","given":"Beverley"},{"family":"Bonnet","given":"Fabrice"},{"family":"Boutron-Ruault","given":"Marie-Christine"},{"family":"Fagherazzi","given":"Guy"}],"issued":{"date-parts":[["2017",11,9]]}}}],"schema":"https://github.com/citation-style-language/schema/raw/master/csl-citation.json"} </w:instrText>
      </w:r>
      <w:r w:rsidR="005B37D9"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(13)</w:t>
      </w:r>
      <w:r w:rsidR="005B37D9" w:rsidRPr="002E25AD">
        <w:rPr>
          <w:rFonts w:ascii="Times New Roman" w:hAnsi="Times New Roman" w:cs="Times New Roman"/>
          <w:sz w:val="24"/>
          <w:szCs w:val="24"/>
          <w:lang w:val="en-US"/>
        </w:rPr>
        <w:fldChar w:fldCharType="end"/>
      </w:r>
      <w:r w:rsidR="005B37D9" w:rsidRPr="002E25AD">
        <w:rPr>
          <w:rFonts w:ascii="Times New Roman" w:hAnsi="Times New Roman" w:cs="Times New Roman"/>
          <w:sz w:val="24"/>
          <w:szCs w:val="24"/>
          <w:lang w:val="en-US"/>
        </w:rPr>
        <w:t xml:space="preserve"> </w:t>
      </w:r>
      <w:r w:rsidR="00A0561F" w:rsidRPr="002E25AD">
        <w:rPr>
          <w:rFonts w:ascii="Times New Roman" w:hAnsi="Times New Roman" w:cs="Times New Roman"/>
          <w:sz w:val="24"/>
          <w:szCs w:val="24"/>
          <w:lang w:val="en-US"/>
        </w:rPr>
        <w:t xml:space="preserve">Furthermore, dietary antioxidants have not been studied in relation to intermediate </w:t>
      </w:r>
      <w:r w:rsidR="00FC350C" w:rsidRPr="002E25AD">
        <w:rPr>
          <w:rFonts w:ascii="Times New Roman" w:hAnsi="Times New Roman" w:cs="Times New Roman"/>
          <w:sz w:val="24"/>
          <w:szCs w:val="24"/>
          <w:lang w:val="en-US"/>
        </w:rPr>
        <w:t>stages</w:t>
      </w:r>
      <w:r w:rsidR="00825FB8" w:rsidRPr="002E25AD">
        <w:rPr>
          <w:rFonts w:ascii="Times New Roman" w:hAnsi="Times New Roman" w:cs="Times New Roman"/>
          <w:sz w:val="24"/>
          <w:szCs w:val="24"/>
          <w:lang w:val="en-US"/>
        </w:rPr>
        <w:t xml:space="preserve"> in the development </w:t>
      </w:r>
      <w:r w:rsidR="00393C91" w:rsidRPr="002E25AD">
        <w:rPr>
          <w:rFonts w:ascii="Times New Roman" w:hAnsi="Times New Roman" w:cs="Times New Roman"/>
          <w:sz w:val="24"/>
          <w:szCs w:val="24"/>
          <w:lang w:val="en-US"/>
        </w:rPr>
        <w:t>of type 2 diabetes,</w:t>
      </w:r>
      <w:r w:rsidR="00643859" w:rsidRPr="002E25AD">
        <w:rPr>
          <w:rFonts w:ascii="Times New Roman" w:hAnsi="Times New Roman" w:cs="Times New Roman"/>
          <w:sz w:val="24"/>
          <w:szCs w:val="24"/>
          <w:lang w:val="en-US"/>
        </w:rPr>
        <w:t xml:space="preserve"> such </w:t>
      </w:r>
      <w:r w:rsidR="00393C91" w:rsidRPr="002E25AD">
        <w:rPr>
          <w:rFonts w:ascii="Times New Roman" w:hAnsi="Times New Roman" w:cs="Times New Roman"/>
          <w:sz w:val="24"/>
          <w:szCs w:val="24"/>
          <w:lang w:val="en-US"/>
        </w:rPr>
        <w:t>as in</w:t>
      </w:r>
      <w:r w:rsidR="00440BB7" w:rsidRPr="002E25AD">
        <w:rPr>
          <w:rFonts w:ascii="Times New Roman" w:hAnsi="Times New Roman" w:cs="Times New Roman"/>
          <w:sz w:val="24"/>
          <w:szCs w:val="24"/>
          <w:lang w:val="en-US"/>
        </w:rPr>
        <w:t>sulin resistance or prediabetes</w:t>
      </w:r>
      <w:r w:rsidR="00393C91" w:rsidRPr="002E25AD">
        <w:rPr>
          <w:rFonts w:ascii="Times New Roman" w:hAnsi="Times New Roman" w:cs="Times New Roman"/>
          <w:sz w:val="24"/>
          <w:szCs w:val="24"/>
          <w:lang w:val="en-US"/>
        </w:rPr>
        <w:t xml:space="preserve">. </w:t>
      </w:r>
      <w:r w:rsidR="00752D48" w:rsidRPr="002E25AD">
        <w:rPr>
          <w:rFonts w:ascii="Times New Roman" w:hAnsi="Times New Roman" w:cs="Times New Roman"/>
          <w:sz w:val="24"/>
          <w:szCs w:val="24"/>
          <w:lang w:val="en-US"/>
        </w:rPr>
        <w:t>Therefore, we aimed to determine the association between dietary antioxidant capacity an</w:t>
      </w:r>
      <w:r w:rsidR="00825FB8" w:rsidRPr="002E25AD">
        <w:rPr>
          <w:rFonts w:ascii="Times New Roman" w:hAnsi="Times New Roman" w:cs="Times New Roman"/>
          <w:sz w:val="24"/>
          <w:szCs w:val="24"/>
          <w:lang w:val="en-US"/>
        </w:rPr>
        <w:t>d</w:t>
      </w:r>
      <w:r w:rsidR="00440BB7" w:rsidRPr="002E25AD">
        <w:rPr>
          <w:rFonts w:ascii="Times New Roman" w:hAnsi="Times New Roman" w:cs="Times New Roman"/>
          <w:sz w:val="24"/>
          <w:szCs w:val="24"/>
          <w:lang w:val="en-US"/>
        </w:rPr>
        <w:t xml:space="preserve"> risk of type 2 diabetes, risk of prediabetes and</w:t>
      </w:r>
      <w:r w:rsidR="00825FB8" w:rsidRPr="002E25AD">
        <w:rPr>
          <w:rFonts w:ascii="Times New Roman" w:hAnsi="Times New Roman" w:cs="Times New Roman"/>
          <w:sz w:val="24"/>
          <w:szCs w:val="24"/>
          <w:lang w:val="en-US"/>
        </w:rPr>
        <w:t xml:space="preserve"> </w:t>
      </w:r>
      <w:r w:rsidR="00440BB7" w:rsidRPr="002E25AD">
        <w:rPr>
          <w:rFonts w:ascii="Times New Roman" w:hAnsi="Times New Roman" w:cs="Times New Roman"/>
          <w:sz w:val="24"/>
          <w:szCs w:val="24"/>
          <w:lang w:val="en-US"/>
        </w:rPr>
        <w:t xml:space="preserve">insulin resistance </w:t>
      </w:r>
      <w:r w:rsidR="00393C91" w:rsidRPr="002E25AD">
        <w:rPr>
          <w:rFonts w:ascii="Times New Roman" w:hAnsi="Times New Roman" w:cs="Times New Roman"/>
          <w:sz w:val="24"/>
          <w:szCs w:val="24"/>
          <w:lang w:val="en-US"/>
        </w:rPr>
        <w:t xml:space="preserve">in a large population-based cohort with </w:t>
      </w:r>
      <w:r w:rsidR="00405D77" w:rsidRPr="002E25AD">
        <w:rPr>
          <w:rFonts w:ascii="Times New Roman" w:hAnsi="Times New Roman" w:cs="Times New Roman"/>
          <w:sz w:val="24"/>
          <w:szCs w:val="24"/>
          <w:lang w:val="en-US"/>
        </w:rPr>
        <w:t>up to</w:t>
      </w:r>
      <w:r w:rsidR="008E63B0" w:rsidRPr="002E25AD">
        <w:rPr>
          <w:rFonts w:ascii="Times New Roman" w:hAnsi="Times New Roman" w:cs="Times New Roman"/>
          <w:sz w:val="24"/>
          <w:szCs w:val="24"/>
          <w:lang w:val="en-US"/>
        </w:rPr>
        <w:t xml:space="preserve"> </w:t>
      </w:r>
      <w:r w:rsidR="00393C91" w:rsidRPr="002E25AD">
        <w:rPr>
          <w:rFonts w:ascii="Times New Roman" w:hAnsi="Times New Roman" w:cs="Times New Roman"/>
          <w:sz w:val="24"/>
          <w:szCs w:val="24"/>
          <w:lang w:val="en-US"/>
        </w:rPr>
        <w:t>15 years of follow-up</w:t>
      </w:r>
      <w:r w:rsidR="00752D48" w:rsidRPr="002E25AD">
        <w:rPr>
          <w:rFonts w:ascii="Times New Roman" w:hAnsi="Times New Roman" w:cs="Times New Roman"/>
          <w:sz w:val="24"/>
          <w:szCs w:val="24"/>
          <w:lang w:val="en-US"/>
        </w:rPr>
        <w:t xml:space="preserve">. </w:t>
      </w:r>
    </w:p>
    <w:p w14:paraId="4D0ECBE9" w14:textId="77777777" w:rsidR="00825FB8" w:rsidRPr="002E25AD" w:rsidRDefault="00825FB8" w:rsidP="0027506D">
      <w:pPr>
        <w:spacing w:line="480" w:lineRule="auto"/>
        <w:rPr>
          <w:rFonts w:ascii="Times New Roman" w:hAnsi="Times New Roman" w:cs="Times New Roman"/>
          <w:b/>
          <w:sz w:val="28"/>
          <w:szCs w:val="24"/>
          <w:lang w:val="en-US"/>
        </w:rPr>
      </w:pPr>
      <w:r w:rsidRPr="002E25AD">
        <w:rPr>
          <w:rFonts w:ascii="Times New Roman" w:hAnsi="Times New Roman" w:cs="Times New Roman"/>
          <w:b/>
          <w:sz w:val="28"/>
          <w:szCs w:val="24"/>
          <w:lang w:val="en-US"/>
        </w:rPr>
        <w:t>Methods</w:t>
      </w:r>
    </w:p>
    <w:p w14:paraId="4BB19AB6" w14:textId="77777777" w:rsidR="00825FB8" w:rsidRPr="002E25AD" w:rsidRDefault="00825FB8" w:rsidP="0027506D">
      <w:pPr>
        <w:spacing w:line="480" w:lineRule="auto"/>
        <w:rPr>
          <w:rFonts w:ascii="Times New Roman" w:hAnsi="Times New Roman" w:cs="Times New Roman"/>
          <w:b/>
          <w:sz w:val="24"/>
          <w:szCs w:val="24"/>
          <w:lang w:val="en-US"/>
        </w:rPr>
      </w:pPr>
      <w:r w:rsidRPr="002E25AD">
        <w:rPr>
          <w:rFonts w:ascii="Times New Roman" w:hAnsi="Times New Roman" w:cs="Times New Roman"/>
          <w:b/>
          <w:sz w:val="24"/>
          <w:szCs w:val="24"/>
          <w:lang w:val="en-US"/>
        </w:rPr>
        <w:t>Study design and population</w:t>
      </w:r>
    </w:p>
    <w:p w14:paraId="0F889D99" w14:textId="641C99D2" w:rsidR="002746C1" w:rsidRPr="002E25AD" w:rsidRDefault="00825FB8" w:rsidP="0027506D">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The general design and objectives of the Rotterdam Study have been described in detail elsewhere.</w:t>
      </w:r>
      <w:r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a1bioomrai5","properties":{"formattedCitation":"(14)","plainCitation":"(14)","noteIndex":0},"citationItems":[{"id":74,"uris":["http://zotero.org/users/3710342/items/7FP6PUSC"],"uri":["http://zotero.org/users/3710342/items/7FP6PUSC"],"itemData":{"id":74,"type":"article-journal","title":"Determinants of disease and disability in the elderly: the Rotterdam Elderly Study","container-title":"Eur J Epidemiol","page":"403-22","volume":"7","issue":"4","archive_location":"1833235","ISSN":"0393-2990 (Print) 0393-2990 (Linking)","title-short":"Determinants of disease and disability in the elderly: the Rotterdam Elderly Study","language":"eng","author":[{"family":"Hofman","given":"A."},{"family":"Grobbee","given":"D. E."},{"family":"Jong","given":"P. T.","non-dropping-particle":"de"},{"family":"Ouweland","given":"F. A.","non-dropping-particle":"van den"}],"issued":{"date-parts":[["1991",7]]}}}],"schema":"https://github.com/citation-style-language/schema/raw/master/csl-citation.json"} </w:instrText>
      </w:r>
      <w:r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sz w:val="24"/>
          <w:szCs w:val="24"/>
          <w:lang w:val="en-US"/>
        </w:rPr>
        <w:t>(14)</w:t>
      </w:r>
      <w:r w:rsidRPr="002E25AD">
        <w:rPr>
          <w:rFonts w:ascii="Times New Roman" w:hAnsi="Times New Roman" w:cs="Times New Roman"/>
          <w:sz w:val="24"/>
          <w:szCs w:val="24"/>
          <w:lang w:val="en-US"/>
        </w:rPr>
        <w:fldChar w:fldCharType="end"/>
      </w:r>
      <w:r w:rsidR="00272425" w:rsidRPr="002E25AD">
        <w:rPr>
          <w:rFonts w:ascii="Times New Roman" w:hAnsi="Times New Roman" w:cs="Times New Roman"/>
          <w:sz w:val="24"/>
          <w:szCs w:val="24"/>
          <w:lang w:val="en-US"/>
        </w:rPr>
        <w:t xml:space="preserve"> In brief, the Rotterdam Study (RS) is a population-based cohort which started in 1990 with the inclusion of 7,893 inhabitants of the Ommoord district in the city of Rotterdam, the Netherlands, aged 55 years or older (sub-cohort RS-I). In 2000, the cohort was extended with a second sub-cohort</w:t>
      </w:r>
      <w:r w:rsidR="002F40D6" w:rsidRPr="002E25AD">
        <w:rPr>
          <w:rFonts w:ascii="Times New Roman" w:hAnsi="Times New Roman" w:cs="Times New Roman"/>
          <w:sz w:val="24"/>
          <w:szCs w:val="24"/>
          <w:lang w:val="en-US"/>
        </w:rPr>
        <w:t xml:space="preserve"> (sub-cohort RS-II) </w:t>
      </w:r>
      <w:r w:rsidR="00272425" w:rsidRPr="002E25AD">
        <w:rPr>
          <w:rFonts w:ascii="Times New Roman" w:hAnsi="Times New Roman" w:cs="Times New Roman"/>
          <w:sz w:val="24"/>
          <w:szCs w:val="24"/>
          <w:lang w:val="en-US"/>
        </w:rPr>
        <w:t xml:space="preserve">consisting of 3,011 participants who </w:t>
      </w:r>
      <w:r w:rsidR="00393C91" w:rsidRPr="002E25AD">
        <w:rPr>
          <w:rFonts w:ascii="Times New Roman" w:hAnsi="Times New Roman" w:cs="Times New Roman"/>
          <w:sz w:val="24"/>
          <w:szCs w:val="24"/>
          <w:lang w:val="en-US"/>
        </w:rPr>
        <w:t xml:space="preserve">had </w:t>
      </w:r>
      <w:r w:rsidR="00272425" w:rsidRPr="002E25AD">
        <w:rPr>
          <w:rFonts w:ascii="Times New Roman" w:hAnsi="Times New Roman" w:cs="Times New Roman"/>
          <w:sz w:val="24"/>
          <w:szCs w:val="24"/>
          <w:lang w:val="en-US"/>
        </w:rPr>
        <w:t>moved into the Ommoord district or had become 55 years of age since the inception of the first sub-</w:t>
      </w:r>
      <w:r w:rsidR="002F40D6" w:rsidRPr="002E25AD">
        <w:rPr>
          <w:rFonts w:ascii="Times New Roman" w:hAnsi="Times New Roman" w:cs="Times New Roman"/>
          <w:sz w:val="24"/>
          <w:szCs w:val="24"/>
          <w:lang w:val="en-US"/>
        </w:rPr>
        <w:t xml:space="preserve">cohort. </w:t>
      </w:r>
      <w:r w:rsidR="00272425" w:rsidRPr="002E25AD">
        <w:rPr>
          <w:rFonts w:ascii="Times New Roman" w:hAnsi="Times New Roman" w:cs="Times New Roman"/>
          <w:sz w:val="24"/>
          <w:szCs w:val="24"/>
          <w:lang w:val="en-US"/>
        </w:rPr>
        <w:t xml:space="preserve">A further extension of the </w:t>
      </w:r>
      <w:r w:rsidR="00393C91" w:rsidRPr="002E25AD">
        <w:rPr>
          <w:rFonts w:ascii="Times New Roman" w:hAnsi="Times New Roman" w:cs="Times New Roman"/>
          <w:sz w:val="24"/>
          <w:szCs w:val="24"/>
          <w:lang w:val="en-US"/>
        </w:rPr>
        <w:t xml:space="preserve">total </w:t>
      </w:r>
      <w:r w:rsidR="00272425" w:rsidRPr="002E25AD">
        <w:rPr>
          <w:rFonts w:ascii="Times New Roman" w:hAnsi="Times New Roman" w:cs="Times New Roman"/>
          <w:sz w:val="24"/>
          <w:szCs w:val="24"/>
          <w:lang w:val="en-US"/>
        </w:rPr>
        <w:t>cohort was initiated in 2006, when 3,932 residents of the Ommoord district aged 45-54 years were included in a third s</w:t>
      </w:r>
      <w:r w:rsidR="001E6680" w:rsidRPr="002E25AD">
        <w:rPr>
          <w:rFonts w:ascii="Times New Roman" w:hAnsi="Times New Roman" w:cs="Times New Roman"/>
          <w:sz w:val="24"/>
          <w:szCs w:val="24"/>
          <w:lang w:val="en-US"/>
        </w:rPr>
        <w:t xml:space="preserve">ub-cohort (sub-cohort RS-III). </w:t>
      </w:r>
      <w:r w:rsidR="00272425" w:rsidRPr="002E25AD">
        <w:rPr>
          <w:rFonts w:ascii="Times New Roman" w:hAnsi="Times New Roman" w:cs="Times New Roman"/>
          <w:sz w:val="24"/>
          <w:szCs w:val="24"/>
          <w:lang w:val="en-US"/>
        </w:rPr>
        <w:t>These participants were interviewed at home and received extensive physical examinations at the Rotterdam Study research facility at baseline, which are repeated every 3-4 years. The Rotterdam Study has received approval from the Medical Ethics Committee of Erasmus University Medical Center and from the review board of the Dutch Ministry of Health, Welfare and Sports. All participants have provided written informed consent.</w:t>
      </w:r>
      <w:r w:rsidR="00272425"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a2lhq8s7qca","properties":{"formattedCitation":"(14)","plainCitation":"(14)","noteIndex":0},"citationItems":[{"id":74,"uris":["http://zotero.org/users/3710342/items/7FP6PUSC"],"uri":["http://zotero.org/users/3710342/items/7FP6PUSC"],"itemData":{"id":74,"type":"article-journal","title":"Determinants of disease and disability in the elderly: the Rotterdam Elderly Study","container-title":"Eur J Epidemiol","page":"403-22","volume":"7","issue":"4","archive_location":"1833235","ISSN":"0393-2990 (Print) 0393-2990 (Linking)","title-short":"Determinants of disease and disability in the elderly: the Rotterdam Elderly Study","language":"eng","author":[{"family":"Hofman","given":"A."},{"family":"Grobbee","given":"D. E."},{"family":"Jong","given":"P. T.","non-dropping-particle":"de"},{"family":"Ouweland","given":"F. A.","non-dropping-particle":"van den"}],"issued":{"date-parts":[["1991",7]]}}}],"schema":"https://github.com/citation-style-language/schema/raw/master/csl-citation.json"} </w:instrText>
      </w:r>
      <w:r w:rsidR="00272425"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sz w:val="24"/>
          <w:szCs w:val="24"/>
          <w:lang w:val="en-US"/>
        </w:rPr>
        <w:t>(14)</w:t>
      </w:r>
      <w:r w:rsidR="00272425" w:rsidRPr="002E25AD">
        <w:rPr>
          <w:rFonts w:ascii="Times New Roman" w:hAnsi="Times New Roman" w:cs="Times New Roman"/>
          <w:sz w:val="24"/>
          <w:szCs w:val="24"/>
          <w:lang w:val="en-US"/>
        </w:rPr>
        <w:fldChar w:fldCharType="end"/>
      </w:r>
      <w:r w:rsidR="00272425" w:rsidRPr="002E25AD">
        <w:rPr>
          <w:rFonts w:ascii="Times New Roman" w:hAnsi="Times New Roman" w:cs="Times New Roman"/>
          <w:sz w:val="24"/>
          <w:szCs w:val="24"/>
          <w:lang w:val="en-US"/>
        </w:rPr>
        <w:t xml:space="preserve"> </w:t>
      </w:r>
    </w:p>
    <w:p w14:paraId="388E18B6" w14:textId="23AD8EEE" w:rsidR="00FE0CD7" w:rsidRPr="002E25AD" w:rsidRDefault="00FE0CD7" w:rsidP="0027506D">
      <w:pPr>
        <w:spacing w:line="480" w:lineRule="auto"/>
        <w:rPr>
          <w:rFonts w:ascii="Times New Roman" w:hAnsi="Times New Roman" w:cs="Times New Roman"/>
          <w:b/>
          <w:sz w:val="24"/>
          <w:szCs w:val="24"/>
          <w:lang w:val="en-US"/>
        </w:rPr>
      </w:pPr>
      <w:r w:rsidRPr="002E25AD">
        <w:rPr>
          <w:rFonts w:ascii="Times New Roman" w:hAnsi="Times New Roman" w:cs="Times New Roman"/>
          <w:b/>
          <w:sz w:val="24"/>
          <w:szCs w:val="24"/>
          <w:lang w:val="en-US"/>
        </w:rPr>
        <w:lastRenderedPageBreak/>
        <w:t>Population for analysis</w:t>
      </w:r>
    </w:p>
    <w:p w14:paraId="3E56D170" w14:textId="2A9E430A" w:rsidR="00FE0CD7" w:rsidRPr="002E25AD" w:rsidRDefault="00FE0CD7" w:rsidP="00B83E75">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Of the 14,926 participants in the Rotterd</w:t>
      </w:r>
      <w:r w:rsidR="001E6680" w:rsidRPr="002E25AD">
        <w:rPr>
          <w:rFonts w:ascii="Times New Roman" w:hAnsi="Times New Roman" w:cs="Times New Roman"/>
          <w:sz w:val="24"/>
          <w:szCs w:val="24"/>
          <w:lang w:val="en-US"/>
        </w:rPr>
        <w:t>am Study, valid dietary data were</w:t>
      </w:r>
      <w:r w:rsidRPr="002E25AD">
        <w:rPr>
          <w:rFonts w:ascii="Times New Roman" w:hAnsi="Times New Roman" w:cs="Times New Roman"/>
          <w:sz w:val="24"/>
          <w:szCs w:val="24"/>
          <w:lang w:val="en-US"/>
        </w:rPr>
        <w:t xml:space="preserve"> available</w:t>
      </w:r>
      <w:r w:rsidR="00451A39" w:rsidRPr="002E25AD">
        <w:rPr>
          <w:rFonts w:ascii="Times New Roman" w:hAnsi="Times New Roman" w:cs="Times New Roman"/>
          <w:sz w:val="24"/>
          <w:szCs w:val="24"/>
          <w:lang w:val="en-US"/>
        </w:rPr>
        <w:t xml:space="preserve"> at the baseline examination round for each cohort</w:t>
      </w:r>
      <w:r w:rsidRPr="002E25AD">
        <w:rPr>
          <w:rFonts w:ascii="Times New Roman" w:hAnsi="Times New Roman" w:cs="Times New Roman"/>
          <w:sz w:val="24"/>
          <w:szCs w:val="24"/>
          <w:lang w:val="en-US"/>
        </w:rPr>
        <w:t xml:space="preserve"> for </w:t>
      </w:r>
      <w:r w:rsidR="00451A39" w:rsidRPr="002E25AD">
        <w:rPr>
          <w:rFonts w:ascii="Times New Roman" w:hAnsi="Times New Roman" w:cs="Times New Roman"/>
          <w:sz w:val="24"/>
          <w:szCs w:val="24"/>
          <w:lang w:val="en-US"/>
        </w:rPr>
        <w:t xml:space="preserve">a total of </w:t>
      </w:r>
      <w:r w:rsidRPr="002E25AD">
        <w:rPr>
          <w:rFonts w:ascii="Times New Roman" w:hAnsi="Times New Roman" w:cs="Times New Roman"/>
          <w:sz w:val="24"/>
          <w:szCs w:val="24"/>
          <w:lang w:val="en-US"/>
        </w:rPr>
        <w:t>9,701 participants.</w:t>
      </w:r>
      <w:r w:rsidR="00440BB7"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1t8kc1mf8v","properties":{"formattedCitation":"(15)","plainCitation":"(15)","noteIndex":0},"citationItems":[{"id":104,"uris":["http://zotero.org/users/3710342/items/PHQWA685"],"uri":["http://zotero.org/users/3710342/items/PHQWA685"],"itemData":{"id":104,"type":"article-journal","title":"Adherence to the 2015 Dutch dietary guidelines and risk of non-communicable diseases and mortality in the Rotterdam Study","container-title":"European Journal of Epidemiology","page":"1-13","source":"link.springer.com","abstract":"We aimed to evaluate the criterion validity of the 2015 food-based Dutch dietary guidelines, which were formulated based on evidence on the relation between diet and major chronic diseases. We studied 9701 participants of the Rotterdam Study, a population-based prospective cohort in individuals aged 45 years and over [median 64.1 years (95%-range 49.0–82.8)]. Dietary intake was assessed at baseline with a food-frequency questionnaire. For all participants, we examined adherence (yes/no) to fourteen items of the guidelines: vegetables (≥200 g/day), fruit (≥200 g/day), whole-grains (≥90 g/day), legumes (≥135 g/week), nuts (≥15 g/day), dairy (≥350 g/day), fish (≥100 g/week), tea (≥450 mL/day), ratio whole-grains:total grains (≥50%), ratio unsaturated fats and oils:total fats (≥50%), red and processed meat (&lt;300 g/week), sugar-containing beverages (≤150 mL/day), alcohol (≤10 g/day) and salt (≤6 g/day). Total adherence was calculated as sum-score of the adherence to the individual items (0–14). Information on disease incidence and all-cause mortality during a median follow-up period of 13.5 years (range 0–27.0) was obtained from data collected at our research center and from medical records. Using Cox proportional-hazards models adjusted for confounders, we observed every additional component adhered to was associated with a 3% lower mortality risk (HR 0.97, 95% CI 0.95; 0.98), lower risk of stroke (HR 0.95, 95% CI 0.92; 0.99), chronic obstructive pulmonary disease (HR 0.94, 95% CI 0.91; 0.98), colorectal cancer (HR 0.90, 95% CI 0.84; 0.96), and depression (HR 0.97, 95% CI 0.95; 0.999), but not with incidence of coronary heart disease, type 2 diabetes, heart failure, lung cancer, breast cancer, or dementia. These associations were not driven by any of the individual dietary components. To conclude, adherence to the Dutch dietary guidelines was associated with a lower mortality risk and a lower risk of developing some but not all of the chronic diseases on which the guidelines were based.","DOI":"10.1007/s10654-017-0295-2","ISSN":"0393-2990, 1573-7284","journalAbbreviation":"Eur J Epidemiol","language":"en","author":[{"family":"Voortman","given":"Trudy"},{"family":"Jong","given":"Jessica C. Kiefte-de"},{"family":"Ikram","given":"M. Arfan"},{"family":"Stricker","given":"Bruno H."},{"family":"Rooij","given":"Frank J. A.","dropping-particle":"van"},{"family":"Lahousse","given":"Lies"},{"family":"Tiemeier","given":"Henning"},{"family":"Brusselle","given":"Guy G."},{"family":"Franco","given":"Oscar H."},{"family":"Schoufour","given":"Josje D."}],"issued":{"date-parts":[["2017",8,19]]}}}],"schema":"https://github.com/citation-style-language/schema/raw/master/csl-citation.json"} </w:instrText>
      </w:r>
      <w:r w:rsidR="00440BB7"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(15)</w:t>
      </w:r>
      <w:r w:rsidR="00440BB7" w:rsidRPr="002E25AD">
        <w:rPr>
          <w:rFonts w:ascii="Times New Roman" w:hAnsi="Times New Roman" w:cs="Times New Roman"/>
          <w:sz w:val="24"/>
          <w:szCs w:val="24"/>
          <w:lang w:val="en-US"/>
        </w:rPr>
        <w:fldChar w:fldCharType="end"/>
      </w:r>
      <w:r w:rsidRPr="002E25AD">
        <w:rPr>
          <w:rFonts w:ascii="Times New Roman" w:hAnsi="Times New Roman" w:cs="Times New Roman"/>
          <w:sz w:val="24"/>
          <w:szCs w:val="24"/>
          <w:lang w:val="en-US"/>
        </w:rPr>
        <w:t xml:space="preserve"> Among the 5,225 participants without valid dietary data, 5,141 individuals had no dietary data available, and 84 were judged to have invalid dietary data because their daily energy intake did not exceed 500 kcal o</w:t>
      </w:r>
      <w:r w:rsidR="001E6680" w:rsidRPr="002E25AD">
        <w:rPr>
          <w:rFonts w:ascii="Times New Roman" w:hAnsi="Times New Roman" w:cs="Times New Roman"/>
          <w:sz w:val="24"/>
          <w:szCs w:val="24"/>
          <w:lang w:val="en-US"/>
        </w:rPr>
        <w:t xml:space="preserve">r was greater than 5,000 kcal. </w:t>
      </w:r>
      <w:r w:rsidRPr="002E25AD">
        <w:rPr>
          <w:rFonts w:ascii="Times New Roman" w:hAnsi="Times New Roman" w:cs="Times New Roman"/>
          <w:sz w:val="24"/>
          <w:szCs w:val="24"/>
          <w:lang w:val="en-US"/>
        </w:rPr>
        <w:t xml:space="preserve">Of the 9,701 participants with valid dietary data, 1,126 were excluded because they had prevalent cardiovascular disease (defined as </w:t>
      </w:r>
      <w:r w:rsidR="00F13006" w:rsidRPr="002E25AD">
        <w:rPr>
          <w:rFonts w:ascii="Times New Roman" w:hAnsi="Times New Roman" w:cs="Times New Roman"/>
          <w:sz w:val="24"/>
          <w:szCs w:val="24"/>
          <w:lang w:val="en-US"/>
        </w:rPr>
        <w:t xml:space="preserve">a history of </w:t>
      </w:r>
      <w:r w:rsidRPr="002E25AD">
        <w:rPr>
          <w:rFonts w:ascii="Times New Roman" w:hAnsi="Times New Roman" w:cs="Times New Roman"/>
          <w:sz w:val="24"/>
          <w:szCs w:val="24"/>
          <w:lang w:val="en-US"/>
        </w:rPr>
        <w:t>stroke, heart failure</w:t>
      </w:r>
      <w:r w:rsidR="00F13006" w:rsidRPr="002E25AD">
        <w:rPr>
          <w:rFonts w:ascii="Times New Roman" w:hAnsi="Times New Roman" w:cs="Times New Roman"/>
          <w:sz w:val="24"/>
          <w:szCs w:val="24"/>
          <w:lang w:val="en-US"/>
        </w:rPr>
        <w:t>, myocardial infarction or</w:t>
      </w:r>
      <w:r w:rsidR="00440BB7" w:rsidRPr="002E25AD">
        <w:rPr>
          <w:rFonts w:ascii="Times New Roman" w:hAnsi="Times New Roman" w:cs="Times New Roman"/>
          <w:sz w:val="24"/>
          <w:szCs w:val="24"/>
          <w:lang w:val="en-US"/>
        </w:rPr>
        <w:t xml:space="preserve"> revascularis</w:t>
      </w:r>
      <w:r w:rsidR="00F13006" w:rsidRPr="002E25AD">
        <w:rPr>
          <w:rFonts w:ascii="Times New Roman" w:hAnsi="Times New Roman" w:cs="Times New Roman"/>
          <w:sz w:val="24"/>
          <w:szCs w:val="24"/>
          <w:lang w:val="en-US"/>
        </w:rPr>
        <w:t>ation procedure) and 415 were excluded because they had prevalent cancer. Of the remaining 8,160 participants, 1,682 had no information on glucose status available and 682 had prevalent type 2 diabetes. Thus, our population for analysis consisted of 5,796 individ</w:t>
      </w:r>
      <w:r w:rsidR="002746C1" w:rsidRPr="002E25AD">
        <w:rPr>
          <w:rFonts w:ascii="Times New Roman" w:hAnsi="Times New Roman" w:cs="Times New Roman"/>
          <w:sz w:val="24"/>
          <w:szCs w:val="24"/>
          <w:lang w:val="en-US"/>
        </w:rPr>
        <w:t>uals.</w:t>
      </w:r>
      <w:r w:rsidR="00451A39" w:rsidRPr="002E25AD">
        <w:rPr>
          <w:rFonts w:ascii="Times New Roman" w:hAnsi="Times New Roman" w:cs="Times New Roman"/>
          <w:sz w:val="24"/>
          <w:szCs w:val="24"/>
          <w:lang w:val="en-US"/>
        </w:rPr>
        <w:t xml:space="preserve"> </w:t>
      </w:r>
      <w:r w:rsidR="002746C1" w:rsidRPr="002E25AD">
        <w:rPr>
          <w:rFonts w:ascii="Times New Roman" w:hAnsi="Times New Roman" w:cs="Times New Roman"/>
          <w:sz w:val="24"/>
          <w:szCs w:val="24"/>
          <w:lang w:val="en-US"/>
        </w:rPr>
        <w:t xml:space="preserve"> </w:t>
      </w:r>
      <w:r w:rsidR="00B83E75" w:rsidRPr="002E25AD">
        <w:rPr>
          <w:rFonts w:ascii="Times New Roman" w:hAnsi="Times New Roman" w:cs="Times New Roman"/>
          <w:sz w:val="24"/>
          <w:szCs w:val="24"/>
          <w:lang w:val="en-US"/>
        </w:rPr>
        <w:t>Information on fasting serum glucose and insulin, used to calculate</w:t>
      </w:r>
      <w:r w:rsidR="00440BB7" w:rsidRPr="002E25AD">
        <w:rPr>
          <w:rFonts w:ascii="Times New Roman" w:hAnsi="Times New Roman" w:cs="Times New Roman"/>
          <w:sz w:val="24"/>
          <w:szCs w:val="24"/>
          <w:lang w:val="en-US"/>
        </w:rPr>
        <w:t xml:space="preserve"> homeostatic model assessment of insulin resistance (</w:t>
      </w:r>
      <w:r w:rsidR="00B83E75" w:rsidRPr="002E25AD">
        <w:rPr>
          <w:rFonts w:ascii="Times New Roman" w:hAnsi="Times New Roman" w:cs="Times New Roman"/>
          <w:sz w:val="24"/>
          <w:szCs w:val="24"/>
          <w:lang w:val="en-US"/>
        </w:rPr>
        <w:t>HOMA-IR</w:t>
      </w:r>
      <w:r w:rsidR="00440BB7" w:rsidRPr="002E25AD">
        <w:rPr>
          <w:rFonts w:ascii="Times New Roman" w:hAnsi="Times New Roman" w:cs="Times New Roman"/>
          <w:sz w:val="24"/>
          <w:szCs w:val="24"/>
          <w:lang w:val="en-US"/>
        </w:rPr>
        <w:t>)</w:t>
      </w:r>
      <w:r w:rsidR="00B83E75" w:rsidRPr="002E25AD">
        <w:rPr>
          <w:rFonts w:ascii="Times New Roman" w:hAnsi="Times New Roman" w:cs="Times New Roman"/>
          <w:sz w:val="24"/>
          <w:szCs w:val="24"/>
          <w:lang w:val="en-US"/>
        </w:rPr>
        <w:t>, was available for 5,422 of these individuals.</w:t>
      </w:r>
      <w:r w:rsidR="00792D23" w:rsidRPr="002E25AD">
        <w:rPr>
          <w:rFonts w:ascii="Times New Roman" w:hAnsi="Times New Roman" w:cs="Times New Roman"/>
          <w:sz w:val="24"/>
          <w:szCs w:val="24"/>
          <w:lang w:val="en-US"/>
        </w:rPr>
        <w:t xml:space="preserve"> </w:t>
      </w:r>
    </w:p>
    <w:p w14:paraId="610F8F56" w14:textId="77777777" w:rsidR="00270CD1" w:rsidRPr="002E25AD" w:rsidRDefault="00270CD1" w:rsidP="0027506D">
      <w:pPr>
        <w:spacing w:line="480" w:lineRule="auto"/>
        <w:rPr>
          <w:rFonts w:ascii="Times New Roman" w:hAnsi="Times New Roman" w:cs="Times New Roman"/>
          <w:b/>
          <w:sz w:val="24"/>
          <w:szCs w:val="24"/>
          <w:lang w:val="en-US"/>
        </w:rPr>
      </w:pPr>
      <w:r w:rsidRPr="002E25AD">
        <w:rPr>
          <w:rFonts w:ascii="Times New Roman" w:hAnsi="Times New Roman" w:cs="Times New Roman"/>
          <w:b/>
          <w:sz w:val="24"/>
          <w:szCs w:val="24"/>
          <w:lang w:val="en-US"/>
        </w:rPr>
        <w:t>Dietary assessment</w:t>
      </w:r>
    </w:p>
    <w:p w14:paraId="2CFACBF5" w14:textId="0C0998D9" w:rsidR="00270CD1" w:rsidRPr="002E25AD" w:rsidRDefault="00270CD1" w:rsidP="00B83E75">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Dietary data were collected by means of a semi-quantitative food frequency questionnaire (FFQ), administered by a trained interviewer, during the baseline examinatio</w:t>
      </w:r>
      <w:r w:rsidR="00AB3C0E" w:rsidRPr="002E25AD">
        <w:rPr>
          <w:rFonts w:ascii="Times New Roman" w:hAnsi="Times New Roman" w:cs="Times New Roman"/>
          <w:sz w:val="24"/>
          <w:szCs w:val="24"/>
          <w:lang w:val="en-US"/>
        </w:rPr>
        <w:t>n of the participants. For sub-cohorts RS-II and RS-I, a two-step approach was used in assessing dietary data. First, participants completed a self-administered checklist on which foods were consumed at least twice a month during the preceding year. The completed checklist was used as a basis for the structured FFQ interview, performed by a trained dietician, about consumption frequencies and amounts at the Rotterdam Study research facility. The FFQ used in these sub-</w:t>
      </w:r>
      <w:r w:rsidR="00B83E75" w:rsidRPr="002E25AD">
        <w:rPr>
          <w:rFonts w:ascii="Times New Roman" w:hAnsi="Times New Roman" w:cs="Times New Roman"/>
          <w:sz w:val="24"/>
          <w:szCs w:val="24"/>
          <w:lang w:val="en-US"/>
        </w:rPr>
        <w:t>cohorts consisted of 170 items and was developed for and validated among the elderly</w:t>
      </w:r>
      <w:r w:rsidR="00C27247" w:rsidRPr="002E25AD">
        <w:rPr>
          <w:rFonts w:ascii="Times New Roman" w:hAnsi="Times New Roman" w:cs="Times New Roman"/>
          <w:sz w:val="24"/>
          <w:szCs w:val="24"/>
          <w:lang w:val="en-US"/>
        </w:rPr>
        <w:t>.</w:t>
      </w:r>
      <w:r w:rsidR="00C27247"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1m5ac5jllc","properties":{"formattedCitation":"(16)","plainCitation":"(16)","noteIndex":0},"citationItems":[{"id":111,"uris":["http://zotero.org/users/3710342/items/2B6TVBAN"],"uri":["http://zotero.org/users/3710342/items/2B6TVBAN"],"itemData":{"id":111,"type":"article-journal","title":"Dietary assessment in the elderly: validation of a semiquantitative food frequency questionnaire","container-title":"European Journal of Clinical Nutrition","page":"588-596","volume":"52","issue":"8","source":"PubMed","abstract":"OBJECTIVE: The study was conducted to assess the relative validity of a 170-item semiquantitative food frequency questionnaire (SFFQ) adapted for use in the elderly.\nDESIGN AND SUBJECTS: The study was carried out in a sample of 80 men and women aged 55-75 y participating in a community based prospective cohort study in Rotterdam, The Netherlands. The two-step dietary assessment comprised a simple self-administered questionnaire (20 min) followed by a structured interview with trained dietitians (20 min) based on the completed questionnaire. Multiple food records (FR) collected over a one year period served as reference method. 24 h urine urea was used as indirect marker for protein intake.\nRESULTS: Compared with FR, the SFFQ generally overestimated nutrient intake as reflected by difference in means and the ratio of SFFQ to FR. Energy adjustment reduced the observed overestimation. Pearson's correlation coefficients varied from close to 0.5 to about 0.9 for crude data, and after adjustment for age, sex, total energy intake, and for within-person variability in daily intake for 0.4-0.8. Cross-classification into quintiles resulted in correct classification into the same or adjacent quintile of 75.8% for crude and 76.8% for energy-adjusted data. Validation of protein intake estimated by SFFQ with protein excretion from 24h urine urea indicated overestimation of protein intake by SFFQ. Spearman correlation coefficient between protein intake estimated from urea excretion and SFFQ was 0.67.\nCONCLUSIONS: Adaptation of a SFFQ for use in the elderly resulted in a valid and time-efficient dietary assessment instrument. Its ability to adequately rank study subjects according to their dietary intake support its application in epidemiological studies in the elderly.","ISSN":"0954-3007","note":"PMID: 9725660","title-short":"Dietary assessment in the elderly","journalAbbreviation":"Eur J Clin Nutr","language":"eng","author":[{"family":"Klipstein-Grobusch","given":"K."},{"family":"Breeijen","given":"J. H.","non-dropping-particle":"den"},{"family":"Goldbohm","given":"R. A."},{"family":"Geleijnse","given":"J. M."},{"family":"Hofman","given":"A."},{"family":"Grobbee","given":"D. E."},{"family":"Witteman","given":"J. C."}],"issued":{"date-parts":[["1998",8]]}}}],"schema":"https://github.com/citation-style-language/schema/raw/master/csl-citation.json"} </w:instrText>
      </w:r>
      <w:r w:rsidR="00C27247"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(16)</w:t>
      </w:r>
      <w:r w:rsidR="00C27247" w:rsidRPr="002E25AD">
        <w:rPr>
          <w:rFonts w:ascii="Times New Roman" w:hAnsi="Times New Roman" w:cs="Times New Roman"/>
          <w:sz w:val="24"/>
          <w:szCs w:val="24"/>
          <w:lang w:val="en-US"/>
        </w:rPr>
        <w:fldChar w:fldCharType="end"/>
      </w:r>
      <w:r w:rsidR="00C27247" w:rsidRPr="002E25AD">
        <w:rPr>
          <w:rFonts w:ascii="Times New Roman" w:hAnsi="Times New Roman" w:cs="Times New Roman"/>
          <w:sz w:val="24"/>
          <w:szCs w:val="24"/>
          <w:lang w:val="en-US"/>
        </w:rPr>
        <w:t xml:space="preserve"> </w:t>
      </w:r>
      <w:r w:rsidR="00AB3C0E" w:rsidRPr="002E25AD">
        <w:rPr>
          <w:rFonts w:ascii="Times New Roman" w:hAnsi="Times New Roman" w:cs="Times New Roman"/>
          <w:sz w:val="24"/>
          <w:szCs w:val="24"/>
          <w:lang w:val="en-US"/>
        </w:rPr>
        <w:t xml:space="preserve">For sub-cohort </w:t>
      </w:r>
      <w:r w:rsidRPr="002E25AD">
        <w:rPr>
          <w:rFonts w:ascii="Times New Roman" w:hAnsi="Times New Roman" w:cs="Times New Roman"/>
          <w:sz w:val="24"/>
          <w:szCs w:val="24"/>
          <w:lang w:val="en-US"/>
        </w:rPr>
        <w:t>RS-III-I</w:t>
      </w:r>
      <w:r w:rsidR="00AB3C0E" w:rsidRPr="002E25AD">
        <w:rPr>
          <w:rFonts w:ascii="Times New Roman" w:hAnsi="Times New Roman" w:cs="Times New Roman"/>
          <w:sz w:val="24"/>
          <w:szCs w:val="24"/>
          <w:lang w:val="en-US"/>
        </w:rPr>
        <w:t xml:space="preserve">, </w:t>
      </w:r>
      <w:r w:rsidRPr="002E25AD">
        <w:rPr>
          <w:rFonts w:ascii="Times New Roman" w:hAnsi="Times New Roman" w:cs="Times New Roman"/>
          <w:sz w:val="24"/>
          <w:szCs w:val="24"/>
          <w:lang w:val="en-US"/>
        </w:rPr>
        <w:t>collection of dietary data was performed by means of a single self-administered</w:t>
      </w:r>
      <w:r w:rsidR="00CA23A9" w:rsidRPr="002E25AD">
        <w:rPr>
          <w:rFonts w:ascii="Times New Roman" w:hAnsi="Times New Roman" w:cs="Times New Roman"/>
          <w:sz w:val="24"/>
          <w:szCs w:val="24"/>
          <w:lang w:val="en-US"/>
        </w:rPr>
        <w:t>, 389-item,</w:t>
      </w:r>
      <w:r w:rsidRPr="002E25AD">
        <w:rPr>
          <w:rFonts w:ascii="Times New Roman" w:hAnsi="Times New Roman" w:cs="Times New Roman"/>
          <w:sz w:val="24"/>
          <w:szCs w:val="24"/>
          <w:lang w:val="en-US"/>
        </w:rPr>
        <w:t xml:space="preserve"> semi-quantitative FFQ which was based on an existing </w:t>
      </w:r>
      <w:r w:rsidRPr="002E25AD">
        <w:rPr>
          <w:rFonts w:ascii="Times New Roman" w:hAnsi="Times New Roman" w:cs="Times New Roman"/>
          <w:sz w:val="24"/>
          <w:szCs w:val="24"/>
          <w:lang w:val="en-US"/>
        </w:rPr>
        <w:lastRenderedPageBreak/>
        <w:t>validated FFQ developed for Dutch adults.</w:t>
      </w:r>
      <w:r w:rsidR="008614DA"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avlmndl5hp","properties":{"formattedCitation":"(17,18)","plainCitation":"(17,18)","noteIndex":0},"citationItems":[{"id":177,"uris":["http://zotero.org/users/3710342/items/B5K7QNCJ"],"uri":["http://zotero.org/users/3710342/items/B5K7QNCJ"],"itemData":{"id":177,"type":"article-journal","title":"Validation of a dietary questionnaire used in a large-scale prospective cohort study on diet and cancer","container-title":"European Journal of Clinical Nutrition","page":"253-265","volume":"48","issue":"4","source":"PubMed","abstract":"OBJECTIVE: The study was conducted to assess the validity of a self-administered 150-item food frequency questionnaire (FFQ), used in a cohort study on diet and cancer (120,852 men and women, aged 55-69).\nDESIGN &amp; SUBJECTS: The study was carried out in a subgroup of the cohort (59 men and 50 women) 2 years after the baseline FFQ was completed. A dietary record, kept over three 3-day periods, 4-5 months apart, served as reference method. To evaluate the representativeness of the study population for the entire cohort, a comparison was made with the baseline questionnaire of a random sample of the cohort.\nRESULTS: Pearson correlation coefficients between nutrient intakes assessed by the record and the FFQ that was completed afterwards ranged from 0.40 (95% CI: 0.22-0.54) for vitamin B1 to 0.86 (95% CI: 0.80-0.90) for alcohol intake, with correlations for most nutrients between 0.6 and 0.8. Adjustment for energy intake and sex did not materially affect these correlations, except the correlation for fat intake, which changed from 0.72 to 0.52. Correlation coefficients were only slightly modified when the results were extrapolated to the cohort at large. Correction of correlation coefficients for attenuation by day-to-day variance in the record data improved them by 0.07 on average.\nCONCLUSIONS: It is concluded that the FFQ is able to rank subjects according to intake of food groups and nutrients. Despite a better performance of validation study participants, this conclusion also applies to the cohort at large.","ISSN":"0954-3007","note":"PMID: 8039485","journalAbbreviation":"Eur J Clin Nutr","language":"eng","author":[{"family":"Goldbohm","given":"R. A."},{"family":"Brandt","given":"P. A.","non-dropping-particle":"van den"},{"family":"Brants","given":"H. A."},{"family":"Veer","given":"P.","non-dropping-particle":"van't"},{"family":"Al","given":"M."},{"family":"Sturmans","given":"F."},{"family":"Hermus","given":"R. J."}],"issued":{"date-parts":[["1994",4]]}}},{"id":176,"uris":["http://zotero.org/users/3710342/items/A5DCA3CC"],"uri":["http://zotero.org/users/3710342/items/A5DCA3CC"],"itemData":{"id":176,"type":"article-journal","title":"Relative and biomarker-based validity of a food-frequency questionnaire estimating intake of fats and cholesterol","container-title":"The American Journal of Clinical Nutrition","page":"489-496","volume":"58","issue":"4","source":"PubMed","abstract":"The relative validity of a 104-item food-frequency method to assess intakes of fats and cholesterol was tested against the dietary history of 191 men and women. Pearson correlation coefficients ranged from 0.38 for linoleic acid (% of energy) to 0.83 for energy intake, with 0.78 and 0.75 for the intakes of total fat and saturated fatty acids, respectively. Mean intakes were overestimated by the food-frequency questionnaire relative to the dietary history by 5% for energy and monounsaturated fatty acids (% of energy) and up to 30% for linoleic acid intake. Linoleic acid concentrations in erythrocytes and adipose tissue were used as biomarkers of intake. The correlation of the linoleic acid intake according to the food-frequency questionnaire with linoleic acid in erythrocytes and adipose tissue was 0.44 and 0.28, respectively, and the dietary history gave similar values. The food-frequency questionnaire gives results similar to those from the dietary history and is thus considered appropriate for classifying subjects according to their fat intake.","ISSN":"0002-9165","note":"PMID: 8379504","journalAbbreviation":"Am. J. Clin. Nutr.","language":"eng","author":[{"family":"Feunekes","given":"G. I."},{"family":"Van Staveren","given":"W. A."},{"family":"De Vries","given":"J. H."},{"family":"Burema","given":"J."},{"family":"Hautvast","given":"J. G."}],"issued":{"date-parts":[["1993",10]]}}}],"schema":"https://github.com/citation-style-language/schema/raw/master/csl-citation.json"} </w:instrText>
      </w:r>
      <w:r w:rsidR="008614DA"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sz w:val="24"/>
          <w:szCs w:val="24"/>
          <w:lang w:val="en-US"/>
        </w:rPr>
        <w:t>(17,18)</w:t>
      </w:r>
      <w:r w:rsidR="008614DA" w:rsidRPr="002E25AD">
        <w:rPr>
          <w:rFonts w:ascii="Times New Roman" w:hAnsi="Times New Roman" w:cs="Times New Roman"/>
          <w:sz w:val="24"/>
          <w:szCs w:val="24"/>
          <w:lang w:val="en-US"/>
        </w:rPr>
        <w:fldChar w:fldCharType="end"/>
      </w:r>
      <w:r w:rsidRPr="002E25AD">
        <w:rPr>
          <w:rFonts w:ascii="Times New Roman" w:hAnsi="Times New Roman" w:cs="Times New Roman"/>
          <w:sz w:val="24"/>
          <w:szCs w:val="24"/>
          <w:lang w:val="en-US"/>
        </w:rPr>
        <w:t xml:space="preserve"> Portion sizes in grams per day were estimated using standard household measures. Food intake data were subsequently converted into da</w:t>
      </w:r>
      <w:r w:rsidR="001E6680" w:rsidRPr="002E25AD">
        <w:rPr>
          <w:rFonts w:ascii="Times New Roman" w:hAnsi="Times New Roman" w:cs="Times New Roman"/>
          <w:sz w:val="24"/>
          <w:szCs w:val="24"/>
          <w:lang w:val="en-US"/>
        </w:rPr>
        <w:t xml:space="preserve">ily energy and nutrient intake </w:t>
      </w:r>
      <w:r w:rsidRPr="002E25AD">
        <w:rPr>
          <w:rFonts w:ascii="Times New Roman" w:hAnsi="Times New Roman" w:cs="Times New Roman"/>
          <w:sz w:val="24"/>
          <w:szCs w:val="24"/>
          <w:lang w:val="en-US"/>
        </w:rPr>
        <w:t>using the Dutch Food Composition Table</w:t>
      </w:r>
      <w:r w:rsidR="008614DA" w:rsidRPr="002E25AD">
        <w:rPr>
          <w:rFonts w:ascii="Times New Roman" w:hAnsi="Times New Roman" w:cs="Times New Roman"/>
          <w:sz w:val="24"/>
          <w:szCs w:val="24"/>
          <w:lang w:val="en-US"/>
        </w:rPr>
        <w:t>s</w:t>
      </w:r>
      <w:r w:rsidRPr="002E25AD">
        <w:rPr>
          <w:rFonts w:ascii="Times New Roman" w:hAnsi="Times New Roman" w:cs="Times New Roman"/>
          <w:sz w:val="24"/>
          <w:szCs w:val="24"/>
          <w:lang w:val="en-US"/>
        </w:rPr>
        <w:t xml:space="preserve"> of </w:t>
      </w:r>
      <w:r w:rsidR="001E6680" w:rsidRPr="002E25AD">
        <w:rPr>
          <w:rFonts w:ascii="Times New Roman" w:hAnsi="Times New Roman" w:cs="Times New Roman"/>
          <w:sz w:val="24"/>
          <w:szCs w:val="24"/>
          <w:lang w:val="en-US"/>
        </w:rPr>
        <w:t xml:space="preserve">1993 for RS-I-1, </w:t>
      </w:r>
      <w:r w:rsidR="00A3674D" w:rsidRPr="002E25AD">
        <w:rPr>
          <w:rFonts w:ascii="Times New Roman" w:hAnsi="Times New Roman" w:cs="Times New Roman"/>
          <w:sz w:val="24"/>
          <w:szCs w:val="24"/>
          <w:lang w:val="en-US"/>
        </w:rPr>
        <w:t>2001 for RS-II-1</w:t>
      </w:r>
      <w:r w:rsidR="001E6680" w:rsidRPr="002E25AD">
        <w:rPr>
          <w:rFonts w:ascii="Times New Roman" w:hAnsi="Times New Roman" w:cs="Times New Roman"/>
          <w:sz w:val="24"/>
          <w:szCs w:val="24"/>
          <w:lang w:val="en-US"/>
        </w:rPr>
        <w:t>,</w:t>
      </w:r>
      <w:r w:rsidR="00A3674D" w:rsidRPr="002E25AD">
        <w:rPr>
          <w:rFonts w:ascii="Times New Roman" w:hAnsi="Times New Roman" w:cs="Times New Roman"/>
          <w:sz w:val="24"/>
          <w:szCs w:val="24"/>
          <w:lang w:val="en-US"/>
        </w:rPr>
        <w:t xml:space="preserve"> and 2006 for RS-III-1.</w:t>
      </w:r>
    </w:p>
    <w:p w14:paraId="2C6F3731" w14:textId="77777777" w:rsidR="008614DA" w:rsidRPr="002E25AD" w:rsidRDefault="008614DA" w:rsidP="0027506D">
      <w:pPr>
        <w:spacing w:line="480" w:lineRule="auto"/>
        <w:rPr>
          <w:rFonts w:ascii="Times New Roman" w:hAnsi="Times New Roman" w:cs="Times New Roman"/>
          <w:b/>
          <w:sz w:val="24"/>
          <w:szCs w:val="24"/>
          <w:lang w:val="en-US"/>
        </w:rPr>
      </w:pPr>
      <w:r w:rsidRPr="002E25AD">
        <w:rPr>
          <w:rFonts w:ascii="Times New Roman" w:hAnsi="Times New Roman" w:cs="Times New Roman"/>
          <w:b/>
          <w:sz w:val="24"/>
          <w:szCs w:val="24"/>
          <w:lang w:val="en-US"/>
        </w:rPr>
        <w:t xml:space="preserve">Assessment of </w:t>
      </w:r>
      <w:r w:rsidR="0086253E" w:rsidRPr="002E25AD">
        <w:rPr>
          <w:rFonts w:ascii="Times New Roman" w:hAnsi="Times New Roman" w:cs="Times New Roman"/>
          <w:b/>
          <w:sz w:val="24"/>
          <w:szCs w:val="24"/>
          <w:lang w:val="en-US"/>
        </w:rPr>
        <w:t xml:space="preserve">total </w:t>
      </w:r>
      <w:r w:rsidRPr="002E25AD">
        <w:rPr>
          <w:rFonts w:ascii="Times New Roman" w:hAnsi="Times New Roman" w:cs="Times New Roman"/>
          <w:b/>
          <w:sz w:val="24"/>
          <w:szCs w:val="24"/>
          <w:lang w:val="en-US"/>
        </w:rPr>
        <w:t>dietary antioxidant capacity</w:t>
      </w:r>
    </w:p>
    <w:p w14:paraId="41A52DB0" w14:textId="0E685668" w:rsidR="008614DA" w:rsidRPr="002E25AD" w:rsidRDefault="00114CFF" w:rsidP="00FC350C">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In order to </w:t>
      </w:r>
      <w:r w:rsidR="00E47F35" w:rsidRPr="002E25AD">
        <w:rPr>
          <w:rFonts w:ascii="Times New Roman" w:hAnsi="Times New Roman" w:cs="Times New Roman"/>
          <w:sz w:val="24"/>
          <w:szCs w:val="24"/>
          <w:lang w:val="en-US"/>
        </w:rPr>
        <w:t>estimate</w:t>
      </w:r>
      <w:r w:rsidRPr="002E25AD">
        <w:rPr>
          <w:rFonts w:ascii="Times New Roman" w:hAnsi="Times New Roman" w:cs="Times New Roman"/>
          <w:sz w:val="24"/>
          <w:szCs w:val="24"/>
          <w:lang w:val="en-US"/>
        </w:rPr>
        <w:t xml:space="preserve"> the total dietary antioxidant capacity, we used the Antioxidant Food Table published by Carlsen and colleagues, who determined the antioxidant content of over 3,100 types of food and beverages using a </w:t>
      </w:r>
      <w:r w:rsidR="0086253E" w:rsidRPr="002E25AD">
        <w:rPr>
          <w:rFonts w:ascii="Times New Roman" w:hAnsi="Times New Roman" w:cs="Times New Roman"/>
          <w:sz w:val="24"/>
          <w:szCs w:val="24"/>
          <w:lang w:val="en-US"/>
        </w:rPr>
        <w:t>ferric reducing ability of plasma (</w:t>
      </w:r>
      <w:r w:rsidRPr="002E25AD">
        <w:rPr>
          <w:rFonts w:ascii="Times New Roman" w:hAnsi="Times New Roman" w:cs="Times New Roman"/>
          <w:sz w:val="24"/>
          <w:szCs w:val="24"/>
          <w:lang w:val="en-US"/>
        </w:rPr>
        <w:t>FRAP</w:t>
      </w:r>
      <w:r w:rsidR="0086253E" w:rsidRPr="002E25AD">
        <w:rPr>
          <w:rFonts w:ascii="Times New Roman" w:hAnsi="Times New Roman" w:cs="Times New Roman"/>
          <w:sz w:val="24"/>
          <w:szCs w:val="24"/>
          <w:lang w:val="en-US"/>
        </w:rPr>
        <w:t>)</w:t>
      </w:r>
      <w:r w:rsidRPr="002E25AD">
        <w:rPr>
          <w:rFonts w:ascii="Times New Roman" w:hAnsi="Times New Roman" w:cs="Times New Roman"/>
          <w:sz w:val="24"/>
          <w:szCs w:val="24"/>
          <w:lang w:val="en-US"/>
        </w:rPr>
        <w:t xml:space="preserve"> assay.</w:t>
      </w:r>
      <w:r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afg140qh67","properties":{"formattedCitation":"(10)","plainCitation":"(10)","noteIndex":0},"citationItems":[{"id":148,"uris":["http://zotero.org/users/3710342/items/Z3RCESPR"],"uri":["http://zotero.org/users/3710342/items/Z3RCESPR"],"itemData":{"id":148,"type":"article-journal","title":"The total antioxidant content of more than 3100 foods, beverages, spices, herbs and supplements used worldwide","container-title":"Nutrition Journal","page":"3","volume":"9","source":"BioMed Central","abstract":"A plant-based diet protects against chronic oxidative stress-related diseases. Dietary plants contain variable chemical families and amounts of antioxidants. It has been hypothesized that plant antioxidants may contribute to the beneficial health effects of dietary plants. Our objective was to develop a comprehensive food database consisting of the total antioxidant content of typical foods as well as other dietary items such as traditional medicine plants, herbs and spices and dietary supplements. This database is intended for use in a wide range of nutritional research, from in vitro and cell and animal studies, to clinical trials and nutritional epidemiological studies.","DOI":"10.1186/1475-2891-9-3","ISSN":"1475-2891","journalAbbreviation":"Nutrition Journal","author":[{"family":"Carlsen","given":"Monica H."},{"family":"Halvorsen","given":"Bente L."},{"family":"Holte","given":"Kari"},{"family":"Bøhn","given":"Siv K."},{"family":"Dragland","given":"Steinar"},{"family":"Sampson","given":"Laura"},{"family":"Willey","given":"Carol"},{"family":"Senoo","given":"Haruki"},{"family":"Umezono","given":"Yuko"},{"family":"Sanada","given":"Chiho"},{"family":"Barikmo","given":"Ingrid"},{"family":"Berhe","given":"Nega"},{"family":"Willett","given":"Walter C."},{"family":"Phillips","given":"Katherine M."},{"family":"Jacobs","given":"David R."},{"family":"Blomhoff","given":"Rune"}],"issued":{"date-parts":[["2010",1,22]]}}}],"schema":"https://github.com/citation-style-language/schema/raw/master/csl-citation.json"} </w:instrText>
      </w:r>
      <w:r w:rsidRPr="002E25AD">
        <w:rPr>
          <w:rFonts w:ascii="Times New Roman" w:hAnsi="Times New Roman" w:cs="Times New Roman"/>
          <w:sz w:val="24"/>
          <w:szCs w:val="24"/>
          <w:lang w:val="en-US"/>
        </w:rPr>
        <w:fldChar w:fldCharType="separate"/>
      </w:r>
      <w:r w:rsidR="00FF128F" w:rsidRPr="002E25AD">
        <w:rPr>
          <w:rFonts w:ascii="Times New Roman" w:hAnsi="Times New Roman" w:cs="Times New Roman"/>
          <w:sz w:val="24"/>
          <w:szCs w:val="24"/>
          <w:lang w:val="en-US"/>
        </w:rPr>
        <w:t>(10)</w:t>
      </w:r>
      <w:r w:rsidRPr="002E25AD">
        <w:rPr>
          <w:rFonts w:ascii="Times New Roman" w:hAnsi="Times New Roman" w:cs="Times New Roman"/>
          <w:sz w:val="24"/>
          <w:szCs w:val="24"/>
          <w:lang w:val="en-US"/>
        </w:rPr>
        <w:fldChar w:fldCharType="end"/>
      </w:r>
      <w:r w:rsidR="00E47F35" w:rsidRPr="002E25AD">
        <w:rPr>
          <w:rFonts w:ascii="Times New Roman" w:hAnsi="Times New Roman" w:cs="Times New Roman"/>
          <w:sz w:val="24"/>
          <w:szCs w:val="24"/>
          <w:lang w:val="en-US"/>
        </w:rPr>
        <w:t xml:space="preserve"> </w:t>
      </w:r>
      <w:r w:rsidR="002F40D6" w:rsidRPr="002E25AD">
        <w:rPr>
          <w:rFonts w:ascii="Times New Roman" w:hAnsi="Times New Roman" w:cs="Times New Roman"/>
          <w:sz w:val="24"/>
          <w:szCs w:val="24"/>
          <w:lang w:val="en-US"/>
        </w:rPr>
        <w:t>The FRAP assay measures the reduction of ferric ion (Fe</w:t>
      </w:r>
      <w:r w:rsidR="002F40D6" w:rsidRPr="002E25AD">
        <w:rPr>
          <w:rFonts w:ascii="Times New Roman" w:hAnsi="Times New Roman" w:cs="Times New Roman"/>
          <w:sz w:val="24"/>
          <w:szCs w:val="24"/>
          <w:vertAlign w:val="superscript"/>
          <w:lang w:val="en-US"/>
        </w:rPr>
        <w:t>3+</w:t>
      </w:r>
      <w:r w:rsidR="00E5002D" w:rsidRPr="002E25AD">
        <w:rPr>
          <w:rFonts w:ascii="Times New Roman" w:hAnsi="Times New Roman" w:cs="Times New Roman"/>
          <w:sz w:val="24"/>
          <w:szCs w:val="24"/>
          <w:lang w:val="en-US"/>
        </w:rPr>
        <w:t xml:space="preserve">) </w:t>
      </w:r>
      <w:r w:rsidR="002F40D6" w:rsidRPr="002E25AD">
        <w:rPr>
          <w:rFonts w:ascii="Times New Roman" w:hAnsi="Times New Roman" w:cs="Times New Roman"/>
          <w:sz w:val="24"/>
          <w:szCs w:val="24"/>
          <w:lang w:val="en-US"/>
        </w:rPr>
        <w:t>to ferrous ion (Fe</w:t>
      </w:r>
      <w:r w:rsidR="002F40D6" w:rsidRPr="002E25AD">
        <w:rPr>
          <w:rFonts w:ascii="Times New Roman" w:hAnsi="Times New Roman" w:cs="Times New Roman"/>
          <w:sz w:val="24"/>
          <w:szCs w:val="24"/>
          <w:vertAlign w:val="superscript"/>
          <w:lang w:val="en-US"/>
        </w:rPr>
        <w:t>2+</w:t>
      </w:r>
      <w:r w:rsidR="002F40D6" w:rsidRPr="002E25AD">
        <w:rPr>
          <w:rFonts w:ascii="Times New Roman" w:hAnsi="Times New Roman" w:cs="Times New Roman"/>
          <w:sz w:val="24"/>
          <w:szCs w:val="24"/>
          <w:lang w:val="en-US"/>
        </w:rPr>
        <w:t xml:space="preserve">) and has been </w:t>
      </w:r>
      <w:r w:rsidR="00A3674D" w:rsidRPr="002E25AD">
        <w:rPr>
          <w:rFonts w:ascii="Times New Roman" w:hAnsi="Times New Roman" w:cs="Times New Roman"/>
          <w:sz w:val="24"/>
          <w:szCs w:val="24"/>
          <w:lang w:val="en-US"/>
        </w:rPr>
        <w:t xml:space="preserve">used extensively in nutrition </w:t>
      </w:r>
      <w:r w:rsidR="002F40D6" w:rsidRPr="002E25AD">
        <w:rPr>
          <w:rFonts w:ascii="Times New Roman" w:hAnsi="Times New Roman" w:cs="Times New Roman"/>
          <w:sz w:val="24"/>
          <w:szCs w:val="24"/>
          <w:lang w:val="en-US"/>
        </w:rPr>
        <w:t>science.</w:t>
      </w:r>
      <w:r w:rsidR="002F40D6"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aajdg5dnov","properties":{"formattedCitation":"(2,19)","plainCitation":"(2,19)","noteIndex":0},"citationItems":[{"id":141,"uris":["http://zotero.org/users/3710342/items/5B6AHC7D"],"uri":["http://zotero.org/users/3710342/items/5B6AHC7D"],"itemData":{"id":141,"type":"article-journal","title":"The Ferric Reducing Ability of Plasma (FRAP) as a Measure of “Antioxidant Power”: The FRAP Assay","container-title":"Analytical Biochemistry","page":"70-76","volume":"239","issue":"1","source":"ScienceDirect","abstract":"A simple, automated test measuring the ferric reducing ability of plasma, the FRAP assay, is presented as a novel method for assessing “antioxidant power.” Ferric to ferrous ion reduction at low pH causes a colored ferrous-tripyridyltriazine complex to form. FRAP values are obtained by comparing the absorbance change at 593 nm in test reaction mixtures with those containing ferrous ions in known concentration. Absorbance changes are linear over a wide concentration range with antioxidant mixtures, including plasma, and with solutions containing one antioxidant in purified form. There is no apparent interaction between antioxidants. Measured stoichiometric factors of Trolox, α-tocopherol, ascorbic acid, and uric acid are all 2.0; that of bilirubin is 4.0. Activity of albumin is very low. Within- and between-run CVs are &lt;1.0 and &lt;3.0%, respectively, at 100–1000 μmol/liter. FRAP values of fresh plasma of healthy Chinese adults: 612–1634 μmol/liter (mean, 1017; SD, 206;n= 141). The FRAP assay is inexpensive, reagents are simple to prepare, results are highly reproducible, and the procedure is straightforward and speedy. The FRAP assay offers a putative index of antioxidant, or reducing, potential of biological fluids within the technological reach of every laboratory and researcher interested in oxidative stress and its effects.","DOI":"10.1006/abio.1996.0292","ISSN":"0003-2697","title-short":"The Ferric Reducing Ability of Plasma (FRAP) as a Measure of “Antioxidant Power”","journalAbbreviation":"Analytical Biochemistry","author":[{"family":"Benzie","given":"Iris F. F."},{"family":"Strain","given":"J. J."}],"issued":{"date-parts":[["1996",7,15]]}}},{"id":156,"uris":["http://zotero.org/users/3710342/items/P2NVQ4HJ"],"uri":["http://zotero.org/users/3710342/items/P2NVQ4HJ"],"itemData":{"id":156,"type":"article-journal","title":"Antioxidants in Food","container-title":"Advances in Food and Nutrition Research","page":"1-53","volume":"71","source":"ScienceDirect","abstract":"There are a multitude of antioxidants in foods, especially in foods of plant origin. Higher intake of antioxidant-rich foods is clearly associated with better health and functional longevity. The specific agents and mechanisms responsible are not yet clear, but there is convincing evidence that including more plant-based, antioxidant-rich foods, herbs, and beverages in the diet is effective in promoting health and lowering risk of various age-related diseases. The content of some individual antioxidants, such as vitamin C, in food can be measured, but it is not feasible to attempt to measure each antioxidant separately, and methods have been developed to assess the “total antioxidant content” of foods. One of the most widely used methods is the ferric reducing/antioxidant power (FRAP) assay, which is relatively simple, quick, sensitive, and inexpensive to perform. There are many published studies that have used the FRAP assay, and these have generated a very large database of total antioxidant content of foods that can help guide food choices for increased antioxidant intake. The FRAP assay has also been used to assess the bioavailability of antioxidants in foods and to investigate the effects of growing conditions, storage, processing, and cooking method on the total antioxidant content of food. The test can be employed as a quality control check device, and to detect adulteration of food. Furthermore, in a modified form (FRASC), the assay can measure ascorbic acid content almost simultaneously with the total antioxidant content of the sample. In this chapter, basic concepts of oxidation and the role of antioxidants, as well as the types and action of different antioxidants in foods will be reviewed briefly, and the underpinning concepts and evidence for health benefits of increased intake of dietary antioxidants will be discussed, with some focus on vitamin C, and also in the context of our evolutionary development. The basic concepts and limitations of measuring “total antioxidant content” of food will be presented. The FRAP assay and the modified version FRASC will be described, and the total antioxidant content (as the FRAP value) of a range of foods will be presented. Finally, issues of bioavailability and redox balance will be discussed in relation to the biological significance and molecular action of antioxidants in foods, some caution and caveats are presented about overcoming biological barriers to absorption of antioxidant phytochemicals, and research needs to further our understanding in the important area of food, antioxidants, and health will be highlighted.","DOI":"10.1016/B978-0-12-800270-4.00001-8","ISSN":"1043-4526","journalAbbreviation":"Advances in Food and Nutrition Research","author":[{"family":"Benzie","given":"Iris F. F."},{"family":"Choi","given":"Siu-Wai"}],"issued":{"date-parts":[["2014",1,1]]}}}],"schema":"https://github.com/citation-style-language/schema/raw/master/csl-citation.json"} </w:instrText>
      </w:r>
      <w:r w:rsidR="002F40D6"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sz w:val="24"/>
          <w:szCs w:val="24"/>
          <w:lang w:val="en-US"/>
        </w:rPr>
        <w:t>(2,19)</w:t>
      </w:r>
      <w:r w:rsidR="002F40D6" w:rsidRPr="002E25AD">
        <w:rPr>
          <w:rFonts w:ascii="Times New Roman" w:hAnsi="Times New Roman" w:cs="Times New Roman"/>
          <w:sz w:val="24"/>
          <w:szCs w:val="24"/>
          <w:lang w:val="en-US"/>
        </w:rPr>
        <w:fldChar w:fldCharType="end"/>
      </w:r>
      <w:r w:rsidR="002F40D6" w:rsidRPr="002E25AD">
        <w:rPr>
          <w:rFonts w:ascii="Times New Roman" w:hAnsi="Times New Roman" w:cs="Times New Roman"/>
          <w:sz w:val="24"/>
          <w:szCs w:val="24"/>
          <w:lang w:val="en-US"/>
        </w:rPr>
        <w:t xml:space="preserve"> </w:t>
      </w:r>
      <w:r w:rsidR="00E47F35" w:rsidRPr="002E25AD">
        <w:rPr>
          <w:rFonts w:ascii="Times New Roman" w:hAnsi="Times New Roman" w:cs="Times New Roman"/>
          <w:sz w:val="24"/>
          <w:szCs w:val="24"/>
          <w:lang w:val="en-US"/>
        </w:rPr>
        <w:t>The FRAP value of each type of food extracted from the Antioxidant Food Table</w:t>
      </w:r>
      <w:r w:rsidR="00E164AD" w:rsidRPr="002E25AD">
        <w:rPr>
          <w:rFonts w:ascii="Times New Roman" w:hAnsi="Times New Roman" w:cs="Times New Roman"/>
          <w:sz w:val="24"/>
          <w:szCs w:val="24"/>
          <w:lang w:val="en-US"/>
        </w:rPr>
        <w:t xml:space="preserve"> (mmol/100 grams)</w:t>
      </w:r>
      <w:r w:rsidR="00E47F35" w:rsidRPr="002E25AD">
        <w:rPr>
          <w:rFonts w:ascii="Times New Roman" w:hAnsi="Times New Roman" w:cs="Times New Roman"/>
          <w:sz w:val="24"/>
          <w:szCs w:val="24"/>
          <w:lang w:val="en-US"/>
        </w:rPr>
        <w:t xml:space="preserve"> was multiplied by its consumption frequency for every participant, and we then summed these values across all dietary sources of antioxidants</w:t>
      </w:r>
      <w:r w:rsidR="00E164AD" w:rsidRPr="002E25AD">
        <w:rPr>
          <w:rFonts w:ascii="Times New Roman" w:hAnsi="Times New Roman" w:cs="Times New Roman"/>
          <w:sz w:val="24"/>
          <w:szCs w:val="24"/>
          <w:lang w:val="en-US"/>
        </w:rPr>
        <w:t xml:space="preserve"> </w:t>
      </w:r>
      <w:r w:rsidR="00AE28BC" w:rsidRPr="002E25AD">
        <w:rPr>
          <w:rFonts w:ascii="Times New Roman" w:hAnsi="Times New Roman" w:cs="Times New Roman"/>
          <w:sz w:val="24"/>
          <w:szCs w:val="24"/>
          <w:lang w:val="en-US"/>
        </w:rPr>
        <w:t xml:space="preserve">to calculate </w:t>
      </w:r>
      <w:r w:rsidR="00B03623" w:rsidRPr="002E25AD">
        <w:rPr>
          <w:rFonts w:ascii="Times New Roman" w:hAnsi="Times New Roman" w:cs="Times New Roman"/>
          <w:sz w:val="24"/>
          <w:szCs w:val="24"/>
          <w:lang w:val="en-US"/>
        </w:rPr>
        <w:t>a FRAP score for every participant representing the total dietary antioxidant capacity</w:t>
      </w:r>
      <w:r w:rsidR="003E066E" w:rsidRPr="002E25AD">
        <w:rPr>
          <w:rFonts w:ascii="Times New Roman" w:hAnsi="Times New Roman" w:cs="Times New Roman"/>
          <w:sz w:val="24"/>
          <w:szCs w:val="24"/>
          <w:lang w:val="en-US"/>
        </w:rPr>
        <w:t>. Nutrition</w:t>
      </w:r>
      <w:r w:rsidR="00E47F35" w:rsidRPr="002E25AD">
        <w:rPr>
          <w:rFonts w:ascii="Times New Roman" w:hAnsi="Times New Roman" w:cs="Times New Roman"/>
          <w:sz w:val="24"/>
          <w:szCs w:val="24"/>
          <w:lang w:val="en-US"/>
        </w:rPr>
        <w:t xml:space="preserve"> </w:t>
      </w:r>
      <w:r w:rsidR="002F40D6" w:rsidRPr="002E25AD">
        <w:rPr>
          <w:rFonts w:ascii="Times New Roman" w:hAnsi="Times New Roman" w:cs="Times New Roman"/>
          <w:sz w:val="24"/>
          <w:szCs w:val="24"/>
          <w:lang w:val="en-US"/>
        </w:rPr>
        <w:t>scientists</w:t>
      </w:r>
      <w:r w:rsidR="003E066E" w:rsidRPr="002E25AD">
        <w:rPr>
          <w:rFonts w:ascii="Times New Roman" w:hAnsi="Times New Roman" w:cs="Times New Roman"/>
          <w:sz w:val="24"/>
          <w:szCs w:val="24"/>
          <w:lang w:val="en-US"/>
        </w:rPr>
        <w:t xml:space="preserve"> from Wageningen University, the Netherlands, </w:t>
      </w:r>
      <w:r w:rsidR="00E47F35" w:rsidRPr="002E25AD">
        <w:rPr>
          <w:rFonts w:ascii="Times New Roman" w:hAnsi="Times New Roman" w:cs="Times New Roman"/>
          <w:sz w:val="24"/>
          <w:szCs w:val="24"/>
          <w:lang w:val="en-US"/>
        </w:rPr>
        <w:t xml:space="preserve">were consulted to determine the closest Dutch food equivalent for products </w:t>
      </w:r>
      <w:r w:rsidR="00B83E75" w:rsidRPr="002E25AD">
        <w:rPr>
          <w:rFonts w:ascii="Times New Roman" w:hAnsi="Times New Roman" w:cs="Times New Roman"/>
          <w:sz w:val="24"/>
          <w:szCs w:val="24"/>
          <w:lang w:val="en-US"/>
        </w:rPr>
        <w:t>that</w:t>
      </w:r>
      <w:r w:rsidR="00E47F35" w:rsidRPr="002E25AD">
        <w:rPr>
          <w:rFonts w:ascii="Times New Roman" w:hAnsi="Times New Roman" w:cs="Times New Roman"/>
          <w:sz w:val="24"/>
          <w:szCs w:val="24"/>
          <w:lang w:val="en-US"/>
        </w:rPr>
        <w:t xml:space="preserve"> had different FRAP measurements listed for different manufacturers in the Antioxidant Food Table. </w:t>
      </w:r>
      <w:r w:rsidR="00203F71" w:rsidRPr="002E25AD">
        <w:rPr>
          <w:rFonts w:ascii="Times New Roman" w:hAnsi="Times New Roman" w:cs="Times New Roman"/>
          <w:sz w:val="24"/>
          <w:szCs w:val="24"/>
          <w:lang w:val="en-US"/>
        </w:rPr>
        <w:t>No</w:t>
      </w:r>
      <w:r w:rsidR="00E47F35" w:rsidRPr="002E25AD">
        <w:rPr>
          <w:rFonts w:ascii="Times New Roman" w:hAnsi="Times New Roman" w:cs="Times New Roman"/>
          <w:sz w:val="24"/>
          <w:szCs w:val="24"/>
          <w:lang w:val="en-US"/>
        </w:rPr>
        <w:t xml:space="preserve"> detailed data </w:t>
      </w:r>
      <w:r w:rsidR="00452691" w:rsidRPr="002E25AD">
        <w:rPr>
          <w:rFonts w:ascii="Times New Roman" w:hAnsi="Times New Roman" w:cs="Times New Roman"/>
          <w:sz w:val="24"/>
          <w:szCs w:val="24"/>
          <w:lang w:val="en-US"/>
        </w:rPr>
        <w:t xml:space="preserve">were </w:t>
      </w:r>
      <w:r w:rsidR="00E47F35" w:rsidRPr="002E25AD">
        <w:rPr>
          <w:rFonts w:ascii="Times New Roman" w:hAnsi="Times New Roman" w:cs="Times New Roman"/>
          <w:sz w:val="24"/>
          <w:szCs w:val="24"/>
          <w:lang w:val="en-US"/>
        </w:rPr>
        <w:t xml:space="preserve">available on the consumption of </w:t>
      </w:r>
      <w:r w:rsidR="003E066E" w:rsidRPr="002E25AD">
        <w:rPr>
          <w:rFonts w:ascii="Times New Roman" w:hAnsi="Times New Roman" w:cs="Times New Roman"/>
          <w:sz w:val="24"/>
          <w:szCs w:val="24"/>
          <w:lang w:val="en-US"/>
        </w:rPr>
        <w:t>food</w:t>
      </w:r>
      <w:r w:rsidR="00E47F35" w:rsidRPr="002E25AD">
        <w:rPr>
          <w:rFonts w:ascii="Times New Roman" w:hAnsi="Times New Roman" w:cs="Times New Roman"/>
          <w:sz w:val="24"/>
          <w:szCs w:val="24"/>
          <w:lang w:val="en-US"/>
        </w:rPr>
        <w:t xml:space="preserve"> supplements in our study, </w:t>
      </w:r>
      <w:r w:rsidR="00203F71" w:rsidRPr="002E25AD">
        <w:rPr>
          <w:rFonts w:ascii="Times New Roman" w:hAnsi="Times New Roman" w:cs="Times New Roman"/>
          <w:sz w:val="24"/>
          <w:szCs w:val="24"/>
          <w:lang w:val="en-US"/>
        </w:rPr>
        <w:t>so</w:t>
      </w:r>
      <w:r w:rsidR="00FC350C" w:rsidRPr="002E25AD">
        <w:rPr>
          <w:rFonts w:ascii="Times New Roman" w:hAnsi="Times New Roman" w:cs="Times New Roman"/>
          <w:sz w:val="24"/>
          <w:szCs w:val="24"/>
          <w:lang w:val="en-US"/>
        </w:rPr>
        <w:t xml:space="preserve"> we did not include food supplements </w:t>
      </w:r>
      <w:r w:rsidR="00E47F35" w:rsidRPr="002E25AD">
        <w:rPr>
          <w:rFonts w:ascii="Times New Roman" w:hAnsi="Times New Roman" w:cs="Times New Roman"/>
          <w:sz w:val="24"/>
          <w:szCs w:val="24"/>
          <w:lang w:val="en-US"/>
        </w:rPr>
        <w:t xml:space="preserve">in the </w:t>
      </w:r>
      <w:r w:rsidR="00203F71" w:rsidRPr="002E25AD">
        <w:rPr>
          <w:rFonts w:ascii="Times New Roman" w:hAnsi="Times New Roman" w:cs="Times New Roman"/>
          <w:sz w:val="24"/>
          <w:szCs w:val="24"/>
          <w:lang w:val="en-US"/>
        </w:rPr>
        <w:t xml:space="preserve">calculation </w:t>
      </w:r>
      <w:r w:rsidR="00E47F35" w:rsidRPr="002E25AD">
        <w:rPr>
          <w:rFonts w:ascii="Times New Roman" w:hAnsi="Times New Roman" w:cs="Times New Roman"/>
          <w:sz w:val="24"/>
          <w:szCs w:val="24"/>
          <w:lang w:val="en-US"/>
        </w:rPr>
        <w:t>of</w:t>
      </w:r>
      <w:r w:rsidR="00203F71" w:rsidRPr="002E25AD">
        <w:rPr>
          <w:rFonts w:ascii="Times New Roman" w:hAnsi="Times New Roman" w:cs="Times New Roman"/>
          <w:sz w:val="24"/>
          <w:szCs w:val="24"/>
          <w:lang w:val="en-US"/>
        </w:rPr>
        <w:t xml:space="preserve"> the</w:t>
      </w:r>
      <w:r w:rsidR="00E47F35" w:rsidRPr="002E25AD">
        <w:rPr>
          <w:rFonts w:ascii="Times New Roman" w:hAnsi="Times New Roman" w:cs="Times New Roman"/>
          <w:sz w:val="24"/>
          <w:szCs w:val="24"/>
          <w:lang w:val="en-US"/>
        </w:rPr>
        <w:t xml:space="preserve"> total dietary antioxidant capacity.</w:t>
      </w:r>
      <w:r w:rsidR="00B03623" w:rsidRPr="002E25AD">
        <w:rPr>
          <w:rFonts w:ascii="Times New Roman" w:hAnsi="Times New Roman" w:cs="Times New Roman"/>
          <w:sz w:val="24"/>
          <w:szCs w:val="24"/>
          <w:lang w:val="en-US"/>
        </w:rPr>
        <w:t xml:space="preserve"> </w:t>
      </w:r>
    </w:p>
    <w:p w14:paraId="78D69F70" w14:textId="138328B3" w:rsidR="00E47F35" w:rsidRPr="002E25AD" w:rsidRDefault="00E47F35" w:rsidP="0027506D">
      <w:pPr>
        <w:spacing w:line="480" w:lineRule="auto"/>
        <w:rPr>
          <w:rFonts w:ascii="Times New Roman" w:hAnsi="Times New Roman" w:cs="Times New Roman"/>
          <w:b/>
          <w:sz w:val="24"/>
          <w:szCs w:val="24"/>
          <w:lang w:val="en-US"/>
        </w:rPr>
      </w:pPr>
      <w:r w:rsidRPr="002E25AD">
        <w:rPr>
          <w:rFonts w:ascii="Times New Roman" w:hAnsi="Times New Roman" w:cs="Times New Roman"/>
          <w:b/>
          <w:sz w:val="24"/>
          <w:szCs w:val="24"/>
          <w:lang w:val="en-US"/>
        </w:rPr>
        <w:t>Ascertainment of type 2 diabetes mellitus, prediabet</w:t>
      </w:r>
      <w:r w:rsidR="00546800" w:rsidRPr="002E25AD">
        <w:rPr>
          <w:rFonts w:ascii="Times New Roman" w:hAnsi="Times New Roman" w:cs="Times New Roman"/>
          <w:b/>
          <w:sz w:val="24"/>
          <w:szCs w:val="24"/>
          <w:lang w:val="en-US"/>
        </w:rPr>
        <w:t xml:space="preserve">es, </w:t>
      </w:r>
      <w:r w:rsidRPr="002E25AD">
        <w:rPr>
          <w:rFonts w:ascii="Times New Roman" w:hAnsi="Times New Roman" w:cs="Times New Roman"/>
          <w:b/>
          <w:sz w:val="24"/>
          <w:szCs w:val="24"/>
          <w:lang w:val="en-US"/>
        </w:rPr>
        <w:t>normoglycaemia</w:t>
      </w:r>
      <w:r w:rsidR="00546800" w:rsidRPr="002E25AD">
        <w:rPr>
          <w:rFonts w:ascii="Times New Roman" w:hAnsi="Times New Roman" w:cs="Times New Roman"/>
          <w:b/>
          <w:sz w:val="24"/>
          <w:szCs w:val="24"/>
          <w:lang w:val="en-US"/>
        </w:rPr>
        <w:t xml:space="preserve"> and HOMA-IR</w:t>
      </w:r>
    </w:p>
    <w:p w14:paraId="729B44B6" w14:textId="636140EF" w:rsidR="00546800" w:rsidRPr="002E25AD" w:rsidRDefault="004C15BD" w:rsidP="00451A39">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Fasting blood samples were obtained from participants during their visit to the Rotterdam Study research facility by means of venipuncture. The samples were stored a</w:t>
      </w:r>
      <w:r w:rsidR="00546800" w:rsidRPr="002E25AD">
        <w:rPr>
          <w:rFonts w:ascii="Times New Roman" w:hAnsi="Times New Roman" w:cs="Times New Roman"/>
          <w:sz w:val="24"/>
          <w:szCs w:val="24"/>
          <w:lang w:val="en-US"/>
        </w:rPr>
        <w:t xml:space="preserve">t -80° Celsius in 5mL aliquots. </w:t>
      </w:r>
      <w:r w:rsidRPr="002E25AD">
        <w:rPr>
          <w:rFonts w:ascii="Times New Roman" w:hAnsi="Times New Roman" w:cs="Times New Roman"/>
          <w:sz w:val="24"/>
          <w:szCs w:val="24"/>
          <w:lang w:val="en-US"/>
        </w:rPr>
        <w:t>Glucose levels were measured using the glucose hexokinase method within one week of sampling.</w:t>
      </w:r>
      <w:r w:rsidR="0007133A"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a2mdhicte0h","properties":{"formattedCitation":"(20)","plainCitation":"(20)","noteIndex":0},"citationItems":[{"id":53,"uris":["http://zotero.org/users/3710342/items/MJ25VSX4"],"uri":["http://zotero.org/users/3710342/items/MJ25VSX4"],"itemData":{"id":53,"type":"article-journal","title":"Simple automated determination of serum or plasma glucose by a hexokinase-glucose-6 -phosphate dehydrogenase method","container-title":"Clin Chem","page":"509-15","volume":"18","issue":"6","archive_location":"5026763","ISSN":"0009-9147 (Print) 0009-9147 (Linking)","title-short":"Simple automated determination of serum or plasma glucose by a hexokinase-glucose-6 -phosphate dehydrogenase method","language":"eng","author":[{"family":"Neeley","given":"W. E."}],"issued":{"date-parts":[["1972",6]]}}}],"schema":"https://github.com/citation-style-language/schema/raw/master/csl-citation.json"} </w:instrText>
      </w:r>
      <w:r w:rsidR="0007133A"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sz w:val="24"/>
          <w:szCs w:val="24"/>
          <w:lang w:val="en-US"/>
        </w:rPr>
        <w:t>(20)</w:t>
      </w:r>
      <w:r w:rsidR="0007133A" w:rsidRPr="002E25AD">
        <w:rPr>
          <w:rFonts w:ascii="Times New Roman" w:hAnsi="Times New Roman" w:cs="Times New Roman"/>
          <w:sz w:val="24"/>
          <w:szCs w:val="24"/>
          <w:lang w:val="en-US"/>
        </w:rPr>
        <w:fldChar w:fldCharType="end"/>
      </w:r>
      <w:r w:rsidR="00546800" w:rsidRPr="002E25AD">
        <w:rPr>
          <w:rFonts w:ascii="Times New Roman" w:hAnsi="Times New Roman" w:cs="Times New Roman"/>
          <w:sz w:val="24"/>
          <w:szCs w:val="24"/>
          <w:lang w:val="en-US"/>
        </w:rPr>
        <w:t xml:space="preserve"> In 2008, insulin levels were measured in these samples </w:t>
      </w:r>
      <w:r w:rsidR="00CC7419" w:rsidRPr="002E25AD">
        <w:rPr>
          <w:rFonts w:ascii="Times New Roman" w:hAnsi="Times New Roman" w:cs="Times New Roman"/>
          <w:sz w:val="24"/>
          <w:szCs w:val="24"/>
          <w:shd w:val="clear" w:color="auto" w:fill="FFFFFF"/>
          <w:lang w:val="en-US" w:eastAsia="en-GB"/>
        </w:rPr>
        <w:t>by means of</w:t>
      </w:r>
      <w:r w:rsidR="00546800" w:rsidRPr="002E25AD">
        <w:rPr>
          <w:rFonts w:ascii="Times New Roman" w:hAnsi="Times New Roman" w:cs="Times New Roman"/>
          <w:sz w:val="24"/>
          <w:szCs w:val="24"/>
          <w:shd w:val="clear" w:color="auto" w:fill="FFFFFF"/>
          <w:lang w:val="en-US" w:eastAsia="en-GB"/>
        </w:rPr>
        <w:t xml:space="preserve"> electrochemiluminescence immunoassay technology </w:t>
      </w:r>
      <w:r w:rsidR="00546800" w:rsidRPr="002E25AD">
        <w:rPr>
          <w:rFonts w:ascii="Times New Roman" w:hAnsi="Times New Roman" w:cs="Times New Roman"/>
          <w:sz w:val="24"/>
          <w:szCs w:val="24"/>
          <w:lang w:val="en-US"/>
        </w:rPr>
        <w:t xml:space="preserve">using a </w:t>
      </w:r>
      <w:r w:rsidR="00546800" w:rsidRPr="002E25AD">
        <w:rPr>
          <w:rFonts w:ascii="Times New Roman" w:hAnsi="Times New Roman" w:cs="Times New Roman"/>
          <w:sz w:val="24"/>
          <w:szCs w:val="24"/>
          <w:shd w:val="clear" w:color="auto" w:fill="FFFFFF"/>
          <w:lang w:val="en-US" w:eastAsia="en-GB"/>
        </w:rPr>
        <w:t>Roc</w:t>
      </w:r>
      <w:r w:rsidR="00CC7419" w:rsidRPr="002E25AD">
        <w:rPr>
          <w:rFonts w:ascii="Times New Roman" w:hAnsi="Times New Roman" w:cs="Times New Roman"/>
          <w:sz w:val="24"/>
          <w:szCs w:val="24"/>
          <w:shd w:val="clear" w:color="auto" w:fill="FFFFFF"/>
          <w:lang w:val="en-US" w:eastAsia="en-GB"/>
        </w:rPr>
        <w:t xml:space="preserve">he Modular Analytics E170 </w:t>
      </w:r>
      <w:r w:rsidR="00CC7419" w:rsidRPr="002E25AD">
        <w:rPr>
          <w:rFonts w:ascii="Times New Roman" w:hAnsi="Times New Roman" w:cs="Times New Roman"/>
          <w:sz w:val="24"/>
          <w:szCs w:val="24"/>
          <w:shd w:val="clear" w:color="auto" w:fill="FFFFFF"/>
          <w:lang w:val="en-US" w:eastAsia="en-GB"/>
        </w:rPr>
        <w:lastRenderedPageBreak/>
        <w:t>analyze</w:t>
      </w:r>
      <w:r w:rsidR="00546800" w:rsidRPr="002E25AD">
        <w:rPr>
          <w:rFonts w:ascii="Times New Roman" w:hAnsi="Times New Roman" w:cs="Times New Roman"/>
          <w:sz w:val="24"/>
          <w:szCs w:val="24"/>
          <w:shd w:val="clear" w:color="auto" w:fill="FFFFFF"/>
          <w:lang w:val="en-US" w:eastAsia="en-GB"/>
        </w:rPr>
        <w:t xml:space="preserve">r (Roche Diagnostics GmbH, Mannheim, Germany). </w:t>
      </w:r>
      <w:r w:rsidR="006F6EF2" w:rsidRPr="002E25AD">
        <w:rPr>
          <w:rFonts w:ascii="Times New Roman" w:hAnsi="Times New Roman" w:cs="Times New Roman"/>
          <w:sz w:val="24"/>
          <w:szCs w:val="24"/>
          <w:shd w:val="clear" w:color="auto" w:fill="FFFFFF"/>
          <w:lang w:val="en-US" w:eastAsia="en-GB"/>
        </w:rPr>
        <w:t xml:space="preserve">We calculated </w:t>
      </w:r>
      <w:r w:rsidR="00B83E75" w:rsidRPr="002E25AD">
        <w:rPr>
          <w:rFonts w:ascii="Times New Roman" w:hAnsi="Times New Roman" w:cs="Times New Roman"/>
          <w:sz w:val="24"/>
          <w:szCs w:val="24"/>
          <w:lang w:val="en-US"/>
        </w:rPr>
        <w:t xml:space="preserve">HOMA-IR as the product of fasting serum glucose (mmol/L) and fasting serum insulin (mU/L) levels divided by 22.5. </w:t>
      </w:r>
      <w:r w:rsidR="00546800" w:rsidRPr="002E25AD">
        <w:rPr>
          <w:rFonts w:ascii="Times New Roman" w:hAnsi="Times New Roman" w:cs="Times New Roman"/>
          <w:sz w:val="24"/>
          <w:szCs w:val="24"/>
          <w:shd w:val="clear" w:color="auto" w:fill="FFFFFF"/>
          <w:lang w:val="en-US" w:eastAsia="en-GB"/>
        </w:rPr>
        <w:t xml:space="preserve">All measurements were performed at the </w:t>
      </w:r>
      <w:r w:rsidR="00546800" w:rsidRPr="002E25AD">
        <w:rPr>
          <w:rFonts w:ascii="Times New Roman" w:hAnsi="Times New Roman" w:cs="Times New Roman"/>
          <w:sz w:val="24"/>
          <w:szCs w:val="24"/>
          <w:lang w:val="en-US"/>
        </w:rPr>
        <w:t xml:space="preserve">clinical chemistry laboratory of Erasmus University Medical Center. </w:t>
      </w:r>
      <w:r w:rsidR="00FC350C" w:rsidRPr="002E25AD">
        <w:rPr>
          <w:rFonts w:ascii="Times New Roman" w:hAnsi="Times New Roman" w:cs="Times New Roman"/>
          <w:sz w:val="24"/>
          <w:szCs w:val="24"/>
          <w:lang w:val="en-US"/>
        </w:rPr>
        <w:t>We obtained d</w:t>
      </w:r>
      <w:r w:rsidR="005242B7" w:rsidRPr="002E25AD">
        <w:rPr>
          <w:rFonts w:ascii="Times New Roman" w:hAnsi="Times New Roman" w:cs="Times New Roman"/>
          <w:sz w:val="24"/>
          <w:szCs w:val="24"/>
          <w:lang w:val="en-US"/>
        </w:rPr>
        <w:t>ata on the use of glucose-lowering medication through structured home interviews as well as pharmacy dispensing records.</w:t>
      </w:r>
      <w:r w:rsidRPr="002E25AD">
        <w:rPr>
          <w:rFonts w:ascii="Times New Roman" w:hAnsi="Times New Roman" w:cs="Times New Roman"/>
          <w:sz w:val="24"/>
          <w:szCs w:val="24"/>
          <w:lang w:val="en-US"/>
        </w:rPr>
        <w:t xml:space="preserve"> In accordance with WHO guidelines and the Rotterdam Study protocol, </w:t>
      </w:r>
      <w:r w:rsidR="00FC350C" w:rsidRPr="002E25AD">
        <w:rPr>
          <w:rFonts w:ascii="Times New Roman" w:hAnsi="Times New Roman" w:cs="Times New Roman"/>
          <w:sz w:val="24"/>
          <w:szCs w:val="24"/>
          <w:lang w:val="en-US"/>
        </w:rPr>
        <w:t xml:space="preserve">we defined </w:t>
      </w:r>
      <w:r w:rsidRPr="002E25AD">
        <w:rPr>
          <w:rFonts w:ascii="Times New Roman" w:hAnsi="Times New Roman" w:cs="Times New Roman"/>
          <w:sz w:val="24"/>
          <w:szCs w:val="24"/>
          <w:lang w:val="en-US"/>
        </w:rPr>
        <w:t>type 2 diabetes as a fasting plasma glucose level ≥ 7 mmol/L, a non-fasting plasma glucose level ≥</w:t>
      </w:r>
      <w:r w:rsidR="00722CDF" w:rsidRPr="002E25AD">
        <w:rPr>
          <w:rFonts w:ascii="Times New Roman" w:hAnsi="Times New Roman" w:cs="Times New Roman"/>
          <w:sz w:val="24"/>
          <w:szCs w:val="24"/>
          <w:lang w:val="en-US"/>
        </w:rPr>
        <w:t xml:space="preserve"> </w:t>
      </w:r>
      <w:r w:rsidRPr="002E25AD">
        <w:rPr>
          <w:rFonts w:ascii="Times New Roman" w:hAnsi="Times New Roman" w:cs="Times New Roman"/>
          <w:sz w:val="24"/>
          <w:szCs w:val="24"/>
          <w:lang w:val="en-US"/>
        </w:rPr>
        <w:t xml:space="preserve">11.1 mmol/L or the use of blood glucose lowering medication. </w:t>
      </w:r>
      <w:r w:rsidR="00FC350C" w:rsidRPr="002E25AD">
        <w:rPr>
          <w:rFonts w:ascii="Times New Roman" w:hAnsi="Times New Roman" w:cs="Times New Roman"/>
          <w:sz w:val="24"/>
          <w:szCs w:val="24"/>
          <w:lang w:val="en-US"/>
        </w:rPr>
        <w:t>We defined p</w:t>
      </w:r>
      <w:r w:rsidR="006C286A" w:rsidRPr="002E25AD">
        <w:rPr>
          <w:rFonts w:ascii="Times New Roman" w:hAnsi="Times New Roman" w:cs="Times New Roman"/>
          <w:sz w:val="24"/>
          <w:szCs w:val="24"/>
          <w:lang w:val="en-US"/>
        </w:rPr>
        <w:t xml:space="preserve">rediabetes as a fasting plasma glucose level </w:t>
      </w:r>
      <w:r w:rsidR="00F13006" w:rsidRPr="002E25AD">
        <w:rPr>
          <w:rFonts w:ascii="Times New Roman" w:hAnsi="Times New Roman" w:cs="Times New Roman"/>
          <w:sz w:val="24"/>
          <w:szCs w:val="24"/>
          <w:lang w:val="en-US"/>
        </w:rPr>
        <w:t>&gt;</w:t>
      </w:r>
      <w:r w:rsidR="006C286A" w:rsidRPr="002E25AD">
        <w:rPr>
          <w:rFonts w:ascii="Times New Roman" w:hAnsi="Times New Roman" w:cs="Times New Roman"/>
          <w:sz w:val="24"/>
          <w:szCs w:val="24"/>
          <w:lang w:val="en-US"/>
        </w:rPr>
        <w:t xml:space="preserve"> 6.0 mmol/L and </w:t>
      </w:r>
      <w:r w:rsidR="00F13006" w:rsidRPr="002E25AD">
        <w:rPr>
          <w:rFonts w:ascii="Times New Roman" w:hAnsi="Times New Roman" w:cs="Times New Roman"/>
          <w:sz w:val="24"/>
          <w:szCs w:val="24"/>
          <w:lang w:val="en-US"/>
        </w:rPr>
        <w:t>&lt;</w:t>
      </w:r>
      <w:r w:rsidR="006C286A" w:rsidRPr="002E25AD">
        <w:rPr>
          <w:rFonts w:ascii="Times New Roman" w:hAnsi="Times New Roman" w:cs="Times New Roman"/>
          <w:sz w:val="24"/>
          <w:szCs w:val="24"/>
          <w:lang w:val="en-US"/>
        </w:rPr>
        <w:t xml:space="preserve"> 7 mmol/L, or a non-fasting plasma glucose level </w:t>
      </w:r>
      <w:r w:rsidR="00F13006" w:rsidRPr="002E25AD">
        <w:rPr>
          <w:rFonts w:ascii="Times New Roman" w:hAnsi="Times New Roman" w:cs="Times New Roman"/>
          <w:sz w:val="24"/>
          <w:szCs w:val="24"/>
          <w:lang w:val="en-US"/>
        </w:rPr>
        <w:t>&gt;</w:t>
      </w:r>
      <w:r w:rsidR="006C286A" w:rsidRPr="002E25AD">
        <w:rPr>
          <w:rFonts w:ascii="Times New Roman" w:hAnsi="Times New Roman" w:cs="Times New Roman"/>
          <w:sz w:val="24"/>
          <w:szCs w:val="24"/>
          <w:lang w:val="en-US"/>
        </w:rPr>
        <w:t xml:space="preserve"> 7.7 mmol/L and </w:t>
      </w:r>
      <w:r w:rsidR="00F13006" w:rsidRPr="002E25AD">
        <w:rPr>
          <w:rFonts w:ascii="Times New Roman" w:hAnsi="Times New Roman" w:cs="Times New Roman"/>
          <w:sz w:val="24"/>
          <w:szCs w:val="24"/>
          <w:lang w:val="en-US"/>
        </w:rPr>
        <w:t>&lt;</w:t>
      </w:r>
      <w:r w:rsidR="006C286A" w:rsidRPr="002E25AD">
        <w:rPr>
          <w:rFonts w:ascii="Times New Roman" w:hAnsi="Times New Roman" w:cs="Times New Roman"/>
          <w:sz w:val="24"/>
          <w:szCs w:val="24"/>
          <w:lang w:val="en-US"/>
        </w:rPr>
        <w:t xml:space="preserve"> 11.1 mmol/L</w:t>
      </w:r>
      <w:r w:rsidR="00D20AD1" w:rsidRPr="002E25AD">
        <w:rPr>
          <w:rFonts w:ascii="Times New Roman" w:hAnsi="Times New Roman" w:cs="Times New Roman"/>
          <w:sz w:val="24"/>
          <w:szCs w:val="24"/>
          <w:lang w:val="en-US"/>
        </w:rPr>
        <w:t>.</w:t>
      </w:r>
      <w:r w:rsidR="006C286A" w:rsidRPr="002E25AD">
        <w:rPr>
          <w:rFonts w:ascii="Times New Roman" w:hAnsi="Times New Roman" w:cs="Times New Roman"/>
          <w:sz w:val="24"/>
          <w:szCs w:val="24"/>
          <w:lang w:val="en-US"/>
        </w:rPr>
        <w:t xml:space="preserve"> </w:t>
      </w:r>
      <w:r w:rsidR="00FC350C" w:rsidRPr="002E25AD">
        <w:rPr>
          <w:rFonts w:ascii="Times New Roman" w:hAnsi="Times New Roman" w:cs="Times New Roman"/>
          <w:sz w:val="24"/>
          <w:szCs w:val="24"/>
          <w:lang w:val="en-US"/>
        </w:rPr>
        <w:t>We defined n</w:t>
      </w:r>
      <w:r w:rsidR="00D20AD1" w:rsidRPr="002E25AD">
        <w:rPr>
          <w:rFonts w:ascii="Times New Roman" w:hAnsi="Times New Roman" w:cs="Times New Roman"/>
          <w:sz w:val="24"/>
          <w:szCs w:val="24"/>
          <w:lang w:val="en-US"/>
        </w:rPr>
        <w:t>ormoglycaemia as a fasting plasma glucose level ≤ 6 mmol/L.</w:t>
      </w:r>
      <w:r w:rsidR="00FF128F"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hr0s1b633","properties":{"formattedCitation":"(21)","plainCitation":"(21)","noteIndex":0},"citationItems":[{"id":137,"uris":["http://zotero.org/users/3710342/items/U4MQ6NND"],"uri":["http://zotero.org/users/3710342/items/U4MQ6NND"],"itemData":{"id":137,"type":"report","title":"Definition and diagnosis of diabetes mellitus and intermediate hyperglycaemia: Report of a WHO/IDF Consultation","publisher-place":"Geneva","page":"1-50","event-place":"Geneva","author":[{"family":"World Health Organization","given":""}],"issued":{"date-parts":[["2006"]]},"accessed":{"date-parts":[["2017",7,19]]}}}],"schema":"https://github.com/citation-style-language/schema/raw/master/csl-citation.json"} </w:instrText>
      </w:r>
      <w:r w:rsidR="00FF128F"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(21)</w:t>
      </w:r>
      <w:r w:rsidR="00FF128F" w:rsidRPr="002E25AD">
        <w:rPr>
          <w:rFonts w:ascii="Times New Roman" w:hAnsi="Times New Roman" w:cs="Times New Roman"/>
          <w:sz w:val="24"/>
          <w:szCs w:val="24"/>
          <w:lang w:val="en-US"/>
        </w:rPr>
        <w:fldChar w:fldCharType="end"/>
      </w:r>
      <w:r w:rsidR="00D20AD1" w:rsidRPr="002E25AD">
        <w:rPr>
          <w:rFonts w:ascii="Times New Roman" w:hAnsi="Times New Roman" w:cs="Times New Roman"/>
          <w:sz w:val="24"/>
          <w:szCs w:val="24"/>
          <w:lang w:val="en-US"/>
        </w:rPr>
        <w:t xml:space="preserve"> </w:t>
      </w:r>
      <w:r w:rsidRPr="002E25AD">
        <w:rPr>
          <w:rFonts w:ascii="Times New Roman" w:hAnsi="Times New Roman" w:cs="Times New Roman"/>
          <w:sz w:val="24"/>
          <w:szCs w:val="24"/>
          <w:lang w:val="en-US"/>
        </w:rPr>
        <w:t xml:space="preserve">At baseline and throughout follow-up, </w:t>
      </w:r>
      <w:r w:rsidR="00FC350C" w:rsidRPr="002E25AD">
        <w:rPr>
          <w:rFonts w:ascii="Times New Roman" w:hAnsi="Times New Roman" w:cs="Times New Roman"/>
          <w:sz w:val="24"/>
          <w:szCs w:val="24"/>
          <w:lang w:val="en-US"/>
        </w:rPr>
        <w:t xml:space="preserve">we ascertained </w:t>
      </w:r>
      <w:r w:rsidR="00722CDF" w:rsidRPr="002E25AD">
        <w:rPr>
          <w:rFonts w:ascii="Times New Roman" w:hAnsi="Times New Roman" w:cs="Times New Roman"/>
          <w:sz w:val="24"/>
          <w:szCs w:val="24"/>
          <w:lang w:val="en-US"/>
        </w:rPr>
        <w:t xml:space="preserve">prediabetes and </w:t>
      </w:r>
      <w:r w:rsidRPr="002E25AD">
        <w:rPr>
          <w:rFonts w:ascii="Times New Roman" w:hAnsi="Times New Roman" w:cs="Times New Roman"/>
          <w:sz w:val="24"/>
          <w:szCs w:val="24"/>
          <w:lang w:val="en-US"/>
        </w:rPr>
        <w:t xml:space="preserve">type 2 diabetes cases </w:t>
      </w:r>
      <w:r w:rsidR="00E70468" w:rsidRPr="002E25AD">
        <w:rPr>
          <w:rFonts w:ascii="Times New Roman" w:hAnsi="Times New Roman" w:cs="Times New Roman"/>
          <w:sz w:val="24"/>
          <w:szCs w:val="24"/>
          <w:lang w:val="en-US"/>
        </w:rPr>
        <w:t>using records from general practitioners, hospital discharge letters and the glucose measurements performed as part of the Rotterdam Study.</w:t>
      </w:r>
      <w:r w:rsidR="00E70468"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CsZxOURA","properties":{"formattedCitation":"(22)","plainCitation":"(22)","noteIndex":0},"citationItems":[{"id":69,"uris":["http://zotero.org/users/3710342/items/W6QVD6VW"],"uri":["http://zotero.org/users/3710342/items/W6QVD6VW"],"itemData":{"id":69,"type":"article-journal","title":"Lifetime risk of developing impaired glucose metabolism and eventual progression from prediabetes to type 2 diabetes: a prospective cohort study","container-title":"Lancet Diabetes Endocrinol","page":"44-51","volume":"4","issue":"1","archive_location":"26575606","DOI":"10.1016/S2213-8587(15)00362-9","ISSN":"2213-8595 (Electronic) 2213-8587 (Linking)","title-short":"Lifetime risk of developing impaired glucose metabolism and eventual progression from prediabetes to type 2 diabetes: a prospective cohort study","journalAbbreviation":"The lancet. Diabetes &amp; endocrinology","author":[{"family":"Ligthart","given":"S."},{"family":"Herpt","given":"T. T.","non-dropping-particle":"van"},{"family":"Leening","given":"M. J."},{"family":"Kavousi","given":"M."},{"family":"Hofman","given":"A."},{"family":"Stricker","given":"B. H."},{"family":"Hoek","given":"M.","non-dropping-particle":"van"},{"family":"Sijbrands","given":"E. J."},{"family":"Franco","given":"O. H."},{"family":"Dehghan","given":"A."}],"issued":{"date-parts":[["2016",1]]}}}],"schema":"https://github.com/citation-style-language/schema/raw/master/csl-citation.json"} </w:instrText>
      </w:r>
      <w:r w:rsidR="00E70468"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sz w:val="24"/>
          <w:szCs w:val="24"/>
          <w:lang w:val="en-US"/>
        </w:rPr>
        <w:t>(22)</w:t>
      </w:r>
      <w:r w:rsidR="00E70468" w:rsidRPr="002E25AD">
        <w:rPr>
          <w:rFonts w:ascii="Times New Roman" w:hAnsi="Times New Roman" w:cs="Times New Roman"/>
          <w:sz w:val="24"/>
          <w:szCs w:val="24"/>
          <w:lang w:val="en-US"/>
        </w:rPr>
        <w:fldChar w:fldCharType="end"/>
      </w:r>
      <w:r w:rsidR="00E70468" w:rsidRPr="002E25AD">
        <w:rPr>
          <w:rFonts w:ascii="Times New Roman" w:hAnsi="Times New Roman" w:cs="Times New Roman"/>
          <w:sz w:val="24"/>
          <w:szCs w:val="24"/>
          <w:lang w:val="en-US"/>
        </w:rPr>
        <w:t xml:space="preserve"> </w:t>
      </w:r>
      <w:r w:rsidR="00D20AD1" w:rsidRPr="002E25AD">
        <w:rPr>
          <w:rFonts w:ascii="Times New Roman" w:hAnsi="Times New Roman" w:cs="Times New Roman"/>
          <w:sz w:val="24"/>
          <w:szCs w:val="24"/>
          <w:lang w:val="en-US"/>
        </w:rPr>
        <w:t>Two physicians independently assessed all potential prediabetes and type 2 diabetes cases</w:t>
      </w:r>
      <w:r w:rsidR="002F40D6" w:rsidRPr="002E25AD">
        <w:rPr>
          <w:rFonts w:ascii="Times New Roman" w:hAnsi="Times New Roman" w:cs="Times New Roman"/>
          <w:sz w:val="24"/>
          <w:szCs w:val="24"/>
          <w:lang w:val="en-US"/>
        </w:rPr>
        <w:t xml:space="preserve"> and consulted</w:t>
      </w:r>
      <w:r w:rsidR="00D20AD1" w:rsidRPr="002E25AD">
        <w:rPr>
          <w:rFonts w:ascii="Times New Roman" w:hAnsi="Times New Roman" w:cs="Times New Roman"/>
          <w:sz w:val="24"/>
          <w:szCs w:val="24"/>
          <w:lang w:val="en-US"/>
        </w:rPr>
        <w:t xml:space="preserve"> an endocrinologist in case of disagreement.</w:t>
      </w:r>
      <w:r w:rsidR="00D20AD1"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a1dskjh8r07","properties":{"formattedCitation":"(22)","plainCitation":"(22)","noteIndex":0},"citationItems":[{"id":69,"uris":["http://zotero.org/users/3710342/items/W6QVD6VW"],"uri":["http://zotero.org/users/3710342/items/W6QVD6VW"],"itemData":{"id":69,"type":"article-journal","title":"Lifetime risk of developing impaired glucose metabolism and eventual progression from prediabetes to type 2 diabetes: a prospective cohort study","container-title":"Lancet Diabetes Endocrinol","page":"44-51","volume":"4","issue":"1","archive_location":"26575606","DOI":"10.1016/S2213-8587(15)00362-9","ISSN":"2213-8595 (Electronic) 2213-8587 (Linking)","title-short":"Lifetime risk of developing impaired glucose metabolism and eventual progression from prediabetes to type 2 diabetes: a prospective cohort study","journalAbbreviation":"The lancet. Diabetes &amp; endocrinology","author":[{"family":"Ligthart","given":"S."},{"family":"Herpt","given":"T. T.","non-dropping-particle":"van"},{"family":"Leening","given":"M. J."},{"family":"Kavousi","given":"M."},{"family":"Hofman","given":"A."},{"family":"Stricker","given":"B. H."},{"family":"Hoek","given":"M.","non-dropping-particle":"van"},{"family":"Sijbrands","given":"E. J."},{"family":"Franco","given":"O. H."},{"family":"Dehghan","given":"A."}],"issued":{"date-parts":[["2016",1]]}}}],"schema":"https://github.com/citation-style-language/schema/raw/master/csl-citation.json"} </w:instrText>
      </w:r>
      <w:r w:rsidR="00D20AD1"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sz w:val="24"/>
          <w:szCs w:val="24"/>
          <w:lang w:val="en-US"/>
        </w:rPr>
        <w:t>(22)</w:t>
      </w:r>
      <w:r w:rsidR="00D20AD1" w:rsidRPr="002E25AD">
        <w:rPr>
          <w:rFonts w:ascii="Times New Roman" w:hAnsi="Times New Roman" w:cs="Times New Roman"/>
          <w:sz w:val="24"/>
          <w:szCs w:val="24"/>
          <w:lang w:val="en-US"/>
        </w:rPr>
        <w:fldChar w:fldCharType="end"/>
      </w:r>
      <w:r w:rsidR="00451A39" w:rsidRPr="002E25AD">
        <w:rPr>
          <w:rFonts w:ascii="Times New Roman" w:hAnsi="Times New Roman" w:cs="Times New Roman"/>
          <w:sz w:val="24"/>
          <w:szCs w:val="24"/>
          <w:lang w:val="en-US"/>
        </w:rPr>
        <w:t xml:space="preserve"> Serum glucose levels and incident cases of type 2 diabetes and prediabetes were recorded from the third examination round of the first cohort (RS-I-3) and the baseline examination rounds from the second and third cohort (RS-II-1 and RS-III-1) onwards. Hence, these rounds were used as the baseline for follow-up in our analyses. </w:t>
      </w:r>
    </w:p>
    <w:p w14:paraId="529F9DB7" w14:textId="77777777" w:rsidR="00D20AD1" w:rsidRPr="002E25AD" w:rsidRDefault="004A48E1" w:rsidP="0027506D">
      <w:pPr>
        <w:spacing w:line="480" w:lineRule="auto"/>
        <w:rPr>
          <w:rFonts w:ascii="Times New Roman" w:hAnsi="Times New Roman" w:cs="Times New Roman"/>
          <w:b/>
          <w:sz w:val="28"/>
          <w:szCs w:val="24"/>
          <w:lang w:val="en-US"/>
        </w:rPr>
      </w:pPr>
      <w:r w:rsidRPr="002E25AD">
        <w:rPr>
          <w:rFonts w:ascii="Times New Roman" w:hAnsi="Times New Roman" w:cs="Times New Roman"/>
          <w:b/>
          <w:sz w:val="28"/>
          <w:szCs w:val="24"/>
          <w:lang w:val="en-US"/>
        </w:rPr>
        <w:t>Covariates</w:t>
      </w:r>
    </w:p>
    <w:p w14:paraId="507263A0" w14:textId="3C5DE602" w:rsidR="00E164AD" w:rsidRPr="002E25AD" w:rsidRDefault="0027506D" w:rsidP="00CC6A5A">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We considered the following potentially confounding variables </w:t>
      </w:r>
      <w:r w:rsidR="00E164AD" w:rsidRPr="002E25AD">
        <w:rPr>
          <w:rFonts w:ascii="Times New Roman" w:hAnsi="Times New Roman" w:cs="Times New Roman"/>
          <w:sz w:val="24"/>
          <w:szCs w:val="24"/>
          <w:lang w:val="en-US"/>
        </w:rPr>
        <w:t>our analyses</w:t>
      </w:r>
      <w:r w:rsidR="00D17054" w:rsidRPr="002E25AD">
        <w:rPr>
          <w:rFonts w:ascii="Times New Roman" w:hAnsi="Times New Roman" w:cs="Times New Roman"/>
          <w:sz w:val="24"/>
          <w:szCs w:val="24"/>
          <w:lang w:val="en-US"/>
        </w:rPr>
        <w:t>, based on theory and previous literature</w:t>
      </w:r>
      <w:r w:rsidRPr="002E25AD">
        <w:rPr>
          <w:rFonts w:ascii="Times New Roman" w:hAnsi="Times New Roman" w:cs="Times New Roman"/>
          <w:sz w:val="24"/>
          <w:szCs w:val="24"/>
          <w:lang w:val="en-US"/>
        </w:rPr>
        <w:t xml:space="preserve">: age, sex, body mass index (BMI), </w:t>
      </w:r>
      <w:r w:rsidR="00722CDF" w:rsidRPr="002E25AD">
        <w:rPr>
          <w:rFonts w:ascii="Times New Roman" w:hAnsi="Times New Roman" w:cs="Times New Roman"/>
          <w:sz w:val="24"/>
          <w:szCs w:val="24"/>
          <w:lang w:val="en-US"/>
        </w:rPr>
        <w:t>hypertension,</w:t>
      </w:r>
      <w:r w:rsidRPr="002E25AD">
        <w:rPr>
          <w:rFonts w:ascii="Times New Roman" w:hAnsi="Times New Roman" w:cs="Times New Roman"/>
          <w:sz w:val="24"/>
          <w:szCs w:val="24"/>
          <w:lang w:val="en-US"/>
        </w:rPr>
        <w:t xml:space="preserve"> </w:t>
      </w:r>
      <w:r w:rsidR="00722CDF" w:rsidRPr="002E25AD">
        <w:rPr>
          <w:rFonts w:ascii="Times New Roman" w:hAnsi="Times New Roman" w:cs="Times New Roman"/>
          <w:sz w:val="24"/>
          <w:szCs w:val="24"/>
          <w:lang w:val="en-US"/>
        </w:rPr>
        <w:t xml:space="preserve">dyslipidemia, </w:t>
      </w:r>
      <w:r w:rsidR="00267C6D" w:rsidRPr="002E25AD">
        <w:rPr>
          <w:rFonts w:ascii="Times New Roman" w:hAnsi="Times New Roman" w:cs="Times New Roman"/>
          <w:sz w:val="24"/>
          <w:szCs w:val="24"/>
          <w:lang w:val="en-US"/>
        </w:rPr>
        <w:t xml:space="preserve">highest attained level of education, degree of physical activity, smoking status, total daily energy intake, daily alcohol intake and degree of adherence to guidelines for a healthy diet. </w:t>
      </w:r>
      <w:r w:rsidR="00267C6D" w:rsidRPr="002E25AD">
        <w:rPr>
          <w:rFonts w:ascii="Times New Roman" w:hAnsi="Times New Roman" w:cs="Times New Roman"/>
          <w:sz w:val="24"/>
          <w:szCs w:val="24"/>
          <w:lang w:val="en-US"/>
        </w:rPr>
        <w:lastRenderedPageBreak/>
        <w:t xml:space="preserve">Anthropomorphic characteristics were recorded </w:t>
      </w:r>
      <w:r w:rsidR="00CC6A5A" w:rsidRPr="002E25AD">
        <w:rPr>
          <w:rFonts w:ascii="Times New Roman" w:hAnsi="Times New Roman" w:cs="Times New Roman"/>
          <w:sz w:val="24"/>
          <w:szCs w:val="24"/>
          <w:lang w:val="en-US"/>
        </w:rPr>
        <w:t xml:space="preserve">during participants’ visits to the </w:t>
      </w:r>
      <w:r w:rsidR="00267C6D" w:rsidRPr="002E25AD">
        <w:rPr>
          <w:rFonts w:ascii="Times New Roman" w:hAnsi="Times New Roman" w:cs="Times New Roman"/>
          <w:sz w:val="24"/>
          <w:szCs w:val="24"/>
          <w:lang w:val="en-US"/>
        </w:rPr>
        <w:t xml:space="preserve">Rotterdam Study research </w:t>
      </w:r>
      <w:r w:rsidR="00CC6A5A" w:rsidRPr="002E25AD">
        <w:rPr>
          <w:rFonts w:ascii="Times New Roman" w:hAnsi="Times New Roman" w:cs="Times New Roman"/>
          <w:sz w:val="24"/>
          <w:szCs w:val="24"/>
          <w:lang w:val="en-US"/>
        </w:rPr>
        <w:t>facility</w:t>
      </w:r>
      <w:r w:rsidR="00267C6D" w:rsidRPr="002E25AD">
        <w:rPr>
          <w:rFonts w:ascii="Times New Roman" w:hAnsi="Times New Roman" w:cs="Times New Roman"/>
          <w:sz w:val="24"/>
          <w:szCs w:val="24"/>
          <w:lang w:val="en-US"/>
        </w:rPr>
        <w:t xml:space="preserve">. </w:t>
      </w:r>
      <w:r w:rsidR="00FC350C" w:rsidRPr="002E25AD">
        <w:rPr>
          <w:rFonts w:ascii="Times New Roman" w:hAnsi="Times New Roman" w:cs="Times New Roman"/>
          <w:sz w:val="24"/>
          <w:szCs w:val="24"/>
          <w:lang w:val="en-US"/>
        </w:rPr>
        <w:t xml:space="preserve">We calculated </w:t>
      </w:r>
      <w:r w:rsidR="00CC6A5A" w:rsidRPr="002E25AD">
        <w:rPr>
          <w:rFonts w:ascii="Times New Roman" w:hAnsi="Times New Roman" w:cs="Times New Roman"/>
          <w:sz w:val="24"/>
          <w:szCs w:val="24"/>
          <w:lang w:val="en-US"/>
        </w:rPr>
        <w:t>B</w:t>
      </w:r>
      <w:r w:rsidRPr="002E25AD">
        <w:rPr>
          <w:rFonts w:ascii="Times New Roman" w:hAnsi="Times New Roman" w:cs="Times New Roman"/>
          <w:sz w:val="24"/>
          <w:szCs w:val="24"/>
          <w:lang w:val="en-US"/>
        </w:rPr>
        <w:t xml:space="preserve">MI as weight in kilograms divided by squared height in meters. </w:t>
      </w:r>
      <w:r w:rsidR="00FC350C" w:rsidRPr="002E25AD">
        <w:rPr>
          <w:rFonts w:ascii="Times New Roman" w:hAnsi="Times New Roman" w:cs="Times New Roman"/>
          <w:sz w:val="24"/>
          <w:szCs w:val="24"/>
          <w:lang w:val="en-US"/>
        </w:rPr>
        <w:t>We defined h</w:t>
      </w:r>
      <w:r w:rsidR="00722CDF" w:rsidRPr="002E25AD">
        <w:rPr>
          <w:rFonts w:ascii="Times New Roman" w:hAnsi="Times New Roman" w:cs="Times New Roman"/>
          <w:sz w:val="24"/>
          <w:szCs w:val="24"/>
          <w:lang w:val="en-US"/>
        </w:rPr>
        <w:t>ypertension as the use of antihypertensive medication, having a systolic blood pressure ≥ 140 mmHg or having a diastolic blood pressure ≥ 90 mmHg. B</w:t>
      </w:r>
      <w:r w:rsidRPr="002E25AD">
        <w:rPr>
          <w:rFonts w:ascii="Times New Roman" w:hAnsi="Times New Roman" w:cs="Times New Roman"/>
          <w:sz w:val="24"/>
          <w:szCs w:val="24"/>
          <w:lang w:val="en-US"/>
        </w:rPr>
        <w:t xml:space="preserve">lood pressure was recorded as the mean value of two blood pressure readings at the right upper arm in sitting position, separated by two minutes, using a random-zero sphygmomanometer. </w:t>
      </w:r>
      <w:r w:rsidR="00FC350C" w:rsidRPr="002E25AD">
        <w:rPr>
          <w:rFonts w:ascii="Times New Roman" w:hAnsi="Times New Roman" w:cs="Times New Roman"/>
          <w:sz w:val="24"/>
          <w:szCs w:val="24"/>
          <w:lang w:val="en-US"/>
        </w:rPr>
        <w:t>We defined d</w:t>
      </w:r>
      <w:r w:rsidR="00722CDF" w:rsidRPr="002E25AD">
        <w:rPr>
          <w:rFonts w:ascii="Times New Roman" w:hAnsi="Times New Roman" w:cs="Times New Roman"/>
          <w:sz w:val="24"/>
          <w:szCs w:val="24"/>
          <w:lang w:val="en-US"/>
        </w:rPr>
        <w:t>yslipidemia as a serum tota</w:t>
      </w:r>
      <w:r w:rsidR="00B83E75" w:rsidRPr="002E25AD">
        <w:rPr>
          <w:rFonts w:ascii="Times New Roman" w:hAnsi="Times New Roman" w:cs="Times New Roman"/>
          <w:sz w:val="24"/>
          <w:szCs w:val="24"/>
          <w:lang w:val="en-US"/>
        </w:rPr>
        <w:t>l cholesterol level &gt; 6.</w:t>
      </w:r>
      <w:r w:rsidR="00722CDF" w:rsidRPr="002E25AD">
        <w:rPr>
          <w:rFonts w:ascii="Times New Roman" w:hAnsi="Times New Roman" w:cs="Times New Roman"/>
          <w:sz w:val="24"/>
          <w:szCs w:val="24"/>
          <w:lang w:val="en-US"/>
        </w:rPr>
        <w:t>5 mmol/L or use of lipid-lowering medication. Serum total cholesterol was determined in fasting blood samples using the CHOD-PAP method (Monotest Cholesterol kit, Boehringer Mannheim Diagnostica</w:t>
      </w:r>
      <w:r w:rsidR="00B83E75" w:rsidRPr="002E25AD">
        <w:rPr>
          <w:rFonts w:ascii="Times New Roman" w:hAnsi="Times New Roman" w:cs="Times New Roman"/>
          <w:sz w:val="24"/>
          <w:szCs w:val="24"/>
          <w:lang w:val="en-US"/>
        </w:rPr>
        <w:t>, Germany</w:t>
      </w:r>
      <w:r w:rsidR="00722CDF" w:rsidRPr="002E25AD">
        <w:rPr>
          <w:rFonts w:ascii="Times New Roman" w:hAnsi="Times New Roman" w:cs="Times New Roman"/>
          <w:sz w:val="24"/>
          <w:szCs w:val="24"/>
          <w:lang w:val="en-US"/>
        </w:rPr>
        <w:t>).</w:t>
      </w:r>
      <w:r w:rsidR="00722CDF"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a1qd6or6062","properties":{"formattedCitation":"(23)","plainCitation":"(23)","noteIndex":0},"citationItems":[{"id":136,"uris":["http://zotero.org/users/3710342/items/RUZVNBPM"],"uri":["http://zotero.org/users/3710342/items/RUZVNBPM"],"itemData":{"id":136,"type":"article-journal","title":"Bidirectional associations between circulating vitamin D and cholesterol levels: The Rotterdam Study","container-title":"Maturitas","page":"411-417","volume":"82","issue":"4","source":"ScienceDirect","abstract":"Higher levels of vitamin D have been associated with lower rates of cardiovascular disease perhaps through improved lipid profiles. However, results are inconsistent and the direction of the association between vitamin D and lipid levels remains unknown. We examined bidirectional associations between serum 25-hydroxyvitamin D (25(OH)D) and cholesterol concentrations. We used data from 1165 participants aged 55 to 88 years from the Rotterdam Study, a population-based prospective cohort study. Serum concentrations of 25(OH)D, total cholesterol (TC) and HDL cholesterol (HDL-C) were measured at two time points with a median time difference of 6 years. Bidirectional associations between 25(OH)D and each of the blood lipids was examined with path analyses in cross-lagged models. All models were adjusted for baseline age, sex, BMI, smoking status, and diet quality. The best-fit model for 25(OH)D and TC indicated that higher baseline TC concentrations were associated with lower 25(OH)D concentrations (standardized regression coefficient -0.05 (SE 0.02)), but 25(OH)D at baseline did not predict TC. For HDL-C, the best-fit model suggested a bidirectional inverse association between HDL-C and 25(OH)D (standardized regression coefficients of -0.03 (SE 0.02)) for both directions. Our results from path analyses on repeatedly measured 25(OH)D and lipid levels suggest that total cholesterol may be associated with decreased in 25(OH)D concentrations, but not the other way around, whereas the observed inverse association between HDL-C and 25(OH)D may be bidirectional.","DOI":"10.1016/j.maturitas.2015.08.005","ISSN":"0378-5122","title-short":"Bidirectional associations between circulating vitamin D and cholesterol levels","journalAbbreviation":"Maturitas","author":[{"family":"Vitezova","given":"A."},{"family":"Voortman","given":"T."},{"family":"Zillikens","given":"M. C."},{"family":"Jansen","given":"P. W."},{"family":"Hofman","given":"A"},{"family":"Uitterlinden","given":"A. G."},{"family":"Franco","given":"O. H."},{"family":"Kiefte-de Jong","given":"J. C."}],"issued":{"date-parts":[["2015",12,1]]}}}],"schema":"https://github.com/citation-style-language/schema/raw/master/csl-citation.json"} </w:instrText>
      </w:r>
      <w:r w:rsidR="00722CDF"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sz w:val="24"/>
          <w:szCs w:val="24"/>
          <w:lang w:val="en-US"/>
        </w:rPr>
        <w:t>(23)</w:t>
      </w:r>
      <w:r w:rsidR="00722CDF" w:rsidRPr="002E25AD">
        <w:rPr>
          <w:rFonts w:ascii="Times New Roman" w:hAnsi="Times New Roman" w:cs="Times New Roman"/>
          <w:sz w:val="24"/>
          <w:szCs w:val="24"/>
          <w:lang w:val="en-US"/>
        </w:rPr>
        <w:fldChar w:fldCharType="end"/>
      </w:r>
      <w:r w:rsidR="00722CDF" w:rsidRPr="002E25AD">
        <w:rPr>
          <w:rFonts w:ascii="Times New Roman" w:hAnsi="Times New Roman" w:cs="Times New Roman"/>
          <w:sz w:val="24"/>
          <w:szCs w:val="24"/>
          <w:lang w:val="en-US"/>
        </w:rPr>
        <w:t xml:space="preserve"> </w:t>
      </w:r>
      <w:r w:rsidR="00FC350C" w:rsidRPr="002E25AD">
        <w:rPr>
          <w:rFonts w:ascii="Times New Roman" w:hAnsi="Times New Roman" w:cs="Times New Roman"/>
          <w:sz w:val="24"/>
          <w:szCs w:val="24"/>
          <w:lang w:val="en-US"/>
        </w:rPr>
        <w:t>We determined t</w:t>
      </w:r>
      <w:r w:rsidR="00722CDF" w:rsidRPr="002E25AD">
        <w:rPr>
          <w:rFonts w:ascii="Times New Roman" w:hAnsi="Times New Roman" w:cs="Times New Roman"/>
          <w:sz w:val="24"/>
          <w:szCs w:val="24"/>
          <w:lang w:val="en-US"/>
        </w:rPr>
        <w:t xml:space="preserve">he use of antihypertensive and lipid-lowering drugs through home interviews and consulting pharmacy dispensing records. </w:t>
      </w:r>
      <w:r w:rsidR="00776747" w:rsidRPr="002E25AD">
        <w:rPr>
          <w:rFonts w:ascii="Times New Roman" w:hAnsi="Times New Roman" w:cs="Times New Roman"/>
          <w:sz w:val="24"/>
          <w:szCs w:val="24"/>
          <w:lang w:val="en-US"/>
        </w:rPr>
        <w:t>Smoking status and the</w:t>
      </w:r>
      <w:r w:rsidR="00CC6A5A" w:rsidRPr="002E25AD">
        <w:rPr>
          <w:rFonts w:ascii="Times New Roman" w:hAnsi="Times New Roman" w:cs="Times New Roman"/>
          <w:sz w:val="24"/>
          <w:szCs w:val="24"/>
          <w:lang w:val="en-US"/>
        </w:rPr>
        <w:t xml:space="preserve"> high</w:t>
      </w:r>
      <w:r w:rsidR="00AE28BC" w:rsidRPr="002E25AD">
        <w:rPr>
          <w:rFonts w:ascii="Times New Roman" w:hAnsi="Times New Roman" w:cs="Times New Roman"/>
          <w:sz w:val="24"/>
          <w:szCs w:val="24"/>
          <w:lang w:val="en-US"/>
        </w:rPr>
        <w:t>e</w:t>
      </w:r>
      <w:r w:rsidR="00722CDF" w:rsidRPr="002E25AD">
        <w:rPr>
          <w:rFonts w:ascii="Times New Roman" w:hAnsi="Times New Roman" w:cs="Times New Roman"/>
          <w:sz w:val="24"/>
          <w:szCs w:val="24"/>
          <w:lang w:val="en-US"/>
        </w:rPr>
        <w:t xml:space="preserve">st attained level of education </w:t>
      </w:r>
      <w:r w:rsidR="00AE28BC" w:rsidRPr="002E25AD">
        <w:rPr>
          <w:rFonts w:ascii="Times New Roman" w:hAnsi="Times New Roman" w:cs="Times New Roman"/>
          <w:sz w:val="24"/>
          <w:szCs w:val="24"/>
          <w:lang w:val="en-US"/>
        </w:rPr>
        <w:t>were</w:t>
      </w:r>
      <w:r w:rsidR="00FC350C" w:rsidRPr="002E25AD">
        <w:rPr>
          <w:rFonts w:ascii="Times New Roman" w:hAnsi="Times New Roman" w:cs="Times New Roman"/>
          <w:sz w:val="24"/>
          <w:szCs w:val="24"/>
          <w:lang w:val="en-US"/>
        </w:rPr>
        <w:t xml:space="preserve"> also</w:t>
      </w:r>
      <w:r w:rsidR="00AE28BC" w:rsidRPr="002E25AD">
        <w:rPr>
          <w:rFonts w:ascii="Times New Roman" w:hAnsi="Times New Roman" w:cs="Times New Roman"/>
          <w:sz w:val="24"/>
          <w:szCs w:val="24"/>
          <w:lang w:val="en-US"/>
        </w:rPr>
        <w:t xml:space="preserve"> ascertained during </w:t>
      </w:r>
      <w:r w:rsidR="00CC6A5A" w:rsidRPr="002E25AD">
        <w:rPr>
          <w:rFonts w:ascii="Times New Roman" w:hAnsi="Times New Roman" w:cs="Times New Roman"/>
          <w:sz w:val="24"/>
          <w:szCs w:val="24"/>
          <w:lang w:val="en-US"/>
        </w:rPr>
        <w:t>home interview</w:t>
      </w:r>
      <w:r w:rsidR="00AE28BC" w:rsidRPr="002E25AD">
        <w:rPr>
          <w:rFonts w:ascii="Times New Roman" w:hAnsi="Times New Roman" w:cs="Times New Roman"/>
          <w:sz w:val="24"/>
          <w:szCs w:val="24"/>
          <w:lang w:val="en-US"/>
        </w:rPr>
        <w:t>s</w:t>
      </w:r>
      <w:r w:rsidR="00CC6A5A" w:rsidRPr="002E25AD">
        <w:rPr>
          <w:rFonts w:ascii="Times New Roman" w:hAnsi="Times New Roman" w:cs="Times New Roman"/>
          <w:sz w:val="24"/>
          <w:szCs w:val="24"/>
          <w:lang w:val="en-US"/>
        </w:rPr>
        <w:t xml:space="preserve">. </w:t>
      </w:r>
      <w:r w:rsidR="00FC350C" w:rsidRPr="002E25AD">
        <w:rPr>
          <w:rFonts w:ascii="Times New Roman" w:hAnsi="Times New Roman" w:cs="Times New Roman"/>
          <w:sz w:val="24"/>
          <w:szCs w:val="24"/>
          <w:lang w:val="en-US"/>
        </w:rPr>
        <w:t xml:space="preserve">We categorized participants </w:t>
      </w:r>
      <w:r w:rsidR="00CC6A5A" w:rsidRPr="002E25AD">
        <w:rPr>
          <w:rFonts w:ascii="Times New Roman" w:hAnsi="Times New Roman" w:cs="Times New Roman"/>
          <w:sz w:val="24"/>
          <w:szCs w:val="24"/>
          <w:lang w:val="en-US"/>
        </w:rPr>
        <w:t xml:space="preserve">as never smokers, former smokers or current smokers. </w:t>
      </w:r>
      <w:r w:rsidR="003525D8" w:rsidRPr="002E25AD">
        <w:rPr>
          <w:rFonts w:ascii="Times New Roman" w:hAnsi="Times New Roman" w:cs="Times New Roman"/>
          <w:sz w:val="24"/>
          <w:szCs w:val="24"/>
          <w:lang w:val="en-US"/>
        </w:rPr>
        <w:t>Ed</w:t>
      </w:r>
      <w:r w:rsidR="00CC6A5A" w:rsidRPr="002E25AD">
        <w:rPr>
          <w:rFonts w:ascii="Times New Roman" w:hAnsi="Times New Roman" w:cs="Times New Roman"/>
          <w:sz w:val="24"/>
          <w:szCs w:val="24"/>
          <w:lang w:val="en-US"/>
        </w:rPr>
        <w:t>ucation</w:t>
      </w:r>
      <w:r w:rsidR="003525D8" w:rsidRPr="002E25AD">
        <w:rPr>
          <w:rFonts w:ascii="Times New Roman" w:hAnsi="Times New Roman" w:cs="Times New Roman"/>
          <w:sz w:val="24"/>
          <w:szCs w:val="24"/>
          <w:lang w:val="en-US"/>
        </w:rPr>
        <w:t xml:space="preserve"> level</w:t>
      </w:r>
      <w:r w:rsidR="00CC6A5A" w:rsidRPr="002E25AD">
        <w:rPr>
          <w:rFonts w:ascii="Times New Roman" w:hAnsi="Times New Roman" w:cs="Times New Roman"/>
          <w:sz w:val="24"/>
          <w:szCs w:val="24"/>
          <w:lang w:val="en-US"/>
        </w:rPr>
        <w:t xml:space="preserve"> was </w:t>
      </w:r>
      <w:r w:rsidR="003525D8" w:rsidRPr="002E25AD">
        <w:rPr>
          <w:rFonts w:ascii="Times New Roman" w:hAnsi="Times New Roman" w:cs="Times New Roman"/>
          <w:sz w:val="24"/>
          <w:szCs w:val="24"/>
          <w:lang w:val="en-US"/>
        </w:rPr>
        <w:t>split</w:t>
      </w:r>
      <w:r w:rsidR="00CC6A5A" w:rsidRPr="002E25AD">
        <w:rPr>
          <w:rFonts w:ascii="Times New Roman" w:hAnsi="Times New Roman" w:cs="Times New Roman"/>
          <w:sz w:val="24"/>
          <w:szCs w:val="24"/>
          <w:lang w:val="en-US"/>
        </w:rPr>
        <w:t xml:space="preserve"> into four categories: primary education, lower or intermediate general education or lower vocational education, intermediate vocational education or higher general education and higher vocational educ</w:t>
      </w:r>
      <w:r w:rsidR="00E5002D" w:rsidRPr="002E25AD">
        <w:rPr>
          <w:rFonts w:ascii="Times New Roman" w:hAnsi="Times New Roman" w:cs="Times New Roman"/>
          <w:sz w:val="24"/>
          <w:szCs w:val="24"/>
          <w:lang w:val="en-US"/>
        </w:rPr>
        <w:t xml:space="preserve">ation or university education. </w:t>
      </w:r>
      <w:r w:rsidR="00FC350C" w:rsidRPr="002E25AD">
        <w:rPr>
          <w:rFonts w:ascii="Times New Roman" w:hAnsi="Times New Roman" w:cs="Times New Roman"/>
          <w:sz w:val="24"/>
          <w:szCs w:val="24"/>
          <w:lang w:val="en-US"/>
        </w:rPr>
        <w:t>We calculated t</w:t>
      </w:r>
      <w:r w:rsidR="00CC6A5A" w:rsidRPr="002E25AD">
        <w:rPr>
          <w:rFonts w:ascii="Times New Roman" w:hAnsi="Times New Roman" w:cs="Times New Roman"/>
          <w:sz w:val="24"/>
          <w:szCs w:val="24"/>
          <w:lang w:val="en-US"/>
        </w:rPr>
        <w:t xml:space="preserve">otal </w:t>
      </w:r>
      <w:r w:rsidR="00BB0676" w:rsidRPr="002E25AD">
        <w:rPr>
          <w:rFonts w:ascii="Times New Roman" w:hAnsi="Times New Roman" w:cs="Times New Roman"/>
          <w:sz w:val="24"/>
          <w:szCs w:val="24"/>
          <w:lang w:val="en-US"/>
        </w:rPr>
        <w:t xml:space="preserve">daily </w:t>
      </w:r>
      <w:r w:rsidR="00CC6A5A" w:rsidRPr="002E25AD">
        <w:rPr>
          <w:rFonts w:ascii="Times New Roman" w:hAnsi="Times New Roman" w:cs="Times New Roman"/>
          <w:sz w:val="24"/>
          <w:szCs w:val="24"/>
          <w:lang w:val="en-US"/>
        </w:rPr>
        <w:t>energy intake</w:t>
      </w:r>
      <w:r w:rsidR="00AE28BC" w:rsidRPr="002E25AD">
        <w:rPr>
          <w:rFonts w:ascii="Times New Roman" w:hAnsi="Times New Roman" w:cs="Times New Roman"/>
          <w:sz w:val="24"/>
          <w:szCs w:val="24"/>
          <w:lang w:val="en-US"/>
        </w:rPr>
        <w:t xml:space="preserve"> (</w:t>
      </w:r>
      <w:r w:rsidR="00CC6A5A" w:rsidRPr="002E25AD">
        <w:rPr>
          <w:rFonts w:ascii="Times New Roman" w:hAnsi="Times New Roman" w:cs="Times New Roman"/>
          <w:sz w:val="24"/>
          <w:szCs w:val="24"/>
          <w:lang w:val="en-US"/>
        </w:rPr>
        <w:t>kcal</w:t>
      </w:r>
      <w:r w:rsidR="00AE28BC" w:rsidRPr="002E25AD">
        <w:rPr>
          <w:rFonts w:ascii="Times New Roman" w:hAnsi="Times New Roman" w:cs="Times New Roman"/>
          <w:sz w:val="24"/>
          <w:szCs w:val="24"/>
          <w:lang w:val="en-US"/>
        </w:rPr>
        <w:t>/</w:t>
      </w:r>
      <w:r w:rsidR="00CC6A5A" w:rsidRPr="002E25AD">
        <w:rPr>
          <w:rFonts w:ascii="Times New Roman" w:hAnsi="Times New Roman" w:cs="Times New Roman"/>
          <w:sz w:val="24"/>
          <w:szCs w:val="24"/>
          <w:lang w:val="en-US"/>
        </w:rPr>
        <w:t>day</w:t>
      </w:r>
      <w:r w:rsidR="00AE28BC" w:rsidRPr="002E25AD">
        <w:rPr>
          <w:rFonts w:ascii="Times New Roman" w:hAnsi="Times New Roman" w:cs="Times New Roman"/>
          <w:sz w:val="24"/>
          <w:szCs w:val="24"/>
          <w:lang w:val="en-US"/>
        </w:rPr>
        <w:t>)</w:t>
      </w:r>
      <w:r w:rsidR="00722CDF" w:rsidRPr="002E25AD">
        <w:rPr>
          <w:rFonts w:ascii="Times New Roman" w:hAnsi="Times New Roman" w:cs="Times New Roman"/>
          <w:sz w:val="24"/>
          <w:szCs w:val="24"/>
          <w:lang w:val="en-US"/>
        </w:rPr>
        <w:t xml:space="preserve"> and daily alcohol intake (grams/day)</w:t>
      </w:r>
      <w:r w:rsidR="00CC6A5A" w:rsidRPr="002E25AD">
        <w:rPr>
          <w:rFonts w:ascii="Times New Roman" w:hAnsi="Times New Roman" w:cs="Times New Roman"/>
          <w:sz w:val="24"/>
          <w:szCs w:val="24"/>
          <w:lang w:val="en-US"/>
        </w:rPr>
        <w:t xml:space="preserve"> from data obtained from</w:t>
      </w:r>
      <w:r w:rsidR="003525D8" w:rsidRPr="002E25AD">
        <w:rPr>
          <w:rFonts w:ascii="Times New Roman" w:hAnsi="Times New Roman" w:cs="Times New Roman"/>
          <w:sz w:val="24"/>
          <w:szCs w:val="24"/>
          <w:lang w:val="en-US"/>
        </w:rPr>
        <w:t xml:space="preserve"> the FFQs.</w:t>
      </w:r>
      <w:r w:rsidR="00722CDF" w:rsidRPr="002E25AD">
        <w:rPr>
          <w:rFonts w:ascii="Times New Roman" w:hAnsi="Times New Roman" w:cs="Times New Roman"/>
          <w:sz w:val="24"/>
          <w:szCs w:val="24"/>
          <w:lang w:val="en-US"/>
        </w:rPr>
        <w:t xml:space="preserve"> </w:t>
      </w:r>
      <w:bookmarkStart w:id="0" w:name="_Hlk15129130"/>
      <w:bookmarkStart w:id="1" w:name="_Hlk12362271"/>
      <w:r w:rsidR="0074058C" w:rsidRPr="002E25AD">
        <w:rPr>
          <w:rFonts w:ascii="Times New Roman" w:hAnsi="Times New Roman" w:cs="Times New Roman"/>
          <w:sz w:val="24"/>
          <w:szCs w:val="24"/>
          <w:lang w:val="en-US"/>
        </w:rPr>
        <w:t>The overall dietary pattern was taken into account using a diet quality score reflecting adherence to dietary guidelines. This dietary pattern index, described by Voortman et al.</w:t>
      </w:r>
      <w:r w:rsidR="004E414E"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1fe95857e","properties":{"formattedCitation":"(15)","plainCitation":"(15)","noteIndex":0},"citationItems":[{"id":104,"uris":["http://zotero.org/users/3710342/items/PHQWA685"],"uri":["http://zotero.org/users/3710342/items/PHQWA685"],"itemData":{"id":104,"type":"article-journal","title":"Adherence to the 2015 Dutch dietary guidelines and risk of non-communicable diseases and mortality in the Rotterdam Study","container-title":"European Journal of Epidemiology","page":"1-13","source":"link.springer.com","abstract":"We aimed to evaluate the criterion validity of the 2015 food-based Dutch dietary guidelines, which were formulated based on evidence on the relation between diet and major chronic diseases. We studied 9701 participants of the Rotterdam Study, a population-based prospective cohort in individuals aged 45 years and over [median 64.1 years (95%-range 49.0–82.8)]. Dietary intake was assessed at baseline with a food-frequency questionnaire. For all participants, we examined adherence (yes/no) to fourteen items of the guidelines: vegetables (≥200 g/day), fruit (≥200 g/day), whole-grains (≥90 g/day), legumes (≥135 g/week), nuts (≥15 g/day), dairy (≥350 g/day), fish (≥100 g/week), tea (≥450 mL/day), ratio whole-grains:total grains (≥50%), ratio unsaturated fats and oils:total fats (≥50%), red and processed meat (&lt;300 g/week), sugar-containing beverages (≤150 mL/day), alcohol (≤10 g/day) and salt (≤6 g/day). Total adherence was calculated as sum-score of the adherence to the individual items (0–14). Information on disease incidence and all-cause mortality during a median follow-up period of 13.5 years (range 0–27.0) was obtained from data collected at our research center and from medical records. Using Cox proportional-hazards models adjusted for confounders, we observed every additional component adhered to was associated with a 3% lower mortality risk (HR 0.97, 95% CI 0.95; 0.98), lower risk of stroke (HR 0.95, 95% CI 0.92; 0.99), chronic obstructive pulmonary disease (HR 0.94, 95% CI 0.91; 0.98), colorectal cancer (HR 0.90, 95% CI 0.84; 0.96), and depression (HR 0.97, 95% CI 0.95; 0.999), but not with incidence of coronary heart disease, type 2 diabetes, heart failure, lung cancer, breast cancer, or dementia. These associations were not driven by any of the individual dietary components. To conclude, adherence to the Dutch dietary guidelines was associated with a lower mortality risk and a lower risk of developing some but not all of the chronic diseases on which the guidelines were based.","DOI":"10.1007/s10654-017-0295-2","ISSN":"0393-2990, 1573-7284","journalAbbreviation":"Eur J Epidemiol","language":"en","author":[{"family":"Voortman","given":"Trudy"},{"family":"Jong","given":"Jessica C. Kiefte-de"},{"family":"Ikram","given":"M. Arfan"},{"family":"Stricker","given":"Bruno H."},{"family":"Rooij","given":"Frank J. A.","dropping-particle":"van"},{"family":"Lahousse","given":"Lies"},{"family":"Tiemeier","given":"Henning"},{"family":"Brusselle","given":"Guy G."},{"family":"Franco","given":"Oscar H."},{"family":"Schoufour","given":"Josje D."}],"issued":{"date-parts":[["2017",8,19]]}}}],"schema":"https://github.com/citation-style-language/schema/raw/master/csl-citation.json"} </w:instrText>
      </w:r>
      <w:r w:rsidR="004E414E"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(15)</w:t>
      </w:r>
      <w:r w:rsidR="004E414E" w:rsidRPr="002E25AD">
        <w:rPr>
          <w:rFonts w:ascii="Times New Roman" w:hAnsi="Times New Roman" w:cs="Times New Roman"/>
          <w:sz w:val="24"/>
          <w:szCs w:val="24"/>
          <w:lang w:val="en-US"/>
        </w:rPr>
        <w:fldChar w:fldCharType="end"/>
      </w:r>
      <w:r w:rsidR="003B4CA8" w:rsidRPr="002E25AD">
        <w:rPr>
          <w:rFonts w:ascii="Times New Roman" w:hAnsi="Times New Roman" w:cs="Times New Roman"/>
          <w:sz w:val="24"/>
          <w:szCs w:val="24"/>
          <w:lang w:val="en-US"/>
        </w:rPr>
        <w:t xml:space="preserve">, reflected intake of 14 food groups, including fruits and vegetables, whole grains and whole grain products, legumes, nuts, dairy, fish, tea, unsaturated fats and oils, red and processed meat, sugar-containing beverages and salt. </w:t>
      </w:r>
      <w:r w:rsidR="00FC350C" w:rsidRPr="002E25AD">
        <w:rPr>
          <w:rFonts w:ascii="Times New Roman" w:hAnsi="Times New Roman" w:cs="Times New Roman"/>
          <w:sz w:val="24"/>
          <w:szCs w:val="24"/>
          <w:lang w:val="en-US"/>
        </w:rPr>
        <w:t xml:space="preserve"> </w:t>
      </w:r>
      <w:r w:rsidR="0074058C" w:rsidRPr="002E25AD">
        <w:rPr>
          <w:rFonts w:ascii="Times New Roman" w:hAnsi="Times New Roman" w:cs="Times New Roman"/>
          <w:sz w:val="24"/>
          <w:szCs w:val="24"/>
          <w:lang w:val="en-US"/>
        </w:rPr>
        <w:t>The final index was a score ranging from 0 to 14 with a higher score reflecting a higher diet quality.</w:t>
      </w:r>
      <w:bookmarkEnd w:id="0"/>
      <w:r w:rsidR="0074058C" w:rsidRPr="002E25AD">
        <w:rPr>
          <w:rFonts w:ascii="Times New Roman" w:hAnsi="Times New Roman" w:cs="Times New Roman"/>
          <w:sz w:val="24"/>
          <w:szCs w:val="24"/>
          <w:lang w:val="en-US"/>
        </w:rPr>
        <w:t xml:space="preserve"> </w:t>
      </w:r>
      <w:bookmarkEnd w:id="1"/>
      <w:r w:rsidR="00CC6A5A" w:rsidRPr="002E25AD">
        <w:rPr>
          <w:rFonts w:ascii="Times New Roman" w:hAnsi="Times New Roman" w:cs="Times New Roman"/>
          <w:sz w:val="24"/>
          <w:szCs w:val="24"/>
          <w:lang w:val="en-US"/>
        </w:rPr>
        <w:t xml:space="preserve">The degree of physical activity was assessed by means of the LASA Physical Activity Questionnaire and a modified version of the Zutphen Study Physical Activity Questionnaire, and was expressed as metabolic equivalent of task </w:t>
      </w:r>
      <w:r w:rsidR="00CC6A5A" w:rsidRPr="002E25AD">
        <w:rPr>
          <w:rFonts w:ascii="Times New Roman" w:hAnsi="Times New Roman" w:cs="Times New Roman"/>
          <w:sz w:val="24"/>
          <w:szCs w:val="24"/>
          <w:lang w:val="en-US"/>
        </w:rPr>
        <w:lastRenderedPageBreak/>
        <w:t>(MET) hours per week based on time spent in light, moderate and vigorous activity.</w:t>
      </w:r>
      <w:r w:rsidR="00CC6A5A"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a2n85t0noml","properties":{"formattedCitation":"(24)","plainCitation":"(24)","noteIndex":0},"citationItems":[{"id":75,"uris":["http://zotero.org/users/3710342/items/ZDVDF4X3"],"uri":["http://zotero.org/users/3710342/items/ZDVDF4X3"],"itemData":{"id":75,"type":"article-journal","title":"The Rotterdam Study: 2016 objectives and design update","container-title":"Eur J Epidemiol","page":"661-708","volume":"30","issue":"8","archive_location":"26386597","DOI":"10.1007/s10654-015-0082-x","ISSN":"1573-7284 (Electronic) 0393-2990 (Linking)","title-short":"The Rotterdam Study: 2016 objectives and design update","language":"eng","author":[{"family":"Hofman","given":"A."},{"family":"Brusselle","given":"G. G."},{"family":"Darwish Murad","given":"S."},{"family":"Duijn","given":"C. M.","non-dropping-particle":"van"},{"family":"Franco","given":"O. H."},{"family":"Goedegebure","given":"A."},{"family":"Ikram","given":"M. A."},{"family":"Klaver","given":"C. C."},{"family":"Nijsten","given":"T. E."},{"family":"Peeters","given":"R. P."},{"family":"Stricker","given":"B. H."},{"family":"Tiemeier","given":"H. W."},{"family":"Uitterlinden","given":"A. G."},{"family":"Vernooij","given":"M. W."}],"issued":{"date-parts":[["2015",8]]}}}],"schema":"https://github.com/citation-style-language/schema/raw/master/csl-citation.json"} </w:instrText>
      </w:r>
      <w:r w:rsidR="00CC6A5A"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sz w:val="24"/>
          <w:szCs w:val="24"/>
          <w:lang w:val="en-US"/>
        </w:rPr>
        <w:t>(24)</w:t>
      </w:r>
      <w:r w:rsidR="00CC6A5A" w:rsidRPr="002E25AD">
        <w:rPr>
          <w:rFonts w:ascii="Times New Roman" w:hAnsi="Times New Roman" w:cs="Times New Roman"/>
          <w:sz w:val="24"/>
          <w:szCs w:val="24"/>
          <w:lang w:val="en-US"/>
        </w:rPr>
        <w:fldChar w:fldCharType="end"/>
      </w:r>
      <w:r w:rsidR="004E414E" w:rsidRPr="002E25AD">
        <w:rPr>
          <w:rFonts w:ascii="Times New Roman" w:hAnsi="Times New Roman" w:cs="Times New Roman"/>
          <w:sz w:val="24"/>
          <w:szCs w:val="24"/>
          <w:lang w:val="en-US"/>
        </w:rPr>
        <w:t xml:space="preserve"> To account for the use of two different questionnaires, we divided participants into quartiles of physical activity based on questionnaire-specific standard deviation scores.</w:t>
      </w:r>
    </w:p>
    <w:p w14:paraId="4F64CB6A" w14:textId="77777777" w:rsidR="00E164AD" w:rsidRPr="002E25AD" w:rsidRDefault="00E164AD" w:rsidP="00E164AD">
      <w:pPr>
        <w:spacing w:line="480" w:lineRule="auto"/>
        <w:rPr>
          <w:rFonts w:ascii="Times New Roman" w:hAnsi="Times New Roman" w:cs="Times New Roman"/>
          <w:b/>
          <w:sz w:val="28"/>
          <w:szCs w:val="24"/>
          <w:lang w:val="en-US"/>
        </w:rPr>
      </w:pPr>
      <w:r w:rsidRPr="002E25AD">
        <w:rPr>
          <w:rFonts w:ascii="Times New Roman" w:hAnsi="Times New Roman" w:cs="Times New Roman"/>
          <w:b/>
          <w:sz w:val="28"/>
          <w:szCs w:val="24"/>
          <w:lang w:val="en-US"/>
        </w:rPr>
        <w:t>Statistical analysis</w:t>
      </w:r>
    </w:p>
    <w:p w14:paraId="68DC76A0" w14:textId="319C9C72" w:rsidR="00645D1C" w:rsidRPr="002E25AD" w:rsidRDefault="00E164AD" w:rsidP="00CB797F">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Cox proportional hazards regression was performed with total dietary antioxidant capacity as the </w:t>
      </w:r>
      <w:r w:rsidR="000E0C10" w:rsidRPr="002E25AD">
        <w:rPr>
          <w:rFonts w:ascii="Times New Roman" w:hAnsi="Times New Roman" w:cs="Times New Roman"/>
          <w:sz w:val="24"/>
          <w:szCs w:val="24"/>
          <w:lang w:val="en-US"/>
        </w:rPr>
        <w:t>primary in</w:t>
      </w:r>
      <w:r w:rsidR="00AE28BC" w:rsidRPr="002E25AD">
        <w:rPr>
          <w:rFonts w:ascii="Times New Roman" w:hAnsi="Times New Roman" w:cs="Times New Roman"/>
          <w:sz w:val="24"/>
          <w:szCs w:val="24"/>
          <w:lang w:val="en-US"/>
        </w:rPr>
        <w:t xml:space="preserve">dependent variable and incident prediabetes or incident type 2 diabetes as the response variable. </w:t>
      </w:r>
      <w:r w:rsidR="000E0C10" w:rsidRPr="002E25AD">
        <w:rPr>
          <w:rFonts w:ascii="Times New Roman" w:hAnsi="Times New Roman" w:cs="Times New Roman"/>
          <w:sz w:val="24"/>
          <w:szCs w:val="24"/>
          <w:lang w:val="en-US"/>
        </w:rPr>
        <w:t xml:space="preserve">The time scale in these models is follow-up </w:t>
      </w:r>
      <w:r w:rsidR="0040125F" w:rsidRPr="002E25AD">
        <w:rPr>
          <w:rFonts w:ascii="Times New Roman" w:hAnsi="Times New Roman" w:cs="Times New Roman"/>
          <w:sz w:val="24"/>
          <w:szCs w:val="24"/>
          <w:lang w:val="en-US"/>
        </w:rPr>
        <w:t>time in years</w:t>
      </w:r>
      <w:r w:rsidR="000E0C10" w:rsidRPr="002E25AD">
        <w:rPr>
          <w:rFonts w:ascii="Times New Roman" w:hAnsi="Times New Roman" w:cs="Times New Roman"/>
          <w:sz w:val="24"/>
          <w:szCs w:val="24"/>
          <w:lang w:val="en-US"/>
        </w:rPr>
        <w:t xml:space="preserve"> to either clinical endpoint, death, loss-</w:t>
      </w:r>
      <w:r w:rsidR="004E414E" w:rsidRPr="002E25AD">
        <w:rPr>
          <w:rFonts w:ascii="Times New Roman" w:hAnsi="Times New Roman" w:cs="Times New Roman"/>
          <w:sz w:val="24"/>
          <w:szCs w:val="24"/>
          <w:lang w:val="en-US"/>
        </w:rPr>
        <w:t>to-follow-up or January 1st 2012 – whichever came first</w:t>
      </w:r>
      <w:r w:rsidR="000E0C10" w:rsidRPr="002E25AD">
        <w:rPr>
          <w:rFonts w:ascii="Times New Roman" w:hAnsi="Times New Roman" w:cs="Times New Roman"/>
          <w:sz w:val="24"/>
          <w:szCs w:val="24"/>
          <w:lang w:val="en-US"/>
        </w:rPr>
        <w:t xml:space="preserve">. </w:t>
      </w:r>
      <w:r w:rsidR="00B57811" w:rsidRPr="002E25AD">
        <w:rPr>
          <w:rFonts w:ascii="Times New Roman" w:hAnsi="Times New Roman" w:cs="Times New Roman"/>
          <w:sz w:val="24"/>
          <w:szCs w:val="24"/>
          <w:lang w:val="en-US"/>
        </w:rPr>
        <w:t>As main analysis, w</w:t>
      </w:r>
      <w:r w:rsidR="000E0C10" w:rsidRPr="002E25AD">
        <w:rPr>
          <w:rFonts w:ascii="Times New Roman" w:hAnsi="Times New Roman" w:cs="Times New Roman"/>
          <w:sz w:val="24"/>
          <w:szCs w:val="24"/>
          <w:lang w:val="en-US"/>
        </w:rPr>
        <w:t>e first investigated</w:t>
      </w:r>
      <w:r w:rsidR="00B57811" w:rsidRPr="002E25AD">
        <w:rPr>
          <w:rFonts w:ascii="Times New Roman" w:hAnsi="Times New Roman" w:cs="Times New Roman"/>
          <w:sz w:val="24"/>
          <w:szCs w:val="24"/>
          <w:lang w:val="en-US"/>
        </w:rPr>
        <w:t xml:space="preserve"> associations of FRAP score with</w:t>
      </w:r>
      <w:r w:rsidR="000E0C10" w:rsidRPr="002E25AD">
        <w:rPr>
          <w:rFonts w:ascii="Times New Roman" w:hAnsi="Times New Roman" w:cs="Times New Roman"/>
          <w:sz w:val="24"/>
          <w:szCs w:val="24"/>
          <w:lang w:val="en-US"/>
        </w:rPr>
        <w:t xml:space="preserve"> incident type 2 diabetes</w:t>
      </w:r>
      <w:r w:rsidR="00B57811" w:rsidRPr="002E25AD">
        <w:rPr>
          <w:rFonts w:ascii="Times New Roman" w:hAnsi="Times New Roman" w:cs="Times New Roman"/>
          <w:sz w:val="24"/>
          <w:szCs w:val="24"/>
          <w:lang w:val="en-US"/>
        </w:rPr>
        <w:t>. Subsequently, we</w:t>
      </w:r>
      <w:r w:rsidR="000E0C10" w:rsidRPr="002E25AD">
        <w:rPr>
          <w:rFonts w:ascii="Times New Roman" w:hAnsi="Times New Roman" w:cs="Times New Roman"/>
          <w:sz w:val="24"/>
          <w:szCs w:val="24"/>
          <w:lang w:val="en-US"/>
        </w:rPr>
        <w:t xml:space="preserve"> analyzed this trajectory in more detail by investigating incident prediabetes among normoglycaemic individuals and incident type 2 diabetes among individuals with prediabetes.</w:t>
      </w:r>
      <w:r w:rsidR="00905612" w:rsidRPr="002E25AD">
        <w:rPr>
          <w:rFonts w:ascii="Times New Roman" w:hAnsi="Times New Roman" w:cs="Times New Roman"/>
          <w:sz w:val="24"/>
          <w:szCs w:val="24"/>
          <w:lang w:val="en-US"/>
        </w:rPr>
        <w:t xml:space="preserve"> We used m</w:t>
      </w:r>
      <w:r w:rsidR="00CA741F" w:rsidRPr="002E25AD">
        <w:rPr>
          <w:rFonts w:ascii="Times New Roman" w:hAnsi="Times New Roman" w:cs="Times New Roman"/>
          <w:sz w:val="24"/>
          <w:szCs w:val="24"/>
          <w:lang w:val="en-US"/>
        </w:rPr>
        <w:t xml:space="preserve">ultivariable linear regression </w:t>
      </w:r>
      <w:r w:rsidR="00905612" w:rsidRPr="002E25AD">
        <w:rPr>
          <w:rFonts w:ascii="Times New Roman" w:hAnsi="Times New Roman" w:cs="Times New Roman"/>
          <w:sz w:val="24"/>
          <w:szCs w:val="24"/>
          <w:lang w:val="en-US"/>
        </w:rPr>
        <w:t>models to assess the association between FRAP score and HOMA-IR. In these linear regression models, HOMA-IR was transformed using the natural logarithm to better approximate a normal distribution.</w:t>
      </w:r>
      <w:r w:rsidR="00A52CFE" w:rsidRPr="002E25AD">
        <w:rPr>
          <w:rFonts w:ascii="Times New Roman" w:hAnsi="Times New Roman" w:cs="Times New Roman"/>
          <w:sz w:val="24"/>
          <w:szCs w:val="24"/>
          <w:lang w:val="en-US"/>
        </w:rPr>
        <w:t xml:space="preserve"> </w:t>
      </w:r>
      <w:r w:rsidR="004E414E" w:rsidRPr="002E25AD">
        <w:rPr>
          <w:rFonts w:ascii="Times New Roman" w:hAnsi="Times New Roman" w:cs="Times New Roman"/>
          <w:sz w:val="24"/>
          <w:szCs w:val="24"/>
          <w:lang w:val="en-US"/>
        </w:rPr>
        <w:t>For all outcomes</w:t>
      </w:r>
      <w:r w:rsidR="00A52CFE" w:rsidRPr="002E25AD">
        <w:rPr>
          <w:rFonts w:ascii="Times New Roman" w:hAnsi="Times New Roman" w:cs="Times New Roman"/>
          <w:sz w:val="24"/>
          <w:szCs w:val="24"/>
          <w:lang w:val="en-US"/>
        </w:rPr>
        <w:t>, w</w:t>
      </w:r>
      <w:r w:rsidR="00AE28BC" w:rsidRPr="002E25AD">
        <w:rPr>
          <w:rFonts w:ascii="Times New Roman" w:hAnsi="Times New Roman" w:cs="Times New Roman"/>
          <w:sz w:val="24"/>
          <w:szCs w:val="24"/>
          <w:lang w:val="en-US"/>
        </w:rPr>
        <w:t>e constructed</w:t>
      </w:r>
      <w:r w:rsidR="00905612" w:rsidRPr="002E25AD">
        <w:rPr>
          <w:rFonts w:ascii="Times New Roman" w:hAnsi="Times New Roman" w:cs="Times New Roman"/>
          <w:sz w:val="24"/>
          <w:szCs w:val="24"/>
          <w:lang w:val="en-US"/>
        </w:rPr>
        <w:t xml:space="preserve"> </w:t>
      </w:r>
      <w:r w:rsidR="00AE28BC" w:rsidRPr="002E25AD">
        <w:rPr>
          <w:rFonts w:ascii="Times New Roman" w:hAnsi="Times New Roman" w:cs="Times New Roman"/>
          <w:sz w:val="24"/>
          <w:szCs w:val="24"/>
          <w:lang w:val="en-US"/>
        </w:rPr>
        <w:t>models adjusted only for age, sex and cohort</w:t>
      </w:r>
      <w:r w:rsidR="00BB0676" w:rsidRPr="002E25AD">
        <w:rPr>
          <w:rFonts w:ascii="Times New Roman" w:hAnsi="Times New Roman" w:cs="Times New Roman"/>
          <w:sz w:val="24"/>
          <w:szCs w:val="24"/>
          <w:lang w:val="en-US"/>
        </w:rPr>
        <w:t xml:space="preserve"> (model 1)</w:t>
      </w:r>
      <w:r w:rsidR="00AE28BC" w:rsidRPr="002E25AD">
        <w:rPr>
          <w:rFonts w:ascii="Times New Roman" w:hAnsi="Times New Roman" w:cs="Times New Roman"/>
          <w:sz w:val="24"/>
          <w:szCs w:val="24"/>
          <w:lang w:val="en-US"/>
        </w:rPr>
        <w:t xml:space="preserve">, models adjusted additionally for BMI, </w:t>
      </w:r>
      <w:r w:rsidR="00B57811" w:rsidRPr="002E25AD">
        <w:rPr>
          <w:rFonts w:ascii="Times New Roman" w:hAnsi="Times New Roman" w:cs="Times New Roman"/>
          <w:sz w:val="24"/>
          <w:szCs w:val="24"/>
          <w:lang w:val="en-US"/>
        </w:rPr>
        <w:t>hypertension</w:t>
      </w:r>
      <w:r w:rsidR="00AE28BC" w:rsidRPr="002E25AD">
        <w:rPr>
          <w:rFonts w:ascii="Times New Roman" w:hAnsi="Times New Roman" w:cs="Times New Roman"/>
          <w:sz w:val="24"/>
          <w:szCs w:val="24"/>
          <w:lang w:val="en-US"/>
        </w:rPr>
        <w:t xml:space="preserve">, </w:t>
      </w:r>
      <w:r w:rsidR="00B57811" w:rsidRPr="002E25AD">
        <w:rPr>
          <w:rFonts w:ascii="Times New Roman" w:hAnsi="Times New Roman" w:cs="Times New Roman"/>
          <w:sz w:val="24"/>
          <w:szCs w:val="24"/>
          <w:lang w:val="en-US"/>
        </w:rPr>
        <w:t>dyslipidemia</w:t>
      </w:r>
      <w:r w:rsidR="00AE28BC" w:rsidRPr="002E25AD">
        <w:rPr>
          <w:rFonts w:ascii="Times New Roman" w:hAnsi="Times New Roman" w:cs="Times New Roman"/>
          <w:sz w:val="24"/>
          <w:szCs w:val="24"/>
          <w:lang w:val="en-US"/>
        </w:rPr>
        <w:t>, highest level of educati</w:t>
      </w:r>
      <w:r w:rsidR="008F0906" w:rsidRPr="002E25AD">
        <w:rPr>
          <w:rFonts w:ascii="Times New Roman" w:hAnsi="Times New Roman" w:cs="Times New Roman"/>
          <w:sz w:val="24"/>
          <w:szCs w:val="24"/>
          <w:lang w:val="en-US"/>
        </w:rPr>
        <w:t xml:space="preserve">on attained, </w:t>
      </w:r>
      <w:r w:rsidR="006B39DB" w:rsidRPr="002E25AD">
        <w:rPr>
          <w:rFonts w:ascii="Times New Roman" w:hAnsi="Times New Roman" w:cs="Times New Roman"/>
          <w:sz w:val="24"/>
          <w:szCs w:val="24"/>
          <w:lang w:val="en-US"/>
        </w:rPr>
        <w:t>physical activity</w:t>
      </w:r>
      <w:r w:rsidR="008F0906" w:rsidRPr="002E25AD">
        <w:rPr>
          <w:rFonts w:ascii="Times New Roman" w:hAnsi="Times New Roman" w:cs="Times New Roman"/>
          <w:sz w:val="24"/>
          <w:szCs w:val="24"/>
          <w:lang w:val="en-US"/>
        </w:rPr>
        <w:t xml:space="preserve"> and smoking status </w:t>
      </w:r>
      <w:r w:rsidR="00BB0676" w:rsidRPr="002E25AD">
        <w:rPr>
          <w:rFonts w:ascii="Times New Roman" w:hAnsi="Times New Roman" w:cs="Times New Roman"/>
          <w:sz w:val="24"/>
          <w:szCs w:val="24"/>
          <w:lang w:val="en-US"/>
        </w:rPr>
        <w:t>(model 2)</w:t>
      </w:r>
      <w:r w:rsidR="000E0C10" w:rsidRPr="002E25AD">
        <w:rPr>
          <w:rFonts w:ascii="Times New Roman" w:hAnsi="Times New Roman" w:cs="Times New Roman"/>
          <w:sz w:val="24"/>
          <w:szCs w:val="24"/>
          <w:lang w:val="en-US"/>
        </w:rPr>
        <w:t>,</w:t>
      </w:r>
      <w:r w:rsidR="00BB0676" w:rsidRPr="002E25AD">
        <w:rPr>
          <w:rFonts w:ascii="Times New Roman" w:hAnsi="Times New Roman" w:cs="Times New Roman"/>
          <w:sz w:val="24"/>
          <w:szCs w:val="24"/>
          <w:lang w:val="en-US"/>
        </w:rPr>
        <w:t xml:space="preserve"> and models further adjusted for degree of adh</w:t>
      </w:r>
      <w:r w:rsidR="007B2381" w:rsidRPr="002E25AD">
        <w:rPr>
          <w:rFonts w:ascii="Times New Roman" w:hAnsi="Times New Roman" w:cs="Times New Roman"/>
          <w:sz w:val="24"/>
          <w:szCs w:val="24"/>
          <w:lang w:val="en-US"/>
        </w:rPr>
        <w:t>erence to dietary guidelines,</w:t>
      </w:r>
      <w:r w:rsidR="00BB0676" w:rsidRPr="002E25AD">
        <w:rPr>
          <w:rFonts w:ascii="Times New Roman" w:hAnsi="Times New Roman" w:cs="Times New Roman"/>
          <w:sz w:val="24"/>
          <w:szCs w:val="24"/>
          <w:lang w:val="en-US"/>
        </w:rPr>
        <w:t xml:space="preserve"> total daily energy intake</w:t>
      </w:r>
      <w:r w:rsidR="007B2381" w:rsidRPr="002E25AD">
        <w:rPr>
          <w:rFonts w:ascii="Times New Roman" w:hAnsi="Times New Roman" w:cs="Times New Roman"/>
          <w:sz w:val="24"/>
          <w:szCs w:val="24"/>
          <w:lang w:val="en-US"/>
        </w:rPr>
        <w:t xml:space="preserve"> and daily alcohol intake</w:t>
      </w:r>
      <w:r w:rsidR="00BB0676" w:rsidRPr="002E25AD">
        <w:rPr>
          <w:rFonts w:ascii="Times New Roman" w:hAnsi="Times New Roman" w:cs="Times New Roman"/>
          <w:sz w:val="24"/>
          <w:szCs w:val="24"/>
          <w:lang w:val="en-US"/>
        </w:rPr>
        <w:t xml:space="preserve"> (model 3). </w:t>
      </w:r>
      <w:r w:rsidR="000E0C10" w:rsidRPr="002E25AD">
        <w:rPr>
          <w:rFonts w:ascii="Times New Roman" w:hAnsi="Times New Roman" w:cs="Times New Roman"/>
          <w:sz w:val="24"/>
          <w:szCs w:val="24"/>
          <w:lang w:val="en-US"/>
        </w:rPr>
        <w:t>We accounted for potential non-linear relation</w:t>
      </w:r>
      <w:r w:rsidR="006F6EF2" w:rsidRPr="002E25AD">
        <w:rPr>
          <w:rFonts w:ascii="Times New Roman" w:hAnsi="Times New Roman" w:cs="Times New Roman"/>
          <w:sz w:val="24"/>
          <w:szCs w:val="24"/>
          <w:lang w:val="en-US"/>
        </w:rPr>
        <w:t>s</w:t>
      </w:r>
      <w:r w:rsidR="000E0C10" w:rsidRPr="002E25AD">
        <w:rPr>
          <w:rFonts w:ascii="Times New Roman" w:hAnsi="Times New Roman" w:cs="Times New Roman"/>
          <w:sz w:val="24"/>
          <w:szCs w:val="24"/>
          <w:lang w:val="en-US"/>
        </w:rPr>
        <w:t xml:space="preserve"> between the independent and dependent variables by including </w:t>
      </w:r>
      <w:r w:rsidR="006B39DB" w:rsidRPr="002E25AD">
        <w:rPr>
          <w:rFonts w:ascii="Times New Roman" w:hAnsi="Times New Roman" w:cs="Times New Roman"/>
          <w:sz w:val="24"/>
          <w:szCs w:val="24"/>
          <w:lang w:val="en-US"/>
        </w:rPr>
        <w:t xml:space="preserve">three-knot </w:t>
      </w:r>
      <w:r w:rsidR="000E0C10" w:rsidRPr="002E25AD">
        <w:rPr>
          <w:rFonts w:ascii="Times New Roman" w:hAnsi="Times New Roman" w:cs="Times New Roman"/>
          <w:sz w:val="24"/>
          <w:szCs w:val="24"/>
          <w:lang w:val="en-US"/>
        </w:rPr>
        <w:t xml:space="preserve">natural cubic splines in our regression models when their use resulted in a significantly better </w:t>
      </w:r>
      <w:r w:rsidR="0040125F" w:rsidRPr="002E25AD">
        <w:rPr>
          <w:rFonts w:ascii="Times New Roman" w:hAnsi="Times New Roman" w:cs="Times New Roman"/>
          <w:sz w:val="24"/>
          <w:szCs w:val="24"/>
          <w:lang w:val="en-US"/>
        </w:rPr>
        <w:t xml:space="preserve">model </w:t>
      </w:r>
      <w:r w:rsidR="000E0C10" w:rsidRPr="002E25AD">
        <w:rPr>
          <w:rFonts w:ascii="Times New Roman" w:hAnsi="Times New Roman" w:cs="Times New Roman"/>
          <w:sz w:val="24"/>
          <w:szCs w:val="24"/>
          <w:lang w:val="en-US"/>
        </w:rPr>
        <w:t>fit. Potenti</w:t>
      </w:r>
      <w:r w:rsidR="0040125F" w:rsidRPr="002E25AD">
        <w:rPr>
          <w:rFonts w:ascii="Times New Roman" w:hAnsi="Times New Roman" w:cs="Times New Roman"/>
          <w:sz w:val="24"/>
          <w:szCs w:val="24"/>
          <w:lang w:val="en-US"/>
        </w:rPr>
        <w:t>al effect modification by age,</w:t>
      </w:r>
      <w:r w:rsidR="000E0C10" w:rsidRPr="002E25AD">
        <w:rPr>
          <w:rFonts w:ascii="Times New Roman" w:hAnsi="Times New Roman" w:cs="Times New Roman"/>
          <w:sz w:val="24"/>
          <w:szCs w:val="24"/>
          <w:lang w:val="en-US"/>
        </w:rPr>
        <w:t xml:space="preserve"> sex </w:t>
      </w:r>
      <w:r w:rsidR="0040125F" w:rsidRPr="002E25AD">
        <w:rPr>
          <w:rFonts w:ascii="Times New Roman" w:hAnsi="Times New Roman" w:cs="Times New Roman"/>
          <w:sz w:val="24"/>
          <w:szCs w:val="24"/>
          <w:lang w:val="en-US"/>
        </w:rPr>
        <w:t xml:space="preserve">or smoking status </w:t>
      </w:r>
      <w:r w:rsidR="000E0C10" w:rsidRPr="002E25AD">
        <w:rPr>
          <w:rFonts w:ascii="Times New Roman" w:hAnsi="Times New Roman" w:cs="Times New Roman"/>
          <w:sz w:val="24"/>
          <w:szCs w:val="24"/>
          <w:lang w:val="en-US"/>
        </w:rPr>
        <w:t xml:space="preserve">was investigated by introducing the product of </w:t>
      </w:r>
      <w:r w:rsidR="0040125F" w:rsidRPr="002E25AD">
        <w:rPr>
          <w:rFonts w:ascii="Times New Roman" w:hAnsi="Times New Roman" w:cs="Times New Roman"/>
          <w:sz w:val="24"/>
          <w:szCs w:val="24"/>
          <w:lang w:val="en-US"/>
        </w:rPr>
        <w:t>these variables</w:t>
      </w:r>
      <w:r w:rsidR="000E0C10" w:rsidRPr="002E25AD">
        <w:rPr>
          <w:rFonts w:ascii="Times New Roman" w:hAnsi="Times New Roman" w:cs="Times New Roman"/>
          <w:sz w:val="24"/>
          <w:szCs w:val="24"/>
          <w:lang w:val="en-US"/>
        </w:rPr>
        <w:t xml:space="preserve"> and the total dietary antioxidant capacity to our regression models. We </w:t>
      </w:r>
      <w:r w:rsidR="004E0735" w:rsidRPr="002E25AD">
        <w:rPr>
          <w:rFonts w:ascii="Times New Roman" w:hAnsi="Times New Roman" w:cs="Times New Roman"/>
          <w:sz w:val="24"/>
          <w:szCs w:val="24"/>
          <w:lang w:val="en-US"/>
        </w:rPr>
        <w:t>ran separate</w:t>
      </w:r>
      <w:r w:rsidR="000E0C10" w:rsidRPr="002E25AD">
        <w:rPr>
          <w:rFonts w:ascii="Times New Roman" w:hAnsi="Times New Roman" w:cs="Times New Roman"/>
          <w:sz w:val="24"/>
          <w:szCs w:val="24"/>
          <w:lang w:val="en-US"/>
        </w:rPr>
        <w:t xml:space="preserve"> models if the interaction terms </w:t>
      </w:r>
      <w:r w:rsidR="0040125F" w:rsidRPr="002E25AD">
        <w:rPr>
          <w:rFonts w:ascii="Times New Roman" w:hAnsi="Times New Roman" w:cs="Times New Roman"/>
          <w:sz w:val="24"/>
          <w:szCs w:val="24"/>
          <w:lang w:val="en-US"/>
        </w:rPr>
        <w:t>were statistically significant</w:t>
      </w:r>
      <w:r w:rsidR="00025294" w:rsidRPr="002E25AD">
        <w:rPr>
          <w:rFonts w:ascii="Times New Roman" w:hAnsi="Times New Roman" w:cs="Times New Roman"/>
          <w:sz w:val="24"/>
          <w:szCs w:val="24"/>
          <w:lang w:val="en-US"/>
        </w:rPr>
        <w:t xml:space="preserve"> at the p &lt; 0.10 level</w:t>
      </w:r>
      <w:r w:rsidR="000E0C10" w:rsidRPr="002E25AD">
        <w:rPr>
          <w:rFonts w:ascii="Times New Roman" w:hAnsi="Times New Roman" w:cs="Times New Roman"/>
          <w:sz w:val="24"/>
          <w:szCs w:val="24"/>
          <w:lang w:val="en-US"/>
        </w:rPr>
        <w:t xml:space="preserve">. </w:t>
      </w:r>
      <w:r w:rsidR="00CB797F" w:rsidRPr="002E25AD">
        <w:rPr>
          <w:rFonts w:ascii="Times New Roman" w:hAnsi="Times New Roman" w:cs="Times New Roman"/>
          <w:sz w:val="24"/>
          <w:szCs w:val="24"/>
          <w:lang w:val="en-US"/>
        </w:rPr>
        <w:t xml:space="preserve">As a sensitivity analysis, we repeated our </w:t>
      </w:r>
      <w:r w:rsidR="00CB797F" w:rsidRPr="002E25AD">
        <w:rPr>
          <w:rFonts w:ascii="Times New Roman" w:hAnsi="Times New Roman" w:cs="Times New Roman"/>
          <w:sz w:val="24"/>
          <w:szCs w:val="24"/>
          <w:lang w:val="en-US"/>
        </w:rPr>
        <w:lastRenderedPageBreak/>
        <w:t xml:space="preserve">analyses with a modified FRAP score calculated without the contribution of coffee because some discussion remains on the bioavailability of the antioxidants found in coffee, and we also performed our analyses excluding the first </w:t>
      </w:r>
      <w:r w:rsidR="00147EB2" w:rsidRPr="002E25AD">
        <w:rPr>
          <w:rFonts w:ascii="Times New Roman" w:hAnsi="Times New Roman" w:cs="Times New Roman"/>
          <w:sz w:val="24"/>
          <w:szCs w:val="24"/>
          <w:lang w:val="en-US"/>
        </w:rPr>
        <w:t>year</w:t>
      </w:r>
      <w:r w:rsidR="006F6EF2" w:rsidRPr="002E25AD">
        <w:rPr>
          <w:rFonts w:ascii="Times New Roman" w:hAnsi="Times New Roman" w:cs="Times New Roman"/>
          <w:sz w:val="24"/>
          <w:szCs w:val="24"/>
          <w:lang w:val="en-US"/>
        </w:rPr>
        <w:t xml:space="preserve"> of follow-up</w:t>
      </w:r>
      <w:r w:rsidR="00FC350C" w:rsidRPr="002E25AD">
        <w:rPr>
          <w:rFonts w:ascii="Times New Roman" w:hAnsi="Times New Roman" w:cs="Times New Roman"/>
          <w:sz w:val="24"/>
          <w:szCs w:val="24"/>
          <w:lang w:val="en-US"/>
        </w:rPr>
        <w:t>.</w:t>
      </w:r>
      <w:r w:rsidR="005B37D9"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1i6h89je9q","properties":{"formattedCitation":"(13)","plainCitation":"(13)","noteIndex":0},"citationItems":[{"id":100,"uris":["http://zotero.org/users/3710342/items/2JXHF52I"],"uri":["http://zotero.org/users/3710342/items/2JXHF52I"],"itemData":{"id":100,"type":"article-journal","title":"Dietary antioxidant capacity and risk of type 2 diabetes in the large prospective E3N-EPIC cohort","container-title":"Diabetologia","source":"PubMed","abstract":"AIMS/HYPOTHESIS: Recent evidence suggests that oxidative stress may contribute to the pathogenesis of type 2 diabetes. The diet, and especially fruit and vegetables, contains a variety of compounds with antioxidant activity, which may have cumulative/synergistic antioxidant effects. The total antioxidant capacity, an index derived from dietary intake, is a single estimate of antioxidant capacity from all dietary antioxidants. The main aim of this study was to investigate the relationship between total antioxidant capacity and risk of type 2 diabetes.\nMETHODS: Among 64,223 women (mean age 52 ± 7 years) from the French E3N-European Prospective Investigation into Cancer and Nutrition (EPIC) cohort, 1751 women had validated type 2 diabetes during 15 years of follow-up. The total antioxidant capacity was estimated with the ferric ion-reducing antioxidant power (FRAP) method. Adjusted Cox proportional hazards regression models were used to calculate HRs and 95% CIs for the associations between total antioxidant capacity and type 2 diabetes risk, adjusted for potential confounders.\nRESULTS: In multivariable models, higher levels of total antioxidant capacity were associated with a lower risk of type 2 diabetes. Compared with women in the lowest quintile, women in the third, fourth and fifth quintiles for total antioxidant capacity had HRs of 0.74 (95% CI 0.63, 0.86), 0.70 (95% CI 0.59, 0.83) and 0.73 (95% CI 0.60, 0.89), respectively. The inverse association between total antioxidant capacity and risk of type 2 diabetes was linear up to values of 15 mmol/day, after which the effect reached a plateau.\nCONCLUSIONS/INTERPRETATION: Our findings suggest that the total antioxidant capacity may play an important role in reducing the risk of type 2 diabetes in middle-aged women. More studies are warranted to better understand the biological mechanisms underlying this inverse association.","DOI":"10.1007/s00125-017-4489-7","ISSN":"1432-0428","note":"PMID: 29119242","journalAbbreviation":"Diabetologia","language":"eng","author":[{"family":"Mancini","given":"Francesca Romana"},{"family":"Affret","given":"Aurélie"},{"family":"Dow","given":"Courtney"},{"family":"Balkau","given":"Beverley"},{"family":"Bonnet","given":"Fabrice"},{"family":"Boutron-Ruault","given":"Marie-Christine"},{"family":"Fagherazzi","given":"Guy"}],"issued":{"date-parts":[["2017",11,9]]}}}],"schema":"https://github.com/citation-style-language/schema/raw/master/csl-citation.json"} </w:instrText>
      </w:r>
      <w:r w:rsidR="005B37D9"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(13)</w:t>
      </w:r>
      <w:r w:rsidR="005B37D9" w:rsidRPr="002E25AD">
        <w:rPr>
          <w:rFonts w:ascii="Times New Roman" w:hAnsi="Times New Roman" w:cs="Times New Roman"/>
          <w:sz w:val="24"/>
          <w:szCs w:val="24"/>
          <w:lang w:val="en-US"/>
        </w:rPr>
        <w:fldChar w:fldCharType="end"/>
      </w:r>
      <w:r w:rsidR="00FC350C" w:rsidRPr="002E25AD">
        <w:rPr>
          <w:rFonts w:ascii="Times New Roman" w:hAnsi="Times New Roman" w:cs="Times New Roman"/>
          <w:sz w:val="24"/>
          <w:szCs w:val="24"/>
          <w:lang w:val="en-US"/>
        </w:rPr>
        <w:t xml:space="preserve"> </w:t>
      </w:r>
      <w:r w:rsidR="000E0C10" w:rsidRPr="002E25AD">
        <w:rPr>
          <w:rFonts w:ascii="Times New Roman" w:hAnsi="Times New Roman" w:cs="Times New Roman"/>
          <w:sz w:val="24"/>
          <w:szCs w:val="24"/>
          <w:lang w:val="en-US"/>
        </w:rPr>
        <w:t>Five-fold multiple imputation using predictive mean matching was performed to account for missing values of covariates</w:t>
      </w:r>
      <w:r w:rsidR="0040125F" w:rsidRPr="002E25AD">
        <w:rPr>
          <w:rFonts w:ascii="Times New Roman" w:hAnsi="Times New Roman" w:cs="Times New Roman"/>
          <w:sz w:val="24"/>
          <w:szCs w:val="24"/>
          <w:lang w:val="en-US"/>
        </w:rPr>
        <w:t xml:space="preserve"> (ranging from 0% to 4.3%)</w:t>
      </w:r>
      <w:r w:rsidR="000E0C10" w:rsidRPr="002E25AD">
        <w:rPr>
          <w:rFonts w:ascii="Times New Roman" w:hAnsi="Times New Roman" w:cs="Times New Roman"/>
          <w:sz w:val="24"/>
          <w:szCs w:val="24"/>
          <w:lang w:val="en-US"/>
        </w:rPr>
        <w:t xml:space="preserve">. Our results are presented as pooled hazard ratios (HRs) </w:t>
      </w:r>
      <w:r w:rsidR="006500DA" w:rsidRPr="002E25AD">
        <w:rPr>
          <w:rFonts w:ascii="Times New Roman" w:hAnsi="Times New Roman" w:cs="Times New Roman"/>
          <w:sz w:val="24"/>
          <w:szCs w:val="24"/>
          <w:lang w:val="en-US"/>
        </w:rPr>
        <w:t xml:space="preserve">with 95% confidence intervals (95% CIs) </w:t>
      </w:r>
      <w:r w:rsidR="000E0C10" w:rsidRPr="002E25AD">
        <w:rPr>
          <w:rFonts w:ascii="Times New Roman" w:hAnsi="Times New Roman" w:cs="Times New Roman"/>
          <w:sz w:val="24"/>
          <w:szCs w:val="24"/>
          <w:lang w:val="en-US"/>
        </w:rPr>
        <w:t>obtained after multiple imputation</w:t>
      </w:r>
      <w:r w:rsidR="00FB24D0" w:rsidRPr="002E25AD">
        <w:rPr>
          <w:rFonts w:ascii="Times New Roman" w:hAnsi="Times New Roman" w:cs="Times New Roman"/>
          <w:sz w:val="24"/>
          <w:szCs w:val="24"/>
          <w:lang w:val="en-US"/>
        </w:rPr>
        <w:t xml:space="preserve"> for a standard deviation increment in total dietary antioxidant capacity</w:t>
      </w:r>
      <w:r w:rsidR="000E0C10" w:rsidRPr="002E25AD">
        <w:rPr>
          <w:rFonts w:ascii="Times New Roman" w:hAnsi="Times New Roman" w:cs="Times New Roman"/>
          <w:sz w:val="24"/>
          <w:szCs w:val="24"/>
          <w:lang w:val="en-US"/>
        </w:rPr>
        <w:t xml:space="preserve">. Statistical analyses were performed using R version 3.4.1 (The R Foundation for Statistical Computing, Vienna, Austria). </w:t>
      </w:r>
    </w:p>
    <w:p w14:paraId="64E2DE8E" w14:textId="6E80E312" w:rsidR="00776747" w:rsidRPr="002E25AD" w:rsidRDefault="00645D1C" w:rsidP="004E71A4">
      <w:pPr>
        <w:spacing w:line="480" w:lineRule="auto"/>
        <w:rPr>
          <w:rFonts w:ascii="Times New Roman" w:hAnsi="Times New Roman" w:cs="Times New Roman"/>
          <w:sz w:val="28"/>
          <w:szCs w:val="24"/>
          <w:lang w:val="en-US"/>
        </w:rPr>
      </w:pPr>
      <w:r w:rsidRPr="002E25AD">
        <w:rPr>
          <w:rFonts w:ascii="Times New Roman" w:hAnsi="Times New Roman" w:cs="Times New Roman"/>
          <w:b/>
          <w:sz w:val="28"/>
          <w:szCs w:val="24"/>
          <w:lang w:val="en-US"/>
        </w:rPr>
        <w:t>Results</w:t>
      </w:r>
      <w:r w:rsidR="000E0C10" w:rsidRPr="002E25AD">
        <w:rPr>
          <w:rFonts w:ascii="Times New Roman" w:hAnsi="Times New Roman" w:cs="Times New Roman"/>
          <w:sz w:val="28"/>
          <w:szCs w:val="24"/>
          <w:lang w:val="en-US"/>
        </w:rPr>
        <w:t xml:space="preserve"> </w:t>
      </w:r>
    </w:p>
    <w:p w14:paraId="6194228C" w14:textId="4C8C2B98" w:rsidR="00776747" w:rsidRPr="002E25AD" w:rsidRDefault="00776747" w:rsidP="004E71A4">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The baseline characteristics of the total study population </w:t>
      </w:r>
      <w:r w:rsidR="001858F1" w:rsidRPr="002E25AD">
        <w:rPr>
          <w:rFonts w:ascii="Times New Roman" w:hAnsi="Times New Roman" w:cs="Times New Roman"/>
          <w:sz w:val="24"/>
          <w:szCs w:val="24"/>
          <w:lang w:val="en-US"/>
        </w:rPr>
        <w:t xml:space="preserve">(n = 5,796) and the subgroups of men (n = 2,266) and women (n = 3,530) </w:t>
      </w:r>
      <w:r w:rsidR="00405D77" w:rsidRPr="002E25AD">
        <w:rPr>
          <w:rFonts w:ascii="Times New Roman" w:hAnsi="Times New Roman" w:cs="Times New Roman"/>
          <w:sz w:val="24"/>
          <w:szCs w:val="24"/>
          <w:lang w:val="en-US"/>
        </w:rPr>
        <w:t>are displayed in Table 1</w:t>
      </w:r>
      <w:r w:rsidRPr="002E25AD">
        <w:rPr>
          <w:rFonts w:ascii="Times New Roman" w:hAnsi="Times New Roman" w:cs="Times New Roman"/>
          <w:sz w:val="24"/>
          <w:szCs w:val="24"/>
          <w:lang w:val="en-US"/>
        </w:rPr>
        <w:t>.</w:t>
      </w:r>
      <w:r w:rsidR="003B4CA8" w:rsidRPr="002E25AD">
        <w:rPr>
          <w:rFonts w:ascii="Times New Roman" w:hAnsi="Times New Roman" w:cs="Times New Roman"/>
          <w:sz w:val="24"/>
          <w:szCs w:val="24"/>
          <w:lang w:val="en-US"/>
        </w:rPr>
        <w:t xml:space="preserve"> </w:t>
      </w:r>
      <w:r w:rsidR="00BF2D80" w:rsidRPr="002E25AD">
        <w:rPr>
          <w:rFonts w:ascii="Times New Roman" w:hAnsi="Times New Roman" w:cs="Times New Roman"/>
          <w:sz w:val="24"/>
          <w:szCs w:val="24"/>
          <w:lang w:val="en-US"/>
        </w:rPr>
        <w:t>T</w:t>
      </w:r>
      <w:r w:rsidR="003B4CA8" w:rsidRPr="002E25AD">
        <w:rPr>
          <w:rFonts w:ascii="Times New Roman" w:hAnsi="Times New Roman" w:cs="Times New Roman"/>
          <w:sz w:val="24"/>
          <w:szCs w:val="24"/>
          <w:lang w:val="en-US"/>
        </w:rPr>
        <w:t xml:space="preserve">he major contributors to FRAP in our study were intake of coffee, </w:t>
      </w:r>
      <w:r w:rsidR="00D17054" w:rsidRPr="002E25AD">
        <w:rPr>
          <w:rFonts w:ascii="Times New Roman" w:hAnsi="Times New Roman" w:cs="Times New Roman"/>
          <w:sz w:val="24"/>
          <w:szCs w:val="24"/>
          <w:lang w:val="en-US"/>
        </w:rPr>
        <w:t>fruit, vegetables</w:t>
      </w:r>
      <w:r w:rsidR="00BF2D80" w:rsidRPr="002E25AD">
        <w:rPr>
          <w:rFonts w:ascii="Times New Roman" w:hAnsi="Times New Roman" w:cs="Times New Roman"/>
          <w:sz w:val="24"/>
          <w:szCs w:val="24"/>
          <w:lang w:val="en-US"/>
        </w:rPr>
        <w:t>, tea</w:t>
      </w:r>
      <w:r w:rsidR="00D17054" w:rsidRPr="002E25AD">
        <w:rPr>
          <w:rFonts w:ascii="Times New Roman" w:hAnsi="Times New Roman" w:cs="Times New Roman"/>
          <w:sz w:val="24"/>
          <w:szCs w:val="24"/>
          <w:lang w:val="en-US"/>
        </w:rPr>
        <w:t xml:space="preserve"> and chocolate.</w:t>
      </w:r>
      <w:r w:rsidRPr="002E25AD">
        <w:rPr>
          <w:rFonts w:ascii="Times New Roman" w:hAnsi="Times New Roman" w:cs="Times New Roman"/>
          <w:sz w:val="24"/>
          <w:szCs w:val="24"/>
          <w:lang w:val="en-US"/>
        </w:rPr>
        <w:t xml:space="preserve"> </w:t>
      </w:r>
      <w:r w:rsidR="003B4CA8" w:rsidRPr="002E25AD">
        <w:rPr>
          <w:rFonts w:ascii="Times New Roman" w:hAnsi="Times New Roman" w:cs="Times New Roman"/>
          <w:sz w:val="24"/>
          <w:szCs w:val="24"/>
          <w:lang w:val="en-US"/>
        </w:rPr>
        <w:t>A</w:t>
      </w:r>
      <w:r w:rsidR="00434ED5" w:rsidRPr="002E25AD">
        <w:rPr>
          <w:rFonts w:ascii="Times New Roman" w:hAnsi="Times New Roman" w:cs="Times New Roman"/>
          <w:sz w:val="24"/>
          <w:szCs w:val="24"/>
          <w:lang w:val="en-US"/>
        </w:rPr>
        <w:t xml:space="preserve"> comparison between participants who were and were not included in the analysis of this study based on missing data</w:t>
      </w:r>
      <w:r w:rsidR="003B4CA8" w:rsidRPr="002E25AD">
        <w:rPr>
          <w:rFonts w:ascii="Times New Roman" w:hAnsi="Times New Roman" w:cs="Times New Roman"/>
          <w:sz w:val="24"/>
          <w:szCs w:val="24"/>
          <w:lang w:val="en-US"/>
        </w:rPr>
        <w:t xml:space="preserve"> is presented in </w:t>
      </w:r>
      <w:r w:rsidR="000D62EC" w:rsidRPr="002E25AD">
        <w:rPr>
          <w:rFonts w:ascii="Times New Roman" w:hAnsi="Times New Roman" w:cs="Times New Roman"/>
          <w:sz w:val="24"/>
          <w:szCs w:val="24"/>
          <w:lang w:val="en-US"/>
        </w:rPr>
        <w:t>Supplementary Table 1</w:t>
      </w:r>
      <w:r w:rsidR="00434ED5" w:rsidRPr="002E25AD">
        <w:rPr>
          <w:rFonts w:ascii="Times New Roman" w:hAnsi="Times New Roman" w:cs="Times New Roman"/>
          <w:sz w:val="24"/>
          <w:szCs w:val="24"/>
          <w:lang w:val="en-US"/>
        </w:rPr>
        <w:t xml:space="preserve">.  </w:t>
      </w:r>
      <w:r w:rsidR="00405D77" w:rsidRPr="002E25AD">
        <w:rPr>
          <w:rFonts w:ascii="Times New Roman" w:hAnsi="Times New Roman" w:cs="Times New Roman"/>
          <w:sz w:val="24"/>
          <w:szCs w:val="24"/>
          <w:lang w:val="en-US"/>
        </w:rPr>
        <w:t>Because we observed statistical interaction</w:t>
      </w:r>
      <w:r w:rsidR="00697FD8" w:rsidRPr="002E25AD">
        <w:rPr>
          <w:rFonts w:ascii="Times New Roman" w:hAnsi="Times New Roman" w:cs="Times New Roman"/>
          <w:sz w:val="24"/>
          <w:szCs w:val="24"/>
          <w:lang w:val="en-US"/>
        </w:rPr>
        <w:t>s</w:t>
      </w:r>
      <w:r w:rsidR="00405D77" w:rsidRPr="002E25AD">
        <w:rPr>
          <w:rFonts w:ascii="Times New Roman" w:hAnsi="Times New Roman" w:cs="Times New Roman"/>
          <w:sz w:val="24"/>
          <w:szCs w:val="24"/>
          <w:lang w:val="en-US"/>
        </w:rPr>
        <w:t xml:space="preserve"> between FRAP score and sex on risk of prediabetes (p-va</w:t>
      </w:r>
      <w:r w:rsidR="006F6EF2" w:rsidRPr="002E25AD">
        <w:rPr>
          <w:rFonts w:ascii="Times New Roman" w:hAnsi="Times New Roman" w:cs="Times New Roman"/>
          <w:sz w:val="24"/>
          <w:szCs w:val="24"/>
          <w:lang w:val="en-US"/>
        </w:rPr>
        <w:t>lue for interaction 0.06</w:t>
      </w:r>
      <w:r w:rsidR="00405D77" w:rsidRPr="002E25AD">
        <w:rPr>
          <w:rFonts w:ascii="Times New Roman" w:hAnsi="Times New Roman" w:cs="Times New Roman"/>
          <w:sz w:val="24"/>
          <w:szCs w:val="24"/>
          <w:lang w:val="en-US"/>
        </w:rPr>
        <w:t>) and</w:t>
      </w:r>
      <w:r w:rsidR="00697FD8" w:rsidRPr="002E25AD">
        <w:rPr>
          <w:rFonts w:ascii="Times New Roman" w:hAnsi="Times New Roman" w:cs="Times New Roman"/>
          <w:sz w:val="24"/>
          <w:szCs w:val="24"/>
          <w:lang w:val="en-US"/>
        </w:rPr>
        <w:t xml:space="preserve"> on</w:t>
      </w:r>
      <w:r w:rsidR="00405D77" w:rsidRPr="002E25AD">
        <w:rPr>
          <w:rFonts w:ascii="Times New Roman" w:hAnsi="Times New Roman" w:cs="Times New Roman"/>
          <w:sz w:val="24"/>
          <w:szCs w:val="24"/>
          <w:lang w:val="en-US"/>
        </w:rPr>
        <w:t xml:space="preserve"> HOMA-I</w:t>
      </w:r>
      <w:r w:rsidR="006F6EF2" w:rsidRPr="002E25AD">
        <w:rPr>
          <w:rFonts w:ascii="Times New Roman" w:hAnsi="Times New Roman" w:cs="Times New Roman"/>
          <w:sz w:val="24"/>
          <w:szCs w:val="24"/>
          <w:lang w:val="en-US"/>
        </w:rPr>
        <w:t>R (p-value for interaction 0.01</w:t>
      </w:r>
      <w:r w:rsidR="00405D77" w:rsidRPr="002E25AD">
        <w:rPr>
          <w:rFonts w:ascii="Times New Roman" w:hAnsi="Times New Roman" w:cs="Times New Roman"/>
          <w:sz w:val="24"/>
          <w:szCs w:val="24"/>
          <w:lang w:val="en-US"/>
        </w:rPr>
        <w:t xml:space="preserve">), we stratified all our analyses by sex. The mean (SD) FRAP score was 24.0 (9.0) for the total population, </w:t>
      </w:r>
      <w:r w:rsidR="001858F1" w:rsidRPr="002E25AD">
        <w:rPr>
          <w:rFonts w:ascii="Times New Roman" w:hAnsi="Times New Roman" w:cs="Times New Roman"/>
          <w:sz w:val="24"/>
          <w:szCs w:val="24"/>
          <w:lang w:val="en-US"/>
        </w:rPr>
        <w:t>25.1 (9.8)</w:t>
      </w:r>
      <w:r w:rsidR="00405D77" w:rsidRPr="002E25AD">
        <w:rPr>
          <w:rFonts w:ascii="Times New Roman" w:hAnsi="Times New Roman" w:cs="Times New Roman"/>
          <w:sz w:val="24"/>
          <w:szCs w:val="24"/>
          <w:lang w:val="en-US"/>
        </w:rPr>
        <w:t xml:space="preserve"> for men and </w:t>
      </w:r>
      <w:r w:rsidR="001858F1" w:rsidRPr="002E25AD">
        <w:rPr>
          <w:rFonts w:ascii="Times New Roman" w:hAnsi="Times New Roman" w:cs="Times New Roman"/>
          <w:sz w:val="24"/>
          <w:szCs w:val="24"/>
          <w:lang w:val="en-US"/>
        </w:rPr>
        <w:t>23.2 (8.4)</w:t>
      </w:r>
      <w:r w:rsidR="00405D77" w:rsidRPr="002E25AD">
        <w:rPr>
          <w:rFonts w:ascii="Times New Roman" w:hAnsi="Times New Roman" w:cs="Times New Roman"/>
          <w:sz w:val="24"/>
          <w:szCs w:val="24"/>
          <w:lang w:val="en-US"/>
        </w:rPr>
        <w:t xml:space="preserve"> for women.</w:t>
      </w:r>
    </w:p>
    <w:p w14:paraId="3067F494" w14:textId="6CD20D80" w:rsidR="009F657D" w:rsidRPr="002E25AD" w:rsidRDefault="00B07441" w:rsidP="004E71A4">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Of all 5,796 individuals eligible for analysis, 532 developed type 2 diabetes over a</w:t>
      </w:r>
      <w:r w:rsidR="005608C7" w:rsidRPr="002E25AD">
        <w:rPr>
          <w:rFonts w:ascii="Times New Roman" w:hAnsi="Times New Roman" w:cs="Times New Roman"/>
          <w:sz w:val="24"/>
          <w:szCs w:val="24"/>
          <w:lang w:val="en-US"/>
        </w:rPr>
        <w:t xml:space="preserve"> mean follow-up duration of 8.1</w:t>
      </w:r>
      <w:r w:rsidRPr="002E25AD">
        <w:rPr>
          <w:rFonts w:ascii="Times New Roman" w:hAnsi="Times New Roman" w:cs="Times New Roman"/>
          <w:sz w:val="24"/>
          <w:szCs w:val="24"/>
          <w:lang w:val="en-US"/>
        </w:rPr>
        <w:t xml:space="preserve"> years (incid</w:t>
      </w:r>
      <w:r w:rsidR="00697FD8" w:rsidRPr="002E25AD">
        <w:rPr>
          <w:rFonts w:ascii="Times New Roman" w:hAnsi="Times New Roman" w:cs="Times New Roman"/>
          <w:sz w:val="24"/>
          <w:szCs w:val="24"/>
          <w:lang w:val="en-US"/>
        </w:rPr>
        <w:t>ence rate 11.4 per 1,000 person-</w:t>
      </w:r>
      <w:r w:rsidRPr="002E25AD">
        <w:rPr>
          <w:rFonts w:ascii="Times New Roman" w:hAnsi="Times New Roman" w:cs="Times New Roman"/>
          <w:sz w:val="24"/>
          <w:szCs w:val="24"/>
          <w:lang w:val="en-US"/>
        </w:rPr>
        <w:t>ye</w:t>
      </w:r>
      <w:r w:rsidR="006E78BF" w:rsidRPr="002E25AD">
        <w:rPr>
          <w:rFonts w:ascii="Times New Roman" w:hAnsi="Times New Roman" w:cs="Times New Roman"/>
          <w:sz w:val="24"/>
          <w:szCs w:val="24"/>
          <w:lang w:val="en-US"/>
        </w:rPr>
        <w:t>ars)</w:t>
      </w:r>
      <w:r w:rsidRPr="002E25AD">
        <w:rPr>
          <w:rFonts w:ascii="Times New Roman" w:hAnsi="Times New Roman" w:cs="Times New Roman"/>
          <w:sz w:val="24"/>
          <w:szCs w:val="24"/>
          <w:lang w:val="en-US"/>
        </w:rPr>
        <w:t>. We observed a</w:t>
      </w:r>
      <w:r w:rsidR="00405D77" w:rsidRPr="002E25AD">
        <w:rPr>
          <w:rFonts w:ascii="Times New Roman" w:hAnsi="Times New Roman" w:cs="Times New Roman"/>
          <w:sz w:val="24"/>
          <w:szCs w:val="24"/>
          <w:lang w:val="en-US"/>
        </w:rPr>
        <w:t>n association between a higher FRAP score and a lower risk of type 2 diabetes, which</w:t>
      </w:r>
      <w:r w:rsidR="007B2381" w:rsidRPr="002E25AD">
        <w:rPr>
          <w:rFonts w:ascii="Times New Roman" w:hAnsi="Times New Roman" w:cs="Times New Roman"/>
          <w:sz w:val="24"/>
          <w:szCs w:val="24"/>
          <w:lang w:val="en-US"/>
        </w:rPr>
        <w:t xml:space="preserve"> remained statistically significant after adjusting for metabolic and socio-econ</w:t>
      </w:r>
      <w:r w:rsidR="00A920BD" w:rsidRPr="002E25AD">
        <w:rPr>
          <w:rFonts w:ascii="Times New Roman" w:hAnsi="Times New Roman" w:cs="Times New Roman"/>
          <w:sz w:val="24"/>
          <w:szCs w:val="24"/>
          <w:lang w:val="en-US"/>
        </w:rPr>
        <w:t>omic factors in model 2 (HR 0.85, 95% CI 0.76</w:t>
      </w:r>
      <w:r w:rsidR="00C117CF" w:rsidRPr="002E25AD">
        <w:rPr>
          <w:rFonts w:ascii="Times New Roman" w:hAnsi="Times New Roman" w:cs="Times New Roman"/>
          <w:sz w:val="24"/>
          <w:szCs w:val="24"/>
          <w:lang w:val="en-US"/>
        </w:rPr>
        <w:t xml:space="preserve"> ;</w:t>
      </w:r>
      <w:r w:rsidR="007B2381" w:rsidRPr="002E25AD">
        <w:rPr>
          <w:rFonts w:ascii="Times New Roman" w:hAnsi="Times New Roman" w:cs="Times New Roman"/>
          <w:sz w:val="24"/>
          <w:szCs w:val="24"/>
          <w:lang w:val="en-US"/>
        </w:rPr>
        <w:t xml:space="preserve"> 0.</w:t>
      </w:r>
      <w:r w:rsidR="00437A34" w:rsidRPr="002E25AD">
        <w:rPr>
          <w:rFonts w:ascii="Times New Roman" w:hAnsi="Times New Roman" w:cs="Times New Roman"/>
          <w:sz w:val="24"/>
          <w:szCs w:val="24"/>
          <w:lang w:val="en-US"/>
        </w:rPr>
        <w:t>95) and further adjustment</w:t>
      </w:r>
      <w:r w:rsidR="007B2381" w:rsidRPr="002E25AD">
        <w:rPr>
          <w:rFonts w:ascii="Times New Roman" w:hAnsi="Times New Roman" w:cs="Times New Roman"/>
          <w:sz w:val="24"/>
          <w:szCs w:val="24"/>
          <w:lang w:val="en-US"/>
        </w:rPr>
        <w:t xml:space="preserve"> for dietary factors in model </w:t>
      </w:r>
      <w:r w:rsidR="00A920BD" w:rsidRPr="002E25AD">
        <w:rPr>
          <w:rFonts w:ascii="Times New Roman" w:hAnsi="Times New Roman" w:cs="Times New Roman"/>
          <w:sz w:val="24"/>
          <w:szCs w:val="24"/>
          <w:lang w:val="en-US"/>
        </w:rPr>
        <w:t>3 (HR 0.84, 95% CI 0.75</w:t>
      </w:r>
      <w:r w:rsidR="00C117CF" w:rsidRPr="002E25AD">
        <w:rPr>
          <w:rFonts w:ascii="Times New Roman" w:hAnsi="Times New Roman" w:cs="Times New Roman"/>
          <w:sz w:val="24"/>
          <w:szCs w:val="24"/>
          <w:lang w:val="en-US"/>
        </w:rPr>
        <w:t xml:space="preserve"> ;</w:t>
      </w:r>
      <w:r w:rsidR="00146F88" w:rsidRPr="002E25AD">
        <w:rPr>
          <w:rFonts w:ascii="Times New Roman" w:hAnsi="Times New Roman" w:cs="Times New Roman"/>
          <w:sz w:val="24"/>
          <w:szCs w:val="24"/>
          <w:lang w:val="en-US"/>
        </w:rPr>
        <w:t xml:space="preserve"> 0.95)</w:t>
      </w:r>
      <w:r w:rsidR="00405D77" w:rsidRPr="002E25AD">
        <w:rPr>
          <w:rFonts w:ascii="Times New Roman" w:hAnsi="Times New Roman" w:cs="Times New Roman"/>
          <w:sz w:val="24"/>
          <w:szCs w:val="24"/>
          <w:lang w:val="en-US"/>
        </w:rPr>
        <w:t>. For incident type 2 diabetes</w:t>
      </w:r>
      <w:r w:rsidR="00025294" w:rsidRPr="002E25AD">
        <w:rPr>
          <w:rFonts w:ascii="Times New Roman" w:hAnsi="Times New Roman" w:cs="Times New Roman"/>
          <w:sz w:val="24"/>
          <w:szCs w:val="24"/>
          <w:lang w:val="en-US"/>
        </w:rPr>
        <w:t xml:space="preserve"> </w:t>
      </w:r>
      <w:r w:rsidR="00405D77" w:rsidRPr="002E25AD">
        <w:rPr>
          <w:rFonts w:ascii="Times New Roman" w:hAnsi="Times New Roman" w:cs="Times New Roman"/>
          <w:sz w:val="24"/>
          <w:szCs w:val="24"/>
          <w:lang w:val="en-US"/>
        </w:rPr>
        <w:t>there was no statistical</w:t>
      </w:r>
      <w:r w:rsidR="00025294" w:rsidRPr="002E25AD">
        <w:rPr>
          <w:rFonts w:ascii="Times New Roman" w:hAnsi="Times New Roman" w:cs="Times New Roman"/>
          <w:sz w:val="24"/>
          <w:szCs w:val="24"/>
          <w:lang w:val="en-US"/>
        </w:rPr>
        <w:t xml:space="preserve"> interaction</w:t>
      </w:r>
      <w:r w:rsidR="00405D77" w:rsidRPr="002E25AD">
        <w:rPr>
          <w:rFonts w:ascii="Times New Roman" w:hAnsi="Times New Roman" w:cs="Times New Roman"/>
          <w:sz w:val="24"/>
          <w:szCs w:val="24"/>
          <w:lang w:val="en-US"/>
        </w:rPr>
        <w:t xml:space="preserve"> between </w:t>
      </w:r>
      <w:r w:rsidR="00405D77" w:rsidRPr="002E25AD">
        <w:rPr>
          <w:rFonts w:ascii="Times New Roman" w:hAnsi="Times New Roman" w:cs="Times New Roman"/>
          <w:sz w:val="24"/>
          <w:szCs w:val="24"/>
          <w:lang w:val="en-US"/>
        </w:rPr>
        <w:lastRenderedPageBreak/>
        <w:t xml:space="preserve">dietary antioxidant capacity and sex, and indeed </w:t>
      </w:r>
      <w:r w:rsidR="000575FB" w:rsidRPr="002E25AD">
        <w:rPr>
          <w:rFonts w:ascii="Times New Roman" w:hAnsi="Times New Roman" w:cs="Times New Roman"/>
          <w:sz w:val="24"/>
          <w:szCs w:val="24"/>
          <w:lang w:val="en-US"/>
        </w:rPr>
        <w:t>we observed similar effect estimates among men (</w:t>
      </w:r>
      <w:r w:rsidR="00C117CF" w:rsidRPr="002E25AD">
        <w:rPr>
          <w:rFonts w:ascii="Times New Roman" w:hAnsi="Times New Roman" w:cs="Times New Roman"/>
          <w:sz w:val="24"/>
          <w:szCs w:val="24"/>
          <w:lang w:val="en-US"/>
        </w:rPr>
        <w:t>HR 0.84, 95% CI 0.71 ;</w:t>
      </w:r>
      <w:r w:rsidR="005E538D" w:rsidRPr="002E25AD">
        <w:rPr>
          <w:rFonts w:ascii="Times New Roman" w:hAnsi="Times New Roman" w:cs="Times New Roman"/>
          <w:sz w:val="24"/>
          <w:szCs w:val="24"/>
          <w:lang w:val="en-US"/>
        </w:rPr>
        <w:t xml:space="preserve"> 1.00</w:t>
      </w:r>
      <w:r w:rsidR="000575FB" w:rsidRPr="002E25AD">
        <w:rPr>
          <w:rFonts w:ascii="Times New Roman" w:hAnsi="Times New Roman" w:cs="Times New Roman"/>
          <w:sz w:val="24"/>
          <w:szCs w:val="24"/>
          <w:lang w:val="en-US"/>
        </w:rPr>
        <w:t>) and women</w:t>
      </w:r>
      <w:r w:rsidR="00C117CF" w:rsidRPr="002E25AD">
        <w:rPr>
          <w:rFonts w:ascii="Times New Roman" w:hAnsi="Times New Roman" w:cs="Times New Roman"/>
          <w:sz w:val="24"/>
          <w:szCs w:val="24"/>
          <w:lang w:val="en-US"/>
        </w:rPr>
        <w:t xml:space="preserve"> (HR 0.83, 95% CI 0.70 ;</w:t>
      </w:r>
      <w:r w:rsidR="00A920BD" w:rsidRPr="002E25AD">
        <w:rPr>
          <w:rFonts w:ascii="Times New Roman" w:hAnsi="Times New Roman" w:cs="Times New Roman"/>
          <w:sz w:val="24"/>
          <w:szCs w:val="24"/>
          <w:lang w:val="en-US"/>
        </w:rPr>
        <w:t xml:space="preserve"> 0.99</w:t>
      </w:r>
      <w:r w:rsidR="005E538D" w:rsidRPr="002E25AD">
        <w:rPr>
          <w:rFonts w:ascii="Times New Roman" w:hAnsi="Times New Roman" w:cs="Times New Roman"/>
          <w:sz w:val="24"/>
          <w:szCs w:val="24"/>
          <w:lang w:val="en-US"/>
        </w:rPr>
        <w:t>) after adjustment for all covariates.</w:t>
      </w:r>
      <w:r w:rsidR="00697FD8" w:rsidRPr="002E25AD">
        <w:rPr>
          <w:rFonts w:ascii="Times New Roman" w:hAnsi="Times New Roman" w:cs="Times New Roman"/>
          <w:sz w:val="24"/>
          <w:szCs w:val="24"/>
          <w:lang w:val="en-US"/>
        </w:rPr>
        <w:t xml:space="preserve"> (Table </w:t>
      </w:r>
      <w:r w:rsidR="000D62EC" w:rsidRPr="002E25AD">
        <w:rPr>
          <w:rFonts w:ascii="Times New Roman" w:hAnsi="Times New Roman" w:cs="Times New Roman"/>
          <w:sz w:val="24"/>
          <w:szCs w:val="24"/>
          <w:lang w:val="en-US"/>
        </w:rPr>
        <w:t>2</w:t>
      </w:r>
      <w:r w:rsidR="00405D77" w:rsidRPr="002E25AD">
        <w:rPr>
          <w:rFonts w:ascii="Times New Roman" w:hAnsi="Times New Roman" w:cs="Times New Roman"/>
          <w:sz w:val="24"/>
          <w:szCs w:val="24"/>
          <w:lang w:val="en-US"/>
        </w:rPr>
        <w:t>).</w:t>
      </w:r>
    </w:p>
    <w:p w14:paraId="6148717B" w14:textId="39D0FB02" w:rsidR="00405D77" w:rsidRPr="002E25AD" w:rsidRDefault="00405D77" w:rsidP="004E71A4">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Of the 839 individuals with prediabetes at baseline, 259 developed type</w:t>
      </w:r>
      <w:r w:rsidR="0086300D" w:rsidRPr="002E25AD">
        <w:rPr>
          <w:rFonts w:ascii="Times New Roman" w:hAnsi="Times New Roman" w:cs="Times New Roman"/>
          <w:sz w:val="24"/>
          <w:szCs w:val="24"/>
          <w:lang w:val="en-US"/>
        </w:rPr>
        <w:t xml:space="preserve"> 2</w:t>
      </w:r>
      <w:r w:rsidRPr="002E25AD">
        <w:rPr>
          <w:rFonts w:ascii="Times New Roman" w:hAnsi="Times New Roman" w:cs="Times New Roman"/>
          <w:sz w:val="24"/>
          <w:szCs w:val="24"/>
          <w:lang w:val="en-US"/>
        </w:rPr>
        <w:t xml:space="preserve"> diabetes over a mean follow-up duration of 7.4 years (incidence rate 41.5 per 1,000 person-years). We</w:t>
      </w:r>
      <w:r w:rsidR="00C7776A" w:rsidRPr="002E25AD">
        <w:rPr>
          <w:rFonts w:ascii="Times New Roman" w:hAnsi="Times New Roman" w:cs="Times New Roman"/>
          <w:sz w:val="24"/>
          <w:szCs w:val="24"/>
          <w:lang w:val="en-US"/>
        </w:rPr>
        <w:t xml:space="preserve"> also</w:t>
      </w:r>
      <w:r w:rsidRPr="002E25AD">
        <w:rPr>
          <w:rFonts w:ascii="Times New Roman" w:hAnsi="Times New Roman" w:cs="Times New Roman"/>
          <w:sz w:val="24"/>
          <w:szCs w:val="24"/>
          <w:lang w:val="en-US"/>
        </w:rPr>
        <w:t xml:space="preserve"> found a significant association between FRAP score and incident type 2 diabetes in this subgroup (model 3; HR 0.85, 0.73 ; 0.99)</w:t>
      </w:r>
      <w:r w:rsidR="00C7776A" w:rsidRPr="002E25AD">
        <w:rPr>
          <w:rFonts w:ascii="Times New Roman" w:hAnsi="Times New Roman" w:cs="Times New Roman"/>
          <w:sz w:val="24"/>
          <w:szCs w:val="24"/>
          <w:lang w:val="en-US"/>
        </w:rPr>
        <w:t xml:space="preserve">, with similar effect estimates among men and women </w:t>
      </w:r>
      <w:r w:rsidRPr="002E25AD">
        <w:rPr>
          <w:rFonts w:ascii="Times New Roman" w:hAnsi="Times New Roman" w:cs="Times New Roman"/>
          <w:sz w:val="24"/>
          <w:szCs w:val="24"/>
          <w:lang w:val="en-US"/>
        </w:rPr>
        <w:t>(</w:t>
      </w:r>
      <w:r w:rsidR="00C7776A" w:rsidRPr="002E25AD">
        <w:rPr>
          <w:rFonts w:ascii="Times New Roman" w:hAnsi="Times New Roman" w:cs="Times New Roman"/>
          <w:sz w:val="24"/>
          <w:szCs w:val="24"/>
          <w:lang w:val="en-US"/>
        </w:rPr>
        <w:t>p-value</w:t>
      </w:r>
      <w:r w:rsidR="006F6EF2" w:rsidRPr="002E25AD">
        <w:rPr>
          <w:rFonts w:ascii="Times New Roman" w:hAnsi="Times New Roman" w:cs="Times New Roman"/>
          <w:sz w:val="24"/>
          <w:szCs w:val="24"/>
          <w:lang w:val="en-US"/>
        </w:rPr>
        <w:t xml:space="preserve"> for interaction 0.9</w:t>
      </w:r>
      <w:r w:rsidR="006E78BF" w:rsidRPr="002E25AD">
        <w:rPr>
          <w:rFonts w:ascii="Times New Roman" w:hAnsi="Times New Roman" w:cs="Times New Roman"/>
          <w:sz w:val="24"/>
          <w:szCs w:val="24"/>
          <w:lang w:val="en-US"/>
        </w:rPr>
        <w:t xml:space="preserve">0) (Table </w:t>
      </w:r>
      <w:r w:rsidR="000D62EC" w:rsidRPr="002E25AD">
        <w:rPr>
          <w:rFonts w:ascii="Times New Roman" w:hAnsi="Times New Roman" w:cs="Times New Roman"/>
          <w:sz w:val="24"/>
          <w:szCs w:val="24"/>
          <w:lang w:val="en-US"/>
        </w:rPr>
        <w:t>2</w:t>
      </w:r>
      <w:r w:rsidR="00C7776A" w:rsidRPr="002E25AD">
        <w:rPr>
          <w:rFonts w:ascii="Times New Roman" w:hAnsi="Times New Roman" w:cs="Times New Roman"/>
          <w:sz w:val="24"/>
          <w:szCs w:val="24"/>
          <w:lang w:val="en-US"/>
        </w:rPr>
        <w:t xml:space="preserve">). </w:t>
      </w:r>
    </w:p>
    <w:p w14:paraId="1B59285C" w14:textId="6CE46984" w:rsidR="009D4A00" w:rsidRPr="002E25AD" w:rsidRDefault="00B07441" w:rsidP="004E71A4">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Over a mean follow-up duration of 7.7 years, 794 of the 4,957 individuals with normoglycaemia at baseline developed prediabetes (incid</w:t>
      </w:r>
      <w:r w:rsidR="00697FD8" w:rsidRPr="002E25AD">
        <w:rPr>
          <w:rFonts w:ascii="Times New Roman" w:hAnsi="Times New Roman" w:cs="Times New Roman"/>
          <w:sz w:val="24"/>
          <w:szCs w:val="24"/>
          <w:lang w:val="en-US"/>
        </w:rPr>
        <w:t>ence rate 20.9 per 1,000 person-</w:t>
      </w:r>
      <w:r w:rsidRPr="002E25AD">
        <w:rPr>
          <w:rFonts w:ascii="Times New Roman" w:hAnsi="Times New Roman" w:cs="Times New Roman"/>
          <w:sz w:val="24"/>
          <w:szCs w:val="24"/>
          <w:lang w:val="en-US"/>
        </w:rPr>
        <w:t>years).</w:t>
      </w:r>
      <w:r w:rsidR="00437A34" w:rsidRPr="002E25AD">
        <w:rPr>
          <w:rFonts w:ascii="Times New Roman" w:hAnsi="Times New Roman" w:cs="Times New Roman"/>
          <w:sz w:val="24"/>
          <w:szCs w:val="24"/>
          <w:lang w:val="en-US"/>
        </w:rPr>
        <w:t xml:space="preserve"> FRAP score was not significantly assoc</w:t>
      </w:r>
      <w:r w:rsidR="00405D77" w:rsidRPr="002E25AD">
        <w:rPr>
          <w:rFonts w:ascii="Times New Roman" w:hAnsi="Times New Roman" w:cs="Times New Roman"/>
          <w:sz w:val="24"/>
          <w:szCs w:val="24"/>
          <w:lang w:val="en-US"/>
        </w:rPr>
        <w:t xml:space="preserve">iated with incident prediabetes (model 3; </w:t>
      </w:r>
      <w:r w:rsidR="00563B3F" w:rsidRPr="002E25AD">
        <w:rPr>
          <w:rFonts w:ascii="Times New Roman" w:hAnsi="Times New Roman" w:cs="Times New Roman"/>
          <w:sz w:val="24"/>
          <w:szCs w:val="24"/>
          <w:lang w:val="en-US"/>
        </w:rPr>
        <w:t>HR 0.93, 95% CI 0.84 ; 1.02</w:t>
      </w:r>
      <w:r w:rsidR="00437A34" w:rsidRPr="002E25AD">
        <w:rPr>
          <w:rFonts w:ascii="Times New Roman" w:hAnsi="Times New Roman" w:cs="Times New Roman"/>
          <w:sz w:val="24"/>
          <w:szCs w:val="24"/>
          <w:lang w:val="en-US"/>
        </w:rPr>
        <w:t>)</w:t>
      </w:r>
      <w:r w:rsidR="00563B3F" w:rsidRPr="002E25AD">
        <w:rPr>
          <w:rFonts w:ascii="Times New Roman" w:hAnsi="Times New Roman" w:cs="Times New Roman"/>
          <w:sz w:val="24"/>
          <w:szCs w:val="24"/>
          <w:lang w:val="en-US"/>
        </w:rPr>
        <w:t>. However, after stratification by se</w:t>
      </w:r>
      <w:r w:rsidR="006F6EF2" w:rsidRPr="002E25AD">
        <w:rPr>
          <w:rFonts w:ascii="Times New Roman" w:hAnsi="Times New Roman" w:cs="Times New Roman"/>
          <w:sz w:val="24"/>
          <w:szCs w:val="24"/>
          <w:lang w:val="en-US"/>
        </w:rPr>
        <w:t>x (p-value for interaction 0.06</w:t>
      </w:r>
      <w:r w:rsidR="00563B3F" w:rsidRPr="002E25AD">
        <w:rPr>
          <w:rFonts w:ascii="Times New Roman" w:hAnsi="Times New Roman" w:cs="Times New Roman"/>
          <w:sz w:val="24"/>
          <w:szCs w:val="24"/>
          <w:lang w:val="en-US"/>
        </w:rPr>
        <w:t xml:space="preserve">), we observed </w:t>
      </w:r>
      <w:r w:rsidR="00C7776A" w:rsidRPr="002E25AD">
        <w:rPr>
          <w:rFonts w:ascii="Times New Roman" w:hAnsi="Times New Roman" w:cs="Times New Roman"/>
          <w:sz w:val="24"/>
          <w:szCs w:val="24"/>
          <w:lang w:val="en-US"/>
        </w:rPr>
        <w:t>a significant inverse association</w:t>
      </w:r>
      <w:r w:rsidR="00563B3F" w:rsidRPr="002E25AD">
        <w:rPr>
          <w:rFonts w:ascii="Times New Roman" w:hAnsi="Times New Roman" w:cs="Times New Roman"/>
          <w:sz w:val="24"/>
          <w:szCs w:val="24"/>
          <w:lang w:val="en-US"/>
        </w:rPr>
        <w:t xml:space="preserve"> a</w:t>
      </w:r>
      <w:r w:rsidR="006E7E48" w:rsidRPr="002E25AD">
        <w:rPr>
          <w:rFonts w:ascii="Times New Roman" w:hAnsi="Times New Roman" w:cs="Times New Roman"/>
          <w:sz w:val="24"/>
          <w:szCs w:val="24"/>
          <w:lang w:val="en-US"/>
        </w:rPr>
        <w:t xml:space="preserve">mong men </w:t>
      </w:r>
      <w:r w:rsidR="00A920BD" w:rsidRPr="002E25AD">
        <w:rPr>
          <w:rFonts w:ascii="Times New Roman" w:hAnsi="Times New Roman" w:cs="Times New Roman"/>
          <w:sz w:val="24"/>
          <w:szCs w:val="24"/>
          <w:lang w:val="en-US"/>
        </w:rPr>
        <w:t>(</w:t>
      </w:r>
      <w:r w:rsidR="00405D77" w:rsidRPr="002E25AD">
        <w:rPr>
          <w:rFonts w:ascii="Times New Roman" w:hAnsi="Times New Roman" w:cs="Times New Roman"/>
          <w:sz w:val="24"/>
          <w:szCs w:val="24"/>
          <w:lang w:val="en-US"/>
        </w:rPr>
        <w:t xml:space="preserve">model 3; </w:t>
      </w:r>
      <w:r w:rsidR="00A920BD" w:rsidRPr="002E25AD">
        <w:rPr>
          <w:rFonts w:ascii="Times New Roman" w:hAnsi="Times New Roman" w:cs="Times New Roman"/>
          <w:sz w:val="24"/>
          <w:szCs w:val="24"/>
          <w:lang w:val="en-US"/>
        </w:rPr>
        <w:t>HR 0.84, 95% CI 0.72</w:t>
      </w:r>
      <w:r w:rsidR="00C117CF" w:rsidRPr="002E25AD">
        <w:rPr>
          <w:rFonts w:ascii="Times New Roman" w:hAnsi="Times New Roman" w:cs="Times New Roman"/>
          <w:sz w:val="24"/>
          <w:szCs w:val="24"/>
          <w:lang w:val="en-US"/>
        </w:rPr>
        <w:t xml:space="preserve"> ;</w:t>
      </w:r>
      <w:r w:rsidR="00563B3F" w:rsidRPr="002E25AD">
        <w:rPr>
          <w:rFonts w:ascii="Times New Roman" w:hAnsi="Times New Roman" w:cs="Times New Roman"/>
          <w:sz w:val="24"/>
          <w:szCs w:val="24"/>
          <w:lang w:val="en-US"/>
        </w:rPr>
        <w:t xml:space="preserve"> 0.98) whereas a</w:t>
      </w:r>
      <w:r w:rsidR="006E7E48" w:rsidRPr="002E25AD">
        <w:rPr>
          <w:rFonts w:ascii="Times New Roman" w:hAnsi="Times New Roman" w:cs="Times New Roman"/>
          <w:sz w:val="24"/>
          <w:szCs w:val="24"/>
          <w:lang w:val="en-US"/>
        </w:rPr>
        <w:t xml:space="preserve">mong women, </w:t>
      </w:r>
      <w:r w:rsidR="00563B3F" w:rsidRPr="002E25AD">
        <w:rPr>
          <w:rFonts w:ascii="Times New Roman" w:hAnsi="Times New Roman" w:cs="Times New Roman"/>
          <w:sz w:val="24"/>
          <w:szCs w:val="24"/>
          <w:lang w:val="en-US"/>
        </w:rPr>
        <w:t xml:space="preserve">we observed no association </w:t>
      </w:r>
      <w:r w:rsidR="00C117CF" w:rsidRPr="002E25AD">
        <w:rPr>
          <w:rFonts w:ascii="Times New Roman" w:hAnsi="Times New Roman" w:cs="Times New Roman"/>
          <w:sz w:val="24"/>
          <w:szCs w:val="24"/>
          <w:lang w:val="en-US"/>
        </w:rPr>
        <w:t>(HR 0.99, 95% CI 0.87 ;</w:t>
      </w:r>
      <w:r w:rsidR="006E78BF" w:rsidRPr="002E25AD">
        <w:rPr>
          <w:rFonts w:ascii="Times New Roman" w:hAnsi="Times New Roman" w:cs="Times New Roman"/>
          <w:sz w:val="24"/>
          <w:szCs w:val="24"/>
          <w:lang w:val="en-US"/>
        </w:rPr>
        <w:t xml:space="preserve"> 1.12) (Table </w:t>
      </w:r>
      <w:r w:rsidR="000D62EC" w:rsidRPr="002E25AD">
        <w:rPr>
          <w:rFonts w:ascii="Times New Roman" w:hAnsi="Times New Roman" w:cs="Times New Roman"/>
          <w:sz w:val="24"/>
          <w:szCs w:val="24"/>
          <w:lang w:val="en-US"/>
        </w:rPr>
        <w:t>2</w:t>
      </w:r>
      <w:r w:rsidR="006E78BF" w:rsidRPr="002E25AD">
        <w:rPr>
          <w:rFonts w:ascii="Times New Roman" w:hAnsi="Times New Roman" w:cs="Times New Roman"/>
          <w:sz w:val="24"/>
          <w:szCs w:val="24"/>
          <w:lang w:val="en-US"/>
        </w:rPr>
        <w:t>).</w:t>
      </w:r>
    </w:p>
    <w:p w14:paraId="112BD9E8" w14:textId="299C550E" w:rsidR="00C117CF" w:rsidRPr="002E25AD" w:rsidRDefault="00C117CF" w:rsidP="00735453">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Finally, in </w:t>
      </w:r>
      <w:r w:rsidR="005F0E1D" w:rsidRPr="002E25AD">
        <w:rPr>
          <w:rFonts w:ascii="Times New Roman" w:hAnsi="Times New Roman" w:cs="Times New Roman"/>
          <w:sz w:val="24"/>
          <w:szCs w:val="24"/>
          <w:lang w:val="en-US"/>
        </w:rPr>
        <w:t>the</w:t>
      </w:r>
      <w:r w:rsidRPr="002E25AD">
        <w:rPr>
          <w:rFonts w:ascii="Times New Roman" w:hAnsi="Times New Roman" w:cs="Times New Roman"/>
          <w:sz w:val="24"/>
          <w:szCs w:val="24"/>
          <w:lang w:val="en-US"/>
        </w:rPr>
        <w:t xml:space="preserve"> multivariable linear regression models, we observed that FRAP score was significantly inversely associated with HOMA-IR after adjustment for age, sex and cohort (</w:t>
      </w:r>
      <w:r w:rsidR="00C7776A" w:rsidRPr="002E25AD">
        <w:rPr>
          <w:rFonts w:ascii="Times New Roman" w:hAnsi="Times New Roman" w:cs="Times New Roman"/>
          <w:sz w:val="24"/>
          <w:szCs w:val="24"/>
          <w:lang w:val="en-US"/>
        </w:rPr>
        <w:t xml:space="preserve">model 1; </w:t>
      </w:r>
      <w:r w:rsidRPr="002E25AD">
        <w:rPr>
          <w:rFonts w:ascii="Times New Roman" w:hAnsi="Times New Roman" w:cs="Times New Roman"/>
          <w:sz w:val="24"/>
          <w:szCs w:val="24"/>
          <w:lang w:val="en-US"/>
        </w:rPr>
        <w:t>regression coefficient (</w:t>
      </w:r>
      <w:r w:rsidRPr="002E25AD">
        <w:rPr>
          <w:rFonts w:ascii="Times New Roman" w:hAnsi="Times New Roman" w:cs="Times New Roman"/>
          <w:sz w:val="24"/>
          <w:szCs w:val="24"/>
          <w:lang w:val="en-US"/>
        </w:rPr>
        <w:sym w:font="Symbol" w:char="F062"/>
      </w:r>
      <w:r w:rsidR="006F6EF2" w:rsidRPr="002E25AD">
        <w:rPr>
          <w:rFonts w:ascii="Times New Roman" w:hAnsi="Times New Roman" w:cs="Times New Roman"/>
          <w:sz w:val="24"/>
          <w:szCs w:val="24"/>
          <w:lang w:val="en-US"/>
        </w:rPr>
        <w:t>) -0.04, 95% CI -0.06 ; -0.03</w:t>
      </w:r>
      <w:r w:rsidRPr="002E25AD">
        <w:rPr>
          <w:rFonts w:ascii="Times New Roman" w:hAnsi="Times New Roman" w:cs="Times New Roman"/>
          <w:sz w:val="24"/>
          <w:szCs w:val="24"/>
          <w:lang w:val="en-US"/>
        </w:rPr>
        <w:t>). This association remained significant after adjusting for all covariates (</w:t>
      </w:r>
      <w:r w:rsidR="00C7776A" w:rsidRPr="002E25AD">
        <w:rPr>
          <w:rFonts w:ascii="Times New Roman" w:hAnsi="Times New Roman" w:cs="Times New Roman"/>
          <w:sz w:val="24"/>
          <w:szCs w:val="24"/>
          <w:lang w:val="en-US"/>
        </w:rPr>
        <w:t xml:space="preserve">model 3; </w:t>
      </w:r>
      <w:r w:rsidRPr="002E25AD">
        <w:rPr>
          <w:rFonts w:ascii="Times New Roman" w:hAnsi="Times New Roman" w:cs="Times New Roman"/>
          <w:sz w:val="24"/>
          <w:szCs w:val="24"/>
          <w:lang w:val="en-US"/>
        </w:rPr>
        <w:sym w:font="Symbol" w:char="F062"/>
      </w:r>
      <w:r w:rsidR="006F6EF2" w:rsidRPr="002E25AD">
        <w:rPr>
          <w:rFonts w:ascii="Times New Roman" w:hAnsi="Times New Roman" w:cs="Times New Roman"/>
          <w:sz w:val="24"/>
          <w:szCs w:val="24"/>
          <w:lang w:val="en-US"/>
        </w:rPr>
        <w:t xml:space="preserve"> -0.04, 95% CI -0.06 ; -0.03</w:t>
      </w:r>
      <w:r w:rsidRPr="002E25AD">
        <w:rPr>
          <w:rFonts w:ascii="Times New Roman" w:hAnsi="Times New Roman" w:cs="Times New Roman"/>
          <w:sz w:val="24"/>
          <w:szCs w:val="24"/>
          <w:lang w:val="en-US"/>
        </w:rPr>
        <w:t>). In the analysis stratified for se</w:t>
      </w:r>
      <w:r w:rsidR="006F6EF2" w:rsidRPr="002E25AD">
        <w:rPr>
          <w:rFonts w:ascii="Times New Roman" w:hAnsi="Times New Roman" w:cs="Times New Roman"/>
          <w:sz w:val="24"/>
          <w:szCs w:val="24"/>
          <w:lang w:val="en-US"/>
        </w:rPr>
        <w:t>x (p-value for interaction 0.01</w:t>
      </w:r>
      <w:r w:rsidRPr="002E25AD">
        <w:rPr>
          <w:rFonts w:ascii="Times New Roman" w:hAnsi="Times New Roman" w:cs="Times New Roman"/>
          <w:sz w:val="24"/>
          <w:szCs w:val="24"/>
          <w:lang w:val="en-US"/>
        </w:rPr>
        <w:t>), the association between FRAP score and HOMA-IR was significant among both men (</w:t>
      </w:r>
      <w:r w:rsidRPr="002E25AD">
        <w:rPr>
          <w:rFonts w:ascii="Times New Roman" w:hAnsi="Times New Roman" w:cs="Times New Roman"/>
          <w:sz w:val="24"/>
          <w:szCs w:val="24"/>
          <w:lang w:val="en-US"/>
        </w:rPr>
        <w:sym w:font="Symbol" w:char="F062"/>
      </w:r>
      <w:r w:rsidR="006F6EF2" w:rsidRPr="002E25AD">
        <w:rPr>
          <w:rFonts w:ascii="Times New Roman" w:hAnsi="Times New Roman" w:cs="Times New Roman"/>
          <w:sz w:val="24"/>
          <w:szCs w:val="24"/>
          <w:lang w:val="en-US"/>
        </w:rPr>
        <w:t xml:space="preserve"> -0.03</w:t>
      </w:r>
      <w:r w:rsidRPr="002E25AD">
        <w:rPr>
          <w:rFonts w:ascii="Times New Roman" w:hAnsi="Times New Roman" w:cs="Times New Roman"/>
          <w:sz w:val="24"/>
          <w:szCs w:val="24"/>
          <w:lang w:val="en-US"/>
        </w:rPr>
        <w:t>, 95% C</w:t>
      </w:r>
      <w:r w:rsidR="006F6EF2" w:rsidRPr="002E25AD">
        <w:rPr>
          <w:rFonts w:ascii="Times New Roman" w:hAnsi="Times New Roman" w:cs="Times New Roman"/>
          <w:sz w:val="24"/>
          <w:szCs w:val="24"/>
          <w:lang w:val="en-US"/>
        </w:rPr>
        <w:t>I -0.06 ; -0.01</w:t>
      </w:r>
      <w:r w:rsidRPr="002E25AD">
        <w:rPr>
          <w:rFonts w:ascii="Times New Roman" w:hAnsi="Times New Roman" w:cs="Times New Roman"/>
          <w:sz w:val="24"/>
          <w:szCs w:val="24"/>
          <w:lang w:val="en-US"/>
        </w:rPr>
        <w:t>) and women (</w:t>
      </w:r>
      <w:r w:rsidRPr="002E25AD">
        <w:rPr>
          <w:rFonts w:ascii="Times New Roman" w:hAnsi="Times New Roman" w:cs="Times New Roman"/>
          <w:sz w:val="24"/>
          <w:szCs w:val="24"/>
          <w:lang w:val="en-US"/>
        </w:rPr>
        <w:sym w:font="Symbol" w:char="F062"/>
      </w:r>
      <w:r w:rsidR="006F6EF2" w:rsidRPr="002E25AD">
        <w:rPr>
          <w:rFonts w:ascii="Times New Roman" w:hAnsi="Times New Roman" w:cs="Times New Roman"/>
          <w:sz w:val="24"/>
          <w:szCs w:val="24"/>
          <w:lang w:val="en-US"/>
        </w:rPr>
        <w:t xml:space="preserve"> -0.05, 95% CI -0.07 ; -0.03</w:t>
      </w:r>
      <w:r w:rsidRPr="002E25AD">
        <w:rPr>
          <w:rFonts w:ascii="Times New Roman" w:hAnsi="Times New Roman" w:cs="Times New Roman"/>
          <w:sz w:val="24"/>
          <w:szCs w:val="24"/>
          <w:lang w:val="en-US"/>
        </w:rPr>
        <w:t>)</w:t>
      </w:r>
      <w:r w:rsidR="00405D77" w:rsidRPr="002E25AD">
        <w:rPr>
          <w:rFonts w:ascii="Times New Roman" w:hAnsi="Times New Roman" w:cs="Times New Roman"/>
          <w:sz w:val="24"/>
          <w:szCs w:val="24"/>
          <w:lang w:val="en-US"/>
        </w:rPr>
        <w:t>, although slightly stronger among women</w:t>
      </w:r>
      <w:r w:rsidR="006E78BF" w:rsidRPr="002E25AD">
        <w:rPr>
          <w:rFonts w:ascii="Times New Roman" w:hAnsi="Times New Roman" w:cs="Times New Roman"/>
          <w:sz w:val="24"/>
          <w:szCs w:val="24"/>
          <w:lang w:val="en-US"/>
        </w:rPr>
        <w:t xml:space="preserve"> (Table </w:t>
      </w:r>
      <w:r w:rsidR="000D62EC" w:rsidRPr="002E25AD">
        <w:rPr>
          <w:rFonts w:ascii="Times New Roman" w:hAnsi="Times New Roman" w:cs="Times New Roman"/>
          <w:sz w:val="24"/>
          <w:szCs w:val="24"/>
          <w:lang w:val="en-US"/>
        </w:rPr>
        <w:t>3</w:t>
      </w:r>
      <w:r w:rsidR="006E78BF" w:rsidRPr="002E25AD">
        <w:rPr>
          <w:rFonts w:ascii="Times New Roman" w:hAnsi="Times New Roman" w:cs="Times New Roman"/>
          <w:sz w:val="24"/>
          <w:szCs w:val="24"/>
          <w:lang w:val="en-US"/>
        </w:rPr>
        <w:t>).</w:t>
      </w:r>
    </w:p>
    <w:p w14:paraId="014E5669" w14:textId="3C14AA20" w:rsidR="00405D77" w:rsidRPr="002E25AD" w:rsidRDefault="00405D77" w:rsidP="00735453">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In se</w:t>
      </w:r>
      <w:r w:rsidR="00DB3D68" w:rsidRPr="002E25AD">
        <w:rPr>
          <w:rFonts w:ascii="Times New Roman" w:hAnsi="Times New Roman" w:cs="Times New Roman"/>
          <w:sz w:val="24"/>
          <w:szCs w:val="24"/>
          <w:lang w:val="en-US"/>
        </w:rPr>
        <w:t xml:space="preserve">nsitivity analyses, we observed that upon exclusion of participants with less than one year of follow-up, the associations between dietary antioxidant capacity and incident type 2 </w:t>
      </w:r>
      <w:r w:rsidR="00DB3D68" w:rsidRPr="002E25AD">
        <w:rPr>
          <w:rFonts w:ascii="Times New Roman" w:hAnsi="Times New Roman" w:cs="Times New Roman"/>
          <w:sz w:val="24"/>
          <w:szCs w:val="24"/>
          <w:lang w:val="en-US"/>
        </w:rPr>
        <w:lastRenderedPageBreak/>
        <w:t>diabetes remained significant (HR 0.86, 95% CI 0.76 ; 0.98)</w:t>
      </w:r>
      <w:r w:rsidR="00271393" w:rsidRPr="002E25AD">
        <w:rPr>
          <w:rFonts w:ascii="Times New Roman" w:hAnsi="Times New Roman" w:cs="Times New Roman"/>
          <w:sz w:val="24"/>
          <w:szCs w:val="24"/>
          <w:lang w:val="en-US"/>
        </w:rPr>
        <w:t xml:space="preserve"> (</w:t>
      </w:r>
      <w:r w:rsidR="000D62EC" w:rsidRPr="002E25AD">
        <w:rPr>
          <w:rFonts w:ascii="Times New Roman" w:hAnsi="Times New Roman" w:cs="Times New Roman"/>
          <w:sz w:val="24"/>
          <w:szCs w:val="24"/>
          <w:lang w:val="en-US"/>
        </w:rPr>
        <w:t xml:space="preserve">Supplementary </w:t>
      </w:r>
      <w:r w:rsidR="00E46132" w:rsidRPr="002E25AD">
        <w:rPr>
          <w:rFonts w:ascii="Times New Roman" w:hAnsi="Times New Roman" w:cs="Times New Roman"/>
          <w:sz w:val="24"/>
          <w:szCs w:val="24"/>
          <w:lang w:val="en-US"/>
        </w:rPr>
        <w:t xml:space="preserve">Table </w:t>
      </w:r>
      <w:r w:rsidR="000D62EC" w:rsidRPr="002E25AD">
        <w:rPr>
          <w:rFonts w:ascii="Times New Roman" w:hAnsi="Times New Roman" w:cs="Times New Roman"/>
          <w:sz w:val="24"/>
          <w:szCs w:val="24"/>
          <w:lang w:val="en-US"/>
        </w:rPr>
        <w:t>2</w:t>
      </w:r>
      <w:r w:rsidR="00271393" w:rsidRPr="002E25AD">
        <w:rPr>
          <w:rFonts w:ascii="Times New Roman" w:hAnsi="Times New Roman" w:cs="Times New Roman"/>
          <w:sz w:val="24"/>
          <w:szCs w:val="24"/>
          <w:lang w:val="en-US"/>
        </w:rPr>
        <w:t>)</w:t>
      </w:r>
      <w:r w:rsidR="00DB3D68" w:rsidRPr="002E25AD">
        <w:rPr>
          <w:rFonts w:ascii="Times New Roman" w:hAnsi="Times New Roman" w:cs="Times New Roman"/>
          <w:sz w:val="24"/>
          <w:szCs w:val="24"/>
          <w:lang w:val="en-US"/>
        </w:rPr>
        <w:t xml:space="preserve">. </w:t>
      </w:r>
      <w:r w:rsidR="00271393" w:rsidRPr="002E25AD">
        <w:rPr>
          <w:rFonts w:ascii="Times New Roman" w:hAnsi="Times New Roman" w:cs="Times New Roman"/>
          <w:sz w:val="24"/>
          <w:szCs w:val="24"/>
          <w:lang w:val="en-US"/>
        </w:rPr>
        <w:t xml:space="preserve">However, among individuals with prediabetes, the association was no longer significant (HR 0.90, 95% CI 0.76 ; 1.05). Exclusion of participants with less than one year of follow-up did not change our conclusion with regards to incident prediabetes, which remained significantly associated with dietary antioxidant capacity only among men (HR 0.82, 95% CI 0.70 ; 0.97). </w:t>
      </w:r>
      <w:r w:rsidRPr="002E25AD">
        <w:rPr>
          <w:rFonts w:ascii="Times New Roman" w:hAnsi="Times New Roman" w:cs="Times New Roman"/>
          <w:sz w:val="24"/>
          <w:szCs w:val="24"/>
          <w:lang w:val="en-US"/>
        </w:rPr>
        <w:t>After excluding coffee from the calculation of the FRAP score, the associations observed previously attenuated and FRAP score was no longer significantly associated with any of th</w:t>
      </w:r>
      <w:r w:rsidR="00C16413" w:rsidRPr="002E25AD">
        <w:rPr>
          <w:rFonts w:ascii="Times New Roman" w:hAnsi="Times New Roman" w:cs="Times New Roman"/>
          <w:sz w:val="24"/>
          <w:szCs w:val="24"/>
          <w:lang w:val="en-US"/>
        </w:rPr>
        <w:t>e outcomes (</w:t>
      </w:r>
      <w:r w:rsidR="000D62EC" w:rsidRPr="002E25AD">
        <w:rPr>
          <w:rFonts w:ascii="Times New Roman" w:hAnsi="Times New Roman" w:cs="Times New Roman"/>
          <w:sz w:val="24"/>
          <w:szCs w:val="24"/>
          <w:lang w:val="en-US"/>
        </w:rPr>
        <w:t xml:space="preserve">Supplementary </w:t>
      </w:r>
      <w:r w:rsidR="006444D3" w:rsidRPr="002E25AD">
        <w:rPr>
          <w:rFonts w:ascii="Times New Roman" w:hAnsi="Times New Roman" w:cs="Times New Roman"/>
          <w:sz w:val="24"/>
          <w:szCs w:val="24"/>
          <w:lang w:val="en-US"/>
        </w:rPr>
        <w:t xml:space="preserve">Tables </w:t>
      </w:r>
      <w:r w:rsidR="000D62EC" w:rsidRPr="002E25AD">
        <w:rPr>
          <w:rFonts w:ascii="Times New Roman" w:hAnsi="Times New Roman" w:cs="Times New Roman"/>
          <w:sz w:val="24"/>
          <w:szCs w:val="24"/>
          <w:lang w:val="en-US"/>
        </w:rPr>
        <w:t>3-4</w:t>
      </w:r>
      <w:r w:rsidRPr="002E25AD">
        <w:rPr>
          <w:rFonts w:ascii="Times New Roman" w:hAnsi="Times New Roman" w:cs="Times New Roman"/>
          <w:sz w:val="24"/>
          <w:szCs w:val="24"/>
          <w:lang w:val="en-US"/>
        </w:rPr>
        <w:t xml:space="preserve">). </w:t>
      </w:r>
      <w:r w:rsidR="00271393" w:rsidRPr="002E25AD">
        <w:rPr>
          <w:rFonts w:ascii="Times New Roman" w:hAnsi="Times New Roman" w:cs="Times New Roman"/>
          <w:sz w:val="24"/>
          <w:szCs w:val="24"/>
          <w:lang w:val="en-US"/>
        </w:rPr>
        <w:t xml:space="preserve">Finally, in stage-specific analyses of HOMA-IR, we observed </w:t>
      </w:r>
      <w:r w:rsidR="00C7776A" w:rsidRPr="002E25AD">
        <w:rPr>
          <w:rFonts w:ascii="Times New Roman" w:hAnsi="Times New Roman" w:cs="Times New Roman"/>
          <w:sz w:val="24"/>
          <w:szCs w:val="24"/>
          <w:lang w:val="en-US"/>
        </w:rPr>
        <w:t>similar associations of</w:t>
      </w:r>
      <w:r w:rsidR="00271393" w:rsidRPr="002E25AD">
        <w:rPr>
          <w:rFonts w:ascii="Times New Roman" w:hAnsi="Times New Roman" w:cs="Times New Roman"/>
          <w:sz w:val="24"/>
          <w:szCs w:val="24"/>
          <w:lang w:val="en-US"/>
        </w:rPr>
        <w:t xml:space="preserve"> dietary antioxidant capacity with HOMA-IR among participants with normoglycaemia (</w:t>
      </w:r>
      <w:r w:rsidR="00271393" w:rsidRPr="002E25AD">
        <w:rPr>
          <w:rFonts w:ascii="Times New Roman" w:hAnsi="Times New Roman" w:cs="Times New Roman"/>
          <w:sz w:val="24"/>
          <w:szCs w:val="24"/>
          <w:lang w:val="en-US"/>
        </w:rPr>
        <w:sym w:font="Symbol" w:char="F062"/>
      </w:r>
      <w:r w:rsidR="006F6EF2" w:rsidRPr="002E25AD">
        <w:rPr>
          <w:rFonts w:ascii="Times New Roman" w:hAnsi="Times New Roman" w:cs="Times New Roman"/>
          <w:sz w:val="24"/>
          <w:szCs w:val="24"/>
          <w:lang w:val="en-US"/>
        </w:rPr>
        <w:t xml:space="preserve"> -0.04</w:t>
      </w:r>
      <w:r w:rsidR="00271393" w:rsidRPr="002E25AD">
        <w:rPr>
          <w:rFonts w:ascii="Times New Roman" w:hAnsi="Times New Roman" w:cs="Times New Roman"/>
          <w:sz w:val="24"/>
          <w:szCs w:val="24"/>
          <w:lang w:val="en-US"/>
        </w:rPr>
        <w:t xml:space="preserve">, 95% </w:t>
      </w:r>
      <w:r w:rsidR="006F6EF2" w:rsidRPr="002E25AD">
        <w:rPr>
          <w:rFonts w:ascii="Times New Roman" w:hAnsi="Times New Roman" w:cs="Times New Roman"/>
          <w:sz w:val="24"/>
          <w:szCs w:val="24"/>
          <w:lang w:val="en-US"/>
        </w:rPr>
        <w:t>CI -0.05 ; -0.02</w:t>
      </w:r>
      <w:r w:rsidR="00C7776A" w:rsidRPr="002E25AD">
        <w:rPr>
          <w:rFonts w:ascii="Times New Roman" w:hAnsi="Times New Roman" w:cs="Times New Roman"/>
          <w:sz w:val="24"/>
          <w:szCs w:val="24"/>
          <w:lang w:val="en-US"/>
        </w:rPr>
        <w:t>) and</w:t>
      </w:r>
      <w:r w:rsidR="00271393" w:rsidRPr="002E25AD">
        <w:rPr>
          <w:rFonts w:ascii="Times New Roman" w:hAnsi="Times New Roman" w:cs="Times New Roman"/>
          <w:sz w:val="24"/>
          <w:szCs w:val="24"/>
          <w:lang w:val="en-US"/>
        </w:rPr>
        <w:t xml:space="preserve"> participants with prediabetes (</w:t>
      </w:r>
      <w:r w:rsidR="00271393" w:rsidRPr="002E25AD">
        <w:rPr>
          <w:rFonts w:ascii="Times New Roman" w:hAnsi="Times New Roman" w:cs="Times New Roman"/>
          <w:sz w:val="24"/>
          <w:szCs w:val="24"/>
          <w:lang w:val="en-US"/>
        </w:rPr>
        <w:sym w:font="Symbol" w:char="F062"/>
      </w:r>
      <w:r w:rsidR="00271393" w:rsidRPr="002E25AD">
        <w:rPr>
          <w:rFonts w:ascii="Times New Roman" w:hAnsi="Times New Roman" w:cs="Times New Roman"/>
          <w:sz w:val="24"/>
          <w:szCs w:val="24"/>
          <w:lang w:val="en-US"/>
        </w:rPr>
        <w:t xml:space="preserve"> </w:t>
      </w:r>
      <w:r w:rsidR="006F6EF2" w:rsidRPr="002E25AD">
        <w:rPr>
          <w:rFonts w:ascii="Times New Roman" w:hAnsi="Times New Roman" w:cs="Times New Roman"/>
          <w:sz w:val="24"/>
          <w:szCs w:val="24"/>
          <w:lang w:val="en-US"/>
        </w:rPr>
        <w:t>-0.03, 95% CI -0.07</w:t>
      </w:r>
      <w:r w:rsidR="00555A9E" w:rsidRPr="002E25AD">
        <w:rPr>
          <w:rFonts w:ascii="Times New Roman" w:hAnsi="Times New Roman" w:cs="Times New Roman"/>
          <w:sz w:val="24"/>
          <w:szCs w:val="24"/>
          <w:lang w:val="en-US"/>
        </w:rPr>
        <w:t xml:space="preserve"> ; 0.002) (</w:t>
      </w:r>
      <w:r w:rsidR="00BF2EB1" w:rsidRPr="002E25AD">
        <w:rPr>
          <w:rFonts w:ascii="Times New Roman" w:hAnsi="Times New Roman" w:cs="Times New Roman"/>
          <w:sz w:val="24"/>
          <w:szCs w:val="24"/>
          <w:lang w:val="en-US"/>
        </w:rPr>
        <w:t xml:space="preserve">Supplementary </w:t>
      </w:r>
      <w:r w:rsidR="006444D3" w:rsidRPr="002E25AD">
        <w:rPr>
          <w:rFonts w:ascii="Times New Roman" w:hAnsi="Times New Roman" w:cs="Times New Roman"/>
          <w:sz w:val="24"/>
          <w:szCs w:val="24"/>
          <w:lang w:val="en-US"/>
        </w:rPr>
        <w:t>Tabl</w:t>
      </w:r>
      <w:r w:rsidR="00BF2EB1" w:rsidRPr="002E25AD">
        <w:rPr>
          <w:rFonts w:ascii="Times New Roman" w:hAnsi="Times New Roman" w:cs="Times New Roman"/>
          <w:sz w:val="24"/>
          <w:szCs w:val="24"/>
          <w:lang w:val="en-US"/>
        </w:rPr>
        <w:t>e 5</w:t>
      </w:r>
      <w:r w:rsidR="00555A9E" w:rsidRPr="002E25AD">
        <w:rPr>
          <w:rFonts w:ascii="Times New Roman" w:hAnsi="Times New Roman" w:cs="Times New Roman"/>
          <w:sz w:val="24"/>
          <w:szCs w:val="24"/>
          <w:lang w:val="en-US"/>
        </w:rPr>
        <w:t>).</w:t>
      </w:r>
      <w:r w:rsidR="002F105D" w:rsidRPr="002E25AD">
        <w:rPr>
          <w:rFonts w:ascii="Times New Roman" w:hAnsi="Times New Roman" w:cs="Times New Roman"/>
          <w:sz w:val="24"/>
          <w:szCs w:val="24"/>
          <w:lang w:val="en-US"/>
        </w:rPr>
        <w:t xml:space="preserve"> </w:t>
      </w:r>
    </w:p>
    <w:p w14:paraId="70797C00" w14:textId="7F970DFF" w:rsidR="004D0547" w:rsidRPr="002E25AD" w:rsidRDefault="004D0547" w:rsidP="00735453">
      <w:pPr>
        <w:spacing w:line="480" w:lineRule="auto"/>
        <w:rPr>
          <w:rFonts w:ascii="Times New Roman" w:hAnsi="Times New Roman" w:cs="Times New Roman"/>
          <w:b/>
          <w:sz w:val="28"/>
          <w:szCs w:val="24"/>
          <w:lang w:val="en-US"/>
        </w:rPr>
      </w:pPr>
      <w:r w:rsidRPr="002E25AD">
        <w:rPr>
          <w:rFonts w:ascii="Times New Roman" w:hAnsi="Times New Roman" w:cs="Times New Roman"/>
          <w:b/>
          <w:sz w:val="28"/>
          <w:szCs w:val="24"/>
          <w:lang w:val="en-US"/>
        </w:rPr>
        <w:t>Discussion</w:t>
      </w:r>
    </w:p>
    <w:p w14:paraId="78F02C00" w14:textId="6D1B28C8" w:rsidR="0048264F" w:rsidRPr="002E25AD" w:rsidRDefault="0048264F" w:rsidP="00735453">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In this population-based cohort, w</w:t>
      </w:r>
      <w:r w:rsidR="004D0547" w:rsidRPr="002E25AD">
        <w:rPr>
          <w:rFonts w:ascii="Times New Roman" w:hAnsi="Times New Roman" w:cs="Times New Roman"/>
          <w:sz w:val="24"/>
          <w:szCs w:val="24"/>
          <w:lang w:val="en-US"/>
        </w:rPr>
        <w:t>e observed that</w:t>
      </w:r>
      <w:r w:rsidR="005D63C6" w:rsidRPr="002E25AD">
        <w:rPr>
          <w:rFonts w:ascii="Times New Roman" w:hAnsi="Times New Roman" w:cs="Times New Roman"/>
          <w:sz w:val="24"/>
          <w:szCs w:val="24"/>
          <w:lang w:val="en-US"/>
        </w:rPr>
        <w:t xml:space="preserve"> a higher</w:t>
      </w:r>
      <w:r w:rsidR="004D0547" w:rsidRPr="002E25AD">
        <w:rPr>
          <w:rFonts w:ascii="Times New Roman" w:hAnsi="Times New Roman" w:cs="Times New Roman"/>
          <w:sz w:val="24"/>
          <w:szCs w:val="24"/>
          <w:lang w:val="en-US"/>
        </w:rPr>
        <w:t xml:space="preserve"> total dietary antioxidant</w:t>
      </w:r>
      <w:r w:rsidR="005D63C6" w:rsidRPr="002E25AD">
        <w:rPr>
          <w:rFonts w:ascii="Times New Roman" w:hAnsi="Times New Roman" w:cs="Times New Roman"/>
          <w:sz w:val="24"/>
          <w:szCs w:val="24"/>
          <w:lang w:val="en-US"/>
        </w:rPr>
        <w:t xml:space="preserve"> capacity is associated with a lower </w:t>
      </w:r>
      <w:r w:rsidR="004D0547" w:rsidRPr="002E25AD">
        <w:rPr>
          <w:rFonts w:ascii="Times New Roman" w:hAnsi="Times New Roman" w:cs="Times New Roman"/>
          <w:sz w:val="24"/>
          <w:szCs w:val="24"/>
          <w:lang w:val="en-US"/>
        </w:rPr>
        <w:t>risk of type 2 diabetes</w:t>
      </w:r>
      <w:r w:rsidRPr="002E25AD">
        <w:rPr>
          <w:rFonts w:ascii="Times New Roman" w:hAnsi="Times New Roman" w:cs="Times New Roman"/>
          <w:sz w:val="24"/>
          <w:szCs w:val="24"/>
          <w:lang w:val="en-US"/>
        </w:rPr>
        <w:t xml:space="preserve">, both in the total population and </w:t>
      </w:r>
      <w:r w:rsidR="006F6EF2" w:rsidRPr="002E25AD">
        <w:rPr>
          <w:rFonts w:ascii="Times New Roman" w:hAnsi="Times New Roman" w:cs="Times New Roman"/>
          <w:sz w:val="24"/>
          <w:szCs w:val="24"/>
          <w:lang w:val="en-US"/>
        </w:rPr>
        <w:t>among those</w:t>
      </w:r>
      <w:r w:rsidRPr="002E25AD">
        <w:rPr>
          <w:rFonts w:ascii="Times New Roman" w:hAnsi="Times New Roman" w:cs="Times New Roman"/>
          <w:sz w:val="24"/>
          <w:szCs w:val="24"/>
          <w:lang w:val="en-US"/>
        </w:rPr>
        <w:t xml:space="preserve"> with prevalent prediabetes. I</w:t>
      </w:r>
      <w:r w:rsidR="004D0547" w:rsidRPr="002E25AD">
        <w:rPr>
          <w:rFonts w:ascii="Times New Roman" w:hAnsi="Times New Roman" w:cs="Times New Roman"/>
          <w:sz w:val="24"/>
          <w:szCs w:val="24"/>
          <w:lang w:val="en-US"/>
        </w:rPr>
        <w:t>n</w:t>
      </w:r>
      <w:r w:rsidRPr="002E25AD">
        <w:rPr>
          <w:rFonts w:ascii="Times New Roman" w:hAnsi="Times New Roman" w:cs="Times New Roman"/>
          <w:sz w:val="24"/>
          <w:szCs w:val="24"/>
          <w:lang w:val="en-US"/>
        </w:rPr>
        <w:t xml:space="preserve"> further</w:t>
      </w:r>
      <w:r w:rsidR="004D0547" w:rsidRPr="002E25AD">
        <w:rPr>
          <w:rFonts w:ascii="Times New Roman" w:hAnsi="Times New Roman" w:cs="Times New Roman"/>
          <w:sz w:val="24"/>
          <w:szCs w:val="24"/>
          <w:lang w:val="en-US"/>
        </w:rPr>
        <w:t xml:space="preserve"> stage-specific analyses,</w:t>
      </w:r>
      <w:r w:rsidR="00D83325" w:rsidRPr="002E25AD">
        <w:rPr>
          <w:rFonts w:ascii="Times New Roman" w:hAnsi="Times New Roman" w:cs="Times New Roman"/>
          <w:sz w:val="24"/>
          <w:szCs w:val="24"/>
          <w:lang w:val="en-US"/>
        </w:rPr>
        <w:t xml:space="preserve"> we found that</w:t>
      </w:r>
      <w:r w:rsidR="009A0E11" w:rsidRPr="002E25AD">
        <w:rPr>
          <w:rFonts w:ascii="Times New Roman" w:hAnsi="Times New Roman" w:cs="Times New Roman"/>
          <w:sz w:val="24"/>
          <w:szCs w:val="24"/>
          <w:lang w:val="en-US"/>
        </w:rPr>
        <w:t xml:space="preserve"> a higher</w:t>
      </w:r>
      <w:r w:rsidR="004D0547" w:rsidRPr="002E25AD">
        <w:rPr>
          <w:rFonts w:ascii="Times New Roman" w:hAnsi="Times New Roman" w:cs="Times New Roman"/>
          <w:sz w:val="24"/>
          <w:szCs w:val="24"/>
          <w:lang w:val="en-US"/>
        </w:rPr>
        <w:t xml:space="preserve"> total dietary antioxidant capacity </w:t>
      </w:r>
      <w:r w:rsidR="00D83325" w:rsidRPr="002E25AD">
        <w:rPr>
          <w:rFonts w:ascii="Times New Roman" w:hAnsi="Times New Roman" w:cs="Times New Roman"/>
          <w:sz w:val="24"/>
          <w:szCs w:val="24"/>
          <w:lang w:val="en-US"/>
        </w:rPr>
        <w:t>is</w:t>
      </w:r>
      <w:r w:rsidR="004D0547" w:rsidRPr="002E25AD">
        <w:rPr>
          <w:rFonts w:ascii="Times New Roman" w:hAnsi="Times New Roman" w:cs="Times New Roman"/>
          <w:sz w:val="24"/>
          <w:szCs w:val="24"/>
          <w:lang w:val="en-US"/>
        </w:rPr>
        <w:t xml:space="preserve"> </w:t>
      </w:r>
      <w:r w:rsidR="00D83325" w:rsidRPr="002E25AD">
        <w:rPr>
          <w:rFonts w:ascii="Times New Roman" w:hAnsi="Times New Roman" w:cs="Times New Roman"/>
          <w:sz w:val="24"/>
          <w:szCs w:val="24"/>
          <w:lang w:val="en-US"/>
        </w:rPr>
        <w:t xml:space="preserve">also </w:t>
      </w:r>
      <w:r w:rsidR="004D0547" w:rsidRPr="002E25AD">
        <w:rPr>
          <w:rFonts w:ascii="Times New Roman" w:hAnsi="Times New Roman" w:cs="Times New Roman"/>
          <w:sz w:val="24"/>
          <w:szCs w:val="24"/>
          <w:lang w:val="en-US"/>
        </w:rPr>
        <w:t>associated with</w:t>
      </w:r>
      <w:r w:rsidR="005D63C6" w:rsidRPr="002E25AD">
        <w:rPr>
          <w:rFonts w:ascii="Times New Roman" w:hAnsi="Times New Roman" w:cs="Times New Roman"/>
          <w:sz w:val="24"/>
          <w:szCs w:val="24"/>
          <w:lang w:val="en-US"/>
        </w:rPr>
        <w:t xml:space="preserve"> lower risk of</w:t>
      </w:r>
      <w:r w:rsidR="004D0547" w:rsidRPr="002E25AD">
        <w:rPr>
          <w:rFonts w:ascii="Times New Roman" w:hAnsi="Times New Roman" w:cs="Times New Roman"/>
          <w:sz w:val="24"/>
          <w:szCs w:val="24"/>
          <w:lang w:val="en-US"/>
        </w:rPr>
        <w:t xml:space="preserve"> incident prediabetes</w:t>
      </w:r>
      <w:r w:rsidR="00D83325" w:rsidRPr="002E25AD">
        <w:rPr>
          <w:rFonts w:ascii="Times New Roman" w:hAnsi="Times New Roman" w:cs="Times New Roman"/>
          <w:sz w:val="24"/>
          <w:szCs w:val="24"/>
          <w:lang w:val="en-US"/>
        </w:rPr>
        <w:t xml:space="preserve"> among men</w:t>
      </w:r>
      <w:r w:rsidRPr="002E25AD">
        <w:rPr>
          <w:rFonts w:ascii="Times New Roman" w:hAnsi="Times New Roman" w:cs="Times New Roman"/>
          <w:sz w:val="24"/>
          <w:szCs w:val="24"/>
          <w:lang w:val="en-US"/>
        </w:rPr>
        <w:t>,</w:t>
      </w:r>
      <w:r w:rsidR="00C7776A" w:rsidRPr="002E25AD">
        <w:rPr>
          <w:rFonts w:ascii="Times New Roman" w:hAnsi="Times New Roman" w:cs="Times New Roman"/>
          <w:sz w:val="24"/>
          <w:szCs w:val="24"/>
          <w:lang w:val="en-US"/>
        </w:rPr>
        <w:t xml:space="preserve"> but not among women,</w:t>
      </w:r>
      <w:r w:rsidR="00D83325" w:rsidRPr="002E25AD">
        <w:rPr>
          <w:rFonts w:ascii="Times New Roman" w:hAnsi="Times New Roman" w:cs="Times New Roman"/>
          <w:sz w:val="24"/>
          <w:szCs w:val="24"/>
          <w:lang w:val="en-US"/>
        </w:rPr>
        <w:t xml:space="preserve"> and</w:t>
      </w:r>
      <w:r w:rsidR="005D63C6" w:rsidRPr="002E25AD">
        <w:rPr>
          <w:rFonts w:ascii="Times New Roman" w:hAnsi="Times New Roman" w:cs="Times New Roman"/>
          <w:sz w:val="24"/>
          <w:szCs w:val="24"/>
          <w:lang w:val="en-US"/>
        </w:rPr>
        <w:t xml:space="preserve"> </w:t>
      </w:r>
      <w:r w:rsidRPr="002E25AD">
        <w:rPr>
          <w:rFonts w:ascii="Times New Roman" w:hAnsi="Times New Roman" w:cs="Times New Roman"/>
          <w:sz w:val="24"/>
          <w:szCs w:val="24"/>
          <w:lang w:val="en-US"/>
        </w:rPr>
        <w:t>with a lower HOMA-IR among both men and women.</w:t>
      </w:r>
    </w:p>
    <w:p w14:paraId="67E77938" w14:textId="50B4B7B4" w:rsidR="003E36E3" w:rsidRPr="002E25AD" w:rsidRDefault="00722FAB" w:rsidP="00735453">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Our results </w:t>
      </w:r>
      <w:r w:rsidR="00A9188E" w:rsidRPr="002E25AD">
        <w:rPr>
          <w:rFonts w:ascii="Times New Roman" w:hAnsi="Times New Roman" w:cs="Times New Roman"/>
          <w:sz w:val="24"/>
          <w:szCs w:val="24"/>
          <w:lang w:val="en-US"/>
        </w:rPr>
        <w:t>are in line with</w:t>
      </w:r>
      <w:r w:rsidRPr="002E25AD">
        <w:rPr>
          <w:rFonts w:ascii="Times New Roman" w:hAnsi="Times New Roman" w:cs="Times New Roman"/>
          <w:sz w:val="24"/>
          <w:szCs w:val="24"/>
          <w:lang w:val="en-US"/>
        </w:rPr>
        <w:t xml:space="preserve"> the findings of previous studies which have investigated individual antioxidant components in relation to type 2 diabetes.</w:t>
      </w:r>
      <w:r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y1dNtpFh","properties":{"formattedCitation":"(5,6,25)","plainCitation":"(5,6,25)","noteIndex":0},"citationItems":[{"id":126,"uris":["http://zotero.org/users/3710342/items/IVG64II4"],"uri":["http://zotero.org/users/3710342/items/IVG64II4"],"itemData":{"id":126,"type":"article-journal","title":"Increased risk of non-insulin dependent diabetes mellitus at low plasma vitamin E concentrations: a four year follow up study in men","container-title":"BMJ (Clinical research ed.)","page":"1124-1127","volume":"311","issue":"7013","source":"PubMed","abstract":"OBJECTIVE: To investigate whether low vitamin E status is a risk factor for incident non-insulin dependent diabetes mellitus.\nDESIGN: Population based follow up study with diabetes assessed at baseline and at four years.\nSETTING: Eastern Finland.\nSUBJECTS: Random sample of 944 men aged 42-60 who had no diabetes at the baseline examination.\nINTERVENTION: Oral glucose tolerance test at four year follow up.\nMAIN OUTCOME MEASURES: A man was defined diabetic if he had either (a) a fasting blood glucose concentration &gt; or = 6.7 mmol/l, or (b) a blood glucose concentration &gt; or = 10.0 mmol/l two hours after a glucose load, or (c) a clinical diagnosis of diabetes with either dietary, oral, or insulin treatment.\nRESULTS: 45 men developed diabetes during the follow up period. In a multivariate logistic regression model including the strongest predictors of diabetes, a low lipid standardised plasma vitamin E (below median) concentration was associated with a 3.9-fold (95% confidence interval 1.8-fold to 8.6-fold) risk of incident diabetes. A decrement of 1 mumol/l of uncategorised unstandardised vitamin E concentration was associated with an increment of 22% in the risk of diabetes when allowing for the strongest other risk factors as well as serum low density lipoprotein cholesterol and triglyceride concentrations.\nCONCLUSIONS: There was a strong independent association between low vitamin E status before follow up and an excess risk of diabetes at four years. This supports the theory that free radical stress has a role in the causation of non-insulin dependent diabetes mellitus.","ISSN":"0959-8138","note":"PMID: 7580706\nPMCID: PMC2551054","title-short":"Increased risk of non-insulin dependent diabetes mellitus at low plasma vitamin E concentrations","journalAbbreviation":"BMJ","language":"eng","author":[{"family":"Salonen","given":"J. T."},{"family":"Nyyssönen","given":"K."},{"family":"Tuomainen","given":"T. P."},{"family":"Mäenpää","given":"P. H."},{"family":"Korpela","given":"H."},{"family":"Kaplan","given":"G. A."},{"family":"Lynch","given":"J."},{"family":"Helmrich","given":"S. P."},{"family":"Salonen","given":"R."}],"issued":{"date-parts":[["1995",10,28]]}}},{"id":166,"uris":["http://zotero.org/users/3710342/items/PUAFGVJG"],"uri":["http://zotero.org/users/3710342/items/PUAFGVJG"],"itemData":{"id":166,"type":"article-journal","title":"Dietary antioxidant intake and risk of type 2 diabetes","container-title":"Diabetes Care","page":"362-366","volume":"27","issue":"2","source":"PubMed","abstract":"OBJECTIVE: The intake of antioxidants was studied for its ability to predict type 2 diabetes.\nRESEARCH DESIGN AND METHODS: A cohort of 2,285 men and 2,019 women 40-69 years of age and free of diabetes at baseline (1967-1972) was studied. Food consumption during the previous year was estimated using a dietary history interview. The intake of vitamin C, four tocopherols, four tocotrienols, and six carotenoids was calculated. During a 23-year follow-up, a total of 164 male and 219 female incident cases occurred.\nRESULTS: Vitamin E intake was significantly associated with a reduced risk of type 2 diabetes. The relative risk (RR) of type 2 diabetes between the extreme quartiles of the intake was 0.69 (95% CI 0.51-0.94, P for trend = 0.003). Intakes of alpha-tocopherol, gamma-tocopherol, delta-tocopherol, and beta-tocotrienol were inversely related to a risk of type 2 diabetes. Among single carotenoids, beta-cryptoxanthin intake was significantly associated with a reduced risk of type 2 diabetes (RR 0.58, 95% CI 0.44-0.78, P &lt; 0.001). No association was evident between intake of vitamin C and type 2 diabetes risk.\nCONCLUSIONS: This study supports the hypothesis that development of type 2 diabetes may be reduced by the intake of antioxidants in the diet.","ISSN":"0149-5992","note":"PMID: 14747214","journalAbbreviation":"Diabetes Care","language":"eng","author":[{"family":"Montonen","given":"Jukka"},{"family":"Knekt","given":"Paul"},{"family":"Järvinen","given":"Ritva"},{"family":"Reunanen","given":"Antti"}],"issued":{"date-parts":[["2004",2]]}}},{"id":164,"uris":["http://zotero.org/users/3710342/items/G98NUUDV"],"uri":["http://zotero.org/users/3710342/items/G98NUUDV"],"itemData":{"id":164,"type":"article-journal","title":"Dietary intake of carotenoids and risk of type 2 diabetes","container-title":"Nutrition, metabolism, and cardiovascular diseases: NMCD","page":"376-381","volume":"25","issue":"4","source":"PubMed","abstract":"BACKGROUND AND AIMS: Carotenoids may reduce diabetes risk, due to their antioxidant properties. However, the association between dietary carotenoids intake and type 2 diabetes risk is still unclear. Therefore, the objective of this study was to examine whether higher dietary carotenoid intakes associate with reduced type 2 diabetes risk.\nMETHODS AND RESULTS: Data from 37,846 participants of the European Prospective Investigation into Cancer and Nutrition- Netherlands study were analyzed. Dietary intakes of β-carotene, α-carotene, β-cryptoxanthin, lycopene, lutein &amp; zeaxanthin and the sum of these carotenoids were assessed using a validated food frequency questionnaire. Incident type 2 diabetes was mainly self-reported, and verified against general practitioner information. Mean ±SD total carotenoid intake was 10 ± 4 mg/day. During a mean ±SD follow-up of 10 ± 2 years, 915 incident cases of type 2 diabetes were ascertained. After adjustment for age, sex, diabetes risk factors, dietary intake, waist circumference and BMI, higher β-carotene intakes associated inversely with diabetes risk [Hazard Ratio quartile 4 versus quartile 1 (HR(Q4)): 0.78 (95%CI:0.64,0.95), P-linear trend 0.01]. For α-carotene, a borderline significant reduced risk was observed, with a HR(Q4) of 0.85 (95%CI:0.70,1.03), and P-linear trend 0.05. β-cryptoxanthin, lycopene, lutein &amp; zeaxanthin, and the sum of all carotenoids did not associate with diabetes risk.\nCONCLUSIONS: This study shows that diets high in β-carotene and α-carotene are associated with reduced type 2 diabetes in generally healthy men and women.","DOI":"10.1016/j.numecd.2014.12.008","ISSN":"1590-3729","note":"PMID: 25716098","journalAbbreviation":"Nutr Metab Cardiovasc Dis","language":"eng","author":[{"family":"Sluijs","given":"I."},{"family":"Cadier","given":"E."},{"family":"Beulens","given":"J. W. J."},{"family":"A","given":"D. L.","non-dropping-particle":"van der"},{"family":"Spijkerman","given":"A. M. W."},{"family":"Schouw","given":"Y. T.","non-dropping-particle":"van der"}],"issued":{"date-parts":[["2015",4]]}}}],"schema":"https://github.com/citation-style-language/schema/raw/master/csl-citation.json"} </w:instrText>
      </w:r>
      <w:r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(5,6,25)</w:t>
      </w:r>
      <w:r w:rsidRPr="002E25AD">
        <w:rPr>
          <w:rFonts w:ascii="Times New Roman" w:hAnsi="Times New Roman" w:cs="Times New Roman"/>
          <w:sz w:val="24"/>
          <w:szCs w:val="24"/>
          <w:lang w:val="en-US"/>
        </w:rPr>
        <w:fldChar w:fldCharType="end"/>
      </w:r>
      <w:r w:rsidRPr="002E25AD">
        <w:rPr>
          <w:rFonts w:ascii="Times New Roman" w:hAnsi="Times New Roman" w:cs="Times New Roman"/>
          <w:sz w:val="24"/>
          <w:szCs w:val="24"/>
          <w:lang w:val="en-US"/>
        </w:rPr>
        <w:t xml:space="preserve"> Montonen and colleagues demonstrated tha</w:t>
      </w:r>
      <w:r w:rsidR="00AD697E" w:rsidRPr="002E25AD">
        <w:rPr>
          <w:rFonts w:ascii="Times New Roman" w:hAnsi="Times New Roman" w:cs="Times New Roman"/>
          <w:sz w:val="24"/>
          <w:szCs w:val="24"/>
          <w:lang w:val="en-US"/>
        </w:rPr>
        <w:t>t various types of tocopherols</w:t>
      </w:r>
      <w:r w:rsidRPr="002E25AD">
        <w:rPr>
          <w:rFonts w:ascii="Times New Roman" w:hAnsi="Times New Roman" w:cs="Times New Roman"/>
          <w:sz w:val="24"/>
          <w:szCs w:val="24"/>
          <w:lang w:val="en-US"/>
        </w:rPr>
        <w:t xml:space="preserve"> were associated with a r</w:t>
      </w:r>
      <w:r w:rsidR="00342C7B" w:rsidRPr="002E25AD">
        <w:rPr>
          <w:rFonts w:ascii="Times New Roman" w:hAnsi="Times New Roman" w:cs="Times New Roman"/>
          <w:sz w:val="24"/>
          <w:szCs w:val="24"/>
          <w:lang w:val="en-US"/>
        </w:rPr>
        <w:t>educed risk of type 2 diabetes over 23 years of follow-up</w:t>
      </w:r>
      <w:r w:rsidR="0048264F"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10ipjj2app","properties":{"formattedCitation":"(5)","plainCitation":"(5)","noteIndex":0},"citationItems":[{"id":166,"uris":["http://zotero.org/users/3710342/items/PUAFGVJG"],"uri":["http://zotero.org/users/3710342/items/PUAFGVJG"],"itemData":{"id":166,"type":"article-journal","title":"Dietary antioxidant intake and risk of type 2 diabetes","container-title":"Diabetes Care","page":"362-366","volume":"27","issue":"2","source":"PubMed","abstract":"OBJECTIVE: The intake of antioxidants was studied for its ability to predict type 2 diabetes.\nRESEARCH DESIGN AND METHODS: A cohort of 2,285 men and 2,019 women 40-69 years of age and free of diabetes at baseline (1967-1972) was studied. Food consumption during the previous year was estimated using a dietary history interview. The intake of vitamin C, four tocopherols, four tocotrienols, and six carotenoids was calculated. During a 23-year follow-up, a total of 164 male and 219 female incident cases occurred.\nRESULTS: Vitamin E intake was significantly associated with a reduced risk of type 2 diabetes. The relative risk (RR) of type 2 diabetes between the extreme quartiles of the intake was 0.69 (95% CI 0.51-0.94, P for trend = 0.003). Intakes of alpha-tocopherol, gamma-tocopherol, delta-tocopherol, and beta-tocotrienol were inversely related to a risk of type 2 diabetes. Among single carotenoids, beta-cryptoxanthin intake was significantly associated with a reduced risk of type 2 diabetes (RR 0.58, 95% CI 0.44-0.78, P &lt; 0.001). No association was evident between intake of vitamin C and type 2 diabetes risk.\nCONCLUSIONS: This study supports the hypothesis that development of type 2 diabetes may be reduced by the intake of antioxidants in the diet.","ISSN":"0149-5992","note":"PMID: 14747214","journalAbbreviation":"Diabetes Care","language":"eng","author":[{"family":"Montonen","given":"Jukka"},{"family":"Knekt","given":"Paul"},{"family":"Järvinen","given":"Ritva"},{"family":"Reunanen","given":"Antti"}],"issued":{"date-parts":[["2004",2]]}}}],"schema":"https://github.com/citation-style-language/schema/raw/master/csl-citation.json"} </w:instrText>
      </w:r>
      <w:r w:rsidR="0048264F" w:rsidRPr="002E25AD">
        <w:rPr>
          <w:rFonts w:ascii="Times New Roman" w:hAnsi="Times New Roman" w:cs="Times New Roman"/>
          <w:sz w:val="24"/>
          <w:szCs w:val="24"/>
          <w:lang w:val="en-US"/>
        </w:rPr>
        <w:fldChar w:fldCharType="separate"/>
      </w:r>
      <w:r w:rsidR="00FF128F" w:rsidRPr="002E25AD">
        <w:rPr>
          <w:rFonts w:ascii="Times New Roman" w:hAnsi="Times New Roman" w:cs="Times New Roman"/>
          <w:noProof/>
          <w:sz w:val="24"/>
          <w:szCs w:val="24"/>
          <w:lang w:val="en-US"/>
        </w:rPr>
        <w:t>(5)</w:t>
      </w:r>
      <w:r w:rsidR="0048264F" w:rsidRPr="002E25AD">
        <w:rPr>
          <w:rFonts w:ascii="Times New Roman" w:hAnsi="Times New Roman" w:cs="Times New Roman"/>
          <w:sz w:val="24"/>
          <w:szCs w:val="24"/>
          <w:lang w:val="en-US"/>
        </w:rPr>
        <w:fldChar w:fldCharType="end"/>
      </w:r>
      <w:r w:rsidR="00342C7B" w:rsidRPr="002E25AD">
        <w:rPr>
          <w:rFonts w:ascii="Times New Roman" w:hAnsi="Times New Roman" w:cs="Times New Roman"/>
          <w:sz w:val="24"/>
          <w:szCs w:val="24"/>
          <w:lang w:val="en-US"/>
        </w:rPr>
        <w:t>. Similarly, Salonen and colleagues observed that low vitamin E levels predispose individuals to developing type 2 diabetes.</w:t>
      </w:r>
      <w:r w:rsidR="00342C7B"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1n58emn57g","properties":{"formattedCitation":"(25)","plainCitation":"(25)","noteIndex":0},"citationItems":[{"id":126,"uris":["http://zotero.org/users/3710342/items/IVG64II4"],"uri":["http://zotero.org/users/3710342/items/IVG64II4"],"itemData":{"id":126,"type":"article-journal","title":"Increased risk of non-insulin dependent diabetes mellitus at low plasma vitamin E concentrations: a four year follow up study in men","container-title":"BMJ (Clinical research ed.)","page":"1124-1127","volume":"311","issue":"7013","source":"PubMed","abstract":"OBJECTIVE: To investigate whether low vitamin E status is a risk factor for incident non-insulin dependent diabetes mellitus.\nDESIGN: Population based follow up study with diabetes assessed at baseline and at four years.\nSETTING: Eastern Finland.\nSUBJECTS: Random sample of 944 men aged 42-60 who had no diabetes at the baseline examination.\nINTERVENTION: Oral glucose tolerance test at four year follow up.\nMAIN OUTCOME MEASURES: A man was defined diabetic if he had either (a) a fasting blood glucose concentration &gt; or = 6.7 mmol/l, or (b) a blood glucose concentration &gt; or = 10.0 mmol/l two hours after a glucose load, or (c) a clinical diagnosis of diabetes with either dietary, oral, or insulin treatment.\nRESULTS: 45 men developed diabetes during the follow up period. In a multivariate logistic regression model including the strongest predictors of diabetes, a low lipid standardised plasma vitamin E (below median) concentration was associated with a 3.9-fold (95% confidence interval 1.8-fold to 8.6-fold) risk of incident diabetes. A decrement of 1 mumol/l of uncategorised unstandardised vitamin E concentration was associated with an increment of 22% in the risk of diabetes when allowing for the strongest other risk factors as well as serum low density lipoprotein cholesterol and triglyceride concentrations.\nCONCLUSIONS: There was a strong independent association between low vitamin E status before follow up and an excess risk of diabetes at four years. This supports the theory that free radical stress has a role in the causation of non-insulin dependent diabetes mellitus.","ISSN":"0959-8138","note":"PMID: 7580706\nPMCID: PMC2551054","title-short":"Increased risk of non-insulin dependent diabetes mellitus at low plasma vitamin E concentrations","journalAbbreviation":"BMJ","language":"eng","author":[{"family":"Salonen","given":"J. T."},{"family":"Nyyssönen","given":"K."},{"family":"Tuomainen","given":"T. P."},{"family":"Mäenpää","given":"P. H."},{"family":"Korpela","given":"H."},{"family":"Kaplan","given":"G. A."},{"family":"Lynch","given":"J."},{"family":"Helmrich","given":"S. P."},{"family":"Salonen","given":"R."}],"issued":{"date-parts":[["1995",10,28]]}}}],"schema":"https://github.com/citation-style-language/schema/raw/master/csl-citation.json"} </w:instrText>
      </w:r>
      <w:r w:rsidR="00342C7B"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(25)</w:t>
      </w:r>
      <w:r w:rsidR="00342C7B" w:rsidRPr="002E25AD">
        <w:rPr>
          <w:rFonts w:ascii="Times New Roman" w:hAnsi="Times New Roman" w:cs="Times New Roman"/>
          <w:sz w:val="24"/>
          <w:szCs w:val="24"/>
          <w:lang w:val="en-US"/>
        </w:rPr>
        <w:fldChar w:fldCharType="end"/>
      </w:r>
      <w:r w:rsidR="00342C7B" w:rsidRPr="002E25AD">
        <w:rPr>
          <w:rFonts w:ascii="Times New Roman" w:hAnsi="Times New Roman" w:cs="Times New Roman"/>
          <w:sz w:val="24"/>
          <w:szCs w:val="24"/>
          <w:lang w:val="en-US"/>
        </w:rPr>
        <w:t xml:space="preserve"> </w:t>
      </w:r>
      <w:r w:rsidR="00B24438" w:rsidRPr="002E25AD">
        <w:rPr>
          <w:rFonts w:ascii="Times New Roman" w:hAnsi="Times New Roman" w:cs="Times New Roman"/>
          <w:sz w:val="24"/>
          <w:szCs w:val="24"/>
          <w:lang w:val="en-US"/>
        </w:rPr>
        <w:t xml:space="preserve">Sluijs and colleagues found that carotenoid intake was </w:t>
      </w:r>
      <w:r w:rsidR="009145DB" w:rsidRPr="002E25AD">
        <w:rPr>
          <w:rFonts w:ascii="Times New Roman" w:hAnsi="Times New Roman" w:cs="Times New Roman"/>
          <w:sz w:val="24"/>
          <w:szCs w:val="24"/>
          <w:lang w:val="en-US"/>
        </w:rPr>
        <w:t xml:space="preserve">inversely </w:t>
      </w:r>
      <w:r w:rsidR="00B24438" w:rsidRPr="002E25AD">
        <w:rPr>
          <w:rFonts w:ascii="Times New Roman" w:hAnsi="Times New Roman" w:cs="Times New Roman"/>
          <w:sz w:val="24"/>
          <w:szCs w:val="24"/>
          <w:lang w:val="en-US"/>
        </w:rPr>
        <w:t>related to risk of type 2 diabetes.</w:t>
      </w:r>
      <w:r w:rsidR="00B24438"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lrrm6kq44","properties":{"formattedCitation":"(6)","plainCitation":"(6)","noteIndex":0},"citationItems":[{"id":164,"uris":["http://zotero.org/users/3710342/items/G98NUUDV"],"uri":["http://zotero.org/users/3710342/items/G98NUUDV"],"itemData":{"id":164,"type":"article-journal","title":"Dietary intake of carotenoids and risk of type 2 diabetes","container-title":"Nutrition, metabolism, and cardiovascular diseases: NMCD","page":"376-381","volume":"25","issue":"4","source":"PubMed","abstract":"BACKGROUND AND AIMS: Carotenoids may reduce diabetes risk, due to their antioxidant properties. However, the association between dietary carotenoids intake and type 2 diabetes risk is still unclear. Therefore, the objective of this study was to examine whether higher dietary carotenoid intakes associate with reduced type 2 diabetes risk.\nMETHODS AND RESULTS: Data from 37,846 participants of the European Prospective Investigation into Cancer and Nutrition- Netherlands study were analyzed. Dietary intakes of β-carotene, α-carotene, β-cryptoxanthin, lycopene, lutein &amp; zeaxanthin and the sum of these carotenoids were assessed using a validated food frequency questionnaire. Incident type 2 diabetes was mainly self-reported, and verified against general practitioner information. Mean ±SD total carotenoid intake was 10 ± 4 mg/day. During a mean ±SD follow-up of 10 ± 2 years, 915 incident cases of type 2 diabetes were ascertained. After adjustment for age, sex, diabetes risk factors, dietary intake, waist circumference and BMI, higher β-carotene intakes associated inversely with diabetes risk [Hazard Ratio quartile 4 versus quartile 1 (HR(Q4)): 0.78 (95%CI:0.64,0.95), P-linear trend 0.01]. For α-carotene, a borderline significant reduced risk was observed, with a HR(Q4) of 0.85 (95%CI:0.70,1.03), and P-linear trend 0.05. β-cryptoxanthin, lycopene, lutein &amp; zeaxanthin, and the sum of all carotenoids did not associate with diabetes risk.\nCONCLUSIONS: This study shows that diets high in β-carotene and α-carotene are associated with reduced type 2 diabetes in generally healthy men and women.","DOI":"10.1016/j.numecd.2014.12.008","ISSN":"1590-3729","note":"PMID: 25716098","journalAbbreviation":"Nutr Metab Cardiovasc Dis","language":"eng","author":[{"family":"Sluijs","given":"I."},{"family":"Cadier","given":"E."},{"family":"Beulens","given":"J. W. J."},{"family":"A","given":"D. L.","non-dropping-particle":"van der"},{"family":"Spijkerman","given":"A. M. W."},{"family":"Schouw","given":"Y. T.","non-dropping-particle":"van der"}],"issued":{"date-parts":[["2015",4]]}}}],"schema":"https://github.com/citation-style-language/schema/raw/master/csl-citation.json"} </w:instrText>
      </w:r>
      <w:r w:rsidR="00B24438" w:rsidRPr="002E25AD">
        <w:rPr>
          <w:rFonts w:ascii="Times New Roman" w:hAnsi="Times New Roman" w:cs="Times New Roman"/>
          <w:sz w:val="24"/>
          <w:szCs w:val="24"/>
          <w:lang w:val="en-US"/>
        </w:rPr>
        <w:fldChar w:fldCharType="separate"/>
      </w:r>
      <w:r w:rsidR="00FF128F" w:rsidRPr="002E25AD">
        <w:rPr>
          <w:rFonts w:ascii="Times New Roman" w:hAnsi="Times New Roman" w:cs="Times New Roman"/>
          <w:noProof/>
          <w:sz w:val="24"/>
          <w:szCs w:val="24"/>
          <w:lang w:val="en-US"/>
        </w:rPr>
        <w:t>(6)</w:t>
      </w:r>
      <w:r w:rsidR="00B24438" w:rsidRPr="002E25AD">
        <w:rPr>
          <w:rFonts w:ascii="Times New Roman" w:hAnsi="Times New Roman" w:cs="Times New Roman"/>
          <w:sz w:val="24"/>
          <w:szCs w:val="24"/>
          <w:lang w:val="en-US"/>
        </w:rPr>
        <w:fldChar w:fldCharType="end"/>
      </w:r>
      <w:r w:rsidR="00B24438" w:rsidRPr="002E25AD">
        <w:rPr>
          <w:rFonts w:ascii="Times New Roman" w:hAnsi="Times New Roman" w:cs="Times New Roman"/>
          <w:sz w:val="24"/>
          <w:szCs w:val="24"/>
          <w:lang w:val="en-US"/>
        </w:rPr>
        <w:t xml:space="preserve"> </w:t>
      </w:r>
      <w:r w:rsidR="00022594" w:rsidRPr="002E25AD">
        <w:rPr>
          <w:rFonts w:ascii="Times New Roman" w:hAnsi="Times New Roman" w:cs="Times New Roman"/>
          <w:sz w:val="24"/>
          <w:szCs w:val="24"/>
          <w:lang w:val="en-US"/>
        </w:rPr>
        <w:t xml:space="preserve">Furthermore, our findings confirm previous studies which have found associations between </w:t>
      </w:r>
      <w:r w:rsidR="00022594" w:rsidRPr="002E25AD">
        <w:rPr>
          <w:rFonts w:ascii="Times New Roman" w:hAnsi="Times New Roman" w:cs="Times New Roman"/>
          <w:sz w:val="24"/>
          <w:szCs w:val="24"/>
          <w:lang w:val="en-US"/>
        </w:rPr>
        <w:lastRenderedPageBreak/>
        <w:t>dietary antioxidant capacity and measures of insulin resistance.</w:t>
      </w:r>
      <w:r w:rsidR="00022594"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1hojodt18s","properties":{"formattedCitation":"(7,8)","plainCitation":"(7,8)","noteIndex":0},"citationItems":[{"id":161,"uris":["http://zotero.org/users/3710342/items/P5IQ9GX5"],"uri":["http://zotero.org/users/3710342/items/P5IQ9GX5"],"itemData":{"id":161,"type":"article-journal","title":"Dietary antioxidant capacity is inversely associated with diabetes biomarkers: the ATTICA study","container-title":"Nutrition, metabolism, and cardiovascular diseases: NMCD","page":"561-567","volume":"21","issue":"8","source":"PubMed","abstract":"BACKGROUND AND AIMS: Elevated dietary antioxidant activity has been regarded as providing potential benefits to health. The present work aimed at evaluating the association of glycemic indices with total dietary antioxidant capacity in healthy adults.\nMETHODS AND RESULTS: The ATTICA study consisted of men and women, randomly selected from all areas of Attica region in Greece. In this work, a random sub-sample from the ATTICA study's database was studied, consisting of 551 men (41 ± 11 years) and 467 women (38 ± 11 years), with complete nutritional and biochemical information. Dietary habits were evaluated using a validated food-frequency questionnaire. The dietary antioxidant capacity was based on published values for Italian foods measured by three different assays: ferric-reducing antioxidant power (FRAP), total radical-trapping antioxidant parameter (TRAP) and Trolox equivalent antioxidant capacity (TEAC). Inverse, age-energy adjusted correlations were observed between FRAP and log-glucose (r = -0.149, p = 0.001), log-insulin (r = -0.221, p = 0.001) and log-HOMA-IR (r = -0.186, p = 0.001) concentration, as well as with TRAP and TEAC. After controlling for age, gender, body mass index, physical activity status, smoking habits and energy intake, multi-adjusted analysis confirmed the previous relationships only among participants who were not on the Mediterranean dietary pattern.\nCONCLUSIONS: Although more prospective studies are required, the data presented support the view that dietary modification towards higher consumption of antioxidants should be implemented in public health strategies, in order to better control glycemic markers in individuals, and prevent the development of diabetes at the population level.","DOI":"10.1016/j.numecd.2009.11.005","ISSN":"1590-3729","note":"PMID: 20171855","title-short":"Dietary antioxidant capacity is inversely associated with diabetes biomarkers","journalAbbreviation":"Nutr Metab Cardiovasc Dis","language":"eng","author":[{"family":"Psaltopoulou","given":"T."},{"family":"Panagiotakos","given":"D. B."},{"family":"Pitsavos","given":"C."},{"family":"Chrysochoou","given":"C."},{"family":"Detopoulou","given":"P."},{"family":"Skoumas","given":"J."},{"family":"Stefanadis","given":"C."}],"issued":{"date-parts":[["2011",8]]}}},{"id":160,"uris":["http://zotero.org/users/3710342/items/FBHRFEBR"],"uri":["http://zotero.org/users/3710342/items/FBHRFEBR"],"itemData":{"id":160,"type":"article-journal","title":"Dietary total antioxidant capacity is related to glucose tolerance in older people: the Hertfordshire Cohort Study","container-title":"Nutrition, metabolism, and cardiovascular diseases: NMCD","page":"301-308","volume":"24","issue":"3","source":"PubMed","abstract":"BACKGROUND AND AIMS: Dietary antioxidants may play a protective role in the aetiology of type 2 diabetes. However, observational studies that examine the relationship between the antioxidant capacity of the diet and glucose metabolism are limited, particularly in older people. We aimed to examine the relationships between dietary total antioxidant capacity (TAC) and markers of glucose metabolism among 1441 men and 1253 women aged 59-73 years who participated in the Hertfordshire Cohort Study, UK.\nMETHODS AND RESULTS: Diet was assessed by food frequency questionnaire. Dietary TAC was estimated using published databases of TAC measured by four different assays: oxygen radical absorbance capacity (ORAC), ferric-reducing ability of plasma (FRAP), total radical-trapping antioxidant parameter (TRAP) and trolox equivalent antioxidant capacity (TEAC). Fasting and 120-min plasma glucose and insulin concentrations were measured during a standard 75-g oral glucose tolerance test. In men, dietary TAC estimated by all four assays was inversely associated with fasting insulin concentration and homoeostasis model assessment of insulin resistance (HOMA-IR); with the exception of ORAC, dietary TAC was also inversely related to 120-min glucose concentration. There were no associations with fasting glucose or 120-min insulin concentrations. In women, with the exception of the association between ORAC and 120-min insulin concentration, dietary TAC estimated by all assays showed consistent inverse associations with fasting and 120-min glucose and insulin concentrations and HOMA-IR. These associations were more marked among women with BMI ≥ 30 kg/m(2).\nCONCLUSION: These findings suggest dietary TAC may have important protective effects on glucose tolerance, especially in older obese women.","DOI":"10.1016/j.numecd.2013.08.001","ISSN":"1590-3729","note":"PMID: 24370447\nPMCID: PMC4112602","title-short":"Dietary total antioxidant capacity is related to glucose tolerance in older people","journalAbbreviation":"Nutr Metab Cardiovasc Dis","language":"eng","author":[{"family":"Okubo","given":"H."},{"family":"Syddall","given":"H. E."},{"family":"Phillips","given":"D. I. W."},{"family":"Sayer","given":"A. A."},{"family":"Dennison","given":"E. M."},{"family":"Cooper","given":"C."},{"family":"Robinson","given":"S. M."},{"literal":"Hertfordshire Cohort Study Group"}],"issued":{"date-parts":[["2014",3]]}}}],"schema":"https://github.com/citation-style-language/schema/raw/master/csl-citation.json"} </w:instrText>
      </w:r>
      <w:r w:rsidR="00022594" w:rsidRPr="002E25AD">
        <w:rPr>
          <w:rFonts w:ascii="Times New Roman" w:hAnsi="Times New Roman" w:cs="Times New Roman"/>
          <w:sz w:val="24"/>
          <w:szCs w:val="24"/>
          <w:lang w:val="en-US"/>
        </w:rPr>
        <w:fldChar w:fldCharType="separate"/>
      </w:r>
      <w:r w:rsidR="00FF128F" w:rsidRPr="002E25AD">
        <w:rPr>
          <w:rFonts w:ascii="Times New Roman" w:hAnsi="Times New Roman" w:cs="Times New Roman"/>
          <w:noProof/>
          <w:sz w:val="24"/>
          <w:szCs w:val="24"/>
          <w:lang w:val="en-US"/>
        </w:rPr>
        <w:t>(7,8)</w:t>
      </w:r>
      <w:r w:rsidR="00022594" w:rsidRPr="002E25AD">
        <w:rPr>
          <w:rFonts w:ascii="Times New Roman" w:hAnsi="Times New Roman" w:cs="Times New Roman"/>
          <w:sz w:val="24"/>
          <w:szCs w:val="24"/>
          <w:lang w:val="en-US"/>
        </w:rPr>
        <w:fldChar w:fldCharType="end"/>
      </w:r>
      <w:r w:rsidR="00022594" w:rsidRPr="002E25AD">
        <w:rPr>
          <w:rFonts w:ascii="Times New Roman" w:hAnsi="Times New Roman" w:cs="Times New Roman"/>
          <w:sz w:val="24"/>
          <w:szCs w:val="24"/>
          <w:lang w:val="en-US"/>
        </w:rPr>
        <w:t xml:space="preserve"> </w:t>
      </w:r>
      <w:r w:rsidR="00C7776A" w:rsidRPr="002E25AD">
        <w:rPr>
          <w:rFonts w:ascii="Times New Roman" w:hAnsi="Times New Roman" w:cs="Times New Roman"/>
          <w:sz w:val="24"/>
          <w:szCs w:val="24"/>
          <w:lang w:val="en-US"/>
        </w:rPr>
        <w:t>O</w:t>
      </w:r>
      <w:r w:rsidR="00C727C3" w:rsidRPr="002E25AD">
        <w:rPr>
          <w:rFonts w:ascii="Times New Roman" w:hAnsi="Times New Roman" w:cs="Times New Roman"/>
          <w:sz w:val="24"/>
          <w:szCs w:val="24"/>
          <w:lang w:val="en-US"/>
        </w:rPr>
        <w:t>nly one previous study has examined the total dietary antioxidant capacity in relation to type 2 diabetes.</w:t>
      </w:r>
      <w:r w:rsidR="005B37D9"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2pebucnb6t","properties":{"formattedCitation":"(13)","plainCitation":"(13)","noteIndex":0},"citationItems":[{"id":100,"uris":["http://zotero.org/users/3710342/items/2JXHF52I"],"uri":["http://zotero.org/users/3710342/items/2JXHF52I"],"itemData":{"id":100,"type":"article-journal","title":"Dietary antioxidant capacity and risk of type 2 diabetes in the large prospective E3N-EPIC cohort","container-title":"Diabetologia","source":"PubMed","abstract":"AIMS/HYPOTHESIS: Recent evidence suggests that oxidative stress may contribute to the pathogenesis of type 2 diabetes. The diet, and especially fruit and vegetables, contains a variety of compounds with antioxidant activity, which may have cumulative/synergistic antioxidant effects. The total antioxidant capacity, an index derived from dietary intake, is a single estimate of antioxidant capacity from all dietary antioxidants. The main aim of this study was to investigate the relationship between total antioxidant capacity and risk of type 2 diabetes.\nMETHODS: Among 64,223 women (mean age 52 ± 7 years) from the French E3N-European Prospective Investigation into Cancer and Nutrition (EPIC) cohort, 1751 women had validated type 2 diabetes during 15 years of follow-up. The total antioxidant capacity was estimated with the ferric ion-reducing antioxidant power (FRAP) method. Adjusted Cox proportional hazards regression models were used to calculate HRs and 95% CIs for the associations between total antioxidant capacity and type 2 diabetes risk, adjusted for potential confounders.\nRESULTS: In multivariable models, higher levels of total antioxidant capacity were associated with a lower risk of type 2 diabetes. Compared with women in the lowest quintile, women in the third, fourth and fifth quintiles for total antioxidant capacity had HRs of 0.74 (95% CI 0.63, 0.86), 0.70 (95% CI 0.59, 0.83) and 0.73 (95% CI 0.60, 0.89), respectively. The inverse association between total antioxidant capacity and risk of type 2 diabetes was linear up to values of 15 mmol/day, after which the effect reached a plateau.\nCONCLUSIONS/INTERPRETATION: Our findings suggest that the total antioxidant capacity may play an important role in reducing the risk of type 2 diabetes in middle-aged women. More studies are warranted to better understand the biological mechanisms underlying this inverse association.","DOI":"10.1007/s00125-017-4489-7","ISSN":"1432-0428","note":"PMID: 29119242","journalAbbreviation":"Diabetologia","language":"eng","author":[{"family":"Mancini","given":"Francesca Romana"},{"family":"Affret","given":"Aurélie"},{"family":"Dow","given":"Courtney"},{"family":"Balkau","given":"Beverley"},{"family":"Bonnet","given":"Fabrice"},{"family":"Boutron-Ruault","given":"Marie-Christine"},{"family":"Fagherazzi","given":"Guy"}],"issued":{"date-parts":[["2017",11,9]]}}}],"schema":"https://github.com/citation-style-language/schema/raw/master/csl-citation.json"} </w:instrText>
      </w:r>
      <w:r w:rsidR="005B37D9"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(13)</w:t>
      </w:r>
      <w:r w:rsidR="005B37D9" w:rsidRPr="002E25AD">
        <w:rPr>
          <w:rFonts w:ascii="Times New Roman" w:hAnsi="Times New Roman" w:cs="Times New Roman"/>
          <w:sz w:val="24"/>
          <w:szCs w:val="24"/>
          <w:lang w:val="en-US"/>
        </w:rPr>
        <w:fldChar w:fldCharType="end"/>
      </w:r>
      <w:r w:rsidR="001577E9" w:rsidRPr="002E25AD">
        <w:rPr>
          <w:rFonts w:ascii="Times New Roman" w:hAnsi="Times New Roman" w:cs="Times New Roman"/>
          <w:sz w:val="24"/>
          <w:szCs w:val="24"/>
          <w:lang w:val="en-US"/>
        </w:rPr>
        <w:t xml:space="preserve"> </w:t>
      </w:r>
      <w:r w:rsidR="0048264F" w:rsidRPr="002E25AD">
        <w:rPr>
          <w:rFonts w:ascii="Times New Roman" w:hAnsi="Times New Roman" w:cs="Times New Roman"/>
          <w:sz w:val="24"/>
          <w:szCs w:val="24"/>
          <w:lang w:val="en-US"/>
        </w:rPr>
        <w:t>In line with our findings, t</w:t>
      </w:r>
      <w:r w:rsidR="00C727C3" w:rsidRPr="002E25AD">
        <w:rPr>
          <w:rFonts w:ascii="Times New Roman" w:hAnsi="Times New Roman" w:cs="Times New Roman"/>
          <w:sz w:val="24"/>
          <w:szCs w:val="24"/>
          <w:lang w:val="en-US"/>
        </w:rPr>
        <w:t xml:space="preserve">his study observed a strongly significant </w:t>
      </w:r>
      <w:r w:rsidR="000C34BD" w:rsidRPr="002E25AD">
        <w:rPr>
          <w:rFonts w:ascii="Times New Roman" w:hAnsi="Times New Roman" w:cs="Times New Roman"/>
          <w:sz w:val="24"/>
          <w:szCs w:val="24"/>
          <w:lang w:val="en-US"/>
        </w:rPr>
        <w:t xml:space="preserve">inverse </w:t>
      </w:r>
      <w:r w:rsidR="00C727C3" w:rsidRPr="002E25AD">
        <w:rPr>
          <w:rFonts w:ascii="Times New Roman" w:hAnsi="Times New Roman" w:cs="Times New Roman"/>
          <w:sz w:val="24"/>
          <w:szCs w:val="24"/>
          <w:lang w:val="en-US"/>
        </w:rPr>
        <w:t>association, but was p</w:t>
      </w:r>
      <w:r w:rsidR="00A9188E" w:rsidRPr="002E25AD">
        <w:rPr>
          <w:rFonts w:ascii="Times New Roman" w:hAnsi="Times New Roman" w:cs="Times New Roman"/>
          <w:sz w:val="24"/>
          <w:szCs w:val="24"/>
          <w:lang w:val="en-US"/>
        </w:rPr>
        <w:t>erformed among women only</w:t>
      </w:r>
      <w:r w:rsidR="0048264F" w:rsidRPr="002E25AD">
        <w:rPr>
          <w:rFonts w:ascii="Times New Roman" w:hAnsi="Times New Roman" w:cs="Times New Roman"/>
          <w:sz w:val="24"/>
          <w:szCs w:val="24"/>
          <w:lang w:val="en-US"/>
        </w:rPr>
        <w:t xml:space="preserve"> </w:t>
      </w:r>
      <w:r w:rsidR="003E36E3" w:rsidRPr="002E25AD">
        <w:rPr>
          <w:rFonts w:ascii="Times New Roman" w:hAnsi="Times New Roman" w:cs="Times New Roman"/>
          <w:sz w:val="24"/>
          <w:szCs w:val="24"/>
          <w:lang w:val="en-US"/>
        </w:rPr>
        <w:t>and did not investigate dietary antioxidant capacity in relation to stage-specific transitions from normoglycaemia to type 2 diabetes</w:t>
      </w:r>
      <w:r w:rsidR="00A9188E" w:rsidRPr="002E25AD">
        <w:rPr>
          <w:rFonts w:ascii="Times New Roman" w:hAnsi="Times New Roman" w:cs="Times New Roman"/>
          <w:sz w:val="24"/>
          <w:szCs w:val="24"/>
          <w:lang w:val="en-US"/>
        </w:rPr>
        <w:t xml:space="preserve">. </w:t>
      </w:r>
      <w:r w:rsidR="003E36E3" w:rsidRPr="002E25AD">
        <w:rPr>
          <w:rFonts w:ascii="Times New Roman" w:hAnsi="Times New Roman" w:cs="Times New Roman"/>
          <w:sz w:val="24"/>
          <w:szCs w:val="24"/>
          <w:lang w:val="en-US"/>
        </w:rPr>
        <w:t xml:space="preserve">Thus, our study is the first that investigated total dietary antioxidant capacity among both men and women in relation to incident type 2 diabetes, including intermediate endpoints such as prediabetes and insulin resistance to capture the full trajectory from normoglycaemia to type 2 diabetes.  </w:t>
      </w:r>
    </w:p>
    <w:p w14:paraId="4A255AC6" w14:textId="0DA40454" w:rsidR="00A611B0" w:rsidRPr="002E25AD" w:rsidRDefault="001154F4" w:rsidP="002071C6">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Dietary antioxidants may</w:t>
      </w:r>
      <w:r w:rsidR="00055480" w:rsidRPr="002E25AD">
        <w:rPr>
          <w:rFonts w:ascii="Times New Roman" w:hAnsi="Times New Roman" w:cs="Times New Roman"/>
          <w:sz w:val="24"/>
          <w:szCs w:val="24"/>
          <w:lang w:val="en-US"/>
        </w:rPr>
        <w:t xml:space="preserve"> directly</w:t>
      </w:r>
      <w:r w:rsidRPr="002E25AD">
        <w:rPr>
          <w:rFonts w:ascii="Times New Roman" w:hAnsi="Times New Roman" w:cs="Times New Roman"/>
          <w:sz w:val="24"/>
          <w:szCs w:val="24"/>
          <w:lang w:val="en-US"/>
        </w:rPr>
        <w:t xml:space="preserve"> affect gluco</w:t>
      </w:r>
      <w:r w:rsidR="00055480" w:rsidRPr="002E25AD">
        <w:rPr>
          <w:rFonts w:ascii="Times New Roman" w:hAnsi="Times New Roman" w:cs="Times New Roman"/>
          <w:sz w:val="24"/>
          <w:szCs w:val="24"/>
          <w:lang w:val="en-US"/>
        </w:rPr>
        <w:t>se homeostasis in multiple ways</w:t>
      </w:r>
      <w:r w:rsidRPr="002E25AD">
        <w:rPr>
          <w:rFonts w:ascii="Times New Roman" w:hAnsi="Times New Roman" w:cs="Times New Roman"/>
          <w:sz w:val="24"/>
          <w:szCs w:val="24"/>
          <w:lang w:val="en-US"/>
        </w:rPr>
        <w:t xml:space="preserve">. </w:t>
      </w:r>
      <w:r w:rsidR="00055480" w:rsidRPr="002E25AD">
        <w:rPr>
          <w:rFonts w:ascii="Times New Roman" w:hAnsi="Times New Roman" w:cs="Times New Roman"/>
          <w:sz w:val="24"/>
          <w:szCs w:val="24"/>
          <w:lang w:val="en-US"/>
        </w:rPr>
        <w:t>It has been hypothesized that oxidative stress activates the NF-</w:t>
      </w:r>
      <w:r w:rsidR="00055480" w:rsidRPr="002E25AD">
        <w:rPr>
          <w:rFonts w:ascii="Times New Roman" w:hAnsi="Times New Roman" w:cs="Times New Roman"/>
          <w:sz w:val="24"/>
          <w:szCs w:val="24"/>
          <w:lang w:val="en-US"/>
        </w:rPr>
        <w:sym w:font="Symbol" w:char="F06B"/>
      </w:r>
      <w:r w:rsidR="00055480" w:rsidRPr="002E25AD">
        <w:rPr>
          <w:rFonts w:ascii="Times New Roman" w:hAnsi="Times New Roman" w:cs="Times New Roman"/>
          <w:sz w:val="24"/>
          <w:szCs w:val="24"/>
          <w:lang w:val="en-US"/>
        </w:rPr>
        <w:t>B pathway and various protein kinase pathways.</w:t>
      </w:r>
      <w:r w:rsidR="003E7CE1"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1hpk6f530m","properties":{"formattedCitation":"(26)","plainCitation":"(26)","noteIndex":0},"citationItems":[{"id":105,"uris":["http://zotero.org/users/3710342/items/ABWII23P"],"uri":["http://zotero.org/users/3710342/items/ABWII23P"],"itemData":{"id":105,"type":"article-journal","title":"Are oxidative stress-activated signaling pathways mediators of insulin resistance and beta-cell dysfunction?","container-title":"Diabetes","page":"1-8","volume":"52","issue":"1","source":"PubMed","abstract":"In both type 1 and type 2 diabetes, diabetic complications in target organs arise from chronic elevations of glucose. The pathogenic effect of high glucose, possibly in concert with fatty acids, is mediated to a significant extent via increased production of reactive oxygen species (ROS) and reactive nitrogen species (RNS) and subsequent oxidative stress. ROS and RNS directly oxidize and damage DNA, proteins, and lipids. In addition to their ability to directly inflict damage on macromolecules, ROS and RNS indirectly induce damage to tissues by activating a number of cellular stress-sensitive pathways. These pathways include nuclear factor-kappaB, p38 mitogen-activated protein kinase, NH(2)-terminal Jun kinases/stress-activated protein kinases, hexosamines, and others. In addition, there is evidence that in type 2 diabetes, the activation of these same pathways by elevations in glucose and free fatty acid (FFA) levels leads to both insulin resistance and impaired insulin secretion. Therefore, we propose here that the hyperglycemia-induced, and possibly FFA-induced, activation of stress pathways plays a key role in the development of not only the late complications in type 1 and type 2 diabetes, but also the insulin resistance and impaired insulin secretion seen in type 2 diabetes.","ISSN":"0012-1797","note":"PMID: 12502486","journalAbbreviation":"Diabetes","language":"eng","author":[{"family":"Evans","given":"Joseph L."},{"family":"Goldfine","given":"Ira D."},{"family":"Maddux","given":"Betty A."},{"family":"Grodsky","given":"Gerold M."}],"issued":{"date-parts":[["2003",1]]}}}],"schema":"https://github.com/citation-style-language/schema/raw/master/csl-citation.json"} </w:instrText>
      </w:r>
      <w:r w:rsidR="003E7CE1"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(26)</w:t>
      </w:r>
      <w:r w:rsidR="003E7CE1" w:rsidRPr="002E25AD">
        <w:rPr>
          <w:rFonts w:ascii="Times New Roman" w:hAnsi="Times New Roman" w:cs="Times New Roman"/>
          <w:sz w:val="24"/>
          <w:szCs w:val="24"/>
          <w:lang w:val="en-US"/>
        </w:rPr>
        <w:fldChar w:fldCharType="end"/>
      </w:r>
      <w:r w:rsidR="003E7CE1" w:rsidRPr="002E25AD">
        <w:rPr>
          <w:rFonts w:ascii="Times New Roman" w:hAnsi="Times New Roman" w:cs="Times New Roman"/>
          <w:sz w:val="24"/>
          <w:szCs w:val="24"/>
          <w:lang w:val="en-US"/>
        </w:rPr>
        <w:t xml:space="preserve"> Activation of these pathways may inhibit signaling between insulin receptors and the glucose transport </w:t>
      </w:r>
      <w:r w:rsidR="00147EB2" w:rsidRPr="002E25AD">
        <w:rPr>
          <w:rFonts w:ascii="Times New Roman" w:hAnsi="Times New Roman" w:cs="Times New Roman"/>
          <w:sz w:val="24"/>
          <w:szCs w:val="24"/>
          <w:lang w:val="en-US"/>
        </w:rPr>
        <w:t>system, which contributes to the development of insulin resistance</w:t>
      </w:r>
      <w:r w:rsidR="003E7CE1" w:rsidRPr="002E25AD">
        <w:rPr>
          <w:rFonts w:ascii="Times New Roman" w:hAnsi="Times New Roman" w:cs="Times New Roman"/>
          <w:sz w:val="24"/>
          <w:szCs w:val="24"/>
          <w:lang w:val="en-US"/>
        </w:rPr>
        <w:t>.</w:t>
      </w:r>
      <w:r w:rsidR="003E7CE1"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kSAq8jkG","properties":{"formattedCitation":"(26,27)","plainCitation":"(26,27)","noteIndex":0},"citationItems":[{"id":107,"uris":["http://zotero.org/users/3710342/items/HUTF9K26"],"uri":["http://zotero.org/users/3710342/items/HUTF9K26"],"itemData":{"id":107,"type":"article-journal","title":"Diabetes associated cell stress and dysfunction: role of mitochondrial and non-mitochondrial ROS production and activity","container-title":"The Journal of Physiology","page":"9-24","volume":"583","issue":"Pt 1","source":"PubMed Central","abstract":"It is now widely accepted, given the current weight of experimental evidence, that reactive oxygen species (ROS) contribute to cell and tissue dysfunction and damage caused by glucolipotoxicity in diabetes. The source of ROS in the insulin secreting pancreatic β-cells and in the cells which are targets for insulin action has been considered to be the mitochondrial electron transport chain. While this source is undoubtably important, we provide additional information and evidence for NADPH oxidase-dependent generation of ROS both in pancreatic β-cells and in insulin sensitive cells. While mitochondrial ROS generation may be important for regulation of mitochondrial uncoupling protein (UCP) activity and thus disruption of cellular energy metabolism, the NADPH oxidase associated ROS may alter parameters of signal transduction, insulin secretion, insulin action and cell proliferation or cell death. Thus NADPH oxidase may be a useful target for intervention strategies based on reversing the negative impact of glucolipotoxicity in diabetes.","DOI":"10.1113/jphysiol.2007.135871","ISSN":"0022-3751","note":"PMID: 17584843\nPMCID: PMC2277225","title-short":"Diabetes associated cell stress and dysfunction","journalAbbreviation":"J Physiol","author":[{"family":"Newsholme","given":"P"},{"family":"Haber","given":"E P"},{"family":"Hirabara","given":"S M"},{"family":"Rebelato","given":"E L O"},{"family":"Procopio","given":"J"},{"family":"Morgan","given":"D"},{"family":"Oliveira-Emilio","given":"H C"},{"family":"Carpinelli","given":"A R"},{"family":"Curi","given":"R"}],"issued":{"date-parts":[["2007",8,15]]}}},{"id":105,"uris":["http://zotero.org/users/3710342/items/ABWII23P"],"uri":["http://zotero.org/users/3710342/items/ABWII23P"],"itemData":{"id":105,"type":"article-journal","title":"Are oxidative stress-activated signaling pathways mediators of insulin resistance and beta-cell dysfunction?","container-title":"Diabetes","page":"1-8","volume":"52","issue":"1","source":"PubMed","abstract":"In both type 1 and type 2 diabetes, diabetic complications in target organs arise from chronic elevations of glucose. The pathogenic effect of high glucose, possibly in concert with fatty acids, is mediated to a significant extent via increased production of reactive oxygen species (ROS) and reactive nitrogen species (RNS) and subsequent oxidative stress. ROS and RNS directly oxidize and damage DNA, proteins, and lipids. In addition to their ability to directly inflict damage on macromolecules, ROS and RNS indirectly induce damage to tissues by activating a number of cellular stress-sensitive pathways. These pathways include nuclear factor-kappaB, p38 mitogen-activated protein kinase, NH(2)-terminal Jun kinases/stress-activated protein kinases, hexosamines, and others. In addition, there is evidence that in type 2 diabetes, the activation of these same pathways by elevations in glucose and free fatty acid (FFA) levels leads to both insulin resistance and impaired insulin secretion. Therefore, we propose here that the hyperglycemia-induced, and possibly FFA-induced, activation of stress pathways plays a key role in the development of not only the late complications in type 1 and type 2 diabetes, but also the insulin resistance and impaired insulin secretion seen in type 2 diabetes.","ISSN":"0012-1797","note":"PMID: 12502486","journalAbbreviation":"Diabetes","language":"eng","author":[{"family":"Evans","given":"Joseph L."},{"family":"Goldfine","given":"Ira D."},{"family":"Maddux","given":"Betty A."},{"family":"Grodsky","given":"Gerold M."}],"issued":{"date-parts":[["2003",1]]}}}],"schema":"https://github.com/citation-style-language/schema/raw/master/csl-citation.json"} </w:instrText>
      </w:r>
      <w:r w:rsidR="003E7CE1"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(26,27)</w:t>
      </w:r>
      <w:r w:rsidR="003E7CE1" w:rsidRPr="002E25AD">
        <w:rPr>
          <w:rFonts w:ascii="Times New Roman" w:hAnsi="Times New Roman" w:cs="Times New Roman"/>
          <w:sz w:val="24"/>
          <w:szCs w:val="24"/>
          <w:lang w:val="en-US"/>
        </w:rPr>
        <w:fldChar w:fldCharType="end"/>
      </w:r>
      <w:r w:rsidR="005303E0" w:rsidRPr="002E25AD">
        <w:rPr>
          <w:rFonts w:ascii="Times New Roman" w:hAnsi="Times New Roman" w:cs="Times New Roman"/>
          <w:sz w:val="24"/>
          <w:szCs w:val="24"/>
          <w:lang w:val="en-US"/>
        </w:rPr>
        <w:t xml:space="preserve"> </w:t>
      </w:r>
      <w:r w:rsidR="00055480" w:rsidRPr="002E25AD">
        <w:rPr>
          <w:rFonts w:ascii="Times New Roman" w:hAnsi="Times New Roman" w:cs="Times New Roman"/>
          <w:sz w:val="24"/>
          <w:szCs w:val="24"/>
          <w:lang w:val="en-US"/>
        </w:rPr>
        <w:t xml:space="preserve">Through suppressing the formation of ROS, and thereby lowering oxidative stress, dietary antioxidants may </w:t>
      </w:r>
      <w:r w:rsidR="003E7CE1" w:rsidRPr="002E25AD">
        <w:rPr>
          <w:rFonts w:ascii="Times New Roman" w:hAnsi="Times New Roman" w:cs="Times New Roman"/>
          <w:sz w:val="24"/>
          <w:szCs w:val="24"/>
          <w:lang w:val="en-US"/>
        </w:rPr>
        <w:t>improve</w:t>
      </w:r>
      <w:r w:rsidR="00055480" w:rsidRPr="002E25AD">
        <w:rPr>
          <w:rFonts w:ascii="Times New Roman" w:hAnsi="Times New Roman" w:cs="Times New Roman"/>
          <w:sz w:val="24"/>
          <w:szCs w:val="24"/>
          <w:lang w:val="en-US"/>
        </w:rPr>
        <w:t xml:space="preserve"> </w:t>
      </w:r>
      <w:r w:rsidR="003E7CE1" w:rsidRPr="002E25AD">
        <w:rPr>
          <w:rFonts w:ascii="Times New Roman" w:hAnsi="Times New Roman" w:cs="Times New Roman"/>
          <w:sz w:val="24"/>
          <w:szCs w:val="24"/>
          <w:lang w:val="en-US"/>
        </w:rPr>
        <w:t>insulin</w:t>
      </w:r>
      <w:r w:rsidR="00055480" w:rsidRPr="002E25AD">
        <w:rPr>
          <w:rFonts w:ascii="Times New Roman" w:hAnsi="Times New Roman" w:cs="Times New Roman"/>
          <w:sz w:val="24"/>
          <w:szCs w:val="24"/>
          <w:lang w:val="en-US"/>
        </w:rPr>
        <w:t xml:space="preserve"> </w:t>
      </w:r>
      <w:r w:rsidR="003E7CE1" w:rsidRPr="002E25AD">
        <w:rPr>
          <w:rFonts w:ascii="Times New Roman" w:hAnsi="Times New Roman" w:cs="Times New Roman"/>
          <w:sz w:val="24"/>
          <w:szCs w:val="24"/>
          <w:lang w:val="en-US"/>
        </w:rPr>
        <w:t>sensitivity</w:t>
      </w:r>
      <w:r w:rsidR="00055480" w:rsidRPr="002E25AD">
        <w:rPr>
          <w:rFonts w:ascii="Times New Roman" w:hAnsi="Times New Roman" w:cs="Times New Roman"/>
          <w:sz w:val="24"/>
          <w:szCs w:val="24"/>
          <w:lang w:val="en-US"/>
        </w:rPr>
        <w:t xml:space="preserve">. </w:t>
      </w:r>
      <w:r w:rsidR="003E7CE1" w:rsidRPr="002E25AD">
        <w:rPr>
          <w:rFonts w:ascii="Times New Roman" w:hAnsi="Times New Roman" w:cs="Times New Roman"/>
          <w:sz w:val="24"/>
          <w:szCs w:val="24"/>
          <w:lang w:val="en-US"/>
        </w:rPr>
        <w:t xml:space="preserve">Furthermore, it has been demonstrated in animal models that antioxidants can suppress apoptosis of pancreatic </w:t>
      </w:r>
      <w:r w:rsidR="003E7CE1" w:rsidRPr="002E25AD">
        <w:rPr>
          <w:rFonts w:ascii="Times New Roman" w:hAnsi="Times New Roman" w:cs="Times New Roman"/>
          <w:sz w:val="24"/>
          <w:szCs w:val="24"/>
          <w:lang w:val="en-US"/>
        </w:rPr>
        <w:sym w:font="Symbol" w:char="F062"/>
      </w:r>
      <w:r w:rsidR="003E7CE1" w:rsidRPr="002E25AD">
        <w:rPr>
          <w:rFonts w:ascii="Times New Roman" w:hAnsi="Times New Roman" w:cs="Times New Roman"/>
          <w:sz w:val="24"/>
          <w:szCs w:val="24"/>
          <w:lang w:val="en-US"/>
        </w:rPr>
        <w:t>-cells induced by oxidative stress.</w:t>
      </w:r>
      <w:r w:rsidR="003E7CE1"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25r8nlc4om","properties":{"formattedCitation":"(28)","plainCitation":"(28)","noteIndex":0},"citationItems":[{"id":110,"uris":["http://zotero.org/users/3710342/items/5E8VSS3I"],"uri":["http://zotero.org/users/3710342/items/5E8VSS3I"],"itemData":{"id":110,"type":"article-journal","title":"Beneficial effects of antioxidants in diabetes: possible protection of pancreatic beta-cells against glucose toxicity","container-title":"Diabetes","page":"2398-2406","volume":"48","issue":"12","source":"PubMed","abstract":"Oxidative stress is produced under diabetic conditions and possibly causes various forms of tissue damage in patients with diabetes. The aim of this study was to examine the involvement of oxidative stress in the progression of pancreatic beta-cell dysfunction in type 2 diabetes and to evaluate the potential usefulness of antioxidants in the treatment of type 2 diabetes. We used diabetic C57BL/KsJ-db/db mice, in whom antioxidant treatment (N-acetyl-L-cysteine [NAC], vitamins C plus E, or both) was started at 6 weeks of age; its effects were evaluated at 10 and 16 weeks of age. According to an intraperitoneal glucose tolerance test, the treatment with NAC retained glucose-stimulated insulin secretion and moderately decreased blood glucose levels. Vitamins C and E were not effective when used alone but slightly effective when used in combination with NAC. No effect on insulin secretion was observed when the same set of antioxidants was given to nondiabetic control mice. Histologic analyses of the pancreases revealed that the beta-cell mass was significantly larger in the diabetic mice treated with the antioxidants than in the untreated mice. As a possible cause, the antioxidant treatment suppressed apoptosis in beta-cells without changing the rate of beta-cell proliferation, supporting the hypothesis that in chronic hyperglycemia, apoptosis induced by oxidative stress causes reduction of beta-cell mass. The antioxidant treatment also preserved the amounts of insulin content and insulin mRNA, making the extent of insulin degranulation less evident. Furthermore, expression of pancreatic and duodenal homeobox factor-1 (PDX-1), a beta-cell-specific transcription factor, was more clearly visible in the nuclei of islet cells after the antioxidant treatment. In conclusion, our observations indicate that antioxidant treatment can exert beneficial effects in diabetes, with preservation of in vivo beta-cell function. This finding suggests a potential usefulness of antioxidants for treating diabetes and provides further support for the implication of oxidative stress in beta-cell dysfunction in diabetes.","ISSN":"0012-1797","note":"PMID: 10580429","title-short":"Beneficial effects of antioxidants in diabetes","journalAbbreviation":"Diabetes","language":"eng","author":[{"family":"Kaneto","given":"H."},{"family":"Kajimoto","given":"Y."},{"family":"Miyagawa","given":"J."},{"family":"Matsuoka","given":"T."},{"family":"Fujitani","given":"Y."},{"family":"Umayahara","given":"Y."},{"family":"Hanafusa","given":"T."},{"family":"Matsuzawa","given":"Y."},{"family":"Yamasaki","given":"Y."},{"family":"Hori","given":"M."}],"issued":{"date-parts":[["1999",12]]}}}],"schema":"https://github.com/citation-style-language/schema/raw/master/csl-citation.json"} </w:instrText>
      </w:r>
      <w:r w:rsidR="003E7CE1"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(28)</w:t>
      </w:r>
      <w:r w:rsidR="003E7CE1" w:rsidRPr="002E25AD">
        <w:rPr>
          <w:rFonts w:ascii="Times New Roman" w:hAnsi="Times New Roman" w:cs="Times New Roman"/>
          <w:sz w:val="24"/>
          <w:szCs w:val="24"/>
          <w:lang w:val="en-US"/>
        </w:rPr>
        <w:fldChar w:fldCharType="end"/>
      </w:r>
      <w:r w:rsidR="00147EB2" w:rsidRPr="002E25AD">
        <w:rPr>
          <w:rFonts w:ascii="Times New Roman" w:hAnsi="Times New Roman" w:cs="Times New Roman"/>
          <w:sz w:val="24"/>
          <w:szCs w:val="24"/>
          <w:lang w:val="en-US"/>
        </w:rPr>
        <w:t xml:space="preserve"> </w:t>
      </w:r>
      <w:r w:rsidR="003E7CE1" w:rsidRPr="002E25AD">
        <w:rPr>
          <w:rFonts w:ascii="Times New Roman" w:hAnsi="Times New Roman" w:cs="Times New Roman"/>
          <w:sz w:val="24"/>
          <w:szCs w:val="24"/>
          <w:lang w:val="en-US"/>
        </w:rPr>
        <w:t xml:space="preserve">Therefore, dietary antioxidants may also help in sustaining </w:t>
      </w:r>
      <w:r w:rsidR="003E7CE1" w:rsidRPr="002E25AD">
        <w:rPr>
          <w:rFonts w:ascii="Times New Roman" w:hAnsi="Times New Roman" w:cs="Times New Roman"/>
          <w:sz w:val="24"/>
          <w:szCs w:val="24"/>
          <w:lang w:val="en-US"/>
        </w:rPr>
        <w:sym w:font="Symbol" w:char="F062"/>
      </w:r>
      <w:r w:rsidR="003E7CE1" w:rsidRPr="002E25AD">
        <w:rPr>
          <w:rFonts w:ascii="Times New Roman" w:hAnsi="Times New Roman" w:cs="Times New Roman"/>
          <w:sz w:val="24"/>
          <w:szCs w:val="24"/>
          <w:lang w:val="en-US"/>
        </w:rPr>
        <w:t>-cell function and preventing damage to these cells.</w:t>
      </w:r>
    </w:p>
    <w:p w14:paraId="59B0EE68" w14:textId="41CAE101" w:rsidR="002F0C8D" w:rsidRPr="002E25AD" w:rsidRDefault="00A9188E" w:rsidP="005B6C71">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We found that dietary antioxidant capacity was not significantly associated with</w:t>
      </w:r>
      <w:r w:rsidR="00A611B0" w:rsidRPr="002E25AD">
        <w:rPr>
          <w:rFonts w:ascii="Times New Roman" w:hAnsi="Times New Roman" w:cs="Times New Roman"/>
          <w:sz w:val="24"/>
          <w:szCs w:val="24"/>
          <w:lang w:val="en-US"/>
        </w:rPr>
        <w:t xml:space="preserve"> </w:t>
      </w:r>
      <w:r w:rsidR="00FE205C" w:rsidRPr="002E25AD">
        <w:rPr>
          <w:rFonts w:ascii="Times New Roman" w:hAnsi="Times New Roman" w:cs="Times New Roman"/>
          <w:sz w:val="24"/>
          <w:szCs w:val="24"/>
          <w:lang w:val="en-US"/>
        </w:rPr>
        <w:t>risk</w:t>
      </w:r>
      <w:r w:rsidR="0097570B" w:rsidRPr="002E25AD">
        <w:rPr>
          <w:rFonts w:ascii="Times New Roman" w:hAnsi="Times New Roman" w:cs="Times New Roman"/>
          <w:sz w:val="24"/>
          <w:szCs w:val="24"/>
          <w:lang w:val="en-US"/>
        </w:rPr>
        <w:t xml:space="preserve"> of</w:t>
      </w:r>
      <w:r w:rsidRPr="002E25AD">
        <w:rPr>
          <w:rFonts w:ascii="Times New Roman" w:hAnsi="Times New Roman" w:cs="Times New Roman"/>
          <w:sz w:val="24"/>
          <w:szCs w:val="24"/>
          <w:lang w:val="en-US"/>
        </w:rPr>
        <w:t xml:space="preserve"> prediabetes</w:t>
      </w:r>
      <w:r w:rsidR="00A611B0" w:rsidRPr="002E25AD">
        <w:rPr>
          <w:rFonts w:ascii="Times New Roman" w:hAnsi="Times New Roman" w:cs="Times New Roman"/>
          <w:sz w:val="24"/>
          <w:szCs w:val="24"/>
          <w:lang w:val="en-US"/>
        </w:rPr>
        <w:t xml:space="preserve"> in the total study population. However, we did find significant association</w:t>
      </w:r>
      <w:r w:rsidR="00C7776A" w:rsidRPr="002E25AD">
        <w:rPr>
          <w:rFonts w:ascii="Times New Roman" w:hAnsi="Times New Roman" w:cs="Times New Roman"/>
          <w:sz w:val="24"/>
          <w:szCs w:val="24"/>
          <w:lang w:val="en-US"/>
        </w:rPr>
        <w:t>s</w:t>
      </w:r>
      <w:r w:rsidR="00A611B0" w:rsidRPr="002E25AD">
        <w:rPr>
          <w:rFonts w:ascii="Times New Roman" w:hAnsi="Times New Roman" w:cs="Times New Roman"/>
          <w:sz w:val="24"/>
          <w:szCs w:val="24"/>
          <w:lang w:val="en-US"/>
        </w:rPr>
        <w:t xml:space="preserve"> </w:t>
      </w:r>
      <w:r w:rsidR="007935E4" w:rsidRPr="002E25AD">
        <w:rPr>
          <w:rFonts w:ascii="Times New Roman" w:hAnsi="Times New Roman" w:cs="Times New Roman"/>
          <w:sz w:val="24"/>
          <w:szCs w:val="24"/>
          <w:lang w:val="en-US"/>
        </w:rPr>
        <w:t xml:space="preserve">between dietary antioxidant capacity and </w:t>
      </w:r>
      <w:r w:rsidR="00A611B0" w:rsidRPr="002E25AD">
        <w:rPr>
          <w:rFonts w:ascii="Times New Roman" w:hAnsi="Times New Roman" w:cs="Times New Roman"/>
          <w:sz w:val="24"/>
          <w:szCs w:val="24"/>
          <w:lang w:val="en-US"/>
        </w:rPr>
        <w:t>incident type 2 diabetes</w:t>
      </w:r>
      <w:r w:rsidR="00C7776A" w:rsidRPr="002E25AD">
        <w:rPr>
          <w:rFonts w:ascii="Times New Roman" w:hAnsi="Times New Roman" w:cs="Times New Roman"/>
          <w:sz w:val="24"/>
          <w:szCs w:val="24"/>
          <w:lang w:val="en-US"/>
        </w:rPr>
        <w:t xml:space="preserve"> and HOMA-IR</w:t>
      </w:r>
      <w:r w:rsidR="00A611B0" w:rsidRPr="002E25AD">
        <w:rPr>
          <w:rFonts w:ascii="Times New Roman" w:hAnsi="Times New Roman" w:cs="Times New Roman"/>
          <w:sz w:val="24"/>
          <w:szCs w:val="24"/>
          <w:lang w:val="en-US"/>
        </w:rPr>
        <w:t xml:space="preserve"> among </w:t>
      </w:r>
      <w:r w:rsidR="00C7776A" w:rsidRPr="002E25AD">
        <w:rPr>
          <w:rFonts w:ascii="Times New Roman" w:hAnsi="Times New Roman" w:cs="Times New Roman"/>
          <w:sz w:val="24"/>
          <w:szCs w:val="24"/>
          <w:lang w:val="en-US"/>
        </w:rPr>
        <w:t xml:space="preserve">both </w:t>
      </w:r>
      <w:r w:rsidR="00A611B0" w:rsidRPr="002E25AD">
        <w:rPr>
          <w:rFonts w:ascii="Times New Roman" w:hAnsi="Times New Roman" w:cs="Times New Roman"/>
          <w:sz w:val="24"/>
          <w:szCs w:val="24"/>
          <w:lang w:val="en-US"/>
        </w:rPr>
        <w:t xml:space="preserve">participants with </w:t>
      </w:r>
      <w:r w:rsidR="00C7776A" w:rsidRPr="002E25AD">
        <w:rPr>
          <w:rFonts w:ascii="Times New Roman" w:hAnsi="Times New Roman" w:cs="Times New Roman"/>
          <w:sz w:val="24"/>
          <w:szCs w:val="24"/>
          <w:lang w:val="en-US"/>
        </w:rPr>
        <w:t>normoglycaemia and those with prediabetes</w:t>
      </w:r>
      <w:r w:rsidR="00A611B0" w:rsidRPr="002E25AD">
        <w:rPr>
          <w:rFonts w:ascii="Times New Roman" w:hAnsi="Times New Roman" w:cs="Times New Roman"/>
          <w:sz w:val="24"/>
          <w:szCs w:val="24"/>
          <w:lang w:val="en-US"/>
        </w:rPr>
        <w:t>.</w:t>
      </w:r>
      <w:r w:rsidR="00F6524A" w:rsidRPr="002E25AD">
        <w:rPr>
          <w:rFonts w:ascii="Times New Roman" w:hAnsi="Times New Roman" w:cs="Times New Roman"/>
          <w:sz w:val="24"/>
          <w:szCs w:val="24"/>
          <w:lang w:val="en-US"/>
        </w:rPr>
        <w:t xml:space="preserve"> Because the relative contribution of pancreatic </w:t>
      </w:r>
      <w:r w:rsidR="00F6524A" w:rsidRPr="002E25AD">
        <w:rPr>
          <w:rFonts w:ascii="Times New Roman" w:hAnsi="Times New Roman" w:cs="Times New Roman"/>
          <w:sz w:val="24"/>
          <w:szCs w:val="24"/>
          <w:lang w:val="en-US"/>
        </w:rPr>
        <w:sym w:font="Symbol" w:char="F062"/>
      </w:r>
      <w:r w:rsidR="00F6524A" w:rsidRPr="002E25AD">
        <w:rPr>
          <w:rFonts w:ascii="Times New Roman" w:hAnsi="Times New Roman" w:cs="Times New Roman"/>
          <w:sz w:val="24"/>
          <w:szCs w:val="24"/>
          <w:lang w:val="en-US"/>
        </w:rPr>
        <w:t xml:space="preserve">-cell dysfunction to the pathogenesis of type 2 diabetes increases as hyperglycaemia worsens, dietary antioxidants may more strongly affect risk of type 2 diabetes among individuals with prediabetes trough </w:t>
      </w:r>
      <w:r w:rsidR="001154F4" w:rsidRPr="002E25AD">
        <w:rPr>
          <w:rFonts w:ascii="Times New Roman" w:hAnsi="Times New Roman" w:cs="Times New Roman"/>
          <w:sz w:val="24"/>
          <w:szCs w:val="24"/>
          <w:lang w:val="en-US"/>
        </w:rPr>
        <w:t>preserving</w:t>
      </w:r>
      <w:r w:rsidR="00F6524A" w:rsidRPr="002E25AD">
        <w:rPr>
          <w:rFonts w:ascii="Times New Roman" w:hAnsi="Times New Roman" w:cs="Times New Roman"/>
          <w:sz w:val="24"/>
          <w:szCs w:val="24"/>
          <w:lang w:val="en-US"/>
        </w:rPr>
        <w:t xml:space="preserve"> </w:t>
      </w:r>
      <w:r w:rsidR="00F6524A" w:rsidRPr="002E25AD">
        <w:rPr>
          <w:rFonts w:ascii="Times New Roman" w:hAnsi="Times New Roman" w:cs="Times New Roman"/>
          <w:sz w:val="24"/>
          <w:szCs w:val="24"/>
          <w:lang w:val="en-US"/>
        </w:rPr>
        <w:sym w:font="Symbol" w:char="F062"/>
      </w:r>
      <w:r w:rsidR="00F6524A" w:rsidRPr="002E25AD">
        <w:rPr>
          <w:rFonts w:ascii="Times New Roman" w:hAnsi="Times New Roman" w:cs="Times New Roman"/>
          <w:sz w:val="24"/>
          <w:szCs w:val="24"/>
          <w:lang w:val="en-US"/>
        </w:rPr>
        <w:t xml:space="preserve">-cell function rather than </w:t>
      </w:r>
      <w:r w:rsidR="00F6524A" w:rsidRPr="002E25AD">
        <w:rPr>
          <w:rFonts w:ascii="Times New Roman" w:hAnsi="Times New Roman" w:cs="Times New Roman"/>
          <w:sz w:val="24"/>
          <w:szCs w:val="24"/>
          <w:lang w:val="en-US"/>
        </w:rPr>
        <w:lastRenderedPageBreak/>
        <w:t>attenuating insulin resistance.</w:t>
      </w:r>
      <w:r w:rsidR="001154F4"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19443edlul","properties":{"formattedCitation":"(29)","plainCitation":"(29)","noteIndex":0},"citationItems":[{"id":109,"uris":["http://zotero.org/users/3710342/items/MEGJHQZF"],"uri":["http://zotero.org/users/3710342/items/MEGJHQZF"],"itemData":{"id":109,"type":"article-journal","title":"Islet β cell failure in type 2 diabetes","container-title":"Journal of Clinical Investigation","page":"1802-1812","volume":"116","issue":"7","source":"PubMed Central","abstract":"The major focus of this Review is on the mechanisms of islet β cell failure in the pathogenesis of obesity-associated type 2 diabetes (T2D). As this demise occurs within the context of β cell compensation for insulin resistance, consideration is also given to the mechanisms involved in the compensation process, including mechanisms for expansion of β cell mass and for enhanced β cell performance. The importance of genetic, intrauterine, and environmental factors in the determination of “susceptible” islets and overall risk for T2D is reviewed. The likely mechanisms of β cell failure are discussed within the two broad categories: those with initiation and those with progression roles.","DOI":"10.1172/JCI29103","ISSN":"0021-9738","note":"PMID: 16823478\nPMCID: PMC1483155","journalAbbreviation":"J Clin Invest","author":[{"family":"Prentki","given":"Marc"},{"family":"Nolan","given":"Christopher J."}],"issued":{"date-parts":[["2006",7,3]]}}}],"schema":"https://github.com/citation-style-language/schema/raw/master/csl-citation.json"} </w:instrText>
      </w:r>
      <w:r w:rsidR="001154F4"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(29)</w:t>
      </w:r>
      <w:r w:rsidR="001154F4" w:rsidRPr="002E25AD">
        <w:rPr>
          <w:rFonts w:ascii="Times New Roman" w:hAnsi="Times New Roman" w:cs="Times New Roman"/>
          <w:sz w:val="24"/>
          <w:szCs w:val="24"/>
          <w:lang w:val="en-US"/>
        </w:rPr>
        <w:fldChar w:fldCharType="end"/>
      </w:r>
      <w:r w:rsidR="00F6524A" w:rsidRPr="002E25AD">
        <w:rPr>
          <w:rFonts w:ascii="Times New Roman" w:hAnsi="Times New Roman" w:cs="Times New Roman"/>
          <w:sz w:val="24"/>
          <w:szCs w:val="24"/>
          <w:lang w:val="en-US"/>
        </w:rPr>
        <w:t xml:space="preserve"> </w:t>
      </w:r>
      <w:r w:rsidR="005B6C71" w:rsidRPr="002E25AD">
        <w:rPr>
          <w:rFonts w:ascii="Times New Roman" w:hAnsi="Times New Roman" w:cs="Times New Roman"/>
          <w:sz w:val="24"/>
          <w:szCs w:val="24"/>
          <w:lang w:val="en-US"/>
        </w:rPr>
        <w:t xml:space="preserve">These findings also suggest that a diet with a high antioxidant capacity will exert its protective effects against type 2 diabetes regardless of whether or not prediabetes is already present. It could therefore be hypothesized that the mechanisms underlying the protective effects of dietary antioxidants are related to both early-phase phenomena in the pathogenesis of type 2 diabetes (such as insulin resistance) and later-phase phenomena (such as </w:t>
      </w:r>
      <w:r w:rsidR="005B6C71" w:rsidRPr="002E25AD">
        <w:rPr>
          <w:rFonts w:ascii="Times New Roman" w:hAnsi="Times New Roman" w:cs="Times New Roman"/>
          <w:sz w:val="24"/>
          <w:szCs w:val="24"/>
          <w:lang w:val="en-US"/>
        </w:rPr>
        <w:sym w:font="Symbol" w:char="F062"/>
      </w:r>
      <w:r w:rsidR="005B6C71" w:rsidRPr="002E25AD">
        <w:rPr>
          <w:rFonts w:ascii="Times New Roman" w:hAnsi="Times New Roman" w:cs="Times New Roman"/>
          <w:sz w:val="24"/>
          <w:szCs w:val="24"/>
          <w:lang w:val="en-US"/>
        </w:rPr>
        <w:t xml:space="preserve">-cell </w:t>
      </w:r>
      <w:r w:rsidR="0027545C" w:rsidRPr="002E25AD">
        <w:rPr>
          <w:rFonts w:ascii="Times New Roman" w:hAnsi="Times New Roman" w:cs="Times New Roman"/>
          <w:sz w:val="24"/>
          <w:szCs w:val="24"/>
          <w:lang w:val="en-US"/>
        </w:rPr>
        <w:t>dys</w:t>
      </w:r>
      <w:r w:rsidR="005B6C71" w:rsidRPr="002E25AD">
        <w:rPr>
          <w:rFonts w:ascii="Times New Roman" w:hAnsi="Times New Roman" w:cs="Times New Roman"/>
          <w:sz w:val="24"/>
          <w:szCs w:val="24"/>
          <w:lang w:val="en-US"/>
        </w:rPr>
        <w:t xml:space="preserve">function). </w:t>
      </w:r>
      <w:r w:rsidR="000C4641" w:rsidRPr="002E25AD">
        <w:rPr>
          <w:rFonts w:ascii="Times New Roman" w:hAnsi="Times New Roman" w:cs="Times New Roman"/>
          <w:sz w:val="24"/>
          <w:szCs w:val="24"/>
          <w:lang w:val="en-US"/>
        </w:rPr>
        <w:t xml:space="preserve">However, </w:t>
      </w:r>
      <w:r w:rsidR="005B6C71" w:rsidRPr="002E25AD">
        <w:rPr>
          <w:rFonts w:ascii="Times New Roman" w:hAnsi="Times New Roman" w:cs="Times New Roman"/>
          <w:sz w:val="24"/>
          <w:szCs w:val="24"/>
          <w:lang w:val="en-US"/>
        </w:rPr>
        <w:t xml:space="preserve">the exact nature of these mechanisms is currently unclear, and </w:t>
      </w:r>
      <w:r w:rsidR="000C4641" w:rsidRPr="002E25AD">
        <w:rPr>
          <w:rFonts w:ascii="Times New Roman" w:hAnsi="Times New Roman" w:cs="Times New Roman"/>
          <w:sz w:val="24"/>
          <w:szCs w:val="24"/>
          <w:lang w:val="en-US"/>
        </w:rPr>
        <w:t xml:space="preserve">further research is necessary to confirm our findings. </w:t>
      </w:r>
    </w:p>
    <w:p w14:paraId="73FEA205" w14:textId="433C1B77" w:rsidR="00494C35" w:rsidRPr="002E25AD" w:rsidRDefault="00A9188E" w:rsidP="001858F1">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We observed significant modification of our effect estimates </w:t>
      </w:r>
      <w:r w:rsidR="00B24438" w:rsidRPr="002E25AD">
        <w:rPr>
          <w:rFonts w:ascii="Times New Roman" w:hAnsi="Times New Roman" w:cs="Times New Roman"/>
          <w:sz w:val="24"/>
          <w:szCs w:val="24"/>
          <w:lang w:val="en-US"/>
        </w:rPr>
        <w:t>by sex</w:t>
      </w:r>
      <w:r w:rsidR="0048264F" w:rsidRPr="002E25AD">
        <w:rPr>
          <w:rFonts w:ascii="Times New Roman" w:hAnsi="Times New Roman" w:cs="Times New Roman"/>
          <w:sz w:val="24"/>
          <w:szCs w:val="24"/>
          <w:lang w:val="en-US"/>
        </w:rPr>
        <w:t xml:space="preserve"> for some of the analyses</w:t>
      </w:r>
      <w:r w:rsidRPr="002E25AD">
        <w:rPr>
          <w:rFonts w:ascii="Times New Roman" w:hAnsi="Times New Roman" w:cs="Times New Roman"/>
          <w:sz w:val="24"/>
          <w:szCs w:val="24"/>
          <w:lang w:val="en-US"/>
        </w:rPr>
        <w:t>.</w:t>
      </w:r>
      <w:r w:rsidR="0048264F" w:rsidRPr="002E25AD">
        <w:rPr>
          <w:rFonts w:ascii="Times New Roman" w:hAnsi="Times New Roman" w:cs="Times New Roman"/>
          <w:sz w:val="24"/>
          <w:szCs w:val="24"/>
          <w:lang w:val="en-US"/>
        </w:rPr>
        <w:t xml:space="preserve"> However, sex differences were not consistent among outcomes: </w:t>
      </w:r>
      <w:r w:rsidRPr="002E25AD">
        <w:rPr>
          <w:rFonts w:ascii="Times New Roman" w:hAnsi="Times New Roman" w:cs="Times New Roman"/>
          <w:sz w:val="24"/>
          <w:szCs w:val="24"/>
          <w:lang w:val="en-US"/>
        </w:rPr>
        <w:t xml:space="preserve">the association between total dietary antioxidant capacity and incident prediabetes was significant among men, but not </w:t>
      </w:r>
      <w:r w:rsidR="00B24438" w:rsidRPr="002E25AD">
        <w:rPr>
          <w:rFonts w:ascii="Times New Roman" w:hAnsi="Times New Roman" w:cs="Times New Roman"/>
          <w:sz w:val="24"/>
          <w:szCs w:val="24"/>
          <w:lang w:val="en-US"/>
        </w:rPr>
        <w:t xml:space="preserve">among </w:t>
      </w:r>
      <w:r w:rsidR="001858F1" w:rsidRPr="002E25AD">
        <w:rPr>
          <w:rFonts w:ascii="Times New Roman" w:hAnsi="Times New Roman" w:cs="Times New Roman"/>
          <w:sz w:val="24"/>
          <w:szCs w:val="24"/>
          <w:lang w:val="en-US"/>
        </w:rPr>
        <w:t>women, whereas associations with insulin resistance were slightly stronger among women compared to men. The latter observation is in line with findings reported by Okubo and colleagues.</w:t>
      </w:r>
      <w:r w:rsidR="001858F1"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2kgb36c4lj","properties":{"formattedCitation":"(8)","plainCitation":"(8)","noteIndex":0},"citationItems":[{"id":160,"uris":["http://zotero.org/users/3710342/items/FBHRFEBR"],"uri":["http://zotero.org/users/3710342/items/FBHRFEBR"],"itemData":{"id":160,"type":"article-journal","title":"Dietary total antioxidant capacity is related to glucose tolerance in older people: the Hertfordshire Cohort Study","container-title":"Nutrition, metabolism, and cardiovascular diseases: NMCD","page":"301-308","volume":"24","issue":"3","source":"PubMed","abstract":"BACKGROUND AND AIMS: Dietary antioxidants may play a protective role in the aetiology of type 2 diabetes. However, observational studies that examine the relationship between the antioxidant capacity of the diet and glucose metabolism are limited, particularly in older people. We aimed to examine the relationships between dietary total antioxidant capacity (TAC) and markers of glucose metabolism among 1441 men and 1253 women aged 59-73 years who participated in the Hertfordshire Cohort Study, UK.\nMETHODS AND RESULTS: Diet was assessed by food frequency questionnaire. Dietary TAC was estimated using published databases of TAC measured by four different assays: oxygen radical absorbance capacity (ORAC), ferric-reducing ability of plasma (FRAP), total radical-trapping antioxidant parameter (TRAP) and trolox equivalent antioxidant capacity (TEAC). Fasting and 120-min plasma glucose and insulin concentrations were measured during a standard 75-g oral glucose tolerance test. In men, dietary TAC estimated by all four assays was inversely associated with fasting insulin concentration and homoeostasis model assessment of insulin resistance (HOMA-IR); with the exception of ORAC, dietary TAC was also inversely related to 120-min glucose concentration. There were no associations with fasting glucose or 120-min insulin concentrations. In women, with the exception of the association between ORAC and 120-min insulin concentration, dietary TAC estimated by all assays showed consistent inverse associations with fasting and 120-min glucose and insulin concentrations and HOMA-IR. These associations were more marked among women with BMI ≥ 30 kg/m(2).\nCONCLUSION: These findings suggest dietary TAC may have important protective effects on glucose tolerance, especially in older obese women.","DOI":"10.1016/j.numecd.2013.08.001","ISSN":"1590-3729","note":"PMID: 24370447\nPMCID: PMC4112602","title-short":"Dietary total antioxidant capacity is related to glucose tolerance in older people","journalAbbreviation":"Nutr Metab Cardiovasc Dis","language":"eng","author":[{"family":"Okubo","given":"H."},{"family":"Syddall","given":"H. E."},{"family":"Phillips","given":"D. I. W."},{"family":"Sayer","given":"A. A."},{"family":"Dennison","given":"E. M."},{"family":"Cooper","given":"C."},{"family":"Robinson","given":"S. M."},{"literal":"Hertfordshire Cohort Study Group"}],"issued":{"date-parts":[["2014",3]]}}}],"schema":"https://github.com/citation-style-language/schema/raw/master/csl-citation.json"} </w:instrText>
      </w:r>
      <w:r w:rsidR="001858F1" w:rsidRPr="002E25AD">
        <w:rPr>
          <w:rFonts w:ascii="Times New Roman" w:hAnsi="Times New Roman" w:cs="Times New Roman"/>
          <w:sz w:val="24"/>
          <w:szCs w:val="24"/>
          <w:lang w:val="en-US"/>
        </w:rPr>
        <w:fldChar w:fldCharType="separate"/>
      </w:r>
      <w:r w:rsidR="00FF128F" w:rsidRPr="002E25AD">
        <w:rPr>
          <w:rFonts w:ascii="Times New Roman" w:hAnsi="Times New Roman" w:cs="Times New Roman"/>
          <w:noProof/>
          <w:sz w:val="24"/>
          <w:szCs w:val="24"/>
          <w:lang w:val="en-US"/>
        </w:rPr>
        <w:t>(8)</w:t>
      </w:r>
      <w:r w:rsidR="001858F1" w:rsidRPr="002E25AD">
        <w:rPr>
          <w:rFonts w:ascii="Times New Roman" w:hAnsi="Times New Roman" w:cs="Times New Roman"/>
          <w:sz w:val="24"/>
          <w:szCs w:val="24"/>
          <w:lang w:val="en-US"/>
        </w:rPr>
        <w:fldChar w:fldCharType="end"/>
      </w:r>
      <w:r w:rsidR="001858F1" w:rsidRPr="002E25AD">
        <w:rPr>
          <w:rFonts w:ascii="Times New Roman" w:hAnsi="Times New Roman" w:cs="Times New Roman"/>
          <w:sz w:val="24"/>
          <w:szCs w:val="24"/>
          <w:lang w:val="en-US"/>
        </w:rPr>
        <w:t xml:space="preserve"> Potential sex differences in associations of dietary antioxidant capacity with earlier stages in the development of type 2 diabetes could be caused by</w:t>
      </w:r>
      <w:r w:rsidR="00494C35" w:rsidRPr="002E25AD">
        <w:rPr>
          <w:rFonts w:ascii="Times New Roman" w:hAnsi="Times New Roman" w:cs="Times New Roman"/>
          <w:sz w:val="24"/>
          <w:szCs w:val="24"/>
          <w:lang w:val="en-US"/>
        </w:rPr>
        <w:t xml:space="preserve"> differences in visceral fat mass between men and women, because visceral fat mass is positively associated with the </w:t>
      </w:r>
      <w:r w:rsidR="001858F1" w:rsidRPr="002E25AD">
        <w:rPr>
          <w:rFonts w:ascii="Times New Roman" w:hAnsi="Times New Roman" w:cs="Times New Roman"/>
          <w:sz w:val="24"/>
          <w:szCs w:val="24"/>
          <w:lang w:val="en-US"/>
        </w:rPr>
        <w:t>degree of oxidative stress and differs according to sex.</w:t>
      </w:r>
      <w:r w:rsidR="00494C35"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1mgohdgvue","properties":{"formattedCitation":"(30,31)","plainCitation":"(30,31)","noteIndex":0},"citationItems":[{"id":113,"uris":["http://zotero.org/users/3710342/items/I7GV6WPF"],"uri":["http://zotero.org/users/3710342/items/I7GV6WPF"],"itemData":{"id":113,"type":"article-journal","title":"Gender differences in fat metabolism","container-title":"Current Opinion in Clinical Nutrition and Metabolic Care","page":"499-502","volume":"4","issue":"6","source":"PubMed","abstract":"Women generally have a higher percentage of body fat than men. Also, women store more fat in the gluteal-femoral region, whereas men store more fat in the visceral (abdominal) depot. This review focuses on differences in regional fatty acid storage, mobilization and oxidation that may contribute to gender-related differences in body fat distribution. There are pronounced regional differences in the regulation of regional fatty acid metabolism between men and women. Firstly, there is evidence that in vivo, catecholamine mediated leg free fatty acid release is lower in women than in men, whereas free fatty acid release from the upper body depots is comparable. These data correspond to in-vitro adipose tissue biopsy data, which indicate a more pronounced difference in catecholamine mediated lipolysis between upper body and lower body fat depots in women than in men. Secondly, free fatty acid release by the upper body subcutaneous fat depots is higher in men than in women, indicating a higher resistance to the antilipolytic effect of meal ingestion in the upper body fat depots in men. Thirdly, there are indications that basal fat oxidation (adjusted for fat free mass) is lower in females as compared to males, thereby contributing to a higher fat storage in women. Finally, postprandial fat storage may be higher in subcutaneous adipose tissue in women than in men, whereas storage in visceral adipose tissue has been hypothesized to be higher in men. All the above differences may play a role in the variation in net regional fat storage between men and women, but the number of in-vivo studies on gender-related differences in fatty acid metabolism is very limited and most findings require confirmation. Furthermore, there is abundant evidence that the proportion of energy derived from fat during exercise is higher in women than in men. With respect to total body fat, this finding seems counterintuitive, as percentage body fat is increased in women. Further studies are necessary to investigate the significance of differences in exercise-induced fat oxidation on 24-h fat balance.","ISSN":"1363-1950","note":"PMID: 11706283","journalAbbreviation":"Curr Opin Clin Nutr Metab Care","language":"eng","author":[{"family":"Blaak","given":"E."}],"issued":{"date-parts":[["2001",11]]}}},{"id":114,"uris":["http://zotero.org/users/3710342/items/SHNZHG77"],"uri":["http://zotero.org/users/3710342/items/SHNZHG77"],"itemData":{"id":114,"type":"article-journal","title":"Systemic oxidative stress is associated with visceral fat accumulation and the metabolic syndrome","container-title":"Circulation Journal: Official Journal of the Japanese Circulation Society","page":"1437-1442","volume":"70","issue":"11","source":"PubMed","abstract":"BACKGROUND: The metabolic syndrome (MetS) is a major target for prevention of atherosclerotic cardiovascular diseases and visceral fat accumulation is an underlying component of MetS. The aim of this study was to investigate the association of systemic oxidative stress with visceral fat accumulation and MetS.\nMETHODS AND RESULTS: The study group consisted of Japanese men (n=44; 51.2+/-11.4 years) and women (n=61; 55.4 +/-13.4 years). Urinary 8-epi-prostaglandin F2alpha (8-epi-PGF2 alpha) concentration, a biomarker of systemic oxidative stress, was significantly high in the subjects with MetS. As the urinary concentration of 8-epi-PGF2alpha increased, the number of criteria for MetS were significantly met (abdominal obesity, hypertriglyceridemia, low high-density lipoprotein-cholesterol, hypertension, and high fasting glucose). Among parameters associated with MetS, the correlation coefficient of visceral fat area (VFA) with urinary 8-epi-PGF2alpha concentration was the highest (r=0.636, p&lt;0.0001). In non-obese subjects, the correlation coefficient of VFA with urinary 8-epi-PGF2alpha concentration was higher (r=0.728, p&lt;0.0001), although there was no significant correlation between subcutaneous fat area and urinary 8-epi-PGF2 alpha. Stepwise multiple regression analysis identified VFA as the strongest and independent determinant of urinary 8-epi-PGF2 alpha (p&lt;0.0001) followed by adiponectin (p=0.0212) and, high sensitive C-reactive protein (p=0.0365).\nCONCLUSIONS: Systemic oxidative stress, as measured by urinary 8-epi-PGF2alpha , is strongly associated with visceral fat accumulation and MetS.","ISSN":"1346-9843","note":"PMID: 17062967","journalAbbreviation":"Circ. J.","language":"eng","author":[{"family":"Fujita","given":"Koichi"},{"family":"Nishizawa","given":"Hitoshi"},{"family":"Funahashi","given":"Tohru"},{"family":"Shimomura","given":"Iichiro"},{"family":"Shimabukuro","given":"Michio"}],"issued":{"date-parts":[["2006",11]]}}}],"schema":"https://github.com/citation-style-language/schema/raw/master/csl-citation.json"} </w:instrText>
      </w:r>
      <w:r w:rsidR="00494C35" w:rsidRPr="002E25AD">
        <w:rPr>
          <w:rFonts w:ascii="Times New Roman" w:hAnsi="Times New Roman" w:cs="Times New Roman"/>
          <w:sz w:val="24"/>
          <w:szCs w:val="24"/>
          <w:lang w:val="en-US"/>
        </w:rPr>
        <w:fldChar w:fldCharType="separate"/>
      </w:r>
      <w:r w:rsidR="005B37D9" w:rsidRPr="002E25AD">
        <w:rPr>
          <w:rFonts w:ascii="Times New Roman" w:hAnsi="Times New Roman" w:cs="Times New Roman"/>
          <w:noProof/>
          <w:sz w:val="24"/>
          <w:szCs w:val="24"/>
          <w:lang w:val="en-US"/>
        </w:rPr>
        <w:t>(30,31)</w:t>
      </w:r>
      <w:r w:rsidR="00494C35" w:rsidRPr="002E25AD">
        <w:rPr>
          <w:rFonts w:ascii="Times New Roman" w:hAnsi="Times New Roman" w:cs="Times New Roman"/>
          <w:sz w:val="24"/>
          <w:szCs w:val="24"/>
          <w:lang w:val="en-US"/>
        </w:rPr>
        <w:fldChar w:fldCharType="end"/>
      </w:r>
      <w:r w:rsidR="002071C6" w:rsidRPr="002E25AD">
        <w:rPr>
          <w:rFonts w:ascii="Times New Roman" w:hAnsi="Times New Roman" w:cs="Times New Roman"/>
          <w:sz w:val="24"/>
          <w:szCs w:val="24"/>
          <w:lang w:val="en-US"/>
        </w:rPr>
        <w:t xml:space="preserve"> </w:t>
      </w:r>
      <w:r w:rsidR="00494C35" w:rsidRPr="002E25AD">
        <w:rPr>
          <w:rFonts w:ascii="Times New Roman" w:hAnsi="Times New Roman" w:cs="Times New Roman"/>
          <w:sz w:val="24"/>
          <w:szCs w:val="24"/>
          <w:lang w:val="en-US"/>
        </w:rPr>
        <w:t xml:space="preserve">However, further research into the nature of </w:t>
      </w:r>
      <w:r w:rsidR="001858F1" w:rsidRPr="002E25AD">
        <w:rPr>
          <w:rFonts w:ascii="Times New Roman" w:hAnsi="Times New Roman" w:cs="Times New Roman"/>
          <w:sz w:val="24"/>
          <w:szCs w:val="24"/>
          <w:lang w:val="en-US"/>
        </w:rPr>
        <w:t xml:space="preserve">potential </w:t>
      </w:r>
      <w:r w:rsidR="00494C35" w:rsidRPr="002E25AD">
        <w:rPr>
          <w:rFonts w:ascii="Times New Roman" w:hAnsi="Times New Roman" w:cs="Times New Roman"/>
          <w:sz w:val="24"/>
          <w:szCs w:val="24"/>
          <w:lang w:val="en-US"/>
        </w:rPr>
        <w:t xml:space="preserve">sex differences is warranted, especially because we </w:t>
      </w:r>
      <w:r w:rsidR="00E1550C" w:rsidRPr="002E25AD">
        <w:rPr>
          <w:rFonts w:ascii="Times New Roman" w:hAnsi="Times New Roman" w:cs="Times New Roman"/>
          <w:sz w:val="24"/>
          <w:szCs w:val="24"/>
          <w:lang w:val="en-US"/>
        </w:rPr>
        <w:t>report for the first time</w:t>
      </w:r>
      <w:r w:rsidR="00494C35" w:rsidRPr="002E25AD">
        <w:rPr>
          <w:rFonts w:ascii="Times New Roman" w:hAnsi="Times New Roman" w:cs="Times New Roman"/>
          <w:sz w:val="24"/>
          <w:szCs w:val="24"/>
          <w:lang w:val="en-US"/>
        </w:rPr>
        <w:t xml:space="preserve"> that these appear to be stage-specific.</w:t>
      </w:r>
    </w:p>
    <w:p w14:paraId="57FE4B15" w14:textId="13B78B6E" w:rsidR="004433E7" w:rsidRPr="002E25AD" w:rsidRDefault="004433E7" w:rsidP="004433E7">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Our effect estimates decreased in magnitude when </w:t>
      </w:r>
      <w:r w:rsidR="001858F1" w:rsidRPr="002E25AD">
        <w:rPr>
          <w:rFonts w:ascii="Times New Roman" w:hAnsi="Times New Roman" w:cs="Times New Roman"/>
          <w:sz w:val="24"/>
          <w:szCs w:val="24"/>
          <w:lang w:val="en-US"/>
        </w:rPr>
        <w:t xml:space="preserve">the contribution of </w:t>
      </w:r>
      <w:r w:rsidRPr="002E25AD">
        <w:rPr>
          <w:rFonts w:ascii="Times New Roman" w:hAnsi="Times New Roman" w:cs="Times New Roman"/>
          <w:sz w:val="24"/>
          <w:szCs w:val="24"/>
          <w:lang w:val="en-US"/>
        </w:rPr>
        <w:t>coffee was excluded from the total dietary a</w:t>
      </w:r>
      <w:r w:rsidR="001858F1" w:rsidRPr="002E25AD">
        <w:rPr>
          <w:rFonts w:ascii="Times New Roman" w:hAnsi="Times New Roman" w:cs="Times New Roman"/>
          <w:sz w:val="24"/>
          <w:szCs w:val="24"/>
          <w:lang w:val="en-US"/>
        </w:rPr>
        <w:t>ntioxidant capacity, suggesting that part of the association is explained by coffee intake.</w:t>
      </w:r>
      <w:r w:rsidRPr="002E25AD">
        <w:rPr>
          <w:rFonts w:ascii="Times New Roman" w:hAnsi="Times New Roman" w:cs="Times New Roman"/>
          <w:sz w:val="24"/>
          <w:szCs w:val="24"/>
          <w:lang w:val="en-US"/>
        </w:rPr>
        <w:t xml:space="preserve"> Coffee is commonly regarded as a major constituent of the total dietary antioxidant capacity. A recent study found that coffee intake captured 54% of the variation in total antioxidant intake</w:t>
      </w:r>
      <w:r w:rsidR="006F6EF2" w:rsidRPr="002E25AD">
        <w:rPr>
          <w:rFonts w:ascii="Times New Roman" w:hAnsi="Times New Roman" w:cs="Times New Roman"/>
          <w:sz w:val="24"/>
          <w:szCs w:val="24"/>
          <w:lang w:val="en-US"/>
        </w:rPr>
        <w:t xml:space="preserve"> among Norwegian w</w:t>
      </w:r>
      <w:r w:rsidR="00C7776A" w:rsidRPr="002E25AD">
        <w:rPr>
          <w:rFonts w:ascii="Times New Roman" w:hAnsi="Times New Roman" w:cs="Times New Roman"/>
          <w:sz w:val="24"/>
          <w:szCs w:val="24"/>
          <w:lang w:val="en-US"/>
        </w:rPr>
        <w:t>omen</w:t>
      </w:r>
      <w:r w:rsidRPr="002E25AD">
        <w:rPr>
          <w:rFonts w:ascii="Times New Roman" w:hAnsi="Times New Roman" w:cs="Times New Roman"/>
          <w:sz w:val="24"/>
          <w:szCs w:val="24"/>
          <w:lang w:val="en-US"/>
        </w:rPr>
        <w:t>.</w:t>
      </w:r>
      <w:r w:rsidRPr="002E25AD">
        <w:rPr>
          <w:rFonts w:ascii="Times New Roman" w:hAnsi="Times New Roman" w:cs="Times New Roman"/>
          <w:sz w:val="24"/>
          <w:szCs w:val="24"/>
          <w:lang w:val="en-US"/>
        </w:rPr>
        <w:fldChar w:fldCharType="begin"/>
      </w:r>
      <w:r w:rsidR="00AB1CDE" w:rsidRPr="002E25AD">
        <w:rPr>
          <w:rFonts w:ascii="Times New Roman" w:hAnsi="Times New Roman" w:cs="Times New Roman"/>
          <w:sz w:val="24"/>
          <w:szCs w:val="24"/>
          <w:lang w:val="en-US"/>
        </w:rPr>
        <w:instrText xml:space="preserve"> ADDIN ZOTERO_ITEM CSL_CITATION {"citationID":"5hcfc7i4r","properties":{"formattedCitation":"(12)","plainCitation":"(12)","noteIndex":0},"citationItems":[{"id":165,"uris":["http://zotero.org/users/3710342/items/SFWKSM2K"],"uri":["http://zotero.org/users/3710342/items/SFWKSM2K"],"itemData":{"id":165,"type":"article-journal","title":"Food items contributing most to variation in antioxidant intake; a cross-sectional study among Norwegian women","container-title":"BMC public health","page":"45","volume":"14","source":"PubMed","abstract":"BACKGROUND: Fruit and vegetable intake has been found to reduce the risk of cardiovascular disease, certain types of cancer and diabetes mellitus. It is possible that antioxidants play a large part in this protective effect. However, which foods account for the variation in antioxidant intake in a population is not very clear. We used food frequency data from a population-based sample of women to identify the food items that contributed most to the variation in antioxidant intake in Norwegian diet.\nMETHODS: We used data from a study conducted among participants in the Norwegian Breast Cancer Screening Program (NBCSP), the national program which invites women aged 50-69 years to mammographic screening every 2 years. A subset of 6514 women who attended the screening in 2006/2007 completed a food frequency questionnaire (FFQ). Daily intake of energy, nutrients and antioxidant intake were estimated. We used multiple linear regression analysis to capture the variation in antioxidant intake.\nRESULTS: The mean (SD) antioxidant intake was 23.0 (8.5) mmol/day. Coffee consumption explained 54% of the variation in antioxidant intake, while fruits and vegetables explained 22%. The twenty food items that contributed most to the total variation in antioxidant intake explained 98% of the variation in intake. These included different types of coffee, tea, red wine, blueberries, walnuts, oranges, cinnamon and broccoli.\nCONCLUSIONS: In this study we identified a list of food items which capture the variation in antioxidant intake among these women. The major contributors to dietary total antioxidant intake were coffee, tea, red wine, blueberries, walnuts, oranges, cinnamon and broccoli. These items should be assessed in as much detail as possible in studies that wish to capture the variation in antioxidant intake.","DOI":"10.1186/1471-2458-14-45","ISSN":"1471-2458","note":"PMID: 24433390\nPMCID: PMC3902183","journalAbbreviation":"BMC Public Health","language":"eng","author":[{"family":"Qureshi","given":"Samera Azeem"},{"family":"Lund","given":"Annette Christin"},{"family":"Veierød","given":"Marit Bragelien"},{"family":"Carlsen","given":"Monica Hauger"},{"family":"Blomhoff","given":"Rune"},{"family":"Andersen","given":"Lene Frost"},{"family":"Ursin","given":"Giske"}],"issued":{"date-parts":[["2014",1,16]]}}}],"schema":"https://github.com/citation-style-language/schema/raw/master/csl-citation.json"} </w:instrText>
      </w:r>
      <w:r w:rsidRPr="002E25AD">
        <w:rPr>
          <w:rFonts w:ascii="Times New Roman" w:hAnsi="Times New Roman" w:cs="Times New Roman"/>
          <w:sz w:val="24"/>
          <w:szCs w:val="24"/>
          <w:lang w:val="en-US"/>
        </w:rPr>
        <w:fldChar w:fldCharType="separate"/>
      </w:r>
      <w:r w:rsidR="00FF128F" w:rsidRPr="002E25AD">
        <w:rPr>
          <w:rFonts w:ascii="Times New Roman" w:hAnsi="Times New Roman" w:cs="Times New Roman"/>
          <w:noProof/>
          <w:sz w:val="24"/>
          <w:szCs w:val="24"/>
          <w:lang w:val="en-US"/>
        </w:rPr>
        <w:t>(12)</w:t>
      </w:r>
      <w:r w:rsidRPr="002E25AD">
        <w:rPr>
          <w:rFonts w:ascii="Times New Roman" w:hAnsi="Times New Roman" w:cs="Times New Roman"/>
          <w:sz w:val="24"/>
          <w:szCs w:val="24"/>
          <w:lang w:val="en-US"/>
        </w:rPr>
        <w:fldChar w:fldCharType="end"/>
      </w:r>
      <w:r w:rsidRPr="002E25AD">
        <w:rPr>
          <w:rFonts w:ascii="Times New Roman" w:hAnsi="Times New Roman" w:cs="Times New Roman"/>
          <w:sz w:val="24"/>
          <w:szCs w:val="24"/>
          <w:lang w:val="en-US"/>
        </w:rPr>
        <w:t xml:space="preserve"> </w:t>
      </w:r>
      <w:r w:rsidR="007B5B04" w:rsidRPr="002E25AD">
        <w:rPr>
          <w:rFonts w:ascii="Times New Roman" w:hAnsi="Times New Roman" w:cs="Times New Roman"/>
          <w:sz w:val="24"/>
          <w:szCs w:val="24"/>
          <w:lang w:val="en-US"/>
        </w:rPr>
        <w:t>Likewise, i</w:t>
      </w:r>
      <w:r w:rsidR="001858F1" w:rsidRPr="002E25AD">
        <w:rPr>
          <w:rFonts w:ascii="Times New Roman" w:hAnsi="Times New Roman" w:cs="Times New Roman"/>
          <w:sz w:val="24"/>
          <w:szCs w:val="24"/>
          <w:lang w:val="en-US"/>
        </w:rPr>
        <w:t>n our study population</w:t>
      </w:r>
      <w:r w:rsidRPr="002E25AD">
        <w:rPr>
          <w:rFonts w:ascii="Times New Roman" w:hAnsi="Times New Roman" w:cs="Times New Roman"/>
          <w:sz w:val="24"/>
          <w:szCs w:val="24"/>
          <w:lang w:val="en-US"/>
        </w:rPr>
        <w:t>, coffee constituted</w:t>
      </w:r>
      <w:r w:rsidR="001858F1" w:rsidRPr="002E25AD">
        <w:rPr>
          <w:rFonts w:ascii="Times New Roman" w:hAnsi="Times New Roman" w:cs="Times New Roman"/>
          <w:sz w:val="24"/>
          <w:szCs w:val="24"/>
          <w:lang w:val="en-US"/>
        </w:rPr>
        <w:t xml:space="preserve"> on average</w:t>
      </w:r>
      <w:r w:rsidRPr="002E25AD">
        <w:rPr>
          <w:rFonts w:ascii="Times New Roman" w:hAnsi="Times New Roman" w:cs="Times New Roman"/>
          <w:sz w:val="24"/>
          <w:szCs w:val="24"/>
          <w:lang w:val="en-US"/>
        </w:rPr>
        <w:t xml:space="preserve"> 49% of the total d</w:t>
      </w:r>
      <w:r w:rsidR="007B5B04" w:rsidRPr="002E25AD">
        <w:rPr>
          <w:rFonts w:ascii="Times New Roman" w:hAnsi="Times New Roman" w:cs="Times New Roman"/>
          <w:sz w:val="24"/>
          <w:szCs w:val="24"/>
          <w:lang w:val="en-US"/>
        </w:rPr>
        <w:t>ietary antioxidant capacity</w:t>
      </w:r>
      <w:r w:rsidR="00AB1CDE" w:rsidRPr="002E25AD">
        <w:rPr>
          <w:rFonts w:ascii="Times New Roman" w:hAnsi="Times New Roman" w:cs="Times New Roman"/>
          <w:sz w:val="24"/>
          <w:szCs w:val="24"/>
          <w:lang w:val="en-US"/>
        </w:rPr>
        <w:t xml:space="preserve">. </w:t>
      </w:r>
      <w:r w:rsidRPr="002E25AD">
        <w:rPr>
          <w:rFonts w:ascii="Times New Roman" w:hAnsi="Times New Roman" w:cs="Times New Roman"/>
          <w:sz w:val="24"/>
          <w:szCs w:val="24"/>
          <w:lang w:val="en-US"/>
        </w:rPr>
        <w:t xml:space="preserve">The fact that coffee forms an integral component of the total dietary antioxidant capacity probably accounts </w:t>
      </w:r>
      <w:r w:rsidRPr="002E25AD">
        <w:rPr>
          <w:rFonts w:ascii="Times New Roman" w:hAnsi="Times New Roman" w:cs="Times New Roman"/>
          <w:sz w:val="24"/>
          <w:szCs w:val="24"/>
          <w:lang w:val="en-US"/>
        </w:rPr>
        <w:lastRenderedPageBreak/>
        <w:t xml:space="preserve">for the significant attenuation we observed in our effect estimates when coffee intake was excluded from </w:t>
      </w:r>
      <w:r w:rsidR="00C7776A" w:rsidRPr="002E25AD">
        <w:rPr>
          <w:rFonts w:ascii="Times New Roman" w:hAnsi="Times New Roman" w:cs="Times New Roman"/>
          <w:sz w:val="24"/>
          <w:szCs w:val="24"/>
          <w:lang w:val="en-US"/>
        </w:rPr>
        <w:t>the</w:t>
      </w:r>
      <w:r w:rsidRPr="002E25AD">
        <w:rPr>
          <w:rFonts w:ascii="Times New Roman" w:hAnsi="Times New Roman" w:cs="Times New Roman"/>
          <w:sz w:val="24"/>
          <w:szCs w:val="24"/>
          <w:lang w:val="en-US"/>
        </w:rPr>
        <w:t xml:space="preserve"> FRAP score. </w:t>
      </w:r>
      <w:r w:rsidR="001741DE" w:rsidRPr="002E25AD">
        <w:rPr>
          <w:rFonts w:ascii="Times New Roman" w:hAnsi="Times New Roman" w:cs="Times New Roman"/>
          <w:sz w:val="24"/>
          <w:szCs w:val="24"/>
          <w:lang w:val="en-US"/>
        </w:rPr>
        <w:t xml:space="preserve">In </w:t>
      </w:r>
      <w:r w:rsidR="003D4725" w:rsidRPr="002E25AD">
        <w:rPr>
          <w:rFonts w:ascii="Times New Roman" w:hAnsi="Times New Roman" w:cs="Times New Roman"/>
          <w:sz w:val="24"/>
          <w:szCs w:val="24"/>
          <w:lang w:val="en-US"/>
        </w:rPr>
        <w:t>relation to this</w:t>
      </w:r>
      <w:r w:rsidR="001741DE" w:rsidRPr="002E25AD">
        <w:rPr>
          <w:rFonts w:ascii="Times New Roman" w:hAnsi="Times New Roman" w:cs="Times New Roman"/>
          <w:sz w:val="24"/>
          <w:szCs w:val="24"/>
          <w:lang w:val="en-US"/>
        </w:rPr>
        <w:t xml:space="preserve">, coffee intake has also been shown to be </w:t>
      </w:r>
      <w:r w:rsidR="003D4725" w:rsidRPr="002E25AD">
        <w:rPr>
          <w:rFonts w:ascii="Times New Roman" w:hAnsi="Times New Roman" w:cs="Times New Roman"/>
          <w:sz w:val="24"/>
          <w:szCs w:val="24"/>
          <w:lang w:val="en-US"/>
        </w:rPr>
        <w:t xml:space="preserve">inversely </w:t>
      </w:r>
      <w:r w:rsidR="001741DE" w:rsidRPr="002E25AD">
        <w:rPr>
          <w:rFonts w:ascii="Times New Roman" w:hAnsi="Times New Roman" w:cs="Times New Roman"/>
          <w:sz w:val="24"/>
          <w:szCs w:val="24"/>
          <w:lang w:val="en-US"/>
        </w:rPr>
        <w:t xml:space="preserve">related to </w:t>
      </w:r>
      <w:r w:rsidR="003D4725" w:rsidRPr="002E25AD">
        <w:rPr>
          <w:rFonts w:ascii="Times New Roman" w:hAnsi="Times New Roman" w:cs="Times New Roman"/>
          <w:sz w:val="24"/>
          <w:szCs w:val="24"/>
          <w:lang w:val="en-US"/>
        </w:rPr>
        <w:t>risk of</w:t>
      </w:r>
      <w:r w:rsidR="001741DE" w:rsidRPr="002E25AD">
        <w:rPr>
          <w:rFonts w:ascii="Times New Roman" w:hAnsi="Times New Roman" w:cs="Times New Roman"/>
          <w:sz w:val="24"/>
          <w:szCs w:val="24"/>
          <w:lang w:val="en-US"/>
        </w:rPr>
        <w:t xml:space="preserve"> type 2 diabetes.</w:t>
      </w:r>
      <w:r w:rsidR="001741DE"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EmSKmeR0","properties":{"formattedCitation":"(32\\uc0\\u8211{}34)","plainCitation":"(32–34)","noteIndex":0},"citationItems":[{"id":553,"uris":["http://zotero.org/users/3710342/items/KSJ9I27K"],"uri":["http://zotero.org/users/3710342/items/KSJ9I27K"],"itemData":{"id":553,"type":"article-journal","title":"Long-term effects of coffee and caffeine intake on the risk of pre-diabetes and type 2 diabetes: Findings from a population with low coffee consumption","container-title":"Nutrition, metabolism, and cardiovascular diseases: NMCD","page":"1261-1266","volume":"28","issue":"12","source":"PubMed","abstract":"BACKGROUND AND AIM: Here, we examined the potential effect of coffee consumption and total caffeine intake on the occurrence of pre-diabetes and T2D, in a population with low coffee consumption.\nMETHODS AND RESULTS: Adults men and women, aged 20-70 years, were followed for a median of 5.8 y. Dietary intakes of coffee and caffeine were estimated using a 168-food items validate semi-quantitative food frequency questionnaire, at baseline. Cox proportional hazards regression models, adjusted for potential cofounders, were used to estimate hazard ratios (HRs) and 95% confidence intervals (CIs) for the association between coffee and caffeine intakes and incidence of pre-diabetes and T2D. The total population was 1878 adults (844 men, 1034 women) and 2139 adults (971 men, 1168 women) for analysis of pre-diabetes and T2D, respectively. During the follow-up period the incidence of pre-diabetes and T2D was 30.8% and 6.6%, respectively. Forty-three percent of our subjects were no coffee drinker whereas 51.4% consumed 1 cup of coffee/week and 6.0% consumed more than 1 cup of coffee/week. A lower risk of pre-diabetes (HR = 0.73, 95% CI = 0.62-0.86) and T2D (HR = 0.66, 95% CI = 0.44-1.00) was observed in coffee drinkers compared to non-drinkers, in the fully adjusted models. Higher dietary intake of caffeine (≥152 vs. &lt;65 mg/d) was accompanied with a borderline (P = 0.053) reduced risk of pre-diabetes (HR = 0.45, 95% CI = 0.19-1.00).\nCONCLUSION: Our findings indicated that coffee drinking may have favorable effect in prevention of pre-diabetes and T2D.","DOI":"10.1016/j.numecd.2018.09.001","ISSN":"1590-3729","note":"PMID: 30352712","title-short":"Long-term effects of coffee and caffeine intake on the risk of pre-diabetes and type 2 diabetes","journalAbbreviation":"Nutr Metab Cardiovasc Dis","language":"eng","author":[{"family":"Mirmiran","given":"P."},{"family":"Carlström","given":"M."},{"family":"Bahadoran","given":"Z."},{"family":"Azizi","given":"F."}],"issued":{"date-parts":[["2018"]]}}},{"id":555,"uris":["http://zotero.org/users/3710342/items/2ZXFQEM2"],"uri":["http://zotero.org/users/3710342/items/2ZXFQEM2"],"itemData":{"id":555,"type":"article-journal","title":"Changes in coffee intake and subsequent risk of type 2 diabetes: three large cohorts of US men and women","container-title":"Diabetologia","page":"1346-1354","volume":"57","issue":"7","source":"PubMed","abstract":"AIMS/HYPOTHESIS: Coffee and tea consumption has been associated with a lower type 2 diabetes risk but little is known about how changes in coffee and tea consumption influence subsequent type 2 diabetes risk. We examined the associations between 4 year changes in coffee and tea consumption and risk of type 2 diabetes in the subsequent 4 years.\nMETHODS: We prospectively followed 48,464 women in the Nurses' Health Study (NHS; 1986-2006), 47,510 women in NHS II (1991-2007) and 27,759 men in the Health Professionals Follow-up Study (HPFS; 1986-2006). Diet was assessed every 4 years using a validated food-frequency questionnaire. Self-reported cases of incident type 2 diabetes were validated by supplementary questionnaires.\nRESULTS: During 1,663,319 person-years of follow-up, we documented 7,269 cases of incident type 2 diabetes. Participants who increased their coffee consumption by more than 1 cup/day (median change = 1.69 cups/day) over a 4 year period had an 11% (95% CI 3%, 18%) lower risk of type 2 diabetes in the subsequent 4 years compared with those who made no changes in consumption. Participants who decreased their coffee intake by more than 1 cup/day (median change = -2 cups/day) had a 17% (95% CI 8%, 26%) higher risk for type 2 diabetes. Changes in tea consumption were not associated with type 2 diabetes risk.\nCONCLUSIONS/INTERPRETATION: Our data provide novel evidence that increasing coffee consumption over a 4 year period is associated with a lower risk of type 2 diabetes, while decreasing coffee consumption is associated with a higher risk of type 2 diabetes in subsequent years.","DOI":"10.1007/s00125-014-3235-7","ISSN":"1432-0428","note":"PMID: 24771089\nPMCID: PMC4115458","title-short":"Changes in coffee intake and subsequent risk of type 2 diabetes","journalAbbreviation":"Diabetologia","language":"eng","author":[{"family":"Bhupathiraju","given":"Shilpa N."},{"family":"Pan","given":"An"},{"family":"Manson","given":"JoAnn E."},{"family":"Willett","given":"Walter C."},{"family":"Dam","given":"Rob M.","non-dropping-particle":"van"},{"family":"Hu","given":"Frank B."}],"issued":{"date-parts":[["2014",7]]}}},{"id":558,"uris":["http://zotero.org/users/3710342/items/FCSGWZJA"],"uri":["http://zotero.org/users/3710342/items/FCSGWZJA"],"itemData":{"id":558,"type":"article-journal","title":"Coffee consumption is positively related to insulin secretion in the Shanghai High-Risk Diabetic Screen (SHiDS) Study","container-title":"Nutrition &amp; Metabolism","page":"84","volume":"15","source":"PubMed","abstract":"Background: It has been proved that coffee consumption was associated with a lower risk of type 2 diabetes mellitus. But the benefit effect of coffee on hyperglycemia in Chinese population was largely unknown. Besides, the relationship of coffee intake and diabetic pathogenesis was still unclear.\nMethods: The study population was selected from the Shanghai High-Risk Diabetic Screen (SHiDS) project. A total of 1328 individuals over 18 years of age who have the information of coffee intake were enrolled in the study from 2012 to 2016. Each participant finished a five-point 75 g oral glucose tolerance test and finished a standard questionnaire. Insulin resistance was evaluated by HOMA-IR and insulin secretion was evaluated by HOMA-β, Stumvoll first phase and second phase indexes.\nResults: Coffee consumption group had lower plasma glucose levels at 2-h and 3-h and higher insulin levels at fasting, 30-min and 1-h during OGTT after adjustment with age, fat%, BMI, waist, tea intake, smoking habit, alcohol intake, diabetes family history and educational status (P for PG2h = 0.002; P for PG3h = 0.010; P for FIN = 0.010; P for IN30min = 0.001; P for IN1h = 0.002). Both HOMA-β and Stumvoll formula indexes were positively related to coffee consumption (P for HOMA-β = 0.033; P for Stumvoll first phase = 0.003; P for Stumvoll second phase = 0.001). Logistic regression analysis further confirmed that coffee intake was independently associated with higher levels of HOMA-β and Stumvoll insulin secretion indexes [OR (95% CI) for HOMA-β = 2.270 (1.456-3.538); OR (95% CI) for Stumvoll first phase = 2.071 (1.352-3.173); OR (95% CI) for Stumvoll second phase = 1.914 (1.260-2.906)].\nConclusions: Coffee intake is independently and positively related to pancreatic beta cell function in a large high-risk diabetic Chinese population.","DOI":"10.1186/s12986-018-0321-8","ISSN":"1743-7075","note":"PMID: 30505337\nPMCID: PMC6260577","journalAbbreviation":"Nutr Metab (Lond)","language":"eng","author":[{"family":"Gao","given":"Fei"},{"family":"Zhang","given":"Yinan"},{"family":"Ge","given":"Sheng"},{"family":"Lu","given":"Huijuan"},{"family":"Chen","given":"Ruihua"},{"family":"Fang","given":"Pingyan"},{"family":"Shen","given":"Yixie"},{"family":"Wang","given":"Congrong"},{"family":"Jia","given":"Weiping"}],"issued":{"date-parts":[["2018"]]}}}],"schema":"https://github.com/citation-style-language/schema/raw/master/csl-citation.json"} </w:instrText>
      </w:r>
      <w:r w:rsidR="001741DE" w:rsidRPr="002E25AD">
        <w:rPr>
          <w:rFonts w:ascii="Times New Roman" w:hAnsi="Times New Roman" w:cs="Times New Roman"/>
          <w:sz w:val="24"/>
          <w:szCs w:val="24"/>
          <w:lang w:val="en-US"/>
        </w:rPr>
        <w:fldChar w:fldCharType="separate"/>
      </w:r>
      <w:r w:rsidR="001741DE" w:rsidRPr="002E25AD">
        <w:rPr>
          <w:rFonts w:ascii="Times New Roman" w:hAnsi="Times New Roman" w:cs="Times New Roman"/>
          <w:sz w:val="24"/>
          <w:szCs w:val="24"/>
          <w:lang w:val="en-US"/>
        </w:rPr>
        <w:t>(32–34)</w:t>
      </w:r>
      <w:r w:rsidR="001741DE" w:rsidRPr="002E25AD">
        <w:rPr>
          <w:rFonts w:ascii="Times New Roman" w:hAnsi="Times New Roman" w:cs="Times New Roman"/>
          <w:sz w:val="24"/>
          <w:szCs w:val="24"/>
          <w:lang w:val="en-US"/>
        </w:rPr>
        <w:fldChar w:fldCharType="end"/>
      </w:r>
      <w:r w:rsidR="001741DE" w:rsidRPr="002E25AD">
        <w:rPr>
          <w:rFonts w:ascii="Times New Roman" w:hAnsi="Times New Roman" w:cs="Times New Roman"/>
          <w:sz w:val="24"/>
          <w:szCs w:val="24"/>
          <w:lang w:val="en-US"/>
        </w:rPr>
        <w:t xml:space="preserve"> </w:t>
      </w:r>
      <w:r w:rsidR="003D4725" w:rsidRPr="002E25AD">
        <w:rPr>
          <w:rFonts w:ascii="Times New Roman" w:hAnsi="Times New Roman" w:cs="Times New Roman"/>
          <w:sz w:val="24"/>
          <w:szCs w:val="24"/>
          <w:lang w:val="en-US"/>
        </w:rPr>
        <w:t xml:space="preserve">Disregarding coffee, the most important </w:t>
      </w:r>
      <w:r w:rsidR="003E7CE1" w:rsidRPr="002E25AD">
        <w:rPr>
          <w:rFonts w:ascii="Times New Roman" w:hAnsi="Times New Roman" w:cs="Times New Roman"/>
          <w:sz w:val="24"/>
          <w:szCs w:val="24"/>
          <w:lang w:val="en-US"/>
        </w:rPr>
        <w:t>contributors to total dietary antioxidant capacity in our stu</w:t>
      </w:r>
      <w:r w:rsidR="00C7776A" w:rsidRPr="002E25AD">
        <w:rPr>
          <w:rFonts w:ascii="Times New Roman" w:hAnsi="Times New Roman" w:cs="Times New Roman"/>
          <w:sz w:val="24"/>
          <w:szCs w:val="24"/>
          <w:lang w:val="en-US"/>
        </w:rPr>
        <w:t>dy were fruit and vegetables</w:t>
      </w:r>
      <w:r w:rsidR="003E7CE1" w:rsidRPr="002E25AD">
        <w:rPr>
          <w:rFonts w:ascii="Times New Roman" w:hAnsi="Times New Roman" w:cs="Times New Roman"/>
          <w:sz w:val="24"/>
          <w:szCs w:val="24"/>
          <w:lang w:val="en-US"/>
        </w:rPr>
        <w:t>. Indeed, it has</w:t>
      </w:r>
      <w:r w:rsidR="001741DE" w:rsidRPr="002E25AD">
        <w:rPr>
          <w:rFonts w:ascii="Times New Roman" w:hAnsi="Times New Roman" w:cs="Times New Roman"/>
          <w:sz w:val="24"/>
          <w:szCs w:val="24"/>
          <w:lang w:val="en-US"/>
        </w:rPr>
        <w:t xml:space="preserve"> </w:t>
      </w:r>
      <w:r w:rsidR="003E7CE1" w:rsidRPr="002E25AD">
        <w:rPr>
          <w:rFonts w:ascii="Times New Roman" w:hAnsi="Times New Roman" w:cs="Times New Roman"/>
          <w:sz w:val="24"/>
          <w:szCs w:val="24"/>
          <w:lang w:val="en-US"/>
        </w:rPr>
        <w:t>been demonstrated that increased fruit and vegetable consumption is associated with a lower risk of type 2 diabetes.</w:t>
      </w:r>
      <w:r w:rsidR="003E7CE1" w:rsidRPr="002E25AD">
        <w:rPr>
          <w:rFonts w:ascii="Times New Roman" w:hAnsi="Times New Roman" w:cs="Times New Roman"/>
          <w:sz w:val="24"/>
          <w:szCs w:val="24"/>
          <w:lang w:val="en-US"/>
        </w:rPr>
        <w:fldChar w:fldCharType="begin"/>
      </w:r>
      <w:r w:rsidR="001741DE" w:rsidRPr="002E25AD">
        <w:rPr>
          <w:rFonts w:ascii="Times New Roman" w:hAnsi="Times New Roman" w:cs="Times New Roman"/>
          <w:sz w:val="24"/>
          <w:szCs w:val="24"/>
          <w:lang w:val="en-US"/>
        </w:rPr>
        <w:instrText xml:space="preserve"> ADDIN ZOTERO_ITEM CSL_CITATION {"citationID":"h7p6t59nf","properties":{"formattedCitation":"(35)","plainCitation":"(35)","noteIndex":0},"citationItems":[{"id":108,"uris":["http://zotero.org/users/3710342/items/72EMC5MN"],"uri":["http://zotero.org/users/3710342/items/72EMC5MN"],"itemData":{"id":108,"type":"article-journal","title":"Fruit and vegetable intake and risk of type 2 diabetes mellitus: meta-analysis of prospective cohort studies","container-title":"BMJ Open","page":"e005497","volume":"4","issue":"11","source":"bmjopen.bmj.com","abstract":"Objective To clarify and quantify the potential dose–response association between the intake of fruit and vegetables and risk of type 2 diabetes.\nDesign Meta-analysis and systematic review of prospective cohort studies.\nData source Studies published before February 2014 identified through electronic searches using PubMed and Embase.\nEligibility criteria for selecting studies Prospective cohort studies with relative risks and 95% CIs for type 2 diabetes according to the intake of fruit, vegetables, or fruit and vegetables.\nResults A total of 10 articles including 13 comparisons with 24 013 cases of type 2 diabetes and 434 342 participants were included in the meta-analysis. Evidence of curve linear associations was seen between fruit and green leafy vegetables consumption and risk of type 2 diabetes (p=0.059 and p=0.036 for non-linearity, respectively). The summary relative risk of type 2 diabetes for an increase of 1 serving fruit consumed/day was 0.93 (95% CI 0.88 to 0.99) without heterogeneity among studies (p=0.477, I2=0%). For vegetables, the combined relative risk of type 2 diabetes for an increase of 1 serving consumed/day was 0.90 (95% CI 0.80 to 1.01) with moderate heterogeneity among studies (p=0.002, I2=66.5%). For green leafy vegetables, the summary relative risk of type 2 diabetes for an increase of 0.2 serving consumed/day was 0.87 (95% CI 0.81 to 0.93) without heterogeneity among studies (p=0.496, I2=0%). The combined estimates showed no significant benefits of increasing the consumption of fruit and vegetables combined.\nConclusions Higher fruit or green leafy vegetables intake is associated with a significantly reduced risk of type 2 diabetes.","DOI":"10.1136/bmjopen-2014-005497","ISSN":"2044-6055, 2044-6055","note":"PMID: 25377009","title-short":"Fruit and vegetable intake and risk of type 2 diabetes mellitus","language":"en","author":[{"family":"Li","given":"Min"},{"family":"Fan","given":"Yingli"},{"family":"Zhang","given":"Xiaowei"},{"family":"Hou","given":"Wenshang"},{"family":"Tang","given":"Zhenyu"}],"issued":{"date-parts":[["2014",11,1]]}}}],"schema":"https://github.com/citation-style-language/schema/raw/master/csl-citation.json"} </w:instrText>
      </w:r>
      <w:r w:rsidR="003E7CE1" w:rsidRPr="002E25AD">
        <w:rPr>
          <w:rFonts w:ascii="Times New Roman" w:hAnsi="Times New Roman" w:cs="Times New Roman"/>
          <w:sz w:val="24"/>
          <w:szCs w:val="24"/>
          <w:lang w:val="en-US"/>
        </w:rPr>
        <w:fldChar w:fldCharType="separate"/>
      </w:r>
      <w:r w:rsidR="001741DE" w:rsidRPr="002E25AD">
        <w:rPr>
          <w:rFonts w:ascii="Times New Roman" w:hAnsi="Times New Roman" w:cs="Times New Roman"/>
          <w:sz w:val="24"/>
          <w:lang w:val="en-US"/>
        </w:rPr>
        <w:t>(35)</w:t>
      </w:r>
      <w:r w:rsidR="003E7CE1" w:rsidRPr="002E25AD">
        <w:rPr>
          <w:rFonts w:ascii="Times New Roman" w:hAnsi="Times New Roman" w:cs="Times New Roman"/>
          <w:sz w:val="24"/>
          <w:szCs w:val="24"/>
          <w:lang w:val="en-US"/>
        </w:rPr>
        <w:fldChar w:fldCharType="end"/>
      </w:r>
      <w:r w:rsidR="00E75381" w:rsidRPr="002E25AD">
        <w:rPr>
          <w:rFonts w:ascii="Times New Roman" w:hAnsi="Times New Roman" w:cs="Times New Roman"/>
          <w:sz w:val="24"/>
          <w:szCs w:val="24"/>
          <w:lang w:val="en-US"/>
        </w:rPr>
        <w:t xml:space="preserve"> </w:t>
      </w:r>
      <w:r w:rsidR="003D4725" w:rsidRPr="002E25AD">
        <w:rPr>
          <w:rFonts w:ascii="Times New Roman" w:hAnsi="Times New Roman" w:cs="Times New Roman"/>
          <w:sz w:val="24"/>
          <w:szCs w:val="24"/>
          <w:lang w:val="en-US"/>
        </w:rPr>
        <w:t xml:space="preserve">The findings of our study </w:t>
      </w:r>
      <w:r w:rsidR="00E75381" w:rsidRPr="002E25AD">
        <w:rPr>
          <w:rFonts w:ascii="Times New Roman" w:hAnsi="Times New Roman" w:cs="Times New Roman"/>
          <w:sz w:val="24"/>
          <w:szCs w:val="24"/>
          <w:lang w:val="en-US"/>
        </w:rPr>
        <w:t xml:space="preserve">therefore further underline the putative beneficial health effects of coffee, fruit and vegetable consumption. </w:t>
      </w:r>
      <w:r w:rsidR="00DB47CE" w:rsidRPr="002E25AD">
        <w:rPr>
          <w:rFonts w:ascii="Times New Roman" w:hAnsi="Times New Roman" w:cs="Times New Roman"/>
          <w:sz w:val="24"/>
          <w:szCs w:val="24"/>
          <w:lang w:val="en-US"/>
        </w:rPr>
        <w:t>With regards to tea and chocolate consumption, both of these food groups have also been associated with lower risk of type 2 diabetes.</w:t>
      </w:r>
      <w:r w:rsidR="00DB47CE" w:rsidRPr="002E25AD">
        <w:rPr>
          <w:rFonts w:ascii="Times New Roman" w:hAnsi="Times New Roman" w:cs="Times New Roman"/>
          <w:sz w:val="24"/>
          <w:szCs w:val="24"/>
          <w:lang w:val="en-US"/>
        </w:rPr>
        <w:fldChar w:fldCharType="begin"/>
      </w:r>
      <w:r w:rsidR="00DB47CE" w:rsidRPr="002E25AD">
        <w:rPr>
          <w:rFonts w:ascii="Times New Roman" w:hAnsi="Times New Roman" w:cs="Times New Roman"/>
          <w:sz w:val="24"/>
          <w:szCs w:val="24"/>
          <w:lang w:val="en-US"/>
        </w:rPr>
        <w:instrText xml:space="preserve"> ADDIN ZOTERO_ITEM CSL_CITATION {"citationID":"Sjjz9BZj","properties":{"formattedCitation":"(36,37)","plainCitation":"(36,37)","noteIndex":0},"citationItems":[{"id":562,"uris":["http://zotero.org/users/3710342/items/2FWXI27J"],"uri":["http://zotero.org/users/3710342/items/2FWXI27J"],"itemData":{"id":562,"type":"article-journal","title":"Tea Consumption and Risk of Type 2 Diabetes: A Meta-Analysis of Cohort Studies","container-title":"Journal of General Internal Medicine","page":"557-562","volume":"24","issue":"5","source":"PubMed Central","abstract":"BACKGROUND\nTea consumption has been extensively studied in relation to various diseases, several epidemiologic studies have been performed to investigate the association of tea consumption with type 2 diabetes; however, the results of these studies were not entirely consistent.\n\nOBJECTIVE\nTo conduct a meta-analysis of studies that assessed the association of tea consumption and the risk of type 2 diabetes.\n\nRESEARCH DESIGN AND METHODS\nWe performed a systematic literature search through November 2008 in PUBMED, MEDLINE, EMBASE, and Cochrane Database of Systematic Reviews. The search was limited to English-language studies. Studies were excluded if they were type 1 diabetes, animal studies. Nine cohort studies were identified by two authors, and summary relative risks (RRs) were calculated using a random-effects model.\n\nRESULTS\nWe identified nine cohort studies, including 324,141 participants and 11,400 incident cases of type 2 diabetes with follow-up ranging from 5 to 18 years. The summary adjusted RR did not show that tea consumption was associated with a reduced type 2 diabetes risk (RR, 0.96; 95% confidence interval (CI), 0.92–1.01). Evidence from the results of our stratified analyses revealed that tea consumption ≥4 cups per day (RR, 0.8; 95% CI, 0.7–0.93) might play a role in the prevention of type 2 diabetes. However, no statistically significant association was observed for sex and the follow-up durations stratified between tea consumption and type 2 diabetes.\n\nCONCLUSIONS\nThis meta-analysis indicates that tea consumption ≥4 cups per day may lower the risk of type 2 diabetes.","DOI":"10.1007/s11606-009-0929-5","ISSN":"0884-8734","note":"PMID: 19308337\nPMCID: PMC2669862","title-short":"Tea Consumption and Risk of Type 2 Diabetes","journalAbbreviation":"J Gen Intern Med","author":[{"family":"Jing","given":"Yali"},{"family":"Han","given":"Guanjun"},{"family":"Hu","given":"Yun"},{"family":"Bi","given":"Yan"},{"family":"Li","given":"Lirong"},{"family":"Zhu","given":"Dalong"}],"issued":{"date-parts":[["2009",5]]}}},{"id":565,"uris":["http://zotero.org/users/3710342/items/EAWKFEB7"],"uri":["http://zotero.org/users/3710342/items/EAWKFEB7"],"itemData":{"id":565,"type":"article-journal","title":"Chocolate Consumption and Risk of Coronary Heart Disease, Stroke, and Diabetes: A Meta-Analysis of Prospective Studies","container-title":"Nutrients","volume":"9","issue":"7","source":"PubMed","abstract":"Although epidemiological studies have examined the role of chocolate in preventing cardiometabolic disease, the results remain inconsistent. Herein, we conducted a meta-analysis of prospective studies to determine the association between chocolate intake and risk of coronary heart disease (CHD), stroke, and diabetes. A systematical search in PubMed and Embase through March 2017, together with reference scrutiny of relevant literatures, was performed to identify eligible studies. Relative risks (RRs) and 95% confidence intervals (CIs) were pooled using random effect models. Fourteen prospective studies of primary prevention with 508,705 participants were finally included, with follow-up durations ranging from 5 to 16 years. The summary RRs for the highest versus lowest chocolate consumption were 0.90 (95% CI: 0.82-0.97; n = 6) for CHD, 0.84 (95% CI: 0.78-0.90; n = 7) for stroke, and 0.82 (95% CI: 0.70-0.96; n = 5) for diabetes. Dose-response meta-analysis suggested a nonlinear association of chocolate consumption with all outcomes. For both CHD and stroke, there was little additional risk reduction when consuming chocolate ≥3 servings/week (one serving was defined as 30 g of chocolate). For diabetes, the peak protective effect of chocolate emerged at 2 servings/week (RR: 0.75, 95% CI: 0.63-0.89), with no benefit observed when increasing consumption above 6 servings/week. In conclusion, chocolate intake is associated with decreased risks of CHD, stroke, and diabetes. Consuming chocolate in moderation (≤6 servings/week) may be optimal for preventing these disorders.","DOI":"10.3390/nu9070688","ISSN":"2072-6643","note":"PMID: 28671591\nPMCID: PMC5537803","title-short":"Chocolate Consumption and Risk of Coronary Heart Disease, Stroke, and Diabetes","journalAbbreviation":"Nutrients","language":"eng","author":[{"family":"Yuan","given":"Sheng"},{"family":"Li","given":"Xia"},{"family":"Jin","given":"Yalei"},{"family":"Lu","given":"Jinping"}],"issued":{"date-parts":[["2017",7,2]]}}}],"schema":"https://github.com/citation-style-language/schema/raw/master/csl-citation.json"} </w:instrText>
      </w:r>
      <w:r w:rsidR="00DB47CE" w:rsidRPr="002E25AD">
        <w:rPr>
          <w:rFonts w:ascii="Times New Roman" w:hAnsi="Times New Roman" w:cs="Times New Roman"/>
          <w:sz w:val="24"/>
          <w:szCs w:val="24"/>
          <w:lang w:val="en-US"/>
        </w:rPr>
        <w:fldChar w:fldCharType="separate"/>
      </w:r>
      <w:r w:rsidR="00DB47CE" w:rsidRPr="002E25AD">
        <w:rPr>
          <w:rFonts w:ascii="Times New Roman" w:hAnsi="Times New Roman" w:cs="Times New Roman"/>
          <w:sz w:val="24"/>
          <w:lang w:val="en-US"/>
        </w:rPr>
        <w:t>(3</w:t>
      </w:r>
      <w:bookmarkStart w:id="2" w:name="_GoBack"/>
      <w:bookmarkEnd w:id="2"/>
      <w:r w:rsidR="00DB47CE" w:rsidRPr="002E25AD">
        <w:rPr>
          <w:rFonts w:ascii="Times New Roman" w:hAnsi="Times New Roman" w:cs="Times New Roman"/>
          <w:sz w:val="24"/>
          <w:lang w:val="en-US"/>
        </w:rPr>
        <w:t>6,37)</w:t>
      </w:r>
      <w:r w:rsidR="00DB47CE" w:rsidRPr="002E25AD">
        <w:rPr>
          <w:rFonts w:ascii="Times New Roman" w:hAnsi="Times New Roman" w:cs="Times New Roman"/>
          <w:sz w:val="24"/>
          <w:szCs w:val="24"/>
          <w:lang w:val="en-US"/>
        </w:rPr>
        <w:fldChar w:fldCharType="end"/>
      </w:r>
      <w:r w:rsidR="00DB47CE" w:rsidRPr="002E25AD">
        <w:rPr>
          <w:rFonts w:ascii="Times New Roman" w:hAnsi="Times New Roman" w:cs="Times New Roman"/>
          <w:sz w:val="24"/>
          <w:szCs w:val="24"/>
          <w:lang w:val="en-US"/>
        </w:rPr>
        <w:t xml:space="preserve"> </w:t>
      </w:r>
    </w:p>
    <w:p w14:paraId="1BB2ED5A" w14:textId="21593C7C" w:rsidR="006B32F6" w:rsidRPr="002E25AD" w:rsidRDefault="000C34BD" w:rsidP="004433E7">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The main strengths of our study include its prospective design, the large sample size and the long-duration of follow-up. This enabled us to study the association between total dietary antioxidant capacity and various endpoints in the pathway from normoglycaemia to type 2 diabetes with a large pool of validated cases. We were also able to adjust for an extensive set of socio-economic, metabolic and dietary confounders</w:t>
      </w:r>
      <w:r w:rsidR="001858F1" w:rsidRPr="002E25AD">
        <w:rPr>
          <w:rFonts w:ascii="Times New Roman" w:hAnsi="Times New Roman" w:cs="Times New Roman"/>
          <w:sz w:val="24"/>
          <w:szCs w:val="24"/>
          <w:lang w:val="en-US"/>
        </w:rPr>
        <w:t>, including a measure of overall diet quality,</w:t>
      </w:r>
      <w:r w:rsidRPr="002E25AD">
        <w:rPr>
          <w:rFonts w:ascii="Times New Roman" w:hAnsi="Times New Roman" w:cs="Times New Roman"/>
          <w:sz w:val="24"/>
          <w:szCs w:val="24"/>
          <w:lang w:val="en-US"/>
        </w:rPr>
        <w:t xml:space="preserve"> to minimize the chance of residual confounding influencing our results. However, approximately 95% of our study population was of Caucasian ethnicity, and all participants were aged 45 years </w:t>
      </w:r>
      <w:r w:rsidR="000C3C87" w:rsidRPr="002E25AD">
        <w:rPr>
          <w:rFonts w:ascii="Times New Roman" w:hAnsi="Times New Roman" w:cs="Times New Roman"/>
          <w:sz w:val="24"/>
          <w:szCs w:val="24"/>
          <w:lang w:val="en-US"/>
        </w:rPr>
        <w:t>and older</w:t>
      </w:r>
      <w:r w:rsidRPr="002E25AD">
        <w:rPr>
          <w:rFonts w:ascii="Times New Roman" w:hAnsi="Times New Roman" w:cs="Times New Roman"/>
          <w:sz w:val="24"/>
          <w:szCs w:val="24"/>
          <w:lang w:val="en-US"/>
        </w:rPr>
        <w:t xml:space="preserve">. Therefore, caution should be taken in generalizing our results to other populations. </w:t>
      </w:r>
      <w:r w:rsidR="00884D52" w:rsidRPr="002E25AD">
        <w:rPr>
          <w:rFonts w:ascii="Times New Roman" w:hAnsi="Times New Roman" w:cs="Times New Roman"/>
          <w:sz w:val="24"/>
          <w:szCs w:val="24"/>
          <w:lang w:val="en-US"/>
        </w:rPr>
        <w:t xml:space="preserve">Furthermore, we calculated the total dietary </w:t>
      </w:r>
      <w:r w:rsidR="006B32F6" w:rsidRPr="002E25AD">
        <w:rPr>
          <w:rFonts w:ascii="Times New Roman" w:hAnsi="Times New Roman" w:cs="Times New Roman"/>
          <w:sz w:val="24"/>
          <w:szCs w:val="24"/>
          <w:lang w:val="en-US"/>
        </w:rPr>
        <w:t>antioxidant capacity based on an antioxidant food database developed in Norway. We cannot rule out the possibility that differences between Norway and the Netherlands with regards to the geographical origin of food may</w:t>
      </w:r>
      <w:r w:rsidR="00D674A9" w:rsidRPr="002E25AD">
        <w:rPr>
          <w:rFonts w:ascii="Times New Roman" w:hAnsi="Times New Roman" w:cs="Times New Roman"/>
          <w:sz w:val="24"/>
          <w:szCs w:val="24"/>
          <w:lang w:val="en-US"/>
        </w:rPr>
        <w:t xml:space="preserve"> have</w:t>
      </w:r>
      <w:r w:rsidR="006B32F6" w:rsidRPr="002E25AD">
        <w:rPr>
          <w:rFonts w:ascii="Times New Roman" w:hAnsi="Times New Roman" w:cs="Times New Roman"/>
          <w:sz w:val="24"/>
          <w:szCs w:val="24"/>
          <w:lang w:val="en-US"/>
        </w:rPr>
        <w:t xml:space="preserve"> introduce</w:t>
      </w:r>
      <w:r w:rsidR="00D674A9" w:rsidRPr="002E25AD">
        <w:rPr>
          <w:rFonts w:ascii="Times New Roman" w:hAnsi="Times New Roman" w:cs="Times New Roman"/>
          <w:sz w:val="24"/>
          <w:szCs w:val="24"/>
          <w:lang w:val="en-US"/>
        </w:rPr>
        <w:t>d</w:t>
      </w:r>
      <w:r w:rsidR="006B32F6" w:rsidRPr="002E25AD">
        <w:rPr>
          <w:rFonts w:ascii="Times New Roman" w:hAnsi="Times New Roman" w:cs="Times New Roman"/>
          <w:sz w:val="24"/>
          <w:szCs w:val="24"/>
          <w:lang w:val="en-US"/>
        </w:rPr>
        <w:t xml:space="preserve"> error in our estimates of the true antioxidant capacity. In addition, we had no information on the cooking methods that participants used, which may also affect the </w:t>
      </w:r>
      <w:r w:rsidR="00FD3F4C" w:rsidRPr="002E25AD">
        <w:rPr>
          <w:rFonts w:ascii="Times New Roman" w:hAnsi="Times New Roman" w:cs="Times New Roman"/>
          <w:sz w:val="24"/>
          <w:szCs w:val="24"/>
          <w:lang w:val="en-US"/>
        </w:rPr>
        <w:t xml:space="preserve">antioxidant content of food. </w:t>
      </w:r>
      <w:r w:rsidR="002538BF" w:rsidRPr="002E25AD">
        <w:rPr>
          <w:rFonts w:ascii="Times New Roman" w:hAnsi="Times New Roman" w:cs="Times New Roman"/>
          <w:sz w:val="24"/>
          <w:szCs w:val="24"/>
          <w:lang w:val="en-US"/>
        </w:rPr>
        <w:t>It is also conceivable that the use of different FFQ’s</w:t>
      </w:r>
      <w:r w:rsidR="001E7699" w:rsidRPr="002E25AD">
        <w:rPr>
          <w:rFonts w:ascii="Times New Roman" w:hAnsi="Times New Roman" w:cs="Times New Roman"/>
          <w:sz w:val="24"/>
          <w:szCs w:val="24"/>
          <w:lang w:val="en-US"/>
        </w:rPr>
        <w:t xml:space="preserve"> and different food composition tables</w:t>
      </w:r>
      <w:r w:rsidR="002538BF" w:rsidRPr="002E25AD">
        <w:rPr>
          <w:rFonts w:ascii="Times New Roman" w:hAnsi="Times New Roman" w:cs="Times New Roman"/>
          <w:sz w:val="24"/>
          <w:szCs w:val="24"/>
          <w:lang w:val="en-US"/>
        </w:rPr>
        <w:t xml:space="preserve"> in our study caused differences between participants in the assessment of their FRAP score. However,</w:t>
      </w:r>
      <w:r w:rsidR="001E7699" w:rsidRPr="002E25AD">
        <w:rPr>
          <w:rFonts w:ascii="Times New Roman" w:hAnsi="Times New Roman" w:cs="Times New Roman"/>
          <w:sz w:val="24"/>
          <w:szCs w:val="24"/>
          <w:lang w:val="en-US"/>
        </w:rPr>
        <w:t xml:space="preserve"> regarding the use of different FFQ’s,</w:t>
      </w:r>
      <w:r w:rsidR="002538BF" w:rsidRPr="002E25AD">
        <w:rPr>
          <w:rFonts w:ascii="Times New Roman" w:hAnsi="Times New Roman" w:cs="Times New Roman"/>
          <w:sz w:val="24"/>
          <w:szCs w:val="24"/>
          <w:lang w:val="en-US"/>
        </w:rPr>
        <w:t xml:space="preserve"> since the use </w:t>
      </w:r>
      <w:r w:rsidR="002538BF" w:rsidRPr="002E25AD">
        <w:rPr>
          <w:rFonts w:ascii="Times New Roman" w:hAnsi="Times New Roman" w:cs="Times New Roman"/>
          <w:sz w:val="24"/>
          <w:szCs w:val="24"/>
          <w:lang w:val="en-US"/>
        </w:rPr>
        <w:lastRenderedPageBreak/>
        <w:t xml:space="preserve">of these different questionnaires coincided with the start of a new study cohort, and “cohort” was included in our analyses as a confounder, our analyses should to a large degree be adjusted for this effect. </w:t>
      </w:r>
      <w:r w:rsidR="00FD3F4C" w:rsidRPr="002E25AD">
        <w:rPr>
          <w:rFonts w:ascii="Times New Roman" w:hAnsi="Times New Roman" w:cs="Times New Roman"/>
          <w:sz w:val="24"/>
          <w:szCs w:val="24"/>
          <w:lang w:val="en-US"/>
        </w:rPr>
        <w:t xml:space="preserve">Finally, we were unable to account for the use of food supplements in our study, which may have </w:t>
      </w:r>
      <w:r w:rsidR="006903AF" w:rsidRPr="002E25AD">
        <w:rPr>
          <w:rFonts w:ascii="Times New Roman" w:hAnsi="Times New Roman" w:cs="Times New Roman"/>
          <w:sz w:val="24"/>
          <w:szCs w:val="24"/>
          <w:lang w:val="en-US"/>
        </w:rPr>
        <w:t>led</w:t>
      </w:r>
      <w:r w:rsidR="00FD3F4C" w:rsidRPr="002E25AD">
        <w:rPr>
          <w:rFonts w:ascii="Times New Roman" w:hAnsi="Times New Roman" w:cs="Times New Roman"/>
          <w:sz w:val="24"/>
          <w:szCs w:val="24"/>
          <w:lang w:val="en-US"/>
        </w:rPr>
        <w:t xml:space="preserve"> </w:t>
      </w:r>
      <w:r w:rsidR="00D674A9" w:rsidRPr="002E25AD">
        <w:rPr>
          <w:rFonts w:ascii="Times New Roman" w:hAnsi="Times New Roman" w:cs="Times New Roman"/>
          <w:sz w:val="24"/>
          <w:szCs w:val="24"/>
          <w:lang w:val="en-US"/>
        </w:rPr>
        <w:t xml:space="preserve">us </w:t>
      </w:r>
      <w:r w:rsidR="00FD3F4C" w:rsidRPr="002E25AD">
        <w:rPr>
          <w:rFonts w:ascii="Times New Roman" w:hAnsi="Times New Roman" w:cs="Times New Roman"/>
          <w:sz w:val="24"/>
          <w:szCs w:val="24"/>
          <w:lang w:val="en-US"/>
        </w:rPr>
        <w:t xml:space="preserve">to </w:t>
      </w:r>
      <w:r w:rsidR="00D674A9" w:rsidRPr="002E25AD">
        <w:rPr>
          <w:rFonts w:ascii="Times New Roman" w:hAnsi="Times New Roman" w:cs="Times New Roman"/>
          <w:sz w:val="24"/>
          <w:szCs w:val="24"/>
          <w:lang w:val="en-US"/>
        </w:rPr>
        <w:t xml:space="preserve">underestimate </w:t>
      </w:r>
      <w:r w:rsidR="00FD3F4C" w:rsidRPr="002E25AD">
        <w:rPr>
          <w:rFonts w:ascii="Times New Roman" w:hAnsi="Times New Roman" w:cs="Times New Roman"/>
          <w:sz w:val="24"/>
          <w:szCs w:val="24"/>
          <w:lang w:val="en-US"/>
        </w:rPr>
        <w:t>the actual total dietary antioxidant capacity.</w:t>
      </w:r>
    </w:p>
    <w:p w14:paraId="6ADCE6C7" w14:textId="3EF469C9" w:rsidR="00094108" w:rsidRPr="002E25AD" w:rsidRDefault="00792DA9" w:rsidP="00697FD8">
      <w:pPr>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In conclusion, </w:t>
      </w:r>
      <w:r w:rsidR="000C3C87" w:rsidRPr="002E25AD">
        <w:rPr>
          <w:rFonts w:ascii="Times New Roman" w:hAnsi="Times New Roman" w:cs="Times New Roman"/>
          <w:sz w:val="24"/>
          <w:szCs w:val="24"/>
          <w:lang w:val="en-US"/>
        </w:rPr>
        <w:t>total dietary antioxidant capacity was related to a lower risk of type 2 diabetes</w:t>
      </w:r>
      <w:r w:rsidR="00C7776A" w:rsidRPr="002E25AD">
        <w:rPr>
          <w:rFonts w:ascii="Times New Roman" w:hAnsi="Times New Roman" w:cs="Times New Roman"/>
          <w:sz w:val="24"/>
          <w:szCs w:val="24"/>
          <w:lang w:val="en-US"/>
        </w:rPr>
        <w:t xml:space="preserve">, </w:t>
      </w:r>
      <w:r w:rsidR="000C3C87" w:rsidRPr="002E25AD">
        <w:rPr>
          <w:rFonts w:ascii="Times New Roman" w:hAnsi="Times New Roman" w:cs="Times New Roman"/>
          <w:sz w:val="24"/>
          <w:szCs w:val="24"/>
          <w:lang w:val="en-US"/>
        </w:rPr>
        <w:t>but</w:t>
      </w:r>
      <w:r w:rsidR="00FE205C" w:rsidRPr="002E25AD">
        <w:rPr>
          <w:rFonts w:ascii="Times New Roman" w:hAnsi="Times New Roman" w:cs="Times New Roman"/>
          <w:sz w:val="24"/>
          <w:szCs w:val="24"/>
          <w:lang w:val="en-US"/>
        </w:rPr>
        <w:t xml:space="preserve"> not</w:t>
      </w:r>
      <w:r w:rsidR="00D03AF3" w:rsidRPr="002E25AD">
        <w:rPr>
          <w:rFonts w:ascii="Times New Roman" w:hAnsi="Times New Roman" w:cs="Times New Roman"/>
          <w:sz w:val="24"/>
          <w:szCs w:val="24"/>
          <w:lang w:val="en-US"/>
        </w:rPr>
        <w:t xml:space="preserve"> </w:t>
      </w:r>
      <w:r w:rsidR="000C3C87" w:rsidRPr="002E25AD">
        <w:rPr>
          <w:rFonts w:ascii="Times New Roman" w:hAnsi="Times New Roman" w:cs="Times New Roman"/>
          <w:sz w:val="24"/>
          <w:szCs w:val="24"/>
          <w:lang w:val="en-US"/>
        </w:rPr>
        <w:t xml:space="preserve">risk of prediabetes, </w:t>
      </w:r>
      <w:r w:rsidR="00C7776A" w:rsidRPr="002E25AD">
        <w:rPr>
          <w:rFonts w:ascii="Times New Roman" w:hAnsi="Times New Roman" w:cs="Times New Roman"/>
          <w:sz w:val="24"/>
          <w:szCs w:val="24"/>
          <w:lang w:val="en-US"/>
        </w:rPr>
        <w:t xml:space="preserve">and was inversely associated with insulin resistance </w:t>
      </w:r>
      <w:r w:rsidR="000C3C87" w:rsidRPr="002E25AD">
        <w:rPr>
          <w:rFonts w:ascii="Times New Roman" w:hAnsi="Times New Roman" w:cs="Times New Roman"/>
          <w:sz w:val="24"/>
          <w:szCs w:val="24"/>
          <w:lang w:val="en-US"/>
        </w:rPr>
        <w:t xml:space="preserve">in </w:t>
      </w:r>
      <w:r w:rsidR="00C7776A" w:rsidRPr="002E25AD">
        <w:rPr>
          <w:rFonts w:ascii="Times New Roman" w:hAnsi="Times New Roman" w:cs="Times New Roman"/>
          <w:sz w:val="24"/>
          <w:szCs w:val="24"/>
          <w:lang w:val="en-US"/>
        </w:rPr>
        <w:t>this</w:t>
      </w:r>
      <w:r w:rsidR="000C3C87" w:rsidRPr="002E25AD">
        <w:rPr>
          <w:rFonts w:ascii="Times New Roman" w:hAnsi="Times New Roman" w:cs="Times New Roman"/>
          <w:sz w:val="24"/>
          <w:szCs w:val="24"/>
          <w:lang w:val="en-US"/>
        </w:rPr>
        <w:t xml:space="preserve"> population-based cohort of individuals aged 45 years and older. </w:t>
      </w:r>
      <w:r w:rsidR="00147EB2" w:rsidRPr="002E25AD">
        <w:rPr>
          <w:rFonts w:ascii="Times New Roman" w:hAnsi="Times New Roman" w:cs="Times New Roman"/>
          <w:sz w:val="24"/>
          <w:szCs w:val="24"/>
          <w:lang w:val="en-US"/>
        </w:rPr>
        <w:t xml:space="preserve">Our findings emphasize the beneficial health effects of a diet rich in antioxidants with regards to the prevention of type 2 diabetes. </w:t>
      </w:r>
      <w:r w:rsidR="000C3C87" w:rsidRPr="002E25AD">
        <w:rPr>
          <w:rFonts w:ascii="Times New Roman" w:hAnsi="Times New Roman" w:cs="Times New Roman"/>
          <w:sz w:val="24"/>
          <w:szCs w:val="24"/>
          <w:lang w:val="en-US"/>
        </w:rPr>
        <w:t>Further studies could contribute to a better understanding of the stage-specific associations we have observed and unravel potential underlying mechanisms.</w:t>
      </w:r>
    </w:p>
    <w:p w14:paraId="4D335578" w14:textId="2795251B" w:rsidR="00094108" w:rsidRPr="002E25AD" w:rsidRDefault="00094108" w:rsidP="00094108">
      <w:pPr>
        <w:pStyle w:val="NoSpacing"/>
        <w:spacing w:line="480" w:lineRule="auto"/>
        <w:rPr>
          <w:rFonts w:ascii="Times New Roman" w:hAnsi="Times New Roman" w:cs="Times New Roman"/>
          <w:b/>
          <w:sz w:val="28"/>
          <w:szCs w:val="24"/>
          <w:lang w:val="en-US"/>
        </w:rPr>
      </w:pPr>
      <w:r w:rsidRPr="002E25AD">
        <w:rPr>
          <w:rFonts w:ascii="Times New Roman" w:hAnsi="Times New Roman" w:cs="Times New Roman"/>
          <w:b/>
          <w:sz w:val="28"/>
          <w:szCs w:val="24"/>
          <w:lang w:val="en-US"/>
        </w:rPr>
        <w:t>Acknowledgements</w:t>
      </w:r>
    </w:p>
    <w:p w14:paraId="7E963DDA" w14:textId="4BEB684C" w:rsidR="00094108" w:rsidRPr="002E25AD" w:rsidRDefault="00094108" w:rsidP="00094108">
      <w:pPr>
        <w:pStyle w:val="NoSpacing"/>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We thank the Rotterdam Study participants, and general practitioners and pharmacists of the Ommoord district for their contributions.</w:t>
      </w:r>
    </w:p>
    <w:p w14:paraId="46FC399E" w14:textId="77777777" w:rsidR="00DC292E" w:rsidRPr="002E25AD" w:rsidRDefault="00DC292E" w:rsidP="00094108">
      <w:pPr>
        <w:pStyle w:val="NoSpacing"/>
        <w:spacing w:line="480" w:lineRule="auto"/>
        <w:rPr>
          <w:rFonts w:ascii="Times New Roman" w:hAnsi="Times New Roman" w:cs="Times New Roman"/>
          <w:sz w:val="24"/>
          <w:szCs w:val="24"/>
          <w:lang w:val="en-US"/>
        </w:rPr>
      </w:pPr>
    </w:p>
    <w:p w14:paraId="142DFD91" w14:textId="05D45199" w:rsidR="00094108" w:rsidRPr="002E25AD" w:rsidRDefault="00094108" w:rsidP="00094108">
      <w:pPr>
        <w:pStyle w:val="NoSpacing"/>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The authors’ contributions were as follows: NS and TV designed the study, performed the analyses, and wrote the manuscript. JDS,</w:t>
      </w:r>
      <w:r w:rsidR="00FB1226" w:rsidRPr="002E25AD">
        <w:rPr>
          <w:rFonts w:ascii="Times New Roman" w:hAnsi="Times New Roman" w:cs="Times New Roman"/>
          <w:sz w:val="24"/>
          <w:szCs w:val="24"/>
          <w:lang w:val="en-US"/>
        </w:rPr>
        <w:t xml:space="preserve"> JN,</w:t>
      </w:r>
      <w:r w:rsidRPr="002E25AD">
        <w:rPr>
          <w:rFonts w:ascii="Times New Roman" w:hAnsi="Times New Roman" w:cs="Times New Roman"/>
          <w:sz w:val="24"/>
          <w:szCs w:val="24"/>
          <w:lang w:val="en-US"/>
        </w:rPr>
        <w:t xml:space="preserve"> JCKJ,</w:t>
      </w:r>
      <w:r w:rsidR="00FB1226" w:rsidRPr="002E25AD">
        <w:rPr>
          <w:rFonts w:ascii="Times New Roman" w:hAnsi="Times New Roman" w:cs="Times New Roman"/>
          <w:sz w:val="24"/>
          <w:szCs w:val="24"/>
          <w:lang w:val="en-US"/>
        </w:rPr>
        <w:t xml:space="preserve"> TM, EJGS,</w:t>
      </w:r>
      <w:r w:rsidRPr="002E25AD">
        <w:rPr>
          <w:rFonts w:ascii="Times New Roman" w:hAnsi="Times New Roman" w:cs="Times New Roman"/>
          <w:sz w:val="24"/>
          <w:szCs w:val="24"/>
          <w:lang w:val="en-US"/>
        </w:rPr>
        <w:t xml:space="preserve"> MAI</w:t>
      </w:r>
      <w:r w:rsidR="00CD748D" w:rsidRPr="002E25AD">
        <w:rPr>
          <w:rFonts w:ascii="Times New Roman" w:hAnsi="Times New Roman" w:cs="Times New Roman"/>
          <w:sz w:val="24"/>
          <w:szCs w:val="24"/>
          <w:lang w:val="en-US"/>
        </w:rPr>
        <w:t xml:space="preserve"> and </w:t>
      </w:r>
      <w:r w:rsidRPr="002E25AD">
        <w:rPr>
          <w:rFonts w:ascii="Times New Roman" w:hAnsi="Times New Roman" w:cs="Times New Roman"/>
          <w:sz w:val="24"/>
          <w:szCs w:val="24"/>
          <w:lang w:val="en-US"/>
        </w:rPr>
        <w:t>OHF were involved in the in the study design and/or data collection and provided input for the manuscript. NS and TV have primary responsibility for the final content. All authors read and approved the final manuscript.</w:t>
      </w:r>
      <w:r w:rsidR="00434ED5" w:rsidRPr="002E25AD">
        <w:rPr>
          <w:rFonts w:ascii="Times New Roman" w:hAnsi="Times New Roman" w:cs="Times New Roman"/>
          <w:sz w:val="24"/>
          <w:szCs w:val="24"/>
          <w:lang w:val="en-US"/>
        </w:rPr>
        <w:t xml:space="preserve"> TV is the guarantor of this study. </w:t>
      </w:r>
    </w:p>
    <w:p w14:paraId="49EB63A0" w14:textId="39A5613C" w:rsidR="00DC292E" w:rsidRPr="002E25AD" w:rsidRDefault="00DC292E" w:rsidP="00094108">
      <w:pPr>
        <w:pStyle w:val="NoSpacing"/>
        <w:spacing w:line="480" w:lineRule="auto"/>
        <w:rPr>
          <w:rFonts w:ascii="Times New Roman" w:hAnsi="Times New Roman" w:cs="Times New Roman"/>
          <w:sz w:val="24"/>
          <w:szCs w:val="24"/>
          <w:lang w:val="en-US"/>
        </w:rPr>
      </w:pPr>
    </w:p>
    <w:p w14:paraId="188FFA6A" w14:textId="3239D108" w:rsidR="00434ED5" w:rsidRPr="002E25AD" w:rsidRDefault="00434ED5" w:rsidP="00094108">
      <w:pPr>
        <w:pStyle w:val="NoSpacing"/>
        <w:spacing w:line="480" w:lineRule="auto"/>
        <w:rPr>
          <w:rFonts w:ascii="Times New Roman" w:hAnsi="Times New Roman" w:cs="Times New Roman"/>
          <w:b/>
          <w:sz w:val="28"/>
          <w:szCs w:val="24"/>
          <w:lang w:val="en-US"/>
        </w:rPr>
      </w:pPr>
      <w:r w:rsidRPr="002E25AD">
        <w:rPr>
          <w:rFonts w:ascii="Times New Roman" w:hAnsi="Times New Roman" w:cs="Times New Roman"/>
          <w:b/>
          <w:sz w:val="28"/>
          <w:szCs w:val="24"/>
          <w:lang w:val="en-US"/>
        </w:rPr>
        <w:t>Funding statement</w:t>
      </w:r>
    </w:p>
    <w:p w14:paraId="2E8F365C" w14:textId="77777777" w:rsidR="00434ED5" w:rsidRPr="002E25AD" w:rsidRDefault="00094108" w:rsidP="00434ED5">
      <w:pPr>
        <w:pStyle w:val="NoSpacing"/>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The Rotterdam Study is supported by Erasmus University Medical Center and Erasmus University Rotterdam; the Netherlands Organization for Health Research and Development; </w:t>
      </w:r>
      <w:r w:rsidRPr="002E25AD">
        <w:rPr>
          <w:rFonts w:ascii="Times New Roman" w:hAnsi="Times New Roman" w:cs="Times New Roman"/>
          <w:sz w:val="24"/>
          <w:szCs w:val="24"/>
          <w:lang w:val="en-US"/>
        </w:rPr>
        <w:lastRenderedPageBreak/>
        <w:t xml:space="preserve">the Research Institute for Diseases in the Elderly; the Netherlands Genomics Initiative; the Ministry of Education, Culture and Science; the Ministry of Health, Welfare and Sports; the European Commission (DG XII); and the Municipality of Rotterdam. The authors TV, JDS, JCKJ, and OHF work in ErasmusAGE, a research center funded by Nestlé Nutrition (Nestec Ltd.) </w:t>
      </w:r>
      <w:r w:rsidR="000519C5" w:rsidRPr="002E25AD">
        <w:rPr>
          <w:rFonts w:ascii="Times New Roman" w:hAnsi="Times New Roman" w:cs="Times New Roman"/>
          <w:sz w:val="24"/>
          <w:szCs w:val="24"/>
          <w:lang w:val="en-US"/>
        </w:rPr>
        <w:t xml:space="preserve">and </w:t>
      </w:r>
      <w:r w:rsidRPr="002E25AD">
        <w:rPr>
          <w:rFonts w:ascii="Times New Roman" w:hAnsi="Times New Roman" w:cs="Times New Roman"/>
          <w:sz w:val="24"/>
          <w:szCs w:val="24"/>
          <w:lang w:val="en-US"/>
        </w:rPr>
        <w:t xml:space="preserve">Metagenics Inc. </w:t>
      </w:r>
      <w:r w:rsidR="00434ED5" w:rsidRPr="002E25AD">
        <w:rPr>
          <w:rFonts w:ascii="Times New Roman" w:hAnsi="Times New Roman" w:cs="Times New Roman"/>
          <w:sz w:val="24"/>
          <w:szCs w:val="24"/>
          <w:lang w:val="en-US"/>
        </w:rPr>
        <w:t>The study sponsor was not involved in the design of the study; the collection, analysis, and interpretation of data; writing the report; or the decision to submit the report for publication.</w:t>
      </w:r>
    </w:p>
    <w:p w14:paraId="4CB34E81" w14:textId="23667721" w:rsidR="00A56F0C" w:rsidRPr="002E25AD" w:rsidRDefault="00094108" w:rsidP="00434ED5">
      <w:pPr>
        <w:pStyle w:val="NoSpacing"/>
        <w:spacing w:line="480" w:lineRule="auto"/>
        <w:rPr>
          <w:rFonts w:ascii="Times New Roman" w:hAnsi="Times New Roman" w:cs="Times New Roman"/>
          <w:sz w:val="24"/>
          <w:szCs w:val="24"/>
          <w:lang w:val="en-US"/>
        </w:rPr>
      </w:pPr>
      <w:r w:rsidRPr="002E25AD">
        <w:rPr>
          <w:rFonts w:ascii="Times New Roman" w:hAnsi="Times New Roman" w:cs="Times New Roman"/>
          <w:sz w:val="24"/>
          <w:szCs w:val="24"/>
          <w:lang w:val="en-US"/>
        </w:rPr>
        <w:t>The authors declare no conflicts of interest relevant to this work.</w:t>
      </w:r>
    </w:p>
    <w:p w14:paraId="1A82A0BA" w14:textId="77777777" w:rsidR="00A56F0C" w:rsidRPr="002E25AD" w:rsidRDefault="00A56F0C" w:rsidP="001D028E">
      <w:pPr>
        <w:spacing w:line="480" w:lineRule="auto"/>
        <w:rPr>
          <w:rFonts w:ascii="Times New Roman" w:hAnsi="Times New Roman" w:cs="Times New Roman"/>
          <w:sz w:val="24"/>
          <w:szCs w:val="24"/>
          <w:lang w:val="en-US"/>
        </w:rPr>
      </w:pPr>
    </w:p>
    <w:p w14:paraId="7EBB0AE0" w14:textId="77777777" w:rsidR="00A56F0C" w:rsidRPr="002E25AD" w:rsidRDefault="00A56F0C" w:rsidP="001D028E">
      <w:pPr>
        <w:spacing w:line="480" w:lineRule="auto"/>
        <w:rPr>
          <w:rFonts w:ascii="Times New Roman" w:hAnsi="Times New Roman" w:cs="Times New Roman"/>
          <w:b/>
          <w:sz w:val="24"/>
          <w:szCs w:val="24"/>
          <w:lang w:val="en-US"/>
        </w:rPr>
      </w:pPr>
      <w:r w:rsidRPr="002E25AD">
        <w:rPr>
          <w:rFonts w:ascii="Times New Roman" w:hAnsi="Times New Roman" w:cs="Times New Roman"/>
          <w:b/>
          <w:sz w:val="28"/>
          <w:szCs w:val="24"/>
          <w:lang w:val="en-US"/>
        </w:rPr>
        <w:t>Statement of data availability</w:t>
      </w:r>
    </w:p>
    <w:p w14:paraId="1C6BC8C2" w14:textId="78E403CC" w:rsidR="00094108" w:rsidRPr="002E25AD" w:rsidRDefault="00A56F0C" w:rsidP="001D028E">
      <w:pPr>
        <w:spacing w:line="480" w:lineRule="auto"/>
        <w:rPr>
          <w:rFonts w:ascii="Times New Roman" w:hAnsi="Times New Roman" w:cs="Times New Roman"/>
          <w:b/>
          <w:sz w:val="24"/>
          <w:szCs w:val="24"/>
          <w:lang w:val="en-US"/>
        </w:rPr>
      </w:pPr>
      <w:r w:rsidRPr="002E25AD">
        <w:rPr>
          <w:rFonts w:ascii="Times New Roman" w:hAnsi="Times New Roman" w:cs="Times New Roman"/>
          <w:sz w:val="24"/>
          <w:szCs w:val="24"/>
          <w:shd w:val="clear" w:color="auto" w:fill="FFFFFF"/>
          <w:lang w:val="en-US"/>
        </w:rPr>
        <w:t>Data can be obtained upon request. Requests should be directed towards the management team of the Rotterdam Study (</w:t>
      </w:r>
      <w:hyperlink r:id="rId9" w:history="1">
        <w:r w:rsidRPr="002E25AD">
          <w:rPr>
            <w:rStyle w:val="Hyperlink"/>
            <w:rFonts w:ascii="Times New Roman" w:hAnsi="Times New Roman" w:cs="Times New Roman"/>
            <w:color w:val="auto"/>
            <w:sz w:val="24"/>
            <w:szCs w:val="24"/>
            <w:u w:val="none"/>
            <w:shd w:val="clear" w:color="auto" w:fill="FFFFFF"/>
            <w:lang w:val="en-US"/>
          </w:rPr>
          <w:t>secretariat.epi@erasmusmc.nl</w:t>
        </w:r>
      </w:hyperlink>
      <w:r w:rsidRPr="002E25AD">
        <w:rPr>
          <w:rFonts w:ascii="Times New Roman" w:hAnsi="Times New Roman" w:cs="Times New Roman"/>
          <w:sz w:val="24"/>
          <w:szCs w:val="24"/>
          <w:shd w:val="clear" w:color="auto" w:fill="FFFFFF"/>
          <w:lang w:val="en-US"/>
        </w:rPr>
        <w:t>), which has a protocol for approving data requests. Because of restrictions based on privacy regulations and informed consent of the participants, data cannot be made freely available in a public repository.</w:t>
      </w:r>
      <w:r w:rsidRPr="002E25AD">
        <w:rPr>
          <w:rFonts w:ascii="Times New Roman" w:hAnsi="Times New Roman" w:cs="Times New Roman"/>
          <w:b/>
          <w:sz w:val="24"/>
          <w:szCs w:val="24"/>
          <w:lang w:val="en-US"/>
        </w:rPr>
        <w:t xml:space="preserve"> </w:t>
      </w:r>
      <w:r w:rsidR="00094108" w:rsidRPr="002E25AD">
        <w:rPr>
          <w:rFonts w:ascii="Times New Roman" w:hAnsi="Times New Roman" w:cs="Times New Roman"/>
          <w:b/>
          <w:sz w:val="24"/>
          <w:szCs w:val="24"/>
          <w:lang w:val="en-US"/>
        </w:rPr>
        <w:br w:type="page"/>
      </w:r>
    </w:p>
    <w:p w14:paraId="546CDC22" w14:textId="77777777" w:rsidR="00094108" w:rsidRPr="002E25AD" w:rsidRDefault="00094108" w:rsidP="00094108">
      <w:pPr>
        <w:spacing w:line="480" w:lineRule="auto"/>
        <w:rPr>
          <w:rFonts w:ascii="Times New Roman" w:hAnsi="Times New Roman" w:cs="Times New Roman"/>
          <w:b/>
          <w:sz w:val="28"/>
          <w:szCs w:val="24"/>
          <w:lang w:val="en-US"/>
        </w:rPr>
      </w:pPr>
      <w:r w:rsidRPr="002E25AD">
        <w:rPr>
          <w:rFonts w:ascii="Times New Roman" w:hAnsi="Times New Roman" w:cs="Times New Roman"/>
          <w:b/>
          <w:sz w:val="28"/>
          <w:szCs w:val="24"/>
          <w:lang w:val="en-US"/>
        </w:rPr>
        <w:lastRenderedPageBreak/>
        <w:t>References</w:t>
      </w:r>
    </w:p>
    <w:p w14:paraId="0A694149" w14:textId="77777777" w:rsidR="00DB47CE" w:rsidRPr="002E25AD" w:rsidRDefault="00094108" w:rsidP="00DB47CE">
      <w:pPr>
        <w:pStyle w:val="Bibliography"/>
        <w:rPr>
          <w:rFonts w:ascii="Times New Roman" w:hAnsi="Times New Roman" w:cs="Times New Roman"/>
          <w:sz w:val="24"/>
          <w:lang w:val="en-US"/>
        </w:rPr>
      </w:pPr>
      <w:r w:rsidRPr="002E25AD">
        <w:rPr>
          <w:b/>
          <w:lang w:val="en-US"/>
        </w:rPr>
        <w:fldChar w:fldCharType="begin"/>
      </w:r>
      <w:r w:rsidR="00684B3D" w:rsidRPr="002E25AD">
        <w:rPr>
          <w:b/>
          <w:lang w:val="en-US"/>
        </w:rPr>
        <w:instrText xml:space="preserve"> ADDIN ZOTERO_BIBL {"uncited":[],"omitted":[],"custom":[]} CSL_BIBLIOGRAPHY </w:instrText>
      </w:r>
      <w:r w:rsidRPr="002E25AD">
        <w:rPr>
          <w:b/>
          <w:lang w:val="en-US"/>
        </w:rPr>
        <w:fldChar w:fldCharType="separate"/>
      </w:r>
      <w:r w:rsidR="00DB47CE" w:rsidRPr="002E25AD">
        <w:rPr>
          <w:rFonts w:ascii="Times New Roman" w:hAnsi="Times New Roman" w:cs="Times New Roman"/>
          <w:sz w:val="24"/>
          <w:lang w:val="en-US"/>
        </w:rPr>
        <w:t xml:space="preserve">1. </w:t>
      </w:r>
      <w:r w:rsidR="00DB47CE" w:rsidRPr="002E25AD">
        <w:rPr>
          <w:rFonts w:ascii="Times New Roman" w:hAnsi="Times New Roman" w:cs="Times New Roman"/>
          <w:sz w:val="24"/>
          <w:lang w:val="en-US"/>
        </w:rPr>
        <w:tab/>
        <w:t xml:space="preserve">Maritim AC, Sanders RA, Watkins JB. Diabetes, oxidative stress, and antioxidants: a review. J Biochem Mol Toxicol. 2003;17(1):24–38. </w:t>
      </w:r>
    </w:p>
    <w:p w14:paraId="02FA4E90"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2. </w:t>
      </w:r>
      <w:r w:rsidRPr="002E25AD">
        <w:rPr>
          <w:rFonts w:ascii="Times New Roman" w:hAnsi="Times New Roman" w:cs="Times New Roman"/>
          <w:sz w:val="24"/>
          <w:lang w:val="en-US"/>
        </w:rPr>
        <w:tab/>
        <w:t xml:space="preserve">Benzie IFF, Choi S-W. Antioxidants in Food. Adv Food Nutr Res. 2014 Jan 1;71:1–53. </w:t>
      </w:r>
    </w:p>
    <w:p w14:paraId="57A490E6"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3. </w:t>
      </w:r>
      <w:r w:rsidRPr="002E25AD">
        <w:rPr>
          <w:rFonts w:ascii="Times New Roman" w:hAnsi="Times New Roman" w:cs="Times New Roman"/>
          <w:sz w:val="24"/>
          <w:lang w:val="en-US"/>
        </w:rPr>
        <w:tab/>
        <w:t xml:space="preserve">Linnane AW, Kios M, Vitetta L. Healthy aging: regulation of the metabolome by cellular redox modulation and prooxidant signaling systems: the essential roles of superoxide anion and hydrogen peroxide. Biogerontology. 2007 Oct;8(5):445–67. </w:t>
      </w:r>
    </w:p>
    <w:p w14:paraId="5F57B64D"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4. </w:t>
      </w:r>
      <w:r w:rsidRPr="002E25AD">
        <w:rPr>
          <w:rFonts w:ascii="Times New Roman" w:hAnsi="Times New Roman" w:cs="Times New Roman"/>
          <w:sz w:val="24"/>
          <w:lang w:val="en-US"/>
        </w:rPr>
        <w:tab/>
        <w:t xml:space="preserve">Bouayed J, Bohn T. Exogenous antioxidants—Double-edged swords in cellular redox state. Oxid Med Cell Longev. 2010;3(4):228–37. </w:t>
      </w:r>
    </w:p>
    <w:p w14:paraId="42F98449" w14:textId="77777777" w:rsidR="00DB47CE" w:rsidRPr="002E25AD" w:rsidRDefault="00DB47CE" w:rsidP="00DB47CE">
      <w:pPr>
        <w:pStyle w:val="Bibliography"/>
        <w:rPr>
          <w:rFonts w:ascii="Times New Roman" w:hAnsi="Times New Roman" w:cs="Times New Roman"/>
          <w:sz w:val="24"/>
        </w:rPr>
      </w:pPr>
      <w:r w:rsidRPr="002E25AD">
        <w:rPr>
          <w:rFonts w:ascii="Times New Roman" w:hAnsi="Times New Roman" w:cs="Times New Roman"/>
          <w:sz w:val="24"/>
          <w:lang w:val="en-US"/>
        </w:rPr>
        <w:t xml:space="preserve">5. </w:t>
      </w:r>
      <w:r w:rsidRPr="002E25AD">
        <w:rPr>
          <w:rFonts w:ascii="Times New Roman" w:hAnsi="Times New Roman" w:cs="Times New Roman"/>
          <w:sz w:val="24"/>
          <w:lang w:val="en-US"/>
        </w:rPr>
        <w:tab/>
        <w:t xml:space="preserve">Montonen J, Knekt P, Järvinen R, Reunanen A. Dietary antioxidant intake and risk of type 2 diabetes. </w:t>
      </w:r>
      <w:r w:rsidRPr="002E25AD">
        <w:rPr>
          <w:rFonts w:ascii="Times New Roman" w:hAnsi="Times New Roman" w:cs="Times New Roman"/>
          <w:sz w:val="24"/>
        </w:rPr>
        <w:t xml:space="preserve">Diabetes Care. 2004 Feb;27(2):362–6. </w:t>
      </w:r>
    </w:p>
    <w:p w14:paraId="7954B5F7"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rPr>
        <w:t xml:space="preserve">6. </w:t>
      </w:r>
      <w:r w:rsidRPr="002E25AD">
        <w:rPr>
          <w:rFonts w:ascii="Times New Roman" w:hAnsi="Times New Roman" w:cs="Times New Roman"/>
          <w:sz w:val="24"/>
        </w:rPr>
        <w:tab/>
        <w:t xml:space="preserve">Sluijs I, Cadier E, Beulens JWJ, van der A DL, Spijkerman AMW, van der Schouw YT. </w:t>
      </w:r>
      <w:r w:rsidRPr="002E25AD">
        <w:rPr>
          <w:rFonts w:ascii="Times New Roman" w:hAnsi="Times New Roman" w:cs="Times New Roman"/>
          <w:sz w:val="24"/>
          <w:lang w:val="en-US"/>
        </w:rPr>
        <w:t xml:space="preserve">Dietary intake of carotenoids and risk of type 2 diabetes. Nutr Metab Cardiovasc Dis NMCD. 2015 Apr;25(4):376–81. </w:t>
      </w:r>
    </w:p>
    <w:p w14:paraId="41D5AF94"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7. </w:t>
      </w:r>
      <w:r w:rsidRPr="002E25AD">
        <w:rPr>
          <w:rFonts w:ascii="Times New Roman" w:hAnsi="Times New Roman" w:cs="Times New Roman"/>
          <w:sz w:val="24"/>
          <w:lang w:val="en-US"/>
        </w:rPr>
        <w:tab/>
        <w:t xml:space="preserve">Psaltopoulou T, Panagiotakos DB, Pitsavos C, Chrysochoou C, Detopoulou P, Skoumas J, et al. Dietary antioxidant capacity is inversely associated with diabetes biomarkers: the ATTICA study. Nutr Metab Cardiovasc Dis NMCD. 2011 Aug;21(8):561–7. </w:t>
      </w:r>
    </w:p>
    <w:p w14:paraId="3DBD9B81"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8. </w:t>
      </w:r>
      <w:r w:rsidRPr="002E25AD">
        <w:rPr>
          <w:rFonts w:ascii="Times New Roman" w:hAnsi="Times New Roman" w:cs="Times New Roman"/>
          <w:sz w:val="24"/>
          <w:lang w:val="en-US"/>
        </w:rPr>
        <w:tab/>
        <w:t xml:space="preserve">Okubo H, Syddall HE, Phillips DIW, Sayer AA, Dennison EM, Cooper C, et al. Dietary total antioxidant capacity is related to glucose tolerance in older people: the Hertfordshire Cohort Study. Nutr Metab Cardiovasc Dis NMCD. 2014 Mar;24(3):301–8. </w:t>
      </w:r>
    </w:p>
    <w:p w14:paraId="2E037C6E" w14:textId="77777777" w:rsidR="00DB47CE" w:rsidRPr="002E25AD" w:rsidRDefault="00DB47CE" w:rsidP="00DB47CE">
      <w:pPr>
        <w:pStyle w:val="Bibliography"/>
        <w:rPr>
          <w:rFonts w:ascii="Times New Roman" w:hAnsi="Times New Roman" w:cs="Times New Roman"/>
          <w:sz w:val="24"/>
        </w:rPr>
      </w:pPr>
      <w:r w:rsidRPr="002E25AD">
        <w:rPr>
          <w:rFonts w:ascii="Times New Roman" w:hAnsi="Times New Roman" w:cs="Times New Roman"/>
          <w:sz w:val="24"/>
          <w:lang w:val="en-US"/>
        </w:rPr>
        <w:t xml:space="preserve">9. </w:t>
      </w:r>
      <w:r w:rsidRPr="002E25AD">
        <w:rPr>
          <w:rFonts w:ascii="Times New Roman" w:hAnsi="Times New Roman" w:cs="Times New Roman"/>
          <w:sz w:val="24"/>
          <w:lang w:val="en-US"/>
        </w:rPr>
        <w:tab/>
        <w:t xml:space="preserve">Pellegrini N, Salvatore S, Valtueña S, Bedogni G, Porrini M, Pala V, et al. Development and Validation of a Food Frequency Questionnaire for the Assessment of Dietary Total Antioxidant Capacity. </w:t>
      </w:r>
      <w:r w:rsidRPr="002E25AD">
        <w:rPr>
          <w:rFonts w:ascii="Times New Roman" w:hAnsi="Times New Roman" w:cs="Times New Roman"/>
          <w:sz w:val="24"/>
        </w:rPr>
        <w:t xml:space="preserve">J Nutr. 2007 Jan 1;137(1):93–8. </w:t>
      </w:r>
    </w:p>
    <w:p w14:paraId="56C95643"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rPr>
        <w:t xml:space="preserve">10. </w:t>
      </w:r>
      <w:r w:rsidRPr="002E25AD">
        <w:rPr>
          <w:rFonts w:ascii="Times New Roman" w:hAnsi="Times New Roman" w:cs="Times New Roman"/>
          <w:sz w:val="24"/>
        </w:rPr>
        <w:tab/>
        <w:t xml:space="preserve">Carlsen MH, Halvorsen BL, Holte K, Bøhn SK, Dragland S, Sampson L, et al. </w:t>
      </w:r>
      <w:r w:rsidRPr="002E25AD">
        <w:rPr>
          <w:rFonts w:ascii="Times New Roman" w:hAnsi="Times New Roman" w:cs="Times New Roman"/>
          <w:sz w:val="24"/>
          <w:lang w:val="en-US"/>
        </w:rPr>
        <w:t xml:space="preserve">The total antioxidant content of more than 3100 foods, beverages, spices, herbs and supplements used worldwide. Nutr J. 2010 Jan 22;9:3. </w:t>
      </w:r>
    </w:p>
    <w:p w14:paraId="04FF1B11"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11. </w:t>
      </w:r>
      <w:r w:rsidRPr="002E25AD">
        <w:rPr>
          <w:rFonts w:ascii="Times New Roman" w:hAnsi="Times New Roman" w:cs="Times New Roman"/>
          <w:sz w:val="24"/>
          <w:lang w:val="en-US"/>
        </w:rPr>
        <w:tab/>
        <w:t xml:space="preserve">Harasym J, Oledzki R. Effect of fruit and vegetable antioxidants on total antioxidant capacity of blood plasma. Nutrition. 2014 May 1;30(5):511–7. </w:t>
      </w:r>
    </w:p>
    <w:p w14:paraId="49BDFCAB"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12. </w:t>
      </w:r>
      <w:r w:rsidRPr="002E25AD">
        <w:rPr>
          <w:rFonts w:ascii="Times New Roman" w:hAnsi="Times New Roman" w:cs="Times New Roman"/>
          <w:sz w:val="24"/>
          <w:lang w:val="en-US"/>
        </w:rPr>
        <w:tab/>
        <w:t xml:space="preserve">Qureshi SA, Lund AC, Veierød MB, Carlsen MH, Blomhoff R, Andersen LF, et al. Food items contributing most to variation in antioxidant intake; a cross-sectional study among Norwegian women. BMC Public Health. 2014 Jan 16;14:45. </w:t>
      </w:r>
    </w:p>
    <w:p w14:paraId="18930D61" w14:textId="77777777" w:rsidR="00DB47CE" w:rsidRPr="002E25AD" w:rsidRDefault="00DB47CE" w:rsidP="00DB47CE">
      <w:pPr>
        <w:pStyle w:val="Bibliography"/>
        <w:rPr>
          <w:rFonts w:ascii="Times New Roman" w:hAnsi="Times New Roman" w:cs="Times New Roman"/>
          <w:sz w:val="24"/>
        </w:rPr>
      </w:pPr>
      <w:r w:rsidRPr="002E25AD">
        <w:rPr>
          <w:rFonts w:ascii="Times New Roman" w:hAnsi="Times New Roman" w:cs="Times New Roman"/>
          <w:sz w:val="24"/>
          <w:lang w:val="en-US"/>
        </w:rPr>
        <w:t xml:space="preserve">13. </w:t>
      </w:r>
      <w:r w:rsidRPr="002E25AD">
        <w:rPr>
          <w:rFonts w:ascii="Times New Roman" w:hAnsi="Times New Roman" w:cs="Times New Roman"/>
          <w:sz w:val="24"/>
          <w:lang w:val="en-US"/>
        </w:rPr>
        <w:tab/>
        <w:t xml:space="preserve">Mancini FR, Affret A, Dow C, Balkau B, Bonnet F, Boutron-Ruault M-C, et al. Dietary antioxidant capacity and risk of type 2 diabetes in the large prospective E3N-EPIC cohort. </w:t>
      </w:r>
      <w:r w:rsidRPr="002E25AD">
        <w:rPr>
          <w:rFonts w:ascii="Times New Roman" w:hAnsi="Times New Roman" w:cs="Times New Roman"/>
          <w:sz w:val="24"/>
        </w:rPr>
        <w:t xml:space="preserve">Diabetologia. 2017 Nov 9; </w:t>
      </w:r>
    </w:p>
    <w:p w14:paraId="5C75133C" w14:textId="77777777" w:rsidR="00DB47CE" w:rsidRPr="002E25AD" w:rsidRDefault="00DB47CE" w:rsidP="00DB47CE">
      <w:pPr>
        <w:pStyle w:val="Bibliography"/>
        <w:rPr>
          <w:rFonts w:ascii="Times New Roman" w:hAnsi="Times New Roman" w:cs="Times New Roman"/>
          <w:sz w:val="24"/>
        </w:rPr>
      </w:pPr>
      <w:r w:rsidRPr="002E25AD">
        <w:rPr>
          <w:rFonts w:ascii="Times New Roman" w:hAnsi="Times New Roman" w:cs="Times New Roman"/>
          <w:sz w:val="24"/>
        </w:rPr>
        <w:t xml:space="preserve">14. </w:t>
      </w:r>
      <w:r w:rsidRPr="002E25AD">
        <w:rPr>
          <w:rFonts w:ascii="Times New Roman" w:hAnsi="Times New Roman" w:cs="Times New Roman"/>
          <w:sz w:val="24"/>
        </w:rPr>
        <w:tab/>
        <w:t xml:space="preserve">Hofman A, Grobbee DE, de Jong PT, van den Ouweland FA. </w:t>
      </w:r>
      <w:r w:rsidRPr="002E25AD">
        <w:rPr>
          <w:rFonts w:ascii="Times New Roman" w:hAnsi="Times New Roman" w:cs="Times New Roman"/>
          <w:sz w:val="24"/>
          <w:lang w:val="en-US"/>
        </w:rPr>
        <w:t xml:space="preserve">Determinants of disease and disability in the elderly: the Rotterdam Elderly Study. </w:t>
      </w:r>
      <w:r w:rsidRPr="002E25AD">
        <w:rPr>
          <w:rFonts w:ascii="Times New Roman" w:hAnsi="Times New Roman" w:cs="Times New Roman"/>
          <w:sz w:val="24"/>
        </w:rPr>
        <w:t xml:space="preserve">Eur J Epidemiol. 1991 Jul;7(4):403–22. </w:t>
      </w:r>
    </w:p>
    <w:p w14:paraId="126FCC33" w14:textId="77777777" w:rsidR="00DB47CE" w:rsidRPr="002E25AD" w:rsidRDefault="00DB47CE" w:rsidP="00DB47CE">
      <w:pPr>
        <w:pStyle w:val="Bibliography"/>
        <w:rPr>
          <w:rFonts w:ascii="Times New Roman" w:hAnsi="Times New Roman" w:cs="Times New Roman"/>
          <w:sz w:val="24"/>
        </w:rPr>
      </w:pPr>
      <w:r w:rsidRPr="002E25AD">
        <w:rPr>
          <w:rFonts w:ascii="Times New Roman" w:hAnsi="Times New Roman" w:cs="Times New Roman"/>
          <w:sz w:val="24"/>
        </w:rPr>
        <w:lastRenderedPageBreak/>
        <w:t xml:space="preserve">15. </w:t>
      </w:r>
      <w:r w:rsidRPr="002E25AD">
        <w:rPr>
          <w:rFonts w:ascii="Times New Roman" w:hAnsi="Times New Roman" w:cs="Times New Roman"/>
          <w:sz w:val="24"/>
        </w:rPr>
        <w:tab/>
        <w:t xml:space="preserve">Voortman T, Jong JCK, Ikram MA, Stricker BH, Rooij FJA van, Lahousse L, et al. </w:t>
      </w:r>
      <w:r w:rsidRPr="002E25AD">
        <w:rPr>
          <w:rFonts w:ascii="Times New Roman" w:hAnsi="Times New Roman" w:cs="Times New Roman"/>
          <w:sz w:val="24"/>
          <w:lang w:val="en-US"/>
        </w:rPr>
        <w:t xml:space="preserve">Adherence to the 2015 Dutch dietary guidelines and risk of non-communicable diseases and mortality in the Rotterdam Study. </w:t>
      </w:r>
      <w:r w:rsidRPr="002E25AD">
        <w:rPr>
          <w:rFonts w:ascii="Times New Roman" w:hAnsi="Times New Roman" w:cs="Times New Roman"/>
          <w:sz w:val="24"/>
        </w:rPr>
        <w:t xml:space="preserve">Eur J Epidemiol. 2017 Aug 19;1–13. </w:t>
      </w:r>
    </w:p>
    <w:p w14:paraId="65F98D7A" w14:textId="77777777" w:rsidR="00DB47CE" w:rsidRPr="002E25AD" w:rsidRDefault="00DB47CE" w:rsidP="00DB47CE">
      <w:pPr>
        <w:pStyle w:val="Bibliography"/>
        <w:rPr>
          <w:rFonts w:ascii="Times New Roman" w:hAnsi="Times New Roman" w:cs="Times New Roman"/>
          <w:sz w:val="24"/>
        </w:rPr>
      </w:pPr>
      <w:r w:rsidRPr="002E25AD">
        <w:rPr>
          <w:rFonts w:ascii="Times New Roman" w:hAnsi="Times New Roman" w:cs="Times New Roman"/>
          <w:sz w:val="24"/>
        </w:rPr>
        <w:t xml:space="preserve">16. </w:t>
      </w:r>
      <w:r w:rsidRPr="002E25AD">
        <w:rPr>
          <w:rFonts w:ascii="Times New Roman" w:hAnsi="Times New Roman" w:cs="Times New Roman"/>
          <w:sz w:val="24"/>
        </w:rPr>
        <w:tab/>
        <w:t xml:space="preserve">Klipstein-Grobusch K, den Breeijen JH, Goldbohm RA, Geleijnse JM, Hofman A, Grobbee DE, et al. </w:t>
      </w:r>
      <w:r w:rsidRPr="002E25AD">
        <w:rPr>
          <w:rFonts w:ascii="Times New Roman" w:hAnsi="Times New Roman" w:cs="Times New Roman"/>
          <w:sz w:val="24"/>
          <w:lang w:val="en-US"/>
        </w:rPr>
        <w:t xml:space="preserve">Dietary assessment in the elderly: validation of a semiquantitative food frequency questionnaire. </w:t>
      </w:r>
      <w:r w:rsidRPr="002E25AD">
        <w:rPr>
          <w:rFonts w:ascii="Times New Roman" w:hAnsi="Times New Roman" w:cs="Times New Roman"/>
          <w:sz w:val="24"/>
        </w:rPr>
        <w:t xml:space="preserve">Eur J Clin Nutr. 1998 Aug;52(8):588–96. </w:t>
      </w:r>
    </w:p>
    <w:p w14:paraId="31B57011" w14:textId="77777777" w:rsidR="00DB47CE" w:rsidRPr="002E25AD" w:rsidRDefault="00DB47CE" w:rsidP="00DB47CE">
      <w:pPr>
        <w:pStyle w:val="Bibliography"/>
        <w:rPr>
          <w:rFonts w:ascii="Times New Roman" w:hAnsi="Times New Roman" w:cs="Times New Roman"/>
          <w:sz w:val="24"/>
        </w:rPr>
      </w:pPr>
      <w:r w:rsidRPr="002E25AD">
        <w:rPr>
          <w:rFonts w:ascii="Times New Roman" w:hAnsi="Times New Roman" w:cs="Times New Roman"/>
          <w:sz w:val="24"/>
        </w:rPr>
        <w:t xml:space="preserve">17. </w:t>
      </w:r>
      <w:r w:rsidRPr="002E25AD">
        <w:rPr>
          <w:rFonts w:ascii="Times New Roman" w:hAnsi="Times New Roman" w:cs="Times New Roman"/>
          <w:sz w:val="24"/>
        </w:rPr>
        <w:tab/>
        <w:t xml:space="preserve">Goldbohm RA, van den Brandt PA, Brants HA, van’t Veer P, Al M, Sturmans F, et al. </w:t>
      </w:r>
      <w:r w:rsidRPr="002E25AD">
        <w:rPr>
          <w:rFonts w:ascii="Times New Roman" w:hAnsi="Times New Roman" w:cs="Times New Roman"/>
          <w:sz w:val="24"/>
          <w:lang w:val="en-US"/>
        </w:rPr>
        <w:t xml:space="preserve">Validation of a dietary questionnaire used in a large-scale prospective cohort study on diet and cancer. </w:t>
      </w:r>
      <w:r w:rsidRPr="002E25AD">
        <w:rPr>
          <w:rFonts w:ascii="Times New Roman" w:hAnsi="Times New Roman" w:cs="Times New Roman"/>
          <w:sz w:val="24"/>
        </w:rPr>
        <w:t xml:space="preserve">Eur J Clin Nutr. 1994 Apr;48(4):253–65. </w:t>
      </w:r>
    </w:p>
    <w:p w14:paraId="1899017D"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rPr>
        <w:t xml:space="preserve">18. </w:t>
      </w:r>
      <w:r w:rsidRPr="002E25AD">
        <w:rPr>
          <w:rFonts w:ascii="Times New Roman" w:hAnsi="Times New Roman" w:cs="Times New Roman"/>
          <w:sz w:val="24"/>
        </w:rPr>
        <w:tab/>
        <w:t xml:space="preserve">Feunekes GI, Van Staveren WA, De Vries JH, Burema J, Hautvast JG. </w:t>
      </w:r>
      <w:r w:rsidRPr="002E25AD">
        <w:rPr>
          <w:rFonts w:ascii="Times New Roman" w:hAnsi="Times New Roman" w:cs="Times New Roman"/>
          <w:sz w:val="24"/>
          <w:lang w:val="en-US"/>
        </w:rPr>
        <w:t xml:space="preserve">Relative and biomarker-based validity of a food-frequency questionnaire estimating intake of fats and cholesterol. Am J Clin Nutr. 1993 Oct;58(4):489–96. </w:t>
      </w:r>
    </w:p>
    <w:p w14:paraId="40DACC8F"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19. </w:t>
      </w:r>
      <w:r w:rsidRPr="002E25AD">
        <w:rPr>
          <w:rFonts w:ascii="Times New Roman" w:hAnsi="Times New Roman" w:cs="Times New Roman"/>
          <w:sz w:val="24"/>
          <w:lang w:val="en-US"/>
        </w:rPr>
        <w:tab/>
        <w:t xml:space="preserve">Benzie IFF, Strain JJ. The Ferric Reducing Ability of Plasma (FRAP) as a Measure of “Antioxidant Power”: The FRAP Assay. Anal Biochem. 1996 Jul 15;239(1):70–6. </w:t>
      </w:r>
    </w:p>
    <w:p w14:paraId="24E673FA"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20. </w:t>
      </w:r>
      <w:r w:rsidRPr="002E25AD">
        <w:rPr>
          <w:rFonts w:ascii="Times New Roman" w:hAnsi="Times New Roman" w:cs="Times New Roman"/>
          <w:sz w:val="24"/>
          <w:lang w:val="en-US"/>
        </w:rPr>
        <w:tab/>
        <w:t xml:space="preserve">Neeley WE. Simple automated determination of serum or plasma glucose by a hexokinase-glucose-6 -phosphate dehydrogenase method. Clin Chem. 1972 Jun;18(6):509–15. </w:t>
      </w:r>
    </w:p>
    <w:p w14:paraId="37FBF21F"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21. </w:t>
      </w:r>
      <w:r w:rsidRPr="002E25AD">
        <w:rPr>
          <w:rFonts w:ascii="Times New Roman" w:hAnsi="Times New Roman" w:cs="Times New Roman"/>
          <w:sz w:val="24"/>
          <w:lang w:val="en-US"/>
        </w:rPr>
        <w:tab/>
        <w:t xml:space="preserve">World Health Organization. Definition and diagnosis of diabetes mellitus and intermediate hyperglycaemia: Report of a WHO/IDF Consultation. Geneva; 2006 p. 1–50. </w:t>
      </w:r>
    </w:p>
    <w:p w14:paraId="578460DC" w14:textId="77777777" w:rsidR="00DB47CE" w:rsidRPr="002E25AD" w:rsidRDefault="00DB47CE" w:rsidP="00DB47CE">
      <w:pPr>
        <w:pStyle w:val="Bibliography"/>
        <w:rPr>
          <w:rFonts w:ascii="Times New Roman" w:hAnsi="Times New Roman" w:cs="Times New Roman"/>
          <w:sz w:val="24"/>
        </w:rPr>
      </w:pPr>
      <w:r w:rsidRPr="002E25AD">
        <w:rPr>
          <w:rFonts w:ascii="Times New Roman" w:hAnsi="Times New Roman" w:cs="Times New Roman"/>
          <w:sz w:val="24"/>
          <w:lang w:val="en-US"/>
        </w:rPr>
        <w:t xml:space="preserve">22. </w:t>
      </w:r>
      <w:r w:rsidRPr="002E25AD">
        <w:rPr>
          <w:rFonts w:ascii="Times New Roman" w:hAnsi="Times New Roman" w:cs="Times New Roman"/>
          <w:sz w:val="24"/>
          <w:lang w:val="en-US"/>
        </w:rPr>
        <w:tab/>
        <w:t xml:space="preserve">Ligthart S, van Herpt TT, Leening MJ, Kavousi M, Hofman A, Stricker BH, et al. Lifetime risk of developing impaired glucose metabolism and eventual progression from prediabetes to type 2 diabetes: a prospective cohort study. </w:t>
      </w:r>
      <w:r w:rsidRPr="002E25AD">
        <w:rPr>
          <w:rFonts w:ascii="Times New Roman" w:hAnsi="Times New Roman" w:cs="Times New Roman"/>
          <w:sz w:val="24"/>
        </w:rPr>
        <w:t xml:space="preserve">Lancet Diabetes Endocrinol. 2016 Jan;4(1):44–51. </w:t>
      </w:r>
    </w:p>
    <w:p w14:paraId="0C84AA59"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rPr>
        <w:t xml:space="preserve">23. </w:t>
      </w:r>
      <w:r w:rsidRPr="002E25AD">
        <w:rPr>
          <w:rFonts w:ascii="Times New Roman" w:hAnsi="Times New Roman" w:cs="Times New Roman"/>
          <w:sz w:val="24"/>
        </w:rPr>
        <w:tab/>
        <w:t xml:space="preserve">Vitezova A, Voortman T, Zillikens MC, Jansen PW, Hofman A, Uitterlinden AG, et al. </w:t>
      </w:r>
      <w:r w:rsidRPr="002E25AD">
        <w:rPr>
          <w:rFonts w:ascii="Times New Roman" w:hAnsi="Times New Roman" w:cs="Times New Roman"/>
          <w:sz w:val="24"/>
          <w:lang w:val="en-US"/>
        </w:rPr>
        <w:t xml:space="preserve">Bidirectional associations between circulating vitamin D and cholesterol levels: The Rotterdam Study. Maturitas. 2015 Dec 1;82(4):411–7. </w:t>
      </w:r>
    </w:p>
    <w:p w14:paraId="5887C450"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24. </w:t>
      </w:r>
      <w:r w:rsidRPr="002E25AD">
        <w:rPr>
          <w:rFonts w:ascii="Times New Roman" w:hAnsi="Times New Roman" w:cs="Times New Roman"/>
          <w:sz w:val="24"/>
          <w:lang w:val="en-US"/>
        </w:rPr>
        <w:tab/>
        <w:t xml:space="preserve">Hofman A, Brusselle GG, Darwish Murad S, van Duijn CM, Franco OH, Goedegebure A, et al. The Rotterdam Study: 2016 objectives and design update. Eur J Epidemiol. 2015 Aug;30(8):661–708. </w:t>
      </w:r>
    </w:p>
    <w:p w14:paraId="6B8322CD"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25. </w:t>
      </w:r>
      <w:r w:rsidRPr="002E25AD">
        <w:rPr>
          <w:rFonts w:ascii="Times New Roman" w:hAnsi="Times New Roman" w:cs="Times New Roman"/>
          <w:sz w:val="24"/>
          <w:lang w:val="en-US"/>
        </w:rPr>
        <w:tab/>
        <w:t xml:space="preserve">Salonen JT, Nyyssönen K, Tuomainen TP, Mäenpää PH, Korpela H, Kaplan GA, et al. Increased risk of non-insulin dependent diabetes mellitus at low plasma vitamin E concentrations: a four year follow up study in men. BMJ. 1995 Oct 28;311(7013):1124–7. </w:t>
      </w:r>
    </w:p>
    <w:p w14:paraId="20DB0856"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26. </w:t>
      </w:r>
      <w:r w:rsidRPr="002E25AD">
        <w:rPr>
          <w:rFonts w:ascii="Times New Roman" w:hAnsi="Times New Roman" w:cs="Times New Roman"/>
          <w:sz w:val="24"/>
          <w:lang w:val="en-US"/>
        </w:rPr>
        <w:tab/>
        <w:t xml:space="preserve">Evans JL, Goldfine ID, Maddux BA, Grodsky GM. Are oxidative stress-activated signaling pathways mediators of insulin resistance and beta-cell dysfunction? Diabetes. 2003 Jan;52(1):1–8. </w:t>
      </w:r>
    </w:p>
    <w:p w14:paraId="0DDB9A72"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27. </w:t>
      </w:r>
      <w:r w:rsidRPr="002E25AD">
        <w:rPr>
          <w:rFonts w:ascii="Times New Roman" w:hAnsi="Times New Roman" w:cs="Times New Roman"/>
          <w:sz w:val="24"/>
          <w:lang w:val="en-US"/>
        </w:rPr>
        <w:tab/>
        <w:t xml:space="preserve">Newsholme P, Haber EP, Hirabara SM, Rebelato ELO, Procopio J, Morgan D, et al. Diabetes associated cell stress and dysfunction: role of mitochondrial and non-mitochondrial ROS production and activity. J Physiol. 2007 Aug 15;583(Pt 1):9–24. </w:t>
      </w:r>
    </w:p>
    <w:p w14:paraId="3CC0BAAA"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lastRenderedPageBreak/>
        <w:t xml:space="preserve">28. </w:t>
      </w:r>
      <w:r w:rsidRPr="002E25AD">
        <w:rPr>
          <w:rFonts w:ascii="Times New Roman" w:hAnsi="Times New Roman" w:cs="Times New Roman"/>
          <w:sz w:val="24"/>
          <w:lang w:val="en-US"/>
        </w:rPr>
        <w:tab/>
        <w:t xml:space="preserve">Kaneto H, Kajimoto Y, Miyagawa J, Matsuoka T, Fujitani Y, Umayahara Y, et al. Beneficial effects of antioxidants in diabetes: possible protection of pancreatic beta-cells against glucose toxicity. Diabetes. 1999 Dec;48(12):2398–406. </w:t>
      </w:r>
    </w:p>
    <w:p w14:paraId="48C5EEE3"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29. </w:t>
      </w:r>
      <w:r w:rsidRPr="002E25AD">
        <w:rPr>
          <w:rFonts w:ascii="Times New Roman" w:hAnsi="Times New Roman" w:cs="Times New Roman"/>
          <w:sz w:val="24"/>
          <w:lang w:val="en-US"/>
        </w:rPr>
        <w:tab/>
        <w:t xml:space="preserve">Prentki M, Nolan CJ. Islet </w:t>
      </w:r>
      <w:r w:rsidRPr="002E25AD">
        <w:rPr>
          <w:rFonts w:ascii="Times New Roman" w:hAnsi="Times New Roman" w:cs="Times New Roman"/>
          <w:sz w:val="24"/>
        </w:rPr>
        <w:t>β</w:t>
      </w:r>
      <w:r w:rsidRPr="002E25AD">
        <w:rPr>
          <w:rFonts w:ascii="Times New Roman" w:hAnsi="Times New Roman" w:cs="Times New Roman"/>
          <w:sz w:val="24"/>
          <w:lang w:val="en-US"/>
        </w:rPr>
        <w:t xml:space="preserve"> cell failure in type 2 diabetes. J Clin Invest. 2006 Jul 3;116(7):1802–12. </w:t>
      </w:r>
    </w:p>
    <w:p w14:paraId="6C6A6037"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30. </w:t>
      </w:r>
      <w:r w:rsidRPr="002E25AD">
        <w:rPr>
          <w:rFonts w:ascii="Times New Roman" w:hAnsi="Times New Roman" w:cs="Times New Roman"/>
          <w:sz w:val="24"/>
          <w:lang w:val="en-US"/>
        </w:rPr>
        <w:tab/>
        <w:t xml:space="preserve">Blaak E. Gender differences in fat metabolism. Curr Opin Clin Nutr Metab Care. 2001 Nov;4(6):499–502. </w:t>
      </w:r>
    </w:p>
    <w:p w14:paraId="47FA1172"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31. </w:t>
      </w:r>
      <w:r w:rsidRPr="002E25AD">
        <w:rPr>
          <w:rFonts w:ascii="Times New Roman" w:hAnsi="Times New Roman" w:cs="Times New Roman"/>
          <w:sz w:val="24"/>
          <w:lang w:val="en-US"/>
        </w:rPr>
        <w:tab/>
        <w:t xml:space="preserve">Fujita K, Nishizawa H, Funahashi T, Shimomura I, Shimabukuro M. Systemic oxidative stress is associated with visceral fat accumulation and the metabolic syndrome. Circ J Off J Jpn Circ Soc. 2006 Nov;70(11):1437–42. </w:t>
      </w:r>
    </w:p>
    <w:p w14:paraId="5F7C18CE"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32. </w:t>
      </w:r>
      <w:r w:rsidRPr="002E25AD">
        <w:rPr>
          <w:rFonts w:ascii="Times New Roman" w:hAnsi="Times New Roman" w:cs="Times New Roman"/>
          <w:sz w:val="24"/>
          <w:lang w:val="en-US"/>
        </w:rPr>
        <w:tab/>
        <w:t xml:space="preserve">Mirmiran P, Carlström M, Bahadoran Z, Azizi F. Long-term effects of coffee and caffeine intake on the risk of pre-diabetes and type 2 diabetes: Findings from a population with low coffee consumption. Nutr Metab Cardiovasc Dis NMCD. 2018;28(12):1261–6. </w:t>
      </w:r>
    </w:p>
    <w:p w14:paraId="36D0813C"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33. </w:t>
      </w:r>
      <w:r w:rsidRPr="002E25AD">
        <w:rPr>
          <w:rFonts w:ascii="Times New Roman" w:hAnsi="Times New Roman" w:cs="Times New Roman"/>
          <w:sz w:val="24"/>
          <w:lang w:val="en-US"/>
        </w:rPr>
        <w:tab/>
        <w:t xml:space="preserve">Bhupathiraju SN, Pan A, Manson JE, Willett WC, van Dam RM, Hu FB. Changes in coffee intake and subsequent risk of type 2 diabetes: three large cohorts of US men and women. Diabetologia. 2014 Jul;57(7):1346–54. </w:t>
      </w:r>
    </w:p>
    <w:p w14:paraId="77FAB1EF"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34. </w:t>
      </w:r>
      <w:r w:rsidRPr="002E25AD">
        <w:rPr>
          <w:rFonts w:ascii="Times New Roman" w:hAnsi="Times New Roman" w:cs="Times New Roman"/>
          <w:sz w:val="24"/>
          <w:lang w:val="en-US"/>
        </w:rPr>
        <w:tab/>
        <w:t xml:space="preserve">Gao F, Zhang Y, Ge S, Lu H, Chen R, Fang P, et al. Coffee consumption is positively related to insulin secretion in the Shanghai High-Risk Diabetic Screen (SHiDS) Study. Nutr Metab. 2018;15:84. </w:t>
      </w:r>
    </w:p>
    <w:p w14:paraId="6789278A"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35. </w:t>
      </w:r>
      <w:r w:rsidRPr="002E25AD">
        <w:rPr>
          <w:rFonts w:ascii="Times New Roman" w:hAnsi="Times New Roman" w:cs="Times New Roman"/>
          <w:sz w:val="24"/>
          <w:lang w:val="en-US"/>
        </w:rPr>
        <w:tab/>
        <w:t xml:space="preserve">Li M, Fan Y, Zhang X, Hou W, Tang Z. Fruit and vegetable intake and risk of type 2 diabetes mellitus: meta-analysis of prospective cohort studies. BMJ Open. 2014 Nov 1;4(11):e005497. </w:t>
      </w:r>
    </w:p>
    <w:p w14:paraId="13BED3F1"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36. </w:t>
      </w:r>
      <w:r w:rsidRPr="002E25AD">
        <w:rPr>
          <w:rFonts w:ascii="Times New Roman" w:hAnsi="Times New Roman" w:cs="Times New Roman"/>
          <w:sz w:val="24"/>
          <w:lang w:val="en-US"/>
        </w:rPr>
        <w:tab/>
        <w:t xml:space="preserve">Jing Y, Han G, Hu Y, Bi Y, Li L, Zhu D. Tea Consumption and Risk of Type 2 Diabetes: A Meta-Analysis of Cohort Studies. J Gen Intern Med. 2009 May;24(5):557–62. </w:t>
      </w:r>
    </w:p>
    <w:p w14:paraId="1AD5933A" w14:textId="77777777" w:rsidR="00DB47CE" w:rsidRPr="002E25AD" w:rsidRDefault="00DB47CE" w:rsidP="00DB47CE">
      <w:pPr>
        <w:pStyle w:val="Bibliography"/>
        <w:rPr>
          <w:rFonts w:ascii="Times New Roman" w:hAnsi="Times New Roman" w:cs="Times New Roman"/>
          <w:sz w:val="24"/>
          <w:lang w:val="en-US"/>
        </w:rPr>
      </w:pPr>
      <w:r w:rsidRPr="002E25AD">
        <w:rPr>
          <w:rFonts w:ascii="Times New Roman" w:hAnsi="Times New Roman" w:cs="Times New Roman"/>
          <w:sz w:val="24"/>
          <w:lang w:val="en-US"/>
        </w:rPr>
        <w:t xml:space="preserve">37. </w:t>
      </w:r>
      <w:r w:rsidRPr="002E25AD">
        <w:rPr>
          <w:rFonts w:ascii="Times New Roman" w:hAnsi="Times New Roman" w:cs="Times New Roman"/>
          <w:sz w:val="24"/>
          <w:lang w:val="en-US"/>
        </w:rPr>
        <w:tab/>
        <w:t xml:space="preserve">Yuan S, Li X, Jin Y, Lu J. Chocolate Consumption and Risk of Coronary Heart Disease, Stroke, and Diabetes: A Meta-Analysis of Prospective Studies. Nutrients. 2017 Jul 2;9(7). </w:t>
      </w:r>
    </w:p>
    <w:p w14:paraId="766FA0BA" w14:textId="0F1E1BAF" w:rsidR="001D028E" w:rsidRPr="002E25AD" w:rsidRDefault="00094108" w:rsidP="00A62D18">
      <w:pPr>
        <w:rPr>
          <w:rFonts w:ascii="Times New Roman" w:hAnsi="Times New Roman" w:cs="Times New Roman"/>
          <w:b/>
          <w:sz w:val="24"/>
          <w:szCs w:val="24"/>
          <w:lang w:val="en-US"/>
        </w:rPr>
      </w:pPr>
      <w:r w:rsidRPr="002E25AD">
        <w:rPr>
          <w:rFonts w:ascii="Times New Roman" w:hAnsi="Times New Roman" w:cs="Times New Roman"/>
          <w:b/>
          <w:sz w:val="24"/>
          <w:szCs w:val="24"/>
          <w:lang w:val="en-US"/>
        </w:rPr>
        <w:fldChar w:fldCharType="end"/>
      </w:r>
      <w:r w:rsidR="001D028E" w:rsidRPr="002E25AD">
        <w:rPr>
          <w:rFonts w:ascii="Times New Roman" w:hAnsi="Times New Roman" w:cs="Times New Roman"/>
          <w:b/>
          <w:sz w:val="24"/>
          <w:szCs w:val="24"/>
          <w:lang w:val="en-US"/>
        </w:rPr>
        <w:br w:type="page"/>
      </w:r>
    </w:p>
    <w:p w14:paraId="6ED0420D" w14:textId="76711646" w:rsidR="001D028E" w:rsidRPr="002E25AD" w:rsidRDefault="001D028E" w:rsidP="001D028E">
      <w:pPr>
        <w:spacing w:line="480" w:lineRule="auto"/>
        <w:rPr>
          <w:rFonts w:ascii="Times New Roman" w:hAnsi="Times New Roman" w:cs="Times New Roman"/>
          <w:b/>
          <w:sz w:val="24"/>
          <w:szCs w:val="24"/>
          <w:lang w:val="en-US"/>
        </w:rPr>
      </w:pPr>
      <w:r w:rsidRPr="002E25AD">
        <w:rPr>
          <w:rFonts w:ascii="Times New Roman" w:hAnsi="Times New Roman" w:cs="Times New Roman"/>
          <w:b/>
          <w:sz w:val="24"/>
          <w:szCs w:val="24"/>
          <w:lang w:val="en-US"/>
        </w:rPr>
        <w:lastRenderedPageBreak/>
        <w:t>Tables</w:t>
      </w:r>
    </w:p>
    <w:p w14:paraId="08AEAFF0" w14:textId="101CD667" w:rsidR="004C3309" w:rsidRPr="002E25AD" w:rsidRDefault="004C3309" w:rsidP="004C3309">
      <w:pPr>
        <w:pStyle w:val="NoSpacing"/>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Table 1. Baseline characteristics of the study </w:t>
      </w:r>
      <w:r w:rsidR="00A62D18" w:rsidRPr="002E25AD">
        <w:rPr>
          <w:rFonts w:ascii="Times New Roman" w:hAnsi="Times New Roman" w:cs="Times New Roman"/>
          <w:sz w:val="24"/>
          <w:szCs w:val="24"/>
          <w:lang w:val="en-US"/>
        </w:rPr>
        <w:t>population</w:t>
      </w:r>
      <w:r w:rsidR="000A75A5" w:rsidRPr="002E25AD">
        <w:rPr>
          <w:rFonts w:ascii="Times New Roman" w:hAnsi="Times New Roman" w:cs="Times New Roman"/>
          <w:sz w:val="24"/>
          <w:szCs w:val="24"/>
          <w:lang w:val="en-US"/>
        </w:rPr>
        <w:t>.</w:t>
      </w:r>
    </w:p>
    <w:tbl>
      <w:tblPr>
        <w:tblStyle w:val="TableGrid"/>
        <w:tblW w:w="9288" w:type="dxa"/>
        <w:tblLayout w:type="fixed"/>
        <w:tblLook w:val="04A0" w:firstRow="1" w:lastRow="0" w:firstColumn="1" w:lastColumn="0" w:noHBand="0" w:noVBand="1"/>
      </w:tblPr>
      <w:tblGrid>
        <w:gridCol w:w="1526"/>
        <w:gridCol w:w="1701"/>
        <w:gridCol w:w="1417"/>
        <w:gridCol w:w="1701"/>
        <w:gridCol w:w="1630"/>
        <w:gridCol w:w="1313"/>
      </w:tblGrid>
      <w:tr w:rsidR="002E25AD" w:rsidRPr="002E25AD" w14:paraId="390EA6F0" w14:textId="1868B112" w:rsidTr="000208E1">
        <w:trPr>
          <w:trHeight w:val="585"/>
        </w:trPr>
        <w:tc>
          <w:tcPr>
            <w:tcW w:w="1526" w:type="dxa"/>
            <w:vAlign w:val="center"/>
          </w:tcPr>
          <w:p w14:paraId="6AB68EC2" w14:textId="77777777" w:rsidR="006E1050" w:rsidRPr="002E25AD" w:rsidRDefault="006E1050" w:rsidP="006E1050">
            <w:pPr>
              <w:pStyle w:val="NoSpacing"/>
              <w:jc w:val="center"/>
              <w:rPr>
                <w:rFonts w:ascii="Times New Roman" w:hAnsi="Times New Roman" w:cs="Times New Roman"/>
                <w:sz w:val="24"/>
                <w:szCs w:val="24"/>
                <w:lang w:val="en-US"/>
              </w:rPr>
            </w:pPr>
          </w:p>
        </w:tc>
        <w:tc>
          <w:tcPr>
            <w:tcW w:w="1701" w:type="dxa"/>
            <w:vAlign w:val="center"/>
          </w:tcPr>
          <w:p w14:paraId="788F8B01" w14:textId="300CAB1F" w:rsidR="006E1050" w:rsidRPr="002E25AD" w:rsidRDefault="006E1050" w:rsidP="006E1050">
            <w:pPr>
              <w:pStyle w:val="NoSpacing"/>
              <w:jc w:val="center"/>
              <w:rPr>
                <w:rFonts w:ascii="Times New Roman" w:hAnsi="Times New Roman" w:cs="Times New Roman"/>
                <w:sz w:val="24"/>
                <w:szCs w:val="24"/>
                <w:lang w:val="en-US"/>
              </w:rPr>
            </w:pPr>
          </w:p>
        </w:tc>
        <w:tc>
          <w:tcPr>
            <w:tcW w:w="1417" w:type="dxa"/>
            <w:vAlign w:val="center"/>
          </w:tcPr>
          <w:p w14:paraId="1C9EC986" w14:textId="036599F9" w:rsidR="006E1050" w:rsidRPr="002E25AD" w:rsidRDefault="006E1050" w:rsidP="006E1050">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Overall</w:t>
            </w:r>
          </w:p>
          <w:p w14:paraId="78CF9B83" w14:textId="6CFB40A4" w:rsidR="006E1050" w:rsidRPr="002E25AD" w:rsidRDefault="006E1050" w:rsidP="006E1050">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(n = 5,796)</w:t>
            </w:r>
          </w:p>
        </w:tc>
        <w:tc>
          <w:tcPr>
            <w:tcW w:w="1701" w:type="dxa"/>
            <w:vAlign w:val="center"/>
          </w:tcPr>
          <w:p w14:paraId="59DA14C4" w14:textId="150A6B18" w:rsidR="006E1050" w:rsidRPr="002E25AD" w:rsidRDefault="006E1050" w:rsidP="006E1050">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Men</w:t>
            </w:r>
          </w:p>
          <w:p w14:paraId="35D4A019" w14:textId="5E020C83" w:rsidR="006E1050" w:rsidRPr="002E25AD" w:rsidRDefault="006E1050" w:rsidP="006E1050">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(n = 2,266)</w:t>
            </w:r>
          </w:p>
        </w:tc>
        <w:tc>
          <w:tcPr>
            <w:tcW w:w="1630" w:type="dxa"/>
            <w:vAlign w:val="center"/>
          </w:tcPr>
          <w:p w14:paraId="2D91CAD8" w14:textId="6BD0AA64" w:rsidR="006E1050" w:rsidRPr="002E25AD" w:rsidRDefault="006E1050" w:rsidP="006E1050">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Women</w:t>
            </w:r>
          </w:p>
          <w:p w14:paraId="16B3034C" w14:textId="0FA6E19F" w:rsidR="006E1050" w:rsidRPr="002E25AD" w:rsidRDefault="006E1050" w:rsidP="006E1050">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(n = 3,530)</w:t>
            </w:r>
          </w:p>
        </w:tc>
        <w:tc>
          <w:tcPr>
            <w:tcW w:w="1313" w:type="dxa"/>
            <w:vAlign w:val="center"/>
          </w:tcPr>
          <w:p w14:paraId="035DCA19" w14:textId="2B691383" w:rsidR="006E1050" w:rsidRPr="002E25AD" w:rsidRDefault="006E1050" w:rsidP="00020AB4">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P-value for </w:t>
            </w:r>
            <w:r w:rsidR="00020AB4" w:rsidRPr="002E25AD">
              <w:rPr>
                <w:rFonts w:ascii="Times New Roman" w:hAnsi="Times New Roman" w:cs="Times New Roman"/>
                <w:sz w:val="24"/>
                <w:szCs w:val="24"/>
                <w:lang w:val="en-US"/>
              </w:rPr>
              <w:t>difference</w:t>
            </w:r>
            <w:r w:rsidRPr="002E25AD">
              <w:rPr>
                <w:rFonts w:ascii="Times New Roman" w:hAnsi="Times New Roman" w:cs="Times New Roman"/>
                <w:sz w:val="24"/>
                <w:szCs w:val="24"/>
                <w:lang w:val="en-US"/>
              </w:rPr>
              <w:t xml:space="preserve"> between sexes</w:t>
            </w:r>
          </w:p>
        </w:tc>
      </w:tr>
      <w:tr w:rsidR="002E25AD" w:rsidRPr="002E25AD" w14:paraId="761B3336" w14:textId="46EC36CB" w:rsidTr="000208E1">
        <w:trPr>
          <w:trHeight w:val="278"/>
        </w:trPr>
        <w:tc>
          <w:tcPr>
            <w:tcW w:w="1526" w:type="dxa"/>
            <w:vAlign w:val="center"/>
          </w:tcPr>
          <w:p w14:paraId="0AD8DA00" w14:textId="254DECA8"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Age (years)</w:t>
            </w:r>
          </w:p>
        </w:tc>
        <w:tc>
          <w:tcPr>
            <w:tcW w:w="1701" w:type="dxa"/>
            <w:vAlign w:val="center"/>
          </w:tcPr>
          <w:p w14:paraId="3C2FE9E6" w14:textId="77777777" w:rsidR="00E77B37" w:rsidRPr="002E25AD" w:rsidRDefault="00E77B37" w:rsidP="006E1050">
            <w:pPr>
              <w:pStyle w:val="NoSpacing"/>
              <w:rPr>
                <w:rFonts w:ascii="Times New Roman" w:hAnsi="Times New Roman" w:cs="Times New Roman"/>
                <w:sz w:val="24"/>
                <w:szCs w:val="24"/>
                <w:lang w:val="en-US"/>
              </w:rPr>
            </w:pPr>
          </w:p>
        </w:tc>
        <w:tc>
          <w:tcPr>
            <w:tcW w:w="1417" w:type="dxa"/>
            <w:vAlign w:val="center"/>
          </w:tcPr>
          <w:p w14:paraId="6F6055D7" w14:textId="42B01585"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64.2 (9.2)</w:t>
            </w:r>
          </w:p>
        </w:tc>
        <w:tc>
          <w:tcPr>
            <w:tcW w:w="1701" w:type="dxa"/>
            <w:vAlign w:val="center"/>
          </w:tcPr>
          <w:p w14:paraId="152CE35D" w14:textId="78366495"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63.4 (8.7)</w:t>
            </w:r>
          </w:p>
        </w:tc>
        <w:tc>
          <w:tcPr>
            <w:tcW w:w="1630" w:type="dxa"/>
            <w:vAlign w:val="center"/>
          </w:tcPr>
          <w:p w14:paraId="7737AC17" w14:textId="59BD9D17"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64.6 (9.5)</w:t>
            </w:r>
          </w:p>
        </w:tc>
        <w:tc>
          <w:tcPr>
            <w:tcW w:w="1313" w:type="dxa"/>
            <w:vAlign w:val="center"/>
          </w:tcPr>
          <w:p w14:paraId="6EFEED19" w14:textId="71CBF9C6"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33644450" w14:textId="44DAD2BD" w:rsidTr="000208E1">
        <w:tc>
          <w:tcPr>
            <w:tcW w:w="1526" w:type="dxa"/>
            <w:vAlign w:val="center"/>
          </w:tcPr>
          <w:p w14:paraId="0C8882F3" w14:textId="3F171750"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Body Mass Index (kg/m</w:t>
            </w:r>
            <w:r w:rsidRPr="002E25AD">
              <w:rPr>
                <w:rFonts w:ascii="Times New Roman" w:eastAsia="Times New Roman" w:hAnsi="Times New Roman" w:cs="Times New Roman"/>
                <w:sz w:val="24"/>
                <w:szCs w:val="24"/>
                <w:vertAlign w:val="superscript"/>
                <w:lang w:val="en-US"/>
              </w:rPr>
              <w:t>2</w:t>
            </w:r>
            <w:r w:rsidRPr="002E25AD">
              <w:rPr>
                <w:rFonts w:ascii="Times New Roman" w:eastAsia="Times New Roman" w:hAnsi="Times New Roman" w:cs="Times New Roman"/>
                <w:sz w:val="24"/>
                <w:szCs w:val="24"/>
                <w:lang w:val="en-US"/>
              </w:rPr>
              <w:t>)</w:t>
            </w:r>
          </w:p>
        </w:tc>
        <w:tc>
          <w:tcPr>
            <w:tcW w:w="1701" w:type="dxa"/>
            <w:vAlign w:val="center"/>
          </w:tcPr>
          <w:p w14:paraId="6C146025" w14:textId="73E6265C" w:rsidR="00E77B37" w:rsidRPr="002E25AD" w:rsidRDefault="00E77B37" w:rsidP="006E1050">
            <w:pPr>
              <w:pStyle w:val="NoSpacing"/>
              <w:rPr>
                <w:rFonts w:ascii="Times New Roman" w:hAnsi="Times New Roman" w:cs="Times New Roman"/>
                <w:sz w:val="24"/>
                <w:szCs w:val="24"/>
                <w:lang w:val="en-US"/>
              </w:rPr>
            </w:pPr>
          </w:p>
        </w:tc>
        <w:tc>
          <w:tcPr>
            <w:tcW w:w="1417" w:type="dxa"/>
            <w:vAlign w:val="center"/>
          </w:tcPr>
          <w:p w14:paraId="2D145F34" w14:textId="5A406A06"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26.9 (4.1)</w:t>
            </w:r>
          </w:p>
        </w:tc>
        <w:tc>
          <w:tcPr>
            <w:tcW w:w="1701" w:type="dxa"/>
            <w:vAlign w:val="center"/>
          </w:tcPr>
          <w:p w14:paraId="64B94A4C" w14:textId="74304CE1"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26.6 (3.3)</w:t>
            </w:r>
          </w:p>
        </w:tc>
        <w:tc>
          <w:tcPr>
            <w:tcW w:w="1630" w:type="dxa"/>
            <w:vAlign w:val="center"/>
          </w:tcPr>
          <w:p w14:paraId="6AF027BA" w14:textId="7C0258BC"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27.1 (4.5)</w:t>
            </w:r>
          </w:p>
        </w:tc>
        <w:tc>
          <w:tcPr>
            <w:tcW w:w="1313" w:type="dxa"/>
            <w:vAlign w:val="center"/>
          </w:tcPr>
          <w:p w14:paraId="19D383D7" w14:textId="15A57D51"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0AB72A22" w14:textId="62758726" w:rsidTr="000208E1">
        <w:tc>
          <w:tcPr>
            <w:tcW w:w="1526" w:type="dxa"/>
            <w:vAlign w:val="center"/>
          </w:tcPr>
          <w:p w14:paraId="289D90D3" w14:textId="7C610004"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Dyslipidemia</w:t>
            </w:r>
          </w:p>
        </w:tc>
        <w:tc>
          <w:tcPr>
            <w:tcW w:w="1701" w:type="dxa"/>
            <w:vAlign w:val="center"/>
          </w:tcPr>
          <w:p w14:paraId="3FC9A760" w14:textId="3657D1FD" w:rsidR="00E77B37" w:rsidRPr="002E25AD" w:rsidRDefault="00E77B37" w:rsidP="006E1050">
            <w:pPr>
              <w:pStyle w:val="NoSpacing"/>
              <w:rPr>
                <w:rFonts w:ascii="Times New Roman" w:hAnsi="Times New Roman" w:cs="Times New Roman"/>
                <w:sz w:val="24"/>
                <w:szCs w:val="24"/>
                <w:lang w:val="en-US"/>
              </w:rPr>
            </w:pPr>
            <w:r w:rsidRPr="002E25AD">
              <w:rPr>
                <w:rFonts w:ascii="Times New Roman" w:hAnsi="Times New Roman" w:cs="Times New Roman"/>
                <w:sz w:val="24"/>
                <w:szCs w:val="24"/>
                <w:lang w:val="en-US"/>
              </w:rPr>
              <w:t>No</w:t>
            </w:r>
          </w:p>
        </w:tc>
        <w:tc>
          <w:tcPr>
            <w:tcW w:w="1417" w:type="dxa"/>
            <w:vAlign w:val="center"/>
          </w:tcPr>
          <w:p w14:paraId="50AF334A" w14:textId="5BF19B04" w:rsidR="00E77B37" w:rsidRPr="002E25AD" w:rsidRDefault="00652C32"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3,818 (65.9</w:t>
            </w:r>
            <w:r w:rsidR="00E77B37" w:rsidRPr="002E25AD">
              <w:rPr>
                <w:rFonts w:ascii="Times New Roman" w:eastAsia="Times New Roman" w:hAnsi="Times New Roman" w:cs="Times New Roman"/>
                <w:sz w:val="24"/>
                <w:szCs w:val="24"/>
                <w:lang w:val="en-US"/>
              </w:rPr>
              <w:t>%)</w:t>
            </w:r>
          </w:p>
        </w:tc>
        <w:tc>
          <w:tcPr>
            <w:tcW w:w="1701" w:type="dxa"/>
            <w:vAlign w:val="center"/>
          </w:tcPr>
          <w:p w14:paraId="3626D49C" w14:textId="12F807B7"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1,640 (72.4%)</w:t>
            </w:r>
          </w:p>
        </w:tc>
        <w:tc>
          <w:tcPr>
            <w:tcW w:w="1630" w:type="dxa"/>
            <w:vAlign w:val="center"/>
          </w:tcPr>
          <w:p w14:paraId="63FBDC55" w14:textId="47482F6A"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2,178 (61.7%)</w:t>
            </w:r>
          </w:p>
        </w:tc>
        <w:tc>
          <w:tcPr>
            <w:tcW w:w="1313" w:type="dxa"/>
            <w:vAlign w:val="center"/>
          </w:tcPr>
          <w:p w14:paraId="51CEB7E9" w14:textId="63FC53FB" w:rsidR="00E77B37" w:rsidRPr="002E25AD" w:rsidRDefault="00E77B37" w:rsidP="00E77B37">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0.846</w:t>
            </w:r>
          </w:p>
        </w:tc>
      </w:tr>
      <w:tr w:rsidR="002E25AD" w:rsidRPr="002E25AD" w14:paraId="69103847" w14:textId="02725032" w:rsidTr="000208E1">
        <w:tc>
          <w:tcPr>
            <w:tcW w:w="1526" w:type="dxa"/>
            <w:vAlign w:val="center"/>
          </w:tcPr>
          <w:p w14:paraId="2FD81C71" w14:textId="6B955A08" w:rsidR="00E77B37" w:rsidRPr="002E25AD" w:rsidRDefault="00E77B37" w:rsidP="006E1050">
            <w:pPr>
              <w:pStyle w:val="NoSpacing"/>
              <w:rPr>
                <w:rFonts w:ascii="Times New Roman" w:hAnsi="Times New Roman" w:cs="Times New Roman"/>
                <w:sz w:val="24"/>
                <w:szCs w:val="24"/>
                <w:lang w:val="en-US"/>
              </w:rPr>
            </w:pPr>
          </w:p>
        </w:tc>
        <w:tc>
          <w:tcPr>
            <w:tcW w:w="1701" w:type="dxa"/>
            <w:vAlign w:val="center"/>
          </w:tcPr>
          <w:p w14:paraId="10C7D679" w14:textId="5BABCC88" w:rsidR="00E77B37" w:rsidRPr="002E25AD" w:rsidRDefault="00E77B37" w:rsidP="006E1050">
            <w:pPr>
              <w:pStyle w:val="NoSpacing"/>
              <w:rPr>
                <w:rFonts w:ascii="Times New Roman" w:hAnsi="Times New Roman" w:cs="Times New Roman"/>
                <w:sz w:val="24"/>
                <w:szCs w:val="24"/>
                <w:lang w:val="en-US"/>
              </w:rPr>
            </w:pPr>
            <w:r w:rsidRPr="002E25AD">
              <w:rPr>
                <w:rFonts w:ascii="Times New Roman" w:hAnsi="Times New Roman" w:cs="Times New Roman"/>
                <w:sz w:val="24"/>
                <w:szCs w:val="24"/>
                <w:lang w:val="en-US"/>
              </w:rPr>
              <w:t>Yes</w:t>
            </w:r>
          </w:p>
        </w:tc>
        <w:tc>
          <w:tcPr>
            <w:tcW w:w="1417" w:type="dxa"/>
            <w:vAlign w:val="center"/>
          </w:tcPr>
          <w:p w14:paraId="3ECDBB8F" w14:textId="25BDEB6F" w:rsidR="00E77B37" w:rsidRPr="002E25AD" w:rsidRDefault="00652C32"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1,978 (34.1</w:t>
            </w:r>
            <w:r w:rsidR="00E77B37" w:rsidRPr="002E25AD">
              <w:rPr>
                <w:rFonts w:ascii="Times New Roman" w:eastAsia="Times New Roman" w:hAnsi="Times New Roman" w:cs="Times New Roman"/>
                <w:sz w:val="24"/>
                <w:szCs w:val="24"/>
                <w:lang w:val="en-US"/>
              </w:rPr>
              <w:t>%)</w:t>
            </w:r>
          </w:p>
        </w:tc>
        <w:tc>
          <w:tcPr>
            <w:tcW w:w="1701" w:type="dxa"/>
            <w:vAlign w:val="center"/>
          </w:tcPr>
          <w:p w14:paraId="5D7B9501" w14:textId="1ACC0AFA"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626 (27.6%)</w:t>
            </w:r>
          </w:p>
        </w:tc>
        <w:tc>
          <w:tcPr>
            <w:tcW w:w="1630" w:type="dxa"/>
            <w:vAlign w:val="center"/>
          </w:tcPr>
          <w:p w14:paraId="566AB870" w14:textId="76CF828C"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1,352 (38.3%)</w:t>
            </w:r>
          </w:p>
        </w:tc>
        <w:tc>
          <w:tcPr>
            <w:tcW w:w="1313" w:type="dxa"/>
            <w:vAlign w:val="center"/>
          </w:tcPr>
          <w:p w14:paraId="767B4CE0" w14:textId="62D14685" w:rsidR="00E77B37" w:rsidRPr="002E25AD" w:rsidRDefault="00E77B37" w:rsidP="00E77B37">
            <w:pPr>
              <w:pStyle w:val="NoSpacing"/>
              <w:jc w:val="center"/>
              <w:rPr>
                <w:rFonts w:ascii="Times New Roman" w:eastAsia="Times New Roman" w:hAnsi="Times New Roman" w:cs="Times New Roman"/>
                <w:sz w:val="24"/>
                <w:szCs w:val="24"/>
                <w:lang w:val="en-US"/>
              </w:rPr>
            </w:pPr>
          </w:p>
        </w:tc>
      </w:tr>
      <w:tr w:rsidR="002E25AD" w:rsidRPr="002E25AD" w14:paraId="7DDE73CC" w14:textId="73412EDA" w:rsidTr="000208E1">
        <w:tc>
          <w:tcPr>
            <w:tcW w:w="1526" w:type="dxa"/>
            <w:vAlign w:val="center"/>
          </w:tcPr>
          <w:p w14:paraId="2E4BF1BB" w14:textId="2B812429"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Hypertension</w:t>
            </w:r>
          </w:p>
        </w:tc>
        <w:tc>
          <w:tcPr>
            <w:tcW w:w="1701" w:type="dxa"/>
            <w:vAlign w:val="center"/>
          </w:tcPr>
          <w:p w14:paraId="32856907" w14:textId="1DF07127" w:rsidR="00E77B37" w:rsidRPr="002E25AD" w:rsidRDefault="00E77B37" w:rsidP="006E1050">
            <w:pPr>
              <w:pStyle w:val="NoSpacing"/>
              <w:rPr>
                <w:rFonts w:ascii="Times New Roman" w:hAnsi="Times New Roman" w:cs="Times New Roman"/>
                <w:sz w:val="24"/>
                <w:szCs w:val="24"/>
                <w:lang w:val="en-US"/>
              </w:rPr>
            </w:pPr>
            <w:r w:rsidRPr="002E25AD">
              <w:rPr>
                <w:rFonts w:ascii="Times New Roman" w:hAnsi="Times New Roman" w:cs="Times New Roman"/>
                <w:sz w:val="24"/>
                <w:szCs w:val="24"/>
                <w:lang w:val="en-US"/>
              </w:rPr>
              <w:t>No</w:t>
            </w:r>
          </w:p>
        </w:tc>
        <w:tc>
          <w:tcPr>
            <w:tcW w:w="1417" w:type="dxa"/>
            <w:vAlign w:val="center"/>
          </w:tcPr>
          <w:p w14:paraId="4646A377" w14:textId="767B1DF8" w:rsidR="00E77B37" w:rsidRPr="002E25AD" w:rsidRDefault="00652C32"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2,394 (41.3</w:t>
            </w:r>
            <w:r w:rsidR="00E77B37" w:rsidRPr="002E25AD">
              <w:rPr>
                <w:rFonts w:ascii="Times New Roman" w:eastAsia="Times New Roman" w:hAnsi="Times New Roman" w:cs="Times New Roman"/>
                <w:sz w:val="24"/>
                <w:szCs w:val="24"/>
                <w:lang w:val="en-US"/>
              </w:rPr>
              <w:t>%)</w:t>
            </w:r>
          </w:p>
        </w:tc>
        <w:tc>
          <w:tcPr>
            <w:tcW w:w="1701" w:type="dxa"/>
            <w:vAlign w:val="center"/>
          </w:tcPr>
          <w:p w14:paraId="431B0011" w14:textId="1BFBBADC"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940 (41.5%)</w:t>
            </w:r>
          </w:p>
        </w:tc>
        <w:tc>
          <w:tcPr>
            <w:tcW w:w="1630" w:type="dxa"/>
            <w:vAlign w:val="center"/>
          </w:tcPr>
          <w:p w14:paraId="463A42B9" w14:textId="2E08A253"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1,454 (41.2%)</w:t>
            </w:r>
          </w:p>
        </w:tc>
        <w:tc>
          <w:tcPr>
            <w:tcW w:w="1313" w:type="dxa"/>
            <w:vAlign w:val="center"/>
          </w:tcPr>
          <w:p w14:paraId="26AF4D52" w14:textId="118B3675"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18798A82" w14:textId="2E35FA76" w:rsidTr="000208E1">
        <w:tc>
          <w:tcPr>
            <w:tcW w:w="1526" w:type="dxa"/>
            <w:vAlign w:val="center"/>
          </w:tcPr>
          <w:p w14:paraId="3AFA4612" w14:textId="77777777" w:rsidR="00E77B37" w:rsidRPr="002E25AD" w:rsidRDefault="00E77B37" w:rsidP="006E1050">
            <w:pPr>
              <w:pStyle w:val="NoSpacing"/>
              <w:rPr>
                <w:rFonts w:ascii="Times New Roman" w:eastAsia="Times New Roman" w:hAnsi="Times New Roman" w:cs="Times New Roman"/>
                <w:sz w:val="24"/>
                <w:szCs w:val="24"/>
                <w:lang w:val="en-US"/>
              </w:rPr>
            </w:pPr>
          </w:p>
        </w:tc>
        <w:tc>
          <w:tcPr>
            <w:tcW w:w="1701" w:type="dxa"/>
            <w:vAlign w:val="center"/>
          </w:tcPr>
          <w:p w14:paraId="2E5EFB6E" w14:textId="6732B4FF" w:rsidR="00E77B37" w:rsidRPr="002E25AD" w:rsidRDefault="00E77B37" w:rsidP="006E1050">
            <w:pPr>
              <w:pStyle w:val="NoSpacing"/>
              <w:rPr>
                <w:rFonts w:ascii="Times New Roman" w:hAnsi="Times New Roman" w:cs="Times New Roman"/>
                <w:sz w:val="24"/>
                <w:szCs w:val="24"/>
                <w:lang w:val="en-US"/>
              </w:rPr>
            </w:pPr>
            <w:r w:rsidRPr="002E25AD">
              <w:rPr>
                <w:rFonts w:ascii="Times New Roman" w:hAnsi="Times New Roman" w:cs="Times New Roman"/>
                <w:sz w:val="24"/>
                <w:szCs w:val="24"/>
                <w:lang w:val="en-US"/>
              </w:rPr>
              <w:t>Yes</w:t>
            </w:r>
          </w:p>
        </w:tc>
        <w:tc>
          <w:tcPr>
            <w:tcW w:w="1417" w:type="dxa"/>
            <w:vAlign w:val="center"/>
          </w:tcPr>
          <w:p w14:paraId="762F78DC" w14:textId="0A404177" w:rsidR="00E77B37" w:rsidRPr="002E25AD" w:rsidRDefault="00652C32"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3,402 (58.7</w:t>
            </w:r>
            <w:r w:rsidR="00E77B37" w:rsidRPr="002E25AD">
              <w:rPr>
                <w:rFonts w:ascii="Times New Roman" w:eastAsia="Times New Roman" w:hAnsi="Times New Roman" w:cs="Times New Roman"/>
                <w:sz w:val="24"/>
                <w:szCs w:val="24"/>
                <w:lang w:val="en-US"/>
              </w:rPr>
              <w:t>%)</w:t>
            </w:r>
          </w:p>
        </w:tc>
        <w:tc>
          <w:tcPr>
            <w:tcW w:w="1701" w:type="dxa"/>
            <w:vAlign w:val="center"/>
          </w:tcPr>
          <w:p w14:paraId="0CE06B1A" w14:textId="11656007"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1,326 (58.5%)</w:t>
            </w:r>
          </w:p>
        </w:tc>
        <w:tc>
          <w:tcPr>
            <w:tcW w:w="1630" w:type="dxa"/>
            <w:vAlign w:val="center"/>
          </w:tcPr>
          <w:p w14:paraId="64EA61F3" w14:textId="4C20C3DA"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2,076 (58.8%)</w:t>
            </w:r>
          </w:p>
        </w:tc>
        <w:tc>
          <w:tcPr>
            <w:tcW w:w="1313" w:type="dxa"/>
            <w:vAlign w:val="center"/>
          </w:tcPr>
          <w:p w14:paraId="67D65921" w14:textId="24B4EDB0" w:rsidR="00E77B37" w:rsidRPr="002E25AD" w:rsidRDefault="00E77B37" w:rsidP="006E1050">
            <w:pPr>
              <w:pStyle w:val="NoSpacing"/>
              <w:jc w:val="center"/>
              <w:rPr>
                <w:rFonts w:ascii="Times New Roman" w:eastAsia="Times New Roman" w:hAnsi="Times New Roman" w:cs="Times New Roman"/>
                <w:sz w:val="24"/>
                <w:szCs w:val="24"/>
                <w:lang w:val="en-US"/>
              </w:rPr>
            </w:pPr>
          </w:p>
        </w:tc>
      </w:tr>
      <w:tr w:rsidR="002E25AD" w:rsidRPr="002E25AD" w14:paraId="38DB16D4" w14:textId="25264625" w:rsidTr="000208E1">
        <w:tc>
          <w:tcPr>
            <w:tcW w:w="1526" w:type="dxa"/>
            <w:vAlign w:val="center"/>
          </w:tcPr>
          <w:p w14:paraId="04809D28" w14:textId="12C87251" w:rsidR="00E77B37" w:rsidRPr="002E25AD" w:rsidRDefault="00DF6AD5" w:rsidP="006E1050">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 xml:space="preserve">Physical Activity (Metabolic Equivalents of Task- </w:t>
            </w:r>
            <w:r w:rsidR="00E77B37" w:rsidRPr="002E25AD">
              <w:rPr>
                <w:rFonts w:ascii="Times New Roman" w:eastAsia="Times New Roman" w:hAnsi="Times New Roman" w:cs="Times New Roman"/>
                <w:sz w:val="24"/>
                <w:szCs w:val="24"/>
                <w:lang w:val="en-US"/>
              </w:rPr>
              <w:t>hours/week)*</w:t>
            </w:r>
          </w:p>
        </w:tc>
        <w:tc>
          <w:tcPr>
            <w:tcW w:w="1701" w:type="dxa"/>
            <w:vAlign w:val="center"/>
          </w:tcPr>
          <w:p w14:paraId="5519AF18" w14:textId="6350DC2C"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LASA questionnaire (RS-I and RS-II)</w:t>
            </w:r>
          </w:p>
        </w:tc>
        <w:tc>
          <w:tcPr>
            <w:tcW w:w="1417" w:type="dxa"/>
            <w:vAlign w:val="center"/>
          </w:tcPr>
          <w:p w14:paraId="2C1031C5" w14:textId="138F2E7B" w:rsidR="00E77B37" w:rsidRPr="002E25AD" w:rsidRDefault="00833549"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81.8 (57.5</w:t>
            </w:r>
            <w:r w:rsidR="00E77B37" w:rsidRPr="002E25AD">
              <w:rPr>
                <w:rFonts w:ascii="Times New Roman" w:eastAsia="Times New Roman" w:hAnsi="Times New Roman" w:cs="Times New Roman"/>
                <w:sz w:val="24"/>
                <w:szCs w:val="24"/>
                <w:lang w:val="en-US"/>
              </w:rPr>
              <w:t>)</w:t>
            </w:r>
          </w:p>
        </w:tc>
        <w:tc>
          <w:tcPr>
            <w:tcW w:w="1701" w:type="dxa"/>
            <w:vAlign w:val="center"/>
          </w:tcPr>
          <w:p w14:paraId="555F01F6" w14:textId="76D8A561" w:rsidR="00E77B37" w:rsidRPr="002E25AD" w:rsidRDefault="00E24C0D"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70.6</w:t>
            </w:r>
            <w:r w:rsidR="00E77B37" w:rsidRPr="002E25AD">
              <w:rPr>
                <w:rFonts w:ascii="Times New Roman" w:eastAsia="Times New Roman" w:hAnsi="Times New Roman" w:cs="Times New Roman"/>
                <w:sz w:val="24"/>
                <w:szCs w:val="24"/>
                <w:lang w:val="en-US"/>
              </w:rPr>
              <w:t xml:space="preserve"> (56.2)</w:t>
            </w:r>
          </w:p>
        </w:tc>
        <w:tc>
          <w:tcPr>
            <w:tcW w:w="1630" w:type="dxa"/>
            <w:vAlign w:val="center"/>
          </w:tcPr>
          <w:p w14:paraId="73726DE2" w14:textId="4F874F42"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88.5 (57.2)</w:t>
            </w:r>
          </w:p>
        </w:tc>
        <w:tc>
          <w:tcPr>
            <w:tcW w:w="1313" w:type="dxa"/>
            <w:vAlign w:val="center"/>
          </w:tcPr>
          <w:p w14:paraId="485DB648" w14:textId="275476EB" w:rsidR="00E77B37" w:rsidRPr="002E25AD" w:rsidRDefault="003A43FF"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79C9D50F" w14:textId="4E26D4E0" w:rsidTr="000208E1">
        <w:tc>
          <w:tcPr>
            <w:tcW w:w="1526" w:type="dxa"/>
            <w:vAlign w:val="center"/>
          </w:tcPr>
          <w:p w14:paraId="316E92E2" w14:textId="77777777" w:rsidR="00E77B37" w:rsidRPr="002E25AD" w:rsidRDefault="00E77B37" w:rsidP="006E1050">
            <w:pPr>
              <w:pStyle w:val="NoSpacing"/>
              <w:rPr>
                <w:rFonts w:ascii="Times New Roman" w:eastAsia="Times New Roman" w:hAnsi="Times New Roman" w:cs="Times New Roman"/>
                <w:sz w:val="24"/>
                <w:szCs w:val="24"/>
                <w:lang w:val="en-US"/>
              </w:rPr>
            </w:pPr>
          </w:p>
        </w:tc>
        <w:tc>
          <w:tcPr>
            <w:tcW w:w="1701" w:type="dxa"/>
            <w:vAlign w:val="center"/>
          </w:tcPr>
          <w:p w14:paraId="7A05BBCB" w14:textId="405DF0C4"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Zutphen Questionnaire (RS-III)</w:t>
            </w:r>
          </w:p>
        </w:tc>
        <w:tc>
          <w:tcPr>
            <w:tcW w:w="1417" w:type="dxa"/>
            <w:vAlign w:val="center"/>
          </w:tcPr>
          <w:p w14:paraId="5E78CF38" w14:textId="791F93EC" w:rsidR="00E77B37" w:rsidRPr="002E25AD" w:rsidRDefault="00833549"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45.0 (64.7</w:t>
            </w:r>
            <w:r w:rsidR="00E77B37" w:rsidRPr="002E25AD">
              <w:rPr>
                <w:rFonts w:ascii="Times New Roman" w:eastAsia="Times New Roman" w:hAnsi="Times New Roman" w:cs="Times New Roman"/>
                <w:sz w:val="24"/>
                <w:szCs w:val="24"/>
                <w:lang w:val="en-US"/>
              </w:rPr>
              <w:t>)</w:t>
            </w:r>
          </w:p>
        </w:tc>
        <w:tc>
          <w:tcPr>
            <w:tcW w:w="1701" w:type="dxa"/>
            <w:vAlign w:val="center"/>
          </w:tcPr>
          <w:p w14:paraId="490256D4" w14:textId="74CA2AD7" w:rsidR="00E77B37" w:rsidRPr="002E25AD" w:rsidRDefault="00E24C0D"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38.7</w:t>
            </w:r>
            <w:r w:rsidR="00E77B37" w:rsidRPr="002E25AD">
              <w:rPr>
                <w:rFonts w:ascii="Times New Roman" w:eastAsia="Times New Roman" w:hAnsi="Times New Roman" w:cs="Times New Roman"/>
                <w:sz w:val="24"/>
                <w:szCs w:val="24"/>
                <w:lang w:val="en-US"/>
              </w:rPr>
              <w:t xml:space="preserve"> </w:t>
            </w:r>
            <w:r w:rsidRPr="002E25AD">
              <w:rPr>
                <w:rFonts w:ascii="Times New Roman" w:eastAsia="Times New Roman" w:hAnsi="Times New Roman" w:cs="Times New Roman"/>
                <w:sz w:val="24"/>
                <w:szCs w:val="24"/>
                <w:lang w:val="en-US"/>
              </w:rPr>
              <w:t>(5</w:t>
            </w:r>
            <w:r w:rsidR="00E77B37" w:rsidRPr="002E25AD">
              <w:rPr>
                <w:rFonts w:ascii="Times New Roman" w:eastAsia="Times New Roman" w:hAnsi="Times New Roman" w:cs="Times New Roman"/>
                <w:sz w:val="24"/>
                <w:szCs w:val="24"/>
                <w:lang w:val="en-US"/>
              </w:rPr>
              <w:t>5</w:t>
            </w:r>
            <w:r w:rsidRPr="002E25AD">
              <w:rPr>
                <w:rFonts w:ascii="Times New Roman" w:eastAsia="Times New Roman" w:hAnsi="Times New Roman" w:cs="Times New Roman"/>
                <w:sz w:val="24"/>
                <w:szCs w:val="24"/>
                <w:lang w:val="en-US"/>
              </w:rPr>
              <w:t>.8</w:t>
            </w:r>
            <w:r w:rsidR="00E77B37" w:rsidRPr="002E25AD">
              <w:rPr>
                <w:rFonts w:ascii="Times New Roman" w:eastAsia="Times New Roman" w:hAnsi="Times New Roman" w:cs="Times New Roman"/>
                <w:sz w:val="24"/>
                <w:szCs w:val="24"/>
                <w:lang w:val="en-US"/>
              </w:rPr>
              <w:t>)</w:t>
            </w:r>
          </w:p>
        </w:tc>
        <w:tc>
          <w:tcPr>
            <w:tcW w:w="1630" w:type="dxa"/>
            <w:vAlign w:val="center"/>
          </w:tcPr>
          <w:p w14:paraId="607DF303" w14:textId="6EF8B79B" w:rsidR="00E77B37" w:rsidRPr="002E25AD" w:rsidRDefault="00B85914"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52.4</w:t>
            </w:r>
            <w:r w:rsidR="00E77B37" w:rsidRPr="002E25AD">
              <w:rPr>
                <w:rFonts w:ascii="Times New Roman" w:eastAsia="Times New Roman" w:hAnsi="Times New Roman" w:cs="Times New Roman"/>
                <w:sz w:val="24"/>
                <w:szCs w:val="24"/>
                <w:lang w:val="en-US"/>
              </w:rPr>
              <w:t xml:space="preserve"> (69.1)</w:t>
            </w:r>
          </w:p>
        </w:tc>
        <w:tc>
          <w:tcPr>
            <w:tcW w:w="1313" w:type="dxa"/>
            <w:vAlign w:val="center"/>
          </w:tcPr>
          <w:p w14:paraId="42C184B8" w14:textId="55F15B9D" w:rsidR="00E77B37" w:rsidRPr="002E25AD" w:rsidRDefault="003A43FF"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08C41152" w14:textId="150D5D8A" w:rsidTr="000208E1">
        <w:tc>
          <w:tcPr>
            <w:tcW w:w="1526" w:type="dxa"/>
            <w:vAlign w:val="center"/>
          </w:tcPr>
          <w:p w14:paraId="5BE80CE9" w14:textId="66A0E406" w:rsidR="00E77B37" w:rsidRPr="002E25AD" w:rsidRDefault="00E77B37" w:rsidP="006E1050">
            <w:pPr>
              <w:pStyle w:val="NoSpacing"/>
              <w:rPr>
                <w:rFonts w:ascii="Times New Roman" w:eastAsia="Times New Roman" w:hAnsi="Times New Roman" w:cs="Times New Roman"/>
                <w:sz w:val="24"/>
                <w:szCs w:val="24"/>
                <w:lang w:val="en-US"/>
              </w:rPr>
            </w:pPr>
          </w:p>
        </w:tc>
        <w:tc>
          <w:tcPr>
            <w:tcW w:w="1701" w:type="dxa"/>
            <w:vAlign w:val="center"/>
          </w:tcPr>
          <w:p w14:paraId="704424FA" w14:textId="77DEF42D" w:rsidR="00E77B37" w:rsidRPr="002E25AD" w:rsidRDefault="00E77B37" w:rsidP="006E1050">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Total</w:t>
            </w:r>
          </w:p>
        </w:tc>
        <w:tc>
          <w:tcPr>
            <w:tcW w:w="1417" w:type="dxa"/>
            <w:vAlign w:val="center"/>
          </w:tcPr>
          <w:p w14:paraId="014B7EF7" w14:textId="16E9F9BB" w:rsidR="00E77B37" w:rsidRPr="002E25AD" w:rsidRDefault="00652C32"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71.2 (63.8</w:t>
            </w:r>
            <w:r w:rsidR="00E77B37" w:rsidRPr="002E25AD">
              <w:rPr>
                <w:rFonts w:ascii="Times New Roman" w:eastAsia="Times New Roman" w:hAnsi="Times New Roman" w:cs="Times New Roman"/>
                <w:sz w:val="24"/>
                <w:szCs w:val="24"/>
                <w:lang w:val="en-US"/>
              </w:rPr>
              <w:t>)</w:t>
            </w:r>
          </w:p>
        </w:tc>
        <w:tc>
          <w:tcPr>
            <w:tcW w:w="1701" w:type="dxa"/>
            <w:vAlign w:val="center"/>
          </w:tcPr>
          <w:p w14:paraId="48526BD3" w14:textId="11B71103"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59.8 (58.9)</w:t>
            </w:r>
          </w:p>
        </w:tc>
        <w:tc>
          <w:tcPr>
            <w:tcW w:w="1630" w:type="dxa"/>
            <w:vAlign w:val="center"/>
          </w:tcPr>
          <w:p w14:paraId="1CFF49EF" w14:textId="64FA0612"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77.8 (62.5)</w:t>
            </w:r>
          </w:p>
        </w:tc>
        <w:tc>
          <w:tcPr>
            <w:tcW w:w="1313" w:type="dxa"/>
            <w:vAlign w:val="center"/>
          </w:tcPr>
          <w:p w14:paraId="3CCA30AE" w14:textId="7F0908FC"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70ACC3BC" w14:textId="33BA49DF" w:rsidTr="000208E1">
        <w:tc>
          <w:tcPr>
            <w:tcW w:w="1526" w:type="dxa"/>
            <w:vAlign w:val="center"/>
          </w:tcPr>
          <w:p w14:paraId="4AA78962" w14:textId="1EDE3B38" w:rsidR="00E77B37" w:rsidRPr="002E25AD" w:rsidRDefault="00E77B37" w:rsidP="006E1050">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Education</w:t>
            </w:r>
          </w:p>
        </w:tc>
        <w:tc>
          <w:tcPr>
            <w:tcW w:w="1701" w:type="dxa"/>
            <w:vAlign w:val="center"/>
          </w:tcPr>
          <w:p w14:paraId="184E4DFE" w14:textId="66B5532C" w:rsidR="00E77B37" w:rsidRPr="002E25AD" w:rsidRDefault="00E77B37" w:rsidP="006E1050">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Primary</w:t>
            </w:r>
          </w:p>
        </w:tc>
        <w:tc>
          <w:tcPr>
            <w:tcW w:w="1417" w:type="dxa"/>
            <w:vAlign w:val="center"/>
          </w:tcPr>
          <w:p w14:paraId="0F12D780" w14:textId="1714CD25"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650 (11.2%)</w:t>
            </w:r>
          </w:p>
        </w:tc>
        <w:tc>
          <w:tcPr>
            <w:tcW w:w="1701" w:type="dxa"/>
            <w:vAlign w:val="center"/>
          </w:tcPr>
          <w:p w14:paraId="60E21540" w14:textId="784DC585"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183 (8.1%)</w:t>
            </w:r>
          </w:p>
        </w:tc>
        <w:tc>
          <w:tcPr>
            <w:tcW w:w="1630" w:type="dxa"/>
            <w:vAlign w:val="center"/>
          </w:tcPr>
          <w:p w14:paraId="5C562A97" w14:textId="27C03F81"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467 (13.2%)</w:t>
            </w:r>
          </w:p>
        </w:tc>
        <w:tc>
          <w:tcPr>
            <w:tcW w:w="1313" w:type="dxa"/>
            <w:vAlign w:val="center"/>
          </w:tcPr>
          <w:p w14:paraId="0CB0AE81" w14:textId="005DCB32"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07C78AE7" w14:textId="71235112" w:rsidTr="000208E1">
        <w:tc>
          <w:tcPr>
            <w:tcW w:w="1526" w:type="dxa"/>
            <w:vAlign w:val="center"/>
          </w:tcPr>
          <w:p w14:paraId="181AA426" w14:textId="77777777" w:rsidR="00E77B37" w:rsidRPr="002E25AD" w:rsidRDefault="00E77B37" w:rsidP="006E1050">
            <w:pPr>
              <w:pStyle w:val="NoSpacing"/>
              <w:rPr>
                <w:rFonts w:ascii="Times New Roman" w:eastAsia="Times New Roman" w:hAnsi="Times New Roman" w:cs="Times New Roman"/>
                <w:sz w:val="24"/>
                <w:szCs w:val="24"/>
                <w:lang w:val="en-US"/>
              </w:rPr>
            </w:pPr>
          </w:p>
        </w:tc>
        <w:tc>
          <w:tcPr>
            <w:tcW w:w="1701" w:type="dxa"/>
            <w:vAlign w:val="center"/>
          </w:tcPr>
          <w:p w14:paraId="511814C7" w14:textId="67D408C9" w:rsidR="00E77B37" w:rsidRPr="002E25AD" w:rsidRDefault="00E77B37" w:rsidP="006E1050">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Lower vocational</w:t>
            </w:r>
          </w:p>
        </w:tc>
        <w:tc>
          <w:tcPr>
            <w:tcW w:w="1417" w:type="dxa"/>
            <w:vAlign w:val="center"/>
          </w:tcPr>
          <w:p w14:paraId="23E2015E" w14:textId="2C900E8A" w:rsidR="00E77B37" w:rsidRPr="002E25AD" w:rsidRDefault="00A33A2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2,398 (41.4</w:t>
            </w:r>
            <w:r w:rsidR="00E77B37" w:rsidRPr="002E25AD">
              <w:rPr>
                <w:rFonts w:ascii="Times New Roman" w:eastAsia="Times New Roman" w:hAnsi="Times New Roman" w:cs="Times New Roman"/>
                <w:sz w:val="24"/>
                <w:szCs w:val="24"/>
                <w:lang w:val="en-US"/>
              </w:rPr>
              <w:t>%)</w:t>
            </w:r>
          </w:p>
        </w:tc>
        <w:tc>
          <w:tcPr>
            <w:tcW w:w="1701" w:type="dxa"/>
            <w:vAlign w:val="center"/>
          </w:tcPr>
          <w:p w14:paraId="305B3C48" w14:textId="74496E2D"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625 (27.6%)</w:t>
            </w:r>
          </w:p>
        </w:tc>
        <w:tc>
          <w:tcPr>
            <w:tcW w:w="1630" w:type="dxa"/>
            <w:vAlign w:val="center"/>
          </w:tcPr>
          <w:p w14:paraId="3724546C" w14:textId="4E9CF364"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1,773 (50.2%)</w:t>
            </w:r>
          </w:p>
        </w:tc>
        <w:tc>
          <w:tcPr>
            <w:tcW w:w="1313" w:type="dxa"/>
            <w:vAlign w:val="center"/>
          </w:tcPr>
          <w:p w14:paraId="72EA00F1" w14:textId="77777777" w:rsidR="00E77B37" w:rsidRPr="002E25AD" w:rsidRDefault="00E77B37" w:rsidP="006E1050">
            <w:pPr>
              <w:pStyle w:val="NoSpacing"/>
              <w:jc w:val="center"/>
              <w:rPr>
                <w:rFonts w:ascii="Times New Roman" w:eastAsia="Times New Roman" w:hAnsi="Times New Roman" w:cs="Times New Roman"/>
                <w:sz w:val="24"/>
                <w:szCs w:val="24"/>
                <w:lang w:val="en-US"/>
              </w:rPr>
            </w:pPr>
          </w:p>
        </w:tc>
      </w:tr>
      <w:tr w:rsidR="002E25AD" w:rsidRPr="002E25AD" w14:paraId="226A66E6" w14:textId="163322DA" w:rsidTr="000208E1">
        <w:tc>
          <w:tcPr>
            <w:tcW w:w="1526" w:type="dxa"/>
            <w:vAlign w:val="center"/>
          </w:tcPr>
          <w:p w14:paraId="511E1C6F" w14:textId="22A11FBA" w:rsidR="00E77B37" w:rsidRPr="002E25AD" w:rsidRDefault="00E77B37" w:rsidP="006E1050">
            <w:pPr>
              <w:pStyle w:val="NoSpacing"/>
              <w:rPr>
                <w:rFonts w:ascii="Times New Roman" w:hAnsi="Times New Roman" w:cs="Times New Roman"/>
                <w:sz w:val="24"/>
                <w:szCs w:val="24"/>
                <w:lang w:val="en-US"/>
              </w:rPr>
            </w:pPr>
          </w:p>
        </w:tc>
        <w:tc>
          <w:tcPr>
            <w:tcW w:w="1701" w:type="dxa"/>
            <w:vAlign w:val="center"/>
          </w:tcPr>
          <w:p w14:paraId="0B35C17E" w14:textId="487D486E"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Intermediate vocational</w:t>
            </w:r>
          </w:p>
        </w:tc>
        <w:tc>
          <w:tcPr>
            <w:tcW w:w="1417" w:type="dxa"/>
            <w:vAlign w:val="center"/>
          </w:tcPr>
          <w:p w14:paraId="1061A8CE" w14:textId="169822AE"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1,660 (28.6%)</w:t>
            </w:r>
          </w:p>
        </w:tc>
        <w:tc>
          <w:tcPr>
            <w:tcW w:w="1701" w:type="dxa"/>
            <w:vAlign w:val="center"/>
          </w:tcPr>
          <w:p w14:paraId="284CB938" w14:textId="730971DE"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827 (36.5%)</w:t>
            </w:r>
          </w:p>
        </w:tc>
        <w:tc>
          <w:tcPr>
            <w:tcW w:w="1630" w:type="dxa"/>
            <w:vAlign w:val="center"/>
          </w:tcPr>
          <w:p w14:paraId="7B8133C3" w14:textId="0E3D8533"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833 (23.6%)</w:t>
            </w:r>
          </w:p>
        </w:tc>
        <w:tc>
          <w:tcPr>
            <w:tcW w:w="1313" w:type="dxa"/>
            <w:vAlign w:val="center"/>
          </w:tcPr>
          <w:p w14:paraId="42CCBE11" w14:textId="77777777" w:rsidR="00E77B37" w:rsidRPr="002E25AD" w:rsidRDefault="00E77B37" w:rsidP="006E1050">
            <w:pPr>
              <w:pStyle w:val="NoSpacing"/>
              <w:jc w:val="center"/>
              <w:rPr>
                <w:rFonts w:ascii="Times New Roman" w:eastAsia="Times New Roman" w:hAnsi="Times New Roman" w:cs="Times New Roman"/>
                <w:sz w:val="24"/>
                <w:szCs w:val="24"/>
                <w:lang w:val="en-US"/>
              </w:rPr>
            </w:pPr>
          </w:p>
        </w:tc>
      </w:tr>
      <w:tr w:rsidR="002E25AD" w:rsidRPr="002E25AD" w14:paraId="47636B13" w14:textId="43A466D8" w:rsidTr="000208E1">
        <w:tc>
          <w:tcPr>
            <w:tcW w:w="1526" w:type="dxa"/>
            <w:vAlign w:val="center"/>
          </w:tcPr>
          <w:p w14:paraId="558ED606" w14:textId="46689347" w:rsidR="00E77B37" w:rsidRPr="002E25AD" w:rsidRDefault="00E77B37" w:rsidP="006E1050">
            <w:pPr>
              <w:pStyle w:val="NoSpacing"/>
              <w:rPr>
                <w:rFonts w:ascii="Times New Roman" w:hAnsi="Times New Roman" w:cs="Times New Roman"/>
                <w:sz w:val="24"/>
                <w:szCs w:val="24"/>
                <w:lang w:val="en-US"/>
              </w:rPr>
            </w:pPr>
          </w:p>
        </w:tc>
        <w:tc>
          <w:tcPr>
            <w:tcW w:w="1701" w:type="dxa"/>
            <w:vAlign w:val="center"/>
          </w:tcPr>
          <w:p w14:paraId="63B59312" w14:textId="4F65A92A"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Higher vocational or university</w:t>
            </w:r>
          </w:p>
        </w:tc>
        <w:tc>
          <w:tcPr>
            <w:tcW w:w="1417" w:type="dxa"/>
            <w:vAlign w:val="center"/>
          </w:tcPr>
          <w:p w14:paraId="3DCF71EF" w14:textId="10B4FE1B" w:rsidR="00E77B37" w:rsidRPr="002E25AD" w:rsidRDefault="00A33A2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1,088</w:t>
            </w:r>
            <w:r w:rsidR="00E77B37" w:rsidRPr="002E25AD">
              <w:rPr>
                <w:rFonts w:ascii="Times New Roman" w:eastAsia="Times New Roman" w:hAnsi="Times New Roman" w:cs="Times New Roman"/>
                <w:sz w:val="24"/>
                <w:szCs w:val="24"/>
                <w:lang w:val="en-US"/>
              </w:rPr>
              <w:t xml:space="preserve"> (18.8%)</w:t>
            </w:r>
          </w:p>
        </w:tc>
        <w:tc>
          <w:tcPr>
            <w:tcW w:w="1701" w:type="dxa"/>
            <w:vAlign w:val="center"/>
          </w:tcPr>
          <w:p w14:paraId="47D81326" w14:textId="701F2A37"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631 (27.8%)</w:t>
            </w:r>
          </w:p>
        </w:tc>
        <w:tc>
          <w:tcPr>
            <w:tcW w:w="1630" w:type="dxa"/>
            <w:vAlign w:val="center"/>
          </w:tcPr>
          <w:p w14:paraId="25216143" w14:textId="3DF7FE9A"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457 (12.9%)</w:t>
            </w:r>
          </w:p>
        </w:tc>
        <w:tc>
          <w:tcPr>
            <w:tcW w:w="1313" w:type="dxa"/>
            <w:vAlign w:val="center"/>
          </w:tcPr>
          <w:p w14:paraId="150A500D" w14:textId="4C0F41D8" w:rsidR="00E77B37" w:rsidRPr="002E25AD" w:rsidRDefault="00E77B37" w:rsidP="006E1050">
            <w:pPr>
              <w:pStyle w:val="NoSpacing"/>
              <w:jc w:val="center"/>
              <w:rPr>
                <w:rFonts w:ascii="Times New Roman" w:eastAsia="Times New Roman" w:hAnsi="Times New Roman" w:cs="Times New Roman"/>
                <w:sz w:val="24"/>
                <w:szCs w:val="24"/>
                <w:lang w:val="en-US"/>
              </w:rPr>
            </w:pPr>
          </w:p>
        </w:tc>
      </w:tr>
      <w:tr w:rsidR="002E25AD" w:rsidRPr="002E25AD" w14:paraId="6D505222" w14:textId="47ADC58F" w:rsidTr="000208E1">
        <w:tc>
          <w:tcPr>
            <w:tcW w:w="1526" w:type="dxa"/>
            <w:vAlign w:val="center"/>
          </w:tcPr>
          <w:p w14:paraId="4C0FA2AD" w14:textId="561FF00C"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Smoking</w:t>
            </w:r>
          </w:p>
        </w:tc>
        <w:tc>
          <w:tcPr>
            <w:tcW w:w="1701" w:type="dxa"/>
            <w:vAlign w:val="center"/>
          </w:tcPr>
          <w:p w14:paraId="0EE09A79" w14:textId="605C680A"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Never</w:t>
            </w:r>
          </w:p>
        </w:tc>
        <w:tc>
          <w:tcPr>
            <w:tcW w:w="1417" w:type="dxa"/>
            <w:vAlign w:val="center"/>
          </w:tcPr>
          <w:p w14:paraId="33F21432" w14:textId="04E5EF9C" w:rsidR="00E77B37" w:rsidRPr="002E25AD" w:rsidRDefault="00A33A2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1,932 (33.3</w:t>
            </w:r>
            <w:r w:rsidR="00E77B37" w:rsidRPr="002E25AD">
              <w:rPr>
                <w:rFonts w:ascii="Times New Roman" w:eastAsia="Times New Roman" w:hAnsi="Times New Roman" w:cs="Times New Roman"/>
                <w:sz w:val="24"/>
                <w:szCs w:val="24"/>
                <w:lang w:val="en-US"/>
              </w:rPr>
              <w:t>%)</w:t>
            </w:r>
          </w:p>
        </w:tc>
        <w:tc>
          <w:tcPr>
            <w:tcW w:w="1701" w:type="dxa"/>
            <w:vAlign w:val="center"/>
          </w:tcPr>
          <w:p w14:paraId="5992BC58" w14:textId="1B98BFBC"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397 (17.5%)</w:t>
            </w:r>
          </w:p>
        </w:tc>
        <w:tc>
          <w:tcPr>
            <w:tcW w:w="1630" w:type="dxa"/>
            <w:vAlign w:val="center"/>
          </w:tcPr>
          <w:p w14:paraId="7E6B88CA" w14:textId="4004D45C"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1,535 (43.5%)</w:t>
            </w:r>
          </w:p>
        </w:tc>
        <w:tc>
          <w:tcPr>
            <w:tcW w:w="1313" w:type="dxa"/>
            <w:vAlign w:val="center"/>
          </w:tcPr>
          <w:p w14:paraId="7080D9AF" w14:textId="2948FAD5"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644DD680" w14:textId="1A2C0D81" w:rsidTr="000208E1">
        <w:tc>
          <w:tcPr>
            <w:tcW w:w="1526" w:type="dxa"/>
            <w:vAlign w:val="center"/>
          </w:tcPr>
          <w:p w14:paraId="3D6BDE35" w14:textId="77777777" w:rsidR="00E77B37" w:rsidRPr="002E25AD" w:rsidRDefault="00E77B37" w:rsidP="006E1050">
            <w:pPr>
              <w:pStyle w:val="NoSpacing"/>
              <w:rPr>
                <w:rFonts w:ascii="Times New Roman" w:hAnsi="Times New Roman" w:cs="Times New Roman"/>
                <w:sz w:val="24"/>
                <w:szCs w:val="24"/>
                <w:lang w:val="en-US"/>
              </w:rPr>
            </w:pPr>
          </w:p>
        </w:tc>
        <w:tc>
          <w:tcPr>
            <w:tcW w:w="1701" w:type="dxa"/>
            <w:vAlign w:val="center"/>
          </w:tcPr>
          <w:p w14:paraId="6E387AD5" w14:textId="497444B3"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Former</w:t>
            </w:r>
          </w:p>
        </w:tc>
        <w:tc>
          <w:tcPr>
            <w:tcW w:w="1417" w:type="dxa"/>
            <w:vAlign w:val="center"/>
          </w:tcPr>
          <w:p w14:paraId="636DCE82" w14:textId="1962DE39" w:rsidR="00E77B37" w:rsidRPr="002E25AD" w:rsidRDefault="00A33A2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2,527</w:t>
            </w:r>
            <w:r w:rsidR="00E77B37" w:rsidRPr="002E25AD">
              <w:rPr>
                <w:rFonts w:ascii="Times New Roman" w:eastAsia="Times New Roman" w:hAnsi="Times New Roman" w:cs="Times New Roman"/>
                <w:sz w:val="24"/>
                <w:szCs w:val="24"/>
                <w:lang w:val="en-US"/>
              </w:rPr>
              <w:t xml:space="preserve"> (43.6%)</w:t>
            </w:r>
          </w:p>
        </w:tc>
        <w:tc>
          <w:tcPr>
            <w:tcW w:w="1701" w:type="dxa"/>
            <w:vAlign w:val="center"/>
          </w:tcPr>
          <w:p w14:paraId="07CD2695" w14:textId="09DB9B65"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1,242 (54.8%)</w:t>
            </w:r>
          </w:p>
        </w:tc>
        <w:tc>
          <w:tcPr>
            <w:tcW w:w="1630" w:type="dxa"/>
            <w:vAlign w:val="center"/>
          </w:tcPr>
          <w:p w14:paraId="05F76DC3" w14:textId="7C525649"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1,285 (36.4%)</w:t>
            </w:r>
          </w:p>
        </w:tc>
        <w:tc>
          <w:tcPr>
            <w:tcW w:w="1313" w:type="dxa"/>
            <w:vAlign w:val="center"/>
          </w:tcPr>
          <w:p w14:paraId="270EDC51" w14:textId="77777777" w:rsidR="00E77B37" w:rsidRPr="002E25AD" w:rsidRDefault="00E77B37" w:rsidP="006E1050">
            <w:pPr>
              <w:pStyle w:val="NoSpacing"/>
              <w:jc w:val="center"/>
              <w:rPr>
                <w:rFonts w:ascii="Times New Roman" w:eastAsia="Times New Roman" w:hAnsi="Times New Roman" w:cs="Times New Roman"/>
                <w:sz w:val="24"/>
                <w:szCs w:val="24"/>
                <w:lang w:val="en-US"/>
              </w:rPr>
            </w:pPr>
          </w:p>
        </w:tc>
      </w:tr>
      <w:tr w:rsidR="002E25AD" w:rsidRPr="002E25AD" w14:paraId="2D3B27AC" w14:textId="0026C9B9" w:rsidTr="000208E1">
        <w:tc>
          <w:tcPr>
            <w:tcW w:w="1526" w:type="dxa"/>
            <w:vAlign w:val="center"/>
          </w:tcPr>
          <w:p w14:paraId="192AEB6E" w14:textId="6E9A3416" w:rsidR="00E77B37" w:rsidRPr="002E25AD" w:rsidRDefault="00E77B37" w:rsidP="006E1050">
            <w:pPr>
              <w:pStyle w:val="NoSpacing"/>
              <w:rPr>
                <w:rFonts w:ascii="Times New Roman" w:hAnsi="Times New Roman" w:cs="Times New Roman"/>
                <w:sz w:val="24"/>
                <w:szCs w:val="24"/>
                <w:lang w:val="en-US"/>
              </w:rPr>
            </w:pPr>
          </w:p>
        </w:tc>
        <w:tc>
          <w:tcPr>
            <w:tcW w:w="1701" w:type="dxa"/>
            <w:vAlign w:val="center"/>
          </w:tcPr>
          <w:p w14:paraId="1E96A943" w14:textId="5357C705"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Current</w:t>
            </w:r>
          </w:p>
        </w:tc>
        <w:tc>
          <w:tcPr>
            <w:tcW w:w="1417" w:type="dxa"/>
            <w:vAlign w:val="center"/>
          </w:tcPr>
          <w:p w14:paraId="1AAFAF33" w14:textId="49010DF0" w:rsidR="00E77B37" w:rsidRPr="002E25AD" w:rsidRDefault="00A33A2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1,337 (23.1</w:t>
            </w:r>
            <w:r w:rsidR="00E77B37" w:rsidRPr="002E25AD">
              <w:rPr>
                <w:rFonts w:ascii="Times New Roman" w:eastAsia="Times New Roman" w:hAnsi="Times New Roman" w:cs="Times New Roman"/>
                <w:sz w:val="24"/>
                <w:szCs w:val="24"/>
                <w:lang w:val="en-US"/>
              </w:rPr>
              <w:t>%)</w:t>
            </w:r>
          </w:p>
        </w:tc>
        <w:tc>
          <w:tcPr>
            <w:tcW w:w="1701" w:type="dxa"/>
            <w:vAlign w:val="center"/>
          </w:tcPr>
          <w:p w14:paraId="14E84210" w14:textId="75111E7A"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627 (27.7%)</w:t>
            </w:r>
          </w:p>
        </w:tc>
        <w:tc>
          <w:tcPr>
            <w:tcW w:w="1630" w:type="dxa"/>
            <w:vAlign w:val="center"/>
          </w:tcPr>
          <w:p w14:paraId="5D7E641A" w14:textId="0CFAEADC"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710 (20.1%)</w:t>
            </w:r>
          </w:p>
        </w:tc>
        <w:tc>
          <w:tcPr>
            <w:tcW w:w="1313" w:type="dxa"/>
            <w:vAlign w:val="center"/>
          </w:tcPr>
          <w:p w14:paraId="6B157DD2" w14:textId="77777777" w:rsidR="00E77B37" w:rsidRPr="002E25AD" w:rsidRDefault="00E77B37" w:rsidP="006E1050">
            <w:pPr>
              <w:pStyle w:val="NoSpacing"/>
              <w:jc w:val="center"/>
              <w:rPr>
                <w:rFonts w:ascii="Times New Roman" w:eastAsia="Times New Roman" w:hAnsi="Times New Roman" w:cs="Times New Roman"/>
                <w:sz w:val="24"/>
                <w:szCs w:val="24"/>
                <w:lang w:val="en-US"/>
              </w:rPr>
            </w:pPr>
          </w:p>
        </w:tc>
      </w:tr>
      <w:tr w:rsidR="002E25AD" w:rsidRPr="002E25AD" w14:paraId="5B76A87A" w14:textId="3288C34C" w:rsidTr="000208E1">
        <w:tc>
          <w:tcPr>
            <w:tcW w:w="1526" w:type="dxa"/>
            <w:vAlign w:val="center"/>
          </w:tcPr>
          <w:p w14:paraId="516DAC61" w14:textId="352E4734"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Dietary Guideline Score</w:t>
            </w:r>
          </w:p>
        </w:tc>
        <w:tc>
          <w:tcPr>
            <w:tcW w:w="1701" w:type="dxa"/>
            <w:vAlign w:val="center"/>
          </w:tcPr>
          <w:p w14:paraId="777AD63C" w14:textId="4B6E68E9" w:rsidR="00E77B37" w:rsidRPr="002E25AD" w:rsidRDefault="00E77B37" w:rsidP="006E1050">
            <w:pPr>
              <w:pStyle w:val="NoSpacing"/>
              <w:rPr>
                <w:rFonts w:ascii="Times New Roman" w:hAnsi="Times New Roman" w:cs="Times New Roman"/>
                <w:sz w:val="24"/>
                <w:szCs w:val="24"/>
                <w:lang w:val="en-US"/>
              </w:rPr>
            </w:pPr>
          </w:p>
        </w:tc>
        <w:tc>
          <w:tcPr>
            <w:tcW w:w="1417" w:type="dxa"/>
            <w:vAlign w:val="center"/>
          </w:tcPr>
          <w:p w14:paraId="3008F283" w14:textId="02C1557C"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6.8 (1.9)</w:t>
            </w:r>
          </w:p>
        </w:tc>
        <w:tc>
          <w:tcPr>
            <w:tcW w:w="1701" w:type="dxa"/>
            <w:vAlign w:val="center"/>
          </w:tcPr>
          <w:p w14:paraId="3E79A333" w14:textId="4DF9289F"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6.3 (1.8)</w:t>
            </w:r>
          </w:p>
        </w:tc>
        <w:tc>
          <w:tcPr>
            <w:tcW w:w="1630" w:type="dxa"/>
            <w:vAlign w:val="center"/>
          </w:tcPr>
          <w:p w14:paraId="40137D87" w14:textId="6A984CE7"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7.1 (1.9)</w:t>
            </w:r>
          </w:p>
        </w:tc>
        <w:tc>
          <w:tcPr>
            <w:tcW w:w="1313" w:type="dxa"/>
            <w:vAlign w:val="center"/>
          </w:tcPr>
          <w:p w14:paraId="43B912F3" w14:textId="6FCB83A9"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45E95ED8" w14:textId="2E18D40A" w:rsidTr="000208E1">
        <w:tc>
          <w:tcPr>
            <w:tcW w:w="1526" w:type="dxa"/>
            <w:vAlign w:val="center"/>
          </w:tcPr>
          <w:p w14:paraId="722A3F10" w14:textId="406794E5" w:rsidR="00E77B37" w:rsidRPr="002E25AD" w:rsidRDefault="00E77B37" w:rsidP="006E1050">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Alcohol consumption (g/day)*</w:t>
            </w:r>
          </w:p>
        </w:tc>
        <w:tc>
          <w:tcPr>
            <w:tcW w:w="1701" w:type="dxa"/>
            <w:vAlign w:val="center"/>
          </w:tcPr>
          <w:p w14:paraId="59C2347C" w14:textId="60C7E12B" w:rsidR="00E77B37" w:rsidRPr="002E25AD" w:rsidRDefault="00E77B37" w:rsidP="006E1050">
            <w:pPr>
              <w:pStyle w:val="NoSpacing"/>
              <w:rPr>
                <w:rFonts w:ascii="Times New Roman" w:hAnsi="Times New Roman" w:cs="Times New Roman"/>
                <w:sz w:val="24"/>
                <w:szCs w:val="24"/>
                <w:lang w:val="en-US"/>
              </w:rPr>
            </w:pPr>
          </w:p>
        </w:tc>
        <w:tc>
          <w:tcPr>
            <w:tcW w:w="1417" w:type="dxa"/>
            <w:vAlign w:val="center"/>
          </w:tcPr>
          <w:p w14:paraId="236C91B8" w14:textId="6FCB3566"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6.6 (18.1)</w:t>
            </w:r>
          </w:p>
        </w:tc>
        <w:tc>
          <w:tcPr>
            <w:tcW w:w="1701" w:type="dxa"/>
            <w:vAlign w:val="center"/>
          </w:tcPr>
          <w:p w14:paraId="0A6453A4" w14:textId="61CC7114" w:rsidR="00E77B37" w:rsidRPr="002E25AD" w:rsidRDefault="00E77B37" w:rsidP="006E1050">
            <w:pPr>
              <w:pStyle w:val="NoSpacing"/>
              <w:jc w:val="center"/>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13.0 (23.4)</w:t>
            </w:r>
          </w:p>
        </w:tc>
        <w:tc>
          <w:tcPr>
            <w:tcW w:w="1630" w:type="dxa"/>
            <w:vAlign w:val="center"/>
          </w:tcPr>
          <w:p w14:paraId="53A1A5B5" w14:textId="7B1B032C"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3.44 (12.3)</w:t>
            </w:r>
          </w:p>
        </w:tc>
        <w:tc>
          <w:tcPr>
            <w:tcW w:w="1313" w:type="dxa"/>
            <w:vAlign w:val="center"/>
          </w:tcPr>
          <w:p w14:paraId="098B3C5B" w14:textId="6D86E127" w:rsidR="00E77B37" w:rsidRPr="002E25AD" w:rsidRDefault="00E77B37"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2C44F491" w14:textId="77777777" w:rsidTr="000208E1">
        <w:tc>
          <w:tcPr>
            <w:tcW w:w="1526" w:type="dxa"/>
            <w:vAlign w:val="center"/>
          </w:tcPr>
          <w:p w14:paraId="40A44C59" w14:textId="5661B17A" w:rsidR="00DF6AD5" w:rsidRPr="002E25AD" w:rsidRDefault="00DF6AD5" w:rsidP="006E1050">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lastRenderedPageBreak/>
              <w:t>Daily energy intake (kcal/day)</w:t>
            </w:r>
          </w:p>
        </w:tc>
        <w:tc>
          <w:tcPr>
            <w:tcW w:w="1701" w:type="dxa"/>
            <w:vAlign w:val="center"/>
          </w:tcPr>
          <w:p w14:paraId="7A11BFA8" w14:textId="77777777" w:rsidR="00DF6AD5" w:rsidRPr="002E25AD" w:rsidRDefault="00DF6AD5" w:rsidP="006E1050">
            <w:pPr>
              <w:pStyle w:val="NoSpacing"/>
              <w:rPr>
                <w:rFonts w:ascii="Times New Roman" w:hAnsi="Times New Roman" w:cs="Times New Roman"/>
                <w:sz w:val="24"/>
                <w:szCs w:val="24"/>
                <w:lang w:val="en-US"/>
              </w:rPr>
            </w:pPr>
          </w:p>
        </w:tc>
        <w:tc>
          <w:tcPr>
            <w:tcW w:w="1417" w:type="dxa"/>
            <w:vAlign w:val="center"/>
          </w:tcPr>
          <w:p w14:paraId="15F27B42" w14:textId="7CE27D3E" w:rsidR="00DF6AD5" w:rsidRPr="002E25AD" w:rsidRDefault="00DF6AD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2,143.8 (622.4)</w:t>
            </w:r>
          </w:p>
        </w:tc>
        <w:tc>
          <w:tcPr>
            <w:tcW w:w="1701" w:type="dxa"/>
            <w:vAlign w:val="center"/>
          </w:tcPr>
          <w:p w14:paraId="126F43C2" w14:textId="17EBB142" w:rsidR="00DF6AD5" w:rsidRPr="002E25AD" w:rsidRDefault="00DF6AD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2,436.3 (633.3)</w:t>
            </w:r>
          </w:p>
        </w:tc>
        <w:tc>
          <w:tcPr>
            <w:tcW w:w="1630" w:type="dxa"/>
            <w:vAlign w:val="center"/>
          </w:tcPr>
          <w:p w14:paraId="51872678" w14:textId="47FBDCA9" w:rsidR="00DF6AD5" w:rsidRPr="002E25AD" w:rsidRDefault="00DF6AD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1,955.9 (537.1)</w:t>
            </w:r>
          </w:p>
        </w:tc>
        <w:tc>
          <w:tcPr>
            <w:tcW w:w="1313" w:type="dxa"/>
            <w:vAlign w:val="center"/>
          </w:tcPr>
          <w:p w14:paraId="48DB9DE3" w14:textId="244D1544" w:rsidR="00DF6AD5" w:rsidRPr="002E25AD" w:rsidRDefault="00DF6AD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404832E0" w14:textId="77777777" w:rsidTr="000208E1">
        <w:tc>
          <w:tcPr>
            <w:tcW w:w="1526" w:type="dxa"/>
            <w:vAlign w:val="center"/>
          </w:tcPr>
          <w:p w14:paraId="3CB4EE03" w14:textId="3FAF40B9" w:rsidR="00DF6AD5" w:rsidRPr="002E25AD" w:rsidRDefault="00DF6AD5" w:rsidP="006E1050">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FRAP score</w:t>
            </w:r>
          </w:p>
        </w:tc>
        <w:tc>
          <w:tcPr>
            <w:tcW w:w="1701" w:type="dxa"/>
            <w:vAlign w:val="center"/>
          </w:tcPr>
          <w:p w14:paraId="041BD01F" w14:textId="77777777" w:rsidR="00DF6AD5" w:rsidRPr="002E25AD" w:rsidRDefault="00DF6AD5" w:rsidP="006E1050">
            <w:pPr>
              <w:pStyle w:val="NoSpacing"/>
              <w:rPr>
                <w:rFonts w:ascii="Times New Roman" w:hAnsi="Times New Roman" w:cs="Times New Roman"/>
                <w:sz w:val="24"/>
                <w:szCs w:val="24"/>
                <w:lang w:val="en-US"/>
              </w:rPr>
            </w:pPr>
          </w:p>
        </w:tc>
        <w:tc>
          <w:tcPr>
            <w:tcW w:w="1417" w:type="dxa"/>
            <w:vAlign w:val="center"/>
          </w:tcPr>
          <w:p w14:paraId="3A0BDF5F" w14:textId="4152C14A" w:rsidR="00DF6AD5" w:rsidRPr="002E25AD" w:rsidRDefault="00DF6AD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24.0 (9.0)</w:t>
            </w:r>
          </w:p>
        </w:tc>
        <w:tc>
          <w:tcPr>
            <w:tcW w:w="1701" w:type="dxa"/>
            <w:vAlign w:val="center"/>
          </w:tcPr>
          <w:p w14:paraId="74851C7F" w14:textId="1ECE03AF" w:rsidR="00DF6AD5" w:rsidRPr="002E25AD" w:rsidRDefault="00DF6AD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25.1 (9.8)</w:t>
            </w:r>
          </w:p>
        </w:tc>
        <w:tc>
          <w:tcPr>
            <w:tcW w:w="1630" w:type="dxa"/>
            <w:vAlign w:val="center"/>
          </w:tcPr>
          <w:p w14:paraId="31A31DF0" w14:textId="60701535" w:rsidR="00DF6AD5" w:rsidRPr="002E25AD" w:rsidRDefault="00DF6AD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23.2 (8.4)</w:t>
            </w:r>
          </w:p>
        </w:tc>
        <w:tc>
          <w:tcPr>
            <w:tcW w:w="1313" w:type="dxa"/>
            <w:vAlign w:val="center"/>
          </w:tcPr>
          <w:p w14:paraId="59C045F2" w14:textId="46EA7AC7" w:rsidR="00DF6AD5" w:rsidRPr="002E25AD" w:rsidRDefault="00DF6AD5" w:rsidP="006E1050">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bl>
    <w:p w14:paraId="4D3E9D37" w14:textId="35293585" w:rsidR="00064C5C" w:rsidRPr="002E25AD" w:rsidRDefault="00064C5C" w:rsidP="00064C5C">
      <w:pPr>
        <w:pStyle w:val="NoSpacing"/>
        <w:rPr>
          <w:rFonts w:ascii="Times New Roman" w:hAnsi="Times New Roman" w:cs="Times New Roman"/>
          <w:sz w:val="24"/>
          <w:szCs w:val="24"/>
          <w:shd w:val="clear" w:color="auto" w:fill="FFFFFF"/>
          <w:lang w:val="en-US"/>
        </w:rPr>
      </w:pPr>
      <w:r w:rsidRPr="002E25AD">
        <w:rPr>
          <w:rFonts w:ascii="Times New Roman" w:hAnsi="Times New Roman" w:cs="Times New Roman"/>
          <w:sz w:val="24"/>
          <w:szCs w:val="24"/>
          <w:shd w:val="clear" w:color="auto" w:fill="FFFFFF"/>
          <w:lang w:val="en-US"/>
        </w:rPr>
        <w:t>Variable</w:t>
      </w:r>
      <w:r w:rsidR="00DF3E7F" w:rsidRPr="002E25AD">
        <w:rPr>
          <w:rFonts w:ascii="Times New Roman" w:hAnsi="Times New Roman" w:cs="Times New Roman"/>
          <w:sz w:val="24"/>
          <w:szCs w:val="24"/>
          <w:shd w:val="clear" w:color="auto" w:fill="FFFFFF"/>
          <w:lang w:val="en-US"/>
        </w:rPr>
        <w:t>s are</w:t>
      </w:r>
      <w:r w:rsidRPr="002E25AD">
        <w:rPr>
          <w:rFonts w:ascii="Times New Roman" w:hAnsi="Times New Roman" w:cs="Times New Roman"/>
          <w:sz w:val="24"/>
          <w:szCs w:val="24"/>
          <w:shd w:val="clear" w:color="auto" w:fill="FFFFFF"/>
          <w:lang w:val="en-US"/>
        </w:rPr>
        <w:t xml:space="preserve"> presented as mean </w:t>
      </w:r>
      <w:r w:rsidR="00DF3E7F" w:rsidRPr="002E25AD">
        <w:rPr>
          <w:rFonts w:ascii="Times New Roman" w:hAnsi="Times New Roman" w:cs="Times New Roman"/>
          <w:sz w:val="24"/>
          <w:szCs w:val="24"/>
          <w:shd w:val="clear" w:color="auto" w:fill="FFFFFF"/>
          <w:lang w:val="en-US"/>
        </w:rPr>
        <w:t>(SD)</w:t>
      </w:r>
      <w:r w:rsidR="00C75AD3" w:rsidRPr="002E25AD">
        <w:rPr>
          <w:rFonts w:ascii="Times New Roman" w:hAnsi="Times New Roman" w:cs="Times New Roman"/>
          <w:sz w:val="24"/>
          <w:szCs w:val="24"/>
          <w:shd w:val="clear" w:color="auto" w:fill="FFFFFF"/>
          <w:lang w:val="en-US"/>
        </w:rPr>
        <w:t xml:space="preserve"> unless otherwise indicated</w:t>
      </w:r>
      <w:r w:rsidRPr="002E25AD">
        <w:rPr>
          <w:rFonts w:ascii="Times New Roman" w:hAnsi="Times New Roman" w:cs="Times New Roman"/>
          <w:sz w:val="24"/>
          <w:szCs w:val="24"/>
          <w:shd w:val="clear" w:color="auto" w:fill="FFFFFF"/>
          <w:lang w:val="en-US"/>
        </w:rPr>
        <w:t>.</w:t>
      </w:r>
      <w:r w:rsidR="00DF3E7F" w:rsidRPr="002E25AD">
        <w:rPr>
          <w:rFonts w:ascii="Times New Roman" w:hAnsi="Times New Roman" w:cs="Times New Roman"/>
          <w:sz w:val="24"/>
          <w:szCs w:val="24"/>
          <w:shd w:val="clear" w:color="auto" w:fill="FFFFFF"/>
          <w:lang w:val="en-US"/>
        </w:rPr>
        <w:t xml:space="preserve"> *Variable is presented as median (interquartile range)</w:t>
      </w:r>
      <w:r w:rsidR="00E77B37" w:rsidRPr="002E25AD">
        <w:rPr>
          <w:rFonts w:ascii="Times New Roman" w:hAnsi="Times New Roman" w:cs="Times New Roman"/>
          <w:sz w:val="24"/>
          <w:szCs w:val="24"/>
          <w:shd w:val="clear" w:color="auto" w:fill="FFFFFF"/>
          <w:lang w:val="en-US"/>
        </w:rPr>
        <w:t xml:space="preserve"> because it did not follow a normal distribution</w:t>
      </w:r>
      <w:r w:rsidR="00DF3E7F" w:rsidRPr="002E25AD">
        <w:rPr>
          <w:rFonts w:ascii="Times New Roman" w:hAnsi="Times New Roman" w:cs="Times New Roman"/>
          <w:sz w:val="24"/>
          <w:szCs w:val="24"/>
          <w:shd w:val="clear" w:color="auto" w:fill="FFFFFF"/>
          <w:lang w:val="en-US"/>
        </w:rPr>
        <w:t>.</w:t>
      </w:r>
      <w:r w:rsidR="00E77B37" w:rsidRPr="002E25AD">
        <w:rPr>
          <w:rFonts w:ascii="Times New Roman" w:hAnsi="Times New Roman" w:cs="Times New Roman"/>
          <w:sz w:val="24"/>
          <w:szCs w:val="24"/>
          <w:shd w:val="clear" w:color="auto" w:fill="FFFFFF"/>
          <w:lang w:val="en-US"/>
        </w:rPr>
        <w:t xml:space="preserve"> Differences between men and women were assessed using Student’s T-tests in the case of </w:t>
      </w:r>
      <w:r w:rsidR="0013528C" w:rsidRPr="002E25AD">
        <w:rPr>
          <w:rFonts w:ascii="Times New Roman" w:hAnsi="Times New Roman" w:cs="Times New Roman"/>
          <w:sz w:val="24"/>
          <w:szCs w:val="24"/>
          <w:shd w:val="clear" w:color="auto" w:fill="FFFFFF"/>
          <w:lang w:val="en-US"/>
        </w:rPr>
        <w:t xml:space="preserve">normally distributed </w:t>
      </w:r>
      <w:r w:rsidR="00E77B37" w:rsidRPr="002E25AD">
        <w:rPr>
          <w:rFonts w:ascii="Times New Roman" w:hAnsi="Times New Roman" w:cs="Times New Roman"/>
          <w:sz w:val="24"/>
          <w:szCs w:val="24"/>
          <w:shd w:val="clear" w:color="auto" w:fill="FFFFFF"/>
          <w:lang w:val="en-US"/>
        </w:rPr>
        <w:t xml:space="preserve">continuous variables, </w:t>
      </w:r>
      <w:r w:rsidR="00E77B37" w:rsidRPr="002E25AD">
        <w:rPr>
          <w:rFonts w:ascii="Times New Roman" w:hAnsi="Times New Roman" w:cs="Times New Roman"/>
          <w:sz w:val="24"/>
          <w:szCs w:val="24"/>
          <w:shd w:val="clear" w:color="auto" w:fill="FFFFFF"/>
          <w:lang w:val="en-US"/>
        </w:rPr>
        <w:sym w:font="Symbol" w:char="F063"/>
      </w:r>
      <w:r w:rsidR="00E77B37" w:rsidRPr="002E25AD">
        <w:rPr>
          <w:rFonts w:ascii="Times New Roman" w:hAnsi="Times New Roman" w:cs="Times New Roman"/>
          <w:sz w:val="24"/>
          <w:szCs w:val="24"/>
          <w:shd w:val="clear" w:color="auto" w:fill="FFFFFF"/>
          <w:vertAlign w:val="superscript"/>
          <w:lang w:val="en-US"/>
        </w:rPr>
        <w:t>2</w:t>
      </w:r>
      <w:r w:rsidR="00E77B37" w:rsidRPr="002E25AD">
        <w:rPr>
          <w:rFonts w:ascii="Times New Roman" w:hAnsi="Times New Roman" w:cs="Times New Roman"/>
          <w:sz w:val="24"/>
          <w:szCs w:val="24"/>
          <w:shd w:val="clear" w:color="auto" w:fill="FFFFFF"/>
          <w:lang w:val="en-US"/>
        </w:rPr>
        <w:t>-tests in the case of categorical variables and Mann-Whitney U tests in the case of non-normally distributed</w:t>
      </w:r>
      <w:r w:rsidR="0013528C" w:rsidRPr="002E25AD">
        <w:rPr>
          <w:rFonts w:ascii="Times New Roman" w:hAnsi="Times New Roman" w:cs="Times New Roman"/>
          <w:sz w:val="24"/>
          <w:szCs w:val="24"/>
          <w:shd w:val="clear" w:color="auto" w:fill="FFFFFF"/>
          <w:lang w:val="en-US"/>
        </w:rPr>
        <w:t xml:space="preserve"> continuous</w:t>
      </w:r>
      <w:r w:rsidR="00E77B37" w:rsidRPr="002E25AD">
        <w:rPr>
          <w:rFonts w:ascii="Times New Roman" w:hAnsi="Times New Roman" w:cs="Times New Roman"/>
          <w:sz w:val="24"/>
          <w:szCs w:val="24"/>
          <w:shd w:val="clear" w:color="auto" w:fill="FFFFFF"/>
          <w:lang w:val="en-US"/>
        </w:rPr>
        <w:t xml:space="preserve"> variables.</w:t>
      </w:r>
      <w:r w:rsidR="00940F04" w:rsidRPr="002E25AD">
        <w:rPr>
          <w:rFonts w:ascii="Times New Roman" w:hAnsi="Times New Roman" w:cs="Times New Roman"/>
          <w:sz w:val="24"/>
          <w:szCs w:val="24"/>
          <w:shd w:val="clear" w:color="auto" w:fill="FFFFFF"/>
          <w:lang w:val="en-US"/>
        </w:rPr>
        <w:t xml:space="preserve"> The statistics reported above represent the dataset after multiple imputation. </w:t>
      </w:r>
    </w:p>
    <w:p w14:paraId="1F8023FF" w14:textId="387B3937" w:rsidR="00885BA5" w:rsidRPr="002E25AD" w:rsidRDefault="00580F61" w:rsidP="00885BA5">
      <w:pPr>
        <w:rPr>
          <w:rFonts w:ascii="Times New Roman" w:hAnsi="Times New Roman" w:cs="Times New Roman"/>
          <w:sz w:val="24"/>
          <w:szCs w:val="24"/>
          <w:shd w:val="clear" w:color="auto" w:fill="FFFFFF"/>
          <w:lang w:val="en-US"/>
        </w:rPr>
      </w:pPr>
      <w:r w:rsidRPr="002E25AD">
        <w:rPr>
          <w:rFonts w:ascii="Times New Roman" w:hAnsi="Times New Roman" w:cs="Times New Roman"/>
          <w:sz w:val="24"/>
          <w:szCs w:val="24"/>
          <w:shd w:val="clear" w:color="auto" w:fill="FFFFFF"/>
          <w:lang w:val="en-US"/>
        </w:rPr>
        <w:br w:type="page"/>
      </w:r>
    </w:p>
    <w:p w14:paraId="3DCCEF67" w14:textId="6266638B" w:rsidR="00FA2710" w:rsidRPr="002E25AD" w:rsidRDefault="00FA2710" w:rsidP="00FA2710">
      <w:pPr>
        <w:pStyle w:val="NoSpacing"/>
        <w:rPr>
          <w:rFonts w:ascii="Times New Roman" w:hAnsi="Times New Roman" w:cs="Times New Roman"/>
          <w:sz w:val="24"/>
          <w:szCs w:val="24"/>
          <w:shd w:val="clear" w:color="auto" w:fill="FFFFFF"/>
          <w:lang w:val="en-US"/>
        </w:rPr>
      </w:pPr>
      <w:r w:rsidRPr="002E25AD">
        <w:rPr>
          <w:rFonts w:ascii="Times New Roman" w:hAnsi="Times New Roman" w:cs="Times New Roman"/>
          <w:sz w:val="24"/>
          <w:szCs w:val="24"/>
          <w:shd w:val="clear" w:color="auto" w:fill="FFFFFF"/>
          <w:lang w:val="en-US"/>
        </w:rPr>
        <w:lastRenderedPageBreak/>
        <w:t xml:space="preserve">Table </w:t>
      </w:r>
      <w:r w:rsidR="00682A9B" w:rsidRPr="002E25AD">
        <w:rPr>
          <w:rFonts w:ascii="Times New Roman" w:hAnsi="Times New Roman" w:cs="Times New Roman"/>
          <w:sz w:val="24"/>
          <w:szCs w:val="24"/>
          <w:shd w:val="clear" w:color="auto" w:fill="FFFFFF"/>
          <w:lang w:val="en-US"/>
        </w:rPr>
        <w:t>2</w:t>
      </w:r>
      <w:r w:rsidRPr="002E25AD">
        <w:rPr>
          <w:rFonts w:ascii="Times New Roman" w:hAnsi="Times New Roman" w:cs="Times New Roman"/>
          <w:sz w:val="24"/>
          <w:szCs w:val="24"/>
          <w:shd w:val="clear" w:color="auto" w:fill="FFFFFF"/>
          <w:lang w:val="en-US"/>
        </w:rPr>
        <w:t>. Associations between total dietary antioxidant capacity, risk of type 2 diabetes, risk of type 2 diabetes among prediabetics and risk of prediabetes.</w:t>
      </w:r>
    </w:p>
    <w:tbl>
      <w:tblPr>
        <w:tblStyle w:val="TableGrid"/>
        <w:tblpPr w:leftFromText="180" w:rightFromText="180" w:vertAnchor="page" w:horzAnchor="page" w:tblpX="1450" w:tblpY="2165"/>
        <w:tblW w:w="4853" w:type="pct"/>
        <w:tblLayout w:type="fixed"/>
        <w:tblLook w:val="04A0" w:firstRow="1" w:lastRow="0" w:firstColumn="1" w:lastColumn="0" w:noHBand="0" w:noVBand="1"/>
      </w:tblPr>
      <w:tblGrid>
        <w:gridCol w:w="1178"/>
        <w:gridCol w:w="1750"/>
        <w:gridCol w:w="839"/>
        <w:gridCol w:w="1731"/>
        <w:gridCol w:w="804"/>
        <w:gridCol w:w="1736"/>
        <w:gridCol w:w="758"/>
      </w:tblGrid>
      <w:tr w:rsidR="002E25AD" w:rsidRPr="002E25AD" w14:paraId="08A661CD" w14:textId="77777777" w:rsidTr="00FA2710">
        <w:tc>
          <w:tcPr>
            <w:tcW w:w="5000" w:type="pct"/>
            <w:gridSpan w:val="7"/>
          </w:tcPr>
          <w:p w14:paraId="5F9C423F" w14:textId="77777777" w:rsidR="00FA2710" w:rsidRPr="002E25AD" w:rsidRDefault="00FA2710" w:rsidP="00FA2710">
            <w:pPr>
              <w:jc w:val="center"/>
              <w:rPr>
                <w:rFonts w:ascii="Times New Roman" w:eastAsia="Calibri" w:hAnsi="Times New Roman" w:cs="Times New Roman"/>
                <w:b/>
                <w:sz w:val="24"/>
                <w:szCs w:val="24"/>
                <w:lang w:val="en-US"/>
              </w:rPr>
            </w:pPr>
            <w:r w:rsidRPr="002E25AD">
              <w:rPr>
                <w:rFonts w:ascii="Times New Roman" w:eastAsia="Calibri" w:hAnsi="Times New Roman" w:cs="Times New Roman"/>
                <w:b/>
                <w:sz w:val="24"/>
                <w:szCs w:val="24"/>
                <w:lang w:val="en-US"/>
              </w:rPr>
              <w:t>Incident Type 2 Diabetes</w:t>
            </w:r>
          </w:p>
        </w:tc>
      </w:tr>
      <w:tr w:rsidR="002E25AD" w:rsidRPr="002E25AD" w14:paraId="28C299EE" w14:textId="77777777" w:rsidTr="00FA2710">
        <w:tc>
          <w:tcPr>
            <w:tcW w:w="669" w:type="pct"/>
          </w:tcPr>
          <w:p w14:paraId="7202B310" w14:textId="77777777" w:rsidR="00FA2710" w:rsidRPr="002E25AD" w:rsidRDefault="00FA2710" w:rsidP="00FA2710">
            <w:pPr>
              <w:rPr>
                <w:rFonts w:ascii="Times New Roman" w:eastAsia="Calibri" w:hAnsi="Times New Roman" w:cs="Times New Roman"/>
                <w:sz w:val="24"/>
                <w:szCs w:val="24"/>
                <w:lang w:val="en-US"/>
              </w:rPr>
            </w:pPr>
          </w:p>
        </w:tc>
        <w:tc>
          <w:tcPr>
            <w:tcW w:w="995" w:type="pct"/>
          </w:tcPr>
          <w:p w14:paraId="6C9C527D"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Total population </w:t>
            </w:r>
          </w:p>
          <w:p w14:paraId="441571FB"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5,796, </w:t>
            </w:r>
          </w:p>
          <w:p w14:paraId="05C28BAB"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532)</w:t>
            </w:r>
          </w:p>
        </w:tc>
        <w:tc>
          <w:tcPr>
            <w:tcW w:w="477" w:type="pct"/>
          </w:tcPr>
          <w:p w14:paraId="1374DEAA"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4" w:type="pct"/>
          </w:tcPr>
          <w:p w14:paraId="058ED470"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Men </w:t>
            </w:r>
          </w:p>
          <w:p w14:paraId="53787466"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2,266, </w:t>
            </w:r>
          </w:p>
          <w:p w14:paraId="4F16513C"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218)</w:t>
            </w:r>
          </w:p>
        </w:tc>
        <w:tc>
          <w:tcPr>
            <w:tcW w:w="457" w:type="pct"/>
          </w:tcPr>
          <w:p w14:paraId="26373F05"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7" w:type="pct"/>
          </w:tcPr>
          <w:p w14:paraId="30795C96"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Women  </w:t>
            </w:r>
          </w:p>
          <w:p w14:paraId="3AE1C20E" w14:textId="536D441D"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 3,5</w:t>
            </w:r>
            <w:r w:rsidR="00710474" w:rsidRPr="002E25AD">
              <w:rPr>
                <w:rFonts w:ascii="Times New Roman" w:eastAsia="Calibri" w:hAnsi="Times New Roman" w:cs="Times New Roman"/>
                <w:sz w:val="24"/>
                <w:szCs w:val="24"/>
                <w:lang w:val="en-US"/>
              </w:rPr>
              <w:t>30</w:t>
            </w:r>
            <w:r w:rsidRPr="002E25AD">
              <w:rPr>
                <w:rFonts w:ascii="Times New Roman" w:eastAsia="Calibri" w:hAnsi="Times New Roman" w:cs="Times New Roman"/>
                <w:sz w:val="24"/>
                <w:szCs w:val="24"/>
                <w:lang w:val="en-US"/>
              </w:rPr>
              <w:t>,</w:t>
            </w:r>
          </w:p>
          <w:p w14:paraId="01DE6B95" w14:textId="055EA4D8"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3</w:t>
            </w:r>
            <w:r w:rsidR="00710474" w:rsidRPr="002E25AD">
              <w:rPr>
                <w:rFonts w:ascii="Times New Roman" w:eastAsia="Calibri" w:hAnsi="Times New Roman" w:cs="Times New Roman"/>
                <w:sz w:val="24"/>
                <w:szCs w:val="24"/>
                <w:lang w:val="en-US"/>
              </w:rPr>
              <w:t>14</w:t>
            </w:r>
            <w:r w:rsidRPr="002E25AD">
              <w:rPr>
                <w:rFonts w:ascii="Times New Roman" w:eastAsia="Calibri" w:hAnsi="Times New Roman" w:cs="Times New Roman"/>
                <w:sz w:val="24"/>
                <w:szCs w:val="24"/>
                <w:lang w:val="en-US"/>
              </w:rPr>
              <w:t>)</w:t>
            </w:r>
          </w:p>
        </w:tc>
        <w:tc>
          <w:tcPr>
            <w:tcW w:w="431" w:type="pct"/>
          </w:tcPr>
          <w:p w14:paraId="4CD1D419"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r>
      <w:tr w:rsidR="002E25AD" w:rsidRPr="002E25AD" w14:paraId="22CBE3B2" w14:textId="77777777" w:rsidTr="00FA2710">
        <w:tc>
          <w:tcPr>
            <w:tcW w:w="669" w:type="pct"/>
            <w:vAlign w:val="center"/>
          </w:tcPr>
          <w:p w14:paraId="4C97F795" w14:textId="77777777" w:rsidR="00FA2710" w:rsidRPr="002E25AD" w:rsidRDefault="00FA2710" w:rsidP="00FA2710">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1*</w:t>
            </w:r>
          </w:p>
        </w:tc>
        <w:tc>
          <w:tcPr>
            <w:tcW w:w="995" w:type="pct"/>
            <w:vAlign w:val="center"/>
          </w:tcPr>
          <w:p w14:paraId="7D01EAD6"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0.86 (0.76 ; 0.96)</w:t>
            </w:r>
          </w:p>
        </w:tc>
        <w:tc>
          <w:tcPr>
            <w:tcW w:w="477" w:type="pct"/>
            <w:vAlign w:val="center"/>
          </w:tcPr>
          <w:p w14:paraId="4D9B2088" w14:textId="4F4049DF"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w:t>
            </w:r>
            <w:r w:rsidR="00CE0CB1" w:rsidRPr="002E25AD">
              <w:rPr>
                <w:rFonts w:ascii="Times New Roman" w:eastAsia="Calibri" w:hAnsi="Times New Roman" w:cs="Times New Roman"/>
                <w:sz w:val="24"/>
                <w:szCs w:val="24"/>
                <w:lang w:val="en-US"/>
              </w:rPr>
              <w:t>1</w:t>
            </w:r>
          </w:p>
        </w:tc>
        <w:tc>
          <w:tcPr>
            <w:tcW w:w="984" w:type="pct"/>
            <w:vAlign w:val="center"/>
          </w:tcPr>
          <w:p w14:paraId="533BE6EF"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0.85 (0.72 ; 1.00)</w:t>
            </w:r>
          </w:p>
        </w:tc>
        <w:tc>
          <w:tcPr>
            <w:tcW w:w="457" w:type="pct"/>
            <w:vAlign w:val="center"/>
          </w:tcPr>
          <w:p w14:paraId="3C173D62" w14:textId="0C2999B6"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w:t>
            </w:r>
            <w:r w:rsidR="00CE0CB1" w:rsidRPr="002E25AD">
              <w:rPr>
                <w:rFonts w:ascii="Times New Roman" w:eastAsia="Calibri" w:hAnsi="Times New Roman" w:cs="Times New Roman"/>
                <w:sz w:val="24"/>
                <w:szCs w:val="24"/>
                <w:lang w:val="en-US"/>
              </w:rPr>
              <w:t>5</w:t>
            </w:r>
          </w:p>
        </w:tc>
        <w:tc>
          <w:tcPr>
            <w:tcW w:w="987" w:type="pct"/>
            <w:vAlign w:val="center"/>
          </w:tcPr>
          <w:p w14:paraId="629ABB48"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0.87 (0.74 ; 1.02)</w:t>
            </w:r>
          </w:p>
        </w:tc>
        <w:tc>
          <w:tcPr>
            <w:tcW w:w="431" w:type="pct"/>
            <w:vAlign w:val="center"/>
          </w:tcPr>
          <w:p w14:paraId="650F9B76" w14:textId="6306F749"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w:t>
            </w:r>
            <w:r w:rsidR="00CE0CB1" w:rsidRPr="002E25AD">
              <w:rPr>
                <w:rFonts w:ascii="Times New Roman" w:eastAsia="Calibri" w:hAnsi="Times New Roman" w:cs="Times New Roman"/>
                <w:sz w:val="24"/>
                <w:szCs w:val="24"/>
                <w:lang w:val="en-US"/>
              </w:rPr>
              <w:t>9</w:t>
            </w:r>
          </w:p>
        </w:tc>
      </w:tr>
      <w:tr w:rsidR="002E25AD" w:rsidRPr="002E25AD" w14:paraId="0AD5AF3E" w14:textId="77777777" w:rsidTr="00FA2710">
        <w:tc>
          <w:tcPr>
            <w:tcW w:w="669" w:type="pct"/>
            <w:vAlign w:val="center"/>
          </w:tcPr>
          <w:p w14:paraId="02EAF7BD" w14:textId="77777777" w:rsidR="00FA2710" w:rsidRPr="002E25AD" w:rsidRDefault="00FA2710" w:rsidP="00FA2710">
            <w:pPr>
              <w:rPr>
                <w:rFonts w:ascii="Times New Roman" w:eastAsia="Times New Roman" w:hAnsi="Times New Roman" w:cs="Times New Roman"/>
                <w:sz w:val="24"/>
                <w:szCs w:val="24"/>
                <w:lang w:val="en-GB" w:eastAsia="en-GB"/>
              </w:rPr>
            </w:pPr>
            <w:r w:rsidRPr="002E25AD">
              <w:rPr>
                <w:rFonts w:ascii="Times New Roman" w:eastAsia="Calibri" w:hAnsi="Times New Roman" w:cs="Times New Roman"/>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995" w:type="pct"/>
            <w:vAlign w:val="center"/>
          </w:tcPr>
          <w:p w14:paraId="0B2EB97F"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0.85 (0.76 ; 0.95)</w:t>
            </w:r>
          </w:p>
        </w:tc>
        <w:tc>
          <w:tcPr>
            <w:tcW w:w="477" w:type="pct"/>
            <w:vAlign w:val="center"/>
          </w:tcPr>
          <w:p w14:paraId="1A8EFA95"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0.004</w:t>
            </w:r>
          </w:p>
        </w:tc>
        <w:tc>
          <w:tcPr>
            <w:tcW w:w="984" w:type="pct"/>
            <w:vAlign w:val="center"/>
          </w:tcPr>
          <w:p w14:paraId="7A2FEE7F"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0.82 (0.70 ; 0.97)</w:t>
            </w:r>
          </w:p>
        </w:tc>
        <w:tc>
          <w:tcPr>
            <w:tcW w:w="457" w:type="pct"/>
            <w:vAlign w:val="center"/>
          </w:tcPr>
          <w:p w14:paraId="1BDD80ED" w14:textId="3DDC8A43"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w:t>
            </w:r>
            <w:r w:rsidR="00CE0CB1" w:rsidRPr="002E25AD">
              <w:rPr>
                <w:rFonts w:ascii="Times New Roman" w:eastAsia="Calibri" w:hAnsi="Times New Roman" w:cs="Times New Roman"/>
                <w:sz w:val="24"/>
                <w:szCs w:val="24"/>
                <w:lang w:val="en-US"/>
              </w:rPr>
              <w:t>2</w:t>
            </w:r>
          </w:p>
        </w:tc>
        <w:tc>
          <w:tcPr>
            <w:tcW w:w="987" w:type="pct"/>
            <w:vAlign w:val="center"/>
          </w:tcPr>
          <w:p w14:paraId="1BA7CCDB"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0.86 (0.73 ; 1.01)</w:t>
            </w:r>
          </w:p>
        </w:tc>
        <w:tc>
          <w:tcPr>
            <w:tcW w:w="431" w:type="pct"/>
            <w:vAlign w:val="center"/>
          </w:tcPr>
          <w:p w14:paraId="0F6AAF59" w14:textId="49CA39E1" w:rsidR="00FA2710" w:rsidRPr="002E25AD" w:rsidRDefault="00CE0CB1"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0.07</w:t>
            </w:r>
            <w:r w:rsidR="00FA2710" w:rsidRPr="002E25AD">
              <w:rPr>
                <w:rFonts w:ascii="Times New Roman" w:eastAsia="Calibri" w:hAnsi="Times New Roman" w:cs="Times New Roman"/>
                <w:sz w:val="24"/>
                <w:szCs w:val="24"/>
                <w:lang w:val="en-US"/>
              </w:rPr>
              <w:t xml:space="preserve"> </w:t>
            </w:r>
          </w:p>
        </w:tc>
      </w:tr>
      <w:tr w:rsidR="002E25AD" w:rsidRPr="002E25AD" w14:paraId="78EFBCD1" w14:textId="77777777" w:rsidTr="00FA2710">
        <w:tc>
          <w:tcPr>
            <w:tcW w:w="669" w:type="pct"/>
            <w:vAlign w:val="center"/>
          </w:tcPr>
          <w:p w14:paraId="42B0A30F" w14:textId="77777777" w:rsidR="00FA2710" w:rsidRPr="002E25AD" w:rsidRDefault="00FA2710" w:rsidP="00FA2710">
            <w:pPr>
              <w:rPr>
                <w:rFonts w:ascii="Times New Roman" w:eastAsia="Times New Roman" w:hAnsi="Times New Roman" w:cs="Times New Roman"/>
                <w:sz w:val="24"/>
                <w:szCs w:val="24"/>
                <w:lang w:val="en-GB" w:eastAsia="en-GB"/>
              </w:rPr>
            </w:pPr>
            <w:r w:rsidRPr="002E25AD">
              <w:rPr>
                <w:rFonts w:ascii="Times New Roman" w:eastAsia="Calibri" w:hAnsi="Times New Roman" w:cs="Times New Roman"/>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995" w:type="pct"/>
            <w:vAlign w:val="center"/>
          </w:tcPr>
          <w:p w14:paraId="0D6C3F82"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0.84 (0.75 ; 0.95)</w:t>
            </w:r>
          </w:p>
        </w:tc>
        <w:tc>
          <w:tcPr>
            <w:tcW w:w="477" w:type="pct"/>
            <w:vAlign w:val="center"/>
          </w:tcPr>
          <w:p w14:paraId="0CCD1587" w14:textId="5DAF91C4"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w:t>
            </w:r>
            <w:r w:rsidR="00CE0CB1" w:rsidRPr="002E25AD">
              <w:rPr>
                <w:rFonts w:ascii="Times New Roman" w:eastAsia="Calibri" w:hAnsi="Times New Roman" w:cs="Times New Roman"/>
                <w:sz w:val="24"/>
                <w:szCs w:val="24"/>
                <w:lang w:val="en-US"/>
              </w:rPr>
              <w:t>1</w:t>
            </w:r>
          </w:p>
        </w:tc>
        <w:tc>
          <w:tcPr>
            <w:tcW w:w="984" w:type="pct"/>
            <w:vAlign w:val="center"/>
          </w:tcPr>
          <w:p w14:paraId="32BF9178"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0.84 (0.71 ; 1.00)</w:t>
            </w:r>
          </w:p>
        </w:tc>
        <w:tc>
          <w:tcPr>
            <w:tcW w:w="457" w:type="pct"/>
            <w:vAlign w:val="center"/>
          </w:tcPr>
          <w:p w14:paraId="7A3C6F9F" w14:textId="6E16F04B"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w:t>
            </w:r>
            <w:r w:rsidR="00CE0CB1" w:rsidRPr="002E25AD">
              <w:rPr>
                <w:rFonts w:ascii="Times New Roman" w:eastAsia="Calibri" w:hAnsi="Times New Roman" w:cs="Times New Roman"/>
                <w:sz w:val="24"/>
                <w:szCs w:val="24"/>
                <w:lang w:val="en-US"/>
              </w:rPr>
              <w:t>6</w:t>
            </w:r>
          </w:p>
        </w:tc>
        <w:tc>
          <w:tcPr>
            <w:tcW w:w="987" w:type="pct"/>
            <w:vAlign w:val="center"/>
          </w:tcPr>
          <w:p w14:paraId="7B932E74"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0.83 (0.70 ; 0.99)</w:t>
            </w:r>
          </w:p>
        </w:tc>
        <w:tc>
          <w:tcPr>
            <w:tcW w:w="431" w:type="pct"/>
            <w:vAlign w:val="center"/>
          </w:tcPr>
          <w:p w14:paraId="586A168B" w14:textId="270AD1F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0.03</w:t>
            </w:r>
          </w:p>
        </w:tc>
      </w:tr>
      <w:tr w:rsidR="002E25AD" w:rsidRPr="002E25AD" w14:paraId="42EB5A7E" w14:textId="77777777" w:rsidTr="00FA2710">
        <w:tc>
          <w:tcPr>
            <w:tcW w:w="5000" w:type="pct"/>
            <w:gridSpan w:val="7"/>
            <w:vAlign w:val="center"/>
          </w:tcPr>
          <w:p w14:paraId="202B9477" w14:textId="77777777" w:rsidR="00FA2710" w:rsidRPr="002E25AD" w:rsidRDefault="00FA2710" w:rsidP="00FA2710">
            <w:pPr>
              <w:jc w:val="center"/>
              <w:rPr>
                <w:rFonts w:ascii="Times New Roman" w:eastAsia="Calibri" w:hAnsi="Times New Roman" w:cs="Times New Roman"/>
                <w:b/>
                <w:sz w:val="24"/>
                <w:szCs w:val="24"/>
                <w:lang w:val="en-US"/>
              </w:rPr>
            </w:pPr>
            <w:r w:rsidRPr="002E25AD">
              <w:rPr>
                <w:rFonts w:ascii="Times New Roman" w:eastAsia="Calibri" w:hAnsi="Times New Roman" w:cs="Times New Roman"/>
                <w:b/>
                <w:sz w:val="24"/>
                <w:szCs w:val="24"/>
                <w:lang w:val="en-US"/>
              </w:rPr>
              <w:t>Incident Type 2 Diabetes among Participants with Prediabetes</w:t>
            </w:r>
          </w:p>
        </w:tc>
      </w:tr>
      <w:tr w:rsidR="002E25AD" w:rsidRPr="002E25AD" w14:paraId="52EB72E3" w14:textId="77777777" w:rsidTr="00FA2710">
        <w:tc>
          <w:tcPr>
            <w:tcW w:w="669" w:type="pct"/>
          </w:tcPr>
          <w:p w14:paraId="59FB75A1" w14:textId="77777777" w:rsidR="00FA2710" w:rsidRPr="002E25AD" w:rsidRDefault="00FA2710" w:rsidP="00FA2710">
            <w:pPr>
              <w:rPr>
                <w:rFonts w:ascii="Times New Roman" w:eastAsia="Calibri" w:hAnsi="Times New Roman" w:cs="Times New Roman"/>
                <w:sz w:val="24"/>
                <w:szCs w:val="24"/>
                <w:lang w:val="en-US"/>
              </w:rPr>
            </w:pPr>
          </w:p>
        </w:tc>
        <w:tc>
          <w:tcPr>
            <w:tcW w:w="995" w:type="pct"/>
          </w:tcPr>
          <w:p w14:paraId="1EDC83DF"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Total population </w:t>
            </w:r>
          </w:p>
          <w:p w14:paraId="0CBBC873"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839, </w:t>
            </w:r>
          </w:p>
          <w:p w14:paraId="1B058D5D"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259)</w:t>
            </w:r>
          </w:p>
        </w:tc>
        <w:tc>
          <w:tcPr>
            <w:tcW w:w="477" w:type="pct"/>
          </w:tcPr>
          <w:p w14:paraId="3F0CFB5B"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4" w:type="pct"/>
          </w:tcPr>
          <w:p w14:paraId="7013B257"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Men </w:t>
            </w:r>
          </w:p>
          <w:p w14:paraId="3EAD9D1B"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398, </w:t>
            </w:r>
          </w:p>
          <w:p w14:paraId="2570E50F"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114)</w:t>
            </w:r>
          </w:p>
        </w:tc>
        <w:tc>
          <w:tcPr>
            <w:tcW w:w="457" w:type="pct"/>
          </w:tcPr>
          <w:p w14:paraId="77103887"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7" w:type="pct"/>
          </w:tcPr>
          <w:p w14:paraId="44558934"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Women  </w:t>
            </w:r>
          </w:p>
          <w:p w14:paraId="207D7AF7"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 441,</w:t>
            </w:r>
          </w:p>
          <w:p w14:paraId="08E31EDD"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145)</w:t>
            </w:r>
          </w:p>
        </w:tc>
        <w:tc>
          <w:tcPr>
            <w:tcW w:w="431" w:type="pct"/>
          </w:tcPr>
          <w:p w14:paraId="0C23C28E"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r>
      <w:tr w:rsidR="002E25AD" w:rsidRPr="002E25AD" w14:paraId="021F6660" w14:textId="77777777" w:rsidTr="00FA2710">
        <w:tc>
          <w:tcPr>
            <w:tcW w:w="669" w:type="pct"/>
            <w:vAlign w:val="center"/>
          </w:tcPr>
          <w:p w14:paraId="2DA35C3C" w14:textId="77777777" w:rsidR="00FA2710" w:rsidRPr="002E25AD" w:rsidRDefault="00FA2710" w:rsidP="00FA2710">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1*</w:t>
            </w:r>
          </w:p>
        </w:tc>
        <w:tc>
          <w:tcPr>
            <w:tcW w:w="995" w:type="pct"/>
            <w:vAlign w:val="center"/>
          </w:tcPr>
          <w:p w14:paraId="6F16479B"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0.84 (0.73 ; 0.97)</w:t>
            </w:r>
          </w:p>
        </w:tc>
        <w:tc>
          <w:tcPr>
            <w:tcW w:w="477" w:type="pct"/>
            <w:vAlign w:val="center"/>
          </w:tcPr>
          <w:p w14:paraId="44C5EF08" w14:textId="1708F47A"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w:t>
            </w:r>
            <w:r w:rsidR="00CE0CB1" w:rsidRPr="002E25AD">
              <w:rPr>
                <w:rFonts w:ascii="Times New Roman" w:eastAsia="Calibri" w:hAnsi="Times New Roman" w:cs="Times New Roman"/>
                <w:sz w:val="24"/>
                <w:szCs w:val="24"/>
                <w:lang w:val="en-US"/>
              </w:rPr>
              <w:t>2</w:t>
            </w:r>
          </w:p>
        </w:tc>
        <w:tc>
          <w:tcPr>
            <w:tcW w:w="984" w:type="pct"/>
            <w:vAlign w:val="center"/>
          </w:tcPr>
          <w:p w14:paraId="786FEB22"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0.85 (0.70 ; 1.04)</w:t>
            </w:r>
          </w:p>
        </w:tc>
        <w:tc>
          <w:tcPr>
            <w:tcW w:w="457" w:type="pct"/>
            <w:vAlign w:val="center"/>
          </w:tcPr>
          <w:p w14:paraId="789C6066" w14:textId="60502F48"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w:t>
            </w:r>
            <w:r w:rsidR="00CE0CB1" w:rsidRPr="002E25AD">
              <w:rPr>
                <w:rFonts w:ascii="Times New Roman" w:eastAsia="Calibri" w:hAnsi="Times New Roman" w:cs="Times New Roman"/>
                <w:sz w:val="24"/>
                <w:szCs w:val="24"/>
                <w:lang w:val="en-US"/>
              </w:rPr>
              <w:t>1</w:t>
            </w:r>
          </w:p>
        </w:tc>
        <w:tc>
          <w:tcPr>
            <w:tcW w:w="987" w:type="pct"/>
            <w:vAlign w:val="center"/>
          </w:tcPr>
          <w:p w14:paraId="222B1C5F"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0.82 (0.66 ; 1.04)</w:t>
            </w:r>
          </w:p>
        </w:tc>
        <w:tc>
          <w:tcPr>
            <w:tcW w:w="431" w:type="pct"/>
            <w:vAlign w:val="center"/>
          </w:tcPr>
          <w:p w14:paraId="6AEC30F7" w14:textId="78DFE96F"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w:t>
            </w:r>
            <w:r w:rsidR="00CE0CB1" w:rsidRPr="002E25AD">
              <w:rPr>
                <w:rFonts w:ascii="Times New Roman" w:eastAsia="Calibri" w:hAnsi="Times New Roman" w:cs="Times New Roman"/>
                <w:sz w:val="24"/>
                <w:szCs w:val="24"/>
                <w:lang w:val="en-US"/>
              </w:rPr>
              <w:t>10</w:t>
            </w:r>
          </w:p>
        </w:tc>
      </w:tr>
      <w:tr w:rsidR="002E25AD" w:rsidRPr="002E25AD" w14:paraId="7D89E7EE" w14:textId="77777777" w:rsidTr="00FA2710">
        <w:tc>
          <w:tcPr>
            <w:tcW w:w="669" w:type="pct"/>
            <w:vAlign w:val="center"/>
          </w:tcPr>
          <w:p w14:paraId="09A7210F" w14:textId="77777777" w:rsidR="00FA2710" w:rsidRPr="002E25AD" w:rsidRDefault="00FA2710" w:rsidP="00FA2710">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995" w:type="pct"/>
            <w:vAlign w:val="center"/>
          </w:tcPr>
          <w:p w14:paraId="6BABE80F"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0.85 (0.73 ; 0.98)</w:t>
            </w:r>
          </w:p>
        </w:tc>
        <w:tc>
          <w:tcPr>
            <w:tcW w:w="477" w:type="pct"/>
            <w:vAlign w:val="center"/>
          </w:tcPr>
          <w:p w14:paraId="3CF26D58" w14:textId="38F8B610"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w:t>
            </w:r>
            <w:r w:rsidR="00CE0CB1" w:rsidRPr="002E25AD">
              <w:rPr>
                <w:rFonts w:ascii="Times New Roman" w:eastAsia="Calibri" w:hAnsi="Times New Roman" w:cs="Times New Roman"/>
                <w:sz w:val="24"/>
                <w:szCs w:val="24"/>
                <w:lang w:val="en-US"/>
              </w:rPr>
              <w:t>3</w:t>
            </w:r>
          </w:p>
        </w:tc>
        <w:tc>
          <w:tcPr>
            <w:tcW w:w="984" w:type="pct"/>
            <w:vAlign w:val="center"/>
          </w:tcPr>
          <w:p w14:paraId="3B5994DF"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0.83 (0.69 ; 1.01)</w:t>
            </w:r>
          </w:p>
        </w:tc>
        <w:tc>
          <w:tcPr>
            <w:tcW w:w="457" w:type="pct"/>
            <w:vAlign w:val="center"/>
          </w:tcPr>
          <w:p w14:paraId="76B108EC" w14:textId="6B6F374C"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w:t>
            </w:r>
            <w:r w:rsidR="00CE0CB1" w:rsidRPr="002E25AD">
              <w:rPr>
                <w:rFonts w:ascii="Times New Roman" w:eastAsia="Calibri" w:hAnsi="Times New Roman" w:cs="Times New Roman"/>
                <w:sz w:val="24"/>
                <w:szCs w:val="24"/>
                <w:lang w:val="en-US"/>
              </w:rPr>
              <w:t>6</w:t>
            </w:r>
          </w:p>
        </w:tc>
        <w:tc>
          <w:tcPr>
            <w:tcW w:w="987" w:type="pct"/>
            <w:vAlign w:val="center"/>
          </w:tcPr>
          <w:p w14:paraId="00B044BE"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0.85 (0.68 ; 1.07)</w:t>
            </w:r>
          </w:p>
        </w:tc>
        <w:tc>
          <w:tcPr>
            <w:tcW w:w="431" w:type="pct"/>
            <w:vAlign w:val="center"/>
          </w:tcPr>
          <w:p w14:paraId="0549DC02" w14:textId="62ED3538" w:rsidR="00FA2710" w:rsidRPr="002E25AD" w:rsidRDefault="00CE0CB1"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0.18</w:t>
            </w:r>
            <w:r w:rsidR="00FA2710" w:rsidRPr="002E25AD">
              <w:rPr>
                <w:rFonts w:ascii="Times New Roman" w:eastAsia="Calibri" w:hAnsi="Times New Roman" w:cs="Times New Roman"/>
                <w:sz w:val="24"/>
                <w:szCs w:val="24"/>
                <w:lang w:val="en-US"/>
              </w:rPr>
              <w:t xml:space="preserve"> </w:t>
            </w:r>
          </w:p>
        </w:tc>
      </w:tr>
      <w:tr w:rsidR="002E25AD" w:rsidRPr="002E25AD" w14:paraId="127B267C" w14:textId="77777777" w:rsidTr="00FA2710">
        <w:tc>
          <w:tcPr>
            <w:tcW w:w="669" w:type="pct"/>
            <w:vAlign w:val="center"/>
          </w:tcPr>
          <w:p w14:paraId="2E938B6F" w14:textId="77777777" w:rsidR="00FA2710" w:rsidRPr="002E25AD" w:rsidRDefault="00FA2710" w:rsidP="00FA2710">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995" w:type="pct"/>
            <w:vAlign w:val="center"/>
          </w:tcPr>
          <w:p w14:paraId="6D58E030"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0.85 (0.73 ; 0.99)</w:t>
            </w:r>
          </w:p>
        </w:tc>
        <w:tc>
          <w:tcPr>
            <w:tcW w:w="477" w:type="pct"/>
            <w:vAlign w:val="center"/>
          </w:tcPr>
          <w:p w14:paraId="059D7A7E" w14:textId="52FFCBC2"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0.03</w:t>
            </w:r>
          </w:p>
        </w:tc>
        <w:tc>
          <w:tcPr>
            <w:tcW w:w="984" w:type="pct"/>
            <w:vAlign w:val="center"/>
          </w:tcPr>
          <w:p w14:paraId="0570DA5E"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0.86 (0.70 ; 1.05)</w:t>
            </w:r>
          </w:p>
        </w:tc>
        <w:tc>
          <w:tcPr>
            <w:tcW w:w="457" w:type="pct"/>
            <w:vAlign w:val="center"/>
          </w:tcPr>
          <w:p w14:paraId="5575EA2A" w14:textId="0CC1B01D"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0.13</w:t>
            </w:r>
          </w:p>
        </w:tc>
        <w:tc>
          <w:tcPr>
            <w:tcW w:w="987" w:type="pct"/>
            <w:vAlign w:val="center"/>
          </w:tcPr>
          <w:p w14:paraId="27A538EE"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0.81 (0.63 ; 1.04)</w:t>
            </w:r>
          </w:p>
        </w:tc>
        <w:tc>
          <w:tcPr>
            <w:tcW w:w="431" w:type="pct"/>
            <w:vAlign w:val="center"/>
          </w:tcPr>
          <w:p w14:paraId="0885DCFA" w14:textId="79D44701"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w:t>
            </w:r>
            <w:r w:rsidR="00CE0CB1" w:rsidRPr="002E25AD">
              <w:rPr>
                <w:rFonts w:ascii="Times New Roman" w:eastAsia="Calibri" w:hAnsi="Times New Roman" w:cs="Times New Roman"/>
                <w:sz w:val="24"/>
                <w:szCs w:val="24"/>
                <w:lang w:val="en-US"/>
              </w:rPr>
              <w:t>10</w:t>
            </w:r>
          </w:p>
        </w:tc>
      </w:tr>
      <w:tr w:rsidR="002E25AD" w:rsidRPr="002E25AD" w14:paraId="620C82ED" w14:textId="77777777" w:rsidTr="00FA2710">
        <w:tc>
          <w:tcPr>
            <w:tcW w:w="5000" w:type="pct"/>
            <w:gridSpan w:val="7"/>
            <w:vAlign w:val="center"/>
          </w:tcPr>
          <w:p w14:paraId="19801759" w14:textId="77777777" w:rsidR="00FA2710" w:rsidRPr="002E25AD" w:rsidRDefault="00FA2710" w:rsidP="00FA2710">
            <w:pPr>
              <w:jc w:val="center"/>
              <w:rPr>
                <w:rFonts w:ascii="Times New Roman" w:eastAsia="Calibri" w:hAnsi="Times New Roman" w:cs="Times New Roman"/>
                <w:b/>
                <w:sz w:val="24"/>
                <w:szCs w:val="24"/>
                <w:lang w:val="en-US"/>
              </w:rPr>
            </w:pPr>
            <w:r w:rsidRPr="002E25AD">
              <w:rPr>
                <w:rFonts w:ascii="Times New Roman" w:eastAsia="Calibri" w:hAnsi="Times New Roman" w:cs="Times New Roman"/>
                <w:b/>
                <w:sz w:val="24"/>
                <w:szCs w:val="24"/>
                <w:lang w:val="en-US"/>
              </w:rPr>
              <w:t>Incident Prediabetes</w:t>
            </w:r>
          </w:p>
        </w:tc>
      </w:tr>
      <w:tr w:rsidR="002E25AD" w:rsidRPr="002E25AD" w14:paraId="35E9737B" w14:textId="77777777" w:rsidTr="00FA2710">
        <w:tc>
          <w:tcPr>
            <w:tcW w:w="669" w:type="pct"/>
          </w:tcPr>
          <w:p w14:paraId="1507B6E3" w14:textId="77777777" w:rsidR="00FA2710" w:rsidRPr="002E25AD" w:rsidRDefault="00FA2710" w:rsidP="00FA2710">
            <w:pPr>
              <w:rPr>
                <w:rFonts w:ascii="Times New Roman" w:eastAsia="Calibri" w:hAnsi="Times New Roman" w:cs="Times New Roman"/>
                <w:sz w:val="24"/>
                <w:szCs w:val="24"/>
                <w:lang w:val="en-US"/>
              </w:rPr>
            </w:pPr>
          </w:p>
        </w:tc>
        <w:tc>
          <w:tcPr>
            <w:tcW w:w="995" w:type="pct"/>
          </w:tcPr>
          <w:p w14:paraId="63FFCE72"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Total population </w:t>
            </w:r>
          </w:p>
          <w:p w14:paraId="679FDD27"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4,957, </w:t>
            </w:r>
          </w:p>
          <w:p w14:paraId="7AF41707"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794)</w:t>
            </w:r>
          </w:p>
        </w:tc>
        <w:tc>
          <w:tcPr>
            <w:tcW w:w="477" w:type="pct"/>
          </w:tcPr>
          <w:p w14:paraId="01245D09"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4" w:type="pct"/>
          </w:tcPr>
          <w:p w14:paraId="6B11CE8D"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Men </w:t>
            </w:r>
          </w:p>
          <w:p w14:paraId="252DDE7A"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1,868, </w:t>
            </w:r>
          </w:p>
          <w:p w14:paraId="6BBCB8DF"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297)</w:t>
            </w:r>
          </w:p>
        </w:tc>
        <w:tc>
          <w:tcPr>
            <w:tcW w:w="457" w:type="pct"/>
          </w:tcPr>
          <w:p w14:paraId="420D38F3"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7" w:type="pct"/>
          </w:tcPr>
          <w:p w14:paraId="104E9886"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Women  </w:t>
            </w:r>
          </w:p>
          <w:p w14:paraId="323E02C7"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 3,089,</w:t>
            </w:r>
          </w:p>
          <w:p w14:paraId="0FFD6BAE"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497)</w:t>
            </w:r>
          </w:p>
        </w:tc>
        <w:tc>
          <w:tcPr>
            <w:tcW w:w="431" w:type="pct"/>
          </w:tcPr>
          <w:p w14:paraId="0818AE75"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r>
      <w:tr w:rsidR="002E25AD" w:rsidRPr="002E25AD" w14:paraId="3A8C2F3D" w14:textId="77777777" w:rsidTr="00FA2710">
        <w:tc>
          <w:tcPr>
            <w:tcW w:w="669" w:type="pct"/>
            <w:vAlign w:val="center"/>
          </w:tcPr>
          <w:p w14:paraId="57FFF945" w14:textId="77777777" w:rsidR="00FA2710" w:rsidRPr="002E25AD" w:rsidRDefault="00FA2710" w:rsidP="00FA2710">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1*</w:t>
            </w:r>
          </w:p>
        </w:tc>
        <w:tc>
          <w:tcPr>
            <w:tcW w:w="995" w:type="pct"/>
            <w:vAlign w:val="center"/>
          </w:tcPr>
          <w:p w14:paraId="120A9FC4"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0.94 (0.86 ; 1.03)</w:t>
            </w:r>
          </w:p>
        </w:tc>
        <w:tc>
          <w:tcPr>
            <w:tcW w:w="477" w:type="pct"/>
            <w:vAlign w:val="center"/>
          </w:tcPr>
          <w:p w14:paraId="3C9FD18F" w14:textId="35CF8F18"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w:t>
            </w:r>
            <w:r w:rsidR="00CE0CB1" w:rsidRPr="002E25AD">
              <w:rPr>
                <w:rFonts w:ascii="Times New Roman" w:eastAsia="Calibri" w:hAnsi="Times New Roman" w:cs="Times New Roman"/>
                <w:sz w:val="24"/>
                <w:szCs w:val="24"/>
                <w:lang w:val="en-US"/>
              </w:rPr>
              <w:t>7</w:t>
            </w:r>
          </w:p>
        </w:tc>
        <w:tc>
          <w:tcPr>
            <w:tcW w:w="984" w:type="pct"/>
            <w:vAlign w:val="center"/>
          </w:tcPr>
          <w:p w14:paraId="5A372CFF"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0.85 (0.74 ; 0.98)</w:t>
            </w:r>
          </w:p>
        </w:tc>
        <w:tc>
          <w:tcPr>
            <w:tcW w:w="457" w:type="pct"/>
            <w:vAlign w:val="center"/>
          </w:tcPr>
          <w:p w14:paraId="11C60882" w14:textId="16DA5E49"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0.02</w:t>
            </w:r>
          </w:p>
        </w:tc>
        <w:tc>
          <w:tcPr>
            <w:tcW w:w="987" w:type="pct"/>
            <w:vAlign w:val="center"/>
          </w:tcPr>
          <w:p w14:paraId="75411CD8"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1.01 (0.90 ; 1.14)</w:t>
            </w:r>
          </w:p>
        </w:tc>
        <w:tc>
          <w:tcPr>
            <w:tcW w:w="431" w:type="pct"/>
            <w:vAlign w:val="center"/>
          </w:tcPr>
          <w:p w14:paraId="5DFC7E75" w14:textId="6B1AE96F"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w:t>
            </w:r>
            <w:r w:rsidR="00CE0CB1" w:rsidRPr="002E25AD">
              <w:rPr>
                <w:rFonts w:ascii="Times New Roman" w:eastAsia="Calibri" w:hAnsi="Times New Roman" w:cs="Times New Roman"/>
                <w:sz w:val="24"/>
                <w:szCs w:val="24"/>
                <w:lang w:val="en-US"/>
              </w:rPr>
              <w:t>5</w:t>
            </w:r>
          </w:p>
        </w:tc>
      </w:tr>
      <w:tr w:rsidR="002E25AD" w:rsidRPr="002E25AD" w14:paraId="7234F92A" w14:textId="77777777" w:rsidTr="00FA2710">
        <w:tc>
          <w:tcPr>
            <w:tcW w:w="669" w:type="pct"/>
            <w:vAlign w:val="center"/>
          </w:tcPr>
          <w:p w14:paraId="2EFCFDBE" w14:textId="77777777" w:rsidR="00FA2710" w:rsidRPr="002E25AD" w:rsidRDefault="00FA2710" w:rsidP="00FA2710">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995" w:type="pct"/>
            <w:vAlign w:val="center"/>
          </w:tcPr>
          <w:p w14:paraId="3A9F3FE9"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0.92 (0.84 ; 1.01)</w:t>
            </w:r>
          </w:p>
        </w:tc>
        <w:tc>
          <w:tcPr>
            <w:tcW w:w="477" w:type="pct"/>
            <w:vAlign w:val="center"/>
          </w:tcPr>
          <w:p w14:paraId="0A6397FA" w14:textId="465BBB40"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w:t>
            </w:r>
            <w:r w:rsidR="00CE0CB1" w:rsidRPr="002E25AD">
              <w:rPr>
                <w:rFonts w:ascii="Times New Roman" w:eastAsia="Calibri" w:hAnsi="Times New Roman" w:cs="Times New Roman"/>
                <w:sz w:val="24"/>
                <w:szCs w:val="24"/>
                <w:lang w:val="en-US"/>
              </w:rPr>
              <w:t>9</w:t>
            </w:r>
          </w:p>
        </w:tc>
        <w:tc>
          <w:tcPr>
            <w:tcW w:w="984" w:type="pct"/>
            <w:vAlign w:val="center"/>
          </w:tcPr>
          <w:p w14:paraId="29CA0C7E"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0.83 (0.72 ; 0.95)</w:t>
            </w:r>
          </w:p>
        </w:tc>
        <w:tc>
          <w:tcPr>
            <w:tcW w:w="457" w:type="pct"/>
            <w:vAlign w:val="center"/>
          </w:tcPr>
          <w:p w14:paraId="474DF9DE" w14:textId="024D556D"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w:t>
            </w:r>
            <w:r w:rsidR="00CE0CB1" w:rsidRPr="002E25AD">
              <w:rPr>
                <w:rFonts w:ascii="Times New Roman" w:eastAsia="Calibri" w:hAnsi="Times New Roman" w:cs="Times New Roman"/>
                <w:sz w:val="24"/>
                <w:szCs w:val="24"/>
                <w:lang w:val="en-US"/>
              </w:rPr>
              <w:t>1</w:t>
            </w:r>
          </w:p>
        </w:tc>
        <w:tc>
          <w:tcPr>
            <w:tcW w:w="987" w:type="pct"/>
            <w:vAlign w:val="center"/>
          </w:tcPr>
          <w:p w14:paraId="1577870D"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1.00 (0.89 ; 1.13)</w:t>
            </w:r>
          </w:p>
        </w:tc>
        <w:tc>
          <w:tcPr>
            <w:tcW w:w="431" w:type="pct"/>
            <w:vAlign w:val="center"/>
          </w:tcPr>
          <w:p w14:paraId="2584C98D" w14:textId="4090BB31" w:rsidR="00FA2710" w:rsidRPr="002E25AD" w:rsidRDefault="00CE0CB1"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0.99</w:t>
            </w:r>
            <w:r w:rsidR="00FA2710" w:rsidRPr="002E25AD">
              <w:rPr>
                <w:rFonts w:ascii="Times New Roman" w:eastAsia="Calibri" w:hAnsi="Times New Roman" w:cs="Times New Roman"/>
                <w:sz w:val="24"/>
                <w:szCs w:val="24"/>
                <w:lang w:val="en-US"/>
              </w:rPr>
              <w:t xml:space="preserve"> </w:t>
            </w:r>
          </w:p>
        </w:tc>
      </w:tr>
      <w:tr w:rsidR="002E25AD" w:rsidRPr="002E25AD" w14:paraId="6C2A7C4D" w14:textId="77777777" w:rsidTr="00FA2710">
        <w:tc>
          <w:tcPr>
            <w:tcW w:w="669" w:type="pct"/>
            <w:vAlign w:val="center"/>
          </w:tcPr>
          <w:p w14:paraId="7547C361" w14:textId="77777777" w:rsidR="00FA2710" w:rsidRPr="002E25AD" w:rsidRDefault="00FA2710" w:rsidP="00FA2710">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995" w:type="pct"/>
            <w:vAlign w:val="center"/>
          </w:tcPr>
          <w:p w14:paraId="5D1F5BA5"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0.93 (0.84 ; 1.02)</w:t>
            </w:r>
          </w:p>
        </w:tc>
        <w:tc>
          <w:tcPr>
            <w:tcW w:w="477" w:type="pct"/>
            <w:vAlign w:val="center"/>
          </w:tcPr>
          <w:p w14:paraId="170BA914" w14:textId="08BDDAB6"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w:t>
            </w:r>
            <w:r w:rsidR="00CE0CB1" w:rsidRPr="002E25AD">
              <w:rPr>
                <w:rFonts w:ascii="Times New Roman" w:eastAsia="Calibri" w:hAnsi="Times New Roman" w:cs="Times New Roman"/>
                <w:sz w:val="24"/>
                <w:szCs w:val="24"/>
                <w:lang w:val="en-US"/>
              </w:rPr>
              <w:t>3</w:t>
            </w:r>
          </w:p>
        </w:tc>
        <w:tc>
          <w:tcPr>
            <w:tcW w:w="984" w:type="pct"/>
            <w:vAlign w:val="center"/>
          </w:tcPr>
          <w:p w14:paraId="35621977"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0.84 (0.72 ; 0.98)</w:t>
            </w:r>
          </w:p>
        </w:tc>
        <w:tc>
          <w:tcPr>
            <w:tcW w:w="457" w:type="pct"/>
            <w:vAlign w:val="center"/>
          </w:tcPr>
          <w:p w14:paraId="0F77C2B9" w14:textId="12EC894A"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0.02</w:t>
            </w:r>
          </w:p>
        </w:tc>
        <w:tc>
          <w:tcPr>
            <w:tcW w:w="987" w:type="pct"/>
            <w:vAlign w:val="center"/>
          </w:tcPr>
          <w:p w14:paraId="0075FA8B" w14:textId="77777777"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0.99 (0.87 ; 1.12)</w:t>
            </w:r>
          </w:p>
        </w:tc>
        <w:tc>
          <w:tcPr>
            <w:tcW w:w="431" w:type="pct"/>
            <w:vAlign w:val="center"/>
          </w:tcPr>
          <w:p w14:paraId="491956F9" w14:textId="0B6A28E3" w:rsidR="00FA2710" w:rsidRPr="002E25AD" w:rsidRDefault="00FA2710" w:rsidP="00FA2710">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0.87</w:t>
            </w:r>
          </w:p>
        </w:tc>
      </w:tr>
    </w:tbl>
    <w:p w14:paraId="316FFC23" w14:textId="7F69C639" w:rsidR="00FA2710" w:rsidRPr="002E25AD" w:rsidRDefault="00A71A6D" w:rsidP="001F1824">
      <w:pPr>
        <w:pStyle w:val="NoSpacing"/>
        <w:rPr>
          <w:rFonts w:ascii="Open Sans" w:eastAsia="Times New Roman" w:hAnsi="Open Sans" w:cs="Times New Roman"/>
          <w:sz w:val="24"/>
          <w:szCs w:val="24"/>
          <w:shd w:val="clear" w:color="auto" w:fill="FFFFFF"/>
          <w:lang w:val="en-GB" w:eastAsia="en-GB"/>
        </w:rPr>
      </w:pPr>
      <w:r w:rsidRPr="002E25AD">
        <w:rPr>
          <w:rFonts w:ascii="Times New Roman" w:hAnsi="Times New Roman" w:cs="Times New Roman"/>
          <w:sz w:val="24"/>
          <w:szCs w:val="24"/>
          <w:lang w:val="en-US"/>
        </w:rPr>
        <w:t xml:space="preserve">Results are presented as hazard ratio (95% confidence interval) for a standard deviation increment in FPAP score.*Model 1: adjusted for age, sex and Rotterdam Study cohort. </w:t>
      </w:r>
      <w:r w:rsidRPr="002E25AD">
        <w:rPr>
          <w:rFonts w:ascii="Open Sans" w:eastAsia="Times New Roman" w:hAnsi="Open Sans" w:cs="Times New Roman"/>
          <w:sz w:val="24"/>
          <w:szCs w:val="24"/>
          <w:shd w:val="clear" w:color="auto" w:fill="FFFFFF"/>
          <w:lang w:val="en-GB" w:eastAsia="en-GB"/>
        </w:rPr>
        <w:t>†Model 2: model 1 + body mass index, hypertension, dyslipidaemia, highest level of education attained, physical activity and smoking status. ‡Model 3: model 2 + degree of adherence to dietary guidelines, total daily energy intake and daily alcohol intake.</w:t>
      </w:r>
    </w:p>
    <w:p w14:paraId="175E8F01" w14:textId="6F77F244" w:rsidR="00A71A6D" w:rsidRPr="002E25AD" w:rsidRDefault="00A71A6D" w:rsidP="001F1824">
      <w:pPr>
        <w:pStyle w:val="NoSpacing"/>
        <w:rPr>
          <w:rFonts w:ascii="Times New Roman" w:hAnsi="Times New Roman" w:cs="Times New Roman"/>
          <w:sz w:val="24"/>
          <w:szCs w:val="24"/>
          <w:shd w:val="clear" w:color="auto" w:fill="FFFFFF"/>
          <w:lang w:val="en-US"/>
        </w:rPr>
      </w:pPr>
    </w:p>
    <w:p w14:paraId="679603E6" w14:textId="5AA01BED" w:rsidR="00A82D36" w:rsidRPr="002E25AD" w:rsidRDefault="00A82D36" w:rsidP="001F1824">
      <w:pPr>
        <w:pStyle w:val="NoSpacing"/>
        <w:rPr>
          <w:rFonts w:ascii="Times New Roman" w:hAnsi="Times New Roman" w:cs="Times New Roman"/>
          <w:sz w:val="24"/>
          <w:szCs w:val="24"/>
          <w:shd w:val="clear" w:color="auto" w:fill="FFFFFF"/>
          <w:lang w:val="en-US"/>
        </w:rPr>
      </w:pPr>
    </w:p>
    <w:p w14:paraId="4B5C290A" w14:textId="4831F131" w:rsidR="00A82D36" w:rsidRPr="002E25AD" w:rsidRDefault="00A82D36" w:rsidP="001F1824">
      <w:pPr>
        <w:pStyle w:val="NoSpacing"/>
        <w:rPr>
          <w:rFonts w:ascii="Times New Roman" w:hAnsi="Times New Roman" w:cs="Times New Roman"/>
          <w:sz w:val="24"/>
          <w:szCs w:val="24"/>
          <w:shd w:val="clear" w:color="auto" w:fill="FFFFFF"/>
          <w:lang w:val="en-US"/>
        </w:rPr>
      </w:pPr>
    </w:p>
    <w:p w14:paraId="3EFEC708" w14:textId="0021ABD0" w:rsidR="00A82D36" w:rsidRPr="002E25AD" w:rsidRDefault="00A82D36" w:rsidP="001F1824">
      <w:pPr>
        <w:pStyle w:val="NoSpacing"/>
        <w:rPr>
          <w:rFonts w:ascii="Times New Roman" w:hAnsi="Times New Roman" w:cs="Times New Roman"/>
          <w:sz w:val="24"/>
          <w:szCs w:val="24"/>
          <w:shd w:val="clear" w:color="auto" w:fill="FFFFFF"/>
          <w:lang w:val="en-US"/>
        </w:rPr>
      </w:pPr>
    </w:p>
    <w:p w14:paraId="26C8ECA8" w14:textId="6FCA20B9" w:rsidR="00A82D36" w:rsidRPr="002E25AD" w:rsidRDefault="00A82D36" w:rsidP="001F1824">
      <w:pPr>
        <w:pStyle w:val="NoSpacing"/>
        <w:rPr>
          <w:rFonts w:ascii="Times New Roman" w:hAnsi="Times New Roman" w:cs="Times New Roman"/>
          <w:sz w:val="24"/>
          <w:szCs w:val="24"/>
          <w:shd w:val="clear" w:color="auto" w:fill="FFFFFF"/>
          <w:lang w:val="en-US"/>
        </w:rPr>
      </w:pPr>
    </w:p>
    <w:p w14:paraId="38563F69" w14:textId="5287D554" w:rsidR="00A82D36" w:rsidRPr="002E25AD" w:rsidRDefault="00A82D36" w:rsidP="001F1824">
      <w:pPr>
        <w:pStyle w:val="NoSpacing"/>
        <w:rPr>
          <w:rFonts w:ascii="Times New Roman" w:hAnsi="Times New Roman" w:cs="Times New Roman"/>
          <w:sz w:val="24"/>
          <w:szCs w:val="24"/>
          <w:shd w:val="clear" w:color="auto" w:fill="FFFFFF"/>
          <w:lang w:val="en-US"/>
        </w:rPr>
      </w:pPr>
    </w:p>
    <w:p w14:paraId="400FDB65" w14:textId="65CB5EFD" w:rsidR="00A82D36" w:rsidRPr="002E25AD" w:rsidRDefault="00A82D36" w:rsidP="001F1824">
      <w:pPr>
        <w:pStyle w:val="NoSpacing"/>
        <w:rPr>
          <w:rFonts w:ascii="Times New Roman" w:hAnsi="Times New Roman" w:cs="Times New Roman"/>
          <w:sz w:val="24"/>
          <w:szCs w:val="24"/>
          <w:shd w:val="clear" w:color="auto" w:fill="FFFFFF"/>
          <w:lang w:val="en-US"/>
        </w:rPr>
      </w:pPr>
    </w:p>
    <w:p w14:paraId="576DE915" w14:textId="77777777" w:rsidR="00A82D36" w:rsidRPr="002E25AD" w:rsidRDefault="00A82D36" w:rsidP="001F1824">
      <w:pPr>
        <w:pStyle w:val="NoSpacing"/>
        <w:rPr>
          <w:rFonts w:ascii="Times New Roman" w:hAnsi="Times New Roman" w:cs="Times New Roman"/>
          <w:sz w:val="24"/>
          <w:szCs w:val="24"/>
          <w:shd w:val="clear" w:color="auto" w:fill="FFFFFF"/>
          <w:lang w:val="en-US"/>
        </w:rPr>
      </w:pPr>
    </w:p>
    <w:p w14:paraId="7820A691" w14:textId="268849D0" w:rsidR="0019685A" w:rsidRPr="002E25AD" w:rsidRDefault="0019685A" w:rsidP="001F1824">
      <w:pPr>
        <w:pStyle w:val="NoSpacing"/>
        <w:rPr>
          <w:rFonts w:ascii="Times New Roman" w:hAnsi="Times New Roman" w:cs="Times New Roman"/>
          <w:sz w:val="24"/>
          <w:szCs w:val="24"/>
          <w:shd w:val="clear" w:color="auto" w:fill="FFFFFF"/>
          <w:lang w:val="en-US"/>
        </w:rPr>
      </w:pPr>
      <w:r w:rsidRPr="002E25AD">
        <w:rPr>
          <w:rFonts w:ascii="Times New Roman" w:hAnsi="Times New Roman" w:cs="Times New Roman"/>
          <w:sz w:val="24"/>
          <w:szCs w:val="24"/>
          <w:shd w:val="clear" w:color="auto" w:fill="FFFFFF"/>
          <w:lang w:val="en-US"/>
        </w:rPr>
        <w:lastRenderedPageBreak/>
        <w:t>T</w:t>
      </w:r>
      <w:r w:rsidR="00A71A6D" w:rsidRPr="002E25AD">
        <w:rPr>
          <w:rFonts w:ascii="Times New Roman" w:hAnsi="Times New Roman" w:cs="Times New Roman"/>
          <w:sz w:val="24"/>
          <w:szCs w:val="24"/>
          <w:shd w:val="clear" w:color="auto" w:fill="FFFFFF"/>
          <w:lang w:val="en-US"/>
        </w:rPr>
        <w:t xml:space="preserve">able </w:t>
      </w:r>
      <w:r w:rsidR="005F1D89" w:rsidRPr="002E25AD">
        <w:rPr>
          <w:rFonts w:ascii="Times New Roman" w:hAnsi="Times New Roman" w:cs="Times New Roman"/>
          <w:sz w:val="24"/>
          <w:szCs w:val="24"/>
          <w:shd w:val="clear" w:color="auto" w:fill="FFFFFF"/>
          <w:lang w:val="en-US"/>
        </w:rPr>
        <w:t>3</w:t>
      </w:r>
      <w:r w:rsidRPr="002E25AD">
        <w:rPr>
          <w:rFonts w:ascii="Times New Roman" w:hAnsi="Times New Roman" w:cs="Times New Roman"/>
          <w:sz w:val="24"/>
          <w:szCs w:val="24"/>
          <w:shd w:val="clear" w:color="auto" w:fill="FFFFFF"/>
          <w:lang w:val="en-US"/>
        </w:rPr>
        <w:t>. Associations between total dietary antioxidant capacity and</w:t>
      </w:r>
      <w:r w:rsidR="00693803" w:rsidRPr="002E25AD">
        <w:rPr>
          <w:rFonts w:ascii="Times New Roman" w:hAnsi="Times New Roman" w:cs="Times New Roman"/>
          <w:sz w:val="24"/>
          <w:szCs w:val="24"/>
          <w:shd w:val="clear" w:color="auto" w:fill="FFFFFF"/>
          <w:lang w:val="en-US"/>
        </w:rPr>
        <w:t xml:space="preserve"> homeostatic model assessment of insulin resistance</w:t>
      </w:r>
      <w:r w:rsidRPr="002E25AD">
        <w:rPr>
          <w:rFonts w:ascii="Times New Roman" w:hAnsi="Times New Roman" w:cs="Times New Roman"/>
          <w:sz w:val="24"/>
          <w:szCs w:val="24"/>
          <w:shd w:val="clear" w:color="auto" w:fill="FFFFFF"/>
          <w:lang w:val="en-US"/>
        </w:rPr>
        <w:t xml:space="preserve"> </w:t>
      </w:r>
      <w:r w:rsidR="00693803" w:rsidRPr="002E25AD">
        <w:rPr>
          <w:rFonts w:ascii="Times New Roman" w:hAnsi="Times New Roman" w:cs="Times New Roman"/>
          <w:sz w:val="24"/>
          <w:szCs w:val="24"/>
          <w:shd w:val="clear" w:color="auto" w:fill="FFFFFF"/>
          <w:lang w:val="en-US"/>
        </w:rPr>
        <w:t>(</w:t>
      </w:r>
      <w:r w:rsidRPr="002E25AD">
        <w:rPr>
          <w:rFonts w:ascii="Times New Roman" w:hAnsi="Times New Roman" w:cs="Times New Roman"/>
          <w:sz w:val="24"/>
          <w:szCs w:val="24"/>
          <w:shd w:val="clear" w:color="auto" w:fill="FFFFFF"/>
          <w:lang w:val="en-US"/>
        </w:rPr>
        <w:t>HOMA-IR</w:t>
      </w:r>
      <w:r w:rsidR="00693803" w:rsidRPr="002E25AD">
        <w:rPr>
          <w:rFonts w:ascii="Times New Roman" w:hAnsi="Times New Roman" w:cs="Times New Roman"/>
          <w:sz w:val="24"/>
          <w:szCs w:val="24"/>
          <w:shd w:val="clear" w:color="auto" w:fill="FFFFFF"/>
          <w:lang w:val="en-US"/>
        </w:rPr>
        <w:t>)</w:t>
      </w:r>
      <w:r w:rsidRPr="002E25AD">
        <w:rPr>
          <w:rFonts w:ascii="Times New Roman" w:hAnsi="Times New Roman" w:cs="Times New Roman"/>
          <w:sz w:val="24"/>
          <w:szCs w:val="24"/>
          <w:lang w:val="en-US"/>
        </w:rPr>
        <w:t>.</w:t>
      </w:r>
    </w:p>
    <w:tbl>
      <w:tblPr>
        <w:tblStyle w:val="TableGrid"/>
        <w:tblW w:w="5000" w:type="pct"/>
        <w:tblLayout w:type="fixed"/>
        <w:tblLook w:val="04A0" w:firstRow="1" w:lastRow="0" w:firstColumn="1" w:lastColumn="0" w:noHBand="0" w:noVBand="1"/>
      </w:tblPr>
      <w:tblGrid>
        <w:gridCol w:w="1078"/>
        <w:gridCol w:w="1794"/>
        <w:gridCol w:w="970"/>
        <w:gridCol w:w="1658"/>
        <w:gridCol w:w="875"/>
        <w:gridCol w:w="1725"/>
        <w:gridCol w:w="962"/>
      </w:tblGrid>
      <w:tr w:rsidR="002E25AD" w:rsidRPr="002E25AD" w14:paraId="6E28353B" w14:textId="77777777" w:rsidTr="00A62D18">
        <w:tc>
          <w:tcPr>
            <w:tcW w:w="594" w:type="pct"/>
            <w:vAlign w:val="center"/>
          </w:tcPr>
          <w:p w14:paraId="03B7925E" w14:textId="77777777" w:rsidR="0019685A" w:rsidRPr="002E25AD" w:rsidRDefault="0019685A" w:rsidP="007737A7">
            <w:pPr>
              <w:jc w:val="center"/>
              <w:rPr>
                <w:rFonts w:ascii="Times New Roman" w:hAnsi="Times New Roman" w:cs="Times New Roman"/>
                <w:b/>
                <w:sz w:val="24"/>
                <w:szCs w:val="24"/>
                <w:lang w:val="en-US"/>
              </w:rPr>
            </w:pPr>
          </w:p>
        </w:tc>
        <w:tc>
          <w:tcPr>
            <w:tcW w:w="990" w:type="pct"/>
            <w:vAlign w:val="center"/>
          </w:tcPr>
          <w:p w14:paraId="3476DD97" w14:textId="77777777" w:rsidR="0019685A" w:rsidRPr="002E25AD" w:rsidRDefault="0019685A" w:rsidP="007737A7">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Total population</w:t>
            </w:r>
          </w:p>
          <w:p w14:paraId="4F1FC199" w14:textId="77777777" w:rsidR="0019685A" w:rsidRPr="002E25AD" w:rsidRDefault="0019685A" w:rsidP="007737A7">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(n = 5,422)</w:t>
            </w:r>
          </w:p>
        </w:tc>
        <w:tc>
          <w:tcPr>
            <w:tcW w:w="535" w:type="pct"/>
            <w:vAlign w:val="center"/>
          </w:tcPr>
          <w:p w14:paraId="1052D8F6" w14:textId="77777777" w:rsidR="0019685A" w:rsidRPr="002E25AD" w:rsidRDefault="0019685A" w:rsidP="007737A7">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P-value</w:t>
            </w:r>
          </w:p>
        </w:tc>
        <w:tc>
          <w:tcPr>
            <w:tcW w:w="915" w:type="pct"/>
            <w:vAlign w:val="center"/>
          </w:tcPr>
          <w:p w14:paraId="555A08B1" w14:textId="77777777" w:rsidR="0019685A" w:rsidRPr="002E25AD" w:rsidRDefault="0019685A" w:rsidP="007737A7">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Men</w:t>
            </w:r>
          </w:p>
          <w:p w14:paraId="7A0C5865" w14:textId="77777777" w:rsidR="0019685A" w:rsidRPr="002E25AD" w:rsidRDefault="0019685A" w:rsidP="007737A7">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(n = 2,135)</w:t>
            </w:r>
          </w:p>
        </w:tc>
        <w:tc>
          <w:tcPr>
            <w:tcW w:w="483" w:type="pct"/>
            <w:vAlign w:val="center"/>
          </w:tcPr>
          <w:p w14:paraId="46A822B0" w14:textId="77777777" w:rsidR="0019685A" w:rsidRPr="002E25AD" w:rsidRDefault="0019685A" w:rsidP="007737A7">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P-value</w:t>
            </w:r>
          </w:p>
        </w:tc>
        <w:tc>
          <w:tcPr>
            <w:tcW w:w="952" w:type="pct"/>
            <w:vAlign w:val="center"/>
          </w:tcPr>
          <w:p w14:paraId="3B47877D" w14:textId="77777777" w:rsidR="0019685A" w:rsidRPr="002E25AD" w:rsidRDefault="0019685A" w:rsidP="007737A7">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Women</w:t>
            </w:r>
          </w:p>
          <w:p w14:paraId="4225A02D" w14:textId="77777777" w:rsidR="0019685A" w:rsidRPr="002E25AD" w:rsidRDefault="0019685A" w:rsidP="007737A7">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(n = 3,287)</w:t>
            </w:r>
          </w:p>
        </w:tc>
        <w:tc>
          <w:tcPr>
            <w:tcW w:w="531" w:type="pct"/>
            <w:vAlign w:val="center"/>
          </w:tcPr>
          <w:p w14:paraId="387EA90D" w14:textId="77777777" w:rsidR="0019685A" w:rsidRPr="002E25AD" w:rsidRDefault="0019685A" w:rsidP="007737A7">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P-value</w:t>
            </w:r>
          </w:p>
        </w:tc>
      </w:tr>
      <w:tr w:rsidR="002E25AD" w:rsidRPr="002E25AD" w14:paraId="2AE7016D" w14:textId="77777777" w:rsidTr="00A62D18">
        <w:tc>
          <w:tcPr>
            <w:tcW w:w="594" w:type="pct"/>
            <w:vAlign w:val="center"/>
          </w:tcPr>
          <w:p w14:paraId="178F0CA6" w14:textId="11ABAA1B" w:rsidR="00A62D18" w:rsidRPr="002E25AD" w:rsidRDefault="00A62D18" w:rsidP="007737A7">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1*</w:t>
            </w:r>
          </w:p>
        </w:tc>
        <w:tc>
          <w:tcPr>
            <w:tcW w:w="990" w:type="pct"/>
            <w:vAlign w:val="center"/>
          </w:tcPr>
          <w:p w14:paraId="65E50BA7" w14:textId="43060073"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-0.04</w:t>
            </w:r>
          </w:p>
          <w:p w14:paraId="1EFCED39" w14:textId="3BB39AB5"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 ; -0.03</w:t>
            </w:r>
            <w:r w:rsidR="00A62D18" w:rsidRPr="002E25AD">
              <w:rPr>
                <w:rFonts w:ascii="Times New Roman" w:hAnsi="Times New Roman" w:cs="Times New Roman"/>
                <w:sz w:val="24"/>
                <w:szCs w:val="24"/>
                <w:lang w:val="en-US"/>
              </w:rPr>
              <w:t>)</w:t>
            </w:r>
          </w:p>
        </w:tc>
        <w:tc>
          <w:tcPr>
            <w:tcW w:w="535" w:type="pct"/>
            <w:vAlign w:val="center"/>
          </w:tcPr>
          <w:p w14:paraId="6825583B" w14:textId="0555480A" w:rsidR="00A62D18" w:rsidRPr="002E25AD" w:rsidRDefault="00A62D18"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c>
          <w:tcPr>
            <w:tcW w:w="915" w:type="pct"/>
            <w:vAlign w:val="center"/>
          </w:tcPr>
          <w:p w14:paraId="7BB6B5EF" w14:textId="5E9E56CB"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2B6E7E3F" w14:textId="5DC50F7C"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 ; -0.01</w:t>
            </w:r>
            <w:r w:rsidR="00A62D18" w:rsidRPr="002E25AD">
              <w:rPr>
                <w:rFonts w:ascii="Times New Roman" w:hAnsi="Times New Roman" w:cs="Times New Roman"/>
                <w:sz w:val="24"/>
                <w:szCs w:val="24"/>
                <w:lang w:val="en-US"/>
              </w:rPr>
              <w:t>)</w:t>
            </w:r>
          </w:p>
        </w:tc>
        <w:tc>
          <w:tcPr>
            <w:tcW w:w="483" w:type="pct"/>
            <w:vAlign w:val="center"/>
          </w:tcPr>
          <w:p w14:paraId="48EE0A6E" w14:textId="7871323F" w:rsidR="00A62D18" w:rsidRPr="002E25AD" w:rsidRDefault="00A62D18"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0.005</w:t>
            </w:r>
          </w:p>
        </w:tc>
        <w:tc>
          <w:tcPr>
            <w:tcW w:w="952" w:type="pct"/>
            <w:vAlign w:val="center"/>
          </w:tcPr>
          <w:p w14:paraId="6F130C1A" w14:textId="25981773"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w:t>
            </w:r>
          </w:p>
          <w:p w14:paraId="48C44219" w14:textId="7FD6B896"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(-0.08 ; -0.03</w:t>
            </w:r>
            <w:r w:rsidR="00A62D18" w:rsidRPr="002E25AD">
              <w:rPr>
                <w:rFonts w:ascii="Times New Roman" w:hAnsi="Times New Roman" w:cs="Times New Roman"/>
                <w:sz w:val="24"/>
                <w:szCs w:val="24"/>
                <w:lang w:val="en-US"/>
              </w:rPr>
              <w:t>)</w:t>
            </w:r>
          </w:p>
        </w:tc>
        <w:tc>
          <w:tcPr>
            <w:tcW w:w="531" w:type="pct"/>
            <w:vAlign w:val="center"/>
          </w:tcPr>
          <w:p w14:paraId="2C288E47" w14:textId="3C2BA0C0" w:rsidR="00A62D18" w:rsidRPr="002E25AD" w:rsidRDefault="00A62D18"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r>
      <w:tr w:rsidR="002E25AD" w:rsidRPr="002E25AD" w14:paraId="25286B44" w14:textId="77777777" w:rsidTr="00A62D18">
        <w:tc>
          <w:tcPr>
            <w:tcW w:w="594" w:type="pct"/>
            <w:vAlign w:val="center"/>
          </w:tcPr>
          <w:p w14:paraId="7B2E7EF2" w14:textId="5D39718E" w:rsidR="00A62D18" w:rsidRPr="002E25AD" w:rsidRDefault="00A62D18" w:rsidP="007737A7">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990" w:type="pct"/>
            <w:vAlign w:val="center"/>
          </w:tcPr>
          <w:p w14:paraId="41C90DA3" w14:textId="41FA1880"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-0.04</w:t>
            </w:r>
          </w:p>
          <w:p w14:paraId="591D0CA4" w14:textId="14E6D460"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 ; -0.03</w:t>
            </w:r>
            <w:r w:rsidR="00A62D18" w:rsidRPr="002E25AD">
              <w:rPr>
                <w:rFonts w:ascii="Times New Roman" w:hAnsi="Times New Roman" w:cs="Times New Roman"/>
                <w:sz w:val="24"/>
                <w:szCs w:val="24"/>
                <w:lang w:val="en-US"/>
              </w:rPr>
              <w:t>)</w:t>
            </w:r>
          </w:p>
        </w:tc>
        <w:tc>
          <w:tcPr>
            <w:tcW w:w="535" w:type="pct"/>
            <w:vAlign w:val="center"/>
          </w:tcPr>
          <w:p w14:paraId="4A7AD508" w14:textId="38B741EE" w:rsidR="00A62D18" w:rsidRPr="002E25AD" w:rsidRDefault="00A62D18"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c>
          <w:tcPr>
            <w:tcW w:w="915" w:type="pct"/>
            <w:vAlign w:val="center"/>
          </w:tcPr>
          <w:p w14:paraId="654B6B7F" w14:textId="6A891171" w:rsidR="00A62D18" w:rsidRPr="002E25AD" w:rsidRDefault="00AF100B"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1967CDF1" w14:textId="3A89DB8C"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 ; -0.01</w:t>
            </w:r>
            <w:r w:rsidR="00A62D18" w:rsidRPr="002E25AD">
              <w:rPr>
                <w:rFonts w:ascii="Times New Roman" w:hAnsi="Times New Roman" w:cs="Times New Roman"/>
                <w:sz w:val="24"/>
                <w:szCs w:val="24"/>
                <w:lang w:val="en-US"/>
              </w:rPr>
              <w:t>)</w:t>
            </w:r>
          </w:p>
        </w:tc>
        <w:tc>
          <w:tcPr>
            <w:tcW w:w="483" w:type="pct"/>
            <w:vAlign w:val="center"/>
          </w:tcPr>
          <w:p w14:paraId="3E54521F" w14:textId="1CC15994" w:rsidR="00A62D18" w:rsidRPr="002E25AD" w:rsidRDefault="00A62D18"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0.001</w:t>
            </w:r>
          </w:p>
        </w:tc>
        <w:tc>
          <w:tcPr>
            <w:tcW w:w="952" w:type="pct"/>
            <w:vAlign w:val="center"/>
          </w:tcPr>
          <w:p w14:paraId="43DF323F" w14:textId="11E9B4BA"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w:t>
            </w:r>
          </w:p>
          <w:p w14:paraId="6497838F" w14:textId="15DFD0AF"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(-0.07 ; -0.03</w:t>
            </w:r>
            <w:r w:rsidR="00A62D18" w:rsidRPr="002E25AD">
              <w:rPr>
                <w:rFonts w:ascii="Times New Roman" w:hAnsi="Times New Roman" w:cs="Times New Roman"/>
                <w:sz w:val="24"/>
                <w:szCs w:val="24"/>
                <w:lang w:val="en-US"/>
              </w:rPr>
              <w:t>)</w:t>
            </w:r>
          </w:p>
        </w:tc>
        <w:tc>
          <w:tcPr>
            <w:tcW w:w="531" w:type="pct"/>
            <w:vAlign w:val="center"/>
          </w:tcPr>
          <w:p w14:paraId="239EFBA3" w14:textId="53AADAAA" w:rsidR="00A62D18" w:rsidRPr="002E25AD" w:rsidRDefault="00A62D18"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r>
      <w:tr w:rsidR="002E25AD" w:rsidRPr="002E25AD" w14:paraId="33199973" w14:textId="77777777" w:rsidTr="00A62D18">
        <w:tc>
          <w:tcPr>
            <w:tcW w:w="594" w:type="pct"/>
            <w:vAlign w:val="center"/>
          </w:tcPr>
          <w:p w14:paraId="1AA7DB62" w14:textId="725458B2" w:rsidR="00A62D18" w:rsidRPr="002E25AD" w:rsidRDefault="00A62D18" w:rsidP="007737A7">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990" w:type="pct"/>
            <w:vAlign w:val="center"/>
          </w:tcPr>
          <w:p w14:paraId="3498039D" w14:textId="531A7D0C"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-0.04</w:t>
            </w:r>
          </w:p>
          <w:p w14:paraId="46CF5CAD" w14:textId="44AA1106"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 ; -0.03</w:t>
            </w:r>
            <w:r w:rsidR="00A62D18" w:rsidRPr="002E25AD">
              <w:rPr>
                <w:rFonts w:ascii="Times New Roman" w:hAnsi="Times New Roman" w:cs="Times New Roman"/>
                <w:sz w:val="24"/>
                <w:szCs w:val="24"/>
                <w:lang w:val="en-US"/>
              </w:rPr>
              <w:t>)</w:t>
            </w:r>
          </w:p>
        </w:tc>
        <w:tc>
          <w:tcPr>
            <w:tcW w:w="535" w:type="pct"/>
            <w:vAlign w:val="center"/>
          </w:tcPr>
          <w:p w14:paraId="1C232CFF" w14:textId="0C90C765" w:rsidR="00A62D18" w:rsidRPr="002E25AD" w:rsidRDefault="00A62D18"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c>
          <w:tcPr>
            <w:tcW w:w="915" w:type="pct"/>
            <w:vAlign w:val="center"/>
          </w:tcPr>
          <w:p w14:paraId="0C81E571" w14:textId="6181362A" w:rsidR="00A62D18" w:rsidRPr="002E25AD" w:rsidRDefault="00AF100B"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6E4BD95E" w14:textId="25CCEB22"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 ; -0.01</w:t>
            </w:r>
            <w:r w:rsidR="00A62D18" w:rsidRPr="002E25AD">
              <w:rPr>
                <w:rFonts w:ascii="Times New Roman" w:hAnsi="Times New Roman" w:cs="Times New Roman"/>
                <w:sz w:val="24"/>
                <w:szCs w:val="24"/>
                <w:lang w:val="en-US"/>
              </w:rPr>
              <w:t>)</w:t>
            </w:r>
          </w:p>
        </w:tc>
        <w:tc>
          <w:tcPr>
            <w:tcW w:w="483" w:type="pct"/>
            <w:vAlign w:val="center"/>
          </w:tcPr>
          <w:p w14:paraId="6EDEE9A0" w14:textId="450915E9" w:rsidR="00A62D18" w:rsidRPr="002E25AD" w:rsidRDefault="00A62D18"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0.002</w:t>
            </w:r>
          </w:p>
        </w:tc>
        <w:tc>
          <w:tcPr>
            <w:tcW w:w="952" w:type="pct"/>
            <w:vAlign w:val="center"/>
          </w:tcPr>
          <w:p w14:paraId="78B59057" w14:textId="1D6BD022"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w:t>
            </w:r>
          </w:p>
          <w:p w14:paraId="686F4520" w14:textId="39AF66B7" w:rsidR="00A62D18" w:rsidRPr="002E25AD" w:rsidRDefault="00CE0CB1"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(-0.07 ; -0.03</w:t>
            </w:r>
            <w:r w:rsidR="00A62D18" w:rsidRPr="002E25AD">
              <w:rPr>
                <w:rFonts w:ascii="Times New Roman" w:hAnsi="Times New Roman" w:cs="Times New Roman"/>
                <w:sz w:val="24"/>
                <w:szCs w:val="24"/>
                <w:lang w:val="en-US"/>
              </w:rPr>
              <w:t>)</w:t>
            </w:r>
          </w:p>
        </w:tc>
        <w:tc>
          <w:tcPr>
            <w:tcW w:w="531" w:type="pct"/>
            <w:vAlign w:val="center"/>
          </w:tcPr>
          <w:p w14:paraId="0FBBCFA5" w14:textId="2ABFCA9E" w:rsidR="00A62D18" w:rsidRPr="002E25AD" w:rsidRDefault="00A62D18" w:rsidP="007737A7">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r>
    </w:tbl>
    <w:p w14:paraId="0FD3999C" w14:textId="05A2A001" w:rsidR="00A71A6D" w:rsidRPr="002E25AD" w:rsidRDefault="00693803" w:rsidP="00693803">
      <w:pPr>
        <w:pStyle w:val="NoSpacing"/>
        <w:rPr>
          <w:rFonts w:ascii="Open Sans" w:eastAsia="Times New Roman" w:hAnsi="Open Sans" w:cs="Times New Roman"/>
          <w:sz w:val="24"/>
          <w:szCs w:val="24"/>
          <w:shd w:val="clear" w:color="auto" w:fill="FFFFFF"/>
          <w:lang w:val="en-GB" w:eastAsia="en-GB"/>
        </w:rPr>
      </w:pPr>
      <w:r w:rsidRPr="002E25AD">
        <w:rPr>
          <w:rFonts w:ascii="Times New Roman" w:hAnsi="Times New Roman" w:cs="Times New Roman"/>
          <w:sz w:val="24"/>
          <w:szCs w:val="24"/>
          <w:lang w:val="en-US"/>
        </w:rPr>
        <w:t xml:space="preserve">Results are presented as </w:t>
      </w:r>
      <w:r w:rsidR="00B967B7" w:rsidRPr="002E25AD">
        <w:rPr>
          <w:rFonts w:ascii="Times New Roman" w:hAnsi="Times New Roman" w:cs="Times New Roman"/>
          <w:sz w:val="24"/>
          <w:szCs w:val="24"/>
          <w:lang w:val="en-US"/>
        </w:rPr>
        <w:t xml:space="preserve">regression coefficient </w:t>
      </w:r>
      <w:r w:rsidRPr="002E25AD">
        <w:rPr>
          <w:rFonts w:ascii="Times New Roman" w:hAnsi="Times New Roman" w:cs="Times New Roman"/>
          <w:sz w:val="24"/>
          <w:szCs w:val="24"/>
          <w:lang w:val="en-US"/>
        </w:rPr>
        <w:t xml:space="preserve">(95% confidence interval) for a standard deviation increment in FPAP score.*Model 1: adjusted for age, sex and Rotterdam Study cohort. </w:t>
      </w:r>
      <w:r w:rsidRPr="002E25AD">
        <w:rPr>
          <w:rFonts w:ascii="Open Sans" w:eastAsia="Times New Roman" w:hAnsi="Open Sans" w:cs="Times New Roman"/>
          <w:sz w:val="24"/>
          <w:szCs w:val="24"/>
          <w:shd w:val="clear" w:color="auto" w:fill="FFFFFF"/>
          <w:lang w:val="en-GB" w:eastAsia="en-GB"/>
        </w:rPr>
        <w:t>†Model 2: model 1 + body mass index, hypertension, dyslipidaemia, highest level of education attained, physical activity and smoking status. ‡Model 3: model 2 + degree of adherence to dietary guidelines, total daily energy intake and daily alcohol intake.</w:t>
      </w:r>
    </w:p>
    <w:p w14:paraId="533B6744" w14:textId="6FF389D5" w:rsidR="00885BA5" w:rsidRPr="002E25AD" w:rsidRDefault="00885BA5" w:rsidP="00885BA5">
      <w:pPr>
        <w:rPr>
          <w:rFonts w:ascii="Open Sans" w:eastAsia="Times New Roman" w:hAnsi="Open Sans" w:cs="Times New Roman"/>
          <w:sz w:val="24"/>
          <w:szCs w:val="24"/>
          <w:shd w:val="clear" w:color="auto" w:fill="FFFFFF"/>
          <w:lang w:val="en-GB" w:eastAsia="en-GB"/>
        </w:rPr>
      </w:pPr>
    </w:p>
    <w:p w14:paraId="6CFB92C2" w14:textId="77777777" w:rsidR="00885BA5" w:rsidRPr="002E25AD" w:rsidRDefault="00885BA5">
      <w:pPr>
        <w:rPr>
          <w:rFonts w:ascii="Open Sans" w:eastAsia="Times New Roman" w:hAnsi="Open Sans" w:cs="Times New Roman"/>
          <w:sz w:val="24"/>
          <w:szCs w:val="24"/>
          <w:shd w:val="clear" w:color="auto" w:fill="FFFFFF"/>
          <w:lang w:val="en-GB" w:eastAsia="en-GB"/>
        </w:rPr>
      </w:pPr>
      <w:r w:rsidRPr="002E25AD">
        <w:rPr>
          <w:rFonts w:ascii="Open Sans" w:eastAsia="Times New Roman" w:hAnsi="Open Sans" w:cs="Times New Roman"/>
          <w:sz w:val="24"/>
          <w:szCs w:val="24"/>
          <w:shd w:val="clear" w:color="auto" w:fill="FFFFFF"/>
          <w:lang w:val="en-GB" w:eastAsia="en-GB"/>
        </w:rPr>
        <w:br w:type="page"/>
      </w:r>
    </w:p>
    <w:p w14:paraId="3F3A8ACB" w14:textId="32ED55E5" w:rsidR="00885BA5" w:rsidRPr="002E25AD" w:rsidRDefault="00885BA5" w:rsidP="00885BA5">
      <w:pPr>
        <w:pStyle w:val="NoSpacing"/>
        <w:rPr>
          <w:rFonts w:ascii="Times New Roman" w:hAnsi="Times New Roman" w:cs="Times New Roman"/>
          <w:sz w:val="24"/>
          <w:szCs w:val="24"/>
          <w:lang w:val="en-US"/>
        </w:rPr>
      </w:pPr>
      <w:r w:rsidRPr="002E25AD">
        <w:rPr>
          <w:rFonts w:ascii="Times New Roman" w:hAnsi="Times New Roman" w:cs="Times New Roman"/>
          <w:sz w:val="24"/>
          <w:szCs w:val="24"/>
          <w:lang w:val="en-US"/>
        </w:rPr>
        <w:lastRenderedPageBreak/>
        <w:t>Supplementary Table 1. Baseline characteristics of the study population, stratified by whether or not participants were included in the analysis of this study.</w:t>
      </w:r>
    </w:p>
    <w:tbl>
      <w:tblPr>
        <w:tblStyle w:val="TableGrid"/>
        <w:tblW w:w="8500" w:type="dxa"/>
        <w:tblLayout w:type="fixed"/>
        <w:tblLook w:val="04A0" w:firstRow="1" w:lastRow="0" w:firstColumn="1" w:lastColumn="0" w:noHBand="0" w:noVBand="1"/>
      </w:tblPr>
      <w:tblGrid>
        <w:gridCol w:w="1555"/>
        <w:gridCol w:w="1701"/>
        <w:gridCol w:w="1842"/>
        <w:gridCol w:w="1701"/>
        <w:gridCol w:w="1701"/>
      </w:tblGrid>
      <w:tr w:rsidR="002E25AD" w:rsidRPr="002E25AD" w14:paraId="5BEDAE18" w14:textId="77777777" w:rsidTr="00752472">
        <w:trPr>
          <w:trHeight w:val="586"/>
        </w:trPr>
        <w:tc>
          <w:tcPr>
            <w:tcW w:w="1555" w:type="dxa"/>
            <w:vAlign w:val="center"/>
          </w:tcPr>
          <w:p w14:paraId="43EB6257" w14:textId="77777777" w:rsidR="00885BA5" w:rsidRPr="002E25AD" w:rsidRDefault="00885BA5" w:rsidP="00752472">
            <w:pPr>
              <w:pStyle w:val="NoSpacing"/>
              <w:jc w:val="center"/>
              <w:rPr>
                <w:rFonts w:ascii="Times New Roman" w:hAnsi="Times New Roman" w:cs="Times New Roman"/>
                <w:sz w:val="24"/>
                <w:szCs w:val="24"/>
                <w:lang w:val="en-US"/>
              </w:rPr>
            </w:pPr>
          </w:p>
        </w:tc>
        <w:tc>
          <w:tcPr>
            <w:tcW w:w="1701" w:type="dxa"/>
            <w:vAlign w:val="center"/>
          </w:tcPr>
          <w:p w14:paraId="38288038" w14:textId="77777777" w:rsidR="00885BA5" w:rsidRPr="002E25AD" w:rsidRDefault="00885BA5" w:rsidP="00752472">
            <w:pPr>
              <w:pStyle w:val="NoSpacing"/>
              <w:jc w:val="center"/>
              <w:rPr>
                <w:rFonts w:ascii="Times New Roman" w:hAnsi="Times New Roman" w:cs="Times New Roman"/>
                <w:sz w:val="24"/>
                <w:szCs w:val="24"/>
                <w:lang w:val="en-US"/>
              </w:rPr>
            </w:pPr>
          </w:p>
        </w:tc>
        <w:tc>
          <w:tcPr>
            <w:tcW w:w="1842" w:type="dxa"/>
            <w:vAlign w:val="center"/>
          </w:tcPr>
          <w:p w14:paraId="04CBAB4E"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Included participants</w:t>
            </w:r>
          </w:p>
          <w:p w14:paraId="14778357"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(n = 5,796)</w:t>
            </w:r>
          </w:p>
        </w:tc>
        <w:tc>
          <w:tcPr>
            <w:tcW w:w="1701" w:type="dxa"/>
            <w:vAlign w:val="center"/>
          </w:tcPr>
          <w:p w14:paraId="47F65654"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Excluded participants </w:t>
            </w:r>
          </w:p>
          <w:p w14:paraId="505AB76C"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(n = 9,130)</w:t>
            </w:r>
          </w:p>
        </w:tc>
        <w:tc>
          <w:tcPr>
            <w:tcW w:w="1701" w:type="dxa"/>
            <w:vAlign w:val="center"/>
          </w:tcPr>
          <w:p w14:paraId="433B7B15"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P-value for difference </w:t>
            </w:r>
          </w:p>
        </w:tc>
      </w:tr>
      <w:tr w:rsidR="002E25AD" w:rsidRPr="002E25AD" w14:paraId="20BAD145" w14:textId="77777777" w:rsidTr="00752472">
        <w:trPr>
          <w:trHeight w:val="278"/>
        </w:trPr>
        <w:tc>
          <w:tcPr>
            <w:tcW w:w="1555" w:type="dxa"/>
            <w:vAlign w:val="center"/>
          </w:tcPr>
          <w:p w14:paraId="483CA3E9"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Age (years)</w:t>
            </w:r>
          </w:p>
        </w:tc>
        <w:tc>
          <w:tcPr>
            <w:tcW w:w="1701" w:type="dxa"/>
            <w:vAlign w:val="center"/>
          </w:tcPr>
          <w:p w14:paraId="59690FA3" w14:textId="77777777" w:rsidR="00885BA5" w:rsidRPr="002E25AD" w:rsidRDefault="00885BA5" w:rsidP="00752472">
            <w:pPr>
              <w:pStyle w:val="NoSpacing"/>
              <w:rPr>
                <w:rFonts w:ascii="Times New Roman" w:hAnsi="Times New Roman" w:cs="Times New Roman"/>
                <w:sz w:val="24"/>
                <w:szCs w:val="24"/>
                <w:lang w:val="en-US"/>
              </w:rPr>
            </w:pPr>
          </w:p>
        </w:tc>
        <w:tc>
          <w:tcPr>
            <w:tcW w:w="1842" w:type="dxa"/>
            <w:vAlign w:val="center"/>
          </w:tcPr>
          <w:p w14:paraId="2E89D2EE"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64.2 (9.2)</w:t>
            </w:r>
          </w:p>
        </w:tc>
        <w:tc>
          <w:tcPr>
            <w:tcW w:w="1701" w:type="dxa"/>
            <w:vAlign w:val="center"/>
          </w:tcPr>
          <w:p w14:paraId="786DD1D2"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66.7 (10.8)</w:t>
            </w:r>
          </w:p>
        </w:tc>
        <w:tc>
          <w:tcPr>
            <w:tcW w:w="1701" w:type="dxa"/>
            <w:vAlign w:val="center"/>
          </w:tcPr>
          <w:p w14:paraId="28174B91"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2D9F3F49" w14:textId="77777777" w:rsidTr="00752472">
        <w:trPr>
          <w:trHeight w:val="827"/>
        </w:trPr>
        <w:tc>
          <w:tcPr>
            <w:tcW w:w="1555" w:type="dxa"/>
            <w:vAlign w:val="center"/>
          </w:tcPr>
          <w:p w14:paraId="39FB0481"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Body Mass Index (kg/m</w:t>
            </w:r>
            <w:r w:rsidRPr="002E25AD">
              <w:rPr>
                <w:rFonts w:ascii="Times New Roman" w:eastAsia="Times New Roman" w:hAnsi="Times New Roman" w:cs="Times New Roman"/>
                <w:sz w:val="24"/>
                <w:szCs w:val="24"/>
                <w:vertAlign w:val="superscript"/>
                <w:lang w:val="en-US"/>
              </w:rPr>
              <w:t>2</w:t>
            </w:r>
            <w:r w:rsidRPr="002E25AD">
              <w:rPr>
                <w:rFonts w:ascii="Times New Roman" w:eastAsia="Times New Roman" w:hAnsi="Times New Roman" w:cs="Times New Roman"/>
                <w:sz w:val="24"/>
                <w:szCs w:val="24"/>
                <w:lang w:val="en-US"/>
              </w:rPr>
              <w:t>)</w:t>
            </w:r>
          </w:p>
        </w:tc>
        <w:tc>
          <w:tcPr>
            <w:tcW w:w="1701" w:type="dxa"/>
            <w:vAlign w:val="center"/>
          </w:tcPr>
          <w:p w14:paraId="6DE8AACB" w14:textId="77777777" w:rsidR="00885BA5" w:rsidRPr="002E25AD" w:rsidRDefault="00885BA5" w:rsidP="00752472">
            <w:pPr>
              <w:pStyle w:val="NoSpacing"/>
              <w:rPr>
                <w:rFonts w:ascii="Times New Roman" w:hAnsi="Times New Roman" w:cs="Times New Roman"/>
                <w:sz w:val="24"/>
                <w:szCs w:val="24"/>
                <w:lang w:val="en-US"/>
              </w:rPr>
            </w:pPr>
          </w:p>
        </w:tc>
        <w:tc>
          <w:tcPr>
            <w:tcW w:w="1842" w:type="dxa"/>
            <w:vAlign w:val="center"/>
          </w:tcPr>
          <w:p w14:paraId="11ED1719"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26.9 (4.1)</w:t>
            </w:r>
          </w:p>
        </w:tc>
        <w:tc>
          <w:tcPr>
            <w:tcW w:w="1701" w:type="dxa"/>
            <w:vAlign w:val="center"/>
          </w:tcPr>
          <w:p w14:paraId="4F9BDC8B"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27.7 (4.5)</w:t>
            </w:r>
          </w:p>
        </w:tc>
        <w:tc>
          <w:tcPr>
            <w:tcW w:w="1701" w:type="dxa"/>
            <w:vAlign w:val="center"/>
          </w:tcPr>
          <w:p w14:paraId="29689EC2"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44C23AEC" w14:textId="77777777" w:rsidTr="00752472">
        <w:trPr>
          <w:trHeight w:val="270"/>
        </w:trPr>
        <w:tc>
          <w:tcPr>
            <w:tcW w:w="1555" w:type="dxa"/>
            <w:vAlign w:val="center"/>
          </w:tcPr>
          <w:p w14:paraId="514B9FF2"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Dyslipidemia</w:t>
            </w:r>
          </w:p>
        </w:tc>
        <w:tc>
          <w:tcPr>
            <w:tcW w:w="1701" w:type="dxa"/>
            <w:vAlign w:val="center"/>
          </w:tcPr>
          <w:p w14:paraId="5D43EB3E"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hAnsi="Times New Roman" w:cs="Times New Roman"/>
                <w:sz w:val="24"/>
                <w:szCs w:val="24"/>
                <w:lang w:val="en-US"/>
              </w:rPr>
              <w:t>No</w:t>
            </w:r>
          </w:p>
        </w:tc>
        <w:tc>
          <w:tcPr>
            <w:tcW w:w="1842" w:type="dxa"/>
            <w:vAlign w:val="center"/>
          </w:tcPr>
          <w:p w14:paraId="11A48BAF"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3,656 (63.1%)</w:t>
            </w:r>
          </w:p>
        </w:tc>
        <w:tc>
          <w:tcPr>
            <w:tcW w:w="1701" w:type="dxa"/>
            <w:vAlign w:val="center"/>
          </w:tcPr>
          <w:p w14:paraId="708F6A19"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2,713 (29.7%)</w:t>
            </w:r>
          </w:p>
        </w:tc>
        <w:tc>
          <w:tcPr>
            <w:tcW w:w="1701" w:type="dxa"/>
            <w:vAlign w:val="center"/>
          </w:tcPr>
          <w:p w14:paraId="48E643C2"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657E59DB" w14:textId="77777777" w:rsidTr="00752472">
        <w:trPr>
          <w:trHeight w:val="270"/>
        </w:trPr>
        <w:tc>
          <w:tcPr>
            <w:tcW w:w="1555" w:type="dxa"/>
            <w:vAlign w:val="center"/>
          </w:tcPr>
          <w:p w14:paraId="6A5B5A94" w14:textId="77777777" w:rsidR="00885BA5" w:rsidRPr="002E25AD" w:rsidRDefault="00885BA5" w:rsidP="00752472">
            <w:pPr>
              <w:pStyle w:val="NoSpacing"/>
              <w:rPr>
                <w:rFonts w:ascii="Times New Roman" w:hAnsi="Times New Roman" w:cs="Times New Roman"/>
                <w:sz w:val="24"/>
                <w:szCs w:val="24"/>
                <w:lang w:val="en-US"/>
              </w:rPr>
            </w:pPr>
          </w:p>
        </w:tc>
        <w:tc>
          <w:tcPr>
            <w:tcW w:w="1701" w:type="dxa"/>
            <w:vAlign w:val="center"/>
          </w:tcPr>
          <w:p w14:paraId="4DAEE0B7"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hAnsi="Times New Roman" w:cs="Times New Roman"/>
                <w:sz w:val="24"/>
                <w:szCs w:val="24"/>
                <w:lang w:val="en-US"/>
              </w:rPr>
              <w:t>Yes</w:t>
            </w:r>
          </w:p>
        </w:tc>
        <w:tc>
          <w:tcPr>
            <w:tcW w:w="1842" w:type="dxa"/>
            <w:vAlign w:val="center"/>
          </w:tcPr>
          <w:p w14:paraId="48EFBD79"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1,922 (33.2%)</w:t>
            </w:r>
          </w:p>
        </w:tc>
        <w:tc>
          <w:tcPr>
            <w:tcW w:w="1701" w:type="dxa"/>
            <w:vAlign w:val="center"/>
          </w:tcPr>
          <w:p w14:paraId="3044A180"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1,832 (20.1%)</w:t>
            </w:r>
          </w:p>
        </w:tc>
        <w:tc>
          <w:tcPr>
            <w:tcW w:w="1701" w:type="dxa"/>
            <w:vAlign w:val="center"/>
          </w:tcPr>
          <w:p w14:paraId="53F47D78"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p>
        </w:tc>
      </w:tr>
      <w:tr w:rsidR="002E25AD" w:rsidRPr="002E25AD" w14:paraId="0337099F" w14:textId="77777777" w:rsidTr="00752472">
        <w:trPr>
          <w:trHeight w:val="270"/>
        </w:trPr>
        <w:tc>
          <w:tcPr>
            <w:tcW w:w="1555" w:type="dxa"/>
            <w:vAlign w:val="center"/>
          </w:tcPr>
          <w:p w14:paraId="3B4A0AAA"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Hypertension</w:t>
            </w:r>
          </w:p>
        </w:tc>
        <w:tc>
          <w:tcPr>
            <w:tcW w:w="1701" w:type="dxa"/>
            <w:vAlign w:val="center"/>
          </w:tcPr>
          <w:p w14:paraId="2287E903"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hAnsi="Times New Roman" w:cs="Times New Roman"/>
                <w:sz w:val="24"/>
                <w:szCs w:val="24"/>
                <w:lang w:val="en-US"/>
              </w:rPr>
              <w:t>No</w:t>
            </w:r>
          </w:p>
        </w:tc>
        <w:tc>
          <w:tcPr>
            <w:tcW w:w="1842" w:type="dxa"/>
            <w:vAlign w:val="center"/>
          </w:tcPr>
          <w:p w14:paraId="5302D5FB"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2,328 (40.2%)</w:t>
            </w:r>
          </w:p>
        </w:tc>
        <w:tc>
          <w:tcPr>
            <w:tcW w:w="1701" w:type="dxa"/>
            <w:vAlign w:val="center"/>
          </w:tcPr>
          <w:p w14:paraId="2ED7D95F"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1,535 (16.8%)</w:t>
            </w:r>
          </w:p>
        </w:tc>
        <w:tc>
          <w:tcPr>
            <w:tcW w:w="1701" w:type="dxa"/>
            <w:vAlign w:val="center"/>
          </w:tcPr>
          <w:p w14:paraId="29BAED86"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013106D0" w14:textId="77777777" w:rsidTr="00752472">
        <w:trPr>
          <w:trHeight w:val="270"/>
        </w:trPr>
        <w:tc>
          <w:tcPr>
            <w:tcW w:w="1555" w:type="dxa"/>
            <w:vAlign w:val="center"/>
          </w:tcPr>
          <w:p w14:paraId="7178C75D" w14:textId="77777777" w:rsidR="00885BA5" w:rsidRPr="002E25AD" w:rsidRDefault="00885BA5" w:rsidP="00752472">
            <w:pPr>
              <w:pStyle w:val="NoSpacing"/>
              <w:rPr>
                <w:rFonts w:ascii="Times New Roman" w:eastAsia="Times New Roman" w:hAnsi="Times New Roman" w:cs="Times New Roman"/>
                <w:sz w:val="24"/>
                <w:szCs w:val="24"/>
                <w:lang w:val="en-US"/>
              </w:rPr>
            </w:pPr>
          </w:p>
        </w:tc>
        <w:tc>
          <w:tcPr>
            <w:tcW w:w="1701" w:type="dxa"/>
            <w:vAlign w:val="center"/>
          </w:tcPr>
          <w:p w14:paraId="41853A3E"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hAnsi="Times New Roman" w:cs="Times New Roman"/>
                <w:sz w:val="24"/>
                <w:szCs w:val="24"/>
                <w:lang w:val="en-US"/>
              </w:rPr>
              <w:t>Yes</w:t>
            </w:r>
          </w:p>
        </w:tc>
        <w:tc>
          <w:tcPr>
            <w:tcW w:w="1842" w:type="dxa"/>
            <w:vAlign w:val="center"/>
          </w:tcPr>
          <w:p w14:paraId="2F1825E1"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3,370 (58.1%)</w:t>
            </w:r>
          </w:p>
        </w:tc>
        <w:tc>
          <w:tcPr>
            <w:tcW w:w="1701" w:type="dxa"/>
            <w:vAlign w:val="center"/>
          </w:tcPr>
          <w:p w14:paraId="4C71FBE9"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5,690 (62.3%)</w:t>
            </w:r>
          </w:p>
        </w:tc>
        <w:tc>
          <w:tcPr>
            <w:tcW w:w="1701" w:type="dxa"/>
            <w:vAlign w:val="center"/>
          </w:tcPr>
          <w:p w14:paraId="4BD9E4F2"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p>
        </w:tc>
      </w:tr>
      <w:tr w:rsidR="002E25AD" w:rsidRPr="002E25AD" w14:paraId="05AF4E86" w14:textId="77777777" w:rsidTr="00752472">
        <w:trPr>
          <w:trHeight w:val="1654"/>
        </w:trPr>
        <w:tc>
          <w:tcPr>
            <w:tcW w:w="1555" w:type="dxa"/>
            <w:vAlign w:val="center"/>
          </w:tcPr>
          <w:p w14:paraId="50DF0672" w14:textId="77777777" w:rsidR="00885BA5" w:rsidRPr="002E25AD" w:rsidRDefault="00885BA5" w:rsidP="00752472">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Physical Activity (Metabolic Equivalents of Task- hours/week)*</w:t>
            </w:r>
          </w:p>
        </w:tc>
        <w:tc>
          <w:tcPr>
            <w:tcW w:w="1701" w:type="dxa"/>
            <w:vAlign w:val="center"/>
          </w:tcPr>
          <w:p w14:paraId="170715B0"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LASA questionnaire (RS-I and RS-II)</w:t>
            </w:r>
          </w:p>
        </w:tc>
        <w:tc>
          <w:tcPr>
            <w:tcW w:w="1842" w:type="dxa"/>
            <w:vAlign w:val="center"/>
          </w:tcPr>
          <w:p w14:paraId="05D7D0D1"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82.0 (57.4)</w:t>
            </w:r>
          </w:p>
        </w:tc>
        <w:tc>
          <w:tcPr>
            <w:tcW w:w="1701" w:type="dxa"/>
            <w:vAlign w:val="center"/>
          </w:tcPr>
          <w:p w14:paraId="4372872A"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67.3 (57.4)</w:t>
            </w:r>
          </w:p>
        </w:tc>
        <w:tc>
          <w:tcPr>
            <w:tcW w:w="1701" w:type="dxa"/>
            <w:vAlign w:val="center"/>
          </w:tcPr>
          <w:p w14:paraId="1BB83AAA"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5C08F47C" w14:textId="77777777" w:rsidTr="00752472">
        <w:trPr>
          <w:trHeight w:val="827"/>
        </w:trPr>
        <w:tc>
          <w:tcPr>
            <w:tcW w:w="1555" w:type="dxa"/>
            <w:vAlign w:val="center"/>
          </w:tcPr>
          <w:p w14:paraId="31641816" w14:textId="77777777" w:rsidR="00885BA5" w:rsidRPr="002E25AD" w:rsidRDefault="00885BA5" w:rsidP="00752472">
            <w:pPr>
              <w:pStyle w:val="NoSpacing"/>
              <w:rPr>
                <w:rFonts w:ascii="Times New Roman" w:eastAsia="Times New Roman" w:hAnsi="Times New Roman" w:cs="Times New Roman"/>
                <w:sz w:val="24"/>
                <w:szCs w:val="24"/>
                <w:lang w:val="en-US"/>
              </w:rPr>
            </w:pPr>
          </w:p>
        </w:tc>
        <w:tc>
          <w:tcPr>
            <w:tcW w:w="1701" w:type="dxa"/>
            <w:vAlign w:val="center"/>
          </w:tcPr>
          <w:p w14:paraId="67FCE0AD"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Zutphen Questionnaire (RS-III)</w:t>
            </w:r>
          </w:p>
        </w:tc>
        <w:tc>
          <w:tcPr>
            <w:tcW w:w="1842" w:type="dxa"/>
            <w:vAlign w:val="center"/>
          </w:tcPr>
          <w:p w14:paraId="6B444122"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42.9 (63.2)</w:t>
            </w:r>
          </w:p>
        </w:tc>
        <w:tc>
          <w:tcPr>
            <w:tcW w:w="1701" w:type="dxa"/>
            <w:vAlign w:val="center"/>
          </w:tcPr>
          <w:p w14:paraId="3483B1F5"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36.0 (61.6)</w:t>
            </w:r>
          </w:p>
        </w:tc>
        <w:tc>
          <w:tcPr>
            <w:tcW w:w="1701" w:type="dxa"/>
            <w:vAlign w:val="center"/>
          </w:tcPr>
          <w:p w14:paraId="3B4EE08A"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0.018</w:t>
            </w:r>
          </w:p>
        </w:tc>
      </w:tr>
      <w:tr w:rsidR="002E25AD" w:rsidRPr="002E25AD" w14:paraId="2012596F" w14:textId="77777777" w:rsidTr="00752472">
        <w:trPr>
          <w:trHeight w:val="270"/>
        </w:trPr>
        <w:tc>
          <w:tcPr>
            <w:tcW w:w="1555" w:type="dxa"/>
            <w:vAlign w:val="center"/>
          </w:tcPr>
          <w:p w14:paraId="5E981788" w14:textId="77777777" w:rsidR="00885BA5" w:rsidRPr="002E25AD" w:rsidRDefault="00885BA5" w:rsidP="00752472">
            <w:pPr>
              <w:pStyle w:val="NoSpacing"/>
              <w:rPr>
                <w:rFonts w:ascii="Times New Roman" w:eastAsia="Times New Roman" w:hAnsi="Times New Roman" w:cs="Times New Roman"/>
                <w:sz w:val="24"/>
                <w:szCs w:val="24"/>
                <w:lang w:val="en-US"/>
              </w:rPr>
            </w:pPr>
          </w:p>
        </w:tc>
        <w:tc>
          <w:tcPr>
            <w:tcW w:w="1701" w:type="dxa"/>
            <w:vAlign w:val="center"/>
          </w:tcPr>
          <w:p w14:paraId="0BCB981F" w14:textId="77777777" w:rsidR="00885BA5" w:rsidRPr="002E25AD" w:rsidRDefault="00885BA5" w:rsidP="00752472">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Total</w:t>
            </w:r>
          </w:p>
        </w:tc>
        <w:tc>
          <w:tcPr>
            <w:tcW w:w="1842" w:type="dxa"/>
            <w:vAlign w:val="center"/>
          </w:tcPr>
          <w:p w14:paraId="1C979D54"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71.7 (63.8)</w:t>
            </w:r>
          </w:p>
        </w:tc>
        <w:tc>
          <w:tcPr>
            <w:tcW w:w="1701" w:type="dxa"/>
            <w:vAlign w:val="center"/>
          </w:tcPr>
          <w:p w14:paraId="7F7B5E9A"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63.5 (60.4)</w:t>
            </w:r>
          </w:p>
        </w:tc>
        <w:tc>
          <w:tcPr>
            <w:tcW w:w="1701" w:type="dxa"/>
            <w:vAlign w:val="center"/>
          </w:tcPr>
          <w:p w14:paraId="3AE937E7"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71D4E313" w14:textId="77777777" w:rsidTr="00752472">
        <w:trPr>
          <w:trHeight w:val="270"/>
        </w:trPr>
        <w:tc>
          <w:tcPr>
            <w:tcW w:w="1555" w:type="dxa"/>
            <w:vAlign w:val="center"/>
          </w:tcPr>
          <w:p w14:paraId="7AFDB9DB" w14:textId="77777777" w:rsidR="00885BA5" w:rsidRPr="002E25AD" w:rsidRDefault="00885BA5" w:rsidP="00752472">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Education</w:t>
            </w:r>
          </w:p>
        </w:tc>
        <w:tc>
          <w:tcPr>
            <w:tcW w:w="1701" w:type="dxa"/>
            <w:vAlign w:val="center"/>
          </w:tcPr>
          <w:p w14:paraId="72D01226" w14:textId="77777777" w:rsidR="00885BA5" w:rsidRPr="002E25AD" w:rsidRDefault="00885BA5" w:rsidP="00752472">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Primary</w:t>
            </w:r>
          </w:p>
        </w:tc>
        <w:tc>
          <w:tcPr>
            <w:tcW w:w="1842" w:type="dxa"/>
            <w:vAlign w:val="center"/>
          </w:tcPr>
          <w:p w14:paraId="335524EE"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645 (11.1%)</w:t>
            </w:r>
          </w:p>
        </w:tc>
        <w:tc>
          <w:tcPr>
            <w:tcW w:w="1701" w:type="dxa"/>
            <w:vAlign w:val="center"/>
          </w:tcPr>
          <w:p w14:paraId="6476924E"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2,072 (22.7%)</w:t>
            </w:r>
          </w:p>
        </w:tc>
        <w:tc>
          <w:tcPr>
            <w:tcW w:w="1701" w:type="dxa"/>
            <w:vAlign w:val="center"/>
          </w:tcPr>
          <w:p w14:paraId="33D79DFE"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r w:rsidR="002E25AD" w:rsidRPr="002E25AD" w14:paraId="55DEB506" w14:textId="77777777" w:rsidTr="00752472">
        <w:trPr>
          <w:trHeight w:val="556"/>
        </w:trPr>
        <w:tc>
          <w:tcPr>
            <w:tcW w:w="1555" w:type="dxa"/>
            <w:vAlign w:val="center"/>
          </w:tcPr>
          <w:p w14:paraId="0F184CE3" w14:textId="77777777" w:rsidR="00885BA5" w:rsidRPr="002E25AD" w:rsidRDefault="00885BA5" w:rsidP="00752472">
            <w:pPr>
              <w:pStyle w:val="NoSpacing"/>
              <w:rPr>
                <w:rFonts w:ascii="Times New Roman" w:eastAsia="Times New Roman" w:hAnsi="Times New Roman" w:cs="Times New Roman"/>
                <w:sz w:val="24"/>
                <w:szCs w:val="24"/>
                <w:lang w:val="en-US"/>
              </w:rPr>
            </w:pPr>
          </w:p>
        </w:tc>
        <w:tc>
          <w:tcPr>
            <w:tcW w:w="1701" w:type="dxa"/>
            <w:vAlign w:val="center"/>
          </w:tcPr>
          <w:p w14:paraId="324A530B" w14:textId="77777777" w:rsidR="00885BA5" w:rsidRPr="002E25AD" w:rsidRDefault="00885BA5" w:rsidP="00752472">
            <w:pPr>
              <w:pStyle w:val="NoSpacing"/>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Lower vocational</w:t>
            </w:r>
          </w:p>
        </w:tc>
        <w:tc>
          <w:tcPr>
            <w:tcW w:w="1842" w:type="dxa"/>
            <w:vAlign w:val="center"/>
          </w:tcPr>
          <w:p w14:paraId="686097C6"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2,386 (41.2%)</w:t>
            </w:r>
          </w:p>
        </w:tc>
        <w:tc>
          <w:tcPr>
            <w:tcW w:w="1701" w:type="dxa"/>
            <w:vAlign w:val="center"/>
          </w:tcPr>
          <w:p w14:paraId="5CAB6B68"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3,384 (37.1%)</w:t>
            </w:r>
          </w:p>
        </w:tc>
        <w:tc>
          <w:tcPr>
            <w:tcW w:w="1701" w:type="dxa"/>
            <w:vAlign w:val="center"/>
          </w:tcPr>
          <w:p w14:paraId="374464E0"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0.015</w:t>
            </w:r>
          </w:p>
        </w:tc>
      </w:tr>
      <w:tr w:rsidR="002E25AD" w:rsidRPr="002E25AD" w14:paraId="52802F8E" w14:textId="77777777" w:rsidTr="00752472">
        <w:trPr>
          <w:trHeight w:val="541"/>
        </w:trPr>
        <w:tc>
          <w:tcPr>
            <w:tcW w:w="1555" w:type="dxa"/>
            <w:vAlign w:val="center"/>
          </w:tcPr>
          <w:p w14:paraId="5BD3843D" w14:textId="77777777" w:rsidR="00885BA5" w:rsidRPr="002E25AD" w:rsidRDefault="00885BA5" w:rsidP="00752472">
            <w:pPr>
              <w:pStyle w:val="NoSpacing"/>
              <w:rPr>
                <w:rFonts w:ascii="Times New Roman" w:hAnsi="Times New Roman" w:cs="Times New Roman"/>
                <w:sz w:val="24"/>
                <w:szCs w:val="24"/>
                <w:lang w:val="en-US"/>
              </w:rPr>
            </w:pPr>
          </w:p>
        </w:tc>
        <w:tc>
          <w:tcPr>
            <w:tcW w:w="1701" w:type="dxa"/>
            <w:vAlign w:val="center"/>
          </w:tcPr>
          <w:p w14:paraId="5C8508ED"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Intermediate vocational</w:t>
            </w:r>
          </w:p>
        </w:tc>
        <w:tc>
          <w:tcPr>
            <w:tcW w:w="1842" w:type="dxa"/>
            <w:vAlign w:val="center"/>
          </w:tcPr>
          <w:p w14:paraId="76B45418"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1,645 (28.4%)</w:t>
            </w:r>
          </w:p>
        </w:tc>
        <w:tc>
          <w:tcPr>
            <w:tcW w:w="1701" w:type="dxa"/>
            <w:vAlign w:val="center"/>
          </w:tcPr>
          <w:p w14:paraId="7F0B216A"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2,233 (24.5%)</w:t>
            </w:r>
          </w:p>
        </w:tc>
        <w:tc>
          <w:tcPr>
            <w:tcW w:w="1701" w:type="dxa"/>
            <w:vAlign w:val="center"/>
          </w:tcPr>
          <w:p w14:paraId="690DD3B8"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p>
        </w:tc>
      </w:tr>
      <w:tr w:rsidR="002E25AD" w:rsidRPr="002E25AD" w14:paraId="52655DCB" w14:textId="77777777" w:rsidTr="00752472">
        <w:trPr>
          <w:trHeight w:val="827"/>
        </w:trPr>
        <w:tc>
          <w:tcPr>
            <w:tcW w:w="1555" w:type="dxa"/>
            <w:vAlign w:val="center"/>
          </w:tcPr>
          <w:p w14:paraId="1AAD4224" w14:textId="77777777" w:rsidR="00885BA5" w:rsidRPr="002E25AD" w:rsidRDefault="00885BA5" w:rsidP="00752472">
            <w:pPr>
              <w:pStyle w:val="NoSpacing"/>
              <w:rPr>
                <w:rFonts w:ascii="Times New Roman" w:hAnsi="Times New Roman" w:cs="Times New Roman"/>
                <w:sz w:val="24"/>
                <w:szCs w:val="24"/>
                <w:lang w:val="en-US"/>
              </w:rPr>
            </w:pPr>
          </w:p>
        </w:tc>
        <w:tc>
          <w:tcPr>
            <w:tcW w:w="1701" w:type="dxa"/>
            <w:vAlign w:val="center"/>
          </w:tcPr>
          <w:p w14:paraId="03CF139B"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Higher vocational or university</w:t>
            </w:r>
          </w:p>
        </w:tc>
        <w:tc>
          <w:tcPr>
            <w:tcW w:w="1842" w:type="dxa"/>
            <w:vAlign w:val="center"/>
          </w:tcPr>
          <w:p w14:paraId="3A2FE173"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1,084 (18.7%)</w:t>
            </w:r>
          </w:p>
        </w:tc>
        <w:tc>
          <w:tcPr>
            <w:tcW w:w="1701" w:type="dxa"/>
            <w:vAlign w:val="center"/>
          </w:tcPr>
          <w:p w14:paraId="59E8BED6"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1,055 (11.6%)</w:t>
            </w:r>
          </w:p>
        </w:tc>
        <w:tc>
          <w:tcPr>
            <w:tcW w:w="1701" w:type="dxa"/>
            <w:vAlign w:val="center"/>
          </w:tcPr>
          <w:p w14:paraId="50EDEB36"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p>
        </w:tc>
      </w:tr>
      <w:tr w:rsidR="002E25AD" w:rsidRPr="002E25AD" w14:paraId="264D8F2B" w14:textId="77777777" w:rsidTr="00752472">
        <w:trPr>
          <w:trHeight w:val="270"/>
        </w:trPr>
        <w:tc>
          <w:tcPr>
            <w:tcW w:w="1555" w:type="dxa"/>
            <w:vAlign w:val="center"/>
          </w:tcPr>
          <w:p w14:paraId="15CC1329"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Smoking</w:t>
            </w:r>
          </w:p>
        </w:tc>
        <w:tc>
          <w:tcPr>
            <w:tcW w:w="1701" w:type="dxa"/>
            <w:vAlign w:val="center"/>
          </w:tcPr>
          <w:p w14:paraId="5107BA46"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Never</w:t>
            </w:r>
          </w:p>
        </w:tc>
        <w:tc>
          <w:tcPr>
            <w:tcW w:w="1842" w:type="dxa"/>
            <w:vAlign w:val="center"/>
          </w:tcPr>
          <w:p w14:paraId="3081F9FB"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1,925 (33.2%)</w:t>
            </w:r>
          </w:p>
        </w:tc>
        <w:tc>
          <w:tcPr>
            <w:tcW w:w="1701" w:type="dxa"/>
            <w:vAlign w:val="center"/>
          </w:tcPr>
          <w:p w14:paraId="055FD0E7"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2,894 (31.7%)</w:t>
            </w:r>
          </w:p>
        </w:tc>
        <w:tc>
          <w:tcPr>
            <w:tcW w:w="1701" w:type="dxa"/>
            <w:vAlign w:val="center"/>
          </w:tcPr>
          <w:p w14:paraId="47DDE2AB"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p>
        </w:tc>
      </w:tr>
      <w:tr w:rsidR="002E25AD" w:rsidRPr="002E25AD" w14:paraId="133C5189" w14:textId="77777777" w:rsidTr="00752472">
        <w:trPr>
          <w:trHeight w:val="270"/>
        </w:trPr>
        <w:tc>
          <w:tcPr>
            <w:tcW w:w="1555" w:type="dxa"/>
            <w:vAlign w:val="center"/>
          </w:tcPr>
          <w:p w14:paraId="087A1E52" w14:textId="77777777" w:rsidR="00885BA5" w:rsidRPr="002E25AD" w:rsidRDefault="00885BA5" w:rsidP="00752472">
            <w:pPr>
              <w:pStyle w:val="NoSpacing"/>
              <w:rPr>
                <w:rFonts w:ascii="Times New Roman" w:hAnsi="Times New Roman" w:cs="Times New Roman"/>
                <w:sz w:val="24"/>
                <w:szCs w:val="24"/>
                <w:lang w:val="en-US"/>
              </w:rPr>
            </w:pPr>
          </w:p>
        </w:tc>
        <w:tc>
          <w:tcPr>
            <w:tcW w:w="1701" w:type="dxa"/>
            <w:vAlign w:val="center"/>
          </w:tcPr>
          <w:p w14:paraId="4FE9DE05"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Former</w:t>
            </w:r>
          </w:p>
        </w:tc>
        <w:tc>
          <w:tcPr>
            <w:tcW w:w="1842" w:type="dxa"/>
            <w:vAlign w:val="center"/>
          </w:tcPr>
          <w:p w14:paraId="59F7426D"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2,514 (43.4%)</w:t>
            </w:r>
          </w:p>
        </w:tc>
        <w:tc>
          <w:tcPr>
            <w:tcW w:w="1701" w:type="dxa"/>
            <w:vAlign w:val="center"/>
          </w:tcPr>
          <w:p w14:paraId="7DBC3CEA"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3,659 (40.1%)</w:t>
            </w:r>
          </w:p>
        </w:tc>
        <w:tc>
          <w:tcPr>
            <w:tcW w:w="1701" w:type="dxa"/>
            <w:vAlign w:val="center"/>
          </w:tcPr>
          <w:p w14:paraId="3979DDBC"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p>
        </w:tc>
      </w:tr>
      <w:tr w:rsidR="002E25AD" w:rsidRPr="002E25AD" w14:paraId="70CA379A" w14:textId="77777777" w:rsidTr="00752472">
        <w:trPr>
          <w:trHeight w:val="270"/>
        </w:trPr>
        <w:tc>
          <w:tcPr>
            <w:tcW w:w="1555" w:type="dxa"/>
            <w:vAlign w:val="center"/>
          </w:tcPr>
          <w:p w14:paraId="0C10BF40" w14:textId="77777777" w:rsidR="00885BA5" w:rsidRPr="002E25AD" w:rsidRDefault="00885BA5" w:rsidP="00752472">
            <w:pPr>
              <w:pStyle w:val="NoSpacing"/>
              <w:rPr>
                <w:rFonts w:ascii="Times New Roman" w:hAnsi="Times New Roman" w:cs="Times New Roman"/>
                <w:sz w:val="24"/>
                <w:szCs w:val="24"/>
                <w:lang w:val="en-US"/>
              </w:rPr>
            </w:pPr>
          </w:p>
        </w:tc>
        <w:tc>
          <w:tcPr>
            <w:tcW w:w="1701" w:type="dxa"/>
            <w:vAlign w:val="center"/>
          </w:tcPr>
          <w:p w14:paraId="7985C2DA"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Current</w:t>
            </w:r>
          </w:p>
        </w:tc>
        <w:tc>
          <w:tcPr>
            <w:tcW w:w="1842" w:type="dxa"/>
            <w:vAlign w:val="center"/>
          </w:tcPr>
          <w:p w14:paraId="1B9125C6"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1,329 (22.9%)</w:t>
            </w:r>
          </w:p>
        </w:tc>
        <w:tc>
          <w:tcPr>
            <w:tcW w:w="1701" w:type="dxa"/>
            <w:vAlign w:val="center"/>
          </w:tcPr>
          <w:p w14:paraId="2A62EB15" w14:textId="77777777" w:rsidR="00885BA5" w:rsidRPr="002E25AD" w:rsidRDefault="00885BA5" w:rsidP="00752472">
            <w:pPr>
              <w:pStyle w:val="NoSpacing"/>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2,192 (24.0%)</w:t>
            </w:r>
          </w:p>
        </w:tc>
        <w:tc>
          <w:tcPr>
            <w:tcW w:w="1701" w:type="dxa"/>
            <w:vAlign w:val="center"/>
          </w:tcPr>
          <w:p w14:paraId="2FE1496A"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p>
        </w:tc>
      </w:tr>
      <w:tr w:rsidR="00885BA5" w:rsidRPr="002E25AD" w14:paraId="635F25DB" w14:textId="77777777" w:rsidTr="00752472">
        <w:trPr>
          <w:trHeight w:val="827"/>
        </w:trPr>
        <w:tc>
          <w:tcPr>
            <w:tcW w:w="1555" w:type="dxa"/>
            <w:vAlign w:val="center"/>
          </w:tcPr>
          <w:p w14:paraId="18C415D2" w14:textId="77777777" w:rsidR="00885BA5" w:rsidRPr="002E25AD" w:rsidRDefault="00885BA5" w:rsidP="00752472">
            <w:pPr>
              <w:pStyle w:val="NoSpacing"/>
              <w:rPr>
                <w:rFonts w:ascii="Times New Roman" w:hAnsi="Times New Roman" w:cs="Times New Roman"/>
                <w:sz w:val="24"/>
                <w:szCs w:val="24"/>
                <w:lang w:val="en-US"/>
              </w:rPr>
            </w:pPr>
            <w:r w:rsidRPr="002E25AD">
              <w:rPr>
                <w:rFonts w:ascii="Times New Roman" w:eastAsia="Times New Roman" w:hAnsi="Times New Roman" w:cs="Times New Roman"/>
                <w:sz w:val="24"/>
                <w:szCs w:val="24"/>
                <w:lang w:val="en-US"/>
              </w:rPr>
              <w:t>Alcohol consumption (g/day)*</w:t>
            </w:r>
          </w:p>
        </w:tc>
        <w:tc>
          <w:tcPr>
            <w:tcW w:w="1701" w:type="dxa"/>
            <w:vAlign w:val="center"/>
          </w:tcPr>
          <w:p w14:paraId="3585CAF8" w14:textId="77777777" w:rsidR="00885BA5" w:rsidRPr="002E25AD" w:rsidRDefault="00885BA5" w:rsidP="00752472">
            <w:pPr>
              <w:pStyle w:val="NoSpacing"/>
              <w:rPr>
                <w:rFonts w:ascii="Times New Roman" w:hAnsi="Times New Roman" w:cs="Times New Roman"/>
                <w:sz w:val="24"/>
                <w:szCs w:val="24"/>
                <w:lang w:val="en-US"/>
              </w:rPr>
            </w:pPr>
          </w:p>
        </w:tc>
        <w:tc>
          <w:tcPr>
            <w:tcW w:w="1842" w:type="dxa"/>
            <w:vAlign w:val="center"/>
          </w:tcPr>
          <w:p w14:paraId="68C84FFA"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6.6 (18.1)</w:t>
            </w:r>
          </w:p>
        </w:tc>
        <w:tc>
          <w:tcPr>
            <w:tcW w:w="1701" w:type="dxa"/>
            <w:vAlign w:val="center"/>
          </w:tcPr>
          <w:p w14:paraId="67B11963"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3.2 (15.6)</w:t>
            </w:r>
          </w:p>
        </w:tc>
        <w:tc>
          <w:tcPr>
            <w:tcW w:w="1701" w:type="dxa"/>
            <w:vAlign w:val="center"/>
          </w:tcPr>
          <w:p w14:paraId="1027D691" w14:textId="77777777" w:rsidR="00885BA5" w:rsidRPr="002E25AD" w:rsidRDefault="00885BA5" w:rsidP="00752472">
            <w:pPr>
              <w:pStyle w:val="NoSpacing"/>
              <w:jc w:val="center"/>
              <w:rPr>
                <w:rFonts w:ascii="Times New Roman" w:eastAsia="Times New Roman" w:hAnsi="Times New Roman" w:cs="Times New Roman"/>
                <w:sz w:val="24"/>
                <w:szCs w:val="24"/>
                <w:lang w:val="en-US"/>
              </w:rPr>
            </w:pPr>
            <w:r w:rsidRPr="002E25AD">
              <w:rPr>
                <w:rFonts w:ascii="Times New Roman" w:eastAsia="Times New Roman" w:hAnsi="Times New Roman" w:cs="Times New Roman"/>
                <w:sz w:val="24"/>
                <w:szCs w:val="24"/>
                <w:lang w:val="en-US"/>
              </w:rPr>
              <w:t>&lt; 0.001</w:t>
            </w:r>
          </w:p>
        </w:tc>
      </w:tr>
    </w:tbl>
    <w:p w14:paraId="543C30B4" w14:textId="77777777" w:rsidR="00885BA5" w:rsidRPr="002E25AD" w:rsidRDefault="00885BA5" w:rsidP="00885BA5">
      <w:pPr>
        <w:pStyle w:val="NoSpacing"/>
        <w:rPr>
          <w:rFonts w:ascii="Times New Roman" w:hAnsi="Times New Roman" w:cs="Times New Roman"/>
          <w:sz w:val="24"/>
          <w:szCs w:val="24"/>
          <w:shd w:val="clear" w:color="auto" w:fill="FFFFFF"/>
          <w:lang w:val="en-US"/>
        </w:rPr>
      </w:pPr>
    </w:p>
    <w:p w14:paraId="242543AE" w14:textId="77777777" w:rsidR="00885BA5" w:rsidRPr="002E25AD" w:rsidRDefault="00885BA5" w:rsidP="00885BA5">
      <w:pPr>
        <w:pStyle w:val="NoSpacing"/>
        <w:rPr>
          <w:rFonts w:ascii="Times New Roman" w:hAnsi="Times New Roman" w:cs="Times New Roman"/>
          <w:sz w:val="24"/>
          <w:szCs w:val="24"/>
          <w:shd w:val="clear" w:color="auto" w:fill="FFFFFF"/>
          <w:lang w:val="en-US"/>
        </w:rPr>
      </w:pPr>
      <w:r w:rsidRPr="002E25AD">
        <w:rPr>
          <w:rFonts w:ascii="Times New Roman" w:hAnsi="Times New Roman" w:cs="Times New Roman"/>
          <w:sz w:val="24"/>
          <w:szCs w:val="24"/>
          <w:shd w:val="clear" w:color="auto" w:fill="FFFFFF"/>
          <w:lang w:val="en-US"/>
        </w:rPr>
        <w:t xml:space="preserve">Variables are presented as mean (SD) unless otherwise indicated. *Variable is presented as median (interquartile range) because it did not follow a normal distribution. Differences between men and women were assessed using Student’s T-tests in the case of normally distributed continuous variables, </w:t>
      </w:r>
      <w:r w:rsidRPr="002E25AD">
        <w:rPr>
          <w:rFonts w:ascii="Times New Roman" w:hAnsi="Times New Roman" w:cs="Times New Roman"/>
          <w:sz w:val="24"/>
          <w:szCs w:val="24"/>
          <w:shd w:val="clear" w:color="auto" w:fill="FFFFFF"/>
          <w:lang w:val="en-US"/>
        </w:rPr>
        <w:sym w:font="Symbol" w:char="F063"/>
      </w:r>
      <w:r w:rsidRPr="002E25AD">
        <w:rPr>
          <w:rFonts w:ascii="Times New Roman" w:hAnsi="Times New Roman" w:cs="Times New Roman"/>
          <w:sz w:val="24"/>
          <w:szCs w:val="24"/>
          <w:shd w:val="clear" w:color="auto" w:fill="FFFFFF"/>
          <w:vertAlign w:val="superscript"/>
          <w:lang w:val="en-US"/>
        </w:rPr>
        <w:t>2</w:t>
      </w:r>
      <w:r w:rsidRPr="002E25AD">
        <w:rPr>
          <w:rFonts w:ascii="Times New Roman" w:hAnsi="Times New Roman" w:cs="Times New Roman"/>
          <w:sz w:val="24"/>
          <w:szCs w:val="24"/>
          <w:shd w:val="clear" w:color="auto" w:fill="FFFFFF"/>
          <w:lang w:val="en-US"/>
        </w:rPr>
        <w:t xml:space="preserve">-tests in the case of categorical variables and Mann-Whitney U tests in the case of non-normally distributed continuous variables. Included participants are those who had valid dietary data available, did not have cancer or a history of cardiovascular disease and had information on glucose status available at baseline. The statistics presented above stem from an unimputed dataset. </w:t>
      </w:r>
    </w:p>
    <w:p w14:paraId="3B183C2A" w14:textId="4566DB99" w:rsidR="00B11DF6" w:rsidRPr="002E25AD" w:rsidRDefault="00B11DF6" w:rsidP="00361CD6">
      <w:pPr>
        <w:rPr>
          <w:rFonts w:ascii="Open Sans" w:eastAsia="Times New Roman" w:hAnsi="Open Sans" w:cs="Times New Roman"/>
          <w:sz w:val="24"/>
          <w:szCs w:val="24"/>
          <w:shd w:val="clear" w:color="auto" w:fill="FFFFFF"/>
          <w:lang w:val="en-GB" w:eastAsia="en-GB"/>
        </w:rPr>
      </w:pPr>
    </w:p>
    <w:p w14:paraId="160348F0" w14:textId="736B3BD4" w:rsidR="00885BA5" w:rsidRPr="002E25AD" w:rsidRDefault="00885BA5" w:rsidP="00361CD6">
      <w:pPr>
        <w:rPr>
          <w:rFonts w:ascii="Open Sans" w:eastAsia="Times New Roman" w:hAnsi="Open Sans" w:cs="Times New Roman"/>
          <w:sz w:val="24"/>
          <w:szCs w:val="24"/>
          <w:shd w:val="clear" w:color="auto" w:fill="FFFFFF"/>
          <w:lang w:val="en-GB" w:eastAsia="en-GB"/>
        </w:rPr>
      </w:pPr>
    </w:p>
    <w:p w14:paraId="4A6A80C4" w14:textId="1A0D820B" w:rsidR="00885BA5" w:rsidRPr="002E25AD" w:rsidRDefault="00885BA5" w:rsidP="00885BA5">
      <w:pPr>
        <w:rPr>
          <w:rFonts w:ascii="Times New Roman" w:hAnsi="Times New Roman" w:cs="Times New Roman"/>
          <w:sz w:val="24"/>
          <w:szCs w:val="24"/>
          <w:lang w:val="en-US"/>
        </w:rPr>
      </w:pPr>
      <w:r w:rsidRPr="002E25AD">
        <w:rPr>
          <w:rFonts w:ascii="Times New Roman" w:hAnsi="Times New Roman" w:cs="Times New Roman"/>
          <w:sz w:val="24"/>
          <w:szCs w:val="24"/>
          <w:lang w:val="en-US"/>
        </w:rPr>
        <w:lastRenderedPageBreak/>
        <w:t>Supplementary Table 2. Associations between total dietary antioxidant capacity and risk of type 2 diabetes, type 2 diabetes among participants with prediabetes and prediabetes, excluding participants with less than one year of follow-up.</w:t>
      </w:r>
    </w:p>
    <w:tbl>
      <w:tblPr>
        <w:tblStyle w:val="TableGrid"/>
        <w:tblW w:w="5000" w:type="pct"/>
        <w:tblLayout w:type="fixed"/>
        <w:tblLook w:val="04A0" w:firstRow="1" w:lastRow="0" w:firstColumn="1" w:lastColumn="0" w:noHBand="0" w:noVBand="1"/>
      </w:tblPr>
      <w:tblGrid>
        <w:gridCol w:w="1073"/>
        <w:gridCol w:w="2073"/>
        <w:gridCol w:w="727"/>
        <w:gridCol w:w="1783"/>
        <w:gridCol w:w="750"/>
        <w:gridCol w:w="1869"/>
        <w:gridCol w:w="787"/>
      </w:tblGrid>
      <w:tr w:rsidR="002E25AD" w:rsidRPr="002E25AD" w14:paraId="4A8F7CF6" w14:textId="77777777" w:rsidTr="00752472">
        <w:tc>
          <w:tcPr>
            <w:tcW w:w="5000" w:type="pct"/>
            <w:gridSpan w:val="7"/>
          </w:tcPr>
          <w:p w14:paraId="72DAAF99" w14:textId="77777777" w:rsidR="00885BA5" w:rsidRPr="002E25AD" w:rsidRDefault="00885BA5" w:rsidP="00752472">
            <w:pPr>
              <w:jc w:val="center"/>
              <w:rPr>
                <w:rFonts w:ascii="Times New Roman" w:eastAsia="Calibri" w:hAnsi="Times New Roman" w:cs="Times New Roman"/>
                <w:b/>
                <w:sz w:val="24"/>
                <w:szCs w:val="24"/>
                <w:lang w:val="en-US"/>
              </w:rPr>
            </w:pPr>
            <w:r w:rsidRPr="002E25AD">
              <w:rPr>
                <w:rFonts w:ascii="Times New Roman" w:eastAsia="Calibri" w:hAnsi="Times New Roman" w:cs="Times New Roman"/>
                <w:b/>
                <w:sz w:val="24"/>
                <w:szCs w:val="24"/>
                <w:lang w:val="en-US"/>
              </w:rPr>
              <w:t>Incident Type 2 Diabetes</w:t>
            </w:r>
          </w:p>
        </w:tc>
      </w:tr>
      <w:tr w:rsidR="002E25AD" w:rsidRPr="002E25AD" w14:paraId="70FC30A7" w14:textId="77777777" w:rsidTr="00752472">
        <w:tc>
          <w:tcPr>
            <w:tcW w:w="592" w:type="pct"/>
          </w:tcPr>
          <w:p w14:paraId="7DB9D749" w14:textId="77777777" w:rsidR="00885BA5" w:rsidRPr="002E25AD" w:rsidRDefault="00885BA5" w:rsidP="00752472">
            <w:pPr>
              <w:rPr>
                <w:rFonts w:ascii="Times New Roman" w:eastAsia="Calibri" w:hAnsi="Times New Roman" w:cs="Times New Roman"/>
                <w:sz w:val="24"/>
                <w:szCs w:val="24"/>
                <w:lang w:val="en-US"/>
              </w:rPr>
            </w:pPr>
          </w:p>
        </w:tc>
        <w:tc>
          <w:tcPr>
            <w:tcW w:w="1144" w:type="pct"/>
          </w:tcPr>
          <w:p w14:paraId="5D84F74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Total population </w:t>
            </w:r>
          </w:p>
          <w:p w14:paraId="510ECD5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5,738, </w:t>
            </w:r>
          </w:p>
          <w:p w14:paraId="3FE829B8"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505)</w:t>
            </w:r>
          </w:p>
        </w:tc>
        <w:tc>
          <w:tcPr>
            <w:tcW w:w="401" w:type="pct"/>
          </w:tcPr>
          <w:p w14:paraId="48954AA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4" w:type="pct"/>
          </w:tcPr>
          <w:p w14:paraId="225D4468"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Men </w:t>
            </w:r>
          </w:p>
          <w:p w14:paraId="6F16008D"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2,236, </w:t>
            </w:r>
          </w:p>
          <w:p w14:paraId="3A2018F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203)</w:t>
            </w:r>
          </w:p>
        </w:tc>
        <w:tc>
          <w:tcPr>
            <w:tcW w:w="414" w:type="pct"/>
          </w:tcPr>
          <w:p w14:paraId="7C6A5308"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1031" w:type="pct"/>
          </w:tcPr>
          <w:p w14:paraId="1600468E"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Women  </w:t>
            </w:r>
          </w:p>
          <w:p w14:paraId="239F77C0"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 3,502,</w:t>
            </w:r>
          </w:p>
          <w:p w14:paraId="37C1C323"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302)</w:t>
            </w:r>
          </w:p>
        </w:tc>
        <w:tc>
          <w:tcPr>
            <w:tcW w:w="434" w:type="pct"/>
          </w:tcPr>
          <w:p w14:paraId="1F67ED0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r>
      <w:tr w:rsidR="002E25AD" w:rsidRPr="002E25AD" w14:paraId="059B14E0" w14:textId="77777777" w:rsidTr="00752472">
        <w:tc>
          <w:tcPr>
            <w:tcW w:w="592" w:type="pct"/>
            <w:vAlign w:val="center"/>
          </w:tcPr>
          <w:p w14:paraId="15E36916"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1*</w:t>
            </w:r>
          </w:p>
        </w:tc>
        <w:tc>
          <w:tcPr>
            <w:tcW w:w="1144" w:type="pct"/>
            <w:vAlign w:val="center"/>
          </w:tcPr>
          <w:p w14:paraId="5043328E"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0.88 (0.78 ; 1.00)</w:t>
            </w:r>
          </w:p>
        </w:tc>
        <w:tc>
          <w:tcPr>
            <w:tcW w:w="401" w:type="pct"/>
            <w:vAlign w:val="center"/>
          </w:tcPr>
          <w:p w14:paraId="3CF748F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0.04</w:t>
            </w:r>
          </w:p>
        </w:tc>
        <w:tc>
          <w:tcPr>
            <w:tcW w:w="984" w:type="pct"/>
            <w:vAlign w:val="center"/>
          </w:tcPr>
          <w:p w14:paraId="75B68A89"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0.89 (0.75 ; 1.05)</w:t>
            </w:r>
          </w:p>
        </w:tc>
        <w:tc>
          <w:tcPr>
            <w:tcW w:w="414" w:type="pct"/>
            <w:vAlign w:val="center"/>
          </w:tcPr>
          <w:p w14:paraId="76ED9810"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0.17</w:t>
            </w:r>
          </w:p>
        </w:tc>
        <w:tc>
          <w:tcPr>
            <w:tcW w:w="1031" w:type="pct"/>
            <w:vAlign w:val="center"/>
          </w:tcPr>
          <w:p w14:paraId="13EF860A"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0.89 (0.75 ; 1.04)</w:t>
            </w:r>
          </w:p>
        </w:tc>
        <w:tc>
          <w:tcPr>
            <w:tcW w:w="434" w:type="pct"/>
            <w:vAlign w:val="center"/>
          </w:tcPr>
          <w:p w14:paraId="66F5FA9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0.15</w:t>
            </w:r>
          </w:p>
        </w:tc>
      </w:tr>
      <w:tr w:rsidR="002E25AD" w:rsidRPr="002E25AD" w14:paraId="4EF570FD" w14:textId="77777777" w:rsidTr="00752472">
        <w:tc>
          <w:tcPr>
            <w:tcW w:w="592" w:type="pct"/>
            <w:vAlign w:val="center"/>
          </w:tcPr>
          <w:p w14:paraId="297C9AAF"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1144" w:type="pct"/>
            <w:vAlign w:val="center"/>
          </w:tcPr>
          <w:p w14:paraId="2C470617"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0.87 (0.78 ; 0.98)</w:t>
            </w:r>
          </w:p>
        </w:tc>
        <w:tc>
          <w:tcPr>
            <w:tcW w:w="401" w:type="pct"/>
            <w:vAlign w:val="center"/>
          </w:tcPr>
          <w:p w14:paraId="3BC1640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0.03</w:t>
            </w:r>
          </w:p>
        </w:tc>
        <w:tc>
          <w:tcPr>
            <w:tcW w:w="984" w:type="pct"/>
            <w:vAlign w:val="center"/>
          </w:tcPr>
          <w:p w14:paraId="0526C81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0.86 (0.72 ; 1.02)</w:t>
            </w:r>
          </w:p>
        </w:tc>
        <w:tc>
          <w:tcPr>
            <w:tcW w:w="414" w:type="pct"/>
            <w:vAlign w:val="center"/>
          </w:tcPr>
          <w:p w14:paraId="3BD7F87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0.08</w:t>
            </w:r>
          </w:p>
        </w:tc>
        <w:tc>
          <w:tcPr>
            <w:tcW w:w="1031" w:type="pct"/>
            <w:vAlign w:val="center"/>
          </w:tcPr>
          <w:p w14:paraId="6764F28E"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0.88 (0.74 ; 1.04)</w:t>
            </w:r>
          </w:p>
        </w:tc>
        <w:tc>
          <w:tcPr>
            <w:tcW w:w="434" w:type="pct"/>
            <w:vAlign w:val="center"/>
          </w:tcPr>
          <w:p w14:paraId="26BA2A4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0.13</w:t>
            </w:r>
          </w:p>
        </w:tc>
      </w:tr>
      <w:tr w:rsidR="002E25AD" w:rsidRPr="002E25AD" w14:paraId="17EAB4C5" w14:textId="77777777" w:rsidTr="00752472">
        <w:tc>
          <w:tcPr>
            <w:tcW w:w="592" w:type="pct"/>
            <w:vAlign w:val="center"/>
          </w:tcPr>
          <w:p w14:paraId="38FC6969"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1144" w:type="pct"/>
            <w:vAlign w:val="center"/>
          </w:tcPr>
          <w:p w14:paraId="4664B04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0.86 (0.76 ; 0.98)</w:t>
            </w:r>
          </w:p>
        </w:tc>
        <w:tc>
          <w:tcPr>
            <w:tcW w:w="401" w:type="pct"/>
            <w:vAlign w:val="center"/>
          </w:tcPr>
          <w:p w14:paraId="1FCB19B7"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0.02</w:t>
            </w:r>
          </w:p>
        </w:tc>
        <w:tc>
          <w:tcPr>
            <w:tcW w:w="984" w:type="pct"/>
            <w:vAlign w:val="center"/>
          </w:tcPr>
          <w:p w14:paraId="4DA6425E"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0.87 (0.72 ; 1.04)</w:t>
            </w:r>
          </w:p>
        </w:tc>
        <w:tc>
          <w:tcPr>
            <w:tcW w:w="414" w:type="pct"/>
            <w:vAlign w:val="center"/>
          </w:tcPr>
          <w:p w14:paraId="7E4CF586"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0.12</w:t>
            </w:r>
          </w:p>
        </w:tc>
        <w:tc>
          <w:tcPr>
            <w:tcW w:w="1031" w:type="pct"/>
            <w:vAlign w:val="center"/>
          </w:tcPr>
          <w:p w14:paraId="69740CAA"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0.85 (0.71 ; 1.01)</w:t>
            </w:r>
          </w:p>
        </w:tc>
        <w:tc>
          <w:tcPr>
            <w:tcW w:w="434" w:type="pct"/>
            <w:vAlign w:val="center"/>
          </w:tcPr>
          <w:p w14:paraId="2416C0A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0.06</w:t>
            </w:r>
          </w:p>
        </w:tc>
      </w:tr>
      <w:tr w:rsidR="002E25AD" w:rsidRPr="002E25AD" w14:paraId="1AE09FD2" w14:textId="77777777" w:rsidTr="00752472">
        <w:tc>
          <w:tcPr>
            <w:tcW w:w="5000" w:type="pct"/>
            <w:gridSpan w:val="7"/>
            <w:vAlign w:val="center"/>
          </w:tcPr>
          <w:p w14:paraId="2225B013"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b/>
                <w:sz w:val="24"/>
                <w:szCs w:val="24"/>
                <w:lang w:val="en-US"/>
              </w:rPr>
              <w:t>Incident Type 2 Diabetes among Participants with Prediabetes</w:t>
            </w:r>
          </w:p>
        </w:tc>
      </w:tr>
      <w:tr w:rsidR="002E25AD" w:rsidRPr="002E25AD" w14:paraId="7B512460" w14:textId="77777777" w:rsidTr="00752472">
        <w:tc>
          <w:tcPr>
            <w:tcW w:w="592" w:type="pct"/>
          </w:tcPr>
          <w:p w14:paraId="366009BD" w14:textId="77777777" w:rsidR="00885BA5" w:rsidRPr="002E25AD" w:rsidRDefault="00885BA5" w:rsidP="00752472">
            <w:pPr>
              <w:rPr>
                <w:rFonts w:ascii="Times New Roman" w:eastAsia="Calibri" w:hAnsi="Times New Roman" w:cs="Times New Roman"/>
                <w:sz w:val="24"/>
                <w:szCs w:val="24"/>
                <w:lang w:val="en-US"/>
              </w:rPr>
            </w:pPr>
          </w:p>
        </w:tc>
        <w:tc>
          <w:tcPr>
            <w:tcW w:w="1144" w:type="pct"/>
          </w:tcPr>
          <w:p w14:paraId="1D62785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Total population </w:t>
            </w:r>
          </w:p>
          <w:p w14:paraId="65AEA167"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821, </w:t>
            </w:r>
          </w:p>
          <w:p w14:paraId="7772CE6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244)</w:t>
            </w:r>
          </w:p>
        </w:tc>
        <w:tc>
          <w:tcPr>
            <w:tcW w:w="401" w:type="pct"/>
          </w:tcPr>
          <w:p w14:paraId="0A65F58E"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4" w:type="pct"/>
          </w:tcPr>
          <w:p w14:paraId="048A06D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Men </w:t>
            </w:r>
          </w:p>
          <w:p w14:paraId="3E35B0DD"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389, </w:t>
            </w:r>
          </w:p>
          <w:p w14:paraId="2CCED5B1"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106)</w:t>
            </w:r>
          </w:p>
        </w:tc>
        <w:tc>
          <w:tcPr>
            <w:tcW w:w="414" w:type="pct"/>
          </w:tcPr>
          <w:p w14:paraId="15E8C51D"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1031" w:type="pct"/>
          </w:tcPr>
          <w:p w14:paraId="1DDEACE6"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Women  </w:t>
            </w:r>
          </w:p>
          <w:p w14:paraId="029BB259"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 432,</w:t>
            </w:r>
          </w:p>
          <w:p w14:paraId="2A15BC0D"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138)</w:t>
            </w:r>
          </w:p>
        </w:tc>
        <w:tc>
          <w:tcPr>
            <w:tcW w:w="434" w:type="pct"/>
          </w:tcPr>
          <w:p w14:paraId="1EDC0FA6"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r>
      <w:tr w:rsidR="002E25AD" w:rsidRPr="002E25AD" w14:paraId="48125D69" w14:textId="77777777" w:rsidTr="00752472">
        <w:tc>
          <w:tcPr>
            <w:tcW w:w="592" w:type="pct"/>
            <w:vAlign w:val="center"/>
          </w:tcPr>
          <w:p w14:paraId="72ED653E"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1*</w:t>
            </w:r>
          </w:p>
        </w:tc>
        <w:tc>
          <w:tcPr>
            <w:tcW w:w="1144" w:type="pct"/>
            <w:vAlign w:val="center"/>
          </w:tcPr>
          <w:p w14:paraId="1851EAC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0.89 (0.77 ; 1.04)</w:t>
            </w:r>
          </w:p>
        </w:tc>
        <w:tc>
          <w:tcPr>
            <w:tcW w:w="401" w:type="pct"/>
            <w:vAlign w:val="center"/>
          </w:tcPr>
          <w:p w14:paraId="19A93D8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0.15</w:t>
            </w:r>
          </w:p>
        </w:tc>
        <w:tc>
          <w:tcPr>
            <w:tcW w:w="984" w:type="pct"/>
            <w:vAlign w:val="center"/>
          </w:tcPr>
          <w:p w14:paraId="0CAAE87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0.94 (0.77 ; 1.15)</w:t>
            </w:r>
          </w:p>
        </w:tc>
        <w:tc>
          <w:tcPr>
            <w:tcW w:w="414" w:type="pct"/>
            <w:vAlign w:val="center"/>
          </w:tcPr>
          <w:p w14:paraId="13A6124D"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0.54</w:t>
            </w:r>
          </w:p>
        </w:tc>
        <w:tc>
          <w:tcPr>
            <w:tcW w:w="1031" w:type="pct"/>
            <w:vAlign w:val="center"/>
          </w:tcPr>
          <w:p w14:paraId="6518D65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0.85 (0.67 ; 1.07)</w:t>
            </w:r>
          </w:p>
        </w:tc>
        <w:tc>
          <w:tcPr>
            <w:tcW w:w="434" w:type="pct"/>
            <w:vAlign w:val="center"/>
          </w:tcPr>
          <w:p w14:paraId="04E45EB8"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0.17</w:t>
            </w:r>
          </w:p>
        </w:tc>
      </w:tr>
      <w:tr w:rsidR="002E25AD" w:rsidRPr="002E25AD" w14:paraId="73517239" w14:textId="77777777" w:rsidTr="00752472">
        <w:tc>
          <w:tcPr>
            <w:tcW w:w="592" w:type="pct"/>
            <w:vAlign w:val="center"/>
          </w:tcPr>
          <w:p w14:paraId="03965133"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1144" w:type="pct"/>
            <w:vAlign w:val="center"/>
          </w:tcPr>
          <w:p w14:paraId="38B5D30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0.92 (0.75 ; 1.16)</w:t>
            </w:r>
          </w:p>
        </w:tc>
        <w:tc>
          <w:tcPr>
            <w:tcW w:w="401" w:type="pct"/>
            <w:vAlign w:val="center"/>
          </w:tcPr>
          <w:p w14:paraId="326D10DA"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0.53</w:t>
            </w:r>
          </w:p>
        </w:tc>
        <w:tc>
          <w:tcPr>
            <w:tcW w:w="984" w:type="pct"/>
            <w:vAlign w:val="center"/>
          </w:tcPr>
          <w:p w14:paraId="1D2C5137"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0.91 (0.75 ; 1.12)</w:t>
            </w:r>
          </w:p>
        </w:tc>
        <w:tc>
          <w:tcPr>
            <w:tcW w:w="414" w:type="pct"/>
            <w:vAlign w:val="center"/>
          </w:tcPr>
          <w:p w14:paraId="48347289"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0.38</w:t>
            </w:r>
          </w:p>
        </w:tc>
        <w:tc>
          <w:tcPr>
            <w:tcW w:w="1031" w:type="pct"/>
            <w:vAlign w:val="center"/>
          </w:tcPr>
          <w:p w14:paraId="1F1ADD8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0.88 (0.69 ; 1.12)</w:t>
            </w:r>
          </w:p>
        </w:tc>
        <w:tc>
          <w:tcPr>
            <w:tcW w:w="434" w:type="pct"/>
            <w:vAlign w:val="center"/>
          </w:tcPr>
          <w:p w14:paraId="64B0F26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0.29</w:t>
            </w:r>
          </w:p>
        </w:tc>
      </w:tr>
      <w:tr w:rsidR="002E25AD" w:rsidRPr="002E25AD" w14:paraId="0DD70AA6" w14:textId="77777777" w:rsidTr="00752472">
        <w:tc>
          <w:tcPr>
            <w:tcW w:w="592" w:type="pct"/>
            <w:vAlign w:val="center"/>
          </w:tcPr>
          <w:p w14:paraId="1697F61C"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1144" w:type="pct"/>
            <w:vAlign w:val="center"/>
          </w:tcPr>
          <w:p w14:paraId="5EC95E5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0.90 (0.76 ; 1.05)</w:t>
            </w:r>
          </w:p>
        </w:tc>
        <w:tc>
          <w:tcPr>
            <w:tcW w:w="401" w:type="pct"/>
            <w:vAlign w:val="center"/>
          </w:tcPr>
          <w:p w14:paraId="6E345AE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0.18</w:t>
            </w:r>
          </w:p>
        </w:tc>
        <w:tc>
          <w:tcPr>
            <w:tcW w:w="984" w:type="pct"/>
            <w:vAlign w:val="center"/>
          </w:tcPr>
          <w:p w14:paraId="69917949"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0.93 (0.75 ; 1.15)</w:t>
            </w:r>
          </w:p>
        </w:tc>
        <w:tc>
          <w:tcPr>
            <w:tcW w:w="414" w:type="pct"/>
            <w:vAlign w:val="center"/>
          </w:tcPr>
          <w:p w14:paraId="0CE6C61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0.52</w:t>
            </w:r>
          </w:p>
        </w:tc>
        <w:tc>
          <w:tcPr>
            <w:tcW w:w="1031" w:type="pct"/>
            <w:vAlign w:val="center"/>
          </w:tcPr>
          <w:p w14:paraId="0C4AB27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0.83 (0.64 ; 1.08)</w:t>
            </w:r>
          </w:p>
        </w:tc>
        <w:tc>
          <w:tcPr>
            <w:tcW w:w="434" w:type="pct"/>
            <w:vAlign w:val="center"/>
          </w:tcPr>
          <w:p w14:paraId="28ACF24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0.17</w:t>
            </w:r>
          </w:p>
        </w:tc>
      </w:tr>
      <w:tr w:rsidR="002E25AD" w:rsidRPr="002E25AD" w14:paraId="23FE32C2" w14:textId="77777777" w:rsidTr="00752472">
        <w:tc>
          <w:tcPr>
            <w:tcW w:w="5000" w:type="pct"/>
            <w:gridSpan w:val="7"/>
            <w:vAlign w:val="center"/>
          </w:tcPr>
          <w:p w14:paraId="0DC0440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b/>
                <w:sz w:val="24"/>
                <w:szCs w:val="24"/>
                <w:lang w:val="en-US"/>
              </w:rPr>
              <w:t>Incident Prediabetes</w:t>
            </w:r>
          </w:p>
        </w:tc>
      </w:tr>
      <w:tr w:rsidR="002E25AD" w:rsidRPr="002E25AD" w14:paraId="73DCC5D3" w14:textId="77777777" w:rsidTr="00752472">
        <w:tc>
          <w:tcPr>
            <w:tcW w:w="592" w:type="pct"/>
          </w:tcPr>
          <w:p w14:paraId="69EE0621" w14:textId="77777777" w:rsidR="00885BA5" w:rsidRPr="002E25AD" w:rsidRDefault="00885BA5" w:rsidP="00752472">
            <w:pPr>
              <w:rPr>
                <w:rFonts w:ascii="Times New Roman" w:eastAsia="Calibri" w:hAnsi="Times New Roman" w:cs="Times New Roman"/>
                <w:sz w:val="24"/>
                <w:szCs w:val="24"/>
                <w:lang w:val="en-US"/>
              </w:rPr>
            </w:pPr>
          </w:p>
        </w:tc>
        <w:tc>
          <w:tcPr>
            <w:tcW w:w="1144" w:type="pct"/>
          </w:tcPr>
          <w:p w14:paraId="6B6E0F08"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Total population </w:t>
            </w:r>
          </w:p>
          <w:p w14:paraId="78438716"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4,888, </w:t>
            </w:r>
          </w:p>
          <w:p w14:paraId="51A2477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753)</w:t>
            </w:r>
          </w:p>
        </w:tc>
        <w:tc>
          <w:tcPr>
            <w:tcW w:w="401" w:type="pct"/>
          </w:tcPr>
          <w:p w14:paraId="599C4611"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4" w:type="pct"/>
          </w:tcPr>
          <w:p w14:paraId="5B38EFF6"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Men </w:t>
            </w:r>
          </w:p>
          <w:p w14:paraId="325A9EE3"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1,837, </w:t>
            </w:r>
          </w:p>
          <w:p w14:paraId="598E413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280)</w:t>
            </w:r>
          </w:p>
        </w:tc>
        <w:tc>
          <w:tcPr>
            <w:tcW w:w="414" w:type="pct"/>
          </w:tcPr>
          <w:p w14:paraId="41695B4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1031" w:type="pct"/>
          </w:tcPr>
          <w:p w14:paraId="01E0CE9A"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Women  </w:t>
            </w:r>
          </w:p>
          <w:p w14:paraId="2862A8D0"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 3,051 ,</w:t>
            </w:r>
          </w:p>
          <w:p w14:paraId="6BF2F640"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473)</w:t>
            </w:r>
          </w:p>
        </w:tc>
        <w:tc>
          <w:tcPr>
            <w:tcW w:w="434" w:type="pct"/>
          </w:tcPr>
          <w:p w14:paraId="62DDD90D"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r>
      <w:tr w:rsidR="002E25AD" w:rsidRPr="002E25AD" w14:paraId="5D60195A" w14:textId="77777777" w:rsidTr="00752472">
        <w:tc>
          <w:tcPr>
            <w:tcW w:w="592" w:type="pct"/>
            <w:vAlign w:val="center"/>
          </w:tcPr>
          <w:p w14:paraId="779E2463"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1*</w:t>
            </w:r>
          </w:p>
        </w:tc>
        <w:tc>
          <w:tcPr>
            <w:tcW w:w="1144" w:type="pct"/>
            <w:vAlign w:val="center"/>
          </w:tcPr>
          <w:p w14:paraId="08E6EA2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0.93 (0.85 ; 1.02)</w:t>
            </w:r>
          </w:p>
        </w:tc>
        <w:tc>
          <w:tcPr>
            <w:tcW w:w="401" w:type="pct"/>
            <w:vAlign w:val="center"/>
          </w:tcPr>
          <w:p w14:paraId="1DB2455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0.13</w:t>
            </w:r>
          </w:p>
        </w:tc>
        <w:tc>
          <w:tcPr>
            <w:tcW w:w="984" w:type="pct"/>
            <w:vAlign w:val="center"/>
          </w:tcPr>
          <w:p w14:paraId="5B1C0781"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0.83 (0.72 ; 0.97)</w:t>
            </w:r>
          </w:p>
        </w:tc>
        <w:tc>
          <w:tcPr>
            <w:tcW w:w="414" w:type="pct"/>
            <w:vAlign w:val="center"/>
          </w:tcPr>
          <w:p w14:paraId="5D58D05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0.02</w:t>
            </w:r>
          </w:p>
        </w:tc>
        <w:tc>
          <w:tcPr>
            <w:tcW w:w="1031" w:type="pct"/>
            <w:vAlign w:val="center"/>
          </w:tcPr>
          <w:p w14:paraId="333D190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1.01 (0.89 ; 1.14)</w:t>
            </w:r>
          </w:p>
        </w:tc>
        <w:tc>
          <w:tcPr>
            <w:tcW w:w="434" w:type="pct"/>
            <w:vAlign w:val="center"/>
          </w:tcPr>
          <w:p w14:paraId="49F52A2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0.92</w:t>
            </w:r>
          </w:p>
        </w:tc>
      </w:tr>
      <w:tr w:rsidR="002E25AD" w:rsidRPr="002E25AD" w14:paraId="729CD496" w14:textId="77777777" w:rsidTr="00752472">
        <w:tc>
          <w:tcPr>
            <w:tcW w:w="592" w:type="pct"/>
            <w:vAlign w:val="center"/>
          </w:tcPr>
          <w:p w14:paraId="4AB96816"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1144" w:type="pct"/>
            <w:vAlign w:val="center"/>
          </w:tcPr>
          <w:p w14:paraId="45DAFE6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0.91 (0.83 ; 1.00)</w:t>
            </w:r>
          </w:p>
        </w:tc>
        <w:tc>
          <w:tcPr>
            <w:tcW w:w="401" w:type="pct"/>
            <w:vAlign w:val="center"/>
          </w:tcPr>
          <w:p w14:paraId="7D5E1977"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0.06</w:t>
            </w:r>
          </w:p>
        </w:tc>
        <w:tc>
          <w:tcPr>
            <w:tcW w:w="984" w:type="pct"/>
            <w:vAlign w:val="center"/>
          </w:tcPr>
          <w:p w14:paraId="1E03F3F3"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0.81 (0.70 ; 0.94)</w:t>
            </w:r>
          </w:p>
        </w:tc>
        <w:tc>
          <w:tcPr>
            <w:tcW w:w="414" w:type="pct"/>
            <w:vAlign w:val="center"/>
          </w:tcPr>
          <w:p w14:paraId="18B285B9"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0.01</w:t>
            </w:r>
          </w:p>
        </w:tc>
        <w:tc>
          <w:tcPr>
            <w:tcW w:w="1031" w:type="pct"/>
            <w:vAlign w:val="center"/>
          </w:tcPr>
          <w:p w14:paraId="13C0D8E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0.99 (0.88 ;  1.12)</w:t>
            </w:r>
          </w:p>
        </w:tc>
        <w:tc>
          <w:tcPr>
            <w:tcW w:w="434" w:type="pct"/>
            <w:vAlign w:val="center"/>
          </w:tcPr>
          <w:p w14:paraId="684D254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0.89</w:t>
            </w:r>
          </w:p>
        </w:tc>
      </w:tr>
      <w:tr w:rsidR="002E25AD" w:rsidRPr="002E25AD" w14:paraId="348A2A00" w14:textId="77777777" w:rsidTr="00752472">
        <w:tc>
          <w:tcPr>
            <w:tcW w:w="592" w:type="pct"/>
            <w:vAlign w:val="center"/>
          </w:tcPr>
          <w:p w14:paraId="059461A0"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1144" w:type="pct"/>
            <w:vAlign w:val="center"/>
          </w:tcPr>
          <w:p w14:paraId="2871F697"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0.91 (0.83 ; 1.01)</w:t>
            </w:r>
          </w:p>
        </w:tc>
        <w:tc>
          <w:tcPr>
            <w:tcW w:w="401" w:type="pct"/>
            <w:vAlign w:val="center"/>
          </w:tcPr>
          <w:p w14:paraId="370DD2ED"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0.08</w:t>
            </w:r>
          </w:p>
        </w:tc>
        <w:tc>
          <w:tcPr>
            <w:tcW w:w="984" w:type="pct"/>
            <w:vAlign w:val="center"/>
          </w:tcPr>
          <w:p w14:paraId="2861A04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0.82 (0.70 ; 0.97)</w:t>
            </w:r>
          </w:p>
        </w:tc>
        <w:tc>
          <w:tcPr>
            <w:tcW w:w="414" w:type="pct"/>
            <w:vAlign w:val="center"/>
          </w:tcPr>
          <w:p w14:paraId="444F410D"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0.02</w:t>
            </w:r>
          </w:p>
        </w:tc>
        <w:tc>
          <w:tcPr>
            <w:tcW w:w="1031" w:type="pct"/>
            <w:vAlign w:val="center"/>
          </w:tcPr>
          <w:p w14:paraId="2F7F6777"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0.97 (0.85 ; 1.11)</w:t>
            </w:r>
          </w:p>
        </w:tc>
        <w:tc>
          <w:tcPr>
            <w:tcW w:w="434" w:type="pct"/>
            <w:vAlign w:val="center"/>
          </w:tcPr>
          <w:p w14:paraId="45B10E9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0.68</w:t>
            </w:r>
          </w:p>
        </w:tc>
      </w:tr>
    </w:tbl>
    <w:p w14:paraId="337A05BC" w14:textId="77777777" w:rsidR="00885BA5" w:rsidRPr="002E25AD" w:rsidRDefault="00885BA5" w:rsidP="00885BA5">
      <w:pPr>
        <w:pStyle w:val="NoSpacing"/>
        <w:rPr>
          <w:rFonts w:ascii="Open Sans" w:eastAsia="Times New Roman" w:hAnsi="Open Sans" w:cs="Times New Roman"/>
          <w:sz w:val="24"/>
          <w:szCs w:val="24"/>
          <w:shd w:val="clear" w:color="auto" w:fill="FFFFFF"/>
          <w:lang w:val="en-GB" w:eastAsia="en-GB"/>
        </w:rPr>
      </w:pPr>
      <w:r w:rsidRPr="002E25AD">
        <w:rPr>
          <w:rFonts w:ascii="Times New Roman" w:hAnsi="Times New Roman" w:cs="Times New Roman"/>
          <w:sz w:val="24"/>
          <w:szCs w:val="24"/>
          <w:lang w:val="en-US"/>
        </w:rPr>
        <w:t xml:space="preserve">Results are presented as hazard ratio (95% confidence interval) for a standard deviation increment in FPAP score.*Model 1: adjusted for age, sex and Rotterdam Study cohort. </w:t>
      </w:r>
      <w:r w:rsidRPr="002E25AD">
        <w:rPr>
          <w:rFonts w:ascii="Open Sans" w:eastAsia="Times New Roman" w:hAnsi="Open Sans" w:cs="Times New Roman"/>
          <w:sz w:val="24"/>
          <w:szCs w:val="24"/>
          <w:shd w:val="clear" w:color="auto" w:fill="FFFFFF"/>
          <w:lang w:val="en-GB" w:eastAsia="en-GB"/>
        </w:rPr>
        <w:t>†Model 2: model 1 + body mass index, hypertension, dyslipidaemia, highest level of education attained, physical activity and smoking status. ‡Model 3: model 2 + degree of adherence to dietary guidelines, total daily energy intake and daily alcohol intake.</w:t>
      </w:r>
    </w:p>
    <w:p w14:paraId="6B3ADEED" w14:textId="77777777" w:rsidR="00885BA5" w:rsidRPr="002E25AD" w:rsidRDefault="00885BA5" w:rsidP="00885BA5">
      <w:pPr>
        <w:rPr>
          <w:rFonts w:ascii="Open Sans" w:eastAsia="Times New Roman" w:hAnsi="Open Sans" w:cs="Times New Roman"/>
          <w:sz w:val="24"/>
          <w:szCs w:val="24"/>
          <w:shd w:val="clear" w:color="auto" w:fill="FFFFFF"/>
          <w:lang w:val="en-GB" w:eastAsia="en-GB"/>
        </w:rPr>
      </w:pPr>
      <w:r w:rsidRPr="002E25AD">
        <w:rPr>
          <w:rFonts w:ascii="Open Sans" w:eastAsia="Times New Roman" w:hAnsi="Open Sans" w:cs="Times New Roman"/>
          <w:sz w:val="24"/>
          <w:szCs w:val="24"/>
          <w:shd w:val="clear" w:color="auto" w:fill="FFFFFF"/>
          <w:lang w:val="en-GB" w:eastAsia="en-GB"/>
        </w:rPr>
        <w:br w:type="page"/>
      </w:r>
    </w:p>
    <w:p w14:paraId="4C871DF0" w14:textId="7D42D6B4" w:rsidR="00885BA5" w:rsidRPr="002E25AD" w:rsidRDefault="00885BA5" w:rsidP="00885BA5">
      <w:pPr>
        <w:rPr>
          <w:rFonts w:ascii="Times New Roman" w:hAnsi="Times New Roman" w:cs="Times New Roman"/>
          <w:sz w:val="24"/>
          <w:szCs w:val="24"/>
          <w:lang w:val="en-US"/>
        </w:rPr>
      </w:pPr>
      <w:r w:rsidRPr="002E25AD">
        <w:rPr>
          <w:rFonts w:ascii="Times New Roman" w:hAnsi="Times New Roman" w:cs="Times New Roman"/>
          <w:sz w:val="24"/>
          <w:szCs w:val="24"/>
          <w:lang w:val="en-US"/>
        </w:rPr>
        <w:lastRenderedPageBreak/>
        <w:t>Supplementary Table 3. Associations between total dietary antioxidant capacity and risk of type 2 diabetes, type 2 diabetes among participants with prediabetes and prediabetes, excluding the contribution of coffee.</w:t>
      </w:r>
    </w:p>
    <w:tbl>
      <w:tblPr>
        <w:tblStyle w:val="TableGrid"/>
        <w:tblW w:w="5000" w:type="pct"/>
        <w:tblLayout w:type="fixed"/>
        <w:tblLook w:val="04A0" w:firstRow="1" w:lastRow="0" w:firstColumn="1" w:lastColumn="0" w:noHBand="0" w:noVBand="1"/>
      </w:tblPr>
      <w:tblGrid>
        <w:gridCol w:w="1073"/>
        <w:gridCol w:w="1936"/>
        <w:gridCol w:w="865"/>
        <w:gridCol w:w="1783"/>
        <w:gridCol w:w="828"/>
        <w:gridCol w:w="1789"/>
        <w:gridCol w:w="788"/>
      </w:tblGrid>
      <w:tr w:rsidR="002E25AD" w:rsidRPr="002E25AD" w14:paraId="33461C1D" w14:textId="77777777" w:rsidTr="00752472">
        <w:tc>
          <w:tcPr>
            <w:tcW w:w="5000" w:type="pct"/>
            <w:gridSpan w:val="7"/>
          </w:tcPr>
          <w:p w14:paraId="76945321"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b/>
                <w:sz w:val="24"/>
                <w:szCs w:val="24"/>
                <w:lang w:val="en-US"/>
              </w:rPr>
              <w:t>Incident Type 2 Diabetes</w:t>
            </w:r>
          </w:p>
        </w:tc>
      </w:tr>
      <w:tr w:rsidR="002E25AD" w:rsidRPr="002E25AD" w14:paraId="1A0C9747" w14:textId="77777777" w:rsidTr="00752472">
        <w:tc>
          <w:tcPr>
            <w:tcW w:w="592" w:type="pct"/>
          </w:tcPr>
          <w:p w14:paraId="23B15995" w14:textId="77777777" w:rsidR="00885BA5" w:rsidRPr="002E25AD" w:rsidRDefault="00885BA5" w:rsidP="00752472">
            <w:pPr>
              <w:rPr>
                <w:rFonts w:ascii="Times New Roman" w:eastAsia="Calibri" w:hAnsi="Times New Roman" w:cs="Times New Roman"/>
                <w:b/>
                <w:sz w:val="24"/>
                <w:szCs w:val="24"/>
                <w:lang w:val="en-US"/>
              </w:rPr>
            </w:pPr>
          </w:p>
        </w:tc>
        <w:tc>
          <w:tcPr>
            <w:tcW w:w="1068" w:type="pct"/>
          </w:tcPr>
          <w:p w14:paraId="65C662D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Total population </w:t>
            </w:r>
          </w:p>
          <w:p w14:paraId="06CA0D40"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5,796, </w:t>
            </w:r>
          </w:p>
          <w:p w14:paraId="106B0680"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532)</w:t>
            </w:r>
          </w:p>
        </w:tc>
        <w:tc>
          <w:tcPr>
            <w:tcW w:w="477" w:type="pct"/>
          </w:tcPr>
          <w:p w14:paraId="74E5237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4" w:type="pct"/>
          </w:tcPr>
          <w:p w14:paraId="158E19D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Men </w:t>
            </w:r>
          </w:p>
          <w:p w14:paraId="078335E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2,266, </w:t>
            </w:r>
          </w:p>
          <w:p w14:paraId="4FB70FF1"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218)</w:t>
            </w:r>
          </w:p>
        </w:tc>
        <w:tc>
          <w:tcPr>
            <w:tcW w:w="457" w:type="pct"/>
          </w:tcPr>
          <w:p w14:paraId="3CEB7F8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7" w:type="pct"/>
          </w:tcPr>
          <w:p w14:paraId="3187EB88"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Women  </w:t>
            </w:r>
          </w:p>
          <w:p w14:paraId="46638E8E"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 3,530,</w:t>
            </w:r>
          </w:p>
          <w:p w14:paraId="7460C8B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314)</w:t>
            </w:r>
          </w:p>
        </w:tc>
        <w:tc>
          <w:tcPr>
            <w:tcW w:w="435" w:type="pct"/>
          </w:tcPr>
          <w:p w14:paraId="4001A46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r>
      <w:tr w:rsidR="002E25AD" w:rsidRPr="002E25AD" w14:paraId="7A3B76AA" w14:textId="77777777" w:rsidTr="00752472">
        <w:tc>
          <w:tcPr>
            <w:tcW w:w="592" w:type="pct"/>
            <w:vAlign w:val="center"/>
          </w:tcPr>
          <w:p w14:paraId="70143770"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1*</w:t>
            </w:r>
          </w:p>
        </w:tc>
        <w:tc>
          <w:tcPr>
            <w:tcW w:w="1068" w:type="pct"/>
            <w:vAlign w:val="center"/>
          </w:tcPr>
          <w:p w14:paraId="529FA9D0"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0.89 (0.80 ; 0.99)</w:t>
            </w:r>
          </w:p>
        </w:tc>
        <w:tc>
          <w:tcPr>
            <w:tcW w:w="477" w:type="pct"/>
            <w:vAlign w:val="center"/>
          </w:tcPr>
          <w:p w14:paraId="5242809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0.03</w:t>
            </w:r>
          </w:p>
        </w:tc>
        <w:tc>
          <w:tcPr>
            <w:tcW w:w="984" w:type="pct"/>
            <w:vAlign w:val="center"/>
          </w:tcPr>
          <w:p w14:paraId="5C4B9CC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0.88 (0.74 ; 1.04)</w:t>
            </w:r>
          </w:p>
        </w:tc>
        <w:tc>
          <w:tcPr>
            <w:tcW w:w="457" w:type="pct"/>
            <w:vAlign w:val="center"/>
          </w:tcPr>
          <w:p w14:paraId="5BCB9261"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0.13</w:t>
            </w:r>
          </w:p>
        </w:tc>
        <w:tc>
          <w:tcPr>
            <w:tcW w:w="987" w:type="pct"/>
            <w:vAlign w:val="center"/>
          </w:tcPr>
          <w:p w14:paraId="2BBB83A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0.90 (0.79 ; 1.03)</w:t>
            </w:r>
          </w:p>
        </w:tc>
        <w:tc>
          <w:tcPr>
            <w:tcW w:w="435" w:type="pct"/>
            <w:vAlign w:val="center"/>
          </w:tcPr>
          <w:p w14:paraId="53B5A30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0.12</w:t>
            </w:r>
          </w:p>
        </w:tc>
      </w:tr>
      <w:tr w:rsidR="002E25AD" w:rsidRPr="002E25AD" w14:paraId="33EE3ED3" w14:textId="77777777" w:rsidTr="00752472">
        <w:tc>
          <w:tcPr>
            <w:tcW w:w="592" w:type="pct"/>
            <w:vAlign w:val="center"/>
          </w:tcPr>
          <w:p w14:paraId="56444A06"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1068" w:type="pct"/>
            <w:vAlign w:val="center"/>
          </w:tcPr>
          <w:p w14:paraId="14D8A22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0.97 (0.87 ; 1.07)</w:t>
            </w:r>
          </w:p>
        </w:tc>
        <w:tc>
          <w:tcPr>
            <w:tcW w:w="477" w:type="pct"/>
            <w:vAlign w:val="center"/>
          </w:tcPr>
          <w:p w14:paraId="55D22B3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0.52</w:t>
            </w:r>
          </w:p>
        </w:tc>
        <w:tc>
          <w:tcPr>
            <w:tcW w:w="984" w:type="pct"/>
            <w:vAlign w:val="center"/>
          </w:tcPr>
          <w:p w14:paraId="7AD1479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0.82 (0.70 ; 0.97)</w:t>
            </w:r>
          </w:p>
        </w:tc>
        <w:tc>
          <w:tcPr>
            <w:tcW w:w="457" w:type="pct"/>
            <w:vAlign w:val="center"/>
          </w:tcPr>
          <w:p w14:paraId="49B3EE1A"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0.02</w:t>
            </w:r>
          </w:p>
        </w:tc>
        <w:tc>
          <w:tcPr>
            <w:tcW w:w="987" w:type="pct"/>
            <w:vAlign w:val="center"/>
          </w:tcPr>
          <w:p w14:paraId="16C246A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0.99 (0.87 ; 1.13)</w:t>
            </w:r>
          </w:p>
        </w:tc>
        <w:tc>
          <w:tcPr>
            <w:tcW w:w="435" w:type="pct"/>
            <w:vAlign w:val="center"/>
          </w:tcPr>
          <w:p w14:paraId="361DE530"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0.91</w:t>
            </w:r>
          </w:p>
        </w:tc>
      </w:tr>
      <w:tr w:rsidR="002E25AD" w:rsidRPr="002E25AD" w14:paraId="744E3025" w14:textId="77777777" w:rsidTr="00752472">
        <w:tc>
          <w:tcPr>
            <w:tcW w:w="592" w:type="pct"/>
            <w:vAlign w:val="center"/>
          </w:tcPr>
          <w:p w14:paraId="55ECFD11"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1068" w:type="pct"/>
            <w:vAlign w:val="center"/>
          </w:tcPr>
          <w:p w14:paraId="7FB55BE6"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0.96 (0.85 ; 1.09)</w:t>
            </w:r>
          </w:p>
        </w:tc>
        <w:tc>
          <w:tcPr>
            <w:tcW w:w="477" w:type="pct"/>
            <w:vAlign w:val="center"/>
          </w:tcPr>
          <w:p w14:paraId="6B9387E1"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0.54</w:t>
            </w:r>
          </w:p>
        </w:tc>
        <w:tc>
          <w:tcPr>
            <w:tcW w:w="984" w:type="pct"/>
            <w:vAlign w:val="center"/>
          </w:tcPr>
          <w:p w14:paraId="15D0B05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0.95 (0.79 ; 1.15)</w:t>
            </w:r>
          </w:p>
        </w:tc>
        <w:tc>
          <w:tcPr>
            <w:tcW w:w="457" w:type="pct"/>
            <w:vAlign w:val="center"/>
          </w:tcPr>
          <w:p w14:paraId="020A8960"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0.61</w:t>
            </w:r>
          </w:p>
        </w:tc>
        <w:tc>
          <w:tcPr>
            <w:tcW w:w="987" w:type="pct"/>
            <w:vAlign w:val="center"/>
          </w:tcPr>
          <w:p w14:paraId="6944D41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0.96 (0.82 ; 1.12)</w:t>
            </w:r>
          </w:p>
        </w:tc>
        <w:tc>
          <w:tcPr>
            <w:tcW w:w="435" w:type="pct"/>
            <w:vAlign w:val="center"/>
          </w:tcPr>
          <w:p w14:paraId="108909E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0.57</w:t>
            </w:r>
          </w:p>
        </w:tc>
      </w:tr>
      <w:tr w:rsidR="002E25AD" w:rsidRPr="002E25AD" w14:paraId="098BFAF8" w14:textId="77777777" w:rsidTr="00752472">
        <w:tc>
          <w:tcPr>
            <w:tcW w:w="5000" w:type="pct"/>
            <w:gridSpan w:val="7"/>
            <w:vAlign w:val="center"/>
          </w:tcPr>
          <w:p w14:paraId="7699E8F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b/>
                <w:sz w:val="24"/>
                <w:szCs w:val="24"/>
                <w:lang w:val="en-US"/>
              </w:rPr>
              <w:t>Incident Type 2 Diabetes among Participants with Prediabetes</w:t>
            </w:r>
          </w:p>
        </w:tc>
      </w:tr>
      <w:tr w:rsidR="002E25AD" w:rsidRPr="002E25AD" w14:paraId="6FCFE2DC" w14:textId="77777777" w:rsidTr="00752472">
        <w:tc>
          <w:tcPr>
            <w:tcW w:w="592" w:type="pct"/>
          </w:tcPr>
          <w:p w14:paraId="5A27B377" w14:textId="77777777" w:rsidR="00885BA5" w:rsidRPr="002E25AD" w:rsidRDefault="00885BA5" w:rsidP="00752472">
            <w:pPr>
              <w:rPr>
                <w:rFonts w:ascii="Times New Roman" w:eastAsia="Calibri" w:hAnsi="Times New Roman" w:cs="Times New Roman"/>
                <w:sz w:val="24"/>
                <w:szCs w:val="24"/>
                <w:lang w:val="en-US"/>
              </w:rPr>
            </w:pPr>
          </w:p>
        </w:tc>
        <w:tc>
          <w:tcPr>
            <w:tcW w:w="1068" w:type="pct"/>
          </w:tcPr>
          <w:p w14:paraId="401CBEF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Total population </w:t>
            </w:r>
          </w:p>
          <w:p w14:paraId="29D7B2D3"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839, </w:t>
            </w:r>
          </w:p>
          <w:p w14:paraId="52F403F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259)</w:t>
            </w:r>
          </w:p>
        </w:tc>
        <w:tc>
          <w:tcPr>
            <w:tcW w:w="477" w:type="pct"/>
          </w:tcPr>
          <w:p w14:paraId="764A221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4" w:type="pct"/>
          </w:tcPr>
          <w:p w14:paraId="150A4E4E"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Men </w:t>
            </w:r>
          </w:p>
          <w:p w14:paraId="476AD5A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398, </w:t>
            </w:r>
          </w:p>
          <w:p w14:paraId="6894821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114)</w:t>
            </w:r>
          </w:p>
        </w:tc>
        <w:tc>
          <w:tcPr>
            <w:tcW w:w="457" w:type="pct"/>
          </w:tcPr>
          <w:p w14:paraId="2450E08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7" w:type="pct"/>
          </w:tcPr>
          <w:p w14:paraId="4DC1E817"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Women  </w:t>
            </w:r>
          </w:p>
          <w:p w14:paraId="22F1A6C7"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 441,</w:t>
            </w:r>
          </w:p>
          <w:p w14:paraId="2B97F3C4"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145)</w:t>
            </w:r>
          </w:p>
        </w:tc>
        <w:tc>
          <w:tcPr>
            <w:tcW w:w="435" w:type="pct"/>
          </w:tcPr>
          <w:p w14:paraId="7F6F6703"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r>
      <w:tr w:rsidR="002E25AD" w:rsidRPr="002E25AD" w14:paraId="4CEBAB9E" w14:textId="77777777" w:rsidTr="00752472">
        <w:tc>
          <w:tcPr>
            <w:tcW w:w="592" w:type="pct"/>
            <w:vAlign w:val="center"/>
          </w:tcPr>
          <w:p w14:paraId="153F0D08"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1*</w:t>
            </w:r>
          </w:p>
        </w:tc>
        <w:tc>
          <w:tcPr>
            <w:tcW w:w="1068" w:type="pct"/>
            <w:vAlign w:val="center"/>
          </w:tcPr>
          <w:p w14:paraId="2EE3B02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1.00 (0.87 ; 1.14)</w:t>
            </w:r>
          </w:p>
        </w:tc>
        <w:tc>
          <w:tcPr>
            <w:tcW w:w="477" w:type="pct"/>
            <w:vAlign w:val="center"/>
          </w:tcPr>
          <w:p w14:paraId="6FEA274D"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0.98</w:t>
            </w:r>
          </w:p>
        </w:tc>
        <w:tc>
          <w:tcPr>
            <w:tcW w:w="984" w:type="pct"/>
            <w:vAlign w:val="center"/>
          </w:tcPr>
          <w:p w14:paraId="04F2B25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0.99 (0.81 ; 1.22)</w:t>
            </w:r>
          </w:p>
        </w:tc>
        <w:tc>
          <w:tcPr>
            <w:tcW w:w="457" w:type="pct"/>
            <w:vAlign w:val="center"/>
          </w:tcPr>
          <w:p w14:paraId="6DB0160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0.96</w:t>
            </w:r>
          </w:p>
        </w:tc>
        <w:tc>
          <w:tcPr>
            <w:tcW w:w="987" w:type="pct"/>
            <w:vAlign w:val="center"/>
          </w:tcPr>
          <w:p w14:paraId="17492E3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1.01 (0.84 ; 1.20)</w:t>
            </w:r>
          </w:p>
        </w:tc>
        <w:tc>
          <w:tcPr>
            <w:tcW w:w="435" w:type="pct"/>
            <w:vAlign w:val="center"/>
          </w:tcPr>
          <w:p w14:paraId="6D7F6FAA"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0.96</w:t>
            </w:r>
          </w:p>
        </w:tc>
      </w:tr>
      <w:tr w:rsidR="002E25AD" w:rsidRPr="002E25AD" w14:paraId="79B68AD6" w14:textId="77777777" w:rsidTr="00752472">
        <w:tc>
          <w:tcPr>
            <w:tcW w:w="592" w:type="pct"/>
            <w:vAlign w:val="center"/>
          </w:tcPr>
          <w:p w14:paraId="0823A4BE"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1068" w:type="pct"/>
            <w:vAlign w:val="center"/>
          </w:tcPr>
          <w:p w14:paraId="5A73C66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1.04 (0.91 ; 1.18)</w:t>
            </w:r>
          </w:p>
        </w:tc>
        <w:tc>
          <w:tcPr>
            <w:tcW w:w="477" w:type="pct"/>
            <w:vAlign w:val="center"/>
          </w:tcPr>
          <w:p w14:paraId="268FD5F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0.60</w:t>
            </w:r>
          </w:p>
        </w:tc>
        <w:tc>
          <w:tcPr>
            <w:tcW w:w="984" w:type="pct"/>
            <w:vAlign w:val="center"/>
          </w:tcPr>
          <w:p w14:paraId="770FDEB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0.99 (0.81 ; 1.21</w:t>
            </w:r>
          </w:p>
        </w:tc>
        <w:tc>
          <w:tcPr>
            <w:tcW w:w="457" w:type="pct"/>
            <w:vAlign w:val="center"/>
          </w:tcPr>
          <w:p w14:paraId="36E0BE1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0.91</w:t>
            </w:r>
          </w:p>
        </w:tc>
        <w:tc>
          <w:tcPr>
            <w:tcW w:w="987" w:type="pct"/>
            <w:vAlign w:val="center"/>
          </w:tcPr>
          <w:p w14:paraId="66EA6D6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1.06 (0.88 ; 1.28)</w:t>
            </w:r>
          </w:p>
        </w:tc>
        <w:tc>
          <w:tcPr>
            <w:tcW w:w="435" w:type="pct"/>
            <w:vAlign w:val="center"/>
          </w:tcPr>
          <w:p w14:paraId="4A74B0F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0.52</w:t>
            </w:r>
          </w:p>
        </w:tc>
      </w:tr>
      <w:tr w:rsidR="002E25AD" w:rsidRPr="002E25AD" w14:paraId="3840CCD6" w14:textId="77777777" w:rsidTr="00752472">
        <w:trPr>
          <w:trHeight w:val="227"/>
        </w:trPr>
        <w:tc>
          <w:tcPr>
            <w:tcW w:w="592" w:type="pct"/>
            <w:vAlign w:val="center"/>
          </w:tcPr>
          <w:p w14:paraId="6AF92508"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1068" w:type="pct"/>
            <w:vAlign w:val="center"/>
          </w:tcPr>
          <w:p w14:paraId="730E965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1.07 (0.92 ; 1.25)</w:t>
            </w:r>
          </w:p>
        </w:tc>
        <w:tc>
          <w:tcPr>
            <w:tcW w:w="477" w:type="pct"/>
            <w:vAlign w:val="center"/>
          </w:tcPr>
          <w:p w14:paraId="11A9AFB8"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0.38</w:t>
            </w:r>
          </w:p>
        </w:tc>
        <w:tc>
          <w:tcPr>
            <w:tcW w:w="984" w:type="pct"/>
            <w:vAlign w:val="center"/>
          </w:tcPr>
          <w:p w14:paraId="35C6D6E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1.04 (0.84 ; 1.29)</w:t>
            </w:r>
          </w:p>
        </w:tc>
        <w:tc>
          <w:tcPr>
            <w:tcW w:w="457" w:type="pct"/>
            <w:vAlign w:val="center"/>
          </w:tcPr>
          <w:p w14:paraId="282FF49A"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0.71</w:t>
            </w:r>
          </w:p>
        </w:tc>
        <w:tc>
          <w:tcPr>
            <w:tcW w:w="987" w:type="pct"/>
            <w:vAlign w:val="center"/>
          </w:tcPr>
          <w:p w14:paraId="52C77BC1"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1.07 (0.85 ; 1.34)</w:t>
            </w:r>
          </w:p>
        </w:tc>
        <w:tc>
          <w:tcPr>
            <w:tcW w:w="435" w:type="pct"/>
            <w:vAlign w:val="center"/>
          </w:tcPr>
          <w:p w14:paraId="49E383B7"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0.57</w:t>
            </w:r>
          </w:p>
        </w:tc>
      </w:tr>
      <w:tr w:rsidR="002E25AD" w:rsidRPr="002E25AD" w14:paraId="59D2DC4F" w14:textId="77777777" w:rsidTr="00752472">
        <w:trPr>
          <w:trHeight w:val="227"/>
        </w:trPr>
        <w:tc>
          <w:tcPr>
            <w:tcW w:w="5000" w:type="pct"/>
            <w:gridSpan w:val="7"/>
            <w:vAlign w:val="center"/>
          </w:tcPr>
          <w:p w14:paraId="28FF00EA"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b/>
                <w:sz w:val="24"/>
                <w:szCs w:val="24"/>
                <w:lang w:val="en-US"/>
              </w:rPr>
              <w:t>Incident Prediabetes</w:t>
            </w:r>
          </w:p>
        </w:tc>
      </w:tr>
      <w:tr w:rsidR="002E25AD" w:rsidRPr="002E25AD" w14:paraId="0EF35664" w14:textId="77777777" w:rsidTr="00752472">
        <w:trPr>
          <w:trHeight w:val="227"/>
        </w:trPr>
        <w:tc>
          <w:tcPr>
            <w:tcW w:w="592" w:type="pct"/>
          </w:tcPr>
          <w:p w14:paraId="095AB199" w14:textId="77777777" w:rsidR="00885BA5" w:rsidRPr="002E25AD" w:rsidRDefault="00885BA5" w:rsidP="00752472">
            <w:pPr>
              <w:rPr>
                <w:rFonts w:ascii="Times New Roman" w:eastAsia="Calibri" w:hAnsi="Times New Roman" w:cs="Times New Roman"/>
                <w:sz w:val="24"/>
                <w:szCs w:val="24"/>
                <w:lang w:val="en-US"/>
              </w:rPr>
            </w:pPr>
          </w:p>
        </w:tc>
        <w:tc>
          <w:tcPr>
            <w:tcW w:w="1068" w:type="pct"/>
          </w:tcPr>
          <w:p w14:paraId="775BE776"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Total population </w:t>
            </w:r>
          </w:p>
          <w:p w14:paraId="1BCB9281"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4,957, </w:t>
            </w:r>
          </w:p>
          <w:p w14:paraId="6BC0236C"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794)</w:t>
            </w:r>
          </w:p>
        </w:tc>
        <w:tc>
          <w:tcPr>
            <w:tcW w:w="477" w:type="pct"/>
          </w:tcPr>
          <w:p w14:paraId="451BC7C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4" w:type="pct"/>
          </w:tcPr>
          <w:p w14:paraId="55CC7D67"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Men </w:t>
            </w:r>
          </w:p>
          <w:p w14:paraId="20F3BD46"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(n = 1,868, </w:t>
            </w:r>
          </w:p>
          <w:p w14:paraId="41B0ECA3"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297)</w:t>
            </w:r>
          </w:p>
        </w:tc>
        <w:tc>
          <w:tcPr>
            <w:tcW w:w="457" w:type="pct"/>
          </w:tcPr>
          <w:p w14:paraId="3B730A9F"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c>
          <w:tcPr>
            <w:tcW w:w="987" w:type="pct"/>
          </w:tcPr>
          <w:p w14:paraId="476B54B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 xml:space="preserve">Women  </w:t>
            </w:r>
          </w:p>
          <w:p w14:paraId="7B9D0FD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 3,089,</w:t>
            </w:r>
          </w:p>
          <w:p w14:paraId="5374DF5A"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n cases = 497)</w:t>
            </w:r>
          </w:p>
        </w:tc>
        <w:tc>
          <w:tcPr>
            <w:tcW w:w="435" w:type="pct"/>
          </w:tcPr>
          <w:p w14:paraId="45A96779"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P-value</w:t>
            </w:r>
          </w:p>
        </w:tc>
      </w:tr>
      <w:tr w:rsidR="002E25AD" w:rsidRPr="002E25AD" w14:paraId="3B945EE3" w14:textId="77777777" w:rsidTr="00752472">
        <w:trPr>
          <w:trHeight w:val="227"/>
        </w:trPr>
        <w:tc>
          <w:tcPr>
            <w:tcW w:w="592" w:type="pct"/>
            <w:vAlign w:val="center"/>
          </w:tcPr>
          <w:p w14:paraId="2845EE1B"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1*</w:t>
            </w:r>
          </w:p>
        </w:tc>
        <w:tc>
          <w:tcPr>
            <w:tcW w:w="1068" w:type="pct"/>
            <w:vAlign w:val="center"/>
          </w:tcPr>
          <w:p w14:paraId="1DCC48FE"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0.89 (0.82 ; 0.97)</w:t>
            </w:r>
          </w:p>
        </w:tc>
        <w:tc>
          <w:tcPr>
            <w:tcW w:w="477" w:type="pct"/>
            <w:vAlign w:val="center"/>
          </w:tcPr>
          <w:p w14:paraId="4119012E"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0.01</w:t>
            </w:r>
          </w:p>
        </w:tc>
        <w:tc>
          <w:tcPr>
            <w:tcW w:w="984" w:type="pct"/>
            <w:vAlign w:val="center"/>
          </w:tcPr>
          <w:p w14:paraId="774F116E"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0.90 (0.78 ; 1.04)</w:t>
            </w:r>
          </w:p>
        </w:tc>
        <w:tc>
          <w:tcPr>
            <w:tcW w:w="457" w:type="pct"/>
            <w:vAlign w:val="center"/>
          </w:tcPr>
          <w:p w14:paraId="2F5CB35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0.17</w:t>
            </w:r>
          </w:p>
        </w:tc>
        <w:tc>
          <w:tcPr>
            <w:tcW w:w="987" w:type="pct"/>
            <w:vAlign w:val="center"/>
          </w:tcPr>
          <w:p w14:paraId="1259706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0.89 (0.80 ; 0.99)</w:t>
            </w:r>
          </w:p>
        </w:tc>
        <w:tc>
          <w:tcPr>
            <w:tcW w:w="435" w:type="pct"/>
            <w:vAlign w:val="center"/>
          </w:tcPr>
          <w:p w14:paraId="0C3A81D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0.03</w:t>
            </w:r>
          </w:p>
        </w:tc>
      </w:tr>
      <w:tr w:rsidR="002E25AD" w:rsidRPr="002E25AD" w14:paraId="45F750BA" w14:textId="77777777" w:rsidTr="00752472">
        <w:trPr>
          <w:trHeight w:val="227"/>
        </w:trPr>
        <w:tc>
          <w:tcPr>
            <w:tcW w:w="592" w:type="pct"/>
            <w:vAlign w:val="center"/>
          </w:tcPr>
          <w:p w14:paraId="46090A5F"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1068" w:type="pct"/>
            <w:vAlign w:val="center"/>
          </w:tcPr>
          <w:p w14:paraId="63DFCB88"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0.96 (0.88 ; 1.04)</w:t>
            </w:r>
          </w:p>
        </w:tc>
        <w:tc>
          <w:tcPr>
            <w:tcW w:w="477" w:type="pct"/>
            <w:vAlign w:val="center"/>
          </w:tcPr>
          <w:p w14:paraId="1B900543"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0.32</w:t>
            </w:r>
          </w:p>
        </w:tc>
        <w:tc>
          <w:tcPr>
            <w:tcW w:w="984" w:type="pct"/>
            <w:vAlign w:val="center"/>
          </w:tcPr>
          <w:p w14:paraId="7F26A18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0.96 (0.83 ; 1.11)</w:t>
            </w:r>
          </w:p>
        </w:tc>
        <w:tc>
          <w:tcPr>
            <w:tcW w:w="457" w:type="pct"/>
            <w:vAlign w:val="center"/>
          </w:tcPr>
          <w:p w14:paraId="0810594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0.60</w:t>
            </w:r>
          </w:p>
        </w:tc>
        <w:tc>
          <w:tcPr>
            <w:tcW w:w="987" w:type="pct"/>
            <w:vAlign w:val="center"/>
          </w:tcPr>
          <w:p w14:paraId="763D64A2"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0.96 (0.86 ; 1.07)</w:t>
            </w:r>
          </w:p>
        </w:tc>
        <w:tc>
          <w:tcPr>
            <w:tcW w:w="435" w:type="pct"/>
            <w:vAlign w:val="center"/>
          </w:tcPr>
          <w:p w14:paraId="2C4AA060"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0.46</w:t>
            </w:r>
          </w:p>
        </w:tc>
      </w:tr>
      <w:tr w:rsidR="002E25AD" w:rsidRPr="002E25AD" w14:paraId="4F65DBDC" w14:textId="77777777" w:rsidTr="00752472">
        <w:trPr>
          <w:trHeight w:val="227"/>
        </w:trPr>
        <w:tc>
          <w:tcPr>
            <w:tcW w:w="592" w:type="pct"/>
            <w:vAlign w:val="center"/>
          </w:tcPr>
          <w:p w14:paraId="3BE0BED8" w14:textId="77777777" w:rsidR="00885BA5" w:rsidRPr="002E25AD" w:rsidRDefault="00885BA5" w:rsidP="00752472">
            <w:pP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1068" w:type="pct"/>
            <w:vAlign w:val="center"/>
          </w:tcPr>
          <w:p w14:paraId="3806450D"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0.96 (0.87 ; 1.06)</w:t>
            </w:r>
          </w:p>
        </w:tc>
        <w:tc>
          <w:tcPr>
            <w:tcW w:w="477" w:type="pct"/>
            <w:vAlign w:val="center"/>
          </w:tcPr>
          <w:p w14:paraId="6393E2BB"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0.44</w:t>
            </w:r>
          </w:p>
        </w:tc>
        <w:tc>
          <w:tcPr>
            <w:tcW w:w="984" w:type="pct"/>
            <w:vAlign w:val="center"/>
          </w:tcPr>
          <w:p w14:paraId="3B6E0610"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1.00 (0.85 ; 1.17)</w:t>
            </w:r>
          </w:p>
        </w:tc>
        <w:tc>
          <w:tcPr>
            <w:tcW w:w="457" w:type="pct"/>
            <w:vAlign w:val="center"/>
          </w:tcPr>
          <w:p w14:paraId="06EB5D65"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0.99</w:t>
            </w:r>
          </w:p>
        </w:tc>
        <w:tc>
          <w:tcPr>
            <w:tcW w:w="987" w:type="pct"/>
            <w:vAlign w:val="center"/>
          </w:tcPr>
          <w:p w14:paraId="0E6AAD68"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0.94 (0.83 ; 1.06)</w:t>
            </w:r>
          </w:p>
        </w:tc>
        <w:tc>
          <w:tcPr>
            <w:tcW w:w="435" w:type="pct"/>
            <w:vAlign w:val="center"/>
          </w:tcPr>
          <w:p w14:paraId="2D8B2DB9" w14:textId="77777777" w:rsidR="00885BA5" w:rsidRPr="002E25AD" w:rsidRDefault="00885BA5" w:rsidP="00752472">
            <w:pPr>
              <w:jc w:val="center"/>
              <w:rPr>
                <w:rFonts w:ascii="Times New Roman" w:eastAsia="Calibri" w:hAnsi="Times New Roman" w:cs="Times New Roman"/>
                <w:sz w:val="24"/>
                <w:szCs w:val="24"/>
                <w:lang w:val="en-US"/>
              </w:rPr>
            </w:pPr>
            <w:r w:rsidRPr="002E25AD">
              <w:rPr>
                <w:rFonts w:ascii="Times New Roman" w:eastAsia="Calibri" w:hAnsi="Times New Roman" w:cs="Times New Roman"/>
                <w:sz w:val="24"/>
                <w:szCs w:val="24"/>
                <w:lang w:val="en-US"/>
              </w:rPr>
              <w:t>0.30</w:t>
            </w:r>
          </w:p>
        </w:tc>
      </w:tr>
    </w:tbl>
    <w:p w14:paraId="11B075F8" w14:textId="77777777" w:rsidR="00885BA5" w:rsidRPr="002E25AD" w:rsidRDefault="00885BA5" w:rsidP="00885BA5">
      <w:pPr>
        <w:pStyle w:val="NoSpacing"/>
        <w:rPr>
          <w:rFonts w:ascii="Open Sans" w:eastAsia="Times New Roman" w:hAnsi="Open Sans" w:cs="Times New Roman"/>
          <w:sz w:val="24"/>
          <w:szCs w:val="24"/>
          <w:shd w:val="clear" w:color="auto" w:fill="FFFFFF"/>
          <w:lang w:val="en-GB" w:eastAsia="en-GB"/>
        </w:rPr>
      </w:pPr>
      <w:r w:rsidRPr="002E25AD">
        <w:rPr>
          <w:rFonts w:ascii="Times New Roman" w:hAnsi="Times New Roman" w:cs="Times New Roman"/>
          <w:sz w:val="24"/>
          <w:szCs w:val="24"/>
          <w:lang w:val="en-US"/>
        </w:rPr>
        <w:t xml:space="preserve">Results are presented as hazard ratio (95% confidence interval) for a standard deviation increment in FPAP score.*Model 1: adjusted for age, sex and Rotterdam Study cohort. </w:t>
      </w:r>
      <w:r w:rsidRPr="002E25AD">
        <w:rPr>
          <w:rFonts w:ascii="Open Sans" w:eastAsia="Times New Roman" w:hAnsi="Open Sans" w:cs="Times New Roman"/>
          <w:sz w:val="24"/>
          <w:szCs w:val="24"/>
          <w:shd w:val="clear" w:color="auto" w:fill="FFFFFF"/>
          <w:lang w:val="en-GB" w:eastAsia="en-GB"/>
        </w:rPr>
        <w:t>†Model 2: model 1 + body mass index, hypertension, dyslipidaemia, highest level of education attained, physical activity and smoking status. ‡Model 3: model 2 + degree of adherence to dietary guidelines, total daily energy intake and daily alcohol intake.</w:t>
      </w:r>
    </w:p>
    <w:p w14:paraId="39AA65EA" w14:textId="77777777" w:rsidR="00885BA5" w:rsidRPr="002E25AD" w:rsidRDefault="00885BA5" w:rsidP="00885BA5">
      <w:pPr>
        <w:rPr>
          <w:rFonts w:ascii="Times New Roman" w:hAnsi="Times New Roman" w:cs="Times New Roman"/>
          <w:i/>
          <w:sz w:val="24"/>
          <w:szCs w:val="24"/>
          <w:lang w:val="en-US"/>
        </w:rPr>
      </w:pPr>
      <w:r w:rsidRPr="002E25AD">
        <w:rPr>
          <w:rFonts w:ascii="Times New Roman" w:hAnsi="Times New Roman" w:cs="Times New Roman"/>
          <w:i/>
          <w:sz w:val="24"/>
          <w:szCs w:val="24"/>
          <w:lang w:val="en-US"/>
        </w:rPr>
        <w:br w:type="page"/>
      </w:r>
    </w:p>
    <w:p w14:paraId="59148C09" w14:textId="178F3E38" w:rsidR="00885BA5" w:rsidRPr="002E25AD" w:rsidRDefault="00885BA5" w:rsidP="00885BA5">
      <w:pPr>
        <w:pStyle w:val="NoSpacing"/>
        <w:rPr>
          <w:rFonts w:ascii="Times New Roman" w:hAnsi="Times New Roman" w:cs="Times New Roman"/>
          <w:sz w:val="24"/>
          <w:szCs w:val="24"/>
          <w:shd w:val="clear" w:color="auto" w:fill="FFFFFF"/>
          <w:lang w:val="en-US"/>
        </w:rPr>
      </w:pPr>
      <w:r w:rsidRPr="002E25AD">
        <w:rPr>
          <w:rFonts w:ascii="Times New Roman" w:hAnsi="Times New Roman" w:cs="Times New Roman"/>
          <w:sz w:val="24"/>
          <w:szCs w:val="24"/>
          <w:shd w:val="clear" w:color="auto" w:fill="FFFFFF"/>
          <w:lang w:val="en-US"/>
        </w:rPr>
        <w:lastRenderedPageBreak/>
        <w:t>Supplementary Table 4. Associations between total dietary antioxidant capacity and HOMA-IR</w:t>
      </w:r>
      <w:r w:rsidRPr="002E25AD">
        <w:rPr>
          <w:rFonts w:ascii="Times New Roman" w:hAnsi="Times New Roman" w:cs="Times New Roman"/>
          <w:sz w:val="24"/>
          <w:szCs w:val="24"/>
          <w:lang w:val="en-US"/>
        </w:rPr>
        <w:t>, excluding the contribution of coffee.</w:t>
      </w:r>
    </w:p>
    <w:tbl>
      <w:tblPr>
        <w:tblStyle w:val="TableGrid"/>
        <w:tblW w:w="5000" w:type="pct"/>
        <w:tblLayout w:type="fixed"/>
        <w:tblLook w:val="04A0" w:firstRow="1" w:lastRow="0" w:firstColumn="1" w:lastColumn="0" w:noHBand="0" w:noVBand="1"/>
      </w:tblPr>
      <w:tblGrid>
        <w:gridCol w:w="1074"/>
        <w:gridCol w:w="1798"/>
        <w:gridCol w:w="981"/>
        <w:gridCol w:w="1693"/>
        <w:gridCol w:w="923"/>
        <w:gridCol w:w="1660"/>
        <w:gridCol w:w="933"/>
      </w:tblGrid>
      <w:tr w:rsidR="002E25AD" w:rsidRPr="002E25AD" w14:paraId="2DF261AE" w14:textId="77777777" w:rsidTr="00752472">
        <w:tc>
          <w:tcPr>
            <w:tcW w:w="593" w:type="pct"/>
            <w:vAlign w:val="center"/>
          </w:tcPr>
          <w:p w14:paraId="044D20CC" w14:textId="77777777" w:rsidR="00885BA5" w:rsidRPr="002E25AD" w:rsidRDefault="00885BA5" w:rsidP="00752472">
            <w:pPr>
              <w:jc w:val="center"/>
              <w:rPr>
                <w:rFonts w:ascii="Times New Roman" w:hAnsi="Times New Roman" w:cs="Times New Roman"/>
                <w:b/>
                <w:sz w:val="24"/>
                <w:szCs w:val="24"/>
                <w:lang w:val="en-US"/>
              </w:rPr>
            </w:pPr>
          </w:p>
        </w:tc>
        <w:tc>
          <w:tcPr>
            <w:tcW w:w="992" w:type="pct"/>
            <w:vAlign w:val="center"/>
          </w:tcPr>
          <w:p w14:paraId="1DEFD853"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Total population</w:t>
            </w:r>
          </w:p>
          <w:p w14:paraId="154AB40F"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(n = 5,422)</w:t>
            </w:r>
          </w:p>
        </w:tc>
        <w:tc>
          <w:tcPr>
            <w:tcW w:w="541" w:type="pct"/>
            <w:vAlign w:val="center"/>
          </w:tcPr>
          <w:p w14:paraId="6DEA56FF"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P-value</w:t>
            </w:r>
          </w:p>
        </w:tc>
        <w:tc>
          <w:tcPr>
            <w:tcW w:w="934" w:type="pct"/>
            <w:vAlign w:val="center"/>
          </w:tcPr>
          <w:p w14:paraId="521873A4"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Men</w:t>
            </w:r>
          </w:p>
          <w:p w14:paraId="0F192FED"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(n = 2,135)</w:t>
            </w:r>
          </w:p>
        </w:tc>
        <w:tc>
          <w:tcPr>
            <w:tcW w:w="509" w:type="pct"/>
            <w:vAlign w:val="center"/>
          </w:tcPr>
          <w:p w14:paraId="5450464D"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P-value</w:t>
            </w:r>
          </w:p>
        </w:tc>
        <w:tc>
          <w:tcPr>
            <w:tcW w:w="916" w:type="pct"/>
            <w:vAlign w:val="center"/>
          </w:tcPr>
          <w:p w14:paraId="26A5E273"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Women</w:t>
            </w:r>
          </w:p>
          <w:p w14:paraId="44ED0D86"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(n = 3,287)</w:t>
            </w:r>
          </w:p>
        </w:tc>
        <w:tc>
          <w:tcPr>
            <w:tcW w:w="515" w:type="pct"/>
            <w:vAlign w:val="center"/>
          </w:tcPr>
          <w:p w14:paraId="552CACEA"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P-value</w:t>
            </w:r>
          </w:p>
        </w:tc>
      </w:tr>
      <w:tr w:rsidR="002E25AD" w:rsidRPr="002E25AD" w14:paraId="6202C847" w14:textId="77777777" w:rsidTr="00752472">
        <w:tc>
          <w:tcPr>
            <w:tcW w:w="593" w:type="pct"/>
            <w:vAlign w:val="center"/>
          </w:tcPr>
          <w:p w14:paraId="469A0D6D" w14:textId="77777777" w:rsidR="00885BA5" w:rsidRPr="002E25AD" w:rsidRDefault="00885BA5" w:rsidP="00752472">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1*</w:t>
            </w:r>
          </w:p>
        </w:tc>
        <w:tc>
          <w:tcPr>
            <w:tcW w:w="992" w:type="pct"/>
            <w:vAlign w:val="center"/>
          </w:tcPr>
          <w:p w14:paraId="1F01F7CD"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-0.04</w:t>
            </w:r>
          </w:p>
          <w:p w14:paraId="298C27D9"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 ; -0.03)</w:t>
            </w:r>
          </w:p>
        </w:tc>
        <w:tc>
          <w:tcPr>
            <w:tcW w:w="541" w:type="pct"/>
            <w:vAlign w:val="center"/>
          </w:tcPr>
          <w:p w14:paraId="00E18867"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c>
          <w:tcPr>
            <w:tcW w:w="934" w:type="pct"/>
            <w:vAlign w:val="center"/>
          </w:tcPr>
          <w:p w14:paraId="673A7F5A"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w:t>
            </w:r>
          </w:p>
          <w:p w14:paraId="4A3498C8"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(-0.85 ; -0.023)</w:t>
            </w:r>
          </w:p>
        </w:tc>
        <w:tc>
          <w:tcPr>
            <w:tcW w:w="509" w:type="pct"/>
            <w:vAlign w:val="center"/>
          </w:tcPr>
          <w:p w14:paraId="5ED603FA"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c>
          <w:tcPr>
            <w:tcW w:w="916" w:type="pct"/>
            <w:vAlign w:val="center"/>
          </w:tcPr>
          <w:p w14:paraId="5363670F"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2775911A"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 ; -0.01)</w:t>
            </w:r>
          </w:p>
        </w:tc>
        <w:tc>
          <w:tcPr>
            <w:tcW w:w="515" w:type="pct"/>
            <w:vAlign w:val="center"/>
          </w:tcPr>
          <w:p w14:paraId="644C6670"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0.001</w:t>
            </w:r>
          </w:p>
        </w:tc>
      </w:tr>
      <w:tr w:rsidR="002E25AD" w:rsidRPr="002E25AD" w14:paraId="0731F7B7" w14:textId="77777777" w:rsidTr="00752472">
        <w:tc>
          <w:tcPr>
            <w:tcW w:w="593" w:type="pct"/>
            <w:vAlign w:val="center"/>
          </w:tcPr>
          <w:p w14:paraId="1FCA33B9" w14:textId="77777777" w:rsidR="00885BA5" w:rsidRPr="002E25AD" w:rsidRDefault="00885BA5" w:rsidP="00752472">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992" w:type="pct"/>
            <w:vAlign w:val="center"/>
          </w:tcPr>
          <w:p w14:paraId="2B2EF136"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-0.02 </w:t>
            </w:r>
          </w:p>
          <w:p w14:paraId="42E87684"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 ; -0.002)</w:t>
            </w:r>
          </w:p>
        </w:tc>
        <w:tc>
          <w:tcPr>
            <w:tcW w:w="541" w:type="pct"/>
            <w:vAlign w:val="center"/>
          </w:tcPr>
          <w:p w14:paraId="6B176DE2"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tc>
        <w:tc>
          <w:tcPr>
            <w:tcW w:w="934" w:type="pct"/>
            <w:vAlign w:val="center"/>
          </w:tcPr>
          <w:p w14:paraId="7CDF5F53"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2058E678"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 ; -0.01)</w:t>
            </w:r>
          </w:p>
        </w:tc>
        <w:tc>
          <w:tcPr>
            <w:tcW w:w="509" w:type="pct"/>
            <w:vAlign w:val="center"/>
          </w:tcPr>
          <w:p w14:paraId="0D8E520E"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0.004</w:t>
            </w:r>
          </w:p>
        </w:tc>
        <w:tc>
          <w:tcPr>
            <w:tcW w:w="916" w:type="pct"/>
            <w:vAlign w:val="center"/>
          </w:tcPr>
          <w:p w14:paraId="27EE8900"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-0.01</w:t>
            </w:r>
          </w:p>
          <w:p w14:paraId="050A9B65"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(-0.02 ; 0.01)</w:t>
            </w:r>
          </w:p>
        </w:tc>
        <w:tc>
          <w:tcPr>
            <w:tcW w:w="515" w:type="pct"/>
            <w:vAlign w:val="center"/>
          </w:tcPr>
          <w:p w14:paraId="02F835BB"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0.57</w:t>
            </w:r>
          </w:p>
        </w:tc>
      </w:tr>
      <w:tr w:rsidR="002E25AD" w:rsidRPr="002E25AD" w14:paraId="4D1B52E9" w14:textId="77777777" w:rsidTr="00752472">
        <w:tc>
          <w:tcPr>
            <w:tcW w:w="593" w:type="pct"/>
            <w:vAlign w:val="center"/>
          </w:tcPr>
          <w:p w14:paraId="22F8E47A" w14:textId="77777777" w:rsidR="00885BA5" w:rsidRPr="002E25AD" w:rsidRDefault="00885BA5" w:rsidP="00752472">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992" w:type="pct"/>
            <w:vAlign w:val="center"/>
          </w:tcPr>
          <w:p w14:paraId="4161E13F"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-0.01</w:t>
            </w:r>
          </w:p>
          <w:p w14:paraId="630AFCAC"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 ; 0.01)</w:t>
            </w:r>
          </w:p>
        </w:tc>
        <w:tc>
          <w:tcPr>
            <w:tcW w:w="541" w:type="pct"/>
            <w:vAlign w:val="center"/>
          </w:tcPr>
          <w:p w14:paraId="378C3F48"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0.21</w:t>
            </w:r>
          </w:p>
        </w:tc>
        <w:tc>
          <w:tcPr>
            <w:tcW w:w="934" w:type="pct"/>
            <w:vAlign w:val="center"/>
          </w:tcPr>
          <w:p w14:paraId="1A647D1B"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-0.03 </w:t>
            </w:r>
          </w:p>
          <w:p w14:paraId="1C204762"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 ; -0.01)</w:t>
            </w:r>
          </w:p>
        </w:tc>
        <w:tc>
          <w:tcPr>
            <w:tcW w:w="509" w:type="pct"/>
            <w:vAlign w:val="center"/>
          </w:tcPr>
          <w:p w14:paraId="1D5F3486"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0.02</w:t>
            </w:r>
          </w:p>
        </w:tc>
        <w:tc>
          <w:tcPr>
            <w:tcW w:w="916" w:type="pct"/>
            <w:vAlign w:val="center"/>
          </w:tcPr>
          <w:p w14:paraId="686EBBD0"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0.003</w:t>
            </w:r>
          </w:p>
          <w:p w14:paraId="7B28112C"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(-0.02 ; 0.02)</w:t>
            </w:r>
          </w:p>
        </w:tc>
        <w:tc>
          <w:tcPr>
            <w:tcW w:w="515" w:type="pct"/>
            <w:vAlign w:val="center"/>
          </w:tcPr>
          <w:p w14:paraId="4B27B36E"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0.74</w:t>
            </w:r>
          </w:p>
        </w:tc>
      </w:tr>
    </w:tbl>
    <w:p w14:paraId="73E31D23" w14:textId="6241043A" w:rsidR="00885BA5" w:rsidRPr="002E25AD" w:rsidRDefault="00885BA5" w:rsidP="00361CD6">
      <w:pPr>
        <w:rPr>
          <w:rFonts w:ascii="Open Sans" w:eastAsia="Times New Roman" w:hAnsi="Open Sans" w:cs="Times New Roman"/>
          <w:sz w:val="24"/>
          <w:szCs w:val="24"/>
          <w:shd w:val="clear" w:color="auto" w:fill="FFFFFF"/>
          <w:lang w:val="en-GB" w:eastAsia="en-GB"/>
        </w:rPr>
      </w:pPr>
      <w:r w:rsidRPr="002E25AD">
        <w:rPr>
          <w:rFonts w:ascii="Times New Roman" w:hAnsi="Times New Roman" w:cs="Times New Roman"/>
          <w:sz w:val="24"/>
          <w:szCs w:val="24"/>
          <w:lang w:val="en-US"/>
        </w:rPr>
        <w:t xml:space="preserve">Results are presented as regression coefficient (95% confidence interval) for a standard deviation increment in FPAP score.*Model 1: adjusted for age, sex and Rotterdam Study cohort. </w:t>
      </w:r>
      <w:r w:rsidRPr="002E25AD">
        <w:rPr>
          <w:rFonts w:ascii="Open Sans" w:eastAsia="Times New Roman" w:hAnsi="Open Sans" w:cs="Times New Roman"/>
          <w:sz w:val="24"/>
          <w:szCs w:val="24"/>
          <w:shd w:val="clear" w:color="auto" w:fill="FFFFFF"/>
          <w:lang w:val="en-GB" w:eastAsia="en-GB"/>
        </w:rPr>
        <w:t>†Model 2: model 1 + body mass index, hypertension, dyslipidaemia, highest level of education attained, physical activity and smoking status. ‡Model 3: model 2 + degree of adherence to dietary guidelines, total daily energy intake and daily alcohol intake.</w:t>
      </w:r>
    </w:p>
    <w:p w14:paraId="734C020E" w14:textId="14F27F6C" w:rsidR="00885BA5" w:rsidRPr="002E25AD" w:rsidRDefault="00885BA5" w:rsidP="00361CD6">
      <w:pPr>
        <w:rPr>
          <w:rFonts w:ascii="Open Sans" w:eastAsia="Times New Roman" w:hAnsi="Open Sans" w:cs="Times New Roman"/>
          <w:sz w:val="24"/>
          <w:szCs w:val="24"/>
          <w:shd w:val="clear" w:color="auto" w:fill="FFFFFF"/>
          <w:lang w:val="en-GB" w:eastAsia="en-GB"/>
        </w:rPr>
      </w:pPr>
    </w:p>
    <w:p w14:paraId="7E177170" w14:textId="17EC0AB2" w:rsidR="00885BA5" w:rsidRPr="002E25AD" w:rsidRDefault="00885BA5" w:rsidP="00885BA5">
      <w:pPr>
        <w:pStyle w:val="NoSpacing"/>
        <w:rPr>
          <w:rFonts w:ascii="Times New Roman" w:hAnsi="Times New Roman" w:cs="Times New Roman"/>
          <w:sz w:val="24"/>
          <w:szCs w:val="24"/>
          <w:shd w:val="clear" w:color="auto" w:fill="FFFFFF"/>
          <w:lang w:val="en-US"/>
        </w:rPr>
      </w:pPr>
      <w:r w:rsidRPr="002E25AD">
        <w:rPr>
          <w:rFonts w:ascii="Times New Roman" w:hAnsi="Times New Roman" w:cs="Times New Roman"/>
          <w:sz w:val="24"/>
          <w:szCs w:val="24"/>
          <w:shd w:val="clear" w:color="auto" w:fill="FFFFFF"/>
          <w:lang w:val="en-US"/>
        </w:rPr>
        <w:t>Supplementary Table 5. Associations between total dietary antioxidant capacity and HOMA-IR</w:t>
      </w:r>
      <w:r w:rsidRPr="002E25AD">
        <w:rPr>
          <w:rFonts w:ascii="Times New Roman" w:hAnsi="Times New Roman" w:cs="Times New Roman"/>
          <w:sz w:val="24"/>
          <w:szCs w:val="24"/>
          <w:lang w:val="en-US"/>
        </w:rPr>
        <w:t xml:space="preserve"> among participants with normoglycaemia and prediabetes. </w:t>
      </w:r>
    </w:p>
    <w:tbl>
      <w:tblPr>
        <w:tblStyle w:val="TableGrid"/>
        <w:tblW w:w="5000" w:type="pct"/>
        <w:tblLayout w:type="fixed"/>
        <w:tblLook w:val="04A0" w:firstRow="1" w:lastRow="0" w:firstColumn="1" w:lastColumn="0" w:noHBand="0" w:noVBand="1"/>
      </w:tblPr>
      <w:tblGrid>
        <w:gridCol w:w="1074"/>
        <w:gridCol w:w="1664"/>
        <w:gridCol w:w="1115"/>
        <w:gridCol w:w="1693"/>
        <w:gridCol w:w="923"/>
        <w:gridCol w:w="1660"/>
        <w:gridCol w:w="933"/>
      </w:tblGrid>
      <w:tr w:rsidR="002E25AD" w:rsidRPr="002E25AD" w14:paraId="726E44ED" w14:textId="77777777" w:rsidTr="00885BA5">
        <w:tc>
          <w:tcPr>
            <w:tcW w:w="5000" w:type="pct"/>
            <w:gridSpan w:val="7"/>
            <w:vAlign w:val="center"/>
          </w:tcPr>
          <w:p w14:paraId="0D5AE0C9" w14:textId="38627FBE"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Participants with normoglycaemia</w:t>
            </w:r>
          </w:p>
        </w:tc>
      </w:tr>
      <w:tr w:rsidR="002E25AD" w:rsidRPr="002E25AD" w14:paraId="75C0187A" w14:textId="77777777" w:rsidTr="00752472">
        <w:tc>
          <w:tcPr>
            <w:tcW w:w="593" w:type="pct"/>
            <w:vAlign w:val="center"/>
          </w:tcPr>
          <w:p w14:paraId="6467DDD5" w14:textId="77777777" w:rsidR="00885BA5" w:rsidRPr="002E25AD" w:rsidRDefault="00885BA5" w:rsidP="00752472">
            <w:pPr>
              <w:jc w:val="center"/>
              <w:rPr>
                <w:rFonts w:ascii="Times New Roman" w:hAnsi="Times New Roman" w:cs="Times New Roman"/>
                <w:b/>
                <w:sz w:val="24"/>
                <w:szCs w:val="24"/>
                <w:lang w:val="en-US"/>
              </w:rPr>
            </w:pPr>
          </w:p>
        </w:tc>
        <w:tc>
          <w:tcPr>
            <w:tcW w:w="918" w:type="pct"/>
            <w:vAlign w:val="center"/>
          </w:tcPr>
          <w:p w14:paraId="7FB60FDD"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Total population</w:t>
            </w:r>
          </w:p>
          <w:p w14:paraId="068B892D"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(n = 4,614)</w:t>
            </w:r>
          </w:p>
        </w:tc>
        <w:tc>
          <w:tcPr>
            <w:tcW w:w="615" w:type="pct"/>
            <w:vAlign w:val="center"/>
          </w:tcPr>
          <w:p w14:paraId="321A2870"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P-value</w:t>
            </w:r>
          </w:p>
        </w:tc>
        <w:tc>
          <w:tcPr>
            <w:tcW w:w="934" w:type="pct"/>
            <w:vAlign w:val="center"/>
          </w:tcPr>
          <w:p w14:paraId="308E2728"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Men</w:t>
            </w:r>
          </w:p>
          <w:p w14:paraId="5880F489"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(n = 1,752)</w:t>
            </w:r>
          </w:p>
        </w:tc>
        <w:tc>
          <w:tcPr>
            <w:tcW w:w="509" w:type="pct"/>
            <w:vAlign w:val="center"/>
          </w:tcPr>
          <w:p w14:paraId="6631FECA"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P-value</w:t>
            </w:r>
          </w:p>
        </w:tc>
        <w:tc>
          <w:tcPr>
            <w:tcW w:w="916" w:type="pct"/>
            <w:vAlign w:val="center"/>
          </w:tcPr>
          <w:p w14:paraId="27086F1D"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Women</w:t>
            </w:r>
          </w:p>
          <w:p w14:paraId="099B7C50"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(n = 2,862)</w:t>
            </w:r>
          </w:p>
        </w:tc>
        <w:tc>
          <w:tcPr>
            <w:tcW w:w="515" w:type="pct"/>
            <w:vAlign w:val="center"/>
          </w:tcPr>
          <w:p w14:paraId="2CFCB532" w14:textId="77777777" w:rsidR="00885BA5" w:rsidRPr="002E25AD" w:rsidRDefault="00885BA5" w:rsidP="00752472">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P-value</w:t>
            </w:r>
          </w:p>
        </w:tc>
      </w:tr>
      <w:tr w:rsidR="002E25AD" w:rsidRPr="002E25AD" w14:paraId="270846C0" w14:textId="77777777" w:rsidTr="00752472">
        <w:tc>
          <w:tcPr>
            <w:tcW w:w="593" w:type="pct"/>
            <w:vAlign w:val="center"/>
          </w:tcPr>
          <w:p w14:paraId="6577EDF0" w14:textId="77777777" w:rsidR="00885BA5" w:rsidRPr="002E25AD" w:rsidRDefault="00885BA5" w:rsidP="00752472">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1*</w:t>
            </w:r>
          </w:p>
        </w:tc>
        <w:tc>
          <w:tcPr>
            <w:tcW w:w="918" w:type="pct"/>
            <w:vAlign w:val="center"/>
          </w:tcPr>
          <w:p w14:paraId="44F00680"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-0.04</w:t>
            </w:r>
          </w:p>
          <w:p w14:paraId="47362F12"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 ; -0.02)</w:t>
            </w:r>
          </w:p>
        </w:tc>
        <w:tc>
          <w:tcPr>
            <w:tcW w:w="615" w:type="pct"/>
            <w:vAlign w:val="center"/>
          </w:tcPr>
          <w:p w14:paraId="04B8A5D3"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c>
          <w:tcPr>
            <w:tcW w:w="934" w:type="pct"/>
            <w:vAlign w:val="center"/>
          </w:tcPr>
          <w:p w14:paraId="3ABE52CA"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327ADFA2"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 ; -0.004)</w:t>
            </w:r>
          </w:p>
        </w:tc>
        <w:tc>
          <w:tcPr>
            <w:tcW w:w="509" w:type="pct"/>
            <w:vAlign w:val="center"/>
          </w:tcPr>
          <w:p w14:paraId="2EE211EF"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0.02</w:t>
            </w:r>
          </w:p>
        </w:tc>
        <w:tc>
          <w:tcPr>
            <w:tcW w:w="916" w:type="pct"/>
            <w:vAlign w:val="center"/>
          </w:tcPr>
          <w:p w14:paraId="31D6CDA0"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w:t>
            </w:r>
          </w:p>
          <w:p w14:paraId="189B37C3"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(-0.07 ; -0.03)</w:t>
            </w:r>
          </w:p>
        </w:tc>
        <w:tc>
          <w:tcPr>
            <w:tcW w:w="515" w:type="pct"/>
            <w:vAlign w:val="center"/>
          </w:tcPr>
          <w:p w14:paraId="15B6F601"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r>
      <w:tr w:rsidR="002E25AD" w:rsidRPr="002E25AD" w14:paraId="5CEEA6D7" w14:textId="77777777" w:rsidTr="00752472">
        <w:tc>
          <w:tcPr>
            <w:tcW w:w="593" w:type="pct"/>
            <w:vAlign w:val="center"/>
          </w:tcPr>
          <w:p w14:paraId="038F0B0C" w14:textId="77777777" w:rsidR="00885BA5" w:rsidRPr="002E25AD" w:rsidRDefault="00885BA5" w:rsidP="00752472">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918" w:type="pct"/>
            <w:vAlign w:val="center"/>
          </w:tcPr>
          <w:p w14:paraId="21A76FED"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-0.04 </w:t>
            </w:r>
          </w:p>
          <w:p w14:paraId="2F7DA327"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 ; -0.02)</w:t>
            </w:r>
          </w:p>
        </w:tc>
        <w:tc>
          <w:tcPr>
            <w:tcW w:w="615" w:type="pct"/>
            <w:vAlign w:val="center"/>
          </w:tcPr>
          <w:p w14:paraId="01E8D0A9"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c>
          <w:tcPr>
            <w:tcW w:w="934" w:type="pct"/>
            <w:vAlign w:val="center"/>
          </w:tcPr>
          <w:p w14:paraId="5B998D6E"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2CD38AFC"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 ; -0.01)</w:t>
            </w:r>
          </w:p>
        </w:tc>
        <w:tc>
          <w:tcPr>
            <w:tcW w:w="509" w:type="pct"/>
            <w:vAlign w:val="center"/>
          </w:tcPr>
          <w:p w14:paraId="4A879DBE"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0.01</w:t>
            </w:r>
          </w:p>
        </w:tc>
        <w:tc>
          <w:tcPr>
            <w:tcW w:w="916" w:type="pct"/>
            <w:vAlign w:val="center"/>
          </w:tcPr>
          <w:p w14:paraId="4FBB64B4"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w:t>
            </w:r>
          </w:p>
          <w:p w14:paraId="63132FB2"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 ; -0.03)</w:t>
            </w:r>
          </w:p>
        </w:tc>
        <w:tc>
          <w:tcPr>
            <w:tcW w:w="515" w:type="pct"/>
            <w:vAlign w:val="center"/>
          </w:tcPr>
          <w:p w14:paraId="7219A57D"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r>
      <w:tr w:rsidR="002E25AD" w:rsidRPr="002E25AD" w14:paraId="03474CCB" w14:textId="77777777" w:rsidTr="00752472">
        <w:tc>
          <w:tcPr>
            <w:tcW w:w="593" w:type="pct"/>
            <w:vAlign w:val="center"/>
          </w:tcPr>
          <w:p w14:paraId="4A837ED1" w14:textId="77777777" w:rsidR="00885BA5" w:rsidRPr="002E25AD" w:rsidRDefault="00885BA5" w:rsidP="00752472">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918" w:type="pct"/>
            <w:vAlign w:val="center"/>
          </w:tcPr>
          <w:p w14:paraId="31A4E34E"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-0.04 </w:t>
            </w:r>
          </w:p>
          <w:p w14:paraId="1DB0F6D6"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 ; -0.02)</w:t>
            </w:r>
          </w:p>
        </w:tc>
        <w:tc>
          <w:tcPr>
            <w:tcW w:w="615" w:type="pct"/>
            <w:vAlign w:val="center"/>
          </w:tcPr>
          <w:p w14:paraId="28FA3EDE"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c>
          <w:tcPr>
            <w:tcW w:w="934" w:type="pct"/>
            <w:vAlign w:val="center"/>
          </w:tcPr>
          <w:p w14:paraId="234A9D4C"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00812D80"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 ; -0.01)</w:t>
            </w:r>
          </w:p>
        </w:tc>
        <w:tc>
          <w:tcPr>
            <w:tcW w:w="509" w:type="pct"/>
            <w:vAlign w:val="center"/>
          </w:tcPr>
          <w:p w14:paraId="76BB4683"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0.01</w:t>
            </w:r>
          </w:p>
        </w:tc>
        <w:tc>
          <w:tcPr>
            <w:tcW w:w="916" w:type="pct"/>
            <w:vAlign w:val="center"/>
          </w:tcPr>
          <w:p w14:paraId="098D0695"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-0.04 </w:t>
            </w:r>
          </w:p>
          <w:p w14:paraId="02422BDE"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 ; -0.02)</w:t>
            </w:r>
          </w:p>
        </w:tc>
        <w:tc>
          <w:tcPr>
            <w:tcW w:w="515" w:type="pct"/>
            <w:vAlign w:val="center"/>
          </w:tcPr>
          <w:p w14:paraId="3F999DCB" w14:textId="77777777" w:rsidR="00885BA5" w:rsidRPr="002E25AD" w:rsidRDefault="00885BA5" w:rsidP="00752472">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&lt; 0.001</w:t>
            </w:r>
          </w:p>
        </w:tc>
      </w:tr>
      <w:tr w:rsidR="002E25AD" w:rsidRPr="002E25AD" w14:paraId="0BA81370" w14:textId="77777777" w:rsidTr="00885BA5">
        <w:tc>
          <w:tcPr>
            <w:tcW w:w="5000" w:type="pct"/>
            <w:gridSpan w:val="7"/>
            <w:vAlign w:val="center"/>
          </w:tcPr>
          <w:p w14:paraId="1B0E38DC" w14:textId="2B5805FB" w:rsidR="00885BA5" w:rsidRPr="002E25AD" w:rsidRDefault="00885BA5" w:rsidP="00752472">
            <w:pPr>
              <w:jc w:val="center"/>
              <w:rPr>
                <w:rFonts w:ascii="Times New Roman" w:hAnsi="Times New Roman" w:cs="Times New Roman"/>
                <w:b/>
                <w:bCs/>
                <w:sz w:val="24"/>
                <w:szCs w:val="24"/>
                <w:lang w:val="en-US"/>
              </w:rPr>
            </w:pPr>
            <w:r w:rsidRPr="002E25AD">
              <w:rPr>
                <w:rFonts w:ascii="Times New Roman" w:hAnsi="Times New Roman" w:cs="Times New Roman"/>
                <w:b/>
                <w:bCs/>
                <w:sz w:val="24"/>
                <w:szCs w:val="24"/>
                <w:lang w:val="en-US"/>
              </w:rPr>
              <w:t>Participants with prediabetes</w:t>
            </w:r>
          </w:p>
        </w:tc>
      </w:tr>
      <w:tr w:rsidR="002E25AD" w:rsidRPr="002E25AD" w14:paraId="2351A941" w14:textId="77777777" w:rsidTr="00752472">
        <w:tc>
          <w:tcPr>
            <w:tcW w:w="593" w:type="pct"/>
            <w:vAlign w:val="center"/>
          </w:tcPr>
          <w:p w14:paraId="1F129C11" w14:textId="77777777" w:rsidR="00885BA5" w:rsidRPr="002E25AD" w:rsidRDefault="00885BA5" w:rsidP="00885BA5">
            <w:pPr>
              <w:rPr>
                <w:rFonts w:ascii="Times New Roman" w:hAnsi="Times New Roman" w:cs="Times New Roman"/>
                <w:b/>
                <w:sz w:val="24"/>
                <w:szCs w:val="24"/>
                <w:lang w:val="en-US"/>
              </w:rPr>
            </w:pPr>
          </w:p>
        </w:tc>
        <w:tc>
          <w:tcPr>
            <w:tcW w:w="918" w:type="pct"/>
            <w:vAlign w:val="center"/>
          </w:tcPr>
          <w:p w14:paraId="27138724" w14:textId="77777777" w:rsidR="00885BA5" w:rsidRPr="002E25AD" w:rsidRDefault="00885BA5" w:rsidP="00885BA5">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Total population</w:t>
            </w:r>
          </w:p>
          <w:p w14:paraId="27FA0C8C" w14:textId="33342B93"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b/>
                <w:sz w:val="24"/>
                <w:szCs w:val="24"/>
                <w:lang w:val="en-US"/>
              </w:rPr>
              <w:t>(n = 808)</w:t>
            </w:r>
          </w:p>
        </w:tc>
        <w:tc>
          <w:tcPr>
            <w:tcW w:w="615" w:type="pct"/>
            <w:vAlign w:val="center"/>
          </w:tcPr>
          <w:p w14:paraId="3EC01E91" w14:textId="7378626B"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b/>
                <w:sz w:val="24"/>
                <w:szCs w:val="24"/>
                <w:lang w:val="en-US"/>
              </w:rPr>
              <w:t>P-value</w:t>
            </w:r>
          </w:p>
        </w:tc>
        <w:tc>
          <w:tcPr>
            <w:tcW w:w="934" w:type="pct"/>
            <w:vAlign w:val="center"/>
          </w:tcPr>
          <w:p w14:paraId="6C648FAA" w14:textId="77777777" w:rsidR="00885BA5" w:rsidRPr="002E25AD" w:rsidRDefault="00885BA5" w:rsidP="00885BA5">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Men</w:t>
            </w:r>
          </w:p>
          <w:p w14:paraId="6B6173FE" w14:textId="68E86311"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b/>
                <w:sz w:val="24"/>
                <w:szCs w:val="24"/>
                <w:lang w:val="en-US"/>
              </w:rPr>
              <w:t>(n = 383)</w:t>
            </w:r>
          </w:p>
        </w:tc>
        <w:tc>
          <w:tcPr>
            <w:tcW w:w="509" w:type="pct"/>
            <w:vAlign w:val="center"/>
          </w:tcPr>
          <w:p w14:paraId="14ABD6E1" w14:textId="362D7C30"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b/>
                <w:sz w:val="24"/>
                <w:szCs w:val="24"/>
                <w:lang w:val="en-US"/>
              </w:rPr>
              <w:t>P-value</w:t>
            </w:r>
          </w:p>
        </w:tc>
        <w:tc>
          <w:tcPr>
            <w:tcW w:w="916" w:type="pct"/>
            <w:vAlign w:val="center"/>
          </w:tcPr>
          <w:p w14:paraId="0A01FE54" w14:textId="77777777" w:rsidR="00885BA5" w:rsidRPr="002E25AD" w:rsidRDefault="00885BA5" w:rsidP="00885BA5">
            <w:pPr>
              <w:jc w:val="center"/>
              <w:rPr>
                <w:rFonts w:ascii="Times New Roman" w:hAnsi="Times New Roman" w:cs="Times New Roman"/>
                <w:b/>
                <w:sz w:val="24"/>
                <w:szCs w:val="24"/>
                <w:lang w:val="en-US"/>
              </w:rPr>
            </w:pPr>
            <w:r w:rsidRPr="002E25AD">
              <w:rPr>
                <w:rFonts w:ascii="Times New Roman" w:hAnsi="Times New Roman" w:cs="Times New Roman"/>
                <w:b/>
                <w:sz w:val="24"/>
                <w:szCs w:val="24"/>
                <w:lang w:val="en-US"/>
              </w:rPr>
              <w:t>Women</w:t>
            </w:r>
          </w:p>
          <w:p w14:paraId="1F5F361B" w14:textId="09869B89"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b/>
                <w:sz w:val="24"/>
                <w:szCs w:val="24"/>
                <w:lang w:val="en-US"/>
              </w:rPr>
              <w:t>(n = 425)</w:t>
            </w:r>
          </w:p>
        </w:tc>
        <w:tc>
          <w:tcPr>
            <w:tcW w:w="515" w:type="pct"/>
            <w:vAlign w:val="center"/>
          </w:tcPr>
          <w:p w14:paraId="22AB5E69" w14:textId="0C098108"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b/>
                <w:sz w:val="24"/>
                <w:szCs w:val="24"/>
                <w:lang w:val="en-US"/>
              </w:rPr>
              <w:t>P-value</w:t>
            </w:r>
          </w:p>
        </w:tc>
      </w:tr>
      <w:tr w:rsidR="002E25AD" w:rsidRPr="002E25AD" w14:paraId="77ECA323" w14:textId="77777777" w:rsidTr="00752472">
        <w:tc>
          <w:tcPr>
            <w:tcW w:w="593" w:type="pct"/>
            <w:vAlign w:val="center"/>
          </w:tcPr>
          <w:p w14:paraId="37AD2071" w14:textId="63A7D477" w:rsidR="00885BA5" w:rsidRPr="002E25AD" w:rsidRDefault="00885BA5" w:rsidP="00885BA5">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1*</w:t>
            </w:r>
          </w:p>
        </w:tc>
        <w:tc>
          <w:tcPr>
            <w:tcW w:w="918" w:type="pct"/>
            <w:vAlign w:val="center"/>
          </w:tcPr>
          <w:p w14:paraId="388EBACA" w14:textId="77777777"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07C257BC" w14:textId="56A09DE4"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(-0.07 ; 0.004)</w:t>
            </w:r>
          </w:p>
        </w:tc>
        <w:tc>
          <w:tcPr>
            <w:tcW w:w="615" w:type="pct"/>
            <w:vAlign w:val="center"/>
          </w:tcPr>
          <w:p w14:paraId="45AC821E" w14:textId="6AD60ABE"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0.08</w:t>
            </w:r>
          </w:p>
        </w:tc>
        <w:tc>
          <w:tcPr>
            <w:tcW w:w="934" w:type="pct"/>
            <w:vAlign w:val="center"/>
          </w:tcPr>
          <w:p w14:paraId="30670FD7" w14:textId="77777777"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060882EE" w14:textId="7CD76579"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(-0.07 ; 0.02)</w:t>
            </w:r>
          </w:p>
        </w:tc>
        <w:tc>
          <w:tcPr>
            <w:tcW w:w="509" w:type="pct"/>
            <w:vAlign w:val="center"/>
          </w:tcPr>
          <w:p w14:paraId="0F93A99F" w14:textId="6E5CBFE6"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0.30</w:t>
            </w:r>
          </w:p>
        </w:tc>
        <w:tc>
          <w:tcPr>
            <w:tcW w:w="916" w:type="pct"/>
            <w:vAlign w:val="center"/>
          </w:tcPr>
          <w:p w14:paraId="773ADEF3" w14:textId="77777777"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w:t>
            </w:r>
          </w:p>
          <w:p w14:paraId="2EDF0557" w14:textId="28880EFC"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(-0.12 ; -0.001)</w:t>
            </w:r>
          </w:p>
        </w:tc>
        <w:tc>
          <w:tcPr>
            <w:tcW w:w="515" w:type="pct"/>
            <w:vAlign w:val="center"/>
          </w:tcPr>
          <w:p w14:paraId="3CDCA682" w14:textId="06B39305"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0.05</w:t>
            </w:r>
          </w:p>
        </w:tc>
      </w:tr>
      <w:tr w:rsidR="002E25AD" w:rsidRPr="002E25AD" w14:paraId="5B57BFF6" w14:textId="77777777" w:rsidTr="00752472">
        <w:tc>
          <w:tcPr>
            <w:tcW w:w="593" w:type="pct"/>
            <w:vAlign w:val="center"/>
          </w:tcPr>
          <w:p w14:paraId="72A50825" w14:textId="321BE682" w:rsidR="00885BA5" w:rsidRPr="002E25AD" w:rsidRDefault="00885BA5" w:rsidP="00885BA5">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2</w:t>
            </w:r>
            <w:r w:rsidRPr="002E25AD">
              <w:rPr>
                <w:rFonts w:ascii="Open Sans" w:eastAsia="Times New Roman" w:hAnsi="Open Sans" w:cs="Times New Roman"/>
                <w:sz w:val="24"/>
                <w:szCs w:val="24"/>
                <w:shd w:val="clear" w:color="auto" w:fill="FFFFFF"/>
                <w:lang w:val="en-GB" w:eastAsia="en-GB"/>
              </w:rPr>
              <w:t>†</w:t>
            </w:r>
          </w:p>
        </w:tc>
        <w:tc>
          <w:tcPr>
            <w:tcW w:w="918" w:type="pct"/>
            <w:vAlign w:val="center"/>
          </w:tcPr>
          <w:p w14:paraId="7366CBD6" w14:textId="77777777"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-0.03 </w:t>
            </w:r>
          </w:p>
          <w:p w14:paraId="40365C91" w14:textId="49A6BCF0"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 ; 0.01)</w:t>
            </w:r>
          </w:p>
        </w:tc>
        <w:tc>
          <w:tcPr>
            <w:tcW w:w="615" w:type="pct"/>
            <w:vAlign w:val="center"/>
          </w:tcPr>
          <w:p w14:paraId="0089FA86" w14:textId="1CAB281E"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0.10</w:t>
            </w:r>
          </w:p>
        </w:tc>
        <w:tc>
          <w:tcPr>
            <w:tcW w:w="934" w:type="pct"/>
            <w:vAlign w:val="center"/>
          </w:tcPr>
          <w:p w14:paraId="6D2ED412" w14:textId="77777777"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485CA3F9" w14:textId="388ABA30"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(-0.07 ; 0.01)</w:t>
            </w:r>
          </w:p>
        </w:tc>
        <w:tc>
          <w:tcPr>
            <w:tcW w:w="509" w:type="pct"/>
            <w:vAlign w:val="center"/>
          </w:tcPr>
          <w:p w14:paraId="250B5144" w14:textId="3D15A2D2"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0.15</w:t>
            </w:r>
          </w:p>
        </w:tc>
        <w:tc>
          <w:tcPr>
            <w:tcW w:w="916" w:type="pct"/>
            <w:vAlign w:val="center"/>
          </w:tcPr>
          <w:p w14:paraId="021434E6" w14:textId="77777777"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-0.04 </w:t>
            </w:r>
          </w:p>
          <w:p w14:paraId="3E39596C" w14:textId="5C3E1087"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(-0.01 ; 0.01)</w:t>
            </w:r>
          </w:p>
        </w:tc>
        <w:tc>
          <w:tcPr>
            <w:tcW w:w="515" w:type="pct"/>
            <w:vAlign w:val="center"/>
          </w:tcPr>
          <w:p w14:paraId="39285528" w14:textId="540CF4FE"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0.13</w:t>
            </w:r>
          </w:p>
        </w:tc>
      </w:tr>
      <w:tr w:rsidR="002E25AD" w:rsidRPr="002E25AD" w14:paraId="5CCBA894" w14:textId="77777777" w:rsidTr="00752472">
        <w:tc>
          <w:tcPr>
            <w:tcW w:w="593" w:type="pct"/>
            <w:vAlign w:val="center"/>
          </w:tcPr>
          <w:p w14:paraId="62E5A813" w14:textId="101F9EF9" w:rsidR="00885BA5" w:rsidRPr="002E25AD" w:rsidRDefault="00885BA5" w:rsidP="00885BA5">
            <w:pPr>
              <w:rPr>
                <w:rFonts w:ascii="Times New Roman" w:hAnsi="Times New Roman" w:cs="Times New Roman"/>
                <w:b/>
                <w:sz w:val="24"/>
                <w:szCs w:val="24"/>
                <w:lang w:val="en-US"/>
              </w:rPr>
            </w:pPr>
            <w:r w:rsidRPr="002E25AD">
              <w:rPr>
                <w:rFonts w:ascii="Times New Roman" w:hAnsi="Times New Roman" w:cs="Times New Roman"/>
                <w:b/>
                <w:sz w:val="24"/>
                <w:szCs w:val="24"/>
                <w:lang w:val="en-US"/>
              </w:rPr>
              <w:t>Model 3</w:t>
            </w:r>
            <w:r w:rsidRPr="002E25AD">
              <w:rPr>
                <w:rFonts w:ascii="Open Sans" w:eastAsia="Times New Roman" w:hAnsi="Open Sans" w:cs="Times New Roman"/>
                <w:sz w:val="24"/>
                <w:szCs w:val="24"/>
                <w:shd w:val="clear" w:color="auto" w:fill="FFFFFF"/>
                <w:lang w:val="en-GB" w:eastAsia="en-GB"/>
              </w:rPr>
              <w:t>‡</w:t>
            </w:r>
          </w:p>
        </w:tc>
        <w:tc>
          <w:tcPr>
            <w:tcW w:w="918" w:type="pct"/>
            <w:vAlign w:val="center"/>
          </w:tcPr>
          <w:p w14:paraId="2822831C" w14:textId="77777777"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1F6DCC21" w14:textId="4F0C9C0B"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(-0.07 ; 0.002)</w:t>
            </w:r>
          </w:p>
        </w:tc>
        <w:tc>
          <w:tcPr>
            <w:tcW w:w="615" w:type="pct"/>
            <w:vAlign w:val="center"/>
          </w:tcPr>
          <w:p w14:paraId="523CBEB1" w14:textId="31CB27CA"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0.06</w:t>
            </w:r>
          </w:p>
        </w:tc>
        <w:tc>
          <w:tcPr>
            <w:tcW w:w="934" w:type="pct"/>
            <w:vAlign w:val="center"/>
          </w:tcPr>
          <w:p w14:paraId="59C24965" w14:textId="77777777"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-0.03</w:t>
            </w:r>
          </w:p>
          <w:p w14:paraId="7F6C68AF" w14:textId="0D869FCE"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(-0.08 ; 0.01)</w:t>
            </w:r>
          </w:p>
        </w:tc>
        <w:tc>
          <w:tcPr>
            <w:tcW w:w="509" w:type="pct"/>
            <w:vAlign w:val="center"/>
          </w:tcPr>
          <w:p w14:paraId="7CF90059" w14:textId="00AD5BD6"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0.18</w:t>
            </w:r>
          </w:p>
        </w:tc>
        <w:tc>
          <w:tcPr>
            <w:tcW w:w="916" w:type="pct"/>
            <w:vAlign w:val="center"/>
          </w:tcPr>
          <w:p w14:paraId="15A8C47C" w14:textId="77777777"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-0.05 </w:t>
            </w:r>
          </w:p>
          <w:p w14:paraId="778F636B" w14:textId="0686952E"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(-0.11 ; 0.004)</w:t>
            </w:r>
          </w:p>
        </w:tc>
        <w:tc>
          <w:tcPr>
            <w:tcW w:w="515" w:type="pct"/>
            <w:vAlign w:val="center"/>
          </w:tcPr>
          <w:p w14:paraId="52E60145" w14:textId="7415B34D" w:rsidR="00885BA5" w:rsidRPr="002E25AD" w:rsidRDefault="00885BA5" w:rsidP="00885BA5">
            <w:pPr>
              <w:jc w:val="center"/>
              <w:rPr>
                <w:rFonts w:ascii="Times New Roman" w:hAnsi="Times New Roman" w:cs="Times New Roman"/>
                <w:sz w:val="24"/>
                <w:szCs w:val="24"/>
                <w:lang w:val="en-US"/>
              </w:rPr>
            </w:pPr>
            <w:r w:rsidRPr="002E25AD">
              <w:rPr>
                <w:rFonts w:ascii="Times New Roman" w:hAnsi="Times New Roman" w:cs="Times New Roman"/>
                <w:sz w:val="24"/>
                <w:szCs w:val="24"/>
                <w:lang w:val="en-US"/>
              </w:rPr>
              <w:t>0.07</w:t>
            </w:r>
          </w:p>
        </w:tc>
      </w:tr>
    </w:tbl>
    <w:p w14:paraId="6159BC45" w14:textId="77777777" w:rsidR="00885BA5" w:rsidRPr="002E25AD" w:rsidRDefault="00885BA5" w:rsidP="00885BA5">
      <w:pPr>
        <w:pStyle w:val="NoSpacing"/>
        <w:rPr>
          <w:rFonts w:ascii="Times New Roman" w:hAnsi="Times New Roman" w:cs="Times New Roman"/>
          <w:sz w:val="24"/>
          <w:szCs w:val="24"/>
          <w:lang w:val="en-US"/>
        </w:rPr>
      </w:pPr>
      <w:r w:rsidRPr="002E25AD">
        <w:rPr>
          <w:rFonts w:ascii="Times New Roman" w:hAnsi="Times New Roman" w:cs="Times New Roman"/>
          <w:sz w:val="24"/>
          <w:szCs w:val="24"/>
          <w:lang w:val="en-US"/>
        </w:rPr>
        <w:t xml:space="preserve">Results are presented as regression coefficient (95% confidence interval) for a standard deviation increment in FPAP score.*Model 1: adjusted for age, sex and Rotterdam Study cohort. </w:t>
      </w:r>
      <w:r w:rsidRPr="002E25AD">
        <w:rPr>
          <w:rFonts w:ascii="Open Sans" w:eastAsia="Times New Roman" w:hAnsi="Open Sans" w:cs="Times New Roman"/>
          <w:sz w:val="24"/>
          <w:szCs w:val="24"/>
          <w:shd w:val="clear" w:color="auto" w:fill="FFFFFF"/>
          <w:lang w:val="en-GB" w:eastAsia="en-GB"/>
        </w:rPr>
        <w:t>†Model 2: model 1 + body mass index, hypertension, dyslipidaemia, highest level of education attained, physical activity and smoking status. ‡Model 3: model 2 + degree of adherence to dietary guidelines, total daily energy intake and daily alcohol intake.</w:t>
      </w:r>
    </w:p>
    <w:p w14:paraId="360F08C8" w14:textId="5F7A1343" w:rsidR="00885BA5" w:rsidRPr="002E25AD" w:rsidRDefault="00885BA5" w:rsidP="00361CD6">
      <w:pPr>
        <w:rPr>
          <w:rFonts w:ascii="Times New Roman" w:hAnsi="Times New Roman" w:cs="Times New Roman"/>
          <w:i/>
          <w:sz w:val="24"/>
          <w:szCs w:val="24"/>
          <w:shd w:val="clear" w:color="auto" w:fill="FFFFFF"/>
          <w:lang w:val="en-US"/>
        </w:rPr>
      </w:pPr>
    </w:p>
    <w:sectPr w:rsidR="00885BA5" w:rsidRPr="002E25AD" w:rsidSect="00B17D26">
      <w:footerReference w:type="default" r:id="rId10"/>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B62DF" w14:textId="77777777" w:rsidR="008F62BD" w:rsidRDefault="008F62BD" w:rsidP="00055480">
      <w:pPr>
        <w:spacing w:after="0" w:line="240" w:lineRule="auto"/>
      </w:pPr>
      <w:r>
        <w:separator/>
      </w:r>
    </w:p>
  </w:endnote>
  <w:endnote w:type="continuationSeparator" w:id="0">
    <w:p w14:paraId="5F20EC08" w14:textId="77777777" w:rsidR="008F62BD" w:rsidRDefault="008F62BD" w:rsidP="0005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661241"/>
      <w:docPartObj>
        <w:docPartGallery w:val="Page Numbers (Bottom of Page)"/>
        <w:docPartUnique/>
      </w:docPartObj>
    </w:sdtPr>
    <w:sdtEndPr>
      <w:rPr>
        <w:noProof/>
      </w:rPr>
    </w:sdtEndPr>
    <w:sdtContent>
      <w:p w14:paraId="3186FCE1" w14:textId="72E0B0D7" w:rsidR="0074058C" w:rsidRDefault="007405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8D23F0" w14:textId="77777777" w:rsidR="0074058C" w:rsidRDefault="00740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53A7F" w14:textId="77777777" w:rsidR="008F62BD" w:rsidRDefault="008F62BD" w:rsidP="00055480">
      <w:pPr>
        <w:spacing w:after="0" w:line="240" w:lineRule="auto"/>
      </w:pPr>
      <w:r>
        <w:separator/>
      </w:r>
    </w:p>
  </w:footnote>
  <w:footnote w:type="continuationSeparator" w:id="0">
    <w:p w14:paraId="22412BF2" w14:textId="77777777" w:rsidR="008F62BD" w:rsidRDefault="008F62BD" w:rsidP="00055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4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17648"/>
    <w:multiLevelType w:val="hybridMultilevel"/>
    <w:tmpl w:val="7F5435CC"/>
    <w:lvl w:ilvl="0" w:tplc="F6B879E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E2BB6"/>
    <w:multiLevelType w:val="hybridMultilevel"/>
    <w:tmpl w:val="5644DA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53C3980"/>
    <w:multiLevelType w:val="hybridMultilevel"/>
    <w:tmpl w:val="124AE53E"/>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282316"/>
    <w:multiLevelType w:val="hybridMultilevel"/>
    <w:tmpl w:val="BAF0011E"/>
    <w:lvl w:ilvl="0" w:tplc="E84ADDE8">
      <w:start w:val="9"/>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74940"/>
    <w:multiLevelType w:val="hybridMultilevel"/>
    <w:tmpl w:val="AE8CE3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F382C99"/>
    <w:multiLevelType w:val="hybridMultilevel"/>
    <w:tmpl w:val="6ABC1F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EED11FA"/>
    <w:multiLevelType w:val="hybridMultilevel"/>
    <w:tmpl w:val="F3EC48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0"/>
  <w:activeWritingStyle w:appName="MSWord" w:lang="nl-NL"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B2"/>
    <w:rsid w:val="000033FA"/>
    <w:rsid w:val="00004BF3"/>
    <w:rsid w:val="00006771"/>
    <w:rsid w:val="00012A7C"/>
    <w:rsid w:val="00017C17"/>
    <w:rsid w:val="0002031B"/>
    <w:rsid w:val="000208E1"/>
    <w:rsid w:val="00020AB4"/>
    <w:rsid w:val="00020E92"/>
    <w:rsid w:val="00020EA7"/>
    <w:rsid w:val="00021A0D"/>
    <w:rsid w:val="00022594"/>
    <w:rsid w:val="00025294"/>
    <w:rsid w:val="000257CE"/>
    <w:rsid w:val="000421F5"/>
    <w:rsid w:val="0004382B"/>
    <w:rsid w:val="000519C5"/>
    <w:rsid w:val="00055480"/>
    <w:rsid w:val="000575FB"/>
    <w:rsid w:val="0006001C"/>
    <w:rsid w:val="00061FBF"/>
    <w:rsid w:val="00064C5C"/>
    <w:rsid w:val="0007133A"/>
    <w:rsid w:val="00080574"/>
    <w:rsid w:val="00094108"/>
    <w:rsid w:val="00095938"/>
    <w:rsid w:val="000A06E0"/>
    <w:rsid w:val="000A2D34"/>
    <w:rsid w:val="000A75A5"/>
    <w:rsid w:val="000C31A1"/>
    <w:rsid w:val="000C34BD"/>
    <w:rsid w:val="000C3C87"/>
    <w:rsid w:val="000C4641"/>
    <w:rsid w:val="000D5AE6"/>
    <w:rsid w:val="000D62EC"/>
    <w:rsid w:val="000E0C10"/>
    <w:rsid w:val="000F2F73"/>
    <w:rsid w:val="000F5EE0"/>
    <w:rsid w:val="00101222"/>
    <w:rsid w:val="00102D4B"/>
    <w:rsid w:val="00105984"/>
    <w:rsid w:val="001129F1"/>
    <w:rsid w:val="00114CFF"/>
    <w:rsid w:val="001154F4"/>
    <w:rsid w:val="00121F8E"/>
    <w:rsid w:val="001220B2"/>
    <w:rsid w:val="001313C7"/>
    <w:rsid w:val="00134A57"/>
    <w:rsid w:val="0013528C"/>
    <w:rsid w:val="00142382"/>
    <w:rsid w:val="00146EC3"/>
    <w:rsid w:val="00146F88"/>
    <w:rsid w:val="00147EB2"/>
    <w:rsid w:val="001577E9"/>
    <w:rsid w:val="00173DC6"/>
    <w:rsid w:val="001741DE"/>
    <w:rsid w:val="00184098"/>
    <w:rsid w:val="001858F1"/>
    <w:rsid w:val="001900C1"/>
    <w:rsid w:val="0019685A"/>
    <w:rsid w:val="001973B3"/>
    <w:rsid w:val="001B0A26"/>
    <w:rsid w:val="001B5E70"/>
    <w:rsid w:val="001B6381"/>
    <w:rsid w:val="001D028E"/>
    <w:rsid w:val="001E20D2"/>
    <w:rsid w:val="001E6680"/>
    <w:rsid w:val="001E7489"/>
    <w:rsid w:val="001E7699"/>
    <w:rsid w:val="001F0F4F"/>
    <w:rsid w:val="001F1824"/>
    <w:rsid w:val="002023E0"/>
    <w:rsid w:val="00203F71"/>
    <w:rsid w:val="002071C6"/>
    <w:rsid w:val="00214687"/>
    <w:rsid w:val="00225612"/>
    <w:rsid w:val="00226C67"/>
    <w:rsid w:val="00233481"/>
    <w:rsid w:val="002538BF"/>
    <w:rsid w:val="00266304"/>
    <w:rsid w:val="00267C6D"/>
    <w:rsid w:val="00267DC6"/>
    <w:rsid w:val="00270CD1"/>
    <w:rsid w:val="00271393"/>
    <w:rsid w:val="00272425"/>
    <w:rsid w:val="00272E06"/>
    <w:rsid w:val="00272FE8"/>
    <w:rsid w:val="00274006"/>
    <w:rsid w:val="002746C1"/>
    <w:rsid w:val="0027506D"/>
    <w:rsid w:val="0027545C"/>
    <w:rsid w:val="00285DD9"/>
    <w:rsid w:val="0029210A"/>
    <w:rsid w:val="00296CCA"/>
    <w:rsid w:val="002A3A6B"/>
    <w:rsid w:val="002A78E0"/>
    <w:rsid w:val="002B602C"/>
    <w:rsid w:val="002B6286"/>
    <w:rsid w:val="002D3897"/>
    <w:rsid w:val="002D494C"/>
    <w:rsid w:val="002D4C8F"/>
    <w:rsid w:val="002E25AD"/>
    <w:rsid w:val="002E42F1"/>
    <w:rsid w:val="002F04AE"/>
    <w:rsid w:val="002F0C8D"/>
    <w:rsid w:val="002F105D"/>
    <w:rsid w:val="002F3655"/>
    <w:rsid w:val="002F40D6"/>
    <w:rsid w:val="00331903"/>
    <w:rsid w:val="00332DCE"/>
    <w:rsid w:val="00337DF4"/>
    <w:rsid w:val="00342C7B"/>
    <w:rsid w:val="003520D9"/>
    <w:rsid w:val="003525D8"/>
    <w:rsid w:val="00361CD6"/>
    <w:rsid w:val="003739B5"/>
    <w:rsid w:val="003777E5"/>
    <w:rsid w:val="00382D38"/>
    <w:rsid w:val="00393C91"/>
    <w:rsid w:val="003A2DE5"/>
    <w:rsid w:val="003A43FF"/>
    <w:rsid w:val="003A5F65"/>
    <w:rsid w:val="003B15D9"/>
    <w:rsid w:val="003B2805"/>
    <w:rsid w:val="003B4CA8"/>
    <w:rsid w:val="003B62D0"/>
    <w:rsid w:val="003B660B"/>
    <w:rsid w:val="003B7F6C"/>
    <w:rsid w:val="003C0701"/>
    <w:rsid w:val="003C09B3"/>
    <w:rsid w:val="003C09F2"/>
    <w:rsid w:val="003D3122"/>
    <w:rsid w:val="003D4725"/>
    <w:rsid w:val="003E066E"/>
    <w:rsid w:val="003E1814"/>
    <w:rsid w:val="003E36E3"/>
    <w:rsid w:val="003E7CE1"/>
    <w:rsid w:val="003F10BB"/>
    <w:rsid w:val="003F645A"/>
    <w:rsid w:val="0040125F"/>
    <w:rsid w:val="00405D77"/>
    <w:rsid w:val="00413BB3"/>
    <w:rsid w:val="00415F5B"/>
    <w:rsid w:val="00427ECD"/>
    <w:rsid w:val="00434ED5"/>
    <w:rsid w:val="00437A34"/>
    <w:rsid w:val="00440BB7"/>
    <w:rsid w:val="004433E7"/>
    <w:rsid w:val="00447DAD"/>
    <w:rsid w:val="00451A39"/>
    <w:rsid w:val="00452691"/>
    <w:rsid w:val="00471F76"/>
    <w:rsid w:val="00476971"/>
    <w:rsid w:val="0048264F"/>
    <w:rsid w:val="00490DAF"/>
    <w:rsid w:val="00494C35"/>
    <w:rsid w:val="004A0386"/>
    <w:rsid w:val="004A2B54"/>
    <w:rsid w:val="004A3F1F"/>
    <w:rsid w:val="004A48E1"/>
    <w:rsid w:val="004A54E1"/>
    <w:rsid w:val="004B4980"/>
    <w:rsid w:val="004B7EC8"/>
    <w:rsid w:val="004C15BD"/>
    <w:rsid w:val="004C3309"/>
    <w:rsid w:val="004D0547"/>
    <w:rsid w:val="004D73D3"/>
    <w:rsid w:val="004E0735"/>
    <w:rsid w:val="004E414E"/>
    <w:rsid w:val="004E71A4"/>
    <w:rsid w:val="004F2804"/>
    <w:rsid w:val="004F5D15"/>
    <w:rsid w:val="00503212"/>
    <w:rsid w:val="00503AE0"/>
    <w:rsid w:val="00511424"/>
    <w:rsid w:val="00512E24"/>
    <w:rsid w:val="005137AE"/>
    <w:rsid w:val="0052292D"/>
    <w:rsid w:val="005242B7"/>
    <w:rsid w:val="00526FE1"/>
    <w:rsid w:val="00527711"/>
    <w:rsid w:val="00530348"/>
    <w:rsid w:val="005303E0"/>
    <w:rsid w:val="00546800"/>
    <w:rsid w:val="00555A9E"/>
    <w:rsid w:val="005608C7"/>
    <w:rsid w:val="00563B3F"/>
    <w:rsid w:val="00564A9C"/>
    <w:rsid w:val="00580F61"/>
    <w:rsid w:val="00583A27"/>
    <w:rsid w:val="0059191C"/>
    <w:rsid w:val="00595B30"/>
    <w:rsid w:val="005A598D"/>
    <w:rsid w:val="005B37D9"/>
    <w:rsid w:val="005B68BC"/>
    <w:rsid w:val="005B6C71"/>
    <w:rsid w:val="005D63C6"/>
    <w:rsid w:val="005E0E13"/>
    <w:rsid w:val="005E538D"/>
    <w:rsid w:val="005F0E1D"/>
    <w:rsid w:val="005F1D89"/>
    <w:rsid w:val="006031E5"/>
    <w:rsid w:val="00605E36"/>
    <w:rsid w:val="00606706"/>
    <w:rsid w:val="00617C36"/>
    <w:rsid w:val="006347BF"/>
    <w:rsid w:val="00635129"/>
    <w:rsid w:val="00636D97"/>
    <w:rsid w:val="00642D82"/>
    <w:rsid w:val="00643859"/>
    <w:rsid w:val="006444D3"/>
    <w:rsid w:val="00645D1C"/>
    <w:rsid w:val="00646401"/>
    <w:rsid w:val="006469B0"/>
    <w:rsid w:val="0064752E"/>
    <w:rsid w:val="006500DA"/>
    <w:rsid w:val="00651E42"/>
    <w:rsid w:val="00652C32"/>
    <w:rsid w:val="0065556F"/>
    <w:rsid w:val="006617F3"/>
    <w:rsid w:val="006624A8"/>
    <w:rsid w:val="00667E29"/>
    <w:rsid w:val="006708CF"/>
    <w:rsid w:val="00682A9B"/>
    <w:rsid w:val="00683511"/>
    <w:rsid w:val="00684719"/>
    <w:rsid w:val="00684B3D"/>
    <w:rsid w:val="006851F1"/>
    <w:rsid w:val="006903AF"/>
    <w:rsid w:val="00691C9A"/>
    <w:rsid w:val="006932F8"/>
    <w:rsid w:val="00693803"/>
    <w:rsid w:val="00697FD8"/>
    <w:rsid w:val="006A256E"/>
    <w:rsid w:val="006A6F5D"/>
    <w:rsid w:val="006B32F6"/>
    <w:rsid w:val="006B39DB"/>
    <w:rsid w:val="006B7E03"/>
    <w:rsid w:val="006C1615"/>
    <w:rsid w:val="006C286A"/>
    <w:rsid w:val="006C4BE3"/>
    <w:rsid w:val="006E1050"/>
    <w:rsid w:val="006E78BF"/>
    <w:rsid w:val="006E7E48"/>
    <w:rsid w:val="006F6938"/>
    <w:rsid w:val="006F6EF2"/>
    <w:rsid w:val="0071009B"/>
    <w:rsid w:val="00710474"/>
    <w:rsid w:val="00713770"/>
    <w:rsid w:val="007141B6"/>
    <w:rsid w:val="00721D02"/>
    <w:rsid w:val="00722CDF"/>
    <w:rsid w:val="00722FAB"/>
    <w:rsid w:val="0073251D"/>
    <w:rsid w:val="00735453"/>
    <w:rsid w:val="0074058C"/>
    <w:rsid w:val="00742C8A"/>
    <w:rsid w:val="00752D48"/>
    <w:rsid w:val="00753A07"/>
    <w:rsid w:val="00762951"/>
    <w:rsid w:val="007737A7"/>
    <w:rsid w:val="00776747"/>
    <w:rsid w:val="00791055"/>
    <w:rsid w:val="00792D23"/>
    <w:rsid w:val="00792DA9"/>
    <w:rsid w:val="007935E4"/>
    <w:rsid w:val="0079642D"/>
    <w:rsid w:val="007A54F8"/>
    <w:rsid w:val="007A55B0"/>
    <w:rsid w:val="007B2381"/>
    <w:rsid w:val="007B5B04"/>
    <w:rsid w:val="007D3B89"/>
    <w:rsid w:val="007E0C84"/>
    <w:rsid w:val="007E5545"/>
    <w:rsid w:val="007F4688"/>
    <w:rsid w:val="0080302F"/>
    <w:rsid w:val="00813F5F"/>
    <w:rsid w:val="0081528B"/>
    <w:rsid w:val="00825FB8"/>
    <w:rsid w:val="0082785E"/>
    <w:rsid w:val="008320D5"/>
    <w:rsid w:val="00833549"/>
    <w:rsid w:val="008347FA"/>
    <w:rsid w:val="008478F3"/>
    <w:rsid w:val="008614DA"/>
    <w:rsid w:val="0086253E"/>
    <w:rsid w:val="0086300D"/>
    <w:rsid w:val="008669D6"/>
    <w:rsid w:val="008770A5"/>
    <w:rsid w:val="0088004C"/>
    <w:rsid w:val="00884D52"/>
    <w:rsid w:val="00885BA5"/>
    <w:rsid w:val="0088671E"/>
    <w:rsid w:val="008A6E55"/>
    <w:rsid w:val="008B17DD"/>
    <w:rsid w:val="008B4EC6"/>
    <w:rsid w:val="008B5315"/>
    <w:rsid w:val="008C3DBF"/>
    <w:rsid w:val="008C7375"/>
    <w:rsid w:val="008E63B0"/>
    <w:rsid w:val="008E7BB3"/>
    <w:rsid w:val="008F0906"/>
    <w:rsid w:val="008F62BD"/>
    <w:rsid w:val="008F6915"/>
    <w:rsid w:val="00905612"/>
    <w:rsid w:val="009145DB"/>
    <w:rsid w:val="00917832"/>
    <w:rsid w:val="0092147E"/>
    <w:rsid w:val="009256D5"/>
    <w:rsid w:val="00926441"/>
    <w:rsid w:val="00940F04"/>
    <w:rsid w:val="00943ADA"/>
    <w:rsid w:val="00943E17"/>
    <w:rsid w:val="009524DD"/>
    <w:rsid w:val="00956B53"/>
    <w:rsid w:val="00963F53"/>
    <w:rsid w:val="00965C4C"/>
    <w:rsid w:val="00966456"/>
    <w:rsid w:val="00970A3A"/>
    <w:rsid w:val="0097570B"/>
    <w:rsid w:val="00980ABF"/>
    <w:rsid w:val="00983D61"/>
    <w:rsid w:val="00991C1F"/>
    <w:rsid w:val="00994625"/>
    <w:rsid w:val="009A0E11"/>
    <w:rsid w:val="009B53DE"/>
    <w:rsid w:val="009B58E2"/>
    <w:rsid w:val="009C5F9A"/>
    <w:rsid w:val="009C66B8"/>
    <w:rsid w:val="009D4A00"/>
    <w:rsid w:val="009E1DBD"/>
    <w:rsid w:val="009E5AC7"/>
    <w:rsid w:val="009E6D43"/>
    <w:rsid w:val="009E6F98"/>
    <w:rsid w:val="009F64D7"/>
    <w:rsid w:val="009F657D"/>
    <w:rsid w:val="00A0561F"/>
    <w:rsid w:val="00A2372E"/>
    <w:rsid w:val="00A33650"/>
    <w:rsid w:val="00A33A25"/>
    <w:rsid w:val="00A34546"/>
    <w:rsid w:val="00A3674D"/>
    <w:rsid w:val="00A52CFE"/>
    <w:rsid w:val="00A56F0C"/>
    <w:rsid w:val="00A57EFC"/>
    <w:rsid w:val="00A611B0"/>
    <w:rsid w:val="00A62D18"/>
    <w:rsid w:val="00A64799"/>
    <w:rsid w:val="00A65C25"/>
    <w:rsid w:val="00A67442"/>
    <w:rsid w:val="00A71A6D"/>
    <w:rsid w:val="00A81008"/>
    <w:rsid w:val="00A82D36"/>
    <w:rsid w:val="00A84568"/>
    <w:rsid w:val="00A9188E"/>
    <w:rsid w:val="00A920BD"/>
    <w:rsid w:val="00A94E83"/>
    <w:rsid w:val="00AA0E05"/>
    <w:rsid w:val="00AA3B01"/>
    <w:rsid w:val="00AB1777"/>
    <w:rsid w:val="00AB1CDE"/>
    <w:rsid w:val="00AB3C0E"/>
    <w:rsid w:val="00AD443C"/>
    <w:rsid w:val="00AD697E"/>
    <w:rsid w:val="00AD77FC"/>
    <w:rsid w:val="00AD7F81"/>
    <w:rsid w:val="00AE28BC"/>
    <w:rsid w:val="00AF100B"/>
    <w:rsid w:val="00B03623"/>
    <w:rsid w:val="00B05D4D"/>
    <w:rsid w:val="00B07441"/>
    <w:rsid w:val="00B11DF6"/>
    <w:rsid w:val="00B17D26"/>
    <w:rsid w:val="00B24438"/>
    <w:rsid w:val="00B33218"/>
    <w:rsid w:val="00B3779B"/>
    <w:rsid w:val="00B37B06"/>
    <w:rsid w:val="00B41E02"/>
    <w:rsid w:val="00B45E9E"/>
    <w:rsid w:val="00B45F7F"/>
    <w:rsid w:val="00B51219"/>
    <w:rsid w:val="00B57811"/>
    <w:rsid w:val="00B579FA"/>
    <w:rsid w:val="00B57ACC"/>
    <w:rsid w:val="00B83E75"/>
    <w:rsid w:val="00B8405D"/>
    <w:rsid w:val="00B85914"/>
    <w:rsid w:val="00B87524"/>
    <w:rsid w:val="00B91060"/>
    <w:rsid w:val="00B967B7"/>
    <w:rsid w:val="00BA00A0"/>
    <w:rsid w:val="00BA7E3E"/>
    <w:rsid w:val="00BB0676"/>
    <w:rsid w:val="00BD12DF"/>
    <w:rsid w:val="00BD1DB8"/>
    <w:rsid w:val="00BD2968"/>
    <w:rsid w:val="00BE15E3"/>
    <w:rsid w:val="00BF00CF"/>
    <w:rsid w:val="00BF2D80"/>
    <w:rsid w:val="00BF2EB1"/>
    <w:rsid w:val="00C018A9"/>
    <w:rsid w:val="00C02CF6"/>
    <w:rsid w:val="00C11246"/>
    <w:rsid w:val="00C117CF"/>
    <w:rsid w:val="00C13122"/>
    <w:rsid w:val="00C15884"/>
    <w:rsid w:val="00C16413"/>
    <w:rsid w:val="00C203E3"/>
    <w:rsid w:val="00C2634F"/>
    <w:rsid w:val="00C27247"/>
    <w:rsid w:val="00C27DDD"/>
    <w:rsid w:val="00C370D3"/>
    <w:rsid w:val="00C405F7"/>
    <w:rsid w:val="00C412E5"/>
    <w:rsid w:val="00C6469E"/>
    <w:rsid w:val="00C70B25"/>
    <w:rsid w:val="00C72298"/>
    <w:rsid w:val="00C727C3"/>
    <w:rsid w:val="00C755FC"/>
    <w:rsid w:val="00C75AD3"/>
    <w:rsid w:val="00C7776A"/>
    <w:rsid w:val="00C9079E"/>
    <w:rsid w:val="00C959E4"/>
    <w:rsid w:val="00C96F53"/>
    <w:rsid w:val="00CA23A9"/>
    <w:rsid w:val="00CA3200"/>
    <w:rsid w:val="00CA741F"/>
    <w:rsid w:val="00CB0AB1"/>
    <w:rsid w:val="00CB797F"/>
    <w:rsid w:val="00CC6A5A"/>
    <w:rsid w:val="00CC7419"/>
    <w:rsid w:val="00CD748D"/>
    <w:rsid w:val="00CE0171"/>
    <w:rsid w:val="00CE06C6"/>
    <w:rsid w:val="00CE0CB1"/>
    <w:rsid w:val="00CE26F9"/>
    <w:rsid w:val="00CE33AD"/>
    <w:rsid w:val="00CE44AC"/>
    <w:rsid w:val="00CF490A"/>
    <w:rsid w:val="00D024E2"/>
    <w:rsid w:val="00D03AF3"/>
    <w:rsid w:val="00D04846"/>
    <w:rsid w:val="00D1550D"/>
    <w:rsid w:val="00D17054"/>
    <w:rsid w:val="00D17571"/>
    <w:rsid w:val="00D20AD1"/>
    <w:rsid w:val="00D2221D"/>
    <w:rsid w:val="00D2361D"/>
    <w:rsid w:val="00D26B05"/>
    <w:rsid w:val="00D37D81"/>
    <w:rsid w:val="00D61D82"/>
    <w:rsid w:val="00D674A9"/>
    <w:rsid w:val="00D75AD2"/>
    <w:rsid w:val="00D77198"/>
    <w:rsid w:val="00D83325"/>
    <w:rsid w:val="00D95769"/>
    <w:rsid w:val="00D95A4D"/>
    <w:rsid w:val="00DB3D68"/>
    <w:rsid w:val="00DB47CE"/>
    <w:rsid w:val="00DB4B5E"/>
    <w:rsid w:val="00DB74D4"/>
    <w:rsid w:val="00DC292E"/>
    <w:rsid w:val="00DC499A"/>
    <w:rsid w:val="00DE1058"/>
    <w:rsid w:val="00DE6320"/>
    <w:rsid w:val="00DF2C7F"/>
    <w:rsid w:val="00DF3E7F"/>
    <w:rsid w:val="00DF6AD5"/>
    <w:rsid w:val="00DF7BD1"/>
    <w:rsid w:val="00E1082D"/>
    <w:rsid w:val="00E13DD8"/>
    <w:rsid w:val="00E1550C"/>
    <w:rsid w:val="00E164AD"/>
    <w:rsid w:val="00E222CC"/>
    <w:rsid w:val="00E24C0D"/>
    <w:rsid w:val="00E2567D"/>
    <w:rsid w:val="00E26049"/>
    <w:rsid w:val="00E26402"/>
    <w:rsid w:val="00E26674"/>
    <w:rsid w:val="00E31D5C"/>
    <w:rsid w:val="00E4500B"/>
    <w:rsid w:val="00E46132"/>
    <w:rsid w:val="00E47F35"/>
    <w:rsid w:val="00E5002D"/>
    <w:rsid w:val="00E5035C"/>
    <w:rsid w:val="00E51C55"/>
    <w:rsid w:val="00E613D9"/>
    <w:rsid w:val="00E66853"/>
    <w:rsid w:val="00E70468"/>
    <w:rsid w:val="00E75381"/>
    <w:rsid w:val="00E77B37"/>
    <w:rsid w:val="00E921B4"/>
    <w:rsid w:val="00E9729B"/>
    <w:rsid w:val="00EA5D10"/>
    <w:rsid w:val="00EB1D84"/>
    <w:rsid w:val="00EB4D99"/>
    <w:rsid w:val="00EB79DB"/>
    <w:rsid w:val="00EC2CBC"/>
    <w:rsid w:val="00EE26C5"/>
    <w:rsid w:val="00F01F9F"/>
    <w:rsid w:val="00F065A2"/>
    <w:rsid w:val="00F10116"/>
    <w:rsid w:val="00F10133"/>
    <w:rsid w:val="00F13006"/>
    <w:rsid w:val="00F16E5D"/>
    <w:rsid w:val="00F24E02"/>
    <w:rsid w:val="00F269A6"/>
    <w:rsid w:val="00F426B1"/>
    <w:rsid w:val="00F45133"/>
    <w:rsid w:val="00F52639"/>
    <w:rsid w:val="00F52910"/>
    <w:rsid w:val="00F6524A"/>
    <w:rsid w:val="00F74355"/>
    <w:rsid w:val="00F80456"/>
    <w:rsid w:val="00F97941"/>
    <w:rsid w:val="00FA2710"/>
    <w:rsid w:val="00FB10D2"/>
    <w:rsid w:val="00FB1226"/>
    <w:rsid w:val="00FB24D0"/>
    <w:rsid w:val="00FB3D39"/>
    <w:rsid w:val="00FB4EAB"/>
    <w:rsid w:val="00FC350C"/>
    <w:rsid w:val="00FC42C8"/>
    <w:rsid w:val="00FC739E"/>
    <w:rsid w:val="00FD3F4C"/>
    <w:rsid w:val="00FD4229"/>
    <w:rsid w:val="00FE0CD7"/>
    <w:rsid w:val="00FE0FBE"/>
    <w:rsid w:val="00FE205C"/>
    <w:rsid w:val="00FF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39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220B2"/>
  </w:style>
  <w:style w:type="paragraph" w:styleId="Heading3">
    <w:name w:val="heading 3"/>
    <w:basedOn w:val="Normal"/>
    <w:link w:val="Heading3Char"/>
    <w:uiPriority w:val="9"/>
    <w:qFormat/>
    <w:rsid w:val="004C15B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2A78E0"/>
    <w:pPr>
      <w:tabs>
        <w:tab w:val="left" w:pos="384"/>
      </w:tabs>
      <w:spacing w:after="240" w:line="240" w:lineRule="auto"/>
      <w:ind w:left="384" w:hanging="384"/>
    </w:pPr>
  </w:style>
  <w:style w:type="character" w:styleId="Hyperlink">
    <w:name w:val="Hyperlink"/>
    <w:basedOn w:val="DefaultParagraphFont"/>
    <w:uiPriority w:val="99"/>
    <w:unhideWhenUsed/>
    <w:rsid w:val="00080574"/>
    <w:rPr>
      <w:color w:val="0000FF"/>
      <w:u w:val="single"/>
    </w:rPr>
  </w:style>
  <w:style w:type="character" w:styleId="CommentReference">
    <w:name w:val="annotation reference"/>
    <w:basedOn w:val="DefaultParagraphFont"/>
    <w:uiPriority w:val="99"/>
    <w:semiHidden/>
    <w:unhideWhenUsed/>
    <w:rsid w:val="00643859"/>
    <w:rPr>
      <w:sz w:val="18"/>
      <w:szCs w:val="18"/>
    </w:rPr>
  </w:style>
  <w:style w:type="paragraph" w:styleId="CommentText">
    <w:name w:val="annotation text"/>
    <w:basedOn w:val="Normal"/>
    <w:link w:val="CommentTextChar"/>
    <w:uiPriority w:val="99"/>
    <w:semiHidden/>
    <w:unhideWhenUsed/>
    <w:rsid w:val="00643859"/>
    <w:pPr>
      <w:spacing w:after="0" w:line="240" w:lineRule="auto"/>
    </w:pPr>
    <w:rPr>
      <w:sz w:val="24"/>
      <w:szCs w:val="24"/>
    </w:rPr>
  </w:style>
  <w:style w:type="character" w:customStyle="1" w:styleId="CommentTextChar">
    <w:name w:val="Comment Text Char"/>
    <w:basedOn w:val="DefaultParagraphFont"/>
    <w:link w:val="CommentText"/>
    <w:uiPriority w:val="99"/>
    <w:semiHidden/>
    <w:rsid w:val="00643859"/>
    <w:rPr>
      <w:sz w:val="24"/>
      <w:szCs w:val="24"/>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hAnsi="Tahoma" w:cs="Tahoma"/>
      <w:sz w:val="16"/>
      <w:szCs w:val="16"/>
    </w:rPr>
  </w:style>
  <w:style w:type="character" w:customStyle="1" w:styleId="Heading3Char">
    <w:name w:val="Heading 3 Char"/>
    <w:basedOn w:val="DefaultParagraphFont"/>
    <w:link w:val="Heading3"/>
    <w:uiPriority w:val="9"/>
    <w:rsid w:val="004C15BD"/>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4C15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27506D"/>
    <w:pPr>
      <w:spacing w:after="0" w:line="240" w:lineRule="auto"/>
    </w:pPr>
  </w:style>
  <w:style w:type="table" w:styleId="TableGrid">
    <w:name w:val="Table Grid"/>
    <w:basedOn w:val="TableNormal"/>
    <w:uiPriority w:val="59"/>
    <w:rsid w:val="00FB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133"/>
    <w:pPr>
      <w:ind w:left="720"/>
      <w:contextualSpacing/>
    </w:pPr>
  </w:style>
  <w:style w:type="paragraph" w:styleId="Caption">
    <w:name w:val="caption"/>
    <w:basedOn w:val="Normal"/>
    <w:next w:val="Normal"/>
    <w:uiPriority w:val="35"/>
    <w:unhideWhenUsed/>
    <w:qFormat/>
    <w:rsid w:val="003F10BB"/>
    <w:pPr>
      <w:spacing w:line="240" w:lineRule="auto"/>
    </w:pPr>
    <w:rPr>
      <w:i/>
      <w:iCs/>
      <w:color w:val="1F497D" w:themeColor="text2"/>
      <w:sz w:val="18"/>
      <w:szCs w:val="18"/>
    </w:rPr>
  </w:style>
  <w:style w:type="paragraph" w:styleId="Header">
    <w:name w:val="header"/>
    <w:basedOn w:val="Normal"/>
    <w:link w:val="HeaderChar"/>
    <w:uiPriority w:val="99"/>
    <w:unhideWhenUsed/>
    <w:rsid w:val="00055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80"/>
  </w:style>
  <w:style w:type="paragraph" w:styleId="Footer">
    <w:name w:val="footer"/>
    <w:basedOn w:val="Normal"/>
    <w:link w:val="FooterChar"/>
    <w:uiPriority w:val="99"/>
    <w:unhideWhenUsed/>
    <w:rsid w:val="00055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80"/>
  </w:style>
  <w:style w:type="character" w:styleId="LineNumber">
    <w:name w:val="line number"/>
    <w:basedOn w:val="DefaultParagraphFont"/>
    <w:uiPriority w:val="99"/>
    <w:semiHidden/>
    <w:unhideWhenUsed/>
    <w:rsid w:val="00B17D26"/>
  </w:style>
  <w:style w:type="paragraph" w:styleId="CommentSubject">
    <w:name w:val="annotation subject"/>
    <w:basedOn w:val="CommentText"/>
    <w:next w:val="CommentText"/>
    <w:link w:val="CommentSubjectChar"/>
    <w:uiPriority w:val="99"/>
    <w:semiHidden/>
    <w:unhideWhenUsed/>
    <w:rsid w:val="005137AE"/>
    <w:pPr>
      <w:spacing w:after="200"/>
    </w:pPr>
    <w:rPr>
      <w:b/>
      <w:bCs/>
      <w:sz w:val="20"/>
      <w:szCs w:val="20"/>
    </w:rPr>
  </w:style>
  <w:style w:type="character" w:customStyle="1" w:styleId="CommentSubjectChar">
    <w:name w:val="Comment Subject Char"/>
    <w:basedOn w:val="CommentTextChar"/>
    <w:link w:val="CommentSubject"/>
    <w:uiPriority w:val="99"/>
    <w:semiHidden/>
    <w:rsid w:val="005137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37322">
      <w:bodyDiv w:val="1"/>
      <w:marLeft w:val="0"/>
      <w:marRight w:val="0"/>
      <w:marTop w:val="0"/>
      <w:marBottom w:val="0"/>
      <w:divBdr>
        <w:top w:val="none" w:sz="0" w:space="0" w:color="auto"/>
        <w:left w:val="none" w:sz="0" w:space="0" w:color="auto"/>
        <w:bottom w:val="none" w:sz="0" w:space="0" w:color="auto"/>
        <w:right w:val="none" w:sz="0" w:space="0" w:color="auto"/>
      </w:divBdr>
    </w:div>
    <w:div w:id="525607154">
      <w:bodyDiv w:val="1"/>
      <w:marLeft w:val="0"/>
      <w:marRight w:val="0"/>
      <w:marTop w:val="0"/>
      <w:marBottom w:val="0"/>
      <w:divBdr>
        <w:top w:val="none" w:sz="0" w:space="0" w:color="auto"/>
        <w:left w:val="none" w:sz="0" w:space="0" w:color="auto"/>
        <w:bottom w:val="none" w:sz="0" w:space="0" w:color="auto"/>
        <w:right w:val="none" w:sz="0" w:space="0" w:color="auto"/>
      </w:divBdr>
    </w:div>
    <w:div w:id="637566766">
      <w:bodyDiv w:val="1"/>
      <w:marLeft w:val="0"/>
      <w:marRight w:val="0"/>
      <w:marTop w:val="0"/>
      <w:marBottom w:val="0"/>
      <w:divBdr>
        <w:top w:val="none" w:sz="0" w:space="0" w:color="auto"/>
        <w:left w:val="none" w:sz="0" w:space="0" w:color="auto"/>
        <w:bottom w:val="none" w:sz="0" w:space="0" w:color="auto"/>
        <w:right w:val="none" w:sz="0" w:space="0" w:color="auto"/>
      </w:divBdr>
    </w:div>
    <w:div w:id="767240255">
      <w:bodyDiv w:val="1"/>
      <w:marLeft w:val="0"/>
      <w:marRight w:val="0"/>
      <w:marTop w:val="0"/>
      <w:marBottom w:val="0"/>
      <w:divBdr>
        <w:top w:val="none" w:sz="0" w:space="0" w:color="auto"/>
        <w:left w:val="none" w:sz="0" w:space="0" w:color="auto"/>
        <w:bottom w:val="none" w:sz="0" w:space="0" w:color="auto"/>
        <w:right w:val="none" w:sz="0" w:space="0" w:color="auto"/>
      </w:divBdr>
    </w:div>
    <w:div w:id="791172724">
      <w:bodyDiv w:val="1"/>
      <w:marLeft w:val="0"/>
      <w:marRight w:val="0"/>
      <w:marTop w:val="0"/>
      <w:marBottom w:val="0"/>
      <w:divBdr>
        <w:top w:val="none" w:sz="0" w:space="0" w:color="auto"/>
        <w:left w:val="none" w:sz="0" w:space="0" w:color="auto"/>
        <w:bottom w:val="none" w:sz="0" w:space="0" w:color="auto"/>
        <w:right w:val="none" w:sz="0" w:space="0" w:color="auto"/>
      </w:divBdr>
      <w:divsChild>
        <w:div w:id="1671178194">
          <w:marLeft w:val="0"/>
          <w:marRight w:val="0"/>
          <w:marTop w:val="0"/>
          <w:marBottom w:val="0"/>
          <w:divBdr>
            <w:top w:val="none" w:sz="0" w:space="0" w:color="auto"/>
            <w:left w:val="none" w:sz="0" w:space="0" w:color="auto"/>
            <w:bottom w:val="none" w:sz="0" w:space="0" w:color="auto"/>
            <w:right w:val="none" w:sz="0" w:space="0" w:color="auto"/>
          </w:divBdr>
          <w:divsChild>
            <w:div w:id="1398014915">
              <w:marLeft w:val="0"/>
              <w:marRight w:val="0"/>
              <w:marTop w:val="0"/>
              <w:marBottom w:val="0"/>
              <w:divBdr>
                <w:top w:val="none" w:sz="0" w:space="0" w:color="auto"/>
                <w:left w:val="none" w:sz="0" w:space="0" w:color="auto"/>
                <w:bottom w:val="none" w:sz="0" w:space="0" w:color="auto"/>
                <w:right w:val="none" w:sz="0" w:space="0" w:color="auto"/>
              </w:divBdr>
              <w:divsChild>
                <w:div w:id="10905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86780">
      <w:bodyDiv w:val="1"/>
      <w:marLeft w:val="0"/>
      <w:marRight w:val="0"/>
      <w:marTop w:val="0"/>
      <w:marBottom w:val="0"/>
      <w:divBdr>
        <w:top w:val="none" w:sz="0" w:space="0" w:color="auto"/>
        <w:left w:val="none" w:sz="0" w:space="0" w:color="auto"/>
        <w:bottom w:val="none" w:sz="0" w:space="0" w:color="auto"/>
        <w:right w:val="none" w:sz="0" w:space="0" w:color="auto"/>
      </w:divBdr>
    </w:div>
    <w:div w:id="885146986">
      <w:bodyDiv w:val="1"/>
      <w:marLeft w:val="0"/>
      <w:marRight w:val="0"/>
      <w:marTop w:val="0"/>
      <w:marBottom w:val="0"/>
      <w:divBdr>
        <w:top w:val="none" w:sz="0" w:space="0" w:color="auto"/>
        <w:left w:val="none" w:sz="0" w:space="0" w:color="auto"/>
        <w:bottom w:val="none" w:sz="0" w:space="0" w:color="auto"/>
        <w:right w:val="none" w:sz="0" w:space="0" w:color="auto"/>
      </w:divBdr>
    </w:div>
    <w:div w:id="1167860452">
      <w:bodyDiv w:val="1"/>
      <w:marLeft w:val="0"/>
      <w:marRight w:val="0"/>
      <w:marTop w:val="0"/>
      <w:marBottom w:val="0"/>
      <w:divBdr>
        <w:top w:val="none" w:sz="0" w:space="0" w:color="auto"/>
        <w:left w:val="none" w:sz="0" w:space="0" w:color="auto"/>
        <w:bottom w:val="none" w:sz="0" w:space="0" w:color="auto"/>
        <w:right w:val="none" w:sz="0" w:space="0" w:color="auto"/>
      </w:divBdr>
    </w:div>
    <w:div w:id="1396661324">
      <w:bodyDiv w:val="1"/>
      <w:marLeft w:val="0"/>
      <w:marRight w:val="0"/>
      <w:marTop w:val="0"/>
      <w:marBottom w:val="0"/>
      <w:divBdr>
        <w:top w:val="none" w:sz="0" w:space="0" w:color="auto"/>
        <w:left w:val="none" w:sz="0" w:space="0" w:color="auto"/>
        <w:bottom w:val="none" w:sz="0" w:space="0" w:color="auto"/>
        <w:right w:val="none" w:sz="0" w:space="0" w:color="auto"/>
      </w:divBdr>
    </w:div>
    <w:div w:id="1398893599">
      <w:bodyDiv w:val="1"/>
      <w:marLeft w:val="0"/>
      <w:marRight w:val="0"/>
      <w:marTop w:val="0"/>
      <w:marBottom w:val="0"/>
      <w:divBdr>
        <w:top w:val="none" w:sz="0" w:space="0" w:color="auto"/>
        <w:left w:val="none" w:sz="0" w:space="0" w:color="auto"/>
        <w:bottom w:val="none" w:sz="0" w:space="0" w:color="auto"/>
        <w:right w:val="none" w:sz="0" w:space="0" w:color="auto"/>
      </w:divBdr>
    </w:div>
    <w:div w:id="1788547295">
      <w:bodyDiv w:val="1"/>
      <w:marLeft w:val="0"/>
      <w:marRight w:val="0"/>
      <w:marTop w:val="0"/>
      <w:marBottom w:val="0"/>
      <w:divBdr>
        <w:top w:val="none" w:sz="0" w:space="0" w:color="auto"/>
        <w:left w:val="none" w:sz="0" w:space="0" w:color="auto"/>
        <w:bottom w:val="none" w:sz="0" w:space="0" w:color="auto"/>
        <w:right w:val="none" w:sz="0" w:space="0" w:color="auto"/>
      </w:divBdr>
      <w:divsChild>
        <w:div w:id="492650160">
          <w:marLeft w:val="0"/>
          <w:marRight w:val="0"/>
          <w:marTop w:val="0"/>
          <w:marBottom w:val="0"/>
          <w:divBdr>
            <w:top w:val="none" w:sz="0" w:space="0" w:color="auto"/>
            <w:left w:val="none" w:sz="0" w:space="0" w:color="auto"/>
            <w:bottom w:val="none" w:sz="0" w:space="0" w:color="auto"/>
            <w:right w:val="none" w:sz="0" w:space="0" w:color="auto"/>
          </w:divBdr>
          <w:divsChild>
            <w:div w:id="1553299815">
              <w:marLeft w:val="195"/>
              <w:marRight w:val="0"/>
              <w:marTop w:val="0"/>
              <w:marBottom w:val="0"/>
              <w:divBdr>
                <w:top w:val="none" w:sz="0" w:space="0" w:color="auto"/>
                <w:left w:val="none" w:sz="0" w:space="0" w:color="auto"/>
                <w:bottom w:val="none" w:sz="0" w:space="0" w:color="auto"/>
                <w:right w:val="none" w:sz="0" w:space="0" w:color="auto"/>
              </w:divBdr>
            </w:div>
          </w:divsChild>
        </w:div>
        <w:div w:id="1934318374">
          <w:marLeft w:val="0"/>
          <w:marRight w:val="0"/>
          <w:marTop w:val="0"/>
          <w:marBottom w:val="0"/>
          <w:divBdr>
            <w:top w:val="none" w:sz="0" w:space="0" w:color="auto"/>
            <w:left w:val="none" w:sz="0" w:space="0" w:color="auto"/>
            <w:bottom w:val="none" w:sz="0" w:space="0" w:color="auto"/>
            <w:right w:val="none" w:sz="0" w:space="0" w:color="auto"/>
          </w:divBdr>
        </w:div>
      </w:divsChild>
    </w:div>
    <w:div w:id="1901821591">
      <w:bodyDiv w:val="1"/>
      <w:marLeft w:val="0"/>
      <w:marRight w:val="0"/>
      <w:marTop w:val="0"/>
      <w:marBottom w:val="0"/>
      <w:divBdr>
        <w:top w:val="none" w:sz="0" w:space="0" w:color="auto"/>
        <w:left w:val="none" w:sz="0" w:space="0" w:color="auto"/>
        <w:bottom w:val="none" w:sz="0" w:space="0" w:color="auto"/>
        <w:right w:val="none" w:sz="0" w:space="0" w:color="auto"/>
      </w:divBdr>
    </w:div>
    <w:div w:id="195868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dy.voortman@erasmusmc.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epi@erasmusmc.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EDC9F-B4D1-4A57-BE11-4405BDEF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29537</Words>
  <Characters>168363</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Company>Erasmus MC</Company>
  <LinksUpToDate>false</LinksUpToDate>
  <CharactersWithSpaces>197505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van der Schaft</dc:creator>
  <cp:lastModifiedBy>Niels van der Schaft</cp:lastModifiedBy>
  <cp:revision>2</cp:revision>
  <dcterms:created xsi:type="dcterms:W3CDTF">2019-08-08T17:14:00Z</dcterms:created>
  <dcterms:modified xsi:type="dcterms:W3CDTF">2019-08-08T17:14:00Z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id="urSkeZmI"/&gt;&lt;style id="http://www.zotero.org/styles/vancouver" locale="en-US" hasBibliography="1" bibliographyStyleHasBeenSet="1"/&gt;&lt;prefs&gt;&lt;pref name="fieldType" value="Field"/&gt;&lt;pref name="storeRef</vt:lpwstr>
  </property>
  <property fmtid="{D5CDD505-2E9C-101B-9397-08002B2CF9AE}" pid="3" name="ZOTERO_PREF_2">
    <vt:lpwstr>erences" value="true"/&gt;&lt;pref name="automaticJournalAbbreviations" value="true"/&gt;&lt;/prefs&gt;&lt;/data&gt;</vt:lpwstr>
  </property>
</Properties>
</file>