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17533" w14:textId="77777777" w:rsidR="00BF0719" w:rsidRPr="00DB47CD" w:rsidRDefault="00BF0719" w:rsidP="00BF0719">
      <w:pPr>
        <w:autoSpaceDE w:val="0"/>
        <w:autoSpaceDN w:val="0"/>
        <w:adjustRightInd w:val="0"/>
        <w:spacing w:after="0"/>
        <w:rPr>
          <w:rFonts w:eastAsia="Calibri" w:cs="Times New Roman"/>
          <w:sz w:val="28"/>
          <w:szCs w:val="28"/>
          <w:lang w:val="en-GB"/>
        </w:rPr>
      </w:pPr>
    </w:p>
    <w:p w14:paraId="6C29DAB9" w14:textId="77777777" w:rsidR="00BF0719" w:rsidRPr="00DB47CD" w:rsidRDefault="00BF0719" w:rsidP="00BF0719">
      <w:pPr>
        <w:autoSpaceDE w:val="0"/>
        <w:autoSpaceDN w:val="0"/>
        <w:adjustRightInd w:val="0"/>
        <w:spacing w:after="0"/>
        <w:rPr>
          <w:rFonts w:eastAsia="Calibri" w:cs="Times New Roman"/>
          <w:sz w:val="28"/>
          <w:szCs w:val="28"/>
          <w:lang w:val="en-GB"/>
        </w:rPr>
      </w:pPr>
      <w:r w:rsidRPr="00DB47CD">
        <w:rPr>
          <w:rFonts w:eastAsia="Calibri" w:cs="Times New Roman"/>
          <w:sz w:val="28"/>
          <w:szCs w:val="28"/>
          <w:lang w:val="en-GB"/>
        </w:rPr>
        <w:t>Risk bases can complement dose bases for implementing and optimizing a radiological protection strategy in urgent and transition emergency phases</w:t>
      </w:r>
    </w:p>
    <w:p w14:paraId="1CB8EA10" w14:textId="77777777" w:rsidR="00BF0719" w:rsidRPr="00DB47CD" w:rsidRDefault="00BF0719" w:rsidP="00BF0719">
      <w:pPr>
        <w:autoSpaceDE w:val="0"/>
        <w:autoSpaceDN w:val="0"/>
        <w:adjustRightInd w:val="0"/>
        <w:spacing w:after="0"/>
        <w:rPr>
          <w:rFonts w:eastAsia="Calibri" w:cs="Times New Roman"/>
          <w:sz w:val="28"/>
          <w:szCs w:val="28"/>
          <w:lang w:val="en-GB"/>
        </w:rPr>
      </w:pPr>
    </w:p>
    <w:p w14:paraId="7CF82F37" w14:textId="11204C0D" w:rsidR="00BF0719" w:rsidRPr="00DB47CD" w:rsidRDefault="00BF0719" w:rsidP="00BF0719">
      <w:pPr>
        <w:spacing w:before="240" w:line="276" w:lineRule="auto"/>
        <w:rPr>
          <w:rFonts w:eastAsia="Times New Roman" w:cs="Times New Roman"/>
          <w:lang w:val="en-GB" w:eastAsia="de-DE"/>
        </w:rPr>
      </w:pPr>
      <w:r w:rsidRPr="00DB47CD">
        <w:rPr>
          <w:rFonts w:eastAsia="Times New Roman" w:cs="Times New Roman"/>
          <w:lang w:val="en-GB" w:eastAsia="de-DE"/>
        </w:rPr>
        <w:t xml:space="preserve">Linda </w:t>
      </w:r>
      <w:proofErr w:type="spellStart"/>
      <w:r w:rsidRPr="00DB47CD">
        <w:rPr>
          <w:rFonts w:eastAsia="Times New Roman" w:cs="Times New Roman"/>
          <w:lang w:val="en-GB" w:eastAsia="de-DE"/>
        </w:rPr>
        <w:t>Walsh</w:t>
      </w:r>
      <w:r w:rsidRPr="00DB47CD">
        <w:rPr>
          <w:rFonts w:eastAsia="Times New Roman" w:cs="Times New Roman"/>
          <w:vertAlign w:val="superscript"/>
          <w:lang w:val="en-GB" w:eastAsia="de-DE"/>
        </w:rPr>
        <w:t>a</w:t>
      </w:r>
      <w:proofErr w:type="spellEnd"/>
      <w:r w:rsidRPr="00DB47CD">
        <w:rPr>
          <w:rFonts w:eastAsia="Times New Roman" w:cs="Times New Roman"/>
          <w:lang w:val="en-GB" w:eastAsia="de-DE"/>
        </w:rPr>
        <w:t xml:space="preserve">, Alexander </w:t>
      </w:r>
      <w:proofErr w:type="spellStart"/>
      <w:r w:rsidRPr="00DB47CD">
        <w:rPr>
          <w:rFonts w:eastAsia="Times New Roman" w:cs="Times New Roman"/>
          <w:lang w:val="en-GB" w:eastAsia="de-DE"/>
        </w:rPr>
        <w:t>Ulanowski</w:t>
      </w:r>
      <w:r w:rsidRPr="00DB47CD">
        <w:rPr>
          <w:rFonts w:eastAsia="Times New Roman" w:cs="Times New Roman"/>
          <w:vertAlign w:val="superscript"/>
          <w:lang w:val="en-GB" w:eastAsia="de-DE"/>
        </w:rPr>
        <w:t>b</w:t>
      </w:r>
      <w:proofErr w:type="gramStart"/>
      <w:r w:rsidRPr="00DB47CD">
        <w:rPr>
          <w:rFonts w:eastAsia="Times New Roman" w:cs="Times New Roman"/>
          <w:vertAlign w:val="superscript"/>
          <w:lang w:val="en-GB" w:eastAsia="de-DE"/>
        </w:rPr>
        <w:t>,c</w:t>
      </w:r>
      <w:proofErr w:type="spellEnd"/>
      <w:proofErr w:type="gramEnd"/>
      <w:r w:rsidRPr="00DB47CD">
        <w:rPr>
          <w:rFonts w:eastAsia="Times New Roman" w:cs="Times New Roman"/>
          <w:lang w:val="en-GB" w:eastAsia="de-DE"/>
        </w:rPr>
        <w:t xml:space="preserve">, Jan Christian </w:t>
      </w:r>
      <w:proofErr w:type="spellStart"/>
      <w:r w:rsidRPr="00DB47CD">
        <w:rPr>
          <w:rFonts w:eastAsia="Times New Roman" w:cs="Times New Roman"/>
          <w:lang w:val="en-GB" w:eastAsia="de-DE"/>
        </w:rPr>
        <w:t>Kaiser</w:t>
      </w:r>
      <w:r w:rsidRPr="00DB47CD">
        <w:rPr>
          <w:rFonts w:eastAsia="Times New Roman" w:cs="Times New Roman"/>
          <w:vertAlign w:val="superscript"/>
          <w:lang w:val="en-GB" w:eastAsia="de-DE"/>
        </w:rPr>
        <w:t>b</w:t>
      </w:r>
      <w:proofErr w:type="spellEnd"/>
      <w:r w:rsidRPr="00DB47CD">
        <w:rPr>
          <w:rFonts w:eastAsia="Times New Roman" w:cs="Times New Roman"/>
          <w:lang w:val="en-GB" w:eastAsia="de-DE"/>
        </w:rPr>
        <w:t xml:space="preserve">, Clemens </w:t>
      </w:r>
      <w:proofErr w:type="spellStart"/>
      <w:r w:rsidRPr="00DB47CD">
        <w:rPr>
          <w:rFonts w:eastAsia="Times New Roman" w:cs="Times New Roman"/>
          <w:lang w:val="en-GB" w:eastAsia="de-DE"/>
        </w:rPr>
        <w:t>Woda</w:t>
      </w:r>
      <w:r w:rsidRPr="00DB47CD">
        <w:rPr>
          <w:rFonts w:eastAsia="Times New Roman" w:cs="Times New Roman"/>
          <w:vertAlign w:val="superscript"/>
          <w:lang w:val="en-GB" w:eastAsia="de-DE"/>
        </w:rPr>
        <w:t>b</w:t>
      </w:r>
      <w:proofErr w:type="spellEnd"/>
      <w:r w:rsidRPr="00DB47CD">
        <w:rPr>
          <w:rFonts w:eastAsia="Times New Roman" w:cs="Times New Roman"/>
          <w:lang w:val="en-GB" w:eastAsia="de-DE"/>
        </w:rPr>
        <w:t xml:space="preserve">, Wolfgang </w:t>
      </w:r>
      <w:proofErr w:type="spellStart"/>
      <w:r w:rsidRPr="00DB47CD">
        <w:rPr>
          <w:rFonts w:eastAsia="Times New Roman" w:cs="Times New Roman"/>
          <w:lang w:val="en-GB" w:eastAsia="de-DE"/>
        </w:rPr>
        <w:t>Raskob</w:t>
      </w:r>
      <w:r w:rsidR="00146355">
        <w:rPr>
          <w:rFonts w:eastAsia="Times New Roman" w:cs="Times New Roman"/>
          <w:vertAlign w:val="superscript"/>
          <w:lang w:val="en-GB" w:eastAsia="de-DE"/>
        </w:rPr>
        <w:t>d</w:t>
      </w:r>
      <w:proofErr w:type="spellEnd"/>
      <w:r w:rsidRPr="00DB47CD">
        <w:rPr>
          <w:rFonts w:eastAsia="Times New Roman" w:cs="Times New Roman"/>
          <w:lang w:val="en-GB" w:eastAsia="de-DE"/>
        </w:rPr>
        <w:t>.</w:t>
      </w:r>
    </w:p>
    <w:p w14:paraId="58385527" w14:textId="77777777" w:rsidR="00BF0719" w:rsidRPr="00DB47CD" w:rsidRDefault="00BF0719" w:rsidP="00BF0719">
      <w:pPr>
        <w:spacing w:after="240"/>
        <w:rPr>
          <w:rFonts w:eastAsia="Times New Roman" w:cs="Times New Roman"/>
          <w:bCs/>
          <w:iCs/>
          <w:szCs w:val="24"/>
          <w:lang w:val="en-GB" w:eastAsia="de-DE"/>
        </w:rPr>
      </w:pPr>
      <w:proofErr w:type="gramStart"/>
      <w:r w:rsidRPr="00DB47CD">
        <w:rPr>
          <w:rFonts w:eastAsia="Times New Roman" w:cs="Times New Roman"/>
          <w:sz w:val="20"/>
          <w:vertAlign w:val="superscript"/>
          <w:lang w:val="en-GB" w:eastAsia="de-DE"/>
        </w:rPr>
        <w:t>a</w:t>
      </w:r>
      <w:proofErr w:type="gramEnd"/>
      <w:r w:rsidRPr="00DB47CD">
        <w:rPr>
          <w:rFonts w:eastAsia="Times New Roman" w:cs="Times New Roman"/>
          <w:sz w:val="20"/>
          <w:vertAlign w:val="superscript"/>
          <w:lang w:val="en-GB" w:eastAsia="de-DE"/>
        </w:rPr>
        <w:t xml:space="preserve"> </w:t>
      </w:r>
      <w:r w:rsidRPr="00DB47CD">
        <w:rPr>
          <w:rFonts w:eastAsia="Times New Roman" w:cs="Times New Roman"/>
          <w:sz w:val="20"/>
          <w:lang w:val="en-GB" w:eastAsia="de-DE"/>
        </w:rPr>
        <w:t xml:space="preserve">Department of Physics, Science Faculty, University of Zürich, </w:t>
      </w:r>
      <w:proofErr w:type="spellStart"/>
      <w:r w:rsidRPr="00DB47CD">
        <w:rPr>
          <w:rFonts w:eastAsia="Times New Roman" w:cs="Times New Roman"/>
          <w:sz w:val="20"/>
          <w:lang w:val="en-GB" w:eastAsia="de-DE"/>
        </w:rPr>
        <w:t>Winterthurerstrasse</w:t>
      </w:r>
      <w:proofErr w:type="spellEnd"/>
      <w:r w:rsidRPr="00DB47CD">
        <w:rPr>
          <w:rFonts w:eastAsia="Times New Roman" w:cs="Times New Roman"/>
          <w:sz w:val="20"/>
          <w:lang w:val="en-GB" w:eastAsia="de-DE"/>
        </w:rPr>
        <w:t xml:space="preserve"> 190, CH-8057 Zürich, Switzerland</w:t>
      </w:r>
    </w:p>
    <w:p w14:paraId="0427A2E5" w14:textId="77777777" w:rsidR="00BF0719" w:rsidRPr="00DB47CD" w:rsidRDefault="00BF0719" w:rsidP="00BF0719">
      <w:pPr>
        <w:spacing w:after="240"/>
        <w:rPr>
          <w:rFonts w:eastAsia="Times New Roman" w:cs="Times New Roman"/>
          <w:sz w:val="20"/>
          <w:lang w:val="en-GB" w:eastAsia="de-DE"/>
        </w:rPr>
      </w:pPr>
      <w:r w:rsidRPr="00DB47CD">
        <w:rPr>
          <w:rFonts w:eastAsia="Times New Roman" w:cs="Times New Roman"/>
          <w:sz w:val="20"/>
          <w:vertAlign w:val="superscript"/>
          <w:lang w:val="en-GB" w:eastAsia="de-DE"/>
        </w:rPr>
        <w:t>b</w:t>
      </w:r>
      <w:r w:rsidRPr="00DB47CD">
        <w:rPr>
          <w:rFonts w:eastAsia="Times New Roman" w:cs="Times New Roman"/>
          <w:sz w:val="20"/>
          <w:lang w:val="en-GB" w:eastAsia="de-DE"/>
        </w:rPr>
        <w:t xml:space="preserve"> Institute of Radiation Protection, Helmholtz </w:t>
      </w:r>
      <w:proofErr w:type="spellStart"/>
      <w:r w:rsidRPr="00DB47CD">
        <w:rPr>
          <w:rFonts w:eastAsia="Times New Roman" w:cs="Times New Roman"/>
          <w:sz w:val="20"/>
          <w:lang w:val="en-GB" w:eastAsia="de-DE"/>
        </w:rPr>
        <w:t>Zentrum</w:t>
      </w:r>
      <w:proofErr w:type="spellEnd"/>
      <w:r w:rsidRPr="00DB47CD">
        <w:rPr>
          <w:rFonts w:eastAsia="Times New Roman" w:cs="Times New Roman"/>
          <w:sz w:val="20"/>
          <w:lang w:val="en-GB" w:eastAsia="de-DE"/>
        </w:rPr>
        <w:t xml:space="preserve"> </w:t>
      </w:r>
      <w:proofErr w:type="spellStart"/>
      <w:r w:rsidRPr="00DB47CD">
        <w:rPr>
          <w:rFonts w:eastAsia="Times New Roman" w:cs="Times New Roman"/>
          <w:sz w:val="20"/>
          <w:lang w:val="en-GB" w:eastAsia="de-DE"/>
        </w:rPr>
        <w:t>München</w:t>
      </w:r>
      <w:proofErr w:type="spellEnd"/>
      <w:r w:rsidRPr="00DB47CD">
        <w:rPr>
          <w:rFonts w:eastAsia="Times New Roman" w:cs="Times New Roman"/>
          <w:sz w:val="20"/>
          <w:lang w:val="en-GB" w:eastAsia="de-DE"/>
        </w:rPr>
        <w:t xml:space="preserve"> </w:t>
      </w:r>
      <w:r w:rsidRPr="00DB47CD">
        <w:rPr>
          <w:rFonts w:eastAsia="Times New Roman" w:cs="Times New Roman"/>
          <w:sz w:val="20"/>
          <w:lang w:val="en-GB" w:eastAsia="de-DE"/>
        </w:rPr>
        <w:softHyphen/>
        <w:t xml:space="preserve">– German Research </w:t>
      </w:r>
      <w:proofErr w:type="spellStart"/>
      <w:r w:rsidRPr="00DB47CD">
        <w:rPr>
          <w:rFonts w:eastAsia="Times New Roman" w:cs="Times New Roman"/>
          <w:sz w:val="20"/>
          <w:lang w:val="en-GB" w:eastAsia="de-DE"/>
        </w:rPr>
        <w:t>Center</w:t>
      </w:r>
      <w:proofErr w:type="spellEnd"/>
      <w:r w:rsidRPr="00DB47CD">
        <w:rPr>
          <w:rFonts w:eastAsia="Times New Roman" w:cs="Times New Roman"/>
          <w:sz w:val="20"/>
          <w:lang w:val="en-GB" w:eastAsia="de-DE"/>
        </w:rPr>
        <w:t xml:space="preserve"> for Environmental Health, </w:t>
      </w:r>
      <w:proofErr w:type="spellStart"/>
      <w:r w:rsidRPr="00DB47CD">
        <w:rPr>
          <w:rFonts w:eastAsia="Times New Roman" w:cs="Times New Roman"/>
          <w:sz w:val="20"/>
          <w:lang w:val="en-GB" w:eastAsia="de-DE"/>
        </w:rPr>
        <w:t>Ingolstädter</w:t>
      </w:r>
      <w:proofErr w:type="spellEnd"/>
      <w:r w:rsidRPr="00DB47CD">
        <w:rPr>
          <w:rFonts w:eastAsia="Times New Roman" w:cs="Times New Roman"/>
          <w:sz w:val="20"/>
          <w:lang w:val="en-GB" w:eastAsia="de-DE"/>
        </w:rPr>
        <w:t xml:space="preserve"> </w:t>
      </w:r>
      <w:proofErr w:type="spellStart"/>
      <w:r w:rsidRPr="00DB47CD">
        <w:rPr>
          <w:rFonts w:eastAsia="Times New Roman" w:cs="Times New Roman"/>
          <w:sz w:val="20"/>
          <w:lang w:val="en-GB" w:eastAsia="de-DE"/>
        </w:rPr>
        <w:t>Landstraße</w:t>
      </w:r>
      <w:proofErr w:type="spellEnd"/>
      <w:r w:rsidRPr="00DB47CD">
        <w:rPr>
          <w:rFonts w:eastAsia="Times New Roman" w:cs="Times New Roman"/>
          <w:sz w:val="20"/>
          <w:lang w:val="en-GB" w:eastAsia="de-DE"/>
        </w:rPr>
        <w:t xml:space="preserve"> 1, D-85764 </w:t>
      </w:r>
      <w:proofErr w:type="spellStart"/>
      <w:r w:rsidRPr="00DB47CD">
        <w:rPr>
          <w:rFonts w:eastAsia="Times New Roman" w:cs="Times New Roman"/>
          <w:sz w:val="20"/>
          <w:lang w:val="en-GB" w:eastAsia="de-DE"/>
        </w:rPr>
        <w:t>Neuherberg</w:t>
      </w:r>
      <w:proofErr w:type="spellEnd"/>
      <w:r w:rsidRPr="00DB47CD">
        <w:rPr>
          <w:rFonts w:eastAsia="Times New Roman" w:cs="Times New Roman"/>
          <w:sz w:val="20"/>
          <w:lang w:val="en-GB" w:eastAsia="de-DE"/>
        </w:rPr>
        <w:t>, Germany</w:t>
      </w:r>
    </w:p>
    <w:p w14:paraId="7FA0E9FA" w14:textId="77777777" w:rsidR="00BF0719" w:rsidRPr="00DB47CD" w:rsidRDefault="00BF0719" w:rsidP="00BF0719">
      <w:pPr>
        <w:spacing w:after="240"/>
        <w:rPr>
          <w:rFonts w:eastAsia="Times New Roman" w:cs="Times New Roman"/>
          <w:sz w:val="20"/>
          <w:lang w:val="en-GB" w:eastAsia="de-DE"/>
        </w:rPr>
      </w:pPr>
      <w:proofErr w:type="gramStart"/>
      <w:r w:rsidRPr="00DB47CD">
        <w:rPr>
          <w:rFonts w:eastAsia="Times New Roman" w:cs="Times New Roman"/>
          <w:sz w:val="20"/>
          <w:vertAlign w:val="superscript"/>
          <w:lang w:val="en-GB" w:eastAsia="de-DE"/>
        </w:rPr>
        <w:t>c</w:t>
      </w:r>
      <w:proofErr w:type="gramEnd"/>
      <w:r w:rsidRPr="00DB47CD">
        <w:rPr>
          <w:rFonts w:eastAsia="Times New Roman" w:cs="Times New Roman"/>
          <w:sz w:val="20"/>
          <w:vertAlign w:val="superscript"/>
          <w:lang w:val="en-GB" w:eastAsia="de-DE"/>
        </w:rPr>
        <w:t xml:space="preserve"> </w:t>
      </w:r>
      <w:r w:rsidRPr="00DB47CD">
        <w:rPr>
          <w:rFonts w:eastAsia="Times New Roman" w:cs="Times New Roman"/>
          <w:sz w:val="20"/>
          <w:lang w:val="en-GB" w:eastAsia="de-DE"/>
        </w:rPr>
        <w:t xml:space="preserve">International Atomic Energy Agency, IAEA Laboratories, A-2444 </w:t>
      </w:r>
      <w:proofErr w:type="spellStart"/>
      <w:r w:rsidRPr="00DB47CD">
        <w:rPr>
          <w:rFonts w:eastAsia="Times New Roman" w:cs="Times New Roman"/>
          <w:sz w:val="20"/>
          <w:lang w:val="en-GB" w:eastAsia="de-DE"/>
        </w:rPr>
        <w:t>Seibersdorf</w:t>
      </w:r>
      <w:proofErr w:type="spellEnd"/>
      <w:r w:rsidRPr="00DB47CD">
        <w:rPr>
          <w:rFonts w:eastAsia="Times New Roman" w:cs="Times New Roman"/>
          <w:sz w:val="20"/>
          <w:lang w:val="en-GB" w:eastAsia="de-DE"/>
        </w:rPr>
        <w:t>, Austria</w:t>
      </w:r>
    </w:p>
    <w:p w14:paraId="53A515B3" w14:textId="4B575D0B" w:rsidR="00BF0719" w:rsidRPr="00DB47CD" w:rsidRDefault="00146355" w:rsidP="00BF0719">
      <w:pPr>
        <w:spacing w:after="240"/>
        <w:rPr>
          <w:rFonts w:eastAsia="Times New Roman" w:cs="Times New Roman"/>
          <w:sz w:val="20"/>
          <w:lang w:val="en-GB" w:eastAsia="de-DE"/>
        </w:rPr>
      </w:pPr>
      <w:proofErr w:type="spellStart"/>
      <w:proofErr w:type="gramStart"/>
      <w:r w:rsidRPr="00115897">
        <w:rPr>
          <w:rFonts w:eastAsia="Times New Roman" w:cs="Times New Roman"/>
          <w:sz w:val="20"/>
          <w:vertAlign w:val="superscript"/>
          <w:lang w:val="en-GB" w:eastAsia="de-DE"/>
        </w:rPr>
        <w:t>d</w:t>
      </w:r>
      <w:r w:rsidR="00BF0719" w:rsidRPr="00DB47CD">
        <w:rPr>
          <w:rFonts w:eastAsia="Times New Roman" w:cs="Calibri"/>
          <w:sz w:val="20"/>
          <w:lang w:val="en-GB" w:eastAsia="de-DE"/>
        </w:rPr>
        <w:t>Karlsruhe</w:t>
      </w:r>
      <w:proofErr w:type="spellEnd"/>
      <w:proofErr w:type="gramEnd"/>
      <w:r w:rsidR="00BF0719" w:rsidRPr="00DB47CD">
        <w:rPr>
          <w:rFonts w:eastAsia="Times New Roman" w:cs="Calibri"/>
          <w:sz w:val="20"/>
          <w:lang w:val="en-GB" w:eastAsia="de-DE"/>
        </w:rPr>
        <w:t xml:space="preserve"> Institute of Technology</w:t>
      </w:r>
      <w:r w:rsidR="00BF0719" w:rsidRPr="00DB47CD">
        <w:rPr>
          <w:rFonts w:eastAsia="Times New Roman" w:cs="Times New Roman"/>
          <w:sz w:val="20"/>
          <w:lang w:val="en-GB" w:eastAsia="de-DE"/>
        </w:rPr>
        <w:t xml:space="preserve">, </w:t>
      </w:r>
      <w:r w:rsidR="00BF0719" w:rsidRPr="00DB47CD">
        <w:rPr>
          <w:rFonts w:eastAsia="Times New Roman" w:cs="Calibri"/>
          <w:sz w:val="20"/>
          <w:lang w:val="en-GB" w:eastAsia="de-DE"/>
        </w:rPr>
        <w:t xml:space="preserve">Institute for Nuclear and Energy Technologies, </w:t>
      </w:r>
      <w:r w:rsidR="00BF0719" w:rsidRPr="00DB47CD">
        <w:rPr>
          <w:rFonts w:eastAsia="Times New Roman" w:cs="Times New Roman"/>
          <w:sz w:val="20"/>
          <w:lang w:val="en-GB" w:eastAsia="de-DE"/>
        </w:rPr>
        <w:t xml:space="preserve"> </w:t>
      </w:r>
      <w:r w:rsidR="00BF0719" w:rsidRPr="00DB47CD">
        <w:rPr>
          <w:rFonts w:eastAsia="SimSun" w:cs="Times New Roman"/>
          <w:noProof/>
          <w:sz w:val="20"/>
          <w:lang w:val="en-GB" w:eastAsia="en-GB"/>
        </w:rPr>
        <w:t xml:space="preserve">Hermann-von-Helmholtz </w:t>
      </w:r>
      <w:bookmarkStart w:id="0" w:name="_GoBack"/>
      <w:r w:rsidR="00BF0719" w:rsidRPr="00DB47CD">
        <w:rPr>
          <w:rFonts w:eastAsia="SimSun" w:cs="Times New Roman"/>
          <w:noProof/>
          <w:sz w:val="20"/>
          <w:lang w:val="en-GB" w:eastAsia="en-GB"/>
        </w:rPr>
        <w:t>Platz 1</w:t>
      </w:r>
      <w:r w:rsidR="00BF0719" w:rsidRPr="00DB47CD">
        <w:rPr>
          <w:rFonts w:eastAsia="Times New Roman" w:cs="Times New Roman"/>
          <w:sz w:val="20"/>
          <w:lang w:val="en-GB" w:eastAsia="de-DE"/>
        </w:rPr>
        <w:t xml:space="preserve">, </w:t>
      </w:r>
      <w:r w:rsidR="00BF0719" w:rsidRPr="00DB47CD">
        <w:rPr>
          <w:rFonts w:eastAsia="SimSun" w:cs="Times New Roman"/>
          <w:noProof/>
          <w:sz w:val="20"/>
          <w:lang w:val="en-GB" w:eastAsia="en-GB"/>
        </w:rPr>
        <w:t>76344 Eggenstein-Leopoldshafen</w:t>
      </w:r>
      <w:r w:rsidR="00BF0719" w:rsidRPr="00DB47CD">
        <w:rPr>
          <w:rFonts w:eastAsia="Times New Roman" w:cs="Times New Roman"/>
          <w:sz w:val="20"/>
          <w:lang w:val="en-GB" w:eastAsia="de-DE"/>
        </w:rPr>
        <w:t>, Germany</w:t>
      </w:r>
    </w:p>
    <w:bookmarkEnd w:id="0"/>
    <w:p w14:paraId="164657EA" w14:textId="77777777" w:rsidR="00BF0719" w:rsidRPr="00DB47CD" w:rsidRDefault="00BF0719" w:rsidP="00BF0719">
      <w:pPr>
        <w:autoSpaceDE w:val="0"/>
        <w:autoSpaceDN w:val="0"/>
        <w:adjustRightInd w:val="0"/>
        <w:spacing w:after="0"/>
        <w:rPr>
          <w:rFonts w:eastAsia="Calibri" w:cs="Times New Roman"/>
          <w:sz w:val="28"/>
          <w:szCs w:val="28"/>
          <w:lang w:val="en-GB"/>
        </w:rPr>
      </w:pPr>
    </w:p>
    <w:p w14:paraId="23A77477" w14:textId="77777777" w:rsidR="00BF0719" w:rsidRPr="00DB47CD" w:rsidRDefault="00BF0719" w:rsidP="00BF0719">
      <w:pPr>
        <w:autoSpaceDE w:val="0"/>
        <w:autoSpaceDN w:val="0"/>
        <w:adjustRightInd w:val="0"/>
        <w:spacing w:after="0"/>
        <w:rPr>
          <w:rFonts w:eastAsia="Calibri" w:cs="Times New Roman"/>
          <w:sz w:val="28"/>
          <w:szCs w:val="28"/>
          <w:lang w:val="en-GB"/>
        </w:rPr>
      </w:pPr>
      <w:r w:rsidRPr="00DB47CD">
        <w:rPr>
          <w:rFonts w:eastAsia="Calibri" w:cs="Times New Roman"/>
          <w:sz w:val="28"/>
          <w:szCs w:val="28"/>
          <w:lang w:val="en-GB"/>
        </w:rPr>
        <w:t>Abstract</w:t>
      </w:r>
    </w:p>
    <w:p w14:paraId="6A2BC581" w14:textId="23468BFD"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Current radiological emergency response recommendations have been provided by the International Commission on Radiological Protection and adopted by the International Atomic Energy Agency (IAEA) in comprehensive Safety Standards. These standards provide dose basis guidance for decisions making (e.g., on sheltering or relocation) via generic criteria in terms of effective dose in the range from 20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per year</w:t>
      </w:r>
      <w:r w:rsidR="00146355">
        <w:rPr>
          <w:rFonts w:eastAsia="Calibri" w:cs="Times New Roman"/>
          <w:szCs w:val="24"/>
          <w:lang w:val="en-GB"/>
        </w:rPr>
        <w:t>,</w:t>
      </w:r>
      <w:r w:rsidRPr="00DB47CD">
        <w:rPr>
          <w:rFonts w:eastAsia="Calibri" w:cs="Times New Roman"/>
          <w:szCs w:val="24"/>
          <w:lang w:val="en-GB"/>
        </w:rPr>
        <w:t xml:space="preserve"> during transition from emergency to existing exposure situation</w:t>
      </w:r>
      <w:r w:rsidR="00146355">
        <w:rPr>
          <w:rFonts w:eastAsia="Calibri" w:cs="Times New Roman"/>
          <w:szCs w:val="24"/>
          <w:lang w:val="en-GB"/>
        </w:rPr>
        <w:t>,</w:t>
      </w:r>
      <w:r w:rsidRPr="00DB47CD">
        <w:rPr>
          <w:rFonts w:eastAsia="Calibri" w:cs="Times New Roman"/>
          <w:szCs w:val="24"/>
          <w:lang w:val="en-GB"/>
        </w:rPr>
        <w:t xml:space="preserve"> to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acute or annual, in the urgent phase of a nuclear accident. </w:t>
      </w:r>
    </w:p>
    <w:p w14:paraId="2C44E29F" w14:textId="00E7D8ED"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The purpose of this paper is to examine how such IAEA dose reference levels directly translate into radiation related risks of stochastic detrimental health effects (cancer). </w:t>
      </w:r>
      <w:r w:rsidRPr="00DB47CD">
        <w:rPr>
          <w:rFonts w:eastAsia="Calibri" w:cs="Times New Roman"/>
          <w:bCs/>
          <w:szCs w:val="24"/>
          <w:lang w:val="en-GB"/>
        </w:rPr>
        <w:t>Methodologies, provided by the World Health Organization after the Fukushima accident, for calculating the</w:t>
      </w:r>
      <w:r w:rsidRPr="00DB47CD">
        <w:rPr>
          <w:rFonts w:eastAsia="Calibri" w:cs="Times New Roman"/>
          <w:szCs w:val="24"/>
          <w:lang w:val="en-GB"/>
        </w:rPr>
        <w:t xml:space="preserve"> lifetime and 20 year cancer risks,</w:t>
      </w:r>
      <w:r w:rsidRPr="00DB47CD">
        <w:rPr>
          <w:rFonts w:eastAsia="Calibri" w:cs="Times New Roman"/>
          <w:bCs/>
          <w:szCs w:val="24"/>
          <w:lang w:val="en-GB"/>
        </w:rPr>
        <w:t xml:space="preserve"> and for calculating relevant organ doses from effective doses, have been applied here for this purpose with new software, designed to be available for use immediately after a nuclear accident. A new feature in this software, is a comprehensive uncertainty accounting via simulation technique, so that the risks may now be presented with realistic confidence intervals. The types of cancer risks considered here are time integrated over lifetime and the first twenty years after exposure for all solid cancer and either the most radiation sensitive types of cancer, i.e., leukaemia, and female breast cancer, or the most radiation relevant type of cancer occurring in childhood, i.e., thyroid.  </w:t>
      </w:r>
      <w:r w:rsidRPr="00DB47CD">
        <w:rPr>
          <w:rFonts w:eastAsia="Calibri" w:cs="Times New Roman"/>
          <w:szCs w:val="24"/>
          <w:lang w:val="en-GB"/>
        </w:rPr>
        <w:t xml:space="preserve">It is demonstrated here how reference dose levels translate differently into specific cancer risk levels (with varying confidence interval sizes), depending on age at exposure, gender, time-frame at-risk and type of </w:t>
      </w:r>
      <w:r w:rsidR="00146355">
        <w:rPr>
          <w:rFonts w:eastAsia="Calibri" w:cs="Times New Roman"/>
          <w:szCs w:val="24"/>
          <w:lang w:val="en-GB"/>
        </w:rPr>
        <w:t>cancer</w:t>
      </w:r>
      <w:r w:rsidRPr="00DB47CD">
        <w:rPr>
          <w:rFonts w:eastAsia="Calibri" w:cs="Times New Roman"/>
          <w:szCs w:val="24"/>
          <w:lang w:val="en-GB"/>
        </w:rPr>
        <w:t xml:space="preserve"> considered. A discussion is provided here on the potential for such risk-based information to be used by decision makers, in the urgent and transition phases of nuclear emergencies, to identify protective measures (e.g., sheltering, evacuation) in a differential way (i.e., for particularly susceptible sub-groups of a population). </w:t>
      </w:r>
    </w:p>
    <w:p w14:paraId="69B6B1CB" w14:textId="77777777" w:rsidR="00BF0719" w:rsidRPr="00DB47CD" w:rsidRDefault="00BF0719" w:rsidP="00BF0719">
      <w:pPr>
        <w:autoSpaceDE w:val="0"/>
        <w:autoSpaceDN w:val="0"/>
        <w:adjustRightInd w:val="0"/>
        <w:spacing w:after="0"/>
        <w:rPr>
          <w:rFonts w:eastAsia="Calibri" w:cs="Times New Roman"/>
          <w:szCs w:val="24"/>
          <w:lang w:val="en-GB"/>
        </w:rPr>
      </w:pPr>
    </w:p>
    <w:p w14:paraId="5B8F989B" w14:textId="77777777" w:rsidR="00BF0719" w:rsidRPr="00DB47CD" w:rsidRDefault="00BF0719" w:rsidP="00BF0719">
      <w:pPr>
        <w:autoSpaceDE w:val="0"/>
        <w:autoSpaceDN w:val="0"/>
        <w:adjustRightInd w:val="0"/>
        <w:spacing w:after="0"/>
        <w:rPr>
          <w:rFonts w:eastAsia="Calibri" w:cs="Times New Roman"/>
          <w:szCs w:val="24"/>
          <w:lang w:val="en-GB"/>
        </w:rPr>
      </w:pPr>
    </w:p>
    <w:p w14:paraId="2EDE469B" w14:textId="77777777" w:rsidR="00BF0719" w:rsidRPr="00DB47CD" w:rsidRDefault="00BF0719" w:rsidP="00BF0719">
      <w:pPr>
        <w:autoSpaceDE w:val="0"/>
        <w:autoSpaceDN w:val="0"/>
        <w:adjustRightInd w:val="0"/>
        <w:spacing w:after="0"/>
        <w:rPr>
          <w:rFonts w:eastAsia="Calibri" w:cs="Times New Roman"/>
          <w:sz w:val="28"/>
          <w:szCs w:val="28"/>
          <w:lang w:val="en-GB"/>
        </w:rPr>
      </w:pPr>
      <w:r w:rsidRPr="00DB47CD">
        <w:rPr>
          <w:rFonts w:eastAsia="Calibri" w:cs="Times New Roman"/>
          <w:sz w:val="28"/>
          <w:szCs w:val="28"/>
          <w:lang w:val="en-GB"/>
        </w:rPr>
        <w:t>Introduction</w:t>
      </w:r>
    </w:p>
    <w:p w14:paraId="6E95C8CC" w14:textId="2D935D98"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lastRenderedPageBreak/>
        <w:t xml:space="preserve">In general, published safety recommendations address requirements for preparedness and response for a nuclear or radiological emergency in: an emergency i.e., in the urgent phase; and also for the transition to an existing exposure situation, i.e., in a transition phase. During the urgent and transition phases of a nuclear emergency, important decisions on implementing measures aimed at protecting affected populations, such as sheltering or relocation, need to be made quickly, effectively and incisively.  Such decision making is currently supported by recent publications on safety standard recommendations from the International Atomic Energy Agency (IAEA 2015). IAEA give generic reference levels for use in conjunction with the goals of emergency response in terms of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bases of reference levels in ranges of effective dose (IAEA 2015). IAEA recommendations, based on </w:t>
      </w:r>
      <w:r w:rsidRPr="00DB47CD">
        <w:rPr>
          <w:rFonts w:eastAsia="Calibri" w:cs="Times New Roman"/>
          <w:color w:val="000000"/>
          <w:szCs w:val="24"/>
          <w:lang w:val="en-GB"/>
        </w:rPr>
        <w:t xml:space="preserve">publications from the </w:t>
      </w:r>
      <w:r w:rsidRPr="00DB47CD">
        <w:rPr>
          <w:rFonts w:eastAsia="Calibri" w:cs="Times New Roman"/>
          <w:szCs w:val="24"/>
          <w:lang w:val="en-GB"/>
        </w:rPr>
        <w:t>International Commission on Radiological Protection</w:t>
      </w:r>
      <w:r w:rsidRPr="00DB47CD">
        <w:rPr>
          <w:rFonts w:eastAsia="Calibri" w:cs="Times New Roman"/>
          <w:color w:val="000000"/>
          <w:szCs w:val="24"/>
          <w:lang w:val="en-GB"/>
        </w:rPr>
        <w:t xml:space="preserve"> (ICRP 2007), are for a typical band of 20 </w:t>
      </w:r>
      <w:proofErr w:type="spellStart"/>
      <w:r w:rsidRPr="00DB47CD">
        <w:rPr>
          <w:rFonts w:eastAsia="Calibri" w:cs="Times New Roman"/>
          <w:color w:val="000000"/>
          <w:szCs w:val="24"/>
          <w:lang w:val="en-GB"/>
        </w:rPr>
        <w:t>mSv</w:t>
      </w:r>
      <w:proofErr w:type="spellEnd"/>
      <w:r w:rsidRPr="00DB47CD">
        <w:rPr>
          <w:rFonts w:eastAsia="Calibri" w:cs="Times New Roman"/>
          <w:color w:val="000000"/>
          <w:szCs w:val="24"/>
          <w:lang w:val="en-GB"/>
        </w:rPr>
        <w:t xml:space="preserve"> to 100 </w:t>
      </w:r>
      <w:proofErr w:type="spellStart"/>
      <w:r w:rsidRPr="00DB47CD">
        <w:rPr>
          <w:rFonts w:eastAsia="Calibri" w:cs="Times New Roman"/>
          <w:color w:val="000000"/>
          <w:szCs w:val="24"/>
          <w:lang w:val="en-GB"/>
        </w:rPr>
        <w:t>mSv</w:t>
      </w:r>
      <w:proofErr w:type="spellEnd"/>
      <w:r w:rsidRPr="00DB47CD">
        <w:rPr>
          <w:rFonts w:eastAsia="Calibri" w:cs="Times New Roman"/>
          <w:color w:val="000000"/>
          <w:szCs w:val="24"/>
          <w:lang w:val="en-GB"/>
        </w:rPr>
        <w:t xml:space="preserve"> for the </w:t>
      </w:r>
      <w:r w:rsidR="00146355" w:rsidRPr="00146355">
        <w:rPr>
          <w:rFonts w:eastAsia="Calibri" w:cs="Times New Roman"/>
          <w:color w:val="000000"/>
          <w:szCs w:val="24"/>
          <w:lang w:val="en-GB"/>
        </w:rPr>
        <w:t>effective</w:t>
      </w:r>
      <w:r w:rsidRPr="00146355">
        <w:rPr>
          <w:rFonts w:eastAsia="Calibri" w:cs="Times New Roman"/>
          <w:color w:val="000000"/>
          <w:szCs w:val="24"/>
          <w:lang w:val="en-GB"/>
        </w:rPr>
        <w:t xml:space="preserve"> dose</w:t>
      </w:r>
      <w:r w:rsidRPr="00DB47CD">
        <w:rPr>
          <w:rFonts w:eastAsia="Calibri" w:cs="Times New Roman"/>
          <w:color w:val="000000"/>
          <w:szCs w:val="24"/>
          <w:lang w:val="en-GB"/>
        </w:rPr>
        <w:t xml:space="preserve"> to be set for emergency planning in the first year after an incident. Although the IAEA recommendations are based on the 2007 ICRP recommendations, national radiation protection commissions</w:t>
      </w:r>
      <w:r w:rsidRPr="00DB47CD">
        <w:rPr>
          <w:rFonts w:eastAsia="Calibri" w:cs="Times New Roman"/>
          <w:szCs w:val="24"/>
          <w:lang w:val="en-GB"/>
        </w:rPr>
        <w:t xml:space="preserve"> can select other dose limits. The aim of this paper is to show that, in taking decisions aimed at protecting affected populations from stochastic effects (cancer), risk bases can complement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bases in the decision making process. </w:t>
      </w:r>
    </w:p>
    <w:p w14:paraId="11B58292" w14:textId="19B3BDCA"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Unfortunately, in the past, cancer risk assessment </w:t>
      </w:r>
      <w:r w:rsidRPr="00DB47CD">
        <w:rPr>
          <w:rFonts w:eastAsia="Calibri" w:cs="Times New Roman"/>
          <w:bCs/>
          <w:szCs w:val="24"/>
          <w:lang w:val="en-GB"/>
        </w:rPr>
        <w:t>software was not designed to be available for use immediately after a nuclear accident. After the Fukushima nuclear accident on 11</w:t>
      </w:r>
      <w:r w:rsidRPr="00DB47CD">
        <w:rPr>
          <w:rFonts w:eastAsia="Calibri" w:cs="Times New Roman"/>
          <w:bCs/>
          <w:szCs w:val="24"/>
          <w:vertAlign w:val="superscript"/>
          <w:lang w:val="en-GB"/>
        </w:rPr>
        <w:t>th</w:t>
      </w:r>
      <w:r w:rsidRPr="00DB47CD">
        <w:rPr>
          <w:rFonts w:eastAsia="Calibri" w:cs="Times New Roman"/>
          <w:bCs/>
          <w:szCs w:val="24"/>
          <w:lang w:val="en-GB"/>
        </w:rPr>
        <w:t xml:space="preserve"> March 2011 (</w:t>
      </w:r>
      <w:proofErr w:type="spellStart"/>
      <w:r w:rsidRPr="00DB47CD">
        <w:rPr>
          <w:rFonts w:eastAsia="Calibri" w:cs="Times New Roman"/>
          <w:bCs/>
          <w:szCs w:val="24"/>
          <w:lang w:val="en-GB"/>
        </w:rPr>
        <w:t>Wakeford</w:t>
      </w:r>
      <w:proofErr w:type="spellEnd"/>
      <w:r w:rsidRPr="00DB47CD">
        <w:rPr>
          <w:rFonts w:eastAsia="Calibri" w:cs="Times New Roman"/>
          <w:bCs/>
          <w:szCs w:val="24"/>
          <w:lang w:val="en-GB"/>
        </w:rPr>
        <w:t xml:space="preserve"> 2011), for example, there was a time interval of just under 2 years, between accident occurrence and the publication of the </w:t>
      </w:r>
      <w:r w:rsidRPr="00DB47CD">
        <w:rPr>
          <w:rFonts w:eastAsia="Calibri" w:cs="Times New Roman"/>
          <w:szCs w:val="24"/>
          <w:lang w:val="en-GB"/>
        </w:rPr>
        <w:t>World Health Organization</w:t>
      </w:r>
      <w:r w:rsidRPr="00DB47CD">
        <w:rPr>
          <w:rFonts w:eastAsia="Calibri" w:cs="Times New Roman"/>
          <w:bCs/>
          <w:szCs w:val="24"/>
          <w:lang w:val="en-GB"/>
        </w:rPr>
        <w:t xml:space="preserve"> (WHO) health risk assessment </w:t>
      </w:r>
      <w:r w:rsidRPr="00DB47CD">
        <w:rPr>
          <w:rFonts w:eastAsia="Calibri" w:cs="Times New Roman"/>
          <w:szCs w:val="24"/>
          <w:lang w:val="en-GB"/>
        </w:rPr>
        <w:t xml:space="preserve">(WHO 2013) </w:t>
      </w:r>
      <w:r w:rsidRPr="00DB47CD">
        <w:rPr>
          <w:rFonts w:eastAsia="Calibri" w:cs="Times New Roman"/>
          <w:bCs/>
          <w:szCs w:val="24"/>
          <w:lang w:val="en-GB"/>
        </w:rPr>
        <w:t xml:space="preserve">report. This long time interval was due to the work-load, after the event, in assessing doses, developing a risk assessment framework and developing the risk assessment software (and that was without a full explicit mathematical treatment of risk uncertainties). In order to close such potential future time gaps between accidents and health risk assessments, by implementing lesson learned after Fukushima (Walsh 2016), the European Union-CONFIDENCE </w:t>
      </w:r>
      <w:r w:rsidRPr="00DB47CD">
        <w:rPr>
          <w:rFonts w:eastAsia="Calibri" w:cs="Times New Roman"/>
          <w:szCs w:val="24"/>
          <w:lang w:val="en-GB"/>
        </w:rPr>
        <w:t>(Coping with uncertainty for improved modelling and decision making in nuclear emergencies)</w:t>
      </w:r>
      <w:r w:rsidRPr="00DB47CD">
        <w:rPr>
          <w:rFonts w:eastAsia="Calibri" w:cs="Times New Roman"/>
          <w:bCs/>
          <w:szCs w:val="24"/>
          <w:lang w:val="en-GB"/>
        </w:rPr>
        <w:t xml:space="preserve"> project provided funding to develop a risk assessment software (the EU-CONFIDENCE software tool) designed to be immediately available after a nuclear accident.</w:t>
      </w:r>
      <w:r w:rsidRPr="00DB47CD">
        <w:rPr>
          <w:rFonts w:eastAsia="Calibri" w:cs="Times New Roman"/>
          <w:szCs w:val="24"/>
          <w:lang w:val="en-GB"/>
        </w:rPr>
        <w:t xml:space="preserve"> The tool encompasses the risk assessment methodological framework for assessing cancer risks after the Fukushima accident as suggested by a WHO expert group (WHO 2013, Walsh et al 2014) and by the German softwar</w:t>
      </w:r>
      <w:r w:rsidR="0024579E">
        <w:rPr>
          <w:rFonts w:eastAsia="Calibri" w:cs="Times New Roman"/>
          <w:szCs w:val="24"/>
          <w:lang w:val="en-GB"/>
        </w:rPr>
        <w:t xml:space="preserve">e tool </w:t>
      </w:r>
      <w:proofErr w:type="spellStart"/>
      <w:r w:rsidR="0024579E">
        <w:rPr>
          <w:rFonts w:eastAsia="Calibri" w:cs="Times New Roman"/>
          <w:szCs w:val="24"/>
          <w:lang w:val="en-GB"/>
        </w:rPr>
        <w:t>ProZES</w:t>
      </w:r>
      <w:proofErr w:type="spellEnd"/>
      <w:r w:rsidR="0024579E">
        <w:rPr>
          <w:rFonts w:eastAsia="Calibri" w:cs="Times New Roman"/>
          <w:szCs w:val="24"/>
          <w:lang w:val="en-GB"/>
        </w:rPr>
        <w:t xml:space="preserve"> (Jacob et al, 2017</w:t>
      </w:r>
      <w:r w:rsidRPr="00DB47CD">
        <w:rPr>
          <w:rFonts w:eastAsia="Calibri" w:cs="Times New Roman"/>
          <w:szCs w:val="24"/>
          <w:lang w:val="en-GB"/>
        </w:rPr>
        <w:t xml:space="preserve">; </w:t>
      </w:r>
      <w:proofErr w:type="spellStart"/>
      <w:r w:rsidRPr="00DB47CD">
        <w:rPr>
          <w:rFonts w:eastAsia="Calibri" w:cs="Times New Roman"/>
          <w:szCs w:val="24"/>
          <w:lang w:val="en-GB"/>
        </w:rPr>
        <w:t>Ulanovsky</w:t>
      </w:r>
      <w:proofErr w:type="spellEnd"/>
      <w:r w:rsidRPr="00DB47CD">
        <w:rPr>
          <w:rFonts w:eastAsia="Calibri" w:cs="Times New Roman"/>
          <w:szCs w:val="24"/>
          <w:lang w:val="en-GB"/>
        </w:rPr>
        <w:t xml:space="preserve"> et al, 2016). </w:t>
      </w:r>
    </w:p>
    <w:p w14:paraId="7DB2B74F" w14:textId="00FB3ACE"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The WHO methodology has been applied to:</w:t>
      </w:r>
      <w:r w:rsidRPr="00DB47CD">
        <w:rPr>
          <w:rFonts w:eastAsia="Calibri" w:cs="Times New Roman"/>
          <w:bCs/>
          <w:szCs w:val="24"/>
          <w:lang w:val="en-GB"/>
        </w:rPr>
        <w:t xml:space="preserve"> convert the </w:t>
      </w:r>
      <w:r w:rsidRPr="00DB47CD">
        <w:rPr>
          <w:rFonts w:eastAsia="Calibri" w:cs="Times New Roman"/>
          <w:szCs w:val="24"/>
          <w:lang w:val="en-GB"/>
        </w:rPr>
        <w:t xml:space="preserve">reference levels of </w:t>
      </w:r>
      <w:r w:rsidRPr="00DB47CD">
        <w:rPr>
          <w:rFonts w:eastAsia="Calibri" w:cs="Times New Roman"/>
          <w:bCs/>
          <w:szCs w:val="24"/>
          <w:lang w:val="en-GB"/>
        </w:rPr>
        <w:t xml:space="preserve">effective doses to the organ equivalent doses that are relevant for </w:t>
      </w:r>
      <w:r w:rsidR="00222332">
        <w:rPr>
          <w:rFonts w:eastAsia="Calibri" w:cs="Times New Roman"/>
          <w:bCs/>
          <w:szCs w:val="24"/>
          <w:lang w:val="en-GB"/>
        </w:rPr>
        <w:t xml:space="preserve">radiation </w:t>
      </w:r>
      <w:r w:rsidRPr="00DB47CD">
        <w:rPr>
          <w:rFonts w:eastAsia="Calibri" w:cs="Times New Roman"/>
          <w:bCs/>
          <w:szCs w:val="24"/>
          <w:lang w:val="en-GB"/>
        </w:rPr>
        <w:t>risk assessment; and to</w:t>
      </w:r>
      <w:r w:rsidRPr="00DB47CD">
        <w:rPr>
          <w:rFonts w:eastAsia="Calibri" w:cs="Times New Roman"/>
          <w:szCs w:val="24"/>
          <w:lang w:val="en-GB"/>
        </w:rPr>
        <w:t xml:space="preserve"> calculate risk of all solid, leukaemia, breast and thyroid cancers from current published risk to dose response models for an illustrative modern European population (i.e., the population data for Germany are applied here) at these converted reference levels of dose. </w:t>
      </w:r>
    </w:p>
    <w:p w14:paraId="4C2F42EA" w14:textId="77777777"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One new feature of the tool, is a full mathematical treatment of uncertainties in the calculated risks, so that the risks can now be given with confidence intervals. Although German population data are considered here for illustration of the dose to risk conversions, the software tool also implements population data for Scandinavian countries and data for other countries can quickly and easily be included in the future.</w:t>
      </w:r>
    </w:p>
    <w:p w14:paraId="0DCC8BFD" w14:textId="044644B9"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It is this new software tool, which has been applied for the calculations presented here to show how reference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levels can translate into cancer risk estimates and risk uncertainty.  It is shown here that any one particular reference dose level will translate differently into risks from stochastic effects depending on age at exposure, gender, the at-risk time-frame considered and cancer risk type. The potential of risk assessment tools that have been fully developed </w:t>
      </w:r>
      <w:r w:rsidR="002B011A" w:rsidRPr="00DB47CD">
        <w:rPr>
          <w:rFonts w:eastAsia="Calibri" w:cs="Times New Roman"/>
          <w:szCs w:val="24"/>
          <w:lang w:val="en-GB"/>
        </w:rPr>
        <w:t>and ready</w:t>
      </w:r>
      <w:r w:rsidRPr="00DB47CD">
        <w:rPr>
          <w:rFonts w:eastAsia="Calibri" w:cs="Times New Roman"/>
          <w:szCs w:val="24"/>
          <w:lang w:val="en-GB"/>
        </w:rPr>
        <w:t xml:space="preserve"> for operation, before any nuclear accident actually takes place, is discussed here along </w:t>
      </w:r>
      <w:r w:rsidRPr="00DB47CD">
        <w:rPr>
          <w:rFonts w:eastAsia="Calibri" w:cs="Times New Roman"/>
          <w:szCs w:val="24"/>
          <w:lang w:val="en-GB"/>
        </w:rPr>
        <w:lastRenderedPageBreak/>
        <w:t xml:space="preserve">with the idea to incorporate such a tool into currently available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large-area monitoring systems e.g., the Java based real-time on-line decision support system (JRODOS), (</w:t>
      </w:r>
      <w:proofErr w:type="spellStart"/>
      <w:r w:rsidRPr="00DB47CD">
        <w:rPr>
          <w:rFonts w:eastAsia="Calibri" w:cs="Times New Roman"/>
          <w:szCs w:val="24"/>
          <w:lang w:val="en-GB"/>
        </w:rPr>
        <w:t>Ehrhardt</w:t>
      </w:r>
      <w:proofErr w:type="spellEnd"/>
      <w:r w:rsidRPr="00DB47CD">
        <w:rPr>
          <w:rFonts w:eastAsia="Calibri" w:cs="Times New Roman"/>
          <w:szCs w:val="24"/>
          <w:lang w:val="en-GB"/>
        </w:rPr>
        <w:t xml:space="preserve"> and Weis 2000 and </w:t>
      </w:r>
      <w:proofErr w:type="spellStart"/>
      <w:r w:rsidRPr="00DB47CD">
        <w:rPr>
          <w:rFonts w:eastAsia="Calibri" w:cs="Times New Roman"/>
          <w:szCs w:val="24"/>
          <w:lang w:val="en-GB"/>
        </w:rPr>
        <w:t>Ievdin</w:t>
      </w:r>
      <w:proofErr w:type="spellEnd"/>
      <w:r w:rsidRPr="00DB47CD">
        <w:rPr>
          <w:rFonts w:eastAsia="Calibri" w:cs="Times New Roman"/>
          <w:szCs w:val="24"/>
          <w:lang w:val="en-GB"/>
        </w:rPr>
        <w:t xml:space="preserve"> et al. 2010). The JRODOS system has been developed for general application worldwide for use in national or regional nuclear emergency centres. JRODOS provides coherent support at all stages of an accident (i.e., before, during and after a </w:t>
      </w:r>
      <w:r w:rsidR="00222332">
        <w:rPr>
          <w:rFonts w:eastAsia="Calibri" w:cs="Times New Roman"/>
          <w:szCs w:val="24"/>
          <w:lang w:val="en-GB"/>
        </w:rPr>
        <w:t xml:space="preserve">radiological </w:t>
      </w:r>
      <w:r w:rsidRPr="00DB47CD">
        <w:rPr>
          <w:rFonts w:eastAsia="Calibri" w:cs="Times New Roman"/>
          <w:szCs w:val="24"/>
          <w:lang w:val="en-GB"/>
        </w:rPr>
        <w:t xml:space="preserve">release), including the long term management and restoration of contaminated areas. The system is able to support decisions about the introduction of a wide range of potentially useful countermeasures (e.g., sheltering and evacuation of people, distribution of iodine tablets, food restrictions, agricultural countermeasures, relocation, decontamination, restoration, etc.) mitigating the consequences of an accident with respect to </w:t>
      </w:r>
      <w:r w:rsidR="00222332">
        <w:rPr>
          <w:rFonts w:eastAsia="Calibri" w:cs="Times New Roman"/>
          <w:szCs w:val="24"/>
          <w:lang w:val="en-GB"/>
        </w:rPr>
        <w:t xml:space="preserve">detrimental </w:t>
      </w:r>
      <w:r w:rsidRPr="00DB47CD">
        <w:rPr>
          <w:rFonts w:eastAsia="Calibri" w:cs="Times New Roman"/>
          <w:szCs w:val="24"/>
          <w:lang w:val="en-GB"/>
        </w:rPr>
        <w:t>health</w:t>
      </w:r>
      <w:r w:rsidR="00222332">
        <w:rPr>
          <w:rFonts w:eastAsia="Calibri" w:cs="Times New Roman"/>
          <w:szCs w:val="24"/>
          <w:lang w:val="en-GB"/>
        </w:rPr>
        <w:t xml:space="preserve"> effects</w:t>
      </w:r>
      <w:r w:rsidRPr="00DB47CD">
        <w:rPr>
          <w:rFonts w:eastAsia="Calibri" w:cs="Times New Roman"/>
          <w:szCs w:val="24"/>
          <w:lang w:val="en-GB"/>
        </w:rPr>
        <w:t>, the environment, and the economy. JRODOS can be applied to accidental releases into the atmosphere and into various aquatic environments. Appropriate interfaces exist with local and national radiological monitoring data, meteorological measurements and forecasts, and for adaptation to local, regional and national conditions.</w:t>
      </w:r>
    </w:p>
    <w:p w14:paraId="0AEE2BB2" w14:textId="77777777"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Detailed discussions are provided on how such risk information, and the relevant uncertainty levels in this risk information, could potentially be useful for integrating into the radiation protective decision making processes after a nuclear accident.</w:t>
      </w:r>
    </w:p>
    <w:p w14:paraId="7D6DD609" w14:textId="647D844D"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 </w:t>
      </w:r>
    </w:p>
    <w:p w14:paraId="79B913CC" w14:textId="77777777" w:rsidR="00BF0719" w:rsidRPr="00DB47CD" w:rsidRDefault="00BF0719" w:rsidP="00BF0719">
      <w:pPr>
        <w:autoSpaceDE w:val="0"/>
        <w:autoSpaceDN w:val="0"/>
        <w:adjustRightInd w:val="0"/>
        <w:spacing w:after="0"/>
        <w:rPr>
          <w:rFonts w:eastAsia="Calibri" w:cs="Times New Roman"/>
          <w:sz w:val="28"/>
          <w:szCs w:val="28"/>
          <w:lang w:val="en-GB"/>
        </w:rPr>
      </w:pPr>
      <w:r w:rsidRPr="00DB47CD">
        <w:rPr>
          <w:rFonts w:eastAsia="Calibri" w:cs="Times New Roman"/>
          <w:sz w:val="28"/>
          <w:szCs w:val="28"/>
          <w:lang w:val="en-GB"/>
        </w:rPr>
        <w:t>Materials and Methods</w:t>
      </w:r>
    </w:p>
    <w:p w14:paraId="534ECB0D" w14:textId="77777777" w:rsidR="00BF0719" w:rsidRPr="00DB47CD" w:rsidRDefault="00BF0719" w:rsidP="00BF0719">
      <w:pPr>
        <w:autoSpaceDE w:val="0"/>
        <w:autoSpaceDN w:val="0"/>
        <w:adjustRightInd w:val="0"/>
        <w:jc w:val="both"/>
        <w:rPr>
          <w:rFonts w:eastAsia="TradeGothicLTStd" w:cs="Times New Roman"/>
          <w:color w:val="1A181C"/>
          <w:szCs w:val="24"/>
          <w:lang w:val="en-GB"/>
        </w:rPr>
      </w:pPr>
      <w:r w:rsidRPr="00DB47CD">
        <w:rPr>
          <w:rFonts w:eastAsia="TradeGothicLTStd" w:cs="Times New Roman"/>
          <w:color w:val="1A181C"/>
          <w:szCs w:val="24"/>
          <w:lang w:val="en-GB"/>
        </w:rPr>
        <w:t xml:space="preserve">Radiation-related cancer risks were estimated for both </w:t>
      </w:r>
      <w:r w:rsidRPr="00DB47CD">
        <w:rPr>
          <w:rFonts w:eastAsia="Calibri" w:cs="Times New Roman"/>
          <w:bCs/>
          <w:szCs w:val="24"/>
          <w:lang w:val="en-GB"/>
        </w:rPr>
        <w:t>males and females initially exposed as infants (age 1 year), children (age 10 years) or adults (age 20 years).</w:t>
      </w:r>
      <w:r w:rsidRPr="00DB47CD">
        <w:rPr>
          <w:rFonts w:eastAsia="TradeGothicLTStd" w:cs="Times New Roman"/>
          <w:color w:val="1A181C"/>
          <w:szCs w:val="24"/>
          <w:lang w:val="en-GB"/>
        </w:rPr>
        <w:t xml:space="preserve"> Models for specific cancer sites were applied to calculate risks attributable to radiation over a lifetime and over the initial 20 years after the nuclear accident, based on </w:t>
      </w:r>
      <w:r w:rsidRPr="00DB47CD">
        <w:rPr>
          <w:rFonts w:eastAsia="Calibri" w:cs="Times New Roman"/>
          <w:szCs w:val="24"/>
          <w:lang w:val="en-GB"/>
        </w:rPr>
        <w:t>generic recommended reference levels</w:t>
      </w:r>
      <w:r w:rsidRPr="00DB47CD">
        <w:rPr>
          <w:rFonts w:eastAsia="TradeGothicLTStd" w:cs="Times New Roman"/>
          <w:color w:val="1A181C"/>
          <w:szCs w:val="24"/>
          <w:lang w:val="en-GB"/>
        </w:rPr>
        <w:t xml:space="preserve"> of effective dose converted to organ/tissue dose, and using health statistics data from </w:t>
      </w:r>
      <w:r w:rsidRPr="00DB47CD">
        <w:rPr>
          <w:rFonts w:eastAsia="Calibri" w:cs="Times New Roman"/>
          <w:szCs w:val="24"/>
          <w:lang w:val="en-GB"/>
        </w:rPr>
        <w:t xml:space="preserve">a </w:t>
      </w:r>
      <w:r w:rsidRPr="00DB47CD">
        <w:rPr>
          <w:rFonts w:eastAsia="TradeGothicLTStd" w:cs="Times New Roman"/>
          <w:color w:val="1A181C"/>
          <w:szCs w:val="24"/>
          <w:lang w:val="en-GB"/>
        </w:rPr>
        <w:t xml:space="preserve">contemporary </w:t>
      </w:r>
      <w:r w:rsidRPr="00DB47CD">
        <w:rPr>
          <w:rFonts w:eastAsia="Calibri" w:cs="Times New Roman"/>
          <w:szCs w:val="24"/>
          <w:lang w:val="en-GB"/>
        </w:rPr>
        <w:t>illustrative European population (i.e., for Germany)</w:t>
      </w:r>
      <w:r w:rsidRPr="00DB47CD">
        <w:rPr>
          <w:rFonts w:eastAsia="TradeGothicLTStd" w:cs="Times New Roman"/>
          <w:color w:val="1A181C"/>
          <w:szCs w:val="24"/>
          <w:lang w:val="en-GB"/>
        </w:rPr>
        <w:t xml:space="preserve">. </w:t>
      </w:r>
    </w:p>
    <w:p w14:paraId="10D092AF" w14:textId="77777777" w:rsidR="00BF0719" w:rsidRPr="00DB47CD" w:rsidRDefault="00BF0719" w:rsidP="00BF0719">
      <w:pPr>
        <w:autoSpaceDE w:val="0"/>
        <w:autoSpaceDN w:val="0"/>
        <w:adjustRightInd w:val="0"/>
        <w:spacing w:line="480" w:lineRule="auto"/>
        <w:jc w:val="both"/>
        <w:rPr>
          <w:rFonts w:eastAsia="TradeGothicLTStd" w:cs="Times New Roman"/>
          <w:i/>
          <w:color w:val="1A181C"/>
          <w:szCs w:val="24"/>
          <w:lang w:val="en-GB"/>
        </w:rPr>
      </w:pPr>
      <w:r w:rsidRPr="00DB47CD">
        <w:rPr>
          <w:rFonts w:eastAsia="TradeGothicLTStd" w:cs="Times New Roman"/>
          <w:i/>
          <w:color w:val="1A181C"/>
          <w:szCs w:val="24"/>
          <w:lang w:val="en-GB"/>
        </w:rPr>
        <w:t>Effective dose conversion to organ/tissue dose</w:t>
      </w:r>
    </w:p>
    <w:p w14:paraId="2C97F8B3" w14:textId="26E4B4BE" w:rsidR="00BF0719" w:rsidRPr="00DB47CD" w:rsidRDefault="00440C59" w:rsidP="00BF0719">
      <w:pPr>
        <w:autoSpaceDE w:val="0"/>
        <w:autoSpaceDN w:val="0"/>
        <w:adjustRightInd w:val="0"/>
        <w:spacing w:after="0"/>
        <w:rPr>
          <w:rFonts w:eastAsia="Calibri" w:cs="Times New Roman"/>
          <w:szCs w:val="24"/>
          <w:lang w:val="en-GB"/>
        </w:rPr>
      </w:pPr>
      <w:r>
        <w:rPr>
          <w:rFonts w:eastAsia="Calibri" w:cs="Times New Roman"/>
          <w:szCs w:val="24"/>
          <w:lang w:val="en-GB"/>
        </w:rPr>
        <w:t>Current IAEA safety standards in their p</w:t>
      </w:r>
      <w:r w:rsidR="00BF0719" w:rsidRPr="00DB47CD">
        <w:rPr>
          <w:rFonts w:eastAsia="Calibri" w:cs="Times New Roman"/>
          <w:szCs w:val="24"/>
          <w:lang w:val="en-GB"/>
        </w:rPr>
        <w:t xml:space="preserve">art 7 (IAEA 2015, p. 64) give generic criteria for use in conjunction with the goals of emergency response in terms of effective dose in the range 20–100 </w:t>
      </w:r>
      <w:proofErr w:type="spellStart"/>
      <w:r w:rsidR="00BF0719" w:rsidRPr="00DB47CD">
        <w:rPr>
          <w:rFonts w:eastAsia="Calibri" w:cs="Times New Roman"/>
          <w:szCs w:val="24"/>
          <w:lang w:val="en-GB"/>
        </w:rPr>
        <w:t>mSv</w:t>
      </w:r>
      <w:proofErr w:type="spellEnd"/>
      <w:r w:rsidR="00BF0719" w:rsidRPr="00DB47CD">
        <w:rPr>
          <w:rFonts w:eastAsia="Calibri" w:cs="Times New Roman"/>
          <w:szCs w:val="24"/>
          <w:lang w:val="en-GB"/>
        </w:rPr>
        <w:t xml:space="preserve">, acute or annual, that includes dose contributions via all exposure pathways. </w:t>
      </w:r>
    </w:p>
    <w:p w14:paraId="5D2CBC8C" w14:textId="77777777" w:rsidR="00BF0719" w:rsidRPr="00DB47CD" w:rsidRDefault="00BF0719" w:rsidP="00BF0719">
      <w:pPr>
        <w:autoSpaceDE w:val="0"/>
        <w:autoSpaceDN w:val="0"/>
        <w:adjustRightInd w:val="0"/>
        <w:jc w:val="both"/>
        <w:rPr>
          <w:rFonts w:eastAsia="Calibri" w:cs="Times New Roman"/>
          <w:bCs/>
          <w:szCs w:val="24"/>
          <w:lang w:val="en-GB"/>
        </w:rPr>
      </w:pPr>
      <w:r w:rsidRPr="00DB47CD">
        <w:rPr>
          <w:rFonts w:eastAsia="Calibri" w:cs="Times New Roman"/>
          <w:szCs w:val="24"/>
          <w:lang w:val="en-GB"/>
        </w:rPr>
        <w:t xml:space="preserve">The ICRP has expressed caution in the use of effective dose for purposes of estimating risks to individuals or populations exposed to ionizing radiation, especially for very heterogeneous exposures in medical procedures (ICRP 2007, paragraph 151). Therefore, in order to calculate the risks corresponding to these IAEA reference levels of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acute or annual, in the urgent phase and an effective dose of 20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per year in the transition phase it is necessary to convert these levels into </w:t>
      </w:r>
      <w:r w:rsidRPr="00DB47CD">
        <w:rPr>
          <w:rFonts w:eastAsia="Calibri" w:cs="Times New Roman"/>
          <w:bCs/>
          <w:szCs w:val="24"/>
          <w:lang w:val="en-GB"/>
        </w:rPr>
        <w:t xml:space="preserve">organ/tissue doses for each of the target organs for the types of cancers evaluated (i.e. colon, red bone marrow, thyroid and breast organ/tissue doses for all solid cancer, </w:t>
      </w:r>
      <w:proofErr w:type="spellStart"/>
      <w:r w:rsidRPr="00DB47CD">
        <w:rPr>
          <w:rFonts w:eastAsia="Calibri" w:cs="Times New Roman"/>
          <w:bCs/>
          <w:szCs w:val="24"/>
          <w:lang w:val="en-GB"/>
        </w:rPr>
        <w:t>leukemia</w:t>
      </w:r>
      <w:proofErr w:type="spellEnd"/>
      <w:r w:rsidRPr="00DB47CD">
        <w:rPr>
          <w:rFonts w:eastAsia="Calibri" w:cs="Times New Roman"/>
          <w:bCs/>
          <w:szCs w:val="24"/>
          <w:lang w:val="en-GB"/>
        </w:rPr>
        <w:t xml:space="preserve">, thyroid and breast cancer, respectively).  </w:t>
      </w:r>
    </w:p>
    <w:p w14:paraId="184A38AE" w14:textId="2BF5A6F9" w:rsidR="00BF0719" w:rsidRPr="00DB47CD" w:rsidRDefault="00BF0719" w:rsidP="00BF0719">
      <w:pPr>
        <w:autoSpaceDE w:val="0"/>
        <w:autoSpaceDN w:val="0"/>
        <w:adjustRightInd w:val="0"/>
        <w:jc w:val="both"/>
        <w:rPr>
          <w:rFonts w:eastAsia="Calibri" w:cs="Times New Roman"/>
          <w:bCs/>
          <w:szCs w:val="24"/>
          <w:lang w:val="en-GB"/>
        </w:rPr>
      </w:pPr>
      <w:r w:rsidRPr="00DB47CD">
        <w:rPr>
          <w:rFonts w:eastAsia="Calibri" w:cs="Times New Roman"/>
          <w:bCs/>
          <w:szCs w:val="24"/>
          <w:lang w:val="en-GB"/>
        </w:rPr>
        <w:t>A methodology that can be applied to calculate organ doses from effective doses for the general population has already been presented (</w:t>
      </w:r>
      <w:r w:rsidRPr="00DB47CD">
        <w:rPr>
          <w:rFonts w:eastAsia="Calibri" w:cs="Times New Roman"/>
          <w:szCs w:val="24"/>
          <w:lang w:val="en-GB"/>
        </w:rPr>
        <w:t>WHO 2013,</w:t>
      </w:r>
      <w:r w:rsidRPr="00DB47CD">
        <w:rPr>
          <w:rFonts w:eastAsia="Calibri" w:cs="Times New Roman"/>
          <w:bCs/>
          <w:szCs w:val="24"/>
          <w:lang w:val="en-GB"/>
        </w:rPr>
        <w:t xml:space="preserve"> Annex G, p 133). In an emergency situation, the organ doses could result from four possible contributions: external exposures from ground deposition; external exposures from the release plume; internal exposures from the inhalation of radionuclides in the release plume; and internal exposures from ingestion of radionuclides in foodstuff. However, the relative contributions to the organ doses from each of these four sources will be highly dependent on the nature of the accident and so it is difficult to generalize a conversion from all of these sources for a generic consideration here. Therefore, in </w:t>
      </w:r>
      <w:r w:rsidRPr="00DB47CD">
        <w:rPr>
          <w:rFonts w:eastAsia="Calibri" w:cs="Times New Roman"/>
          <w:bCs/>
          <w:szCs w:val="24"/>
          <w:lang w:val="en-GB"/>
        </w:rPr>
        <w:lastRenderedPageBreak/>
        <w:t xml:space="preserve">order to simplify and illustrate this general consideration of risk bases for decision making, it is assumed here that either an </w:t>
      </w:r>
      <w:r w:rsidRPr="00DB47CD">
        <w:rPr>
          <w:rFonts w:eastAsia="Calibri" w:cs="Times New Roman"/>
          <w:szCs w:val="24"/>
          <w:lang w:val="en-GB"/>
        </w:rPr>
        <w:t>acute or annual (first-year)</w:t>
      </w:r>
      <w:r w:rsidRPr="00DB47CD">
        <w:rPr>
          <w:rFonts w:eastAsia="Calibri" w:cs="Times New Roman"/>
          <w:bCs/>
          <w:szCs w:val="24"/>
          <w:lang w:val="en-GB"/>
        </w:rPr>
        <w:t xml:space="preserve"> effective dose just comes from external exposures in a situation like the Fukushima release (the limitations of such an important assumption are fully given in the discussion section). </w:t>
      </w:r>
      <w:r w:rsidR="00440C59">
        <w:rPr>
          <w:rFonts w:eastAsia="Calibri" w:cs="Times New Roman"/>
          <w:bCs/>
          <w:szCs w:val="24"/>
          <w:lang w:val="en-GB"/>
        </w:rPr>
        <w:t xml:space="preserve">Under this assumption, with only external exposure and photons being relevant, the radiation weighting factor is 1 and thus the protection quantity effective dose (in </w:t>
      </w:r>
      <w:proofErr w:type="spellStart"/>
      <w:r w:rsidR="00440C59">
        <w:rPr>
          <w:rFonts w:eastAsia="Calibri" w:cs="Times New Roman"/>
          <w:bCs/>
          <w:szCs w:val="24"/>
          <w:lang w:val="en-GB"/>
        </w:rPr>
        <w:t>mSv</w:t>
      </w:r>
      <w:proofErr w:type="spellEnd"/>
      <w:r w:rsidR="00440C59">
        <w:rPr>
          <w:rFonts w:eastAsia="Calibri" w:cs="Times New Roman"/>
          <w:bCs/>
          <w:szCs w:val="24"/>
          <w:lang w:val="en-GB"/>
        </w:rPr>
        <w:t xml:space="preserve">) is </w:t>
      </w:r>
      <w:r w:rsidR="00B36812">
        <w:rPr>
          <w:rFonts w:eastAsia="Calibri" w:cs="Times New Roman"/>
          <w:bCs/>
          <w:szCs w:val="24"/>
          <w:lang w:val="en-GB"/>
        </w:rPr>
        <w:t>either</w:t>
      </w:r>
      <w:r w:rsidR="001415FA">
        <w:rPr>
          <w:rFonts w:eastAsia="Calibri" w:cs="Times New Roman"/>
          <w:bCs/>
          <w:szCs w:val="24"/>
          <w:lang w:val="en-GB"/>
        </w:rPr>
        <w:t>:</w:t>
      </w:r>
      <w:r w:rsidR="00B36812">
        <w:rPr>
          <w:rFonts w:eastAsia="Calibri" w:cs="Times New Roman"/>
          <w:bCs/>
          <w:szCs w:val="24"/>
          <w:lang w:val="en-GB"/>
        </w:rPr>
        <w:t xml:space="preserve"> very similar</w:t>
      </w:r>
      <w:r w:rsidR="00440C59">
        <w:rPr>
          <w:rFonts w:eastAsia="Calibri" w:cs="Times New Roman"/>
          <w:bCs/>
          <w:szCs w:val="24"/>
          <w:lang w:val="en-GB"/>
        </w:rPr>
        <w:t xml:space="preserve"> to the physical measured organ </w:t>
      </w:r>
      <w:r w:rsidR="00440C59" w:rsidRPr="0022786D">
        <w:rPr>
          <w:rFonts w:eastAsia="Calibri" w:cs="Times New Roman"/>
          <w:bCs/>
          <w:szCs w:val="24"/>
          <w:lang w:val="en-GB"/>
        </w:rPr>
        <w:t>absorbed</w:t>
      </w:r>
      <w:r w:rsidR="00440C59">
        <w:rPr>
          <w:rFonts w:eastAsia="Calibri" w:cs="Times New Roman"/>
          <w:bCs/>
          <w:szCs w:val="24"/>
          <w:lang w:val="en-GB"/>
        </w:rPr>
        <w:t xml:space="preserve"> dose (in </w:t>
      </w:r>
      <w:proofErr w:type="spellStart"/>
      <w:r w:rsidR="00440C59">
        <w:rPr>
          <w:rFonts w:eastAsia="Calibri" w:cs="Times New Roman"/>
          <w:bCs/>
          <w:szCs w:val="24"/>
          <w:lang w:val="en-GB"/>
        </w:rPr>
        <w:t>mGy</w:t>
      </w:r>
      <w:proofErr w:type="spellEnd"/>
      <w:r w:rsidR="00440C59">
        <w:rPr>
          <w:rFonts w:eastAsia="Calibri" w:cs="Times New Roman"/>
          <w:bCs/>
          <w:szCs w:val="24"/>
          <w:lang w:val="en-GB"/>
        </w:rPr>
        <w:t>)</w:t>
      </w:r>
      <w:r w:rsidR="001415FA">
        <w:rPr>
          <w:rFonts w:eastAsia="Calibri" w:cs="Times New Roman"/>
          <w:bCs/>
          <w:szCs w:val="24"/>
          <w:lang w:val="en-GB"/>
        </w:rPr>
        <w:t>; or equal; or assumed to be equal (for child and infant breast tissue for which no dose coefficients have been given)</w:t>
      </w:r>
      <w:r w:rsidR="00B36812">
        <w:rPr>
          <w:rFonts w:eastAsia="Calibri" w:cs="Times New Roman"/>
          <w:bCs/>
          <w:szCs w:val="24"/>
          <w:lang w:val="en-GB"/>
        </w:rPr>
        <w:t xml:space="preserve"> </w:t>
      </w:r>
      <w:r w:rsidR="00440C59">
        <w:rPr>
          <w:rFonts w:eastAsia="Calibri" w:cs="Times New Roman"/>
          <w:bCs/>
          <w:szCs w:val="24"/>
          <w:lang w:val="en-GB"/>
        </w:rPr>
        <w:t xml:space="preserve">. </w:t>
      </w:r>
      <w:r w:rsidRPr="00DB47CD">
        <w:rPr>
          <w:rFonts w:eastAsia="Calibri" w:cs="Times New Roman"/>
          <w:bCs/>
          <w:szCs w:val="24"/>
          <w:lang w:val="en-GB"/>
        </w:rPr>
        <w:t>With such assumptions the ratio of organ to effective dose from external exposures can be taken from Table 19 of the WHO Report (</w:t>
      </w:r>
      <w:r w:rsidRPr="00DB47CD">
        <w:rPr>
          <w:rFonts w:eastAsia="Calibri" w:cs="Times New Roman"/>
          <w:szCs w:val="24"/>
          <w:lang w:val="en-GB"/>
        </w:rPr>
        <w:t>WHO 2013,</w:t>
      </w:r>
      <w:r w:rsidRPr="00DB47CD">
        <w:rPr>
          <w:rFonts w:eastAsia="Calibri" w:cs="Times New Roman"/>
          <w:bCs/>
          <w:szCs w:val="24"/>
          <w:lang w:val="en-GB"/>
        </w:rPr>
        <w:t xml:space="preserve"> Annex G, p. 134). The organ dose ranges corresponding to an effective dose range of 20 to 100 </w:t>
      </w:r>
      <w:proofErr w:type="spellStart"/>
      <w:r w:rsidRPr="00DB47CD">
        <w:rPr>
          <w:rFonts w:eastAsia="Calibri" w:cs="Times New Roman"/>
          <w:bCs/>
          <w:szCs w:val="24"/>
          <w:lang w:val="en-GB"/>
        </w:rPr>
        <w:t>mSv</w:t>
      </w:r>
      <w:proofErr w:type="spellEnd"/>
      <w:r w:rsidRPr="00DB47CD">
        <w:rPr>
          <w:rFonts w:eastAsia="Calibri" w:cs="Times New Roman"/>
          <w:bCs/>
          <w:szCs w:val="24"/>
          <w:lang w:val="en-GB"/>
        </w:rPr>
        <w:t xml:space="preserve">, may then be calculated using these ratios.  </w:t>
      </w:r>
    </w:p>
    <w:p w14:paraId="726D1B50" w14:textId="77777777" w:rsidR="00BF0719" w:rsidRPr="00DB47CD" w:rsidRDefault="00BF0719" w:rsidP="00BF0719">
      <w:pPr>
        <w:autoSpaceDE w:val="0"/>
        <w:autoSpaceDN w:val="0"/>
        <w:adjustRightInd w:val="0"/>
        <w:jc w:val="both"/>
        <w:rPr>
          <w:rFonts w:eastAsia="Calibri" w:cs="Times New Roman"/>
          <w:bCs/>
          <w:szCs w:val="24"/>
          <w:lang w:val="en-GB"/>
        </w:rPr>
      </w:pPr>
    </w:p>
    <w:p w14:paraId="5EBDBD6D" w14:textId="77777777" w:rsidR="00BF0719" w:rsidRPr="00DB47CD" w:rsidRDefault="00BF0719" w:rsidP="00BF0719">
      <w:pPr>
        <w:autoSpaceDE w:val="0"/>
        <w:autoSpaceDN w:val="0"/>
        <w:adjustRightInd w:val="0"/>
        <w:spacing w:line="480" w:lineRule="auto"/>
        <w:jc w:val="both"/>
        <w:rPr>
          <w:rFonts w:eastAsia="Calibri" w:cs="Times New Roman"/>
          <w:i/>
          <w:szCs w:val="24"/>
          <w:lang w:val="en-GB"/>
        </w:rPr>
      </w:pPr>
      <w:r w:rsidRPr="00DB47CD">
        <w:rPr>
          <w:rFonts w:eastAsia="Calibri" w:cs="Times New Roman"/>
          <w:i/>
          <w:szCs w:val="24"/>
          <w:lang w:val="en-GB"/>
        </w:rPr>
        <w:t>Health statistics data</w:t>
      </w:r>
    </w:p>
    <w:p w14:paraId="3018F80F" w14:textId="77777777" w:rsidR="00BF0719" w:rsidRPr="00DB47CD" w:rsidRDefault="00BF0719" w:rsidP="00BF0719">
      <w:pPr>
        <w:autoSpaceDE w:val="0"/>
        <w:autoSpaceDN w:val="0"/>
        <w:adjustRightInd w:val="0"/>
        <w:jc w:val="both"/>
        <w:rPr>
          <w:rFonts w:eastAsia="TradeGothicLTStd" w:cs="Times New Roman"/>
          <w:color w:val="1A181C"/>
          <w:szCs w:val="24"/>
          <w:lang w:val="en-GB"/>
        </w:rPr>
      </w:pPr>
      <w:r w:rsidRPr="00DB47CD">
        <w:rPr>
          <w:rFonts w:eastAsia="TradeGothicLTStd" w:cs="Times New Roman"/>
          <w:color w:val="1A181C"/>
          <w:szCs w:val="24"/>
          <w:lang w:val="en-GB"/>
        </w:rPr>
        <w:t xml:space="preserve">Population cancer incidence and mortality rates, given by sex, cancer site and 5-year age group, for 2014, are available from the German cancer register (RKI-GEKID, 2017). </w:t>
      </w:r>
      <w:r w:rsidRPr="00DB47CD">
        <w:rPr>
          <w:rFonts w:eastAsia="Calibri" w:cs="Times New Roman"/>
          <w:bCs/>
          <w:szCs w:val="24"/>
          <w:lang w:val="en-GB"/>
        </w:rPr>
        <w:t xml:space="preserve">All-cause mortality rates for 2013/2015 and </w:t>
      </w:r>
      <w:r w:rsidRPr="00DB47CD">
        <w:rPr>
          <w:rFonts w:eastAsia="TradeGothicLTStd" w:cs="Times New Roman"/>
          <w:color w:val="1A181C"/>
          <w:szCs w:val="24"/>
          <w:lang w:val="en-GB"/>
        </w:rPr>
        <w:t>general survival data from life tables for Germany are available from the German Federal Office for Statistics (</w:t>
      </w:r>
      <w:proofErr w:type="spellStart"/>
      <w:r w:rsidRPr="00DB47CD">
        <w:rPr>
          <w:rFonts w:eastAsia="TradeGothicLTStd" w:cs="Times New Roman"/>
          <w:color w:val="1A181C"/>
          <w:szCs w:val="24"/>
          <w:lang w:val="en-GB"/>
        </w:rPr>
        <w:t>Statistisches</w:t>
      </w:r>
      <w:proofErr w:type="spellEnd"/>
      <w:r w:rsidRPr="00DB47CD">
        <w:rPr>
          <w:rFonts w:eastAsia="TradeGothicLTStd" w:cs="Times New Roman"/>
          <w:color w:val="1A181C"/>
          <w:szCs w:val="24"/>
          <w:lang w:val="en-GB"/>
        </w:rPr>
        <w:t xml:space="preserve"> </w:t>
      </w:r>
      <w:proofErr w:type="spellStart"/>
      <w:r w:rsidRPr="00DB47CD">
        <w:rPr>
          <w:rFonts w:eastAsia="TradeGothicLTStd" w:cs="Times New Roman"/>
          <w:color w:val="1A181C"/>
          <w:szCs w:val="24"/>
          <w:lang w:val="en-GB"/>
        </w:rPr>
        <w:t>Bundesant</w:t>
      </w:r>
      <w:proofErr w:type="spellEnd"/>
      <w:r w:rsidRPr="00DB47CD">
        <w:rPr>
          <w:rFonts w:eastAsia="TradeGothicLTStd" w:cs="Times New Roman"/>
          <w:color w:val="1A181C"/>
          <w:szCs w:val="24"/>
          <w:lang w:val="en-GB"/>
        </w:rPr>
        <w:t>, 2016).</w:t>
      </w:r>
    </w:p>
    <w:p w14:paraId="48F11BC9" w14:textId="77777777" w:rsidR="00BF0719" w:rsidRPr="00DB47CD" w:rsidRDefault="00BF0719" w:rsidP="00BF0719">
      <w:pPr>
        <w:autoSpaceDE w:val="0"/>
        <w:autoSpaceDN w:val="0"/>
        <w:adjustRightInd w:val="0"/>
        <w:jc w:val="both"/>
        <w:rPr>
          <w:rFonts w:eastAsia="TradeGothicLTStd" w:cs="Times New Roman"/>
          <w:color w:val="1A181C"/>
          <w:szCs w:val="24"/>
          <w:lang w:val="en-GB"/>
        </w:rPr>
      </w:pPr>
    </w:p>
    <w:p w14:paraId="64C3BAAB" w14:textId="77777777" w:rsidR="00BF0719" w:rsidRPr="00DB47CD" w:rsidRDefault="00BF0719" w:rsidP="00BF0719">
      <w:pPr>
        <w:autoSpaceDE w:val="0"/>
        <w:autoSpaceDN w:val="0"/>
        <w:adjustRightInd w:val="0"/>
        <w:spacing w:line="480" w:lineRule="auto"/>
        <w:jc w:val="both"/>
        <w:rPr>
          <w:rFonts w:eastAsia="Calibri" w:cs="Times New Roman"/>
          <w:i/>
          <w:szCs w:val="24"/>
          <w:lang w:val="en-GB"/>
        </w:rPr>
      </w:pPr>
      <w:r w:rsidRPr="00DB47CD">
        <w:rPr>
          <w:rFonts w:eastAsia="Calibri" w:cs="Times New Roman"/>
          <w:i/>
          <w:szCs w:val="24"/>
          <w:lang w:val="en-GB"/>
        </w:rPr>
        <w:t>Risk models for specific cancer sites</w:t>
      </w:r>
    </w:p>
    <w:p w14:paraId="43DD2B5B" w14:textId="0A1363EB" w:rsidR="00BF0719" w:rsidRPr="00DB47CD" w:rsidRDefault="00BF0719" w:rsidP="00BF0719">
      <w:pPr>
        <w:autoSpaceDE w:val="0"/>
        <w:autoSpaceDN w:val="0"/>
        <w:adjustRightInd w:val="0"/>
        <w:jc w:val="both"/>
        <w:rPr>
          <w:rFonts w:eastAsia="TradeGothicLTStd" w:cs="Times New Roman"/>
          <w:color w:val="1A181C"/>
          <w:szCs w:val="24"/>
          <w:lang w:val="en-GB"/>
        </w:rPr>
      </w:pPr>
      <w:r w:rsidRPr="00DB47CD">
        <w:rPr>
          <w:rFonts w:eastAsia="Calibri" w:cs="Times New Roman"/>
          <w:szCs w:val="24"/>
          <w:lang w:val="en-GB"/>
        </w:rPr>
        <w:t xml:space="preserve">The cancer incidence types considered with ICD 10 classifications were: all </w:t>
      </w:r>
      <w:proofErr w:type="spellStart"/>
      <w:r w:rsidRPr="00DB47CD">
        <w:rPr>
          <w:rFonts w:eastAsia="Calibri" w:cs="Times New Roman"/>
          <w:szCs w:val="24"/>
          <w:lang w:val="en-GB"/>
        </w:rPr>
        <w:t>leukemia</w:t>
      </w:r>
      <w:proofErr w:type="spellEnd"/>
      <w:r w:rsidRPr="00DB47CD">
        <w:rPr>
          <w:rFonts w:eastAsia="Calibri" w:cs="Times New Roman"/>
          <w:szCs w:val="24"/>
          <w:lang w:val="en-GB"/>
        </w:rPr>
        <w:t xml:space="preserve"> plus lymphoma  </w:t>
      </w:r>
      <w:r w:rsidR="00CE0BE8">
        <w:rPr>
          <w:rFonts w:eastAsia="TradeGothicLTStd" w:cs="Times New Roman"/>
          <w:color w:val="1A181C"/>
          <w:szCs w:val="24"/>
          <w:lang w:val="en-GB"/>
        </w:rPr>
        <w:t>(ICD10:C81-C96), excluding</w:t>
      </w:r>
      <w:r w:rsidRPr="00DB47CD">
        <w:rPr>
          <w:rFonts w:eastAsia="TradeGothicLTStd" w:cs="Times New Roman"/>
          <w:color w:val="1A181C"/>
          <w:szCs w:val="24"/>
          <w:lang w:val="en-GB"/>
        </w:rPr>
        <w:t xml:space="preserve"> CLL (C91.1 &amp; .4)</w:t>
      </w:r>
      <w:r w:rsidR="00CE0BE8">
        <w:rPr>
          <w:rFonts w:eastAsia="TradeGothicLTStd" w:cs="Times New Roman"/>
          <w:color w:val="1A181C"/>
          <w:szCs w:val="24"/>
          <w:lang w:val="en-GB"/>
        </w:rPr>
        <w:t xml:space="preserve"> and excluding</w:t>
      </w:r>
      <w:r w:rsidRPr="00DB47CD">
        <w:rPr>
          <w:rFonts w:eastAsia="TradeGothicLTStd" w:cs="Times New Roman"/>
          <w:color w:val="1A181C"/>
          <w:szCs w:val="24"/>
          <w:lang w:val="en-GB"/>
        </w:rPr>
        <w:t xml:space="preserve"> ATL (C91.5</w:t>
      </w:r>
      <w:r w:rsidRPr="00DB47CD">
        <w:rPr>
          <w:rFonts w:eastAsia="Calibri" w:cs="Times New Roman"/>
          <w:bCs/>
          <w:szCs w:val="24"/>
          <w:lang w:val="en-GB"/>
        </w:rPr>
        <w:t>)</w:t>
      </w:r>
      <w:r w:rsidR="00CE0BE8">
        <w:rPr>
          <w:rFonts w:eastAsia="Calibri" w:cs="Times New Roman"/>
          <w:bCs/>
          <w:szCs w:val="24"/>
          <w:lang w:val="en-GB"/>
        </w:rPr>
        <w:t>,</w:t>
      </w:r>
      <w:r w:rsidRPr="00DB47CD">
        <w:rPr>
          <w:rFonts w:eastAsia="Calibri" w:cs="Times New Roman"/>
          <w:szCs w:val="24"/>
          <w:lang w:val="en-GB"/>
        </w:rPr>
        <w:t xml:space="preserve"> and female breast cancer </w:t>
      </w:r>
      <w:r w:rsidRPr="00DB47CD">
        <w:rPr>
          <w:rFonts w:eastAsia="TradeGothicLTStd" w:cs="Times New Roman"/>
          <w:color w:val="1A181C"/>
          <w:szCs w:val="24"/>
          <w:lang w:val="en-GB"/>
        </w:rPr>
        <w:t>(C50)</w:t>
      </w:r>
      <w:r w:rsidRPr="00DB47CD">
        <w:rPr>
          <w:rFonts w:eastAsia="Calibri" w:cs="Times New Roman"/>
          <w:szCs w:val="24"/>
          <w:lang w:val="en-GB"/>
        </w:rPr>
        <w:t xml:space="preserve">, due to the known radio-sensitivity of these two cancer groupings; and thyroid cancer </w:t>
      </w:r>
      <w:r w:rsidRPr="00DB47CD">
        <w:rPr>
          <w:rFonts w:eastAsia="TradeGothicLTStd" w:cs="Times New Roman"/>
          <w:color w:val="1A181C"/>
          <w:szCs w:val="24"/>
          <w:lang w:val="en-GB"/>
        </w:rPr>
        <w:t xml:space="preserve">(C73) which is </w:t>
      </w:r>
      <w:r w:rsidRPr="00DB47CD">
        <w:rPr>
          <w:rFonts w:eastAsia="Calibri" w:cs="Times New Roman"/>
          <w:bCs/>
          <w:szCs w:val="24"/>
          <w:lang w:val="en-GB"/>
        </w:rPr>
        <w:t>the most radiation relevant type of cancer occurring in childhood. These three groupings have been</w:t>
      </w:r>
      <w:r w:rsidRPr="00DB47CD">
        <w:rPr>
          <w:rFonts w:eastAsia="Calibri" w:cs="Times New Roman"/>
          <w:szCs w:val="24"/>
          <w:lang w:val="en-GB"/>
        </w:rPr>
        <w:t xml:space="preserve"> demonstrated to show a radiation risk effect modification by age-at-exposure (</w:t>
      </w:r>
      <w:r w:rsidRPr="00DB47CD">
        <w:rPr>
          <w:rFonts w:eastAsia="Calibri" w:cs="Times New Roman"/>
          <w:i/>
          <w:szCs w:val="24"/>
          <w:lang w:val="en-GB"/>
        </w:rPr>
        <w:t>UNSCEAR 2013</w:t>
      </w:r>
      <w:r w:rsidRPr="00DB47CD">
        <w:rPr>
          <w:rFonts w:eastAsia="Calibri" w:cs="Times New Roman"/>
          <w:szCs w:val="24"/>
          <w:lang w:val="en-GB"/>
        </w:rPr>
        <w:t xml:space="preserve">). </w:t>
      </w:r>
      <w:r w:rsidRPr="00DB47CD">
        <w:rPr>
          <w:rFonts w:eastAsia="TradeGothicLTStd" w:cs="Times New Roman"/>
          <w:color w:val="1A181C"/>
          <w:szCs w:val="24"/>
          <w:lang w:val="en-GB"/>
        </w:rPr>
        <w:t>The grouping “all solid cancer” (</w:t>
      </w:r>
      <w:r w:rsidRPr="00DB47CD">
        <w:rPr>
          <w:rFonts w:eastAsia="Calibri" w:cs="Times New Roman"/>
          <w:bCs/>
          <w:szCs w:val="24"/>
          <w:lang w:val="en-GB"/>
        </w:rPr>
        <w:t>C00-C80,</w:t>
      </w:r>
      <w:r w:rsidRPr="00DB47CD">
        <w:rPr>
          <w:rFonts w:eastAsia="TradeGothicLTStd" w:cs="Times New Roman"/>
          <w:color w:val="1A181C"/>
          <w:szCs w:val="24"/>
          <w:lang w:val="en-GB"/>
        </w:rPr>
        <w:t xml:space="preserve"> all cancers except </w:t>
      </w:r>
      <w:proofErr w:type="spellStart"/>
      <w:r w:rsidRPr="00DB47CD">
        <w:rPr>
          <w:rFonts w:eastAsia="TradeGothicLTStd" w:cs="Times New Roman"/>
          <w:color w:val="1A181C"/>
          <w:szCs w:val="24"/>
          <w:lang w:val="en-GB"/>
        </w:rPr>
        <w:t>leukemia</w:t>
      </w:r>
      <w:proofErr w:type="spellEnd"/>
      <w:r w:rsidRPr="00DB47CD">
        <w:rPr>
          <w:rFonts w:eastAsia="TradeGothicLTStd" w:cs="Times New Roman"/>
          <w:color w:val="1A181C"/>
          <w:szCs w:val="24"/>
          <w:lang w:val="en-GB"/>
        </w:rPr>
        <w:t xml:space="preserve">, lymphoma and multiple myeloma) was included to: provide the overall cancer risk from radiation; to acknowledge that radiation can cause cancer in most organs/tissues of the body; and to provide risk estimates </w:t>
      </w:r>
      <w:r w:rsidR="00CE0BE8">
        <w:rPr>
          <w:rFonts w:eastAsia="TradeGothicLTStd" w:cs="Times New Roman"/>
          <w:color w:val="1A181C"/>
          <w:szCs w:val="24"/>
          <w:lang w:val="en-GB"/>
        </w:rPr>
        <w:t xml:space="preserve">based on a large outcome grouping with a </w:t>
      </w:r>
      <w:r w:rsidRPr="00DB47CD">
        <w:rPr>
          <w:rFonts w:eastAsia="TradeGothicLTStd" w:cs="Times New Roman"/>
          <w:color w:val="1A181C"/>
          <w:szCs w:val="24"/>
          <w:lang w:val="en-GB"/>
        </w:rPr>
        <w:t>higher statistical power than otherwise obtainable just from analyses on individual cancer sites.</w:t>
      </w:r>
    </w:p>
    <w:p w14:paraId="16D517DB" w14:textId="77777777" w:rsidR="00BF0719" w:rsidRPr="00DB47CD" w:rsidRDefault="00BF0719" w:rsidP="00BF0719">
      <w:pPr>
        <w:jc w:val="both"/>
        <w:rPr>
          <w:rFonts w:eastAsia="Calibri" w:cs="Times New Roman"/>
          <w:bCs/>
          <w:szCs w:val="24"/>
          <w:lang w:val="en-GB"/>
        </w:rPr>
      </w:pPr>
      <w:r w:rsidRPr="00DB47CD">
        <w:rPr>
          <w:rFonts w:eastAsia="TradeGothicLTStd" w:cs="Times New Roman"/>
          <w:color w:val="1A181C"/>
          <w:szCs w:val="24"/>
          <w:lang w:val="en-GB"/>
        </w:rPr>
        <w:t xml:space="preserve">The </w:t>
      </w:r>
      <w:r w:rsidRPr="00DB47CD">
        <w:rPr>
          <w:rFonts w:eastAsia="TradeGothicLTStd" w:cs="Times New Roman"/>
          <w:bCs/>
          <w:color w:val="1A181C"/>
          <w:szCs w:val="24"/>
          <w:lang w:val="en-GB"/>
        </w:rPr>
        <w:t>risk to dose response models in terms of</w:t>
      </w:r>
      <w:r w:rsidRPr="00DB47CD">
        <w:rPr>
          <w:rFonts w:eastAsia="Calibri" w:cs="Times New Roman"/>
          <w:iCs/>
          <w:szCs w:val="24"/>
          <w:lang w:val="en-GB"/>
        </w:rPr>
        <w:t xml:space="preserve"> excess relative risk (</w:t>
      </w:r>
      <w:r w:rsidRPr="00DB47CD">
        <w:rPr>
          <w:rFonts w:eastAsia="Calibri" w:cs="Times New Roman"/>
          <w:i/>
          <w:szCs w:val="24"/>
          <w:lang w:val="en-GB"/>
        </w:rPr>
        <w:t>ERR</w:t>
      </w:r>
      <w:r w:rsidRPr="00DB47CD">
        <w:rPr>
          <w:rFonts w:eastAsia="Calibri" w:cs="Times New Roman"/>
          <w:iCs/>
          <w:szCs w:val="24"/>
          <w:lang w:val="en-GB"/>
        </w:rPr>
        <w:t>) and excess absolute risk (</w:t>
      </w:r>
      <w:r w:rsidRPr="00DB47CD">
        <w:rPr>
          <w:rFonts w:eastAsia="Calibri" w:cs="Times New Roman"/>
          <w:i/>
          <w:szCs w:val="24"/>
          <w:lang w:val="en-GB"/>
        </w:rPr>
        <w:t>EAR</w:t>
      </w:r>
      <w:r w:rsidRPr="00DB47CD">
        <w:rPr>
          <w:rFonts w:eastAsia="Calibri" w:cs="Times New Roman"/>
          <w:iCs/>
          <w:szCs w:val="24"/>
          <w:lang w:val="en-GB"/>
        </w:rPr>
        <w:t xml:space="preserve">) </w:t>
      </w:r>
      <w:r w:rsidRPr="00DB47CD">
        <w:rPr>
          <w:rFonts w:eastAsia="TradeGothicLTStd" w:cs="Times New Roman"/>
          <w:bCs/>
          <w:color w:val="1A181C"/>
          <w:szCs w:val="24"/>
          <w:lang w:val="en-GB"/>
        </w:rPr>
        <w:t>for these four cancer incidence site groupings were mostly taken from</w:t>
      </w:r>
      <w:r w:rsidRPr="00DB47CD">
        <w:rPr>
          <w:rFonts w:eastAsia="SimSun" w:cs="Times New Roman"/>
          <w:color w:val="7F7F7F"/>
          <w:szCs w:val="24"/>
          <w:lang w:val="en-GB"/>
        </w:rPr>
        <w:t xml:space="preserve"> </w:t>
      </w:r>
      <w:r w:rsidRPr="00DB47CD">
        <w:rPr>
          <w:rFonts w:eastAsia="Calibri" w:cs="Times New Roman"/>
          <w:szCs w:val="24"/>
          <w:lang w:val="en-GB"/>
        </w:rPr>
        <w:t xml:space="preserve">current publications: </w:t>
      </w:r>
      <w:r w:rsidRPr="00DB47CD">
        <w:rPr>
          <w:rFonts w:eastAsia="TradeGothicLTStd" w:cs="Times New Roman"/>
          <w:bCs/>
          <w:color w:val="1A181C"/>
          <w:szCs w:val="24"/>
          <w:lang w:val="en-GB"/>
        </w:rPr>
        <w:t xml:space="preserve">the Japanese A-bomb survivor Life Span Study (LSS) cohort with a follow-up 1958–2001 (Hsu et al. 2013) for leukaemia; the LSS cohort with a follow-up1958–1999 (Jacob et al. 2014) for thyroid cancer; a </w:t>
      </w:r>
      <w:r w:rsidRPr="00DB47CD">
        <w:rPr>
          <w:rFonts w:eastAsia="TradeGothicLTStd" w:cs="Times New Roman"/>
          <w:color w:val="1A181C"/>
          <w:szCs w:val="24"/>
          <w:lang w:val="en-GB"/>
        </w:rPr>
        <w:t xml:space="preserve">pooled study of eight cohorts (Preston et al. 2002) for breast cancer; and the </w:t>
      </w:r>
      <w:r w:rsidRPr="00DB47CD">
        <w:rPr>
          <w:rFonts w:eastAsia="TradeGothicLTStd" w:cs="Times New Roman"/>
          <w:bCs/>
          <w:color w:val="1A181C"/>
          <w:szCs w:val="24"/>
          <w:lang w:val="en-GB"/>
        </w:rPr>
        <w:t xml:space="preserve">LSS cohort with a follow-up 1958–2009 (Grant et al. 2017) for all solid cancer (although  Grant et al. 2017 did not publish an EAR model unadjusted for smoking, that would have been suitable for this application, – the authors have provided such a model in Appendix A). </w:t>
      </w:r>
      <w:r w:rsidRPr="00DB47CD">
        <w:rPr>
          <w:rFonts w:eastAsia="Calibri" w:cs="Times New Roman"/>
          <w:iCs/>
          <w:szCs w:val="24"/>
          <w:lang w:val="en-GB"/>
        </w:rPr>
        <w:t xml:space="preserve">These models have: the form of a linear dose-response function for all solid cancers, thyroid cancer and female breast cancer; a linear-quadratic dose-response function for </w:t>
      </w:r>
      <w:proofErr w:type="spellStart"/>
      <w:r w:rsidRPr="00DB47CD">
        <w:rPr>
          <w:rFonts w:eastAsia="Calibri" w:cs="Times New Roman"/>
          <w:iCs/>
          <w:szCs w:val="24"/>
          <w:lang w:val="en-GB"/>
        </w:rPr>
        <w:t>leukemia</w:t>
      </w:r>
      <w:proofErr w:type="spellEnd"/>
      <w:r w:rsidRPr="00DB47CD">
        <w:rPr>
          <w:rFonts w:eastAsia="Calibri" w:cs="Times New Roman"/>
          <w:iCs/>
          <w:szCs w:val="24"/>
          <w:lang w:val="en-GB"/>
        </w:rPr>
        <w:t>; and include risk effect modification by age-at-exposure (</w:t>
      </w:r>
      <w:r w:rsidRPr="00DB47CD">
        <w:rPr>
          <w:rFonts w:eastAsia="Calibri" w:cs="Times New Roman"/>
          <w:i/>
          <w:szCs w:val="24"/>
          <w:lang w:val="en-GB"/>
        </w:rPr>
        <w:t>e</w:t>
      </w:r>
      <w:r w:rsidRPr="00DB47CD">
        <w:rPr>
          <w:rFonts w:eastAsia="Calibri" w:cs="Times New Roman"/>
          <w:iCs/>
          <w:szCs w:val="24"/>
          <w:lang w:val="en-GB"/>
        </w:rPr>
        <w:t>), sex (</w:t>
      </w:r>
      <w:r w:rsidRPr="00DB47CD">
        <w:rPr>
          <w:rFonts w:eastAsia="Calibri" w:cs="Times New Roman"/>
          <w:i/>
          <w:szCs w:val="24"/>
          <w:lang w:val="en-GB"/>
        </w:rPr>
        <w:t>s</w:t>
      </w:r>
      <w:r w:rsidRPr="00DB47CD">
        <w:rPr>
          <w:rFonts w:eastAsia="Calibri" w:cs="Times New Roman"/>
          <w:iCs/>
          <w:szCs w:val="24"/>
          <w:lang w:val="en-GB"/>
        </w:rPr>
        <w:t>) and attained age (</w:t>
      </w:r>
      <w:r w:rsidRPr="00DB47CD">
        <w:rPr>
          <w:rFonts w:eastAsia="Calibri" w:cs="Times New Roman"/>
          <w:i/>
          <w:szCs w:val="24"/>
          <w:lang w:val="en-GB"/>
        </w:rPr>
        <w:t>a</w:t>
      </w:r>
      <w:r w:rsidRPr="00DB47CD">
        <w:rPr>
          <w:rFonts w:eastAsia="Calibri" w:cs="Times New Roman"/>
          <w:iCs/>
          <w:szCs w:val="24"/>
          <w:lang w:val="en-GB"/>
        </w:rPr>
        <w:t>). The combined excess risk (</w:t>
      </w:r>
      <w:r w:rsidRPr="00DB47CD">
        <w:rPr>
          <w:rFonts w:eastAsia="Calibri" w:cs="Times New Roman"/>
          <w:i/>
          <w:iCs/>
          <w:szCs w:val="24"/>
          <w:lang w:val="en-GB"/>
        </w:rPr>
        <w:t>ER</w:t>
      </w:r>
      <w:r w:rsidRPr="00DB47CD">
        <w:rPr>
          <w:rFonts w:eastAsia="Calibri" w:cs="Times New Roman"/>
          <w:iCs/>
          <w:szCs w:val="24"/>
          <w:lang w:val="en-GB"/>
        </w:rPr>
        <w:t>) model,</w:t>
      </w:r>
      <w:r w:rsidRPr="00DB47CD">
        <w:rPr>
          <w:rFonts w:eastAsia="Calibri" w:cs="Times New Roman"/>
          <w:bCs/>
          <w:szCs w:val="24"/>
          <w:lang w:val="en-GB"/>
        </w:rPr>
        <w:t xml:space="preserve"> </w:t>
      </w:r>
      <w:r w:rsidRPr="00DB47CD">
        <w:rPr>
          <w:rFonts w:eastAsia="Calibri" w:cs="Times New Roman"/>
          <w:bCs/>
          <w:i/>
          <w:szCs w:val="24"/>
          <w:lang w:val="en-GB"/>
        </w:rPr>
        <w:t>ER</w:t>
      </w:r>
      <w:r w:rsidRPr="00DB47CD">
        <w:rPr>
          <w:rFonts w:eastAsia="Calibri" w:cs="Times New Roman"/>
          <w:bCs/>
          <w:szCs w:val="24"/>
          <w:lang w:val="en-GB"/>
        </w:rPr>
        <w:t xml:space="preserve"> (</w:t>
      </w:r>
      <w:r w:rsidRPr="00DB47CD">
        <w:rPr>
          <w:rFonts w:eastAsia="Calibri" w:cs="Times New Roman"/>
          <w:bCs/>
          <w:i/>
          <w:szCs w:val="24"/>
          <w:lang w:val="en-GB"/>
        </w:rPr>
        <w:t>d</w:t>
      </w:r>
      <w:r w:rsidRPr="00DB47CD">
        <w:rPr>
          <w:rFonts w:eastAsia="Calibri" w:cs="Times New Roman"/>
          <w:bCs/>
          <w:szCs w:val="24"/>
          <w:lang w:val="en-GB"/>
        </w:rPr>
        <w:t xml:space="preserve">, </w:t>
      </w:r>
      <w:r w:rsidRPr="00DB47CD">
        <w:rPr>
          <w:rFonts w:eastAsia="Calibri" w:cs="Times New Roman"/>
          <w:bCs/>
          <w:i/>
          <w:szCs w:val="24"/>
          <w:lang w:val="en-GB"/>
        </w:rPr>
        <w:t>e</w:t>
      </w:r>
      <w:r w:rsidRPr="00DB47CD">
        <w:rPr>
          <w:rFonts w:eastAsia="Calibri" w:cs="Times New Roman"/>
          <w:bCs/>
          <w:szCs w:val="24"/>
          <w:lang w:val="en-GB"/>
        </w:rPr>
        <w:t xml:space="preserve">, </w:t>
      </w:r>
      <w:r w:rsidRPr="00DB47CD">
        <w:rPr>
          <w:rFonts w:eastAsia="Calibri" w:cs="Times New Roman"/>
          <w:bCs/>
          <w:i/>
          <w:szCs w:val="24"/>
          <w:lang w:val="en-GB"/>
        </w:rPr>
        <w:t>a, s</w:t>
      </w:r>
      <w:r w:rsidRPr="00DB47CD">
        <w:rPr>
          <w:rFonts w:eastAsia="Calibri" w:cs="Times New Roman"/>
          <w:bCs/>
          <w:szCs w:val="24"/>
          <w:lang w:val="en-GB"/>
        </w:rPr>
        <w:t>) is given by</w:t>
      </w:r>
    </w:p>
    <w:tbl>
      <w:tblPr>
        <w:tblW w:w="0" w:type="auto"/>
        <w:jc w:val="center"/>
        <w:tblLook w:val="04A0" w:firstRow="1" w:lastRow="0" w:firstColumn="1" w:lastColumn="0" w:noHBand="0" w:noVBand="1"/>
      </w:tblPr>
      <w:tblGrid>
        <w:gridCol w:w="846"/>
        <w:gridCol w:w="7234"/>
        <w:gridCol w:w="982"/>
      </w:tblGrid>
      <w:tr w:rsidR="00BF0719" w:rsidRPr="00DB47CD" w14:paraId="1C5C318C" w14:textId="77777777" w:rsidTr="004458DA">
        <w:trPr>
          <w:jc w:val="center"/>
        </w:trPr>
        <w:tc>
          <w:tcPr>
            <w:tcW w:w="846" w:type="dxa"/>
            <w:vAlign w:val="center"/>
          </w:tcPr>
          <w:p w14:paraId="0800DF37" w14:textId="77777777" w:rsidR="00BF0719" w:rsidRPr="00DB47CD" w:rsidRDefault="00BF0719" w:rsidP="00BF0719">
            <w:pPr>
              <w:jc w:val="center"/>
              <w:rPr>
                <w:rFonts w:eastAsia="Calibri" w:cs="Times New Roman"/>
                <w:iCs/>
                <w:szCs w:val="24"/>
                <w:lang w:val="en-GB"/>
              </w:rPr>
            </w:pPr>
          </w:p>
        </w:tc>
        <w:tc>
          <w:tcPr>
            <w:tcW w:w="7234" w:type="dxa"/>
            <w:vAlign w:val="center"/>
          </w:tcPr>
          <w:p w14:paraId="247FEC5E" w14:textId="77777777" w:rsidR="00BF0719" w:rsidRPr="00DB47CD" w:rsidRDefault="00BF0719" w:rsidP="00BF0719">
            <w:pPr>
              <w:jc w:val="center"/>
              <w:rPr>
                <w:rFonts w:eastAsia="Calibri" w:cs="Times New Roman"/>
                <w:iCs/>
                <w:szCs w:val="24"/>
                <w:lang w:val="en-GB"/>
              </w:rPr>
            </w:pPr>
            <m:oMathPara>
              <m:oMath>
                <m:r>
                  <w:rPr>
                    <w:rFonts w:ascii="Cambria Math" w:eastAsia="Calibri" w:hAnsi="Cambria Math" w:cs="Times New Roman"/>
                    <w:szCs w:val="24"/>
                    <w:lang w:val="en-GB"/>
                  </w:rPr>
                  <m:t>ER</m:t>
                </m:r>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d,e,a,s</m:t>
                    </m:r>
                  </m:e>
                </m:d>
                <m:r>
                  <w:rPr>
                    <w:rFonts w:ascii="Cambria Math" w:eastAsia="Calibri" w:hAnsi="Cambria Math" w:cs="Times New Roman"/>
                    <w:szCs w:val="24"/>
                    <w:lang w:val="en-GB"/>
                  </w:rPr>
                  <m:t>=f EAR</m:t>
                </m:r>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d,e,a,s</m:t>
                    </m:r>
                  </m:e>
                </m:d>
                <m:r>
                  <w:rPr>
                    <w:rFonts w:ascii="Cambria Math" w:eastAsia="Calibri" w:hAnsi="Cambria Math" w:cs="Times New Roman"/>
                    <w:szCs w:val="24"/>
                    <w:lang w:val="en-GB"/>
                  </w:rPr>
                  <m:t>+</m:t>
                </m:r>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1-f</m:t>
                    </m:r>
                  </m:e>
                </m:d>
                <m:r>
                  <w:rPr>
                    <w:rFonts w:ascii="Cambria Math" w:eastAsia="Calibri" w:hAnsi="Cambria Math" w:cs="Times New Roman"/>
                    <w:szCs w:val="24"/>
                    <w:lang w:val="en-GB"/>
                  </w:rPr>
                  <m:t>ERR</m:t>
                </m:r>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d,e,a,s</m:t>
                    </m:r>
                  </m:e>
                </m:d>
                <m:r>
                  <w:rPr>
                    <w:rFonts w:ascii="Cambria Math" w:eastAsia="Calibri" w:hAnsi="Cambria Math" w:cs="Times New Roman"/>
                    <w:szCs w:val="24"/>
                    <w:lang w:val="en-GB"/>
                  </w:rPr>
                  <m:t>m(a,s)</m:t>
                </m:r>
              </m:oMath>
            </m:oMathPara>
          </w:p>
        </w:tc>
        <w:tc>
          <w:tcPr>
            <w:tcW w:w="982" w:type="dxa"/>
            <w:vAlign w:val="center"/>
          </w:tcPr>
          <w:p w14:paraId="5A9B8C24" w14:textId="77777777" w:rsidR="00BF0719" w:rsidRPr="00DB47CD" w:rsidRDefault="00BF0719" w:rsidP="00BF0719">
            <w:pPr>
              <w:jc w:val="center"/>
              <w:rPr>
                <w:rFonts w:eastAsia="Calibri" w:cs="Times New Roman"/>
                <w:iCs/>
                <w:szCs w:val="24"/>
                <w:lang w:val="en-GB"/>
              </w:rPr>
            </w:pPr>
            <w:r w:rsidRPr="00DB47CD">
              <w:rPr>
                <w:rFonts w:eastAsia="Calibri" w:cs="Times New Roman"/>
                <w:iCs/>
                <w:szCs w:val="24"/>
                <w:lang w:val="en-GB"/>
              </w:rPr>
              <w:t>(1)</w:t>
            </w:r>
          </w:p>
        </w:tc>
      </w:tr>
    </w:tbl>
    <w:p w14:paraId="17E593FD" w14:textId="77777777" w:rsidR="00BF0719" w:rsidRPr="00DB47CD" w:rsidRDefault="00BF0719" w:rsidP="00BF0719">
      <w:pPr>
        <w:autoSpaceDE w:val="0"/>
        <w:autoSpaceDN w:val="0"/>
        <w:adjustRightInd w:val="0"/>
        <w:jc w:val="both"/>
        <w:rPr>
          <w:rFonts w:eastAsia="TradeGothicLTStd" w:cs="Times New Roman"/>
          <w:bCs/>
          <w:color w:val="1A181C"/>
          <w:szCs w:val="24"/>
          <w:lang w:val="en-GB"/>
        </w:rPr>
      </w:pPr>
      <w:proofErr w:type="gramStart"/>
      <w:r w:rsidRPr="00DB47CD">
        <w:rPr>
          <w:rFonts w:eastAsia="Calibri" w:cs="Times New Roman"/>
          <w:bCs/>
          <w:iCs/>
          <w:szCs w:val="24"/>
          <w:lang w:val="en-GB"/>
        </w:rPr>
        <w:lastRenderedPageBreak/>
        <w:t>where</w:t>
      </w:r>
      <w:proofErr w:type="gramEnd"/>
      <w:r w:rsidRPr="00DB47CD">
        <w:rPr>
          <w:rFonts w:eastAsia="Calibri" w:cs="Times New Roman"/>
          <w:bCs/>
          <w:iCs/>
          <w:szCs w:val="24"/>
          <w:lang w:val="en-GB"/>
        </w:rPr>
        <w:t xml:space="preserve">: </w:t>
      </w:r>
      <w:r w:rsidRPr="00DB47CD">
        <w:rPr>
          <w:rFonts w:eastAsia="Calibri" w:cs="Times New Roman"/>
          <w:bCs/>
          <w:i/>
          <w:iCs/>
          <w:szCs w:val="24"/>
          <w:lang w:val="en-GB"/>
        </w:rPr>
        <w:t>f</w:t>
      </w:r>
      <w:r w:rsidRPr="00DB47CD">
        <w:rPr>
          <w:rFonts w:eastAsia="Calibri" w:cs="Times New Roman"/>
          <w:bCs/>
          <w:iCs/>
          <w:szCs w:val="24"/>
          <w:lang w:val="en-GB"/>
        </w:rPr>
        <w:t xml:space="preserve"> is the weighting factor between an additive (</w:t>
      </w:r>
      <w:r w:rsidRPr="00DB47CD">
        <w:rPr>
          <w:rFonts w:eastAsia="Calibri" w:cs="Times New Roman"/>
          <w:bCs/>
          <w:i/>
          <w:iCs/>
          <w:szCs w:val="24"/>
          <w:lang w:val="en-GB"/>
        </w:rPr>
        <w:t>EAR</w:t>
      </w:r>
      <w:r w:rsidRPr="00DB47CD">
        <w:rPr>
          <w:rFonts w:eastAsia="Calibri" w:cs="Times New Roman"/>
          <w:bCs/>
          <w:iCs/>
          <w:szCs w:val="24"/>
          <w:lang w:val="en-GB"/>
        </w:rPr>
        <w:t>) and a multiplicative (</w:t>
      </w:r>
      <w:r w:rsidRPr="00DB47CD">
        <w:rPr>
          <w:rFonts w:eastAsia="Calibri" w:cs="Times New Roman"/>
          <w:bCs/>
          <w:i/>
          <w:iCs/>
          <w:szCs w:val="24"/>
          <w:lang w:val="en-GB"/>
        </w:rPr>
        <w:t>ERR</w:t>
      </w:r>
      <w:r w:rsidRPr="00DB47CD">
        <w:rPr>
          <w:rFonts w:eastAsia="Calibri" w:cs="Times New Roman"/>
          <w:bCs/>
          <w:iCs/>
          <w:szCs w:val="24"/>
          <w:lang w:val="en-GB"/>
        </w:rPr>
        <w:t>) transfer of risk;</w:t>
      </w:r>
      <w:r w:rsidRPr="00DB47CD">
        <w:rPr>
          <w:rFonts w:eastAsia="Calibri" w:cs="Times New Roman"/>
          <w:iCs/>
          <w:szCs w:val="24"/>
          <w:lang w:val="en-GB"/>
        </w:rPr>
        <w:t xml:space="preserve"> </w:t>
      </w:r>
      <w:r w:rsidRPr="00DB47CD">
        <w:rPr>
          <w:rFonts w:eastAsia="Calibri" w:cs="Times New Roman"/>
          <w:bCs/>
          <w:i/>
          <w:szCs w:val="24"/>
          <w:lang w:val="en-GB"/>
        </w:rPr>
        <w:t>m</w:t>
      </w:r>
      <w:r w:rsidRPr="00DB47CD">
        <w:rPr>
          <w:rFonts w:eastAsia="Calibri" w:cs="Times New Roman"/>
          <w:bCs/>
          <w:szCs w:val="24"/>
          <w:lang w:val="en-GB"/>
        </w:rPr>
        <w:t>(</w:t>
      </w:r>
      <w:r w:rsidRPr="00DB47CD">
        <w:rPr>
          <w:rFonts w:eastAsia="Calibri" w:cs="Times New Roman"/>
          <w:bCs/>
          <w:i/>
          <w:szCs w:val="24"/>
          <w:lang w:val="en-GB"/>
        </w:rPr>
        <w:t>a</w:t>
      </w:r>
      <w:r w:rsidRPr="00DB47CD">
        <w:rPr>
          <w:rFonts w:eastAsia="Calibri" w:cs="Times New Roman"/>
          <w:bCs/>
          <w:szCs w:val="24"/>
          <w:lang w:val="en-GB"/>
        </w:rPr>
        <w:t xml:space="preserve">, </w:t>
      </w:r>
      <w:r w:rsidRPr="00DB47CD">
        <w:rPr>
          <w:rFonts w:eastAsia="Calibri" w:cs="Times New Roman"/>
          <w:bCs/>
          <w:i/>
          <w:szCs w:val="24"/>
          <w:lang w:val="en-GB"/>
        </w:rPr>
        <w:t>s</w:t>
      </w:r>
      <w:r w:rsidRPr="00DB47CD">
        <w:rPr>
          <w:rFonts w:eastAsia="Calibri" w:cs="Times New Roman"/>
          <w:bCs/>
          <w:szCs w:val="24"/>
          <w:lang w:val="en-GB"/>
        </w:rPr>
        <w:t xml:space="preserve">) is the age- and sex-specific baseline cancer incidence rate. </w:t>
      </w:r>
      <w:r w:rsidRPr="00DB47CD">
        <w:rPr>
          <w:rFonts w:eastAsia="Calibri" w:cs="Times New Roman"/>
          <w:bCs/>
          <w:iCs/>
          <w:szCs w:val="24"/>
          <w:lang w:val="en-GB"/>
        </w:rPr>
        <w:t>To allow for modelling uncertainty associated with unknown type of risk transfer mechanism</w:t>
      </w:r>
      <w:r w:rsidRPr="00DB47CD">
        <w:rPr>
          <w:rFonts w:eastAsia="Calibri" w:cs="Times New Roman"/>
          <w:iCs/>
          <w:szCs w:val="24"/>
          <w:lang w:val="en-GB"/>
        </w:rPr>
        <w:t xml:space="preserve"> the value of the factor </w:t>
      </w:r>
      <w:r w:rsidRPr="00DB47CD">
        <w:rPr>
          <w:rFonts w:eastAsia="Calibri" w:cs="Times New Roman"/>
          <w:i/>
          <w:szCs w:val="24"/>
          <w:lang w:val="en-GB"/>
        </w:rPr>
        <w:t>f</w:t>
      </w:r>
      <w:r w:rsidRPr="00DB47CD">
        <w:rPr>
          <w:rFonts w:eastAsia="Calibri" w:cs="Times New Roman"/>
          <w:iCs/>
          <w:szCs w:val="24"/>
          <w:lang w:val="en-GB"/>
        </w:rPr>
        <w:t xml:space="preserve"> has been assumed uniformly distributed in the range from 0 to 1. Computations in this paper have been performed using </w:t>
      </w:r>
      <w:r w:rsidRPr="00DB47CD">
        <w:rPr>
          <w:rFonts w:eastAsia="TradeGothicLTStd" w:cs="Times New Roman"/>
          <w:color w:val="1A181C"/>
          <w:szCs w:val="24"/>
          <w:lang w:val="en-GB"/>
        </w:rPr>
        <w:t>contemporary</w:t>
      </w:r>
      <w:r w:rsidRPr="00DB47CD">
        <w:rPr>
          <w:rFonts w:eastAsia="Calibri" w:cs="Times New Roman"/>
          <w:szCs w:val="24"/>
          <w:lang w:val="en-GB"/>
        </w:rPr>
        <w:t xml:space="preserve"> cancer incidence rates for an illustrative European population</w:t>
      </w:r>
      <w:r w:rsidRPr="00DB47CD">
        <w:rPr>
          <w:rFonts w:eastAsia="Calibri" w:cs="Times New Roman"/>
          <w:bCs/>
          <w:szCs w:val="24"/>
          <w:lang w:val="en-GB"/>
        </w:rPr>
        <w:t xml:space="preserve"> (Germany) in 2014</w:t>
      </w:r>
      <w:r w:rsidRPr="00DB47CD">
        <w:rPr>
          <w:rFonts w:eastAsia="Calibri" w:cs="Times New Roman"/>
          <w:bCs/>
          <w:iCs/>
          <w:szCs w:val="24"/>
          <w:lang w:val="en-GB"/>
        </w:rPr>
        <w:t>.</w:t>
      </w:r>
      <w:r w:rsidRPr="00DB47CD">
        <w:rPr>
          <w:rFonts w:eastAsia="Calibri" w:cs="Times New Roman"/>
          <w:iCs/>
          <w:szCs w:val="24"/>
          <w:lang w:val="en-GB"/>
        </w:rPr>
        <w:t xml:space="preserve"> </w:t>
      </w:r>
    </w:p>
    <w:p w14:paraId="5D6B195D" w14:textId="77777777" w:rsidR="00BF0719" w:rsidRPr="00DB47CD" w:rsidRDefault="00BF0719" w:rsidP="00BF0719">
      <w:pPr>
        <w:autoSpaceDE w:val="0"/>
        <w:autoSpaceDN w:val="0"/>
        <w:adjustRightInd w:val="0"/>
        <w:jc w:val="both"/>
        <w:rPr>
          <w:rFonts w:eastAsia="TradeGothicLTStd" w:cs="Times New Roman"/>
          <w:color w:val="1A181C"/>
          <w:szCs w:val="24"/>
          <w:lang w:val="en-GB"/>
        </w:rPr>
      </w:pPr>
    </w:p>
    <w:p w14:paraId="70B8F76C" w14:textId="77777777" w:rsidR="00BF0719" w:rsidRPr="00DB47CD" w:rsidRDefault="00BF0719" w:rsidP="00BF0719">
      <w:pPr>
        <w:autoSpaceDE w:val="0"/>
        <w:autoSpaceDN w:val="0"/>
        <w:adjustRightInd w:val="0"/>
        <w:jc w:val="both"/>
        <w:rPr>
          <w:rFonts w:eastAsia="TradeGothicLTStd" w:cs="Times New Roman"/>
          <w:i/>
          <w:color w:val="1A181C"/>
          <w:szCs w:val="24"/>
          <w:lang w:val="en-GB"/>
        </w:rPr>
      </w:pPr>
      <w:r w:rsidRPr="00DB47CD">
        <w:rPr>
          <w:rFonts w:eastAsia="TradeGothicLTStd" w:cs="Times New Roman"/>
          <w:i/>
          <w:color w:val="1A181C"/>
          <w:szCs w:val="24"/>
          <w:lang w:val="en-GB"/>
        </w:rPr>
        <w:t>Risk quantities</w:t>
      </w:r>
    </w:p>
    <w:p w14:paraId="02F8E6FE" w14:textId="1994C465" w:rsidR="00BF0719" w:rsidRPr="00DB47CD" w:rsidRDefault="00BF0719" w:rsidP="00BF0719">
      <w:pPr>
        <w:autoSpaceDE w:val="0"/>
        <w:autoSpaceDN w:val="0"/>
        <w:adjustRightInd w:val="0"/>
        <w:jc w:val="both"/>
        <w:rPr>
          <w:rFonts w:eastAsia="Calibri" w:cs="Times New Roman"/>
          <w:bCs/>
          <w:szCs w:val="24"/>
          <w:lang w:val="en-GB"/>
        </w:rPr>
      </w:pPr>
      <w:r w:rsidRPr="00DB47CD">
        <w:rPr>
          <w:rFonts w:eastAsia="Calibri" w:cs="Times New Roman"/>
          <w:szCs w:val="24"/>
          <w:lang w:val="en-GB"/>
        </w:rPr>
        <w:t>The conventional lifetime attributable risk (</w:t>
      </w:r>
      <w:r w:rsidRPr="00DB47CD">
        <w:rPr>
          <w:rFonts w:eastAsia="Calibri" w:cs="Times New Roman"/>
          <w:i/>
          <w:iCs/>
          <w:szCs w:val="24"/>
          <w:lang w:val="en-GB"/>
        </w:rPr>
        <w:t>LAR</w:t>
      </w:r>
      <w:r w:rsidRPr="00DB47CD">
        <w:rPr>
          <w:rFonts w:eastAsia="Calibri" w:cs="Times New Roman"/>
          <w:szCs w:val="24"/>
          <w:lang w:val="en-GB"/>
        </w:rPr>
        <w:t xml:space="preserve">) (Thomas et al. 1992, </w:t>
      </w:r>
      <w:proofErr w:type="spellStart"/>
      <w:r w:rsidRPr="00DB47CD">
        <w:rPr>
          <w:rFonts w:eastAsia="Calibri" w:cs="Times New Roman"/>
          <w:szCs w:val="24"/>
          <w:lang w:val="en-GB"/>
        </w:rPr>
        <w:t>Vaeth</w:t>
      </w:r>
      <w:proofErr w:type="spellEnd"/>
      <w:r w:rsidRPr="00DB47CD">
        <w:rPr>
          <w:rFonts w:eastAsia="Calibri" w:cs="Times New Roman"/>
          <w:szCs w:val="24"/>
          <w:lang w:val="en-GB"/>
        </w:rPr>
        <w:t xml:space="preserve"> et al. 1990) was selected as the risk quantity for application here. </w:t>
      </w:r>
      <w:r w:rsidRPr="00DB47CD">
        <w:rPr>
          <w:rFonts w:eastAsia="Calibri" w:cs="Times New Roman"/>
          <w:i/>
          <w:iCs/>
          <w:szCs w:val="24"/>
          <w:lang w:val="en-GB"/>
        </w:rPr>
        <w:t>LAR</w:t>
      </w:r>
      <w:r w:rsidRPr="00DB47CD">
        <w:rPr>
          <w:rFonts w:eastAsia="Calibri" w:cs="Times New Roman"/>
          <w:szCs w:val="24"/>
          <w:lang w:val="en-GB"/>
        </w:rPr>
        <w:t xml:space="preserve"> is equivalent to the risk of exposure-induced death or incidence of, cancer (</w:t>
      </w:r>
      <w:r w:rsidRPr="00DB47CD">
        <w:rPr>
          <w:rFonts w:eastAsia="Calibri" w:cs="Times New Roman"/>
          <w:i/>
          <w:iCs/>
          <w:szCs w:val="24"/>
          <w:lang w:val="en-GB"/>
        </w:rPr>
        <w:t>REID</w:t>
      </w:r>
      <w:r w:rsidRPr="00DB47CD">
        <w:rPr>
          <w:rFonts w:eastAsia="Calibri" w:cs="Times New Roman"/>
          <w:szCs w:val="24"/>
          <w:lang w:val="en-GB"/>
        </w:rPr>
        <w:t>) and other similar measures (</w:t>
      </w:r>
      <w:proofErr w:type="spellStart"/>
      <w:r w:rsidRPr="00DB47CD">
        <w:rPr>
          <w:rFonts w:eastAsia="Calibri" w:cs="Times New Roman"/>
          <w:szCs w:val="24"/>
          <w:lang w:val="en-GB"/>
        </w:rPr>
        <w:t>Kellerer</w:t>
      </w:r>
      <w:proofErr w:type="spellEnd"/>
      <w:r w:rsidRPr="00DB47CD">
        <w:rPr>
          <w:rFonts w:eastAsia="Calibri" w:cs="Times New Roman"/>
          <w:szCs w:val="24"/>
          <w:lang w:val="en-GB"/>
        </w:rPr>
        <w:t xml:space="preserve"> et al. 2001) at the doses relevant to protecting populations from stochastic effects under </w:t>
      </w:r>
      <w:r w:rsidR="00D172E2">
        <w:rPr>
          <w:rFonts w:eastAsia="Calibri" w:cs="Times New Roman"/>
          <w:szCs w:val="24"/>
          <w:lang w:val="en-GB"/>
        </w:rPr>
        <w:t xml:space="preserve">organ doses of </w:t>
      </w:r>
      <w:r w:rsidRPr="00DB47CD">
        <w:rPr>
          <w:rFonts w:eastAsia="Calibri" w:cs="Times New Roman"/>
          <w:szCs w:val="24"/>
          <w:lang w:val="en-GB"/>
        </w:rPr>
        <w:t xml:space="preserve">about 0.5 </w:t>
      </w:r>
      <w:proofErr w:type="spellStart"/>
      <w:r w:rsidRPr="00DB47CD">
        <w:rPr>
          <w:rFonts w:eastAsia="Calibri" w:cs="Times New Roman"/>
          <w:szCs w:val="24"/>
          <w:lang w:val="en-GB"/>
        </w:rPr>
        <w:t>Gy</w:t>
      </w:r>
      <w:proofErr w:type="spellEnd"/>
      <w:r w:rsidRPr="00DB47CD">
        <w:rPr>
          <w:rFonts w:eastAsia="Calibri" w:cs="Times New Roman"/>
          <w:szCs w:val="24"/>
          <w:lang w:val="en-GB"/>
        </w:rPr>
        <w:t xml:space="preserve">. </w:t>
      </w:r>
      <w:r w:rsidRPr="00DB47CD">
        <w:rPr>
          <w:rFonts w:eastAsia="Calibri" w:cs="Times New Roman"/>
          <w:bCs/>
          <w:szCs w:val="24"/>
          <w:lang w:val="en-GB"/>
        </w:rPr>
        <w:t xml:space="preserve"> </w:t>
      </w:r>
    </w:p>
    <w:p w14:paraId="21C26263" w14:textId="6ABD23C4" w:rsidR="00BF0719" w:rsidRPr="00DB47CD" w:rsidRDefault="00BF0719" w:rsidP="00BF0719">
      <w:pPr>
        <w:jc w:val="both"/>
        <w:rPr>
          <w:rFonts w:eastAsia="Calibri" w:cs="Times New Roman"/>
          <w:bCs/>
          <w:szCs w:val="24"/>
          <w:lang w:val="en-GB"/>
        </w:rPr>
      </w:pPr>
      <w:r w:rsidRPr="00DB47CD">
        <w:rPr>
          <w:rFonts w:eastAsia="Calibri" w:cs="Times New Roman"/>
          <w:bCs/>
          <w:iCs/>
          <w:szCs w:val="24"/>
          <w:lang w:val="en-GB"/>
        </w:rPr>
        <w:t>The central estimate for the attributable risk from either one annual dose or one acute dose</w:t>
      </w:r>
      <w:proofErr w:type="gramStart"/>
      <w:r w:rsidRPr="00DB47CD">
        <w:rPr>
          <w:rFonts w:eastAsia="Calibri" w:cs="Times New Roman"/>
          <w:bCs/>
          <w:iCs/>
          <w:szCs w:val="24"/>
          <w:lang w:val="en-GB"/>
        </w:rPr>
        <w:t xml:space="preserve">, </w:t>
      </w:r>
      <w:proofErr w:type="gramEnd"/>
      <m:oMath>
        <m:r>
          <w:rPr>
            <w:rFonts w:ascii="Cambria Math" w:eastAsia="Calibri" w:hAnsi="Cambria Math" w:cs="Times New Roman"/>
            <w:szCs w:val="24"/>
            <w:lang w:val="en-GB"/>
          </w:rPr>
          <m:t>AR(d,e,s,a)</m:t>
        </m:r>
      </m:oMath>
      <w:r w:rsidRPr="00DB47CD">
        <w:rPr>
          <w:rFonts w:eastAsia="Calibri" w:cs="Times New Roman"/>
          <w:szCs w:val="24"/>
          <w:lang w:val="en-GB"/>
        </w:rPr>
        <w:t xml:space="preserve">, </w:t>
      </w:r>
      <w:r w:rsidRPr="00DB47CD">
        <w:rPr>
          <w:rFonts w:eastAsia="Calibri" w:cs="Times New Roman"/>
          <w:bCs/>
          <w:iCs/>
          <w:szCs w:val="24"/>
          <w:lang w:val="en-GB"/>
        </w:rPr>
        <w:t>specifies</w:t>
      </w:r>
      <w:r w:rsidRPr="00DB47CD">
        <w:rPr>
          <w:rFonts w:eastAsia="Calibri" w:cs="Times New Roman"/>
          <w:bCs/>
          <w:szCs w:val="24"/>
          <w:lang w:val="en-GB"/>
        </w:rPr>
        <w:t xml:space="preserve"> the sex (</w:t>
      </w:r>
      <w:r w:rsidRPr="00DB47CD">
        <w:rPr>
          <w:rFonts w:eastAsia="Calibri" w:cs="Times New Roman"/>
          <w:bCs/>
          <w:i/>
          <w:iCs/>
          <w:szCs w:val="24"/>
          <w:lang w:val="en-GB"/>
        </w:rPr>
        <w:t>s</w:t>
      </w:r>
      <w:r w:rsidRPr="00DB47CD">
        <w:rPr>
          <w:rFonts w:eastAsia="Calibri" w:cs="Times New Roman"/>
          <w:bCs/>
          <w:szCs w:val="24"/>
          <w:lang w:val="en-GB"/>
        </w:rPr>
        <w:t>) and age-at-exposure (</w:t>
      </w:r>
      <w:r w:rsidRPr="00DB47CD">
        <w:rPr>
          <w:rFonts w:eastAsia="Calibri" w:cs="Times New Roman"/>
          <w:bCs/>
          <w:i/>
          <w:iCs/>
          <w:szCs w:val="24"/>
          <w:lang w:val="en-GB"/>
        </w:rPr>
        <w:t>e</w:t>
      </w:r>
      <w:r w:rsidRPr="00DB47CD">
        <w:rPr>
          <w:rFonts w:eastAsia="Calibri" w:cs="Times New Roman"/>
          <w:bCs/>
          <w:szCs w:val="24"/>
          <w:lang w:val="en-GB"/>
        </w:rPr>
        <w:t>) specific</w:t>
      </w:r>
      <w:r w:rsidR="00D172E2">
        <w:rPr>
          <w:rFonts w:eastAsia="Calibri" w:cs="Times New Roman"/>
          <w:bCs/>
          <w:szCs w:val="24"/>
          <w:lang w:val="en-GB"/>
        </w:rPr>
        <w:t xml:space="preserve"> </w:t>
      </w:r>
      <w:r w:rsidRPr="00DB47CD">
        <w:rPr>
          <w:rFonts w:eastAsia="Calibri" w:cs="Times New Roman"/>
          <w:bCs/>
          <w:szCs w:val="24"/>
          <w:lang w:val="en-GB"/>
        </w:rPr>
        <w:t xml:space="preserve">cumulative probability of a specific cancer </w:t>
      </w:r>
      <w:r w:rsidR="00D172E2" w:rsidRPr="00DB47CD">
        <w:rPr>
          <w:rFonts w:eastAsia="Calibri" w:cs="Times New Roman"/>
          <w:bCs/>
          <w:szCs w:val="24"/>
          <w:lang w:val="en-GB"/>
        </w:rPr>
        <w:t xml:space="preserve">attributable to radiation exposure with dose </w:t>
      </w:r>
      <w:r w:rsidR="00D172E2" w:rsidRPr="00DB47CD">
        <w:rPr>
          <w:rFonts w:eastAsia="Calibri" w:cs="Times New Roman"/>
          <w:bCs/>
          <w:i/>
          <w:szCs w:val="24"/>
          <w:lang w:val="en-GB"/>
        </w:rPr>
        <w:t>d</w:t>
      </w:r>
      <w:r w:rsidR="00D172E2">
        <w:rPr>
          <w:rFonts w:eastAsia="Calibri" w:cs="Times New Roman"/>
          <w:bCs/>
          <w:szCs w:val="24"/>
          <w:lang w:val="en-GB"/>
        </w:rPr>
        <w:t xml:space="preserve">. The AR involves integrating </w:t>
      </w:r>
      <w:proofErr w:type="gramStart"/>
      <w:r w:rsidR="00D172E2">
        <w:rPr>
          <w:rFonts w:eastAsia="Calibri" w:cs="Times New Roman"/>
          <w:bCs/>
          <w:szCs w:val="24"/>
          <w:lang w:val="en-GB"/>
        </w:rPr>
        <w:t>over  time</w:t>
      </w:r>
      <w:proofErr w:type="gramEnd"/>
      <w:r w:rsidR="00D172E2">
        <w:rPr>
          <w:rFonts w:eastAsia="Calibri" w:cs="Times New Roman"/>
          <w:bCs/>
          <w:szCs w:val="24"/>
          <w:lang w:val="en-GB"/>
        </w:rPr>
        <w:t xml:space="preserve">, </w:t>
      </w:r>
      <w:r w:rsidR="00D172E2" w:rsidRPr="00D172E2">
        <w:rPr>
          <w:rFonts w:eastAsia="Calibri" w:cs="Times New Roman"/>
          <w:bCs/>
          <w:i/>
          <w:szCs w:val="24"/>
          <w:lang w:val="en-GB"/>
        </w:rPr>
        <w:t>t</w:t>
      </w:r>
      <w:r w:rsidR="00D172E2">
        <w:rPr>
          <w:rFonts w:eastAsia="Calibri" w:cs="Times New Roman"/>
          <w:bCs/>
          <w:szCs w:val="24"/>
          <w:lang w:val="en-GB"/>
        </w:rPr>
        <w:t xml:space="preserve">, from </w:t>
      </w:r>
      <w:r w:rsidR="00D172E2" w:rsidRPr="00D172E2">
        <w:rPr>
          <w:rFonts w:eastAsia="Calibri" w:cs="Times New Roman"/>
          <w:bCs/>
          <w:i/>
          <w:szCs w:val="24"/>
          <w:lang w:val="en-GB"/>
        </w:rPr>
        <w:t>e</w:t>
      </w:r>
      <w:r w:rsidR="00D172E2">
        <w:rPr>
          <w:rFonts w:eastAsia="Calibri" w:cs="Times New Roman"/>
          <w:bCs/>
          <w:szCs w:val="24"/>
          <w:lang w:val="en-GB"/>
        </w:rPr>
        <w:t xml:space="preserve"> </w:t>
      </w:r>
      <w:r w:rsidR="00D172E2" w:rsidRPr="00DB47CD">
        <w:rPr>
          <w:rFonts w:eastAsia="Calibri" w:cs="Times New Roman"/>
          <w:bCs/>
          <w:szCs w:val="24"/>
          <w:lang w:val="en-GB"/>
        </w:rPr>
        <w:t xml:space="preserve">up to an age </w:t>
      </w:r>
      <w:r w:rsidR="00D172E2" w:rsidRPr="00DB47CD">
        <w:rPr>
          <w:rFonts w:eastAsia="Calibri" w:cs="Times New Roman"/>
          <w:bCs/>
          <w:i/>
          <w:szCs w:val="24"/>
          <w:lang w:val="en-GB"/>
        </w:rPr>
        <w:t>a</w:t>
      </w:r>
      <w:r w:rsidR="00D172E2">
        <w:rPr>
          <w:rFonts w:eastAsia="Calibri" w:cs="Times New Roman"/>
          <w:bCs/>
          <w:szCs w:val="24"/>
          <w:lang w:val="en-GB"/>
        </w:rPr>
        <w:t>:-</w:t>
      </w:r>
      <w:r w:rsidRPr="00DB47CD">
        <w:rPr>
          <w:rFonts w:eastAsia="Calibri" w:cs="Times New Roman"/>
          <w:bCs/>
          <w:szCs w:val="24"/>
          <w:lang w:val="en-GB"/>
        </w:rPr>
        <w:t xml:space="preserve"> </w:t>
      </w:r>
    </w:p>
    <w:tbl>
      <w:tblPr>
        <w:tblW w:w="0" w:type="auto"/>
        <w:jc w:val="center"/>
        <w:tblLook w:val="04A0" w:firstRow="1" w:lastRow="0" w:firstColumn="1" w:lastColumn="0" w:noHBand="0" w:noVBand="1"/>
      </w:tblPr>
      <w:tblGrid>
        <w:gridCol w:w="846"/>
        <w:gridCol w:w="7234"/>
        <w:gridCol w:w="982"/>
      </w:tblGrid>
      <w:tr w:rsidR="00BF0719" w:rsidRPr="00DB47CD" w14:paraId="74C90CCC" w14:textId="77777777" w:rsidTr="004458DA">
        <w:trPr>
          <w:jc w:val="center"/>
        </w:trPr>
        <w:tc>
          <w:tcPr>
            <w:tcW w:w="846" w:type="dxa"/>
            <w:vAlign w:val="center"/>
          </w:tcPr>
          <w:p w14:paraId="394527B7" w14:textId="77777777" w:rsidR="00BF0719" w:rsidRPr="00DB47CD" w:rsidRDefault="00BF0719" w:rsidP="00BF0719">
            <w:pPr>
              <w:jc w:val="center"/>
              <w:rPr>
                <w:rFonts w:eastAsia="Calibri" w:cs="Times New Roman"/>
                <w:iCs/>
                <w:szCs w:val="24"/>
                <w:lang w:val="en-GB"/>
              </w:rPr>
            </w:pPr>
          </w:p>
        </w:tc>
        <w:tc>
          <w:tcPr>
            <w:tcW w:w="7234" w:type="dxa"/>
            <w:vAlign w:val="center"/>
          </w:tcPr>
          <w:p w14:paraId="2D11675B" w14:textId="502B4D00" w:rsidR="00BF0719" w:rsidRPr="00DB47CD" w:rsidRDefault="00BF0719" w:rsidP="00D172E2">
            <w:pPr>
              <w:jc w:val="center"/>
              <w:rPr>
                <w:rFonts w:eastAsia="Calibri" w:cs="Times New Roman"/>
                <w:iCs/>
                <w:szCs w:val="24"/>
                <w:lang w:val="en-GB"/>
              </w:rPr>
            </w:pPr>
            <m:oMathPara>
              <m:oMath>
                <m:r>
                  <w:rPr>
                    <w:rFonts w:ascii="Cambria Math" w:eastAsia="Calibri" w:hAnsi="Cambria Math" w:cs="Times New Roman"/>
                    <w:szCs w:val="24"/>
                    <w:lang w:val="en-GB"/>
                  </w:rPr>
                  <m:t>AR</m:t>
                </m:r>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d,e,s,a</m:t>
                    </m:r>
                  </m:e>
                </m:d>
                <m:r>
                  <w:rPr>
                    <w:rFonts w:ascii="Cambria Math" w:eastAsia="Calibri" w:hAnsi="Cambria Math" w:cs="Times New Roman"/>
                    <w:szCs w:val="24"/>
                    <w:lang w:val="en-GB"/>
                  </w:rPr>
                  <m:t>=</m:t>
                </m:r>
                <m:nary>
                  <m:naryPr>
                    <m:ctrlPr>
                      <w:rPr>
                        <w:rFonts w:ascii="Cambria Math" w:eastAsia="Calibri" w:hAnsi="Cambria Math" w:cs="Times New Roman"/>
                        <w:i/>
                        <w:iCs/>
                        <w:szCs w:val="24"/>
                        <w:lang w:val="en-GB"/>
                      </w:rPr>
                    </m:ctrlPr>
                  </m:naryPr>
                  <m:sub>
                    <m:r>
                      <w:rPr>
                        <w:rFonts w:ascii="Cambria Math" w:eastAsia="Calibri" w:hAnsi="Cambria Math" w:cs="Times New Roman"/>
                        <w:szCs w:val="24"/>
                        <w:lang w:val="en-GB"/>
                      </w:rPr>
                      <m:t>e</m:t>
                    </m:r>
                  </m:sub>
                  <m:sup>
                    <m:r>
                      <w:rPr>
                        <w:rFonts w:ascii="Cambria Math" w:eastAsia="Calibri" w:hAnsi="Cambria Math" w:cs="Times New Roman"/>
                        <w:szCs w:val="24"/>
                        <w:lang w:val="en-GB"/>
                      </w:rPr>
                      <m:t>a</m:t>
                    </m:r>
                  </m:sup>
                  <m:e>
                    <m:r>
                      <w:rPr>
                        <w:rFonts w:ascii="Cambria Math" w:eastAsia="Calibri" w:hAnsi="Cambria Math" w:cs="Times New Roman"/>
                        <w:szCs w:val="24"/>
                        <w:lang w:val="en-GB"/>
                      </w:rPr>
                      <m:t>ER</m:t>
                    </m:r>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d,e,t,s</m:t>
                        </m:r>
                      </m:e>
                    </m:d>
                    <m:f>
                      <m:fPr>
                        <m:ctrlPr>
                          <w:rPr>
                            <w:rFonts w:ascii="Cambria Math" w:eastAsia="Calibri" w:hAnsi="Cambria Math" w:cs="Times New Roman"/>
                            <w:i/>
                            <w:iCs/>
                            <w:szCs w:val="24"/>
                            <w:lang w:val="en-GB"/>
                          </w:rPr>
                        </m:ctrlPr>
                      </m:fPr>
                      <m:num>
                        <m:sSub>
                          <m:sSubPr>
                            <m:ctrlPr>
                              <w:rPr>
                                <w:rFonts w:ascii="Cambria Math" w:eastAsia="Calibri" w:hAnsi="Cambria Math" w:cs="Times New Roman"/>
                                <w:i/>
                                <w:iCs/>
                                <w:szCs w:val="24"/>
                                <w:lang w:val="en-GB"/>
                              </w:rPr>
                            </m:ctrlPr>
                          </m:sSubPr>
                          <m:e>
                            <m:r>
                              <w:rPr>
                                <w:rFonts w:ascii="Cambria Math" w:eastAsia="Calibri" w:hAnsi="Cambria Math" w:cs="Times New Roman"/>
                                <w:szCs w:val="24"/>
                                <w:lang w:val="en-GB"/>
                              </w:rPr>
                              <m:t>S</m:t>
                            </m:r>
                          </m:e>
                          <m:sub>
                            <m:r>
                              <w:rPr>
                                <w:rFonts w:ascii="Cambria Math" w:eastAsia="Calibri" w:hAnsi="Cambria Math" w:cs="Times New Roman"/>
                                <w:szCs w:val="24"/>
                                <w:lang w:val="en-GB"/>
                              </w:rPr>
                              <m:t>aj</m:t>
                            </m:r>
                          </m:sub>
                        </m:sSub>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t,s</m:t>
                            </m:r>
                          </m:e>
                        </m:d>
                      </m:num>
                      <m:den>
                        <m:sSub>
                          <m:sSubPr>
                            <m:ctrlPr>
                              <w:rPr>
                                <w:rFonts w:ascii="Cambria Math" w:eastAsia="Calibri" w:hAnsi="Cambria Math" w:cs="Times New Roman"/>
                                <w:i/>
                                <w:iCs/>
                                <w:szCs w:val="24"/>
                                <w:lang w:val="en-GB"/>
                              </w:rPr>
                            </m:ctrlPr>
                          </m:sSubPr>
                          <m:e>
                            <m:r>
                              <w:rPr>
                                <w:rFonts w:ascii="Cambria Math" w:eastAsia="Calibri" w:hAnsi="Cambria Math" w:cs="Times New Roman"/>
                                <w:szCs w:val="24"/>
                                <w:lang w:val="en-GB"/>
                              </w:rPr>
                              <m:t>S</m:t>
                            </m:r>
                          </m:e>
                          <m:sub>
                            <m:r>
                              <w:rPr>
                                <w:rFonts w:ascii="Cambria Math" w:eastAsia="Calibri" w:hAnsi="Cambria Math" w:cs="Times New Roman"/>
                                <w:szCs w:val="24"/>
                                <w:lang w:val="en-GB"/>
                              </w:rPr>
                              <m:t>aj</m:t>
                            </m:r>
                          </m:sub>
                        </m:sSub>
                        <m:r>
                          <w:rPr>
                            <w:rFonts w:ascii="Cambria Math" w:eastAsia="Calibri" w:hAnsi="Cambria Math" w:cs="Times New Roman"/>
                            <w:szCs w:val="24"/>
                            <w:lang w:val="en-GB"/>
                          </w:rPr>
                          <m:t>(e,s)</m:t>
                        </m:r>
                      </m:den>
                    </m:f>
                    <m:sSub>
                      <m:sSubPr>
                        <m:ctrlPr>
                          <w:rPr>
                            <w:rFonts w:ascii="Cambria Math" w:eastAsia="Calibri" w:hAnsi="Cambria Math" w:cs="Times New Roman"/>
                            <w:i/>
                            <w:iCs/>
                            <w:szCs w:val="24"/>
                            <w:lang w:val="en-GB"/>
                          </w:rPr>
                        </m:ctrlPr>
                      </m:sSubPr>
                      <m:e>
                        <m:r>
                          <w:rPr>
                            <w:rFonts w:ascii="Cambria Math" w:eastAsia="Calibri" w:hAnsi="Cambria Math" w:cs="Times New Roman"/>
                            <w:szCs w:val="24"/>
                            <w:lang w:val="en-GB"/>
                          </w:rPr>
                          <m:t>F</m:t>
                        </m:r>
                      </m:e>
                      <m:sub>
                        <m:r>
                          <w:rPr>
                            <w:rFonts w:ascii="Cambria Math" w:eastAsia="Calibri" w:hAnsi="Cambria Math" w:cs="Times New Roman"/>
                            <w:szCs w:val="24"/>
                            <w:lang w:val="en-GB"/>
                          </w:rPr>
                          <m:t>L</m:t>
                        </m:r>
                      </m:sub>
                    </m:sSub>
                    <m:r>
                      <w:rPr>
                        <w:rFonts w:ascii="Cambria Math" w:eastAsia="Calibri" w:hAnsi="Cambria Math" w:cs="Times New Roman"/>
                        <w:szCs w:val="24"/>
                        <w:lang w:val="en-GB"/>
                      </w:rPr>
                      <m:t xml:space="preserve">(t-e)dt </m:t>
                    </m:r>
                  </m:e>
                </m:nary>
                <m:r>
                  <w:rPr>
                    <w:rFonts w:ascii="Cambria Math" w:eastAsia="SimSun" w:hAnsi="Cambria Math" w:cs="Times New Roman"/>
                    <w:szCs w:val="24"/>
                    <w:lang w:val="en-GB"/>
                  </w:rPr>
                  <m:t>,</m:t>
                </m:r>
              </m:oMath>
            </m:oMathPara>
          </w:p>
        </w:tc>
        <w:tc>
          <w:tcPr>
            <w:tcW w:w="982" w:type="dxa"/>
            <w:vAlign w:val="center"/>
          </w:tcPr>
          <w:p w14:paraId="0FB6D9AA" w14:textId="77777777" w:rsidR="00BF0719" w:rsidRPr="00DB47CD" w:rsidRDefault="00BF0719" w:rsidP="00BF0719">
            <w:pPr>
              <w:jc w:val="center"/>
              <w:rPr>
                <w:rFonts w:eastAsia="Calibri" w:cs="Times New Roman"/>
                <w:iCs/>
                <w:szCs w:val="24"/>
                <w:lang w:val="en-GB"/>
              </w:rPr>
            </w:pPr>
            <w:r w:rsidRPr="00DB47CD">
              <w:rPr>
                <w:rFonts w:eastAsia="Calibri" w:cs="Times New Roman"/>
                <w:iCs/>
                <w:szCs w:val="24"/>
                <w:lang w:val="en-GB"/>
              </w:rPr>
              <w:t>(2)</w:t>
            </w:r>
          </w:p>
        </w:tc>
      </w:tr>
    </w:tbl>
    <w:p w14:paraId="5FFCD73B" w14:textId="13CE6774" w:rsidR="00BF0719" w:rsidRPr="00DB47CD" w:rsidRDefault="001C2711" w:rsidP="00BF0719">
      <w:pPr>
        <w:jc w:val="both"/>
        <w:rPr>
          <w:rFonts w:eastAsia="Calibri" w:cs="Times New Roman"/>
          <w:szCs w:val="24"/>
          <w:lang w:val="en-GB"/>
        </w:rPr>
      </w:pPr>
      <w:r>
        <w:rPr>
          <w:rFonts w:eastAsia="Calibri" w:cs="Times New Roman"/>
          <w:szCs w:val="24"/>
          <w:lang w:val="en-GB"/>
        </w:rPr>
        <w:t>Here</w:t>
      </w:r>
      <w:r w:rsidR="00BF0719" w:rsidRPr="00DB47CD">
        <w:rPr>
          <w:rFonts w:eastAsia="Calibri" w:cs="Times New Roman"/>
          <w:szCs w:val="24"/>
          <w:lang w:val="en-GB"/>
        </w:rPr>
        <w:t xml:space="preserve"> </w:t>
      </w:r>
      <w:r w:rsidR="00BF0719" w:rsidRPr="00DB47CD">
        <w:rPr>
          <w:rFonts w:eastAsia="Calibri" w:cs="Times New Roman"/>
          <w:i/>
          <w:szCs w:val="24"/>
          <w:lang w:val="en-GB"/>
        </w:rPr>
        <w:t>d</w:t>
      </w:r>
      <w:r w:rsidR="00BF0719" w:rsidRPr="00DB47CD">
        <w:rPr>
          <w:rFonts w:eastAsia="Calibri" w:cs="Times New Roman"/>
          <w:szCs w:val="24"/>
          <w:lang w:val="en-GB"/>
        </w:rPr>
        <w:t xml:space="preserve"> is the dose delivered to the organ/tissue at age-at-exposure </w:t>
      </w:r>
      <w:r w:rsidR="00BF0719" w:rsidRPr="00DB47CD">
        <w:rPr>
          <w:rFonts w:eastAsia="Calibri" w:cs="Times New Roman"/>
          <w:i/>
          <w:iCs/>
          <w:szCs w:val="24"/>
          <w:lang w:val="en-GB"/>
        </w:rPr>
        <w:t>e</w:t>
      </w:r>
      <w:r w:rsidR="00BF0719" w:rsidRPr="00DB47CD">
        <w:rPr>
          <w:rFonts w:eastAsia="Calibri" w:cs="Times New Roman"/>
          <w:szCs w:val="24"/>
          <w:lang w:val="en-GB"/>
        </w:rPr>
        <w:t xml:space="preserve">, and </w:t>
      </w:r>
      <m:oMath>
        <m:sSub>
          <m:sSubPr>
            <m:ctrlPr>
              <w:rPr>
                <w:rFonts w:ascii="Cambria Math" w:eastAsia="Calibri" w:hAnsi="Cambria Math" w:cs="Times New Roman"/>
                <w:i/>
                <w:szCs w:val="24"/>
                <w:lang w:val="en-GB"/>
              </w:rPr>
            </m:ctrlPr>
          </m:sSubPr>
          <m:e>
            <m:r>
              <w:rPr>
                <w:rFonts w:ascii="Cambria Math" w:eastAsia="Calibri" w:hAnsi="Cambria Math" w:cs="Times New Roman"/>
                <w:szCs w:val="24"/>
                <w:lang w:val="en-GB"/>
              </w:rPr>
              <m:t>F</m:t>
            </m:r>
          </m:e>
          <m:sub>
            <m:r>
              <w:rPr>
                <w:rFonts w:ascii="Cambria Math" w:eastAsia="Calibri" w:hAnsi="Cambria Math" w:cs="Times New Roman"/>
                <w:szCs w:val="24"/>
                <w:lang w:val="en-GB"/>
              </w:rPr>
              <m:t>L</m:t>
            </m:r>
          </m:sub>
        </m:sSub>
        <m:r>
          <w:rPr>
            <w:rFonts w:ascii="Cambria Math" w:eastAsia="Calibri" w:hAnsi="Cambria Math" w:cs="Times New Roman"/>
            <w:szCs w:val="24"/>
            <w:lang w:val="en-GB"/>
          </w:rPr>
          <m:t>(a-e)</m:t>
        </m:r>
      </m:oMath>
      <w:r w:rsidR="00BF0719" w:rsidRPr="00DB47CD">
        <w:rPr>
          <w:rFonts w:eastAsia="SimSun" w:cs="Times New Roman"/>
          <w:szCs w:val="24"/>
          <w:lang w:val="en-GB"/>
        </w:rPr>
        <w:t xml:space="preserve"> </w:t>
      </w:r>
      <w:r w:rsidR="00BF0719" w:rsidRPr="00DB47CD">
        <w:rPr>
          <w:rFonts w:eastAsia="Calibri" w:cs="Times New Roman"/>
          <w:szCs w:val="24"/>
          <w:lang w:val="en-GB"/>
        </w:rPr>
        <w:t xml:space="preserve">is </w:t>
      </w:r>
      <w:r>
        <w:rPr>
          <w:rFonts w:eastAsia="Calibri" w:cs="Times New Roman"/>
          <w:szCs w:val="24"/>
          <w:lang w:val="en-GB"/>
        </w:rPr>
        <w:t xml:space="preserve">a </w:t>
      </w:r>
      <w:r w:rsidR="00BF0719" w:rsidRPr="00DB47CD">
        <w:rPr>
          <w:rFonts w:eastAsia="Calibri" w:cs="Times New Roman"/>
          <w:szCs w:val="24"/>
          <w:lang w:val="en-GB"/>
        </w:rPr>
        <w:t xml:space="preserve">function varying from 0 to 1 </w:t>
      </w:r>
      <w:r>
        <w:rPr>
          <w:rFonts w:eastAsia="Calibri" w:cs="Times New Roman"/>
          <w:szCs w:val="24"/>
          <w:lang w:val="en-GB"/>
        </w:rPr>
        <w:t>which</w:t>
      </w:r>
      <w:r w:rsidR="00BF0719" w:rsidRPr="00DB47CD">
        <w:rPr>
          <w:rFonts w:eastAsia="Calibri" w:cs="Times New Roman"/>
          <w:szCs w:val="24"/>
          <w:lang w:val="en-GB"/>
        </w:rPr>
        <w:t xml:space="preserve"> account</w:t>
      </w:r>
      <w:r>
        <w:rPr>
          <w:rFonts w:eastAsia="Calibri" w:cs="Times New Roman"/>
          <w:szCs w:val="24"/>
          <w:lang w:val="en-GB"/>
        </w:rPr>
        <w:t>s</w:t>
      </w:r>
      <w:r w:rsidR="00BF0719" w:rsidRPr="00DB47CD">
        <w:rPr>
          <w:rFonts w:eastAsia="Calibri" w:cs="Times New Roman"/>
          <w:szCs w:val="24"/>
          <w:lang w:val="en-GB"/>
        </w:rPr>
        <w:t xml:space="preserve"> for latent time between the delivery of the dose to the organ and the expression of the radiation-induced cancer risk. </w:t>
      </w:r>
    </w:p>
    <w:p w14:paraId="01D9ECA5" w14:textId="77777777" w:rsidR="00BF0719" w:rsidRPr="00DB47CD" w:rsidRDefault="00BF0719" w:rsidP="00BF0719">
      <w:pPr>
        <w:jc w:val="both"/>
        <w:rPr>
          <w:rFonts w:eastAsia="Calibri" w:cs="Times New Roman"/>
          <w:szCs w:val="24"/>
          <w:lang w:val="en-GB"/>
        </w:rPr>
      </w:pPr>
      <w:r w:rsidRPr="00DB47CD">
        <w:rPr>
          <w:rFonts w:eastAsia="Calibri" w:cs="Times New Roman"/>
          <w:szCs w:val="24"/>
          <w:lang w:val="en-GB"/>
        </w:rPr>
        <w:t xml:space="preserve">If integration of risk is performed over the whole lifetime, then eq. (2) converges to a conventional definition of </w:t>
      </w:r>
      <w:r w:rsidRPr="00DB47CD">
        <w:rPr>
          <w:rFonts w:eastAsia="Calibri" w:cs="Times New Roman"/>
          <w:i/>
          <w:szCs w:val="24"/>
          <w:lang w:val="en-GB"/>
        </w:rPr>
        <w:t>LAR</w:t>
      </w:r>
      <w:r w:rsidRPr="00DB47CD">
        <w:rPr>
          <w:rFonts w:eastAsia="Calibri" w:cs="Times New Roman"/>
          <w:szCs w:val="24"/>
          <w:lang w:val="en-GB"/>
        </w:rPr>
        <w:t>:</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234"/>
        <w:gridCol w:w="982"/>
      </w:tblGrid>
      <w:tr w:rsidR="00BF0719" w:rsidRPr="00DB47CD" w14:paraId="32F225A0" w14:textId="77777777" w:rsidTr="004458DA">
        <w:trPr>
          <w:jc w:val="center"/>
        </w:trPr>
        <w:tc>
          <w:tcPr>
            <w:tcW w:w="846" w:type="dxa"/>
            <w:vAlign w:val="center"/>
          </w:tcPr>
          <w:p w14:paraId="2058333C" w14:textId="77777777" w:rsidR="00BF0719" w:rsidRPr="00DB47CD" w:rsidRDefault="00BF0719" w:rsidP="00BF0719">
            <w:pPr>
              <w:jc w:val="center"/>
              <w:rPr>
                <w:rFonts w:eastAsia="Calibri" w:cs="Times New Roman"/>
                <w:iCs/>
                <w:szCs w:val="24"/>
                <w:lang w:val="en-GB"/>
              </w:rPr>
            </w:pPr>
          </w:p>
        </w:tc>
        <w:tc>
          <w:tcPr>
            <w:tcW w:w="7234" w:type="dxa"/>
            <w:vAlign w:val="center"/>
          </w:tcPr>
          <w:p w14:paraId="72B24E9A" w14:textId="77777777" w:rsidR="00BF0719" w:rsidRPr="00DB47CD" w:rsidRDefault="00BF0719" w:rsidP="00BF0719">
            <w:pPr>
              <w:jc w:val="center"/>
              <w:rPr>
                <w:rFonts w:eastAsia="Calibri" w:cs="Times New Roman"/>
                <w:iCs/>
                <w:szCs w:val="24"/>
                <w:lang w:val="en-GB"/>
              </w:rPr>
            </w:pPr>
            <m:oMath>
              <m:r>
                <w:rPr>
                  <w:rFonts w:ascii="Cambria Math" w:eastAsia="Calibri" w:hAnsi="Cambria Math" w:cs="Times New Roman"/>
                  <w:szCs w:val="24"/>
                  <w:lang w:val="en-GB"/>
                </w:rPr>
                <m:t>LAR</m:t>
              </m:r>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d,e,s</m:t>
                  </m:r>
                </m:e>
              </m:d>
              <m:r>
                <w:rPr>
                  <w:rFonts w:ascii="Cambria Math" w:eastAsia="Calibri" w:hAnsi="Cambria Math" w:cs="Times New Roman"/>
                  <w:szCs w:val="24"/>
                  <w:lang w:val="en-GB"/>
                </w:rPr>
                <m:t>=AR(d,e,s,∞)</m:t>
              </m:r>
            </m:oMath>
            <w:r w:rsidRPr="00DB47CD">
              <w:rPr>
                <w:rFonts w:eastAsia="SimSun" w:cs="Times New Roman"/>
                <w:szCs w:val="24"/>
                <w:lang w:val="en-GB"/>
              </w:rPr>
              <w:t>.</w:t>
            </w:r>
          </w:p>
        </w:tc>
        <w:tc>
          <w:tcPr>
            <w:tcW w:w="982" w:type="dxa"/>
            <w:vAlign w:val="center"/>
          </w:tcPr>
          <w:p w14:paraId="3D7E5791" w14:textId="77777777" w:rsidR="00BF0719" w:rsidRPr="00DB47CD" w:rsidRDefault="00BF0719" w:rsidP="00BF0719">
            <w:pPr>
              <w:jc w:val="center"/>
              <w:rPr>
                <w:rFonts w:eastAsia="Calibri" w:cs="Times New Roman"/>
                <w:iCs/>
                <w:szCs w:val="24"/>
                <w:lang w:val="en-GB"/>
              </w:rPr>
            </w:pPr>
            <w:r w:rsidRPr="00DB47CD">
              <w:rPr>
                <w:rFonts w:eastAsia="Calibri" w:cs="Times New Roman"/>
                <w:iCs/>
                <w:szCs w:val="24"/>
                <w:lang w:val="en-GB"/>
              </w:rPr>
              <w:t>(3)</w:t>
            </w:r>
          </w:p>
        </w:tc>
      </w:tr>
    </w:tbl>
    <w:p w14:paraId="0E9A3DB3" w14:textId="7B623739" w:rsidR="00BF0719" w:rsidRPr="00DB47CD" w:rsidRDefault="00BF0719" w:rsidP="00BF0719">
      <w:pPr>
        <w:jc w:val="both"/>
        <w:rPr>
          <w:rFonts w:eastAsia="Calibri" w:cs="Times New Roman"/>
          <w:szCs w:val="24"/>
          <w:lang w:val="en-GB"/>
        </w:rPr>
      </w:pPr>
      <w:r w:rsidRPr="00DB47CD">
        <w:rPr>
          <w:rFonts w:eastAsia="Calibri" w:cs="Times New Roman"/>
          <w:szCs w:val="24"/>
          <w:lang w:val="en-GB"/>
        </w:rPr>
        <w:t xml:space="preserve">The latency function, </w:t>
      </w:r>
      <m:oMath>
        <m:sSub>
          <m:sSubPr>
            <m:ctrlPr>
              <w:rPr>
                <w:rFonts w:ascii="Cambria Math" w:eastAsia="Calibri" w:hAnsi="Cambria Math" w:cs="Times New Roman"/>
                <w:i/>
                <w:szCs w:val="24"/>
                <w:lang w:val="en-GB"/>
              </w:rPr>
            </m:ctrlPr>
          </m:sSubPr>
          <m:e>
            <m:r>
              <w:rPr>
                <w:rFonts w:ascii="Cambria Math" w:eastAsia="Calibri" w:hAnsi="Cambria Math" w:cs="Times New Roman"/>
                <w:szCs w:val="24"/>
                <w:lang w:val="en-GB"/>
              </w:rPr>
              <m:t>F</m:t>
            </m:r>
          </m:e>
          <m:sub>
            <m:r>
              <w:rPr>
                <w:rFonts w:ascii="Cambria Math" w:eastAsia="Calibri" w:hAnsi="Cambria Math" w:cs="Times New Roman"/>
                <w:szCs w:val="24"/>
                <w:lang w:val="en-GB"/>
              </w:rPr>
              <m:t>L</m:t>
            </m:r>
          </m:sub>
        </m:sSub>
      </m:oMath>
      <w:r w:rsidRPr="00DB47CD">
        <w:rPr>
          <w:rFonts w:eastAsia="SimSun" w:cs="Times New Roman"/>
          <w:szCs w:val="24"/>
          <w:lang w:val="en-GB"/>
        </w:rPr>
        <w:t>, for all solid cancers, including breast and thyroid cancers, grow from zero to one in the range, approximately, from 1.5 to 7 years since exposure, while reaching the value 0.5 at time 3.5 years since exposure</w:t>
      </w:r>
      <w:r w:rsidR="00B36812">
        <w:rPr>
          <w:rFonts w:eastAsia="SimSun" w:cs="Times New Roman"/>
          <w:szCs w:val="24"/>
          <w:lang w:val="en-GB"/>
        </w:rPr>
        <w:t xml:space="preserve"> (where these values were chosen with a consideration of recommended values </w:t>
      </w:r>
      <w:r w:rsidR="00B36812" w:rsidRPr="00E341BB">
        <w:rPr>
          <w:rFonts w:cs="Times New Roman"/>
          <w:szCs w:val="24"/>
          <w:lang w:val="en-GB"/>
        </w:rPr>
        <w:t>(</w:t>
      </w:r>
      <w:r w:rsidR="00B36812" w:rsidRPr="007C4DB5">
        <w:rPr>
          <w:rFonts w:cs="Times New Roman"/>
          <w:szCs w:val="24"/>
          <w:lang w:val="en-US"/>
        </w:rPr>
        <w:t>UNSCEAR 2006 Report</w:t>
      </w:r>
      <w:r w:rsidR="00B36812">
        <w:rPr>
          <w:lang w:val="en-US"/>
        </w:rPr>
        <w:t xml:space="preserve">, </w:t>
      </w:r>
      <w:r w:rsidR="00B36812" w:rsidRPr="007C4DB5">
        <w:rPr>
          <w:rFonts w:cs="Times New Roman"/>
          <w:szCs w:val="24"/>
          <w:lang w:val="en-US"/>
        </w:rPr>
        <w:t>BEIR VII – Phase 2</w:t>
      </w:r>
      <w:r w:rsidR="00B36812">
        <w:rPr>
          <w:rFonts w:cs="Times New Roman"/>
          <w:szCs w:val="24"/>
          <w:lang w:val="en-US"/>
        </w:rPr>
        <w:t xml:space="preserve"> Report, </w:t>
      </w:r>
      <w:proofErr w:type="spellStart"/>
      <w:r w:rsidR="00B36812" w:rsidRPr="007C4DB5">
        <w:rPr>
          <w:rFonts w:cs="Times New Roman"/>
          <w:szCs w:val="24"/>
          <w:lang w:val="en-GB"/>
        </w:rPr>
        <w:t>Heidenreich</w:t>
      </w:r>
      <w:proofErr w:type="spellEnd"/>
      <w:r w:rsidR="00B36812">
        <w:rPr>
          <w:rFonts w:cs="Times New Roman"/>
          <w:i/>
          <w:szCs w:val="24"/>
          <w:lang w:val="en-GB"/>
        </w:rPr>
        <w:t xml:space="preserve"> </w:t>
      </w:r>
      <w:r w:rsidR="00B36812" w:rsidRPr="007C4DB5">
        <w:rPr>
          <w:rFonts w:cs="Times New Roman"/>
          <w:szCs w:val="24"/>
          <w:lang w:val="en-GB"/>
        </w:rPr>
        <w:t>1999</w:t>
      </w:r>
      <w:r w:rsidR="00B36812">
        <w:rPr>
          <w:rFonts w:cs="Times New Roman"/>
          <w:szCs w:val="24"/>
          <w:lang w:val="en-US"/>
        </w:rPr>
        <w:t>))</w:t>
      </w:r>
      <w:r w:rsidRPr="00DB47CD">
        <w:rPr>
          <w:rFonts w:eastAsia="SimSun" w:cs="Times New Roman"/>
          <w:szCs w:val="24"/>
          <w:lang w:val="en-GB"/>
        </w:rPr>
        <w:t xml:space="preserve">. For </w:t>
      </w:r>
      <w:proofErr w:type="spellStart"/>
      <w:r w:rsidRPr="00DB47CD">
        <w:rPr>
          <w:rFonts w:eastAsia="SimSun" w:cs="Times New Roman"/>
          <w:szCs w:val="24"/>
          <w:lang w:val="en-GB"/>
        </w:rPr>
        <w:t>leukemia</w:t>
      </w:r>
      <w:proofErr w:type="spellEnd"/>
      <w:r w:rsidRPr="00DB47CD">
        <w:rPr>
          <w:rFonts w:eastAsia="SimSun" w:cs="Times New Roman"/>
          <w:szCs w:val="24"/>
          <w:lang w:val="en-GB"/>
        </w:rPr>
        <w:t>, the latency period is shorter, and the corresponding latency function varies in range from 1 to 3 years since exposure, while having the value of 0.5 at time 1.5 years after exposure</w:t>
      </w:r>
      <w:r w:rsidR="00B36812">
        <w:rPr>
          <w:rFonts w:eastAsia="SimSun" w:cs="Times New Roman"/>
          <w:szCs w:val="24"/>
          <w:lang w:val="en-GB"/>
        </w:rPr>
        <w:t xml:space="preserve"> (again values were chosen to be consistent with recommended values (</w:t>
      </w:r>
      <w:r w:rsidR="00B36812">
        <w:rPr>
          <w:rFonts w:cs="Times New Roman"/>
          <w:i/>
          <w:szCs w:val="24"/>
          <w:lang w:val="en-GB"/>
        </w:rPr>
        <w:t>UNSCEAR 2013, Annex B))</w:t>
      </w:r>
      <w:r w:rsidRPr="00DB47CD">
        <w:rPr>
          <w:rFonts w:eastAsia="SimSun" w:cs="Times New Roman"/>
          <w:szCs w:val="24"/>
          <w:lang w:val="en-GB"/>
        </w:rPr>
        <w:t>.</w:t>
      </w:r>
    </w:p>
    <w:p w14:paraId="4E3DB5F2" w14:textId="2B93AE2B" w:rsidR="00BF0719" w:rsidRPr="00DB47CD" w:rsidRDefault="00BF0719" w:rsidP="00BF0719">
      <w:pPr>
        <w:jc w:val="both"/>
        <w:rPr>
          <w:rFonts w:eastAsia="Calibri" w:cs="Times New Roman"/>
          <w:bCs/>
          <w:szCs w:val="24"/>
          <w:lang w:val="en-GB"/>
        </w:rPr>
      </w:pPr>
      <w:r w:rsidRPr="00DB47CD">
        <w:rPr>
          <w:rFonts w:eastAsia="Calibri" w:cs="Times New Roman"/>
          <w:bCs/>
          <w:iCs/>
          <w:szCs w:val="24"/>
          <w:lang w:val="en-GB"/>
        </w:rPr>
        <w:t xml:space="preserve">The conditional survival </w:t>
      </w:r>
      <w:proofErr w:type="gramStart"/>
      <w:r w:rsidRPr="00DB47CD">
        <w:rPr>
          <w:rFonts w:eastAsia="Calibri" w:cs="Times New Roman"/>
          <w:bCs/>
          <w:iCs/>
          <w:szCs w:val="24"/>
          <w:lang w:val="en-GB"/>
        </w:rPr>
        <w:t xml:space="preserve">curve </w:t>
      </w:r>
      <w:proofErr w:type="gramEnd"/>
      <m:oMath>
        <m:sSub>
          <m:sSubPr>
            <m:ctrlPr>
              <w:rPr>
                <w:rFonts w:ascii="Cambria Math" w:eastAsia="Calibri" w:hAnsi="Cambria Math" w:cs="Times New Roman"/>
                <w:bCs/>
                <w:i/>
                <w:iCs/>
                <w:szCs w:val="24"/>
                <w:lang w:val="en-GB"/>
              </w:rPr>
            </m:ctrlPr>
          </m:sSubPr>
          <m:e>
            <m:r>
              <w:rPr>
                <w:rFonts w:ascii="Cambria Math" w:eastAsia="Calibri" w:hAnsi="Cambria Math" w:cs="Times New Roman"/>
                <w:szCs w:val="24"/>
                <w:lang w:val="en-GB"/>
              </w:rPr>
              <m:t>S</m:t>
            </m:r>
          </m:e>
          <m:sub>
            <m:r>
              <w:rPr>
                <w:rFonts w:ascii="Cambria Math" w:eastAsia="Calibri" w:hAnsi="Cambria Math" w:cs="Times New Roman"/>
                <w:szCs w:val="24"/>
                <w:lang w:val="en-GB"/>
              </w:rPr>
              <m:t>aj</m:t>
            </m:r>
          </m:sub>
        </m:sSub>
        <m:d>
          <m:dPr>
            <m:ctrlPr>
              <w:rPr>
                <w:rFonts w:ascii="Cambria Math" w:eastAsia="Calibri" w:hAnsi="Cambria Math" w:cs="Times New Roman"/>
                <w:bCs/>
                <w:i/>
                <w:iCs/>
                <w:szCs w:val="24"/>
                <w:lang w:val="en-GB"/>
              </w:rPr>
            </m:ctrlPr>
          </m:dPr>
          <m:e>
            <m:r>
              <w:rPr>
                <w:rFonts w:ascii="Cambria Math" w:eastAsia="Calibri" w:hAnsi="Cambria Math" w:cs="Times New Roman"/>
                <w:szCs w:val="24"/>
                <w:lang w:val="en-GB"/>
              </w:rPr>
              <m:t>t</m:t>
            </m:r>
          </m:e>
          <m:e>
            <m:r>
              <w:rPr>
                <w:rFonts w:ascii="Cambria Math" w:eastAsia="Calibri" w:hAnsi="Cambria Math" w:cs="Times New Roman"/>
                <w:szCs w:val="24"/>
                <w:lang w:val="en-GB"/>
              </w:rPr>
              <m:t>e,s</m:t>
            </m:r>
          </m:e>
        </m:d>
        <m:r>
          <w:rPr>
            <w:rFonts w:ascii="Cambria Math" w:eastAsia="SimSun" w:hAnsi="Cambria Math" w:cs="Times New Roman"/>
            <w:szCs w:val="24"/>
            <w:lang w:val="en-GB"/>
          </w:rPr>
          <m:t>=</m:t>
        </m:r>
        <m:sSub>
          <m:sSubPr>
            <m:ctrlPr>
              <w:rPr>
                <w:rFonts w:ascii="Cambria Math" w:eastAsia="SimSun" w:hAnsi="Cambria Math" w:cs="Times New Roman"/>
                <w:bCs/>
                <w:i/>
                <w:iCs/>
                <w:szCs w:val="24"/>
                <w:lang w:val="en-GB"/>
              </w:rPr>
            </m:ctrlPr>
          </m:sSubPr>
          <m:e>
            <m:r>
              <w:rPr>
                <w:rFonts w:ascii="Cambria Math" w:eastAsia="SimSun" w:hAnsi="Cambria Math" w:cs="Times New Roman"/>
                <w:szCs w:val="24"/>
                <w:lang w:val="en-GB"/>
              </w:rPr>
              <m:t>S</m:t>
            </m:r>
          </m:e>
          <m:sub>
            <m:r>
              <w:rPr>
                <w:rFonts w:ascii="Cambria Math" w:eastAsia="SimSun" w:hAnsi="Cambria Math" w:cs="Times New Roman"/>
                <w:szCs w:val="24"/>
                <w:lang w:val="en-GB"/>
              </w:rPr>
              <m:t>aj</m:t>
            </m:r>
          </m:sub>
        </m:sSub>
        <m:r>
          <w:rPr>
            <w:rFonts w:ascii="Cambria Math" w:eastAsia="SimSun" w:hAnsi="Cambria Math" w:cs="Times New Roman"/>
            <w:szCs w:val="24"/>
            <w:lang w:val="en-GB"/>
          </w:rPr>
          <m:t>(t,s)/</m:t>
        </m:r>
        <m:sSub>
          <m:sSubPr>
            <m:ctrlPr>
              <w:rPr>
                <w:rFonts w:ascii="Cambria Math" w:eastAsia="SimSun" w:hAnsi="Cambria Math" w:cs="Times New Roman"/>
                <w:bCs/>
                <w:i/>
                <w:iCs/>
                <w:szCs w:val="24"/>
                <w:lang w:val="en-GB"/>
              </w:rPr>
            </m:ctrlPr>
          </m:sSubPr>
          <m:e>
            <m:r>
              <w:rPr>
                <w:rFonts w:ascii="Cambria Math" w:eastAsia="SimSun" w:hAnsi="Cambria Math" w:cs="Times New Roman"/>
                <w:szCs w:val="24"/>
                <w:lang w:val="en-GB"/>
              </w:rPr>
              <m:t>S</m:t>
            </m:r>
          </m:e>
          <m:sub>
            <m:r>
              <w:rPr>
                <w:rFonts w:ascii="Cambria Math" w:eastAsia="SimSun" w:hAnsi="Cambria Math" w:cs="Times New Roman"/>
                <w:szCs w:val="24"/>
                <w:lang w:val="en-GB"/>
              </w:rPr>
              <m:t>aj</m:t>
            </m:r>
          </m:sub>
        </m:sSub>
        <m:r>
          <w:rPr>
            <w:rFonts w:ascii="Cambria Math" w:eastAsia="SimSun" w:hAnsi="Cambria Math" w:cs="Times New Roman"/>
            <w:szCs w:val="24"/>
            <w:lang w:val="en-GB"/>
          </w:rPr>
          <m:t>(e,s)</m:t>
        </m:r>
      </m:oMath>
      <w:r w:rsidRPr="00DB47CD">
        <w:rPr>
          <w:rFonts w:eastAsia="Calibri" w:cs="Times New Roman"/>
          <w:szCs w:val="24"/>
          <w:lang w:val="en-GB"/>
        </w:rPr>
        <w:t>,</w:t>
      </w:r>
      <w:r w:rsidRPr="00DB47CD">
        <w:rPr>
          <w:rFonts w:eastAsia="Calibri" w:cs="Times New Roman"/>
          <w:bCs/>
          <w:szCs w:val="24"/>
          <w:lang w:val="en-GB"/>
        </w:rPr>
        <w:t xml:space="preserve"> is the probability of surviving cancer-free to age </w:t>
      </w:r>
      <w:r w:rsidRPr="00DB47CD">
        <w:rPr>
          <w:rFonts w:eastAsia="Calibri" w:cs="Times New Roman"/>
          <w:bCs/>
          <w:i/>
          <w:iCs/>
          <w:szCs w:val="24"/>
          <w:lang w:val="en-GB"/>
        </w:rPr>
        <w:t>t</w:t>
      </w:r>
      <w:r w:rsidRPr="00DB47CD">
        <w:rPr>
          <w:rFonts w:eastAsia="Calibri" w:cs="Times New Roman"/>
          <w:bCs/>
          <w:iCs/>
          <w:szCs w:val="24"/>
          <w:lang w:val="en-GB"/>
        </w:rPr>
        <w:t xml:space="preserve"> conditional on </w:t>
      </w:r>
      <w:r w:rsidR="001C2711">
        <w:rPr>
          <w:rFonts w:eastAsia="Calibri" w:cs="Times New Roman"/>
          <w:bCs/>
          <w:iCs/>
          <w:szCs w:val="24"/>
          <w:lang w:val="en-GB"/>
        </w:rPr>
        <w:t xml:space="preserve">the </w:t>
      </w:r>
      <w:r w:rsidRPr="00DB47CD">
        <w:rPr>
          <w:rFonts w:eastAsia="Calibri" w:cs="Times New Roman"/>
          <w:bCs/>
          <w:iCs/>
          <w:szCs w:val="24"/>
          <w:lang w:val="en-GB"/>
        </w:rPr>
        <w:t xml:space="preserve">probability to be alive and disease-free at </w:t>
      </w:r>
      <w:r w:rsidR="001C2711">
        <w:rPr>
          <w:rFonts w:eastAsia="Calibri" w:cs="Times New Roman"/>
          <w:bCs/>
          <w:iCs/>
          <w:szCs w:val="24"/>
          <w:lang w:val="en-GB"/>
        </w:rPr>
        <w:t xml:space="preserve">the </w:t>
      </w:r>
      <w:r w:rsidRPr="00DB47CD">
        <w:rPr>
          <w:rFonts w:eastAsia="Calibri" w:cs="Times New Roman"/>
          <w:bCs/>
          <w:iCs/>
          <w:szCs w:val="24"/>
          <w:lang w:val="en-GB"/>
        </w:rPr>
        <w:t>age of exposure</w:t>
      </w:r>
      <w:r w:rsidRPr="00DB47CD">
        <w:rPr>
          <w:rFonts w:eastAsia="Calibri" w:cs="Times New Roman"/>
          <w:bCs/>
          <w:szCs w:val="24"/>
          <w:lang w:val="en-GB"/>
        </w:rPr>
        <w:t xml:space="preserve">. </w:t>
      </w:r>
      <m:oMath>
        <m:sSub>
          <m:sSubPr>
            <m:ctrlPr>
              <w:rPr>
                <w:rFonts w:ascii="Cambria Math" w:eastAsia="Calibri" w:hAnsi="Cambria Math" w:cs="Times New Roman"/>
                <w:bCs/>
                <w:i/>
                <w:szCs w:val="24"/>
                <w:lang w:val="en-GB"/>
              </w:rPr>
            </m:ctrlPr>
          </m:sSubPr>
          <m:e>
            <m:r>
              <w:rPr>
                <w:rFonts w:ascii="Cambria Math" w:eastAsia="Calibri" w:hAnsi="Cambria Math" w:cs="Times New Roman"/>
                <w:szCs w:val="24"/>
                <w:lang w:val="en-GB"/>
              </w:rPr>
              <m:t>S</m:t>
            </m:r>
          </m:e>
          <m:sub>
            <m:r>
              <w:rPr>
                <w:rFonts w:ascii="Cambria Math" w:eastAsia="Calibri" w:hAnsi="Cambria Math" w:cs="Times New Roman"/>
                <w:szCs w:val="24"/>
                <w:lang w:val="en-GB"/>
              </w:rPr>
              <m:t>aj</m:t>
            </m:r>
          </m:sub>
        </m:sSub>
        <m:r>
          <w:rPr>
            <w:rFonts w:ascii="Cambria Math" w:eastAsia="Calibri" w:hAnsi="Cambria Math" w:cs="Times New Roman"/>
            <w:szCs w:val="24"/>
            <w:lang w:val="en-GB"/>
          </w:rPr>
          <m:t>(t|e,s)</m:t>
        </m:r>
      </m:oMath>
      <w:r w:rsidRPr="00DB47CD">
        <w:rPr>
          <w:rFonts w:eastAsia="Calibri" w:cs="Times New Roman"/>
          <w:bCs/>
          <w:szCs w:val="24"/>
          <w:lang w:val="en-GB"/>
        </w:rPr>
        <w:t xml:space="preserve"> </w:t>
      </w:r>
      <w:proofErr w:type="gramStart"/>
      <w:r w:rsidRPr="00DB47CD">
        <w:rPr>
          <w:rFonts w:eastAsia="Calibri" w:cs="Times New Roman"/>
          <w:bCs/>
          <w:szCs w:val="24"/>
          <w:lang w:val="en-GB"/>
        </w:rPr>
        <w:t>was</w:t>
      </w:r>
      <w:proofErr w:type="gramEnd"/>
      <w:r w:rsidRPr="00DB47CD">
        <w:rPr>
          <w:rFonts w:eastAsia="Calibri" w:cs="Times New Roman"/>
          <w:bCs/>
          <w:szCs w:val="24"/>
          <w:lang w:val="en-GB"/>
        </w:rPr>
        <w:t xml:space="preserve"> calculated from the German life tables as well as cause-specific incidence and mortality rates in 2015,</w:t>
      </w:r>
      <w:r w:rsidRPr="00DB47CD">
        <w:rPr>
          <w:rFonts w:eastAsia="TradeGothicLTStd" w:cs="Times New Roman"/>
          <w:color w:val="1A181C"/>
          <w:szCs w:val="24"/>
          <w:lang w:val="en-GB"/>
        </w:rPr>
        <w:t xml:space="preserve"> </w:t>
      </w:r>
      <w:r w:rsidR="001C2711">
        <w:rPr>
          <w:rFonts w:eastAsia="TradeGothicLTStd" w:cs="Times New Roman"/>
          <w:color w:val="1A181C"/>
          <w:szCs w:val="24"/>
          <w:lang w:val="en-GB"/>
        </w:rPr>
        <w:t xml:space="preserve">as </w:t>
      </w:r>
      <w:r w:rsidRPr="00DB47CD">
        <w:rPr>
          <w:rFonts w:eastAsia="TradeGothicLTStd" w:cs="Times New Roman"/>
          <w:color w:val="1A181C"/>
          <w:szCs w:val="24"/>
          <w:lang w:val="en-GB"/>
        </w:rPr>
        <w:t>described above</w:t>
      </w:r>
      <w:r w:rsidRPr="00DB47CD">
        <w:rPr>
          <w:rFonts w:eastAsia="TradeGothicLTStd" w:cs="Times New Roman"/>
          <w:i/>
          <w:color w:val="1A181C"/>
          <w:szCs w:val="24"/>
          <w:lang w:val="en-GB"/>
        </w:rPr>
        <w:t>.</w:t>
      </w:r>
      <w:r w:rsidRPr="00DB47CD">
        <w:rPr>
          <w:rFonts w:eastAsia="Calibri" w:cs="Times New Roman"/>
          <w:szCs w:val="24"/>
          <w:lang w:val="en-GB"/>
        </w:rPr>
        <w:t xml:space="preserve"> </w:t>
      </w:r>
      <w:r w:rsidRPr="00DB47CD">
        <w:rPr>
          <w:rFonts w:eastAsia="Calibri" w:cs="Times New Roman"/>
          <w:bCs/>
          <w:i/>
          <w:szCs w:val="24"/>
          <w:lang w:val="en-GB"/>
        </w:rPr>
        <w:t>LAR</w:t>
      </w:r>
      <w:r w:rsidRPr="00DB47CD">
        <w:rPr>
          <w:rFonts w:eastAsia="Calibri" w:cs="Times New Roman"/>
          <w:bCs/>
          <w:szCs w:val="24"/>
          <w:lang w:val="en-GB"/>
        </w:rPr>
        <w:t xml:space="preserve"> or </w:t>
      </w:r>
      <w:r w:rsidRPr="00DB47CD">
        <w:rPr>
          <w:rFonts w:eastAsia="Calibri" w:cs="Times New Roman"/>
          <w:bCs/>
          <w:i/>
          <w:szCs w:val="24"/>
          <w:lang w:val="en-GB"/>
        </w:rPr>
        <w:t>AR</w:t>
      </w:r>
      <w:r w:rsidRPr="00DB47CD">
        <w:rPr>
          <w:rFonts w:eastAsia="Calibri" w:cs="Times New Roman"/>
          <w:bCs/>
          <w:szCs w:val="24"/>
          <w:lang w:val="en-GB"/>
        </w:rPr>
        <w:t xml:space="preserve"> were also considered </w:t>
      </w:r>
      <w:r w:rsidR="001C2711">
        <w:rPr>
          <w:rFonts w:eastAsia="Calibri" w:cs="Times New Roman"/>
          <w:bCs/>
          <w:szCs w:val="24"/>
          <w:lang w:val="en-GB"/>
        </w:rPr>
        <w:t>by comparisons with</w:t>
      </w:r>
      <w:r w:rsidRPr="00DB47CD">
        <w:rPr>
          <w:rFonts w:eastAsia="Calibri" w:cs="Times New Roman"/>
          <w:bCs/>
          <w:szCs w:val="24"/>
          <w:lang w:val="en-GB"/>
        </w:rPr>
        <w:t xml:space="preserve"> </w:t>
      </w:r>
      <w:r w:rsidRPr="00DB47CD">
        <w:rPr>
          <w:rFonts w:eastAsia="Calibri" w:cs="Times New Roman"/>
          <w:szCs w:val="24"/>
          <w:lang w:val="en-GB"/>
        </w:rPr>
        <w:t>the lifetime or age-specific baseline risk (</w:t>
      </w:r>
      <w:r w:rsidRPr="00DB47CD">
        <w:rPr>
          <w:rFonts w:eastAsia="Calibri" w:cs="Times New Roman"/>
          <w:i/>
          <w:szCs w:val="24"/>
          <w:lang w:val="en-GB"/>
        </w:rPr>
        <w:t>BR</w:t>
      </w:r>
      <w:r w:rsidRPr="00DB47CD">
        <w:rPr>
          <w:rFonts w:eastAsia="Calibri" w:cs="Times New Roman"/>
          <w:szCs w:val="24"/>
          <w:lang w:val="en-GB"/>
        </w:rPr>
        <w:t xml:space="preserve"> or </w:t>
      </w:r>
      <w:r w:rsidRPr="00DB47CD">
        <w:rPr>
          <w:rFonts w:eastAsia="Calibri" w:cs="Times New Roman"/>
          <w:i/>
          <w:szCs w:val="24"/>
          <w:lang w:val="en-GB"/>
        </w:rPr>
        <w:t>LBR</w:t>
      </w:r>
      <w:r w:rsidRPr="00DB47CD">
        <w:rPr>
          <w:rFonts w:eastAsia="Calibri" w:cs="Times New Roman"/>
          <w:szCs w:val="24"/>
          <w:lang w:val="en-GB"/>
        </w:rPr>
        <w:t>, correspondingly)</w:t>
      </w:r>
      <w:r w:rsidRPr="00DB47CD">
        <w:rPr>
          <w:rFonts w:eastAsia="Calibri" w:cs="Times New Roman"/>
          <w:bCs/>
          <w:szCs w:val="24"/>
          <w:lang w:val="en-GB"/>
        </w:rPr>
        <w:t xml:space="preserve"> in order to put radiation-related cancer risks into perspective </w:t>
      </w:r>
      <w:r w:rsidRPr="00DB47CD">
        <w:rPr>
          <w:rFonts w:eastAsia="Calibri" w:cs="Times New Roman"/>
          <w:szCs w:val="24"/>
          <w:lang w:val="en-GB"/>
        </w:rPr>
        <w:t xml:space="preserve">of risk of spontaneous cancer in Germany (i.e., the risk </w:t>
      </w:r>
      <w:r w:rsidRPr="00DB47CD">
        <w:rPr>
          <w:rFonts w:eastAsia="Calibri" w:cs="Times New Roman"/>
          <w:bCs/>
          <w:szCs w:val="24"/>
          <w:lang w:val="en-GB"/>
        </w:rPr>
        <w:t>in the absence of radiation exposure from an accident</w:t>
      </w:r>
      <w:r w:rsidRPr="00DB47CD">
        <w:rPr>
          <w:rFonts w:eastAsia="Calibri" w:cs="Times New Roman"/>
          <w:szCs w:val="24"/>
          <w:lang w:val="en-GB"/>
        </w:rPr>
        <w:t xml:space="preserve">). </w:t>
      </w:r>
      <w:r w:rsidRPr="00DB47CD">
        <w:rPr>
          <w:rFonts w:eastAsia="Calibri" w:cs="Times New Roman"/>
          <w:bCs/>
          <w:szCs w:val="24"/>
          <w:lang w:val="en-GB"/>
        </w:rPr>
        <w:t xml:space="preserve">Applying the same notation as for definition of </w:t>
      </w:r>
      <w:r w:rsidRPr="00DB47CD">
        <w:rPr>
          <w:rFonts w:eastAsia="Calibri" w:cs="Times New Roman"/>
          <w:bCs/>
          <w:i/>
          <w:szCs w:val="24"/>
          <w:lang w:val="en-GB"/>
        </w:rPr>
        <w:t>AR</w:t>
      </w:r>
      <w:r w:rsidRPr="00DB47CD">
        <w:rPr>
          <w:rFonts w:eastAsia="Calibri" w:cs="Times New Roman"/>
          <w:bCs/>
          <w:szCs w:val="24"/>
          <w:lang w:val="en-GB"/>
        </w:rPr>
        <w:t xml:space="preserve"> (eq. 2), the</w:t>
      </w:r>
      <w:r w:rsidRPr="00DB47CD" w:rsidDel="009E59A2">
        <w:rPr>
          <w:rFonts w:eastAsia="Calibri" w:cs="Times New Roman"/>
          <w:szCs w:val="24"/>
          <w:lang w:val="en-GB"/>
        </w:rPr>
        <w:t xml:space="preserve"> </w:t>
      </w:r>
      <w:r w:rsidRPr="00DB47CD">
        <w:rPr>
          <w:rFonts w:eastAsia="Calibri" w:cs="Times New Roman"/>
          <w:bCs/>
          <w:i/>
          <w:szCs w:val="24"/>
          <w:lang w:val="en-GB"/>
        </w:rPr>
        <w:t>BR</w:t>
      </w:r>
      <w:r w:rsidRPr="00DB47CD">
        <w:rPr>
          <w:rFonts w:eastAsia="Calibri" w:cs="Times New Roman"/>
          <w:bCs/>
          <w:szCs w:val="24"/>
          <w:lang w:val="en-GB"/>
        </w:rPr>
        <w:t xml:space="preserve"> and </w:t>
      </w:r>
      <w:r w:rsidRPr="00DB47CD">
        <w:rPr>
          <w:rFonts w:eastAsia="Calibri" w:cs="Times New Roman"/>
          <w:bCs/>
          <w:i/>
          <w:szCs w:val="24"/>
          <w:lang w:val="en-GB"/>
        </w:rPr>
        <w:t>LBR</w:t>
      </w:r>
      <w:r w:rsidRPr="00DB47CD">
        <w:rPr>
          <w:rFonts w:eastAsia="Calibri" w:cs="Times New Roman"/>
          <w:bCs/>
          <w:szCs w:val="24"/>
          <w:lang w:val="en-GB"/>
        </w:rPr>
        <w:t xml:space="preserve"> conditional on disease-free survival to age </w:t>
      </w:r>
      <w:r w:rsidRPr="00DB47CD">
        <w:rPr>
          <w:rFonts w:eastAsia="Calibri" w:cs="Times New Roman"/>
          <w:bCs/>
          <w:i/>
          <w:szCs w:val="24"/>
          <w:lang w:val="en-GB"/>
        </w:rPr>
        <w:t>e</w:t>
      </w:r>
      <w:r w:rsidRPr="00DB47CD">
        <w:rPr>
          <w:rFonts w:eastAsia="Calibri" w:cs="Times New Roman"/>
          <w:bCs/>
          <w:szCs w:val="24"/>
          <w:lang w:val="en-GB"/>
        </w:rPr>
        <w:t xml:space="preserve"> are calculated as:</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234"/>
        <w:gridCol w:w="982"/>
      </w:tblGrid>
      <w:tr w:rsidR="00BF0719" w:rsidRPr="00DB47CD" w14:paraId="54F5D7BF" w14:textId="77777777" w:rsidTr="004458DA">
        <w:trPr>
          <w:jc w:val="center"/>
        </w:trPr>
        <w:tc>
          <w:tcPr>
            <w:tcW w:w="846" w:type="dxa"/>
            <w:vAlign w:val="center"/>
          </w:tcPr>
          <w:p w14:paraId="3079EE6A" w14:textId="77777777" w:rsidR="00BF0719" w:rsidRPr="00DB47CD" w:rsidRDefault="00BF0719" w:rsidP="00BF0719">
            <w:pPr>
              <w:jc w:val="center"/>
              <w:rPr>
                <w:rFonts w:eastAsia="Calibri" w:cs="Times New Roman"/>
                <w:iCs/>
                <w:szCs w:val="24"/>
                <w:lang w:val="en-GB"/>
              </w:rPr>
            </w:pPr>
          </w:p>
        </w:tc>
        <w:tc>
          <w:tcPr>
            <w:tcW w:w="7234" w:type="dxa"/>
            <w:vAlign w:val="center"/>
          </w:tcPr>
          <w:p w14:paraId="50BC28C1" w14:textId="77777777" w:rsidR="00BF0719" w:rsidRPr="00DB47CD" w:rsidRDefault="00BF0719" w:rsidP="00BF0719">
            <w:pPr>
              <w:jc w:val="center"/>
              <w:rPr>
                <w:rFonts w:eastAsia="Calibri" w:cs="Times New Roman"/>
                <w:iCs/>
                <w:szCs w:val="24"/>
                <w:lang w:val="en-GB"/>
              </w:rPr>
            </w:pPr>
            <m:oMathPara>
              <m:oMath>
                <m:r>
                  <w:rPr>
                    <w:rFonts w:ascii="Cambria Math" w:eastAsia="Calibri" w:hAnsi="Cambria Math" w:cs="Times New Roman"/>
                    <w:szCs w:val="24"/>
                    <w:lang w:val="en-GB"/>
                  </w:rPr>
                  <m:t>BR</m:t>
                </m:r>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e,s,a</m:t>
                    </m:r>
                  </m:e>
                </m:d>
                <m:r>
                  <w:rPr>
                    <w:rFonts w:ascii="Cambria Math" w:eastAsia="Calibri" w:hAnsi="Cambria Math" w:cs="Times New Roman"/>
                    <w:szCs w:val="24"/>
                    <w:lang w:val="en-GB"/>
                  </w:rPr>
                  <m:t>=</m:t>
                </m:r>
                <m:nary>
                  <m:naryPr>
                    <m:ctrlPr>
                      <w:rPr>
                        <w:rFonts w:ascii="Cambria Math" w:eastAsia="Calibri" w:hAnsi="Cambria Math" w:cs="Times New Roman"/>
                        <w:i/>
                        <w:iCs/>
                        <w:szCs w:val="24"/>
                        <w:lang w:val="en-GB"/>
                      </w:rPr>
                    </m:ctrlPr>
                  </m:naryPr>
                  <m:sub>
                    <m:r>
                      <w:rPr>
                        <w:rFonts w:ascii="Cambria Math" w:eastAsia="Calibri" w:hAnsi="Cambria Math" w:cs="Times New Roman"/>
                        <w:szCs w:val="24"/>
                        <w:lang w:val="en-GB"/>
                      </w:rPr>
                      <m:t>e</m:t>
                    </m:r>
                  </m:sub>
                  <m:sup>
                    <m:r>
                      <w:rPr>
                        <w:rFonts w:ascii="Cambria Math" w:eastAsia="Calibri" w:hAnsi="Cambria Math" w:cs="Times New Roman"/>
                        <w:szCs w:val="24"/>
                        <w:lang w:val="en-GB"/>
                      </w:rPr>
                      <m:t>a</m:t>
                    </m:r>
                  </m:sup>
                  <m:e>
                    <m:r>
                      <w:rPr>
                        <w:rFonts w:ascii="Cambria Math" w:eastAsia="Calibri" w:hAnsi="Cambria Math" w:cs="Times New Roman"/>
                        <w:szCs w:val="24"/>
                        <w:lang w:val="en-GB"/>
                      </w:rPr>
                      <m:t>m</m:t>
                    </m:r>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t,s</m:t>
                        </m:r>
                      </m:e>
                    </m:d>
                    <m:sSub>
                      <m:sSubPr>
                        <m:ctrlPr>
                          <w:rPr>
                            <w:rFonts w:ascii="Cambria Math" w:eastAsia="Calibri" w:hAnsi="Cambria Math" w:cs="Times New Roman"/>
                            <w:i/>
                            <w:iCs/>
                            <w:szCs w:val="24"/>
                            <w:lang w:val="en-GB"/>
                          </w:rPr>
                        </m:ctrlPr>
                      </m:sSubPr>
                      <m:e>
                        <m:r>
                          <w:rPr>
                            <w:rFonts w:ascii="Cambria Math" w:eastAsia="Calibri" w:hAnsi="Cambria Math" w:cs="Times New Roman"/>
                            <w:szCs w:val="24"/>
                            <w:lang w:val="en-GB"/>
                          </w:rPr>
                          <m:t>S</m:t>
                        </m:r>
                      </m:e>
                      <m:sub>
                        <m:r>
                          <w:rPr>
                            <w:rFonts w:ascii="Cambria Math" w:eastAsia="Calibri" w:hAnsi="Cambria Math" w:cs="Times New Roman"/>
                            <w:szCs w:val="24"/>
                            <w:lang w:val="en-GB"/>
                          </w:rPr>
                          <m:t>aj</m:t>
                        </m:r>
                      </m:sub>
                    </m:sSub>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t</m:t>
                        </m:r>
                      </m:e>
                      <m:e>
                        <m:r>
                          <w:rPr>
                            <w:rFonts w:ascii="Cambria Math" w:eastAsia="Calibri" w:hAnsi="Cambria Math" w:cs="Times New Roman"/>
                            <w:szCs w:val="24"/>
                            <w:lang w:val="en-GB"/>
                          </w:rPr>
                          <m:t>e,s</m:t>
                        </m:r>
                      </m:e>
                    </m:d>
                    <m:r>
                      <w:rPr>
                        <w:rFonts w:ascii="Cambria Math" w:eastAsia="Calibri" w:hAnsi="Cambria Math" w:cs="Times New Roman"/>
                        <w:szCs w:val="24"/>
                        <w:lang w:val="en-GB"/>
                      </w:rPr>
                      <m:t xml:space="preserve">dt </m:t>
                    </m:r>
                  </m:e>
                </m:nary>
                <m:r>
                  <m:rPr>
                    <m:nor/>
                  </m:rPr>
                  <w:rPr>
                    <w:rFonts w:ascii="Cambria Math" w:eastAsia="Calibri" w:hAnsi="Cambria Math" w:cs="Times New Roman"/>
                    <w:iCs/>
                    <w:szCs w:val="24"/>
                    <w:lang w:val="en-GB"/>
                  </w:rPr>
                  <m:t xml:space="preserve">  and  </m:t>
                </m:r>
                <m:r>
                  <w:rPr>
                    <w:rFonts w:ascii="Cambria Math" w:eastAsia="Calibri" w:hAnsi="Cambria Math" w:cs="Times New Roman"/>
                    <w:szCs w:val="24"/>
                    <w:lang w:val="en-GB"/>
                  </w:rPr>
                  <m:t>LBR</m:t>
                </m:r>
                <m:d>
                  <m:dPr>
                    <m:ctrlPr>
                      <w:rPr>
                        <w:rFonts w:ascii="Cambria Math" w:eastAsia="Calibri" w:hAnsi="Cambria Math" w:cs="Times New Roman"/>
                        <w:i/>
                        <w:iCs/>
                        <w:szCs w:val="24"/>
                        <w:lang w:val="en-GB"/>
                      </w:rPr>
                    </m:ctrlPr>
                  </m:dPr>
                  <m:e>
                    <m:r>
                      <w:rPr>
                        <w:rFonts w:ascii="Cambria Math" w:eastAsia="Calibri" w:hAnsi="Cambria Math" w:cs="Times New Roman"/>
                        <w:szCs w:val="24"/>
                        <w:lang w:val="en-GB"/>
                      </w:rPr>
                      <m:t>e,s</m:t>
                    </m:r>
                  </m:e>
                </m:d>
                <m:r>
                  <w:rPr>
                    <w:rFonts w:ascii="Cambria Math" w:eastAsia="Calibri" w:hAnsi="Cambria Math" w:cs="Times New Roman"/>
                    <w:szCs w:val="24"/>
                    <w:lang w:val="en-GB"/>
                  </w:rPr>
                  <m:t>=BR(e,s,∞).</m:t>
                </m:r>
              </m:oMath>
            </m:oMathPara>
          </w:p>
        </w:tc>
        <w:tc>
          <w:tcPr>
            <w:tcW w:w="982" w:type="dxa"/>
            <w:vAlign w:val="center"/>
          </w:tcPr>
          <w:p w14:paraId="5D74628E" w14:textId="77777777" w:rsidR="00BF0719" w:rsidRPr="00DB47CD" w:rsidRDefault="00BF0719" w:rsidP="00BF0719">
            <w:pPr>
              <w:jc w:val="center"/>
              <w:rPr>
                <w:rFonts w:eastAsia="Calibri" w:cs="Times New Roman"/>
                <w:iCs/>
                <w:szCs w:val="24"/>
                <w:lang w:val="en-GB"/>
              </w:rPr>
            </w:pPr>
            <w:r w:rsidRPr="00DB47CD">
              <w:rPr>
                <w:rFonts w:eastAsia="Calibri" w:cs="Times New Roman"/>
                <w:iCs/>
                <w:szCs w:val="24"/>
                <w:lang w:val="en-GB"/>
              </w:rPr>
              <w:t>(4)</w:t>
            </w:r>
          </w:p>
        </w:tc>
      </w:tr>
    </w:tbl>
    <w:p w14:paraId="7662A562" w14:textId="77777777" w:rsidR="00BF0719" w:rsidRPr="00DB47CD" w:rsidRDefault="00BF0719" w:rsidP="00BF0719">
      <w:pPr>
        <w:jc w:val="both"/>
        <w:rPr>
          <w:rFonts w:eastAsia="Calibri" w:cs="Times New Roman"/>
          <w:bCs/>
          <w:szCs w:val="24"/>
          <w:lang w:val="en-GB"/>
        </w:rPr>
      </w:pPr>
      <w:r w:rsidRPr="00DB47CD">
        <w:rPr>
          <w:rFonts w:eastAsia="Calibri" w:cs="Times New Roman"/>
          <w:szCs w:val="24"/>
          <w:lang w:val="en-GB"/>
        </w:rPr>
        <w:t>The duration of any lifetime segment at-risk considered, depends on the age at exposure (i.e., the higher the ages at initial exposure the shorter the lifetime segment up to old age). This causes any comparisons of results among different ages at exposure to be complicated. Therefore, the cumulative risks over 20 years-at-risk after the initial exposure (</w:t>
      </w:r>
      <w:r w:rsidRPr="00DB47CD">
        <w:rPr>
          <w:rFonts w:eastAsia="Calibri" w:cs="Times New Roman"/>
          <w:i/>
          <w:szCs w:val="24"/>
          <w:lang w:val="en-GB"/>
        </w:rPr>
        <w:t>AR</w:t>
      </w:r>
      <w:r w:rsidRPr="00DB47CD">
        <w:rPr>
          <w:rFonts w:eastAsia="Calibri" w:cs="Times New Roman"/>
          <w:szCs w:val="24"/>
          <w:vertAlign w:val="subscript"/>
          <w:lang w:val="en-GB"/>
        </w:rPr>
        <w:t>20</w:t>
      </w:r>
      <w:r w:rsidRPr="00DB47CD">
        <w:rPr>
          <w:rFonts w:eastAsia="Calibri" w:cs="Times New Roman"/>
          <w:szCs w:val="24"/>
          <w:lang w:val="en-GB"/>
        </w:rPr>
        <w:t xml:space="preserve">, </w:t>
      </w:r>
      <w:r w:rsidRPr="00DB47CD">
        <w:rPr>
          <w:rFonts w:eastAsia="Calibri" w:cs="Times New Roman"/>
          <w:i/>
          <w:szCs w:val="24"/>
          <w:lang w:val="en-GB"/>
        </w:rPr>
        <w:t>BR</w:t>
      </w:r>
      <w:r w:rsidRPr="00DB47CD">
        <w:rPr>
          <w:rFonts w:eastAsia="Calibri" w:cs="Times New Roman"/>
          <w:szCs w:val="24"/>
          <w:vertAlign w:val="subscript"/>
          <w:lang w:val="en-GB"/>
        </w:rPr>
        <w:t>20</w:t>
      </w:r>
      <w:r w:rsidRPr="00DB47CD">
        <w:rPr>
          <w:rFonts w:eastAsia="Calibri" w:cs="Times New Roman"/>
          <w:szCs w:val="24"/>
          <w:lang w:val="en-GB"/>
        </w:rPr>
        <w:t xml:space="preserve">) were also calculated. </w:t>
      </w:r>
      <w:r w:rsidRPr="00DB47CD">
        <w:rPr>
          <w:rFonts w:eastAsia="Calibri" w:cs="Times New Roman"/>
          <w:i/>
          <w:szCs w:val="24"/>
          <w:lang w:val="en-GB"/>
        </w:rPr>
        <w:t>AR</w:t>
      </w:r>
      <w:r w:rsidRPr="00DB47CD">
        <w:rPr>
          <w:rFonts w:eastAsia="Calibri" w:cs="Times New Roman"/>
          <w:szCs w:val="24"/>
          <w:vertAlign w:val="subscript"/>
          <w:lang w:val="en-GB"/>
        </w:rPr>
        <w:t>20</w:t>
      </w:r>
      <w:r w:rsidRPr="00DB47CD">
        <w:rPr>
          <w:rFonts w:eastAsia="Calibri" w:cs="Times New Roman"/>
          <w:szCs w:val="24"/>
          <w:lang w:val="en-GB"/>
        </w:rPr>
        <w:t xml:space="preserve"> can be a suitable representation </w:t>
      </w:r>
      <w:r w:rsidRPr="00DB47CD">
        <w:rPr>
          <w:rFonts w:eastAsia="Calibri" w:cs="Times New Roman"/>
          <w:bCs/>
          <w:szCs w:val="24"/>
          <w:lang w:val="en-GB"/>
        </w:rPr>
        <w:t>to satisfy interest in early risks of cancer from a short-term public health perspective</w:t>
      </w:r>
      <w:r w:rsidRPr="00DB47CD">
        <w:rPr>
          <w:rFonts w:eastAsia="Calibri" w:cs="Times New Roman"/>
          <w:szCs w:val="24"/>
          <w:lang w:val="en-GB"/>
        </w:rPr>
        <w:t xml:space="preserve"> and also for comparisons between calculated risks and risks potentially provided by any epidemiological studies initiated after an emergency. </w:t>
      </w:r>
      <w:r w:rsidRPr="00DB47CD">
        <w:rPr>
          <w:rFonts w:eastAsia="Calibri" w:cs="Times New Roman"/>
          <w:i/>
          <w:szCs w:val="24"/>
          <w:lang w:val="en-GB"/>
        </w:rPr>
        <w:t>AR</w:t>
      </w:r>
      <w:r w:rsidRPr="00DB47CD">
        <w:rPr>
          <w:rFonts w:eastAsia="Calibri" w:cs="Times New Roman"/>
          <w:szCs w:val="24"/>
          <w:vertAlign w:val="subscript"/>
          <w:lang w:val="en-GB"/>
        </w:rPr>
        <w:t xml:space="preserve">20 </w:t>
      </w:r>
      <w:r w:rsidRPr="00DB47CD">
        <w:rPr>
          <w:rFonts w:eastAsia="Calibri" w:cs="Times New Roman"/>
          <w:szCs w:val="24"/>
          <w:lang w:val="en-GB"/>
        </w:rPr>
        <w:t>is particularly relevant for cancer types such as leukaemia and thyroid cancer where the relative increase in risk is expected to be stronger during the first few decades after exposure during childhood. It is pertinent to note that these risk quantities, although they can be based on individual doses, cannot represent an individual’s risk due in-part to a lack of knowledge on other individual risk factors (see discussion). The forms given in the equations (2)–(4), which result in probability values for the various risk measures, are therefore more appropriate to consider in the results section, when simply converted into number of cases per 10,000 persons.</w:t>
      </w:r>
    </w:p>
    <w:p w14:paraId="416F8920" w14:textId="77777777" w:rsidR="00BF0719" w:rsidRPr="00DB47CD" w:rsidRDefault="00BF0719" w:rsidP="00BF0719">
      <w:pPr>
        <w:jc w:val="both"/>
        <w:rPr>
          <w:rFonts w:eastAsia="Calibri" w:cs="Times New Roman"/>
          <w:bCs/>
          <w:szCs w:val="24"/>
          <w:lang w:val="en-GB"/>
        </w:rPr>
      </w:pPr>
    </w:p>
    <w:p w14:paraId="6EEC7972" w14:textId="77777777" w:rsidR="00BF0719" w:rsidRPr="00DB47CD" w:rsidRDefault="00BF0719" w:rsidP="00BF0719">
      <w:pPr>
        <w:autoSpaceDE w:val="0"/>
        <w:autoSpaceDN w:val="0"/>
        <w:adjustRightInd w:val="0"/>
        <w:jc w:val="both"/>
        <w:rPr>
          <w:rFonts w:eastAsia="Calibri" w:cs="Times New Roman"/>
          <w:i/>
          <w:szCs w:val="24"/>
          <w:lang w:val="en-GB"/>
        </w:rPr>
      </w:pPr>
      <w:r w:rsidRPr="00DB47CD">
        <w:rPr>
          <w:rFonts w:eastAsia="Calibri" w:cs="Times New Roman"/>
          <w:i/>
          <w:szCs w:val="24"/>
          <w:lang w:val="en-GB"/>
        </w:rPr>
        <w:t>Treatment of uncertainties in the risk calculations.</w:t>
      </w:r>
    </w:p>
    <w:p w14:paraId="00FC0F0B" w14:textId="5B8D6C2E" w:rsidR="00BF0719" w:rsidRPr="00DB47CD" w:rsidRDefault="00BF0719" w:rsidP="00BF0719">
      <w:pPr>
        <w:autoSpaceDE w:val="0"/>
        <w:autoSpaceDN w:val="0"/>
        <w:adjustRightInd w:val="0"/>
        <w:jc w:val="both"/>
        <w:rPr>
          <w:rFonts w:eastAsia="Calibri" w:cs="Times New Roman"/>
          <w:szCs w:val="24"/>
          <w:lang w:val="en-GB"/>
        </w:rPr>
      </w:pPr>
      <w:r w:rsidRPr="00DB47CD">
        <w:rPr>
          <w:rFonts w:eastAsia="Calibri" w:cs="Times New Roman"/>
          <w:szCs w:val="24"/>
          <w:lang w:val="en-GB"/>
        </w:rPr>
        <w:t>Such lifetime risk estimates are associated with large uncertainties that were quantified here with stochastic simulation following a methodology that has recently been described for non-time integrated risks (</w:t>
      </w:r>
      <w:proofErr w:type="spellStart"/>
      <w:r w:rsidRPr="00DB47CD">
        <w:rPr>
          <w:rFonts w:eastAsia="Calibri" w:cs="Times New Roman"/>
          <w:color w:val="000000"/>
          <w:szCs w:val="24"/>
          <w:lang w:val="en-GB"/>
        </w:rPr>
        <w:t>Ulanowski</w:t>
      </w:r>
      <w:proofErr w:type="spellEnd"/>
      <w:r w:rsidRPr="00DB47CD">
        <w:rPr>
          <w:rFonts w:eastAsia="Calibri" w:cs="Times New Roman"/>
          <w:color w:val="000000"/>
          <w:szCs w:val="24"/>
          <w:lang w:val="en-GB"/>
        </w:rPr>
        <w:t xml:space="preserve"> et al. 2016</w:t>
      </w:r>
      <w:r w:rsidRPr="00DB47CD">
        <w:rPr>
          <w:rFonts w:eastAsia="Calibri" w:cs="Times New Roman"/>
          <w:szCs w:val="24"/>
          <w:lang w:val="en-GB"/>
        </w:rPr>
        <w:t xml:space="preserve">) and time integrated thyroid cancer risks (Jacob et al. 2014, with full details in the supplementary material for this </w:t>
      </w:r>
      <w:r w:rsidR="001C2711">
        <w:rPr>
          <w:rFonts w:eastAsia="Calibri" w:cs="Times New Roman"/>
          <w:szCs w:val="24"/>
          <w:lang w:val="en-GB"/>
        </w:rPr>
        <w:t xml:space="preserve">cited </w:t>
      </w:r>
      <w:r w:rsidRPr="00DB47CD">
        <w:rPr>
          <w:rFonts w:eastAsia="Calibri" w:cs="Times New Roman"/>
          <w:szCs w:val="24"/>
          <w:lang w:val="en-GB"/>
        </w:rPr>
        <w:t>reference). The following uncertainties were included here in the simulation of overall risk uncertainties:</w:t>
      </w:r>
    </w:p>
    <w:p w14:paraId="60D9B997" w14:textId="77777777" w:rsidR="00BF0719" w:rsidRPr="00DB47CD" w:rsidRDefault="00BF0719" w:rsidP="00BF0719">
      <w:pPr>
        <w:autoSpaceDE w:val="0"/>
        <w:autoSpaceDN w:val="0"/>
        <w:adjustRightInd w:val="0"/>
        <w:jc w:val="both"/>
        <w:rPr>
          <w:rFonts w:eastAsia="Calibri" w:cs="Times New Roman"/>
          <w:szCs w:val="24"/>
          <w:lang w:val="en-GB"/>
        </w:rPr>
      </w:pPr>
      <w:r w:rsidRPr="00DB47CD">
        <w:rPr>
          <w:rFonts w:eastAsia="Calibri" w:cs="Times New Roman"/>
          <w:bCs/>
          <w:szCs w:val="24"/>
          <w:lang w:val="en-GB"/>
        </w:rPr>
        <w:t>1.</w:t>
      </w:r>
      <w:r w:rsidRPr="00DB47CD">
        <w:rPr>
          <w:rFonts w:eastAsia="Calibri" w:cs="Times New Roman"/>
          <w:szCs w:val="24"/>
          <w:lang w:val="en-GB"/>
        </w:rPr>
        <w:t xml:space="preserve"> The radiation risk model parameters from the A-bomb LSS cohort and the pooled breast cancer cohorts were sampled from a multivariable normal distribution using best estimates of the parameters and respective covariance matrices, including parameters specifying baseline incidence in the LSS cohort.</w:t>
      </w:r>
    </w:p>
    <w:p w14:paraId="1BB1B039" w14:textId="77777777" w:rsidR="00BF0719" w:rsidRPr="00DB47CD" w:rsidRDefault="00BF0719" w:rsidP="00BF0719">
      <w:pPr>
        <w:autoSpaceDE w:val="0"/>
        <w:autoSpaceDN w:val="0"/>
        <w:adjustRightInd w:val="0"/>
        <w:jc w:val="both"/>
        <w:rPr>
          <w:rFonts w:eastAsia="Calibri" w:cs="Times New Roman"/>
          <w:szCs w:val="24"/>
          <w:lang w:val="en-GB"/>
        </w:rPr>
      </w:pPr>
      <w:r w:rsidRPr="00DB47CD">
        <w:rPr>
          <w:rFonts w:eastAsia="Calibri" w:cs="Times New Roman"/>
          <w:bCs/>
          <w:szCs w:val="24"/>
          <w:lang w:val="en-GB"/>
        </w:rPr>
        <w:t>2.</w:t>
      </w:r>
      <w:r w:rsidRPr="00DB47CD">
        <w:rPr>
          <w:rFonts w:eastAsia="Calibri" w:cs="Times New Roman"/>
          <w:szCs w:val="24"/>
          <w:lang w:val="en-GB"/>
        </w:rPr>
        <w:t xml:space="preserve"> The transfer factors </w:t>
      </w:r>
      <w:r w:rsidRPr="00DB47CD">
        <w:rPr>
          <w:rFonts w:eastAsia="Calibri" w:cs="Times New Roman"/>
          <w:i/>
          <w:iCs/>
          <w:szCs w:val="24"/>
          <w:lang w:val="en-GB"/>
        </w:rPr>
        <w:t>f</w:t>
      </w:r>
      <w:r w:rsidRPr="00DB47CD">
        <w:rPr>
          <w:rFonts w:eastAsia="Calibri" w:cs="Times New Roman"/>
          <w:szCs w:val="24"/>
          <w:lang w:val="en-GB"/>
        </w:rPr>
        <w:t xml:space="preserve"> (i.e., from Equation 1, for apportioning additive and multiplicative radiation risk contributions) were sampled from a uniform distribution</w:t>
      </w:r>
      <w:proofErr w:type="gramStart"/>
      <w:r w:rsidRPr="00DB47CD">
        <w:rPr>
          <w:rFonts w:eastAsia="Calibri" w:cs="Times New Roman"/>
          <w:szCs w:val="24"/>
          <w:lang w:val="en-GB"/>
        </w:rPr>
        <w:t xml:space="preserve">: </w:t>
      </w:r>
      <w:proofErr w:type="gramEnd"/>
      <m:oMath>
        <m:r>
          <w:rPr>
            <w:rFonts w:ascii="Cambria Math" w:eastAsia="Calibri" w:hAnsi="Cambria Math" w:cs="Times New Roman"/>
            <w:szCs w:val="24"/>
            <w:lang w:val="en-GB"/>
          </w:rPr>
          <m:t>f~U(0,1)</m:t>
        </m:r>
      </m:oMath>
      <w:r w:rsidRPr="00DB47CD">
        <w:rPr>
          <w:rFonts w:eastAsia="Calibri" w:cs="Times New Roman"/>
          <w:szCs w:val="24"/>
          <w:lang w:val="en-GB"/>
        </w:rPr>
        <w:t>.</w:t>
      </w:r>
    </w:p>
    <w:p w14:paraId="0AC23BE6" w14:textId="77777777" w:rsidR="00BF0719" w:rsidRPr="00DB47CD" w:rsidRDefault="00BF0719" w:rsidP="00BF0719">
      <w:pPr>
        <w:autoSpaceDE w:val="0"/>
        <w:autoSpaceDN w:val="0"/>
        <w:adjustRightInd w:val="0"/>
        <w:jc w:val="both"/>
        <w:rPr>
          <w:rFonts w:eastAsia="Calibri" w:cs="Times New Roman"/>
          <w:szCs w:val="24"/>
          <w:lang w:val="en-GB"/>
        </w:rPr>
      </w:pPr>
      <w:r w:rsidRPr="00DB47CD">
        <w:rPr>
          <w:rFonts w:eastAsia="Calibri" w:cs="Times New Roman"/>
          <w:bCs/>
          <w:szCs w:val="24"/>
          <w:lang w:val="en-GB"/>
        </w:rPr>
        <w:t>3.</w:t>
      </w:r>
      <w:r w:rsidRPr="00DB47CD">
        <w:rPr>
          <w:rFonts w:eastAsia="Calibri" w:cs="Times New Roman"/>
          <w:szCs w:val="24"/>
          <w:lang w:val="en-GB"/>
        </w:rPr>
        <w:t xml:space="preserve"> Dose rate effects were sampled from a lognormal distribution with a geometric mean of 1.0 and geometric standard deviation varying as a linear function of dose rate (Jacob et al, 2014, 2017) with value of 1.5 at dose rate 1.5 </w:t>
      </w:r>
      <w:proofErr w:type="spellStart"/>
      <w:r w:rsidRPr="00DB47CD">
        <w:rPr>
          <w:rFonts w:eastAsia="Calibri" w:cs="Times New Roman"/>
          <w:szCs w:val="24"/>
          <w:lang w:val="en-GB"/>
        </w:rPr>
        <w:t>mGy</w:t>
      </w:r>
      <w:proofErr w:type="spellEnd"/>
      <w:r w:rsidRPr="00DB47CD">
        <w:rPr>
          <w:rFonts w:eastAsia="Calibri" w:cs="Times New Roman"/>
          <w:szCs w:val="24"/>
          <w:lang w:val="en-GB"/>
        </w:rPr>
        <w:t xml:space="preserve"> d</w:t>
      </w:r>
      <w:r w:rsidRPr="00DB47CD">
        <w:rPr>
          <w:rFonts w:eastAsia="Calibri" w:cs="Times New Roman"/>
          <w:szCs w:val="24"/>
          <w:vertAlign w:val="superscript"/>
          <w:lang w:val="en-GB"/>
        </w:rPr>
        <w:t>−1</w:t>
      </w:r>
      <w:r w:rsidRPr="00DB47CD">
        <w:rPr>
          <w:rFonts w:eastAsia="Calibri" w:cs="Times New Roman"/>
          <w:szCs w:val="24"/>
          <w:lang w:val="en-GB"/>
        </w:rPr>
        <w:t xml:space="preserve"> and value of 1 at dose rate equal to or higher than 6 </w:t>
      </w:r>
      <w:proofErr w:type="spellStart"/>
      <w:r w:rsidRPr="00DB47CD">
        <w:rPr>
          <w:rFonts w:eastAsia="Calibri" w:cs="Times New Roman"/>
          <w:szCs w:val="24"/>
          <w:lang w:val="en-GB"/>
        </w:rPr>
        <w:t>mGy</w:t>
      </w:r>
      <w:proofErr w:type="spellEnd"/>
      <w:r w:rsidRPr="00DB47CD">
        <w:rPr>
          <w:rFonts w:eastAsia="Calibri" w:cs="Times New Roman"/>
          <w:szCs w:val="24"/>
          <w:lang w:val="en-GB"/>
        </w:rPr>
        <w:t xml:space="preserve"> h</w:t>
      </w:r>
      <w:r w:rsidRPr="00DB47CD">
        <w:rPr>
          <w:rFonts w:eastAsia="Calibri" w:cs="Times New Roman"/>
          <w:szCs w:val="24"/>
          <w:vertAlign w:val="superscript"/>
          <w:lang w:val="en-GB"/>
        </w:rPr>
        <w:t>−1</w:t>
      </w:r>
      <w:r w:rsidRPr="00DB47CD">
        <w:rPr>
          <w:rFonts w:eastAsia="Calibri" w:cs="Times New Roman"/>
          <w:szCs w:val="24"/>
          <w:lang w:val="en-GB"/>
        </w:rPr>
        <w:t>.</w:t>
      </w:r>
    </w:p>
    <w:p w14:paraId="58809B14" w14:textId="77777777" w:rsidR="00BF0719" w:rsidRPr="00DB47CD" w:rsidRDefault="00BF0719" w:rsidP="00BF0719">
      <w:pPr>
        <w:jc w:val="both"/>
        <w:rPr>
          <w:rFonts w:eastAsia="Calibri" w:cs="Times New Roman"/>
          <w:szCs w:val="24"/>
          <w:lang w:val="en-GB"/>
        </w:rPr>
      </w:pPr>
      <w:r w:rsidRPr="00DB47CD">
        <w:rPr>
          <w:rFonts w:eastAsia="Calibri" w:cs="Times New Roman"/>
          <w:bCs/>
          <w:szCs w:val="24"/>
          <w:lang w:val="en-GB"/>
        </w:rPr>
        <w:t>4.</w:t>
      </w:r>
      <w:r w:rsidRPr="00DB47CD">
        <w:rPr>
          <w:rFonts w:eastAsia="Calibri" w:cs="Times New Roman"/>
          <w:szCs w:val="24"/>
          <w:lang w:val="en-GB"/>
        </w:rPr>
        <w:t xml:space="preserve"> The minimum latency periods were sampled from a sigmoid distribution with parameters suggested by I. </w:t>
      </w:r>
      <w:proofErr w:type="spellStart"/>
      <w:r w:rsidRPr="00DB47CD">
        <w:rPr>
          <w:rFonts w:eastAsia="Calibri" w:cs="Times New Roman"/>
          <w:szCs w:val="24"/>
          <w:lang w:val="en-GB"/>
        </w:rPr>
        <w:t>Apostoaei</w:t>
      </w:r>
      <w:proofErr w:type="spellEnd"/>
      <w:r w:rsidRPr="00DB47CD">
        <w:rPr>
          <w:rFonts w:eastAsia="Calibri" w:cs="Times New Roman"/>
          <w:szCs w:val="24"/>
          <w:lang w:val="en-GB"/>
        </w:rPr>
        <w:t xml:space="preserve"> (ORRISK, USA) and found in Jacob et al. (2017).</w:t>
      </w:r>
    </w:p>
    <w:p w14:paraId="58CA34C4" w14:textId="77777777" w:rsidR="00BF0719" w:rsidRPr="00DB47CD" w:rsidRDefault="00BF0719" w:rsidP="00BF0719">
      <w:pPr>
        <w:autoSpaceDE w:val="0"/>
        <w:autoSpaceDN w:val="0"/>
        <w:adjustRightInd w:val="0"/>
        <w:jc w:val="both"/>
        <w:rPr>
          <w:rFonts w:eastAsia="Calibri" w:cs="Times New Roman"/>
          <w:szCs w:val="24"/>
          <w:lang w:val="en-GB"/>
        </w:rPr>
      </w:pPr>
      <w:r w:rsidRPr="00DB47CD">
        <w:rPr>
          <w:rFonts w:eastAsia="Calibri" w:cs="Times New Roman"/>
          <w:bCs/>
          <w:szCs w:val="24"/>
          <w:lang w:val="en-GB"/>
        </w:rPr>
        <w:t>5.</w:t>
      </w:r>
      <w:r w:rsidRPr="00DB47CD">
        <w:rPr>
          <w:rFonts w:eastAsia="Calibri" w:cs="Times New Roman"/>
          <w:szCs w:val="24"/>
          <w:lang w:val="en-GB"/>
        </w:rPr>
        <w:t xml:space="preserve"> Uncertainty of incidence data was sampled from Poisson distributions of the reported number of cancer cases in a country in the corresponding 5-year age interval.</w:t>
      </w:r>
    </w:p>
    <w:p w14:paraId="60572F9F" w14:textId="08369CAB" w:rsidR="00BF0719" w:rsidRPr="00DB47CD" w:rsidRDefault="00BF0719" w:rsidP="00BF0719">
      <w:pPr>
        <w:autoSpaceDE w:val="0"/>
        <w:autoSpaceDN w:val="0"/>
        <w:adjustRightInd w:val="0"/>
        <w:jc w:val="both"/>
        <w:rPr>
          <w:rFonts w:eastAsia="Calibri" w:cs="Times New Roman"/>
          <w:szCs w:val="24"/>
          <w:lang w:val="en-GB"/>
        </w:rPr>
      </w:pPr>
      <w:r w:rsidRPr="00DB47CD">
        <w:rPr>
          <w:rFonts w:eastAsia="Calibri" w:cs="Times New Roman"/>
          <w:szCs w:val="24"/>
          <w:lang w:val="en-GB"/>
        </w:rPr>
        <w:t xml:space="preserve">6. The doses were sampled from a log-normal distribution, with arithmetic means of 20 and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(converted into organ doses appropriate to the cancer outcome type considered, Table 1). The geometric standard deviations were assumed here to be 1.5 </w:t>
      </w:r>
      <w:r w:rsidR="00452DB2">
        <w:rPr>
          <w:rFonts w:eastAsia="Calibri" w:cs="Times New Roman"/>
          <w:szCs w:val="24"/>
          <w:lang w:val="en-GB"/>
        </w:rPr>
        <w:t xml:space="preserve">(see e.g., Harada 2014) </w:t>
      </w:r>
      <w:r w:rsidRPr="00DB47CD">
        <w:rPr>
          <w:rFonts w:eastAsia="Calibri" w:cs="Times New Roman"/>
          <w:szCs w:val="24"/>
          <w:lang w:val="en-GB"/>
        </w:rPr>
        <w:t xml:space="preserve">and the arithmetic mean organ dose values were converted to geometric means to account for the known inequality between these two quantities. </w:t>
      </w:r>
    </w:p>
    <w:p w14:paraId="0BCAE099" w14:textId="77777777" w:rsidR="00BF0719" w:rsidRPr="00DB47CD" w:rsidRDefault="00BF0719" w:rsidP="00BF0719">
      <w:pPr>
        <w:autoSpaceDE w:val="0"/>
        <w:autoSpaceDN w:val="0"/>
        <w:adjustRightInd w:val="0"/>
        <w:jc w:val="both"/>
        <w:rPr>
          <w:rFonts w:eastAsia="Calibri" w:cs="Times New Roman"/>
          <w:szCs w:val="24"/>
          <w:lang w:val="en-GB"/>
        </w:rPr>
      </w:pPr>
    </w:p>
    <w:p w14:paraId="01170E66" w14:textId="77777777" w:rsidR="00BF0719" w:rsidRPr="00DB47CD" w:rsidRDefault="00BF0719" w:rsidP="00BF0719">
      <w:pPr>
        <w:autoSpaceDE w:val="0"/>
        <w:autoSpaceDN w:val="0"/>
        <w:adjustRightInd w:val="0"/>
        <w:spacing w:after="0"/>
        <w:rPr>
          <w:rFonts w:eastAsia="Calibri" w:cs="Times New Roman"/>
          <w:sz w:val="28"/>
          <w:szCs w:val="28"/>
          <w:lang w:val="en-GB"/>
        </w:rPr>
      </w:pPr>
      <w:r w:rsidRPr="00DB47CD">
        <w:rPr>
          <w:rFonts w:eastAsia="Calibri" w:cs="Times New Roman"/>
          <w:sz w:val="28"/>
          <w:szCs w:val="28"/>
          <w:lang w:val="en-GB"/>
        </w:rPr>
        <w:lastRenderedPageBreak/>
        <w:t>Results</w:t>
      </w:r>
    </w:p>
    <w:p w14:paraId="6ED31530" w14:textId="77777777" w:rsidR="00BF0719" w:rsidRPr="00DB47CD" w:rsidRDefault="00BF0719" w:rsidP="00BF0719">
      <w:pPr>
        <w:autoSpaceDE w:val="0"/>
        <w:autoSpaceDN w:val="0"/>
        <w:adjustRightInd w:val="0"/>
        <w:jc w:val="both"/>
        <w:rPr>
          <w:rFonts w:eastAsia="Calibri" w:cs="Times New Roman"/>
          <w:bCs/>
          <w:szCs w:val="24"/>
          <w:lang w:val="en-GB"/>
        </w:rPr>
      </w:pPr>
      <w:r w:rsidRPr="00DB47CD">
        <w:rPr>
          <w:rFonts w:eastAsia="Calibri" w:cs="Times New Roman"/>
          <w:bCs/>
          <w:szCs w:val="24"/>
          <w:lang w:val="en-GB"/>
        </w:rPr>
        <w:t xml:space="preserve">Table 1 gives the organ dose ranges corresponding to an effective dose range of 20 to 100 </w:t>
      </w:r>
      <w:proofErr w:type="spellStart"/>
      <w:r w:rsidRPr="00DB47CD">
        <w:rPr>
          <w:rFonts w:eastAsia="Calibri" w:cs="Times New Roman"/>
          <w:bCs/>
          <w:szCs w:val="24"/>
          <w:lang w:val="en-GB"/>
        </w:rPr>
        <w:t>mSv</w:t>
      </w:r>
      <w:proofErr w:type="spellEnd"/>
      <w:r w:rsidRPr="00DB47CD">
        <w:rPr>
          <w:rFonts w:eastAsia="Calibri" w:cs="Times New Roman"/>
          <w:bCs/>
          <w:szCs w:val="24"/>
          <w:lang w:val="en-GB"/>
        </w:rPr>
        <w:t>, calculated with the ratios of organ to effective dose from external exposures, taken from Table 19 of the WHO report (</w:t>
      </w:r>
      <w:r w:rsidRPr="00DB47CD">
        <w:rPr>
          <w:rFonts w:eastAsia="Calibri" w:cs="Times New Roman"/>
          <w:szCs w:val="24"/>
          <w:lang w:val="en-GB"/>
        </w:rPr>
        <w:t>WHO, 2013,</w:t>
      </w:r>
      <w:r w:rsidRPr="00DB47CD">
        <w:rPr>
          <w:rFonts w:eastAsia="Calibri" w:cs="Times New Roman"/>
          <w:bCs/>
          <w:szCs w:val="24"/>
          <w:lang w:val="en-GB"/>
        </w:rPr>
        <w:t xml:space="preserve"> Annex G, p. 134).</w:t>
      </w:r>
    </w:p>
    <w:p w14:paraId="32E0C89A" w14:textId="684320EA"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The </w:t>
      </w:r>
      <w:r w:rsidRPr="00DB47CD">
        <w:rPr>
          <w:rFonts w:eastAsia="Calibri" w:cs="Times New Roman"/>
          <w:i/>
          <w:szCs w:val="24"/>
          <w:lang w:val="en-GB"/>
        </w:rPr>
        <w:t>LAR</w:t>
      </w:r>
      <w:r w:rsidRPr="00DB47CD">
        <w:rPr>
          <w:rFonts w:eastAsia="Calibri" w:cs="Times New Roman"/>
          <w:szCs w:val="24"/>
          <w:lang w:val="en-GB"/>
        </w:rPr>
        <w:t xml:space="preserve">, </w:t>
      </w:r>
      <w:r w:rsidRPr="00DB47CD">
        <w:rPr>
          <w:rFonts w:eastAsia="Calibri" w:cs="Times New Roman"/>
          <w:i/>
          <w:szCs w:val="24"/>
          <w:lang w:val="en-GB"/>
        </w:rPr>
        <w:t>LBR</w:t>
      </w:r>
      <w:r w:rsidRPr="00DB47CD">
        <w:rPr>
          <w:rFonts w:eastAsia="Calibri" w:cs="Times New Roman"/>
          <w:szCs w:val="24"/>
          <w:lang w:val="en-GB"/>
        </w:rPr>
        <w:t xml:space="preserve">, </w:t>
      </w:r>
      <w:r w:rsidRPr="00DB47CD">
        <w:rPr>
          <w:rFonts w:eastAsia="Calibri" w:cs="Times New Roman"/>
          <w:i/>
          <w:szCs w:val="24"/>
          <w:lang w:val="en-GB"/>
        </w:rPr>
        <w:t>AR</w:t>
      </w:r>
      <w:r w:rsidRPr="00DB47CD">
        <w:rPr>
          <w:rFonts w:eastAsia="Calibri" w:cs="Times New Roman"/>
          <w:szCs w:val="24"/>
          <w:vertAlign w:val="subscript"/>
          <w:lang w:val="en-GB"/>
        </w:rPr>
        <w:t>20</w:t>
      </w:r>
      <w:r w:rsidRPr="00DB47CD">
        <w:rPr>
          <w:rFonts w:eastAsia="Calibri" w:cs="Times New Roman"/>
          <w:szCs w:val="24"/>
          <w:lang w:val="en-GB"/>
        </w:rPr>
        <w:t xml:space="preserve"> and </w:t>
      </w:r>
      <w:r w:rsidRPr="00DB47CD">
        <w:rPr>
          <w:rFonts w:eastAsia="Calibri" w:cs="Times New Roman"/>
          <w:i/>
          <w:szCs w:val="24"/>
          <w:lang w:val="en-GB"/>
        </w:rPr>
        <w:t>BR</w:t>
      </w:r>
      <w:r w:rsidRPr="00DB47CD">
        <w:rPr>
          <w:rFonts w:eastAsia="Calibri" w:cs="Times New Roman"/>
          <w:szCs w:val="24"/>
          <w:vertAlign w:val="subscript"/>
          <w:lang w:val="en-GB"/>
        </w:rPr>
        <w:t>20</w:t>
      </w:r>
      <w:r w:rsidRPr="00DB47CD">
        <w:rPr>
          <w:rFonts w:eastAsia="Calibri" w:cs="Times New Roman"/>
          <w:szCs w:val="24"/>
          <w:lang w:val="en-GB"/>
        </w:rPr>
        <w:t xml:space="preserve"> risks (</w:t>
      </w:r>
      <w:r w:rsidR="00C86624">
        <w:rPr>
          <w:rFonts w:eastAsia="Calibri" w:cs="Times New Roman"/>
          <w:szCs w:val="24"/>
          <w:lang w:val="en-GB"/>
        </w:rPr>
        <w:t xml:space="preserve">i.e., integrated over lifetime </w:t>
      </w:r>
      <w:r w:rsidRPr="00DB47CD">
        <w:rPr>
          <w:rFonts w:eastAsia="Calibri" w:cs="Times New Roman"/>
          <w:szCs w:val="24"/>
          <w:lang w:val="en-GB"/>
        </w:rPr>
        <w:t xml:space="preserve">and the first 20 years at-risk since exposure) which have been simply converted from probabilities to numbers of excess cases and number of baseline cases per 10,000 persons, for age at exposure 1, 10 and 20 years, are given in Tables 2–5, and Figures 1–4, for all solid cancers, leukaemia, </w:t>
      </w:r>
      <w:r w:rsidR="00C86624" w:rsidRPr="00DB47CD">
        <w:rPr>
          <w:rFonts w:eastAsia="Calibri" w:cs="Times New Roman"/>
          <w:szCs w:val="24"/>
          <w:lang w:val="en-GB"/>
        </w:rPr>
        <w:t xml:space="preserve">thyroid </w:t>
      </w:r>
      <w:r w:rsidRPr="00DB47CD">
        <w:rPr>
          <w:rFonts w:eastAsia="Calibri" w:cs="Times New Roman"/>
          <w:szCs w:val="24"/>
          <w:lang w:val="en-GB"/>
        </w:rPr>
        <w:t>and</w:t>
      </w:r>
      <w:r w:rsidR="00C86624" w:rsidRPr="00C86624">
        <w:rPr>
          <w:rFonts w:eastAsia="Calibri" w:cs="Times New Roman"/>
          <w:szCs w:val="24"/>
          <w:lang w:val="en-GB"/>
        </w:rPr>
        <w:t xml:space="preserve"> </w:t>
      </w:r>
      <w:r w:rsidR="00C86624" w:rsidRPr="00DB47CD">
        <w:rPr>
          <w:rFonts w:eastAsia="Calibri" w:cs="Times New Roman"/>
          <w:szCs w:val="24"/>
          <w:lang w:val="en-GB"/>
        </w:rPr>
        <w:t>female-breast</w:t>
      </w:r>
      <w:r w:rsidR="00C86624" w:rsidRPr="00C86624">
        <w:rPr>
          <w:rFonts w:eastAsia="Calibri" w:cs="Times New Roman"/>
          <w:szCs w:val="24"/>
          <w:lang w:val="en-GB"/>
        </w:rPr>
        <w:t xml:space="preserve"> </w:t>
      </w:r>
      <w:r w:rsidR="00C86624" w:rsidRPr="00DB47CD">
        <w:rPr>
          <w:rFonts w:eastAsia="Calibri" w:cs="Times New Roman"/>
          <w:szCs w:val="24"/>
          <w:lang w:val="en-GB"/>
        </w:rPr>
        <w:t>cancers</w:t>
      </w:r>
      <w:r w:rsidRPr="00DB47CD">
        <w:rPr>
          <w:rFonts w:eastAsia="Calibri" w:cs="Times New Roman"/>
          <w:szCs w:val="24"/>
          <w:lang w:val="en-GB"/>
        </w:rPr>
        <w:t xml:space="preserve">, respectively. </w:t>
      </w:r>
    </w:p>
    <w:p w14:paraId="67607629" w14:textId="77777777"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Considering the risk of all solid cancers (Table 2 and Figure 1), it can be seen that adult females have a larger radiation risk than adult males, over the first 20 years-at-risk since exposure and over lifetime, but male adults have a lower baseline risk over the first 20 years-at-risk since exposure, but a higher lifetime baseline risk than females. For children and infants the lifetime and 20 year radiation risk is higher for females than for males. Given that </w:t>
      </w:r>
      <w:r w:rsidRPr="00DB47CD">
        <w:rPr>
          <w:rFonts w:eastAsia="TradeGothicLTStd" w:cs="Times New Roman"/>
          <w:color w:val="1A181C"/>
          <w:szCs w:val="24"/>
          <w:lang w:val="en-GB"/>
        </w:rPr>
        <w:t xml:space="preserve">the grouping “all solid cancer” will provide risk estimates with higher statistical power than obtainable with individual cancer sites it is noteworthy that the 95% confidence intervals on the </w:t>
      </w:r>
      <w:r w:rsidRPr="00DB47CD">
        <w:rPr>
          <w:rFonts w:eastAsia="Calibri" w:cs="Times New Roman"/>
          <w:szCs w:val="24"/>
          <w:lang w:val="en-GB"/>
        </w:rPr>
        <w:t xml:space="preserve">numbers of cases expected per 10,000 persons at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over lifetime are still large e.g., 416 (95%CI: 164; 1200), 350 (95%CI: 149; 895) and 257 (95%CI: 112; 618) for females exposed as infants, children and adults respectively.</w:t>
      </w:r>
    </w:p>
    <w:p w14:paraId="303BD759" w14:textId="77777777"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The trends apparent from Table 3 and Figure 2 for leukaemia, in the radiation risk sex differences, reflect those differences reported in the </w:t>
      </w:r>
      <w:r w:rsidRPr="00DB47CD">
        <w:rPr>
          <w:rFonts w:eastAsia="Calibri" w:cs="Times New Roman"/>
          <w:i/>
          <w:szCs w:val="24"/>
          <w:lang w:val="en-GB"/>
        </w:rPr>
        <w:t>ERR</w:t>
      </w:r>
      <w:r w:rsidRPr="00DB47CD">
        <w:rPr>
          <w:rFonts w:eastAsia="Calibri" w:cs="Times New Roman"/>
          <w:szCs w:val="24"/>
          <w:lang w:val="en-GB"/>
        </w:rPr>
        <w:t xml:space="preserve"> and </w:t>
      </w:r>
      <w:r w:rsidRPr="00DB47CD">
        <w:rPr>
          <w:rFonts w:eastAsia="Calibri" w:cs="Times New Roman"/>
          <w:i/>
          <w:szCs w:val="24"/>
          <w:lang w:val="en-GB"/>
        </w:rPr>
        <w:t>EAR</w:t>
      </w:r>
      <w:r w:rsidRPr="00DB47CD">
        <w:rPr>
          <w:rFonts w:eastAsia="Calibri" w:cs="Times New Roman"/>
          <w:szCs w:val="24"/>
          <w:lang w:val="en-GB"/>
        </w:rPr>
        <w:t xml:space="preserve"> LSS risk models (Hsu et al. 2013) i.e., the </w:t>
      </w:r>
      <w:r w:rsidRPr="00DB47CD">
        <w:rPr>
          <w:rFonts w:eastAsia="Calibri" w:cs="Times New Roman"/>
          <w:i/>
          <w:szCs w:val="24"/>
          <w:lang w:val="en-GB"/>
        </w:rPr>
        <w:t>ERR</w:t>
      </w:r>
      <w:r w:rsidRPr="00DB47CD">
        <w:rPr>
          <w:rFonts w:eastAsia="Calibri" w:cs="Times New Roman"/>
          <w:szCs w:val="24"/>
          <w:lang w:val="en-GB"/>
        </w:rPr>
        <w:t xml:space="preserve"> model did not support a gender effect but the </w:t>
      </w:r>
      <w:r w:rsidRPr="00DB47CD">
        <w:rPr>
          <w:rFonts w:eastAsia="Calibri" w:cs="Times New Roman"/>
          <w:i/>
          <w:szCs w:val="24"/>
          <w:lang w:val="en-GB"/>
        </w:rPr>
        <w:t>EAR</w:t>
      </w:r>
      <w:r w:rsidRPr="00DB47CD">
        <w:rPr>
          <w:rFonts w:eastAsia="Calibri" w:cs="Times New Roman"/>
          <w:szCs w:val="24"/>
          <w:lang w:val="en-GB"/>
        </w:rPr>
        <w:t xml:space="preserve"> did, with a female to male ratio of 0.66. Due to the equal probability of additive and multiplicative transfer types in the </w:t>
      </w:r>
      <w:r w:rsidRPr="00DB47CD">
        <w:rPr>
          <w:rFonts w:eastAsia="Calibri" w:cs="Times New Roman"/>
          <w:i/>
          <w:szCs w:val="24"/>
          <w:lang w:val="en-GB"/>
        </w:rPr>
        <w:t>LAR</w:t>
      </w:r>
      <w:r w:rsidRPr="00DB47CD">
        <w:rPr>
          <w:rFonts w:eastAsia="Calibri" w:cs="Times New Roman"/>
          <w:szCs w:val="24"/>
          <w:lang w:val="en-GB"/>
        </w:rPr>
        <w:t xml:space="preserve"> calculations applied here, it can be seen that the male radiation risks are consistently slightly higher than the female risks at the same doses and for all ages at exposure considered. The male leukaemia baseline risk over the first 20 years-at-risk since exposure and over lifetime are also consistently higher than the female risks for all three ages at exposure considered. It can also be seen from Table 3, by comparing the  numbers of cases per 10,000 persons after 20 years-at-risk since exposure with the  numbers of cases per 10,000 during lifetime, that a substantial proportion of the overall radiation risk is accumulated in the first 20 years-at-risk since exposure: for adults and children, just under half of the lifetime risk from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is accumulated in the first 20 years-at-risk; and for infants about two-thirds of the lifetime risk from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is accumulated in the first 20 years-at-risk.</w:t>
      </w:r>
    </w:p>
    <w:p w14:paraId="49B04836" w14:textId="77777777"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Considering the risks for thyroid cancer given in Table 4 and Figure 3, it can be seen that females have higher radiation risks at the same dose and higher baseline risks than males. The numbers of cases expected per 10,000 at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over lifetime is 41, 20 and 9 for females exposed as infants, children and adults respectively. The numbers of cases expected per 10,000 at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over lifetime is 9, 5 and 3 for males exposed as infants, children and adults respectively. However, it can be seen from Table 4 and Figure 3 that the uncertainties on these expected numbers of cases are large.</w:t>
      </w:r>
    </w:p>
    <w:p w14:paraId="4735B8FD" w14:textId="77777777"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Table 5 and Figure 4 show, for female breast cancer, that the numbers of cases expected per 10,000 for an exposure of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over lifetime is 173, 109 and 65 for exposure as infants, children and adults respectively.</w:t>
      </w:r>
    </w:p>
    <w:p w14:paraId="730693E1" w14:textId="77777777"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Compared to the numbers of cases for female all solid cancers expected per 10,000 at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over lifetime of 416, 350 and 257 for exposure as infants, children and adults respectively – the breast cancer risk represents a substantial fraction of the total all solid cancer risk. This feature of the results can also be seen from Figure 5 which shows the expected number of cases per </w:t>
      </w:r>
      <w:r w:rsidRPr="00DB47CD">
        <w:rPr>
          <w:rFonts w:eastAsia="Calibri" w:cs="Times New Roman"/>
          <w:szCs w:val="24"/>
          <w:lang w:val="en-GB"/>
        </w:rPr>
        <w:lastRenderedPageBreak/>
        <w:t xml:space="preserve">10,000 persons for different types of cancer, calculated from the LAR for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effective dose for age at exposure of 1 year. From Figure 5 it can also be seen that in absolute terms, the risks for thyroid cancer and leukaemia are much smaller than for all solid cancer and female breast cancer.</w:t>
      </w:r>
    </w:p>
    <w:p w14:paraId="5E641400" w14:textId="77777777" w:rsidR="00BF0719" w:rsidRPr="00DB47CD" w:rsidRDefault="00BF0719" w:rsidP="00BF0719">
      <w:pPr>
        <w:autoSpaceDE w:val="0"/>
        <w:autoSpaceDN w:val="0"/>
        <w:adjustRightInd w:val="0"/>
        <w:spacing w:after="0"/>
        <w:rPr>
          <w:rFonts w:eastAsia="Calibri" w:cs="Times New Roman"/>
          <w:szCs w:val="24"/>
          <w:lang w:val="en-GB"/>
        </w:rPr>
      </w:pPr>
    </w:p>
    <w:p w14:paraId="4060282E" w14:textId="77777777" w:rsidR="00BF0719" w:rsidRPr="00DB47CD" w:rsidRDefault="00BF0719" w:rsidP="00BF0719">
      <w:pPr>
        <w:autoSpaceDE w:val="0"/>
        <w:autoSpaceDN w:val="0"/>
        <w:adjustRightInd w:val="0"/>
        <w:spacing w:after="0"/>
        <w:rPr>
          <w:rFonts w:eastAsia="Calibri" w:cs="Times New Roman"/>
          <w:sz w:val="28"/>
          <w:szCs w:val="28"/>
          <w:lang w:val="en-GB"/>
        </w:rPr>
      </w:pPr>
      <w:r w:rsidRPr="00DB47CD">
        <w:rPr>
          <w:rFonts w:eastAsia="Calibri" w:cs="Times New Roman"/>
          <w:sz w:val="28"/>
          <w:szCs w:val="28"/>
          <w:lang w:val="en-GB"/>
        </w:rPr>
        <w:t>Discussion</w:t>
      </w:r>
    </w:p>
    <w:p w14:paraId="3FB1CA98" w14:textId="6AFDBE5E" w:rsidR="00BF0719" w:rsidRPr="00DB47CD" w:rsidRDefault="00BF0719" w:rsidP="005D4D51">
      <w:pPr>
        <w:jc w:val="both"/>
        <w:rPr>
          <w:lang w:val="en-GB"/>
        </w:rPr>
      </w:pPr>
      <w:r w:rsidRPr="00DB47CD">
        <w:rPr>
          <w:lang w:val="en-GB"/>
        </w:rPr>
        <w:t xml:space="preserve">In the past, cancer risk assessment </w:t>
      </w:r>
      <w:r w:rsidRPr="00DB47CD">
        <w:rPr>
          <w:bCs/>
          <w:lang w:val="en-GB"/>
        </w:rPr>
        <w:t xml:space="preserve">software was not designed to be </w:t>
      </w:r>
      <w:r w:rsidRPr="00DB47CD">
        <w:rPr>
          <w:lang w:val="en-GB"/>
        </w:rPr>
        <w:t xml:space="preserve">fully developed and ready for operation, before a nuclear accident actually took place. </w:t>
      </w:r>
      <w:r w:rsidR="00DB47CD" w:rsidRPr="00DB47CD">
        <w:rPr>
          <w:lang w:val="en-GB"/>
        </w:rPr>
        <w:t>Therefor</w:t>
      </w:r>
      <w:r w:rsidR="00DB47CD">
        <w:rPr>
          <w:lang w:val="en-GB"/>
        </w:rPr>
        <w:t>e,</w:t>
      </w:r>
      <w:r w:rsidRPr="00DB47CD">
        <w:rPr>
          <w:lang w:val="en-GB"/>
        </w:rPr>
        <w:t xml:space="preserve"> after the Fukushima nuclear accident in March 2011 there was no suitable software </w:t>
      </w:r>
      <w:r w:rsidRPr="00DB47CD">
        <w:rPr>
          <w:bCs/>
          <w:lang w:val="en-GB"/>
        </w:rPr>
        <w:t xml:space="preserve">available for </w:t>
      </w:r>
      <w:r w:rsidR="00DB47CD">
        <w:rPr>
          <w:bCs/>
          <w:lang w:val="en-GB"/>
        </w:rPr>
        <w:t xml:space="preserve">immediate </w:t>
      </w:r>
      <w:r w:rsidRPr="00DB47CD">
        <w:rPr>
          <w:bCs/>
          <w:lang w:val="en-GB"/>
        </w:rPr>
        <w:t>use. The time intervals between the Fukushima nuclear accident on 11</w:t>
      </w:r>
      <w:r w:rsidRPr="00DB47CD">
        <w:rPr>
          <w:bCs/>
          <w:vertAlign w:val="superscript"/>
          <w:lang w:val="en-GB"/>
        </w:rPr>
        <w:t>th</w:t>
      </w:r>
      <w:r w:rsidRPr="00DB47CD">
        <w:rPr>
          <w:bCs/>
          <w:lang w:val="en-GB"/>
        </w:rPr>
        <w:t xml:space="preserve"> March 2011 and the publication of various international health risk assessments, such as those from the WHO </w:t>
      </w:r>
      <w:r w:rsidRPr="00DB47CD">
        <w:rPr>
          <w:lang w:val="en-GB"/>
        </w:rPr>
        <w:t xml:space="preserve">(WHO, 2013) </w:t>
      </w:r>
      <w:r w:rsidRPr="00DB47CD">
        <w:rPr>
          <w:bCs/>
          <w:lang w:val="en-GB"/>
        </w:rPr>
        <w:t>or UNSCEAR (UNSCEAR, 2014), of just under two years and just over three and a half years respectively, is illustrative of this situation. Such long time intervals are generally due to the work-load, after the event, in assembling expert groups, assessing doses, developing a risk assessment framework and developing the risk assessment software.</w:t>
      </w:r>
    </w:p>
    <w:p w14:paraId="22B604C9" w14:textId="77777777"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There is therefore a great potential for risk assessment tools that have been fully developed and are ready for operation, before any nuclear accident actually takes place. The probability for such an accident to happen in the next decades is not negligible (Kaiser 2012). Such potential is even greater, if the risk assessment tools can be either directly integrated into, or used in tandem with, currently available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large-area monitoring systems (e.g., JRODOS, </w:t>
      </w:r>
      <w:proofErr w:type="spellStart"/>
      <w:r w:rsidRPr="00DB47CD">
        <w:rPr>
          <w:rFonts w:eastAsia="Calibri" w:cs="Times New Roman"/>
          <w:szCs w:val="24"/>
          <w:lang w:val="en-GB"/>
        </w:rPr>
        <w:t>Ehrhardt</w:t>
      </w:r>
      <w:proofErr w:type="spellEnd"/>
      <w:r w:rsidRPr="00DB47CD">
        <w:rPr>
          <w:rFonts w:eastAsia="Calibri" w:cs="Times New Roman"/>
          <w:szCs w:val="24"/>
          <w:lang w:val="en-GB"/>
        </w:rPr>
        <w:t xml:space="preserve"> and Weis 2000 and </w:t>
      </w:r>
      <w:proofErr w:type="spellStart"/>
      <w:r w:rsidRPr="00DB47CD">
        <w:rPr>
          <w:rFonts w:eastAsia="Calibri" w:cs="Times New Roman"/>
          <w:szCs w:val="24"/>
          <w:lang w:val="en-GB"/>
        </w:rPr>
        <w:t>Ievdin</w:t>
      </w:r>
      <w:proofErr w:type="spellEnd"/>
      <w:r w:rsidRPr="00DB47CD">
        <w:rPr>
          <w:rFonts w:eastAsia="Calibri" w:cs="Times New Roman"/>
          <w:szCs w:val="24"/>
          <w:lang w:val="en-GB"/>
        </w:rPr>
        <w:t xml:space="preserve"> et al. 2010).</w:t>
      </w:r>
    </w:p>
    <w:p w14:paraId="72838A22" w14:textId="76E31C29"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JRODOS so far provides only dose based results as input to the decision making process. Doses might be either based on prognostic calculations applying an estimated source term and numerical weather prognosis data or on available monitoring information. The monitoring information is point based but, within the EU-CONFIDENCE project, interpolation schemes are un</w:t>
      </w:r>
      <w:r w:rsidR="005D4D51">
        <w:rPr>
          <w:rFonts w:eastAsia="Calibri" w:cs="Times New Roman"/>
          <w:szCs w:val="24"/>
          <w:lang w:val="en-GB"/>
        </w:rPr>
        <w:t>der development to provide aerial</w:t>
      </w:r>
      <w:r w:rsidRPr="00DB47CD">
        <w:rPr>
          <w:rFonts w:eastAsia="Calibri" w:cs="Times New Roman"/>
          <w:szCs w:val="24"/>
          <w:lang w:val="en-GB"/>
        </w:rPr>
        <w:t xml:space="preserve"> information from the prognostic calculations. However, as discussed above, risk based assessments are important for estimating health effects and deciding on interventions e.g., on medical screening actions. Effective medical screening has to be initiated early after the emergency and thus risk based approaches</w:t>
      </w:r>
      <w:r w:rsidR="000E2760">
        <w:rPr>
          <w:rFonts w:eastAsia="Calibri" w:cs="Times New Roman"/>
          <w:szCs w:val="24"/>
          <w:lang w:val="en-GB"/>
        </w:rPr>
        <w:t>,</w:t>
      </w:r>
      <w:r w:rsidRPr="00DB47CD">
        <w:rPr>
          <w:rFonts w:eastAsia="Calibri" w:cs="Times New Roman"/>
          <w:szCs w:val="24"/>
          <w:lang w:val="en-GB"/>
        </w:rPr>
        <w:t xml:space="preserve"> complementary to monitoring and prognosis results</w:t>
      </w:r>
      <w:r w:rsidR="000E2760">
        <w:rPr>
          <w:rFonts w:eastAsia="Calibri" w:cs="Times New Roman"/>
          <w:szCs w:val="24"/>
          <w:lang w:val="en-GB"/>
        </w:rPr>
        <w:t>,</w:t>
      </w:r>
      <w:r w:rsidRPr="00DB47CD">
        <w:rPr>
          <w:rFonts w:eastAsia="Calibri" w:cs="Times New Roman"/>
          <w:szCs w:val="24"/>
          <w:lang w:val="en-GB"/>
        </w:rPr>
        <w:t xml:space="preserve"> will improve the potential in decision making.</w:t>
      </w:r>
    </w:p>
    <w:p w14:paraId="1BFB3082" w14:textId="3E821023"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Times New Roman" w:cs="Times New Roman"/>
          <w:szCs w:val="24"/>
          <w:lang w:val="en-GB" w:eastAsia="de-DE"/>
        </w:rPr>
        <w:t xml:space="preserve">In providing a framework and a software for use in health risk assessment, it is important to stress the necessity of avoiding any misunderstandings in the interpretation of the risks calculated. Risks in terms of lifetime attributable risks, LAR, calculated here, although they could be based on individual doses, cannot represent an individual’s cancer risks.  This is because there is generally no information on important co-factors that influence a particular individual’s cancer risk such as: individual radiation sensitivity; any genetic pre-disposition to cancer development; lifestyle factors such as smoking status and alcohol intake; occupational risk factors; and past medical conditions treated with chemotherapy or radiation. Furthermore, </w:t>
      </w:r>
      <w:r w:rsidRPr="00DB47CD">
        <w:rPr>
          <w:rFonts w:eastAsia="Calibri" w:cs="Times New Roman"/>
          <w:szCs w:val="24"/>
          <w:lang w:val="en-GB"/>
        </w:rPr>
        <w:t xml:space="preserve">population-based incidence and survival curves, used in the integration of risks over time, only represent average values for the national population considered. With all of these factors considered, </w:t>
      </w:r>
      <w:r w:rsidRPr="00DB47CD">
        <w:rPr>
          <w:rFonts w:eastAsia="Times New Roman" w:cs="Times New Roman"/>
          <w:szCs w:val="24"/>
          <w:lang w:val="en-GB" w:eastAsia="de-DE"/>
        </w:rPr>
        <w:t>LAR and AR</w:t>
      </w:r>
      <w:r w:rsidRPr="00DB47CD">
        <w:rPr>
          <w:rFonts w:eastAsia="Times New Roman" w:cs="Times New Roman"/>
          <w:szCs w:val="24"/>
          <w:vertAlign w:val="subscript"/>
          <w:lang w:val="en-GB" w:eastAsia="de-DE"/>
        </w:rPr>
        <w:t>20</w:t>
      </w:r>
      <w:r w:rsidRPr="00DB47CD">
        <w:rPr>
          <w:rFonts w:eastAsia="Times New Roman" w:cs="Times New Roman"/>
          <w:szCs w:val="24"/>
          <w:lang w:val="en-GB" w:eastAsia="de-DE"/>
        </w:rPr>
        <w:t xml:space="preserve"> should therefore be interpreted as an average risk for specific ages </w:t>
      </w:r>
      <w:r w:rsidR="000E2760">
        <w:rPr>
          <w:rFonts w:eastAsia="Times New Roman" w:cs="Times New Roman"/>
          <w:szCs w:val="24"/>
          <w:lang w:val="en-GB" w:eastAsia="de-DE"/>
        </w:rPr>
        <w:t xml:space="preserve">at exposure </w:t>
      </w:r>
      <w:r w:rsidRPr="00DB47CD">
        <w:rPr>
          <w:rFonts w:eastAsia="Times New Roman" w:cs="Times New Roman"/>
          <w:szCs w:val="24"/>
          <w:lang w:val="en-GB" w:eastAsia="de-DE"/>
        </w:rPr>
        <w:t xml:space="preserve">and genders. So, for example, an all solid cancer incidence LAR of 0.0264 (probability) for a male exposed to 100 </w:t>
      </w:r>
      <w:proofErr w:type="spellStart"/>
      <w:r w:rsidRPr="00DB47CD">
        <w:rPr>
          <w:rFonts w:eastAsia="Times New Roman" w:cs="Times New Roman"/>
          <w:szCs w:val="24"/>
          <w:lang w:val="en-GB" w:eastAsia="de-DE"/>
        </w:rPr>
        <w:t>mSv</w:t>
      </w:r>
      <w:proofErr w:type="spellEnd"/>
      <w:r w:rsidRPr="00DB47CD">
        <w:rPr>
          <w:rFonts w:eastAsia="Times New Roman" w:cs="Times New Roman"/>
          <w:szCs w:val="24"/>
          <w:lang w:val="en-GB" w:eastAsia="de-DE"/>
        </w:rPr>
        <w:t xml:space="preserve"> at age 1 year old, should not be interpreted as an individual’s risk, but must be seen statistically - out of 10,000 males exposed at age 1 year old to 100mSv effective dose, there is a probability that, on average, 264 (note the wide 95% confidence intervals ranging from </w:t>
      </w:r>
      <w:r w:rsidRPr="00DB47CD">
        <w:rPr>
          <w:rFonts w:eastAsia="Calibri" w:cs="Arial"/>
          <w:szCs w:val="24"/>
          <w:lang w:val="en-GB"/>
        </w:rPr>
        <w:t>88 to 1097)</w:t>
      </w:r>
      <w:r w:rsidRPr="00DB47CD">
        <w:rPr>
          <w:rFonts w:eastAsia="Times New Roman" w:cs="Times New Roman"/>
          <w:szCs w:val="24"/>
          <w:lang w:val="en-GB" w:eastAsia="de-DE"/>
        </w:rPr>
        <w:t xml:space="preserve"> will develop radiation related all solid cancer during their lifetimes - and on average, 4002 will develop "baseline/spontaneous" cancers </w:t>
      </w:r>
      <w:r w:rsidRPr="00DB47CD">
        <w:rPr>
          <w:rFonts w:eastAsia="Times New Roman" w:cs="Times New Roman"/>
          <w:szCs w:val="24"/>
          <w:lang w:val="en-GB" w:eastAsia="de-DE"/>
        </w:rPr>
        <w:lastRenderedPageBreak/>
        <w:t>during their lifetimes.</w:t>
      </w:r>
      <w:r w:rsidRPr="00DB47CD">
        <w:rPr>
          <w:rFonts w:eastAsia="Calibri" w:cs="Times New Roman"/>
          <w:szCs w:val="24"/>
          <w:lang w:val="en-GB"/>
        </w:rPr>
        <w:t xml:space="preserve"> These risks, computed using the procedure defined above, are mathematical expectations of the number of new radiation-attributed and baseline cases. Their uncertainty ranges (CIs) only reflect uncertainty of the estimates. The number of cases observed in future would have additional sources of variability (uncertainty), dependent on </w:t>
      </w:r>
      <w:r w:rsidR="00561DDB">
        <w:rPr>
          <w:rFonts w:eastAsia="Calibri" w:cs="Times New Roman"/>
          <w:szCs w:val="24"/>
          <w:lang w:val="en-GB"/>
        </w:rPr>
        <w:t xml:space="preserve">e.g., </w:t>
      </w:r>
      <w:r w:rsidRPr="00DB47CD">
        <w:rPr>
          <w:rFonts w:eastAsia="Calibri" w:cs="Times New Roman"/>
          <w:szCs w:val="24"/>
          <w:lang w:val="en-GB"/>
        </w:rPr>
        <w:t xml:space="preserve">the size of the population group, </w:t>
      </w:r>
      <w:r w:rsidR="00561DDB">
        <w:rPr>
          <w:rFonts w:eastAsia="Calibri" w:cs="Times New Roman"/>
          <w:szCs w:val="24"/>
          <w:lang w:val="en-GB"/>
        </w:rPr>
        <w:t xml:space="preserve">or future developments in the secular trends in population statistics (on which the risks are based) </w:t>
      </w:r>
      <w:r w:rsidRPr="00DB47CD">
        <w:rPr>
          <w:rFonts w:eastAsia="Calibri" w:cs="Times New Roman"/>
          <w:szCs w:val="24"/>
          <w:lang w:val="en-GB"/>
        </w:rPr>
        <w:t xml:space="preserve">which are not accounted </w:t>
      </w:r>
      <w:r w:rsidR="000E2760">
        <w:rPr>
          <w:rFonts w:eastAsia="Calibri" w:cs="Times New Roman"/>
          <w:szCs w:val="24"/>
          <w:lang w:val="en-GB"/>
        </w:rPr>
        <w:t xml:space="preserve">for </w:t>
      </w:r>
      <w:r w:rsidRPr="00DB47CD">
        <w:rPr>
          <w:rFonts w:eastAsia="Calibri" w:cs="Times New Roman"/>
          <w:szCs w:val="24"/>
          <w:lang w:val="en-GB"/>
        </w:rPr>
        <w:t>here.</w:t>
      </w:r>
      <w:r w:rsidR="00561DDB">
        <w:rPr>
          <w:rFonts w:eastAsia="Calibri" w:cs="Times New Roman"/>
          <w:szCs w:val="24"/>
          <w:lang w:val="en-GB"/>
        </w:rPr>
        <w:t xml:space="preserve"> Further work is currently being done on methods that reduce the dependence, of radiation related risk assessments, on population statistics and survival curves (</w:t>
      </w:r>
      <w:proofErr w:type="spellStart"/>
      <w:r w:rsidR="00561DDB">
        <w:rPr>
          <w:rFonts w:eastAsia="Calibri" w:cs="Times New Roman"/>
          <w:szCs w:val="24"/>
          <w:lang w:val="en-GB"/>
        </w:rPr>
        <w:t>Ulanowski</w:t>
      </w:r>
      <w:proofErr w:type="spellEnd"/>
      <w:r w:rsidR="00561DDB">
        <w:rPr>
          <w:rFonts w:eastAsia="Calibri" w:cs="Times New Roman"/>
          <w:szCs w:val="24"/>
          <w:lang w:val="en-GB"/>
        </w:rPr>
        <w:t xml:space="preserve"> et al 2019).</w:t>
      </w:r>
    </w:p>
    <w:p w14:paraId="7A043226" w14:textId="634E4796" w:rsidR="00BF0719" w:rsidRPr="00DB47CD" w:rsidRDefault="00BF0719" w:rsidP="00BF0719">
      <w:pPr>
        <w:autoSpaceDE w:val="0"/>
        <w:autoSpaceDN w:val="0"/>
        <w:adjustRightInd w:val="0"/>
        <w:jc w:val="both"/>
        <w:rPr>
          <w:rFonts w:eastAsia="TradeGothicLTStd" w:cs="Times New Roman"/>
          <w:color w:val="1A181C"/>
          <w:szCs w:val="24"/>
          <w:lang w:val="en-GB"/>
        </w:rPr>
      </w:pPr>
      <w:r w:rsidRPr="00DB47CD">
        <w:rPr>
          <w:rFonts w:eastAsia="TradeGothicLTStd" w:cs="Times New Roman"/>
          <w:color w:val="1A181C"/>
          <w:szCs w:val="24"/>
          <w:lang w:val="en-GB"/>
        </w:rPr>
        <w:t>In developing the risk assessment framework applied in the WHO Fukushima Health Risk Assessment Report (WHO 2013), the WHO expert panel considered that risk assessment should be based on a comprehensive assessment of all current evidence from all of radiation epidemiology and not only on the epidemiological evidence available from past nuclear accidents such as Chernobyl. Similarly, the authors consider that the risk assessment framework applied in the software tool described here, should also be based on comprehensive assessment of all current evidence from radiation epidemiology. There are several disadvantages to considering only radiation epidemiological evidence from past nuclear accidents.   Many of these studies have risks that are compatible with risks from other types of studies (e.g., Thyroid cancer risks in post-Chernobyl studies and the LSS studies, see</w:t>
      </w:r>
      <w:r w:rsidR="000E2760">
        <w:rPr>
          <w:rFonts w:eastAsia="TradeGothicLTStd" w:cs="Times New Roman"/>
          <w:color w:val="1A181C"/>
          <w:szCs w:val="24"/>
          <w:lang w:val="en-GB"/>
        </w:rPr>
        <w:t xml:space="preserve"> e.g.,</w:t>
      </w:r>
      <w:r w:rsidRPr="00DB47CD">
        <w:rPr>
          <w:rFonts w:eastAsia="TradeGothicLTStd" w:cs="Times New Roman"/>
          <w:color w:val="1A181C"/>
          <w:szCs w:val="24"/>
          <w:lang w:val="en-GB"/>
        </w:rPr>
        <w:t xml:space="preserve"> Fi</w:t>
      </w:r>
      <w:r w:rsidR="000E2760">
        <w:rPr>
          <w:rFonts w:eastAsia="TradeGothicLTStd" w:cs="Times New Roman"/>
          <w:color w:val="1A181C"/>
          <w:szCs w:val="24"/>
          <w:lang w:val="en-GB"/>
        </w:rPr>
        <w:t>g 4 of Jacob et al. 2014) – so</w:t>
      </w:r>
      <w:r w:rsidRPr="00DB47CD">
        <w:rPr>
          <w:rFonts w:eastAsia="TradeGothicLTStd" w:cs="Times New Roman"/>
          <w:color w:val="1A181C"/>
          <w:szCs w:val="24"/>
          <w:lang w:val="en-GB"/>
        </w:rPr>
        <w:t xml:space="preserve"> other type</w:t>
      </w:r>
      <w:r w:rsidR="000E2760">
        <w:rPr>
          <w:rFonts w:eastAsia="TradeGothicLTStd" w:cs="Times New Roman"/>
          <w:color w:val="1A181C"/>
          <w:szCs w:val="24"/>
          <w:lang w:val="en-GB"/>
        </w:rPr>
        <w:t>s</w:t>
      </w:r>
      <w:r w:rsidRPr="00DB47CD">
        <w:rPr>
          <w:rFonts w:eastAsia="TradeGothicLTStd" w:cs="Times New Roman"/>
          <w:color w:val="1A181C"/>
          <w:szCs w:val="24"/>
          <w:lang w:val="en-GB"/>
        </w:rPr>
        <w:t xml:space="preserve"> of studies can provide added weight of evidence to risk-levels determined from post nuclear accident studies. Generally, the ecological study designs that can be applied after nuclear accidents, are not as reliable as other cohort-type study designs applied in other types (e.g., occupational) of studies. Also there have been several meta-analytical studies looking into the effects of low-dose and low dose rates on cancer risks from a broad range of epidemiological studies (e.g., Shore et al. 2017), evidence from studies such as these, would be ignored, if only studies from past-nuclear accidents were considered.</w:t>
      </w:r>
    </w:p>
    <w:p w14:paraId="0E04E813" w14:textId="12F5F305" w:rsidR="00BF0719" w:rsidRPr="00DB47CD" w:rsidRDefault="00BF0719" w:rsidP="00BF0719">
      <w:pPr>
        <w:jc w:val="both"/>
        <w:rPr>
          <w:rFonts w:eastAsia="Calibri" w:cs="Times New Roman"/>
          <w:szCs w:val="24"/>
          <w:lang w:val="en-GB"/>
        </w:rPr>
      </w:pPr>
      <w:r w:rsidRPr="00DB47CD">
        <w:rPr>
          <w:rFonts w:eastAsia="Calibri" w:cs="Times New Roman"/>
          <w:bCs/>
          <w:szCs w:val="24"/>
          <w:lang w:val="en-GB"/>
        </w:rPr>
        <w:t xml:space="preserve">In order to simplify and illustrate this general consideration of applying risk bases for decision making, it is assumed here that either an </w:t>
      </w:r>
      <w:r w:rsidRPr="00DB47CD">
        <w:rPr>
          <w:rFonts w:eastAsia="Calibri" w:cs="Times New Roman"/>
          <w:szCs w:val="24"/>
          <w:lang w:val="en-GB"/>
        </w:rPr>
        <w:t>acute or annual (first-year)</w:t>
      </w:r>
      <w:r w:rsidRPr="00DB47CD">
        <w:rPr>
          <w:rFonts w:eastAsia="Calibri" w:cs="Times New Roman"/>
          <w:bCs/>
          <w:szCs w:val="24"/>
          <w:lang w:val="en-GB"/>
        </w:rPr>
        <w:t xml:space="preserve"> effective dose just comes from external exposures in a situation comparable to the Fukushima release. </w:t>
      </w:r>
      <w:r w:rsidRPr="00DB47CD">
        <w:rPr>
          <w:rFonts w:eastAsia="Calibri" w:cs="Times New Roman"/>
          <w:szCs w:val="24"/>
          <w:lang w:val="en-GB"/>
        </w:rPr>
        <w:t>This assumption is unfortunately not fully applicable in a real post-accident situation because the acute dose could, in practice, be dominated by the inhalation contribution. Only in the case of rain, is inhalation not the dominant pathway in the early phase. Longer term total doses might be more influenced by the external dose contribution to the total dose. It is important to stress that unfolding the effective dose back to organ doses (as in table 1) would reasonably work for external exposure only. For internal exposure, the effective dose is the committed dose for 50 to 70 years, so for longer living (</w:t>
      </w:r>
      <w:r w:rsidR="002B011A">
        <w:rPr>
          <w:rFonts w:eastAsia="Calibri" w:cs="Times New Roman"/>
          <w:szCs w:val="24"/>
          <w:vertAlign w:val="superscript"/>
          <w:lang w:val="en-GB"/>
        </w:rPr>
        <w:t>137</w:t>
      </w:r>
      <w:r w:rsidRPr="00DB47CD">
        <w:rPr>
          <w:rFonts w:eastAsia="Calibri" w:cs="Times New Roman"/>
          <w:szCs w:val="24"/>
          <w:lang w:val="en-GB"/>
        </w:rPr>
        <w:t xml:space="preserve">Cs, </w:t>
      </w:r>
      <w:r w:rsidR="002B011A">
        <w:rPr>
          <w:rFonts w:eastAsia="Calibri" w:cs="Times New Roman"/>
          <w:szCs w:val="24"/>
          <w:vertAlign w:val="superscript"/>
          <w:lang w:val="en-GB"/>
        </w:rPr>
        <w:t>90</w:t>
      </w:r>
      <w:r w:rsidRPr="00DB47CD">
        <w:rPr>
          <w:rFonts w:eastAsia="Calibri" w:cs="Times New Roman"/>
          <w:szCs w:val="24"/>
          <w:lang w:val="en-GB"/>
        </w:rPr>
        <w:t>Sr, actinides) or non-uniformly distributed radionuclides (</w:t>
      </w:r>
      <w:r w:rsidR="002B011A">
        <w:rPr>
          <w:rFonts w:eastAsia="Calibri" w:cs="Times New Roman"/>
          <w:szCs w:val="24"/>
          <w:vertAlign w:val="superscript"/>
          <w:lang w:val="en-GB"/>
        </w:rPr>
        <w:t>131</w:t>
      </w:r>
      <w:r w:rsidRPr="00DB47CD">
        <w:rPr>
          <w:rFonts w:eastAsia="Calibri" w:cs="Times New Roman"/>
          <w:szCs w:val="24"/>
          <w:lang w:val="en-GB"/>
        </w:rPr>
        <w:t>I, bone-seek</w:t>
      </w:r>
      <w:r w:rsidR="002B011A">
        <w:rPr>
          <w:rFonts w:eastAsia="Calibri" w:cs="Times New Roman"/>
          <w:szCs w:val="24"/>
          <w:lang w:val="en-GB"/>
        </w:rPr>
        <w:t>ing radionuclides</w:t>
      </w:r>
      <w:r w:rsidRPr="00DB47CD">
        <w:rPr>
          <w:rFonts w:eastAsia="Calibri" w:cs="Times New Roman"/>
          <w:szCs w:val="24"/>
          <w:lang w:val="en-GB"/>
        </w:rPr>
        <w:t xml:space="preserve">) such an unfolding may be regarded as implausible. </w:t>
      </w:r>
      <w:r w:rsidR="002B011A" w:rsidRPr="00DB47CD">
        <w:rPr>
          <w:rFonts w:eastAsia="Calibri" w:cs="Times New Roman"/>
          <w:szCs w:val="24"/>
          <w:lang w:val="en-GB"/>
        </w:rPr>
        <w:t>However,</w:t>
      </w:r>
      <w:r w:rsidRPr="00DB47CD">
        <w:rPr>
          <w:rFonts w:eastAsia="Calibri" w:cs="Times New Roman"/>
          <w:szCs w:val="24"/>
          <w:lang w:val="en-GB"/>
        </w:rPr>
        <w:t xml:space="preserve"> the aim here was to illustrate how risk bases can be applied to complement decision making based on dose bases, not necessarily to reproduce fully realistic post-accident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situations which will depend heavily on the type of accident and local conditions at the time of the accident and immediately following.</w:t>
      </w:r>
    </w:p>
    <w:p w14:paraId="77D95CD6" w14:textId="2A706AF6" w:rsidR="00BF0719" w:rsidRPr="00DB47CD" w:rsidRDefault="00BF0719" w:rsidP="00BF0719">
      <w:pPr>
        <w:jc w:val="both"/>
        <w:rPr>
          <w:rFonts w:eastAsia="Calibri" w:cs="Times New Roman"/>
          <w:szCs w:val="24"/>
          <w:lang w:val="en-GB"/>
        </w:rPr>
      </w:pPr>
      <w:r w:rsidRPr="00DB47CD">
        <w:rPr>
          <w:rFonts w:eastAsia="Calibri" w:cs="Times New Roman"/>
          <w:szCs w:val="24"/>
          <w:lang w:val="en-GB"/>
        </w:rPr>
        <w:t xml:space="preserve">In deciding on the types on uncertainties to apply to the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reference levels, it should be considered that a reference level is an operational intervention level, above which, an action is taken. In that sense, reference levels are deterministic values, with no uncertainties per definition. The uncertainty in the decision making is introduced by comparing assessed or measured doses (that do have uncertainty) with the reference level (without uncertainty). Consequently, an uncertainty has been assigning here to the reference levels in order to consider the uncertainty in the actually assessed doses. The question then is, whether these assessed doses are log-normally distributed or normally distributed. On the one hand, measured doses for an individual (e.g. thyroid absorbed dose) could be expected to follow a normally distributed </w:t>
      </w:r>
      <w:r w:rsidRPr="00DB47CD">
        <w:rPr>
          <w:rFonts w:eastAsia="Calibri" w:cs="Times New Roman"/>
          <w:szCs w:val="24"/>
          <w:lang w:val="en-GB"/>
        </w:rPr>
        <w:lastRenderedPageBreak/>
        <w:t xml:space="preserve">error, but doses calculated from simulations and estimated source term or assessed from monitoring data could be better represented by log-normally distributed uncertainties. For the purpose of the main results given here, a log-normal distribution was applied with GSD=1.5 ( see e.g. Harada et al. 2014) but all tables were also calculated for a normal distribution with a SD which is 20% of the dose reference level (these results tables are not shown but are available on request from the first author). The differences between the risk factors when calculated for both types of dose uncertainties was found to be quite small. As examples of this if one considers the all solid cancer number of lifetime cancers from exposure to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at 1 year (i.e., as given in Figure 5) for males and females the values are 264 (88; 1097) and 416 (164; 1200) respectively, these are 279 (119; 898) and 455 (224; 975) respectively, when calculated assuming that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errors follow a normal distribution with a SD which is 20% of the dose reference level. In the calculations presented here, the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reference levels have been assumed to be at the </w:t>
      </w:r>
      <w:proofErr w:type="spellStart"/>
      <w:r w:rsidRPr="00DB47CD">
        <w:rPr>
          <w:rFonts w:eastAsia="Calibri" w:cs="Times New Roman"/>
          <w:szCs w:val="24"/>
          <w:lang w:val="en-GB"/>
        </w:rPr>
        <w:t>center</w:t>
      </w:r>
      <w:proofErr w:type="spellEnd"/>
      <w:r w:rsidRPr="00DB47CD">
        <w:rPr>
          <w:rFonts w:eastAsia="Calibri" w:cs="Times New Roman"/>
          <w:szCs w:val="24"/>
          <w:lang w:val="en-GB"/>
        </w:rPr>
        <w:t xml:space="preserve"> of the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uncertainty treatment. In practice, the reference levels could pertain to maximum doses. In this situation, and based on real life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data, the </w:t>
      </w:r>
      <w:r w:rsidRPr="00691599">
        <w:rPr>
          <w:rFonts w:eastAsia="Calibri" w:cs="Times New Roman"/>
          <w:caps/>
          <w:szCs w:val="24"/>
          <w:lang w:val="en-GB"/>
        </w:rPr>
        <w:t>confidence</w:t>
      </w:r>
      <w:r w:rsidRPr="00DB47CD">
        <w:rPr>
          <w:rFonts w:eastAsia="Calibri" w:cs="Times New Roman"/>
          <w:szCs w:val="24"/>
          <w:lang w:val="en-GB"/>
        </w:rPr>
        <w:t xml:space="preserve"> tool could then be applied treating the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uncertainties with a realistic dose distribution with the reference levels taken to be the upper 90% or 95% confidence level of the dose distribution. Such an application of the software tool will be considered for further work.</w:t>
      </w:r>
    </w:p>
    <w:p w14:paraId="68CB886F" w14:textId="4D1D2EEA"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Although current radiological emergency response recommendations have been provided in safety standards</w:t>
      </w:r>
      <w:r w:rsidR="00691599">
        <w:rPr>
          <w:rFonts w:eastAsia="Calibri" w:cs="Times New Roman"/>
          <w:szCs w:val="24"/>
          <w:lang w:val="en-GB"/>
        </w:rPr>
        <w:t xml:space="preserve"> and requirements</w:t>
      </w:r>
      <w:r w:rsidRPr="00DB47CD">
        <w:rPr>
          <w:rFonts w:eastAsia="Calibri" w:cs="Times New Roman"/>
          <w:szCs w:val="24"/>
          <w:lang w:val="en-GB"/>
        </w:rPr>
        <w:t xml:space="preserve"> published by the IAEA (IAEA, 2015) and based on the </w:t>
      </w:r>
      <w:r w:rsidR="00691599">
        <w:rPr>
          <w:rFonts w:eastAsia="Calibri" w:cs="Times New Roman"/>
          <w:szCs w:val="24"/>
          <w:lang w:val="en-GB"/>
        </w:rPr>
        <w:t>2007 Recommendations</w:t>
      </w:r>
      <w:r w:rsidRPr="00DB47CD">
        <w:rPr>
          <w:rFonts w:eastAsia="Calibri" w:cs="Times New Roman"/>
          <w:szCs w:val="24"/>
          <w:lang w:val="en-GB"/>
        </w:rPr>
        <w:t xml:space="preserve"> </w:t>
      </w:r>
      <w:r w:rsidR="00691599">
        <w:rPr>
          <w:rFonts w:eastAsia="Calibri" w:cs="Times New Roman"/>
          <w:szCs w:val="24"/>
          <w:lang w:val="en-GB"/>
        </w:rPr>
        <w:t xml:space="preserve">of ICRP </w:t>
      </w:r>
      <w:r w:rsidRPr="00DB47CD">
        <w:rPr>
          <w:rFonts w:eastAsia="Calibri" w:cs="Times New Roman"/>
          <w:color w:val="000000"/>
          <w:szCs w:val="24"/>
          <w:lang w:val="en-GB"/>
        </w:rPr>
        <w:t>(ICRP 2007)</w:t>
      </w:r>
      <w:r w:rsidR="00691599">
        <w:rPr>
          <w:rFonts w:eastAsia="Calibri" w:cs="Times New Roman"/>
          <w:color w:val="000000"/>
          <w:szCs w:val="24"/>
          <w:lang w:val="en-GB"/>
        </w:rPr>
        <w:t>,</w:t>
      </w:r>
      <w:r w:rsidRPr="00DB47CD">
        <w:rPr>
          <w:rFonts w:eastAsia="Calibri" w:cs="Times New Roman"/>
          <w:color w:val="000000"/>
          <w:szCs w:val="24"/>
          <w:lang w:val="en-GB"/>
        </w:rPr>
        <w:t xml:space="preserve"> </w:t>
      </w:r>
      <w:r w:rsidRPr="00DB47CD">
        <w:rPr>
          <w:rFonts w:eastAsia="Calibri" w:cs="Times New Roman"/>
          <w:szCs w:val="24"/>
          <w:lang w:val="en-GB"/>
        </w:rPr>
        <w:t xml:space="preserve">not all countries will adopt the recommendations exactly. Currently accepted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reference levels vary in different European countries. For example, the UK uses reference levels that are higher than recommended by IAEA </w:t>
      </w:r>
      <w:r w:rsidR="00691599" w:rsidRPr="00DB47CD">
        <w:rPr>
          <w:rFonts w:eastAsia="Calibri" w:cs="Times New Roman"/>
          <w:szCs w:val="24"/>
          <w:lang w:val="en-GB"/>
        </w:rPr>
        <w:t>of 30</w:t>
      </w:r>
      <w:r w:rsidRPr="00DB47CD">
        <w:rPr>
          <w:rFonts w:eastAsia="Calibri" w:cs="Times New Roman"/>
          <w:szCs w:val="24"/>
          <w:lang w:val="en-GB"/>
        </w:rPr>
        <w:t xml:space="preserve">–300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whole body dose for evacuation (Ashley et al 2017). </w:t>
      </w:r>
      <w:r w:rsidR="00691599">
        <w:rPr>
          <w:rFonts w:eastAsia="Calibri" w:cs="Times New Roman"/>
          <w:szCs w:val="24"/>
          <w:lang w:val="en-GB"/>
        </w:rPr>
        <w:t>In</w:t>
      </w:r>
      <w:r w:rsidRPr="00DB47CD">
        <w:rPr>
          <w:rFonts w:eastAsia="Calibri" w:cs="Times New Roman"/>
          <w:szCs w:val="24"/>
          <w:lang w:val="en-GB"/>
        </w:rPr>
        <w:t xml:space="preserve"> Germany, the </w:t>
      </w:r>
      <w:r w:rsidR="00691599">
        <w:rPr>
          <w:rFonts w:eastAsia="Calibri" w:cs="Times New Roman"/>
          <w:szCs w:val="24"/>
          <w:lang w:val="en-GB"/>
        </w:rPr>
        <w:t>national</w:t>
      </w:r>
      <w:r w:rsidRPr="00DB47CD">
        <w:rPr>
          <w:rFonts w:eastAsia="Calibri" w:cs="Times New Roman"/>
          <w:szCs w:val="24"/>
          <w:lang w:val="en-GB"/>
        </w:rPr>
        <w:t xml:space="preserve"> </w:t>
      </w:r>
      <w:r w:rsidRPr="00691599">
        <w:rPr>
          <w:rFonts w:eastAsia="Calibri" w:cs="Times New Roman"/>
          <w:szCs w:val="24"/>
          <w:lang w:val="en-GB"/>
        </w:rPr>
        <w:t xml:space="preserve">Commission on Radiological Protection (SSK, 2014) has decided to adopt the </w:t>
      </w:r>
      <w:r w:rsidR="00691599" w:rsidRPr="00691599">
        <w:rPr>
          <w:rFonts w:eastAsia="Calibri" w:cs="Times New Roman"/>
          <w:szCs w:val="24"/>
          <w:lang w:val="en-GB"/>
        </w:rPr>
        <w:t xml:space="preserve">2007 </w:t>
      </w:r>
      <w:r w:rsidRPr="00691599">
        <w:rPr>
          <w:rFonts w:eastAsia="Calibri" w:cs="Times New Roman"/>
          <w:szCs w:val="24"/>
          <w:lang w:val="en-GB"/>
        </w:rPr>
        <w:t xml:space="preserve">ICRP </w:t>
      </w:r>
      <w:r w:rsidR="00691599" w:rsidRPr="00691599">
        <w:rPr>
          <w:rFonts w:eastAsia="Calibri" w:cs="Times New Roman"/>
          <w:szCs w:val="24"/>
          <w:lang w:val="en-GB"/>
        </w:rPr>
        <w:t>recommendations</w:t>
      </w:r>
      <w:r w:rsidRPr="00691599">
        <w:rPr>
          <w:rFonts w:eastAsia="Calibri" w:cs="Times New Roman"/>
          <w:szCs w:val="24"/>
          <w:lang w:val="en-GB"/>
        </w:rPr>
        <w:t xml:space="preserve">, </w:t>
      </w:r>
      <w:r w:rsidR="00691599" w:rsidRPr="00691599">
        <w:rPr>
          <w:rFonts w:eastAsia="Calibri" w:cs="Times New Roman"/>
          <w:szCs w:val="24"/>
          <w:lang w:val="en-GB"/>
        </w:rPr>
        <w:t xml:space="preserve">and the </w:t>
      </w:r>
      <w:r w:rsidRPr="00691599">
        <w:rPr>
          <w:rFonts w:eastAsia="Calibri" w:cs="Times New Roman"/>
          <w:szCs w:val="24"/>
          <w:lang w:val="en-GB"/>
        </w:rPr>
        <w:t>IAEA</w:t>
      </w:r>
      <w:r w:rsidR="00691599" w:rsidRPr="00691599">
        <w:rPr>
          <w:rFonts w:eastAsia="Calibri" w:cs="Times New Roman"/>
          <w:szCs w:val="24"/>
          <w:lang w:val="en-GB"/>
        </w:rPr>
        <w:t xml:space="preserve"> safety requirements</w:t>
      </w:r>
      <w:r w:rsidRPr="00691599">
        <w:rPr>
          <w:rFonts w:eastAsia="Calibri" w:cs="Times New Roman"/>
          <w:szCs w:val="24"/>
          <w:lang w:val="en-GB"/>
        </w:rPr>
        <w:t xml:space="preserve">. </w:t>
      </w:r>
      <w:r w:rsidR="00691599" w:rsidRPr="00691599">
        <w:rPr>
          <w:rFonts w:eastAsia="Calibri" w:cs="Times New Roman"/>
          <w:szCs w:val="24"/>
          <w:lang w:val="en-GB"/>
        </w:rPr>
        <w:t>Similarly,</w:t>
      </w:r>
      <w:r w:rsidRPr="00691599">
        <w:rPr>
          <w:rFonts w:eastAsia="Calibri" w:cs="Times New Roman"/>
          <w:szCs w:val="24"/>
          <w:lang w:val="en-GB"/>
        </w:rPr>
        <w:t xml:space="preserve"> in Switzerland, the ICRP </w:t>
      </w:r>
      <w:r w:rsidR="00691599" w:rsidRPr="00691599">
        <w:rPr>
          <w:rFonts w:eastAsia="Calibri" w:cs="Times New Roman"/>
          <w:szCs w:val="24"/>
          <w:lang w:val="en-GB"/>
        </w:rPr>
        <w:t xml:space="preserve">recommendations and the </w:t>
      </w:r>
      <w:r w:rsidRPr="00691599">
        <w:rPr>
          <w:rFonts w:eastAsia="Calibri" w:cs="Times New Roman"/>
          <w:szCs w:val="24"/>
          <w:lang w:val="en-GB"/>
        </w:rPr>
        <w:t xml:space="preserve">IAEA </w:t>
      </w:r>
      <w:r w:rsidR="00691599" w:rsidRPr="00691599">
        <w:rPr>
          <w:rFonts w:eastAsia="Calibri" w:cs="Times New Roman"/>
          <w:szCs w:val="24"/>
          <w:lang w:val="en-GB"/>
        </w:rPr>
        <w:t>safety documents</w:t>
      </w:r>
      <w:r w:rsidRPr="00691599">
        <w:rPr>
          <w:rFonts w:eastAsia="Calibri" w:cs="Times New Roman"/>
          <w:szCs w:val="24"/>
          <w:lang w:val="en-GB"/>
        </w:rPr>
        <w:t xml:space="preserve"> have been adopted (Swiss RPO, 2017 - Art 123).</w:t>
      </w:r>
    </w:p>
    <w:p w14:paraId="59A8E272" w14:textId="35AC1249"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Such differences in national currently accepted </w:t>
      </w:r>
      <w:proofErr w:type="spellStart"/>
      <w:r w:rsidRPr="00DB47CD">
        <w:rPr>
          <w:rFonts w:eastAsia="Calibri" w:cs="Times New Roman"/>
          <w:szCs w:val="24"/>
          <w:lang w:val="en-GB"/>
        </w:rPr>
        <w:t>dosimetric</w:t>
      </w:r>
      <w:proofErr w:type="spellEnd"/>
      <w:r w:rsidRPr="00DB47CD">
        <w:rPr>
          <w:rFonts w:eastAsia="Calibri" w:cs="Times New Roman"/>
          <w:szCs w:val="24"/>
          <w:lang w:val="en-GB"/>
        </w:rPr>
        <w:t xml:space="preserve"> reference levels can broadly be translate linearly into risk differences, for the same dose metric, for the all solid cancer, breast cancer and thyroid cancer risks presented in this paper– because the LAR estimates are calculated from linear ERR and EAR models. However the leukaemia risks would need to be recalculated for other reference doses due to the parabolic shape of the leukaemia ERR and EAR dose response applied here (Hsu et al. 2013). Based on current epidemiological data, the assumption of linearity in the risk to dose response for solid cancers (i.e., Linear Non-Threshold, LNT), appears to be the most practical and prudent choice for radiation protection purposes (NCRP 2018, Shore et al. 2018).</w:t>
      </w:r>
    </w:p>
    <w:p w14:paraId="18A49722" w14:textId="77777777"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The results given in Tables 2–5 (and the Figures 1–5), show how reference dose levels can translate differently into risks depending on age at exposure, gender, the length of the at-risk time-frame considered and cancer risk type.  These results illustrate the potential for such risk-based information to be used by decision makers, in the urgent and transition phases of nuclear emergencies, to identify protective measures (e.g., sheltering, evacuation) in a differential way (i.e., for particularly susceptible sub-groups of a population). For example, sensitive sub-groups of the population can be identified, such as children, for priority consideration. Application of nominal risks provided by ICRP 103 (ICRP, 2007), could in theory also be applied for this purpose, but due to the method of calculation, which involves averaging lifetime risks calculated in 5 year intervals of age at exposure, over age at exposure, and averaging over sex, differential risk information is lost. Also the new software tool presented here may be applied with directly relevant population data for the geographical area at risk. Another advantage of </w:t>
      </w:r>
      <w:r w:rsidRPr="00DB47CD">
        <w:rPr>
          <w:rFonts w:eastAsia="Calibri" w:cs="Times New Roman"/>
          <w:szCs w:val="24"/>
          <w:lang w:val="en-GB"/>
        </w:rPr>
        <w:lastRenderedPageBreak/>
        <w:t>applying risk-bases similar to those presented here, is that they include realistic 95% confidence intervals, allowing decision makers to consider best case and worst case scenarios, before implementing protective measures.</w:t>
      </w:r>
    </w:p>
    <w:p w14:paraId="7D46B450" w14:textId="77777777" w:rsidR="00BF0719" w:rsidRPr="00DB47CD" w:rsidRDefault="00BF0719" w:rsidP="00BF0719">
      <w:pPr>
        <w:autoSpaceDE w:val="0"/>
        <w:autoSpaceDN w:val="0"/>
        <w:adjustRightInd w:val="0"/>
        <w:jc w:val="both"/>
        <w:rPr>
          <w:rFonts w:eastAsia="TradeGothicLTStd" w:cs="Times New Roman"/>
          <w:color w:val="1A181C"/>
          <w:szCs w:val="24"/>
          <w:lang w:val="en-GB"/>
        </w:rPr>
      </w:pPr>
    </w:p>
    <w:p w14:paraId="1C804D69" w14:textId="77777777" w:rsidR="00BF0719" w:rsidRPr="00DB47CD" w:rsidRDefault="00BF0719" w:rsidP="00BF0719">
      <w:pPr>
        <w:autoSpaceDE w:val="0"/>
        <w:autoSpaceDN w:val="0"/>
        <w:adjustRightInd w:val="0"/>
        <w:jc w:val="both"/>
        <w:rPr>
          <w:rFonts w:eastAsia="TradeGothicLTStd" w:cs="Times New Roman"/>
          <w:color w:val="1A181C"/>
          <w:sz w:val="28"/>
          <w:szCs w:val="28"/>
          <w:lang w:val="en-GB"/>
        </w:rPr>
      </w:pPr>
      <w:r w:rsidRPr="00DB47CD">
        <w:rPr>
          <w:rFonts w:eastAsia="TradeGothicLTStd" w:cs="Times New Roman"/>
          <w:color w:val="1A181C"/>
          <w:sz w:val="28"/>
          <w:szCs w:val="28"/>
          <w:lang w:val="en-GB"/>
        </w:rPr>
        <w:t>Conclusions</w:t>
      </w:r>
    </w:p>
    <w:p w14:paraId="0A9CC69B" w14:textId="1ADD78C5" w:rsidR="000B7655" w:rsidRPr="00DB47CD" w:rsidRDefault="000B7655" w:rsidP="000B7655">
      <w:pPr>
        <w:autoSpaceDE w:val="0"/>
        <w:autoSpaceDN w:val="0"/>
        <w:adjustRightInd w:val="0"/>
        <w:spacing w:after="0"/>
        <w:jc w:val="both"/>
        <w:rPr>
          <w:rFonts w:eastAsia="Calibri" w:cs="Times New Roman"/>
          <w:szCs w:val="24"/>
          <w:lang w:val="en-GB"/>
        </w:rPr>
      </w:pPr>
      <w:r>
        <w:rPr>
          <w:rFonts w:eastAsia="Calibri" w:cs="Times New Roman"/>
          <w:szCs w:val="24"/>
          <w:lang w:val="en-GB"/>
        </w:rPr>
        <w:t xml:space="preserve">Due to long </w:t>
      </w:r>
      <w:r w:rsidR="001415FA">
        <w:rPr>
          <w:rFonts w:eastAsia="Calibri" w:cs="Times New Roman"/>
          <w:szCs w:val="24"/>
          <w:lang w:val="en-GB"/>
        </w:rPr>
        <w:t>delays</w:t>
      </w:r>
      <w:r>
        <w:rPr>
          <w:rFonts w:eastAsia="Calibri" w:cs="Times New Roman"/>
          <w:szCs w:val="24"/>
          <w:lang w:val="en-GB"/>
        </w:rPr>
        <w:t xml:space="preserve">, in the past, between </w:t>
      </w:r>
      <w:r w:rsidR="00694779">
        <w:rPr>
          <w:rFonts w:eastAsia="Calibri" w:cs="Times New Roman"/>
          <w:szCs w:val="24"/>
          <w:lang w:val="en-GB"/>
        </w:rPr>
        <w:t xml:space="preserve">the occurrence of </w:t>
      </w:r>
      <w:r>
        <w:rPr>
          <w:rFonts w:eastAsia="Calibri" w:cs="Times New Roman"/>
          <w:szCs w:val="24"/>
          <w:lang w:val="en-GB"/>
        </w:rPr>
        <w:t>nuclear accident and the publications of relevant radiation related health risk assessments, it is useful to have a software tool ready and available, before future accidents occur. The EU-CONFIDENCE tool, described here, is a software that can provide</w:t>
      </w:r>
      <w:r w:rsidRPr="00DB47CD">
        <w:rPr>
          <w:rFonts w:eastAsia="Calibri" w:cs="Times New Roman"/>
          <w:szCs w:val="24"/>
          <w:lang w:val="en-GB"/>
        </w:rPr>
        <w:t xml:space="preserve"> risk based assessments </w:t>
      </w:r>
      <w:r>
        <w:rPr>
          <w:rFonts w:eastAsia="Calibri" w:cs="Times New Roman"/>
          <w:szCs w:val="24"/>
          <w:lang w:val="en-GB"/>
        </w:rPr>
        <w:t>(with uncertainties) potentially</w:t>
      </w:r>
      <w:r w:rsidRPr="00DB47CD">
        <w:rPr>
          <w:rFonts w:eastAsia="Calibri" w:cs="Times New Roman"/>
          <w:szCs w:val="24"/>
          <w:lang w:val="en-GB"/>
        </w:rPr>
        <w:t xml:space="preserve"> important for estimating health effects and deciding on interventions </w:t>
      </w:r>
      <w:r>
        <w:rPr>
          <w:rFonts w:eastAsia="Calibri" w:cs="Times New Roman"/>
          <w:szCs w:val="24"/>
          <w:lang w:val="en-GB"/>
        </w:rPr>
        <w:t>such as</w:t>
      </w:r>
      <w:r w:rsidRPr="00DB47CD">
        <w:rPr>
          <w:rFonts w:eastAsia="Calibri" w:cs="Times New Roman"/>
          <w:szCs w:val="24"/>
          <w:lang w:val="en-GB"/>
        </w:rPr>
        <w:t xml:space="preserve"> medical screening actions. Effective medical screening has to be initiated early after the emergency and </w:t>
      </w:r>
      <w:r>
        <w:rPr>
          <w:rFonts w:eastAsia="Calibri" w:cs="Times New Roman"/>
          <w:szCs w:val="24"/>
          <w:lang w:val="en-GB"/>
        </w:rPr>
        <w:t>so</w:t>
      </w:r>
      <w:r w:rsidRPr="00DB47CD">
        <w:rPr>
          <w:rFonts w:eastAsia="Calibri" w:cs="Times New Roman"/>
          <w:szCs w:val="24"/>
          <w:lang w:val="en-GB"/>
        </w:rPr>
        <w:t xml:space="preserve"> risk based </w:t>
      </w:r>
      <w:r>
        <w:rPr>
          <w:rFonts w:eastAsia="Calibri" w:cs="Times New Roman"/>
          <w:szCs w:val="24"/>
          <w:lang w:val="en-GB"/>
        </w:rPr>
        <w:t xml:space="preserve">results are recommended </w:t>
      </w:r>
      <w:r w:rsidR="001415FA">
        <w:rPr>
          <w:rFonts w:eastAsia="Calibri" w:cs="Times New Roman"/>
          <w:szCs w:val="24"/>
          <w:lang w:val="en-GB"/>
        </w:rPr>
        <w:t>for consideration and to be</w:t>
      </w:r>
      <w:r>
        <w:rPr>
          <w:rFonts w:eastAsia="Calibri" w:cs="Times New Roman"/>
          <w:szCs w:val="24"/>
          <w:lang w:val="en-GB"/>
        </w:rPr>
        <w:t xml:space="preserve"> complementary</w:t>
      </w:r>
      <w:r w:rsidRPr="00DB47CD">
        <w:rPr>
          <w:rFonts w:eastAsia="Calibri" w:cs="Times New Roman"/>
          <w:szCs w:val="24"/>
          <w:lang w:val="en-GB"/>
        </w:rPr>
        <w:t xml:space="preserve"> to monitoring and prognosis results</w:t>
      </w:r>
      <w:r w:rsidR="001415FA">
        <w:rPr>
          <w:rFonts w:eastAsia="Calibri" w:cs="Times New Roman"/>
          <w:szCs w:val="24"/>
          <w:lang w:val="en-GB"/>
        </w:rPr>
        <w:t>.</w:t>
      </w:r>
      <w:r>
        <w:rPr>
          <w:rFonts w:eastAsia="Calibri" w:cs="Times New Roman"/>
          <w:szCs w:val="24"/>
          <w:lang w:val="en-GB"/>
        </w:rPr>
        <w:t xml:space="preserve"> </w:t>
      </w:r>
      <w:r w:rsidR="001415FA">
        <w:rPr>
          <w:rFonts w:eastAsia="Calibri" w:cs="Times New Roman"/>
          <w:szCs w:val="24"/>
          <w:lang w:val="en-GB"/>
        </w:rPr>
        <w:t>Such a joint consideration of risk bases and dose bases, should</w:t>
      </w:r>
      <w:r w:rsidRPr="00DB47CD">
        <w:rPr>
          <w:rFonts w:eastAsia="Calibri" w:cs="Times New Roman"/>
          <w:szCs w:val="24"/>
          <w:lang w:val="en-GB"/>
        </w:rPr>
        <w:t xml:space="preserve"> improve the </w:t>
      </w:r>
      <w:r w:rsidR="00694779">
        <w:rPr>
          <w:rFonts w:eastAsia="Calibri" w:cs="Times New Roman"/>
          <w:szCs w:val="24"/>
          <w:lang w:val="en-GB"/>
        </w:rPr>
        <w:t>overall evidence bases on which important</w:t>
      </w:r>
      <w:r w:rsidRPr="00DB47CD">
        <w:rPr>
          <w:rFonts w:eastAsia="Calibri" w:cs="Times New Roman"/>
          <w:szCs w:val="24"/>
          <w:lang w:val="en-GB"/>
        </w:rPr>
        <w:t xml:space="preserve"> </w:t>
      </w:r>
      <w:r w:rsidR="00694779">
        <w:rPr>
          <w:rFonts w:eastAsia="Calibri" w:cs="Times New Roman"/>
          <w:szCs w:val="24"/>
          <w:lang w:val="en-GB"/>
        </w:rPr>
        <w:t xml:space="preserve">radiation protection </w:t>
      </w:r>
      <w:r w:rsidRPr="00DB47CD">
        <w:rPr>
          <w:rFonts w:eastAsia="Calibri" w:cs="Times New Roman"/>
          <w:szCs w:val="24"/>
          <w:lang w:val="en-GB"/>
        </w:rPr>
        <w:t>decision</w:t>
      </w:r>
      <w:r w:rsidR="00694779">
        <w:rPr>
          <w:rFonts w:eastAsia="Calibri" w:cs="Times New Roman"/>
          <w:szCs w:val="24"/>
          <w:lang w:val="en-GB"/>
        </w:rPr>
        <w:t>s will need to be made</w:t>
      </w:r>
      <w:r w:rsidR="001415FA">
        <w:rPr>
          <w:rFonts w:eastAsia="Calibri" w:cs="Times New Roman"/>
          <w:szCs w:val="24"/>
          <w:lang w:val="en-GB"/>
        </w:rPr>
        <w:t xml:space="preserve"> after a nuclear accident</w:t>
      </w:r>
      <w:r w:rsidRPr="00DB47CD">
        <w:rPr>
          <w:rFonts w:eastAsia="Calibri" w:cs="Times New Roman"/>
          <w:szCs w:val="24"/>
          <w:lang w:val="en-GB"/>
        </w:rPr>
        <w:t>.</w:t>
      </w:r>
    </w:p>
    <w:p w14:paraId="3D4E41FB" w14:textId="1270C0AF" w:rsidR="00BF0719" w:rsidRPr="00DB47CD" w:rsidRDefault="00BF0719" w:rsidP="00BF0719">
      <w:pPr>
        <w:autoSpaceDE w:val="0"/>
        <w:autoSpaceDN w:val="0"/>
        <w:adjustRightInd w:val="0"/>
        <w:spacing w:after="0"/>
        <w:rPr>
          <w:rFonts w:eastAsia="Calibri" w:cs="Times New Roman"/>
          <w:szCs w:val="24"/>
          <w:lang w:val="en-GB"/>
        </w:rPr>
      </w:pPr>
    </w:p>
    <w:p w14:paraId="7E460FF9" w14:textId="77777777" w:rsidR="00BF0719" w:rsidRPr="00DB47CD" w:rsidRDefault="00BF0719" w:rsidP="00BF0719">
      <w:pPr>
        <w:autoSpaceDE w:val="0"/>
        <w:autoSpaceDN w:val="0"/>
        <w:adjustRightInd w:val="0"/>
        <w:spacing w:after="0"/>
        <w:rPr>
          <w:rFonts w:eastAsia="Calibri" w:cs="Times New Roman"/>
          <w:sz w:val="28"/>
          <w:szCs w:val="28"/>
          <w:lang w:val="en-GB"/>
        </w:rPr>
      </w:pPr>
      <w:r w:rsidRPr="00DB47CD">
        <w:rPr>
          <w:rFonts w:eastAsia="Calibri" w:cs="Times New Roman"/>
          <w:sz w:val="28"/>
          <w:szCs w:val="28"/>
          <w:lang w:val="en-GB"/>
        </w:rPr>
        <w:t>Acknowledgements</w:t>
      </w:r>
    </w:p>
    <w:p w14:paraId="04FA29C8" w14:textId="6466879E" w:rsidR="00BF0719" w:rsidRPr="00DB47CD" w:rsidRDefault="00BF0719" w:rsidP="00BF0719">
      <w:pPr>
        <w:autoSpaceDE w:val="0"/>
        <w:autoSpaceDN w:val="0"/>
        <w:adjustRightInd w:val="0"/>
        <w:spacing w:after="0"/>
        <w:jc w:val="both"/>
        <w:rPr>
          <w:rFonts w:eastAsia="Calibri" w:cs="Times New Roman"/>
          <w:bCs/>
          <w:iCs/>
          <w:color w:val="000000"/>
          <w:szCs w:val="24"/>
          <w:lang w:val="en-GB"/>
        </w:rPr>
      </w:pPr>
      <w:r w:rsidRPr="00DB47CD">
        <w:rPr>
          <w:rFonts w:eastAsia="Calibri" w:cs="Times New Roman"/>
          <w:bCs/>
          <w:iCs/>
          <w:color w:val="000000"/>
          <w:szCs w:val="24"/>
          <w:lang w:val="en-GB"/>
        </w:rPr>
        <w:t xml:space="preserve">This project has received funding from the </w:t>
      </w:r>
      <w:proofErr w:type="spellStart"/>
      <w:proofErr w:type="gramStart"/>
      <w:r w:rsidRPr="00DB47CD">
        <w:rPr>
          <w:rFonts w:eastAsia="Calibri" w:cs="Times New Roman"/>
          <w:bCs/>
          <w:iCs/>
          <w:color w:val="000000"/>
          <w:szCs w:val="24"/>
          <w:lang w:val="en-GB"/>
        </w:rPr>
        <w:t>Euratom</w:t>
      </w:r>
      <w:proofErr w:type="spellEnd"/>
      <w:proofErr w:type="gramEnd"/>
      <w:r w:rsidRPr="00DB47CD">
        <w:rPr>
          <w:rFonts w:eastAsia="Calibri" w:cs="Times New Roman"/>
          <w:bCs/>
          <w:iCs/>
          <w:color w:val="000000"/>
          <w:szCs w:val="24"/>
          <w:lang w:val="en-GB"/>
        </w:rPr>
        <w:t xml:space="preserve"> research and training programme 2014–2018 under grant agreement No 662287. The EU-CONFIDENCE project is part of the CONCERT project. </w:t>
      </w:r>
    </w:p>
    <w:p w14:paraId="0C218DEA" w14:textId="77777777" w:rsidR="00BF0719" w:rsidRPr="00DB47CD" w:rsidRDefault="00BF0719" w:rsidP="00BF0719">
      <w:pPr>
        <w:autoSpaceDE w:val="0"/>
        <w:autoSpaceDN w:val="0"/>
        <w:adjustRightInd w:val="0"/>
        <w:spacing w:after="0"/>
        <w:jc w:val="both"/>
        <w:rPr>
          <w:rFonts w:eastAsia="Calibri" w:cs="Times New Roman"/>
          <w:bCs/>
          <w:iCs/>
          <w:szCs w:val="24"/>
          <w:lang w:val="en-GB"/>
        </w:rPr>
      </w:pPr>
      <w:r w:rsidRPr="00DB47CD">
        <w:rPr>
          <w:rFonts w:eastAsia="Calibri" w:cs="Times New Roman"/>
          <w:bCs/>
          <w:iCs/>
          <w:szCs w:val="24"/>
          <w:lang w:val="en-GB"/>
        </w:rPr>
        <w:t>This publication reflects only the author's view. Responsibility for the information and views expressed therein lies entirely with the authors. The European Commission is not responsible for any use that may be made of the information it contains.</w:t>
      </w:r>
    </w:p>
    <w:p w14:paraId="7E4DFC95" w14:textId="77777777" w:rsidR="00BF0719" w:rsidRPr="00DB47CD" w:rsidRDefault="00BF0719" w:rsidP="00BF0719">
      <w:pPr>
        <w:autoSpaceDE w:val="0"/>
        <w:autoSpaceDN w:val="0"/>
        <w:adjustRightInd w:val="0"/>
        <w:spacing w:after="0"/>
        <w:jc w:val="both"/>
        <w:rPr>
          <w:rFonts w:eastAsia="Calibri" w:cs="Times New Roman"/>
          <w:szCs w:val="24"/>
          <w:lang w:val="en-GB"/>
        </w:rPr>
      </w:pPr>
      <w:r w:rsidRPr="00DB47CD">
        <w:rPr>
          <w:rFonts w:eastAsia="Calibri" w:cs="Times New Roman"/>
          <w:szCs w:val="24"/>
          <w:lang w:val="en-GB"/>
        </w:rPr>
        <w:t xml:space="preserve">This paper makes use of data obtained from the Radiation Effects Research Foundation (RERF), Hiroshima and Nagasaki, Japan. RERF is a public interest incorporated foundation funded by the Japanese Ministry of Health, Labour and Welfare (MHLW) and the U.S. Department of Energy (DOE). The data include information obtained from the Hiroshima City, Hiroshima Prefecture, Nagasaki City, and Nagasaki Prefecture </w:t>
      </w:r>
      <w:proofErr w:type="spellStart"/>
      <w:r w:rsidRPr="00DB47CD">
        <w:rPr>
          <w:rFonts w:eastAsia="Calibri" w:cs="Times New Roman"/>
          <w:szCs w:val="24"/>
          <w:lang w:val="en-GB"/>
        </w:rPr>
        <w:t>Tumor</w:t>
      </w:r>
      <w:proofErr w:type="spellEnd"/>
      <w:r w:rsidRPr="00DB47CD">
        <w:rPr>
          <w:rFonts w:eastAsia="Calibri" w:cs="Times New Roman"/>
          <w:szCs w:val="24"/>
          <w:lang w:val="en-GB"/>
        </w:rPr>
        <w:t xml:space="preserve"> Registries and the Hiroshima and Nagasaki Tissue Registries. The conclusions in this paper are those of the authors and do not necessarily reflect the scientific judgment of RERF or its funding agencies.</w:t>
      </w:r>
    </w:p>
    <w:p w14:paraId="10DFD146" w14:textId="77777777" w:rsidR="00BF0719" w:rsidRPr="00DB47CD" w:rsidRDefault="00BF0719" w:rsidP="00BF0719">
      <w:pPr>
        <w:autoSpaceDE w:val="0"/>
        <w:autoSpaceDN w:val="0"/>
        <w:adjustRightInd w:val="0"/>
        <w:spacing w:after="0"/>
        <w:rPr>
          <w:rFonts w:eastAsia="Calibri" w:cs="Times New Roman"/>
          <w:szCs w:val="24"/>
          <w:lang w:val="en-GB"/>
        </w:rPr>
      </w:pPr>
    </w:p>
    <w:p w14:paraId="756C28B1" w14:textId="77777777" w:rsidR="00BF0719" w:rsidRPr="00DB47CD" w:rsidRDefault="00BF0719" w:rsidP="00BF0719">
      <w:pPr>
        <w:autoSpaceDE w:val="0"/>
        <w:autoSpaceDN w:val="0"/>
        <w:adjustRightInd w:val="0"/>
        <w:spacing w:after="0"/>
        <w:rPr>
          <w:rFonts w:eastAsia="Calibri" w:cs="Times New Roman"/>
          <w:sz w:val="28"/>
          <w:szCs w:val="28"/>
          <w:lang w:val="en-GB"/>
        </w:rPr>
      </w:pPr>
      <w:r w:rsidRPr="00DB47CD">
        <w:rPr>
          <w:rFonts w:eastAsia="Calibri" w:cs="Times New Roman"/>
          <w:sz w:val="28"/>
          <w:szCs w:val="28"/>
          <w:lang w:val="en-GB"/>
        </w:rPr>
        <w:t>Appendix</w:t>
      </w:r>
    </w:p>
    <w:p w14:paraId="397FE070" w14:textId="77777777" w:rsidR="00BF0719" w:rsidRPr="00DB47CD" w:rsidRDefault="00BF0719" w:rsidP="00BF0719">
      <w:pPr>
        <w:jc w:val="both"/>
        <w:rPr>
          <w:rFonts w:eastAsia="Calibri" w:cs="Times New Roman"/>
          <w:szCs w:val="24"/>
          <w:lang w:val="en-GB"/>
        </w:rPr>
      </w:pPr>
      <w:r w:rsidRPr="00DB47CD">
        <w:rPr>
          <w:rFonts w:eastAsia="Calibri" w:cs="Times New Roman"/>
          <w:bCs/>
          <w:szCs w:val="24"/>
          <w:lang w:val="en-GB"/>
        </w:rPr>
        <w:t>Supplementary model fitting results are given here for the</w:t>
      </w:r>
      <w:r w:rsidRPr="00DB47CD">
        <w:rPr>
          <w:rFonts w:eastAsia="Calibri" w:cs="Times New Roman"/>
          <w:szCs w:val="24"/>
          <w:lang w:val="en-GB"/>
        </w:rPr>
        <w:t xml:space="preserve"> LSS all solid cancer incidence Excess Absolute Risk (</w:t>
      </w:r>
      <w:r w:rsidRPr="00DB47CD">
        <w:rPr>
          <w:rFonts w:eastAsia="Calibri" w:cs="Times New Roman"/>
          <w:i/>
          <w:szCs w:val="24"/>
          <w:lang w:val="en-GB"/>
        </w:rPr>
        <w:t>EAR</w:t>
      </w:r>
      <w:r w:rsidRPr="00DB47CD">
        <w:rPr>
          <w:rFonts w:eastAsia="Calibri" w:cs="Times New Roman"/>
          <w:szCs w:val="24"/>
          <w:lang w:val="en-GB"/>
        </w:rPr>
        <w:t xml:space="preserve">) risk model applied in the software tool. This was necessary because the original publication (for follow-up 1958–2009, Grant et al 2017) did not provide an </w:t>
      </w:r>
      <w:r w:rsidRPr="00DB47CD">
        <w:rPr>
          <w:rFonts w:eastAsia="Calibri" w:cs="Times New Roman"/>
          <w:i/>
          <w:szCs w:val="24"/>
          <w:lang w:val="en-GB"/>
        </w:rPr>
        <w:t>EAR</w:t>
      </w:r>
      <w:r w:rsidRPr="00DB47CD">
        <w:rPr>
          <w:rFonts w:eastAsia="Calibri" w:cs="Times New Roman"/>
          <w:szCs w:val="24"/>
          <w:lang w:val="en-GB"/>
        </w:rPr>
        <w:t xml:space="preserve"> model without smoking adjustment (i.e., an </w:t>
      </w:r>
      <w:r w:rsidRPr="00DB47CD">
        <w:rPr>
          <w:rFonts w:eastAsia="Calibri" w:cs="Times New Roman"/>
          <w:i/>
          <w:szCs w:val="24"/>
          <w:lang w:val="en-GB"/>
        </w:rPr>
        <w:t>EAR</w:t>
      </w:r>
      <w:r w:rsidRPr="00DB47CD">
        <w:rPr>
          <w:rFonts w:eastAsia="Calibri" w:cs="Times New Roman"/>
          <w:szCs w:val="24"/>
          <w:lang w:val="en-GB"/>
        </w:rPr>
        <w:t xml:space="preserve"> model with the same adjustments as the </w:t>
      </w:r>
      <w:r w:rsidRPr="00DB47CD">
        <w:rPr>
          <w:rFonts w:eastAsia="Calibri" w:cs="Times New Roman"/>
          <w:i/>
          <w:szCs w:val="24"/>
          <w:lang w:val="en-GB"/>
        </w:rPr>
        <w:t>ERR</w:t>
      </w:r>
      <w:r w:rsidRPr="00DB47CD">
        <w:rPr>
          <w:rFonts w:eastAsia="Calibri" w:cs="Times New Roman"/>
          <w:szCs w:val="24"/>
          <w:lang w:val="en-GB"/>
        </w:rPr>
        <w:t xml:space="preserve"> model given as the first entry in Table 5 of Grant et al (2017)). Such a model is analogous to the earlier </w:t>
      </w:r>
      <w:r w:rsidRPr="00DB47CD">
        <w:rPr>
          <w:rFonts w:eastAsia="Calibri" w:cs="Times New Roman"/>
          <w:i/>
          <w:szCs w:val="24"/>
          <w:lang w:val="en-GB"/>
        </w:rPr>
        <w:t>EAR</w:t>
      </w:r>
      <w:r w:rsidRPr="00DB47CD">
        <w:rPr>
          <w:rFonts w:eastAsia="Calibri" w:cs="Times New Roman"/>
          <w:szCs w:val="24"/>
          <w:lang w:val="en-GB"/>
        </w:rPr>
        <w:t xml:space="preserve"> all solid cancer incidence model (for follow-up 1958 to 1998, Preston et al 2007) that was found to be very appropriate for and used in the WHO Fukushima risk assessment (WHO 2014). </w:t>
      </w:r>
      <w:r w:rsidRPr="00DB47CD">
        <w:rPr>
          <w:rFonts w:eastAsia="Calibri" w:cs="Times New Roman"/>
          <w:bCs/>
          <w:szCs w:val="24"/>
          <w:lang w:val="en-GB"/>
        </w:rPr>
        <w:t>The fit parameters (see Table A1) and parameter covariance matrix for this EAR model, unadjusted for smoking, were obtained by using the publicly available data set (rerf.or.jp) and</w:t>
      </w:r>
      <w:r w:rsidRPr="00DB47CD">
        <w:rPr>
          <w:rFonts w:eastAsia="Calibri" w:cs="Times New Roman"/>
          <w:szCs w:val="24"/>
          <w:lang w:val="en-GB"/>
        </w:rPr>
        <w:t xml:space="preserve"> the EPICURE software with the AMFIT module (Preston et al 1993) for Poisson regression on grouped data.</w:t>
      </w:r>
    </w:p>
    <w:p w14:paraId="79D1EE11" w14:textId="2C3E4419" w:rsidR="00BF0719" w:rsidRPr="00DB47CD" w:rsidRDefault="00BF0719" w:rsidP="00BF0719">
      <w:pPr>
        <w:jc w:val="both"/>
        <w:rPr>
          <w:rFonts w:eastAsia="Calibri" w:cs="Times New Roman"/>
          <w:szCs w:val="24"/>
          <w:lang w:val="en-GB"/>
        </w:rPr>
      </w:pPr>
      <w:r w:rsidRPr="00DB47CD">
        <w:rPr>
          <w:rFonts w:eastAsia="Calibri" w:cs="Times New Roman"/>
          <w:szCs w:val="24"/>
          <w:lang w:val="en-GB"/>
        </w:rPr>
        <w:lastRenderedPageBreak/>
        <w:t xml:space="preserve">Table A1. Fit parameters for the LSS </w:t>
      </w:r>
      <w:r w:rsidRPr="00DB47CD">
        <w:rPr>
          <w:rFonts w:eastAsia="Calibri" w:cs="Times New Roman"/>
          <w:bCs/>
          <w:szCs w:val="24"/>
          <w:lang w:val="en-GB"/>
        </w:rPr>
        <w:t>EAR</w:t>
      </w:r>
      <w:r w:rsidRPr="00DB47CD">
        <w:rPr>
          <w:rFonts w:eastAsia="Calibri" w:cs="Times New Roman"/>
          <w:bCs/>
          <w:i/>
          <w:szCs w:val="24"/>
          <w:lang w:val="en-GB"/>
        </w:rPr>
        <w:t xml:space="preserve"> </w:t>
      </w:r>
      <w:r w:rsidRPr="00DB47CD">
        <w:rPr>
          <w:rFonts w:eastAsia="Calibri" w:cs="Times New Roman"/>
          <w:bCs/>
          <w:szCs w:val="24"/>
          <w:lang w:val="en-GB"/>
        </w:rPr>
        <w:t xml:space="preserve">model considered with the general </w:t>
      </w:r>
      <w:proofErr w:type="gramStart"/>
      <w:r w:rsidRPr="00DB47CD">
        <w:rPr>
          <w:rFonts w:eastAsia="Calibri" w:cs="Times New Roman"/>
          <w:bCs/>
          <w:szCs w:val="24"/>
          <w:lang w:val="en-GB"/>
        </w:rPr>
        <w:t xml:space="preserve">form </w:t>
      </w:r>
      <w:proofErr w:type="gramEnd"/>
      <m:oMath>
        <m:r>
          <w:rPr>
            <w:rFonts w:ascii="Cambria Math" w:eastAsia="Calibri" w:hAnsi="Cambria Math" w:cs="Times New Roman"/>
            <w:szCs w:val="24"/>
            <w:lang w:val="en-GB"/>
          </w:rPr>
          <m:t>λ</m:t>
        </m:r>
        <m:d>
          <m:dPr>
            <m:ctrlPr>
              <w:rPr>
                <w:rFonts w:ascii="Cambria Math" w:eastAsia="Calibri" w:hAnsi="Cambria Math" w:cs="Times New Roman"/>
                <w:bCs/>
                <w:i/>
                <w:szCs w:val="24"/>
                <w:lang w:val="en-GB"/>
              </w:rPr>
            </m:ctrlPr>
          </m:dPr>
          <m:e>
            <m:r>
              <w:rPr>
                <w:rFonts w:ascii="Cambria Math" w:eastAsia="Calibri" w:hAnsi="Cambria Math" w:cs="Times New Roman"/>
                <w:szCs w:val="24"/>
                <w:lang w:val="en-GB"/>
              </w:rPr>
              <m:t>d,e,a,s</m:t>
            </m:r>
          </m:e>
        </m:d>
        <m:r>
          <w:rPr>
            <w:rFonts w:ascii="Cambria Math" w:eastAsia="Calibri" w:hAnsi="Cambria Math" w:cs="Times New Roman"/>
            <w:szCs w:val="24"/>
            <w:lang w:val="en-GB"/>
          </w:rPr>
          <m:t>=</m:t>
        </m:r>
        <m:sSub>
          <m:sSubPr>
            <m:ctrlPr>
              <w:rPr>
                <w:rFonts w:ascii="Cambria Math" w:eastAsia="Calibri" w:hAnsi="Cambria Math" w:cs="Times New Roman"/>
                <w:bCs/>
                <w:i/>
                <w:szCs w:val="24"/>
                <w:lang w:val="en-GB"/>
              </w:rPr>
            </m:ctrlPr>
          </m:sSubPr>
          <m:e>
            <m:r>
              <w:rPr>
                <w:rFonts w:ascii="Cambria Math" w:eastAsia="Calibri" w:hAnsi="Cambria Math" w:cs="Times New Roman"/>
                <w:szCs w:val="24"/>
                <w:lang w:val="en-GB"/>
              </w:rPr>
              <m:t>λ</m:t>
            </m:r>
          </m:e>
          <m:sub>
            <m:r>
              <w:rPr>
                <w:rFonts w:ascii="Cambria Math" w:eastAsia="Calibri" w:hAnsi="Cambria Math" w:cs="Times New Roman"/>
                <w:szCs w:val="24"/>
                <w:lang w:val="en-GB"/>
              </w:rPr>
              <m:t>0</m:t>
            </m:r>
          </m:sub>
        </m:sSub>
        <m:d>
          <m:dPr>
            <m:ctrlPr>
              <w:rPr>
                <w:rFonts w:ascii="Cambria Math" w:eastAsia="Calibri" w:hAnsi="Cambria Math" w:cs="Times New Roman"/>
                <w:bCs/>
                <w:i/>
                <w:szCs w:val="24"/>
                <w:lang w:val="en-GB"/>
              </w:rPr>
            </m:ctrlPr>
          </m:dPr>
          <m:e>
            <m:r>
              <w:rPr>
                <w:rFonts w:ascii="Cambria Math" w:eastAsia="Calibri" w:hAnsi="Cambria Math" w:cs="Times New Roman"/>
                <w:szCs w:val="24"/>
                <w:lang w:val="en-GB"/>
              </w:rPr>
              <m:t>e,a,s</m:t>
            </m:r>
          </m:e>
        </m:d>
        <m:r>
          <w:rPr>
            <w:rFonts w:ascii="Cambria Math" w:eastAsia="Calibri" w:hAnsi="Cambria Math" w:cs="Times New Roman"/>
            <w:szCs w:val="24"/>
            <w:lang w:val="en-GB"/>
          </w:rPr>
          <m:t>+EAR(d,e,a,s)</m:t>
        </m:r>
      </m:oMath>
      <w:r w:rsidRPr="00DB47CD">
        <w:rPr>
          <w:rFonts w:eastAsia="Calibri" w:cs="Times New Roman"/>
          <w:szCs w:val="24"/>
          <w:lang w:val="en-GB"/>
        </w:rPr>
        <w:t xml:space="preserve">, where </w:t>
      </w:r>
      <m:oMath>
        <m:r>
          <w:rPr>
            <w:rFonts w:ascii="Cambria Math" w:eastAsia="Calibri" w:hAnsi="Cambria Math" w:cs="Times New Roman"/>
            <w:szCs w:val="24"/>
            <w:lang w:val="en-GB"/>
          </w:rPr>
          <m:t>λ</m:t>
        </m:r>
      </m:oMath>
      <w:r w:rsidRPr="00DB47CD">
        <w:rPr>
          <w:rFonts w:eastAsia="Calibri" w:cs="Times New Roman"/>
          <w:szCs w:val="24"/>
          <w:lang w:val="en-GB"/>
        </w:rPr>
        <w:t xml:space="preserve"> is the total incidence rate, </w:t>
      </w:r>
      <m:oMath>
        <m:sSub>
          <m:sSubPr>
            <m:ctrlPr>
              <w:rPr>
                <w:rFonts w:ascii="Cambria Math" w:eastAsia="Calibri" w:hAnsi="Cambria Math" w:cs="Times New Roman"/>
                <w:i/>
                <w:szCs w:val="24"/>
                <w:lang w:val="en-GB"/>
              </w:rPr>
            </m:ctrlPr>
          </m:sSubPr>
          <m:e>
            <m:r>
              <w:rPr>
                <w:rFonts w:ascii="Cambria Math" w:eastAsia="Calibri" w:hAnsi="Cambria Math" w:cs="Times New Roman"/>
                <w:szCs w:val="24"/>
                <w:lang w:val="en-GB"/>
              </w:rPr>
              <m:t>λ</m:t>
            </m:r>
          </m:e>
          <m:sub>
            <m:r>
              <w:rPr>
                <w:rFonts w:ascii="Cambria Math" w:eastAsia="Calibri" w:hAnsi="Cambria Math" w:cs="Times New Roman"/>
                <w:szCs w:val="24"/>
                <w:lang w:val="en-GB"/>
              </w:rPr>
              <m:t>0</m:t>
            </m:r>
          </m:sub>
        </m:sSub>
      </m:oMath>
      <w:r w:rsidRPr="00DB47CD">
        <w:rPr>
          <w:rFonts w:eastAsia="Calibri" w:cs="Times New Roman"/>
          <w:szCs w:val="24"/>
          <w:lang w:val="en-GB"/>
        </w:rPr>
        <w:t xml:space="preserve"> is the baseline incidence rate, </w:t>
      </w:r>
      <w:r w:rsidRPr="00DB47CD">
        <w:rPr>
          <w:rFonts w:eastAsia="Calibri" w:cs="Times New Roman"/>
          <w:i/>
          <w:szCs w:val="24"/>
          <w:lang w:val="en-GB"/>
        </w:rPr>
        <w:t>e</w:t>
      </w:r>
      <w:r w:rsidRPr="00DB47CD">
        <w:rPr>
          <w:rFonts w:eastAsia="Calibri" w:cs="Times New Roman"/>
          <w:szCs w:val="24"/>
          <w:lang w:val="en-GB"/>
        </w:rPr>
        <w:t xml:space="preserve"> is age at exposure, </w:t>
      </w:r>
      <w:r w:rsidRPr="00DB47CD">
        <w:rPr>
          <w:rFonts w:eastAsia="Calibri" w:cs="Times New Roman"/>
          <w:bCs/>
          <w:i/>
          <w:iCs/>
          <w:szCs w:val="24"/>
          <w:lang w:val="en-GB"/>
        </w:rPr>
        <w:t>a</w:t>
      </w:r>
      <w:r w:rsidRPr="00DB47CD">
        <w:rPr>
          <w:rFonts w:eastAsia="Calibri" w:cs="Times New Roman"/>
          <w:bCs/>
          <w:szCs w:val="24"/>
          <w:lang w:val="en-GB"/>
        </w:rPr>
        <w:t xml:space="preserve"> is attained age</w:t>
      </w:r>
      <w:r w:rsidR="00EC2D18">
        <w:rPr>
          <w:rFonts w:eastAsia="Calibri" w:cs="Times New Roman"/>
          <w:bCs/>
          <w:szCs w:val="24"/>
          <w:lang w:val="en-GB"/>
        </w:rPr>
        <w:t xml:space="preserve"> (both in years)</w:t>
      </w:r>
      <w:r w:rsidRPr="00DB47CD">
        <w:rPr>
          <w:rFonts w:eastAsia="Calibri" w:cs="Times New Roman"/>
          <w:bCs/>
          <w:szCs w:val="24"/>
          <w:lang w:val="en-GB"/>
        </w:rPr>
        <w:t xml:space="preserve">, </w:t>
      </w:r>
      <w:r w:rsidRPr="00DB47CD">
        <w:rPr>
          <w:rFonts w:eastAsia="Calibri" w:cs="Times New Roman"/>
          <w:bCs/>
          <w:i/>
          <w:iCs/>
          <w:szCs w:val="24"/>
          <w:lang w:val="en-GB"/>
        </w:rPr>
        <w:t xml:space="preserve">s </w:t>
      </w:r>
      <w:r w:rsidRPr="00DB47CD">
        <w:rPr>
          <w:rFonts w:eastAsia="Calibri" w:cs="Times New Roman"/>
          <w:bCs/>
          <w:szCs w:val="24"/>
          <w:lang w:val="en-GB"/>
        </w:rPr>
        <w:t xml:space="preserve">is sex, </w:t>
      </w:r>
      <w:r w:rsidRPr="00DB47CD">
        <w:rPr>
          <w:rFonts w:eastAsia="Calibri" w:cs="Times New Roman"/>
          <w:bCs/>
          <w:i/>
          <w:szCs w:val="24"/>
          <w:lang w:val="en-GB"/>
        </w:rPr>
        <w:t>d</w:t>
      </w:r>
      <w:r w:rsidRPr="00DB47CD">
        <w:rPr>
          <w:rFonts w:eastAsia="Calibri" w:cs="Times New Roman"/>
          <w:bCs/>
          <w:szCs w:val="24"/>
          <w:lang w:val="en-GB"/>
        </w:rPr>
        <w:t xml:space="preserve"> is the dose (</w:t>
      </w:r>
      <w:proofErr w:type="spellStart"/>
      <w:r w:rsidRPr="00DB47CD">
        <w:rPr>
          <w:rFonts w:eastAsia="Calibri" w:cs="Times New Roman"/>
          <w:bCs/>
          <w:szCs w:val="24"/>
          <w:lang w:val="en-GB"/>
        </w:rPr>
        <w:t>Gy</w:t>
      </w:r>
      <w:proofErr w:type="spellEnd"/>
      <w:r w:rsidRPr="00DB47CD">
        <w:rPr>
          <w:rFonts w:eastAsia="Calibri" w:cs="Times New Roman"/>
          <w:bCs/>
          <w:szCs w:val="24"/>
          <w:lang w:val="en-GB"/>
        </w:rPr>
        <w:t>) delivered to the organ/tissue</w:t>
      </w:r>
      <w:r w:rsidR="00EC2D18">
        <w:rPr>
          <w:rFonts w:eastAsia="Calibri" w:cs="Times New Roman"/>
          <w:bCs/>
          <w:szCs w:val="24"/>
          <w:lang w:val="en-GB"/>
        </w:rPr>
        <w:t>, i.e., colon dose,</w:t>
      </w:r>
      <w:r w:rsidRPr="00DB47CD">
        <w:rPr>
          <w:rFonts w:eastAsia="Calibri" w:cs="Times New Roman"/>
          <w:bCs/>
          <w:szCs w:val="24"/>
          <w:lang w:val="en-GB"/>
        </w:rPr>
        <w:t xml:space="preserve"> at age </w:t>
      </w:r>
      <w:r w:rsidRPr="00DB47CD">
        <w:rPr>
          <w:rFonts w:eastAsia="Calibri" w:cs="Times New Roman"/>
          <w:bCs/>
          <w:i/>
          <w:szCs w:val="24"/>
          <w:lang w:val="en-GB"/>
        </w:rPr>
        <w:t>e</w:t>
      </w:r>
      <w:r w:rsidRPr="00DB47CD">
        <w:rPr>
          <w:rFonts w:eastAsia="Calibri" w:cs="Times New Roman"/>
          <w:bCs/>
          <w:szCs w:val="24"/>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662"/>
      </w:tblGrid>
      <w:tr w:rsidR="00BF0719" w:rsidRPr="00DB47CD" w14:paraId="2CED6E12" w14:textId="77777777" w:rsidTr="004458DA">
        <w:trPr>
          <w:trHeight w:val="1334"/>
        </w:trPr>
        <w:tc>
          <w:tcPr>
            <w:tcW w:w="2972" w:type="dxa"/>
            <w:vMerge w:val="restart"/>
          </w:tcPr>
          <w:p w14:paraId="05A70A06" w14:textId="624D1294" w:rsidR="00BF0719" w:rsidRPr="00DB47CD" w:rsidRDefault="00BF0719" w:rsidP="00BF0719">
            <w:pPr>
              <w:rPr>
                <w:rFonts w:eastAsia="Calibri" w:cs="Times New Roman"/>
                <w:lang w:val="en-GB" w:eastAsia="zh-CN"/>
              </w:rPr>
            </w:pPr>
            <w:r w:rsidRPr="00DB47CD">
              <w:rPr>
                <w:rFonts w:eastAsia="Calibri" w:cs="Times New Roman"/>
                <w:b/>
                <w:lang w:val="en-GB"/>
              </w:rPr>
              <w:t xml:space="preserve">All solid cancer </w:t>
            </w:r>
            <w:r w:rsidRPr="00DB47CD">
              <w:rPr>
                <w:rFonts w:eastAsia="Calibri" w:cs="Times New Roman"/>
                <w:b/>
                <w:lang w:val="en-GB"/>
              </w:rPr>
              <w:br/>
            </w:r>
            <w:r w:rsidRPr="00DB47CD">
              <w:rPr>
                <w:rFonts w:eastAsia="Calibri" w:cs="Times New Roman"/>
                <w:b/>
                <w:lang w:val="en-GB"/>
              </w:rPr>
              <w:br/>
            </w:r>
            <w:r w:rsidR="00EC2D18">
              <w:rPr>
                <w:rFonts w:eastAsia="Calibri" w:cs="Times New Roman"/>
                <w:lang w:val="en-GB" w:eastAsia="zh-CN"/>
              </w:rPr>
              <w:t xml:space="preserve">This model was </w:t>
            </w:r>
            <w:r w:rsidRPr="00DB47CD">
              <w:rPr>
                <w:rFonts w:eastAsia="Calibri" w:cs="Times New Roman"/>
                <w:lang w:val="en-GB" w:eastAsia="zh-CN"/>
              </w:rPr>
              <w:t xml:space="preserve">fitted </w:t>
            </w:r>
            <w:r w:rsidR="00EC2D18">
              <w:rPr>
                <w:rFonts w:eastAsia="Calibri" w:cs="Times New Roman"/>
                <w:lang w:val="en-GB" w:eastAsia="zh-CN"/>
              </w:rPr>
              <w:t xml:space="preserve">by the current authors </w:t>
            </w:r>
            <w:r w:rsidRPr="00DB47CD">
              <w:rPr>
                <w:rFonts w:eastAsia="Calibri" w:cs="Times New Roman"/>
                <w:lang w:val="en-GB" w:eastAsia="zh-CN"/>
              </w:rPr>
              <w:t xml:space="preserve">using the dataset </w:t>
            </w:r>
            <w:r w:rsidRPr="00DB47CD">
              <w:rPr>
                <w:rFonts w:eastAsia="Calibri" w:cs="Times New Roman"/>
                <w:lang w:val="en-GB" w:eastAsia="zh-CN"/>
              </w:rPr>
              <w:br/>
            </w:r>
            <w:r w:rsidRPr="001415FA">
              <w:rPr>
                <w:rFonts w:eastAsia="Calibri" w:cs="Times New Roman"/>
                <w:lang w:val="en-GB"/>
              </w:rPr>
              <w:t>sol_col_2017ext_v1.csv</w:t>
            </w:r>
            <w:r w:rsidRPr="00DB47CD">
              <w:rPr>
                <w:rFonts w:eastAsia="Calibri" w:cs="Times New Roman"/>
                <w:lang w:val="en-GB" w:eastAsia="zh-CN"/>
              </w:rPr>
              <w:t xml:space="preserve"> </w:t>
            </w:r>
            <w:r w:rsidRPr="00DB47CD">
              <w:rPr>
                <w:rFonts w:eastAsia="Calibri" w:cs="Times New Roman"/>
                <w:lang w:val="en-GB" w:eastAsia="zh-CN"/>
              </w:rPr>
              <w:br/>
              <w:t xml:space="preserve">from </w:t>
            </w:r>
            <w:hyperlink r:id="rId8" w:history="1">
              <w:r w:rsidRPr="00DB47CD">
                <w:rPr>
                  <w:rFonts w:eastAsia="Calibri" w:cs="Times New Roman"/>
                  <w:color w:val="0000FF"/>
                  <w:u w:val="single"/>
                  <w:lang w:val="en-GB" w:eastAsia="zh-CN"/>
                </w:rPr>
                <w:t>http://www.rerf.or.jp</w:t>
              </w:r>
            </w:hyperlink>
            <w:r w:rsidR="00EC2D18">
              <w:rPr>
                <w:rFonts w:eastAsia="Calibri" w:cs="Times New Roman"/>
                <w:color w:val="0000FF"/>
                <w:u w:val="single"/>
                <w:lang w:val="en-GB" w:eastAsia="zh-CN"/>
              </w:rPr>
              <w:t>,</w:t>
            </w:r>
          </w:p>
          <w:p w14:paraId="743847CA" w14:textId="69C79F9B" w:rsidR="00BF0719" w:rsidRPr="00DB47CD" w:rsidRDefault="00EC2D18" w:rsidP="00BF0719">
            <w:pPr>
              <w:rPr>
                <w:rFonts w:eastAsia="Calibri" w:cs="Arial"/>
                <w:b/>
                <w:lang w:val="en-GB"/>
              </w:rPr>
            </w:pPr>
            <w:r>
              <w:rPr>
                <w:rFonts w:eastAsia="Calibri" w:cs="Times New Roman"/>
                <w:lang w:val="en-GB"/>
              </w:rPr>
              <w:t xml:space="preserve">as recently applied </w:t>
            </w:r>
            <w:r w:rsidRPr="00DB47CD">
              <w:rPr>
                <w:rFonts w:eastAsia="Calibri" w:cs="Times New Roman"/>
                <w:lang w:val="en-GB"/>
              </w:rPr>
              <w:t>(</w:t>
            </w:r>
            <w:r w:rsidRPr="00DB47CD">
              <w:rPr>
                <w:rFonts w:eastAsia="Calibri" w:cs="Times New Roman"/>
                <w:i/>
                <w:lang w:val="en-GB"/>
              </w:rPr>
              <w:t>Grant et al 2017</w:t>
            </w:r>
            <w:r w:rsidRPr="00DB47CD">
              <w:rPr>
                <w:rFonts w:eastAsia="Calibri" w:cs="Times New Roman"/>
                <w:lang w:val="en-GB"/>
              </w:rPr>
              <w:t>)</w:t>
            </w:r>
          </w:p>
        </w:tc>
        <w:tc>
          <w:tcPr>
            <w:tcW w:w="6662" w:type="dxa"/>
            <w:vAlign w:val="center"/>
          </w:tcPr>
          <w:p w14:paraId="2E2718C1" w14:textId="77777777" w:rsidR="00BF0719" w:rsidRPr="00DB47CD" w:rsidRDefault="00BF0719" w:rsidP="00BF0719">
            <w:pPr>
              <w:jc w:val="center"/>
              <w:rPr>
                <w:rFonts w:eastAsia="Calibri" w:cs="Arial"/>
                <w:lang w:val="en-GB" w:eastAsia="zh-CN"/>
              </w:rPr>
            </w:pPr>
            <m:oMathPara>
              <m:oMath>
                <m:r>
                  <w:rPr>
                    <w:rFonts w:ascii="Cambria Math" w:eastAsia="Calibri" w:hAnsi="Cambria Math" w:cs="Times New Roman"/>
                    <w:lang w:val="en-GB" w:eastAsia="zh-CN"/>
                  </w:rPr>
                  <m:t>EAR</m:t>
                </m:r>
                <m:d>
                  <m:dPr>
                    <m:ctrlPr>
                      <w:rPr>
                        <w:rFonts w:ascii="Cambria Math" w:eastAsia="Calibri" w:hAnsi="Cambria Math" w:cs="Times New Roman"/>
                        <w:i/>
                        <w:lang w:val="en-GB" w:eastAsia="zh-CN"/>
                      </w:rPr>
                    </m:ctrlPr>
                  </m:dPr>
                  <m:e>
                    <m:r>
                      <w:rPr>
                        <w:rFonts w:ascii="Cambria Math" w:eastAsia="Calibri" w:hAnsi="Cambria Math" w:cs="Times New Roman"/>
                        <w:lang w:val="en-GB" w:eastAsia="zh-CN"/>
                      </w:rPr>
                      <m:t>d,a,e,s</m:t>
                    </m:r>
                  </m:e>
                </m:d>
                <m:r>
                  <w:rPr>
                    <w:rFonts w:ascii="Cambria Math" w:eastAsia="Calibri" w:hAnsi="Cambria Math" w:cs="Times New Roman"/>
                    <w:lang w:val="en-GB" w:eastAsia="zh-CN"/>
                  </w:rPr>
                  <m:t>=</m:t>
                </m:r>
                <m:d>
                  <m:dPr>
                    <m:ctrlPr>
                      <w:rPr>
                        <w:rFonts w:ascii="Cambria Math" w:eastAsia="Calibri" w:hAnsi="Cambria Math" w:cs="Times New Roman"/>
                        <w:i/>
                        <w:lang w:val="en-GB" w:eastAsia="zh-CN"/>
                      </w:rPr>
                    </m:ctrlPr>
                  </m:dPr>
                  <m:e>
                    <m:r>
                      <w:rPr>
                        <w:rFonts w:ascii="Cambria Math" w:eastAsia="Calibri" w:hAnsi="Cambria Math" w:cs="Times New Roman"/>
                        <w:lang w:val="en-GB" w:eastAsia="zh-CN"/>
                      </w:rPr>
                      <m:t>1+t s</m:t>
                    </m:r>
                  </m:e>
                </m:d>
                <m:sSub>
                  <m:sSubPr>
                    <m:ctrlPr>
                      <w:rPr>
                        <w:rFonts w:ascii="Cambria Math" w:eastAsia="Calibri" w:hAnsi="Cambria Math" w:cs="Times New Roman"/>
                        <w:i/>
                        <w:lang w:val="en-GB" w:eastAsia="zh-CN"/>
                      </w:rPr>
                    </m:ctrlPr>
                  </m:sSubPr>
                  <m:e>
                    <m:r>
                      <w:rPr>
                        <w:rFonts w:ascii="Cambria Math" w:eastAsia="Calibri" w:hAnsi="Cambria Math" w:cs="Times New Roman"/>
                        <w:lang w:val="en-GB" w:eastAsia="zh-CN"/>
                      </w:rPr>
                      <m:t>k</m:t>
                    </m:r>
                  </m:e>
                  <m:sub>
                    <m:r>
                      <w:rPr>
                        <w:rFonts w:ascii="Cambria Math" w:eastAsia="Calibri" w:hAnsi="Cambria Math" w:cs="Times New Roman"/>
                        <w:lang w:val="en-GB" w:eastAsia="zh-CN"/>
                      </w:rPr>
                      <m:t>d</m:t>
                    </m:r>
                  </m:sub>
                </m:sSub>
                <m:r>
                  <w:rPr>
                    <w:rFonts w:ascii="Cambria Math" w:eastAsia="Calibri" w:hAnsi="Cambria Math" w:cs="Times New Roman"/>
                    <w:lang w:val="en-GB" w:eastAsia="zh-CN"/>
                  </w:rPr>
                  <m:t xml:space="preserve"> d</m:t>
                </m:r>
                <m:func>
                  <m:funcPr>
                    <m:ctrlPr>
                      <w:rPr>
                        <w:rFonts w:ascii="Cambria Math" w:eastAsia="Calibri" w:hAnsi="Cambria Math" w:cs="Times New Roman"/>
                        <w:i/>
                        <w:lang w:val="en-GB" w:eastAsia="zh-CN"/>
                      </w:rPr>
                    </m:ctrlPr>
                  </m:funcPr>
                  <m:fName>
                    <m:r>
                      <m:rPr>
                        <m:sty m:val="p"/>
                      </m:rPr>
                      <w:rPr>
                        <w:rFonts w:ascii="Cambria Math" w:eastAsia="Calibri" w:hAnsi="Cambria Math" w:cs="Times New Roman"/>
                        <w:lang w:val="en-GB" w:eastAsia="zh-CN"/>
                      </w:rPr>
                      <m:t>exp</m:t>
                    </m:r>
                  </m:fName>
                  <m:e>
                    <m:d>
                      <m:dPr>
                        <m:ctrlPr>
                          <w:rPr>
                            <w:rFonts w:ascii="Cambria Math" w:eastAsia="Calibri" w:hAnsi="Cambria Math" w:cs="Times New Roman"/>
                            <w:i/>
                            <w:lang w:val="en-GB" w:eastAsia="zh-CN"/>
                          </w:rPr>
                        </m:ctrlPr>
                      </m:dPr>
                      <m:e>
                        <m:r>
                          <w:rPr>
                            <w:rFonts w:ascii="Cambria Math" w:eastAsia="Calibri" w:hAnsi="Cambria Math" w:cs="Times New Roman"/>
                            <w:lang w:val="en-GB" w:eastAsia="zh-CN"/>
                          </w:rPr>
                          <m:t>-</m:t>
                        </m:r>
                        <m:sSub>
                          <m:sSubPr>
                            <m:ctrlPr>
                              <w:rPr>
                                <w:rFonts w:ascii="Cambria Math" w:eastAsia="Calibri" w:hAnsi="Cambria Math" w:cs="Times New Roman"/>
                                <w:i/>
                                <w:lang w:val="en-GB" w:eastAsia="zh-CN"/>
                              </w:rPr>
                            </m:ctrlPr>
                          </m:sSubPr>
                          <m:e>
                            <m:r>
                              <w:rPr>
                                <w:rFonts w:ascii="Cambria Math" w:eastAsia="Calibri" w:hAnsi="Cambria Math" w:cs="Times New Roman"/>
                                <w:lang w:val="en-GB" w:eastAsia="zh-CN"/>
                              </w:rPr>
                              <m:t>γ</m:t>
                            </m:r>
                          </m:e>
                          <m:sub>
                            <m:r>
                              <w:rPr>
                                <w:rFonts w:ascii="Cambria Math" w:eastAsia="Calibri" w:hAnsi="Cambria Math" w:cs="Times New Roman"/>
                                <w:lang w:val="en-GB" w:eastAsia="zh-CN"/>
                              </w:rPr>
                              <m:t>e</m:t>
                            </m:r>
                          </m:sub>
                        </m:sSub>
                        <m:d>
                          <m:dPr>
                            <m:ctrlPr>
                              <w:rPr>
                                <w:rFonts w:ascii="Cambria Math" w:eastAsia="Calibri" w:hAnsi="Cambria Math" w:cs="Times New Roman"/>
                                <w:i/>
                                <w:lang w:val="en-GB" w:eastAsia="zh-CN"/>
                              </w:rPr>
                            </m:ctrlPr>
                          </m:dPr>
                          <m:e>
                            <m:r>
                              <w:rPr>
                                <w:rFonts w:ascii="Cambria Math" w:eastAsia="Calibri" w:hAnsi="Cambria Math" w:cs="Times New Roman"/>
                                <w:lang w:val="en-GB" w:eastAsia="zh-CN"/>
                              </w:rPr>
                              <m:t>e-30</m:t>
                            </m:r>
                          </m:e>
                        </m:d>
                        <m:r>
                          <w:rPr>
                            <w:rFonts w:ascii="Cambria Math" w:eastAsia="Calibri" w:hAnsi="Cambria Math" w:cs="Times New Roman"/>
                            <w:lang w:val="en-GB" w:eastAsia="zh-CN"/>
                          </w:rPr>
                          <m:t>+</m:t>
                        </m:r>
                        <m:sSub>
                          <m:sSubPr>
                            <m:ctrlPr>
                              <w:rPr>
                                <w:rFonts w:ascii="Cambria Math" w:eastAsia="Calibri" w:hAnsi="Cambria Math" w:cs="Times New Roman"/>
                                <w:i/>
                                <w:lang w:val="en-GB" w:eastAsia="zh-CN"/>
                              </w:rPr>
                            </m:ctrlPr>
                          </m:sSubPr>
                          <m:e>
                            <m:r>
                              <w:rPr>
                                <w:rFonts w:ascii="Cambria Math" w:eastAsia="Calibri" w:hAnsi="Cambria Math" w:cs="Times New Roman"/>
                                <w:lang w:val="en-GB" w:eastAsia="zh-CN"/>
                              </w:rPr>
                              <m:t>γ</m:t>
                            </m:r>
                          </m:e>
                          <m:sub>
                            <m:r>
                              <w:rPr>
                                <w:rFonts w:ascii="Cambria Math" w:eastAsia="Calibri" w:hAnsi="Cambria Math" w:cs="Times New Roman"/>
                                <w:lang w:val="en-GB" w:eastAsia="zh-CN"/>
                              </w:rPr>
                              <m:t>a</m:t>
                            </m:r>
                          </m:sub>
                        </m:sSub>
                        <m:func>
                          <m:funcPr>
                            <m:ctrlPr>
                              <w:rPr>
                                <w:rFonts w:ascii="Cambria Math" w:eastAsia="Calibri" w:hAnsi="Cambria Math" w:cs="Times New Roman"/>
                                <w:i/>
                                <w:lang w:val="en-GB" w:eastAsia="zh-CN"/>
                              </w:rPr>
                            </m:ctrlPr>
                          </m:funcPr>
                          <m:fName>
                            <m:r>
                              <m:rPr>
                                <m:sty m:val="p"/>
                              </m:rPr>
                              <w:rPr>
                                <w:rFonts w:ascii="Cambria Math" w:eastAsia="Calibri" w:hAnsi="Cambria Math" w:cs="Times New Roman"/>
                                <w:lang w:val="en-GB" w:eastAsia="zh-CN"/>
                              </w:rPr>
                              <m:t>ln</m:t>
                            </m:r>
                          </m:fName>
                          <m:e>
                            <m:f>
                              <m:fPr>
                                <m:ctrlPr>
                                  <w:rPr>
                                    <w:rFonts w:ascii="Cambria Math" w:eastAsia="Calibri" w:hAnsi="Cambria Math" w:cs="Times New Roman"/>
                                    <w:i/>
                                    <w:lang w:val="en-GB" w:eastAsia="zh-CN"/>
                                  </w:rPr>
                                </m:ctrlPr>
                              </m:fPr>
                              <m:num>
                                <m:r>
                                  <w:rPr>
                                    <w:rFonts w:ascii="Cambria Math" w:eastAsia="Calibri" w:hAnsi="Cambria Math" w:cs="Times New Roman"/>
                                    <w:lang w:val="en-GB" w:eastAsia="zh-CN"/>
                                  </w:rPr>
                                  <m:t>a</m:t>
                                </m:r>
                              </m:num>
                              <m:den>
                                <m:r>
                                  <w:rPr>
                                    <w:rFonts w:ascii="Cambria Math" w:eastAsia="Calibri" w:hAnsi="Cambria Math" w:cs="Times New Roman"/>
                                    <w:lang w:val="en-GB" w:eastAsia="zh-CN"/>
                                  </w:rPr>
                                  <m:t>70</m:t>
                                </m:r>
                              </m:den>
                            </m:f>
                          </m:e>
                        </m:func>
                      </m:e>
                    </m:d>
                  </m:e>
                </m:func>
              </m:oMath>
            </m:oMathPara>
          </w:p>
        </w:tc>
      </w:tr>
      <w:tr w:rsidR="00BF0719" w:rsidRPr="00132E9F" w14:paraId="17224178" w14:textId="77777777" w:rsidTr="004458DA">
        <w:trPr>
          <w:trHeight w:val="1334"/>
        </w:trPr>
        <w:tc>
          <w:tcPr>
            <w:tcW w:w="2972" w:type="dxa"/>
            <w:vMerge/>
          </w:tcPr>
          <w:p w14:paraId="2BA466BB" w14:textId="77777777" w:rsidR="00BF0719" w:rsidRPr="00DB47CD" w:rsidRDefault="00BF0719" w:rsidP="00BF0719">
            <w:pPr>
              <w:rPr>
                <w:rFonts w:eastAsia="Calibri" w:cs="Times New Roman"/>
                <w:b/>
                <w:lang w:val="en-GB"/>
              </w:rPr>
            </w:pPr>
          </w:p>
        </w:tc>
        <w:tc>
          <w:tcPr>
            <w:tcW w:w="6662" w:type="dxa"/>
          </w:tcPr>
          <w:p w14:paraId="5D05E4A1" w14:textId="77777777" w:rsidR="00BF0719" w:rsidRPr="00DB47CD" w:rsidRDefault="00BF0719" w:rsidP="00BF0719">
            <w:pPr>
              <w:spacing w:after="0"/>
              <w:rPr>
                <w:rFonts w:eastAsia="Calibri" w:cs="Times New Roman"/>
                <w:iCs/>
                <w:lang w:val="en-GB" w:eastAsia="zh-CN"/>
              </w:rPr>
            </w:pPr>
            <w:r w:rsidRPr="00DB47CD">
              <w:rPr>
                <w:rFonts w:eastAsia="Calibri" w:cs="Times New Roman"/>
                <w:iCs/>
                <w:lang w:val="en-GB" w:eastAsia="zh-CN"/>
              </w:rPr>
              <w:t>fit parameters with standard errors are:</w:t>
            </w:r>
          </w:p>
          <w:p w14:paraId="4620E661" w14:textId="77777777" w:rsidR="00BF0719" w:rsidRPr="00DB47CD" w:rsidRDefault="00BF0719" w:rsidP="00BF0719">
            <w:pPr>
              <w:spacing w:after="0"/>
              <w:rPr>
                <w:rFonts w:eastAsia="Calibri" w:cs="Times New Roman"/>
                <w:iCs/>
                <w:lang w:val="en-GB" w:eastAsia="zh-CN"/>
              </w:rPr>
            </w:pPr>
            <w:r w:rsidRPr="00DB47CD">
              <w:rPr>
                <w:rFonts w:eastAsia="Calibri" w:cs="Times New Roman"/>
                <w:i/>
                <w:lang w:val="en-GB" w:eastAsia="zh-CN"/>
              </w:rPr>
              <w:t>t</w:t>
            </w:r>
            <w:r w:rsidRPr="00DB47CD">
              <w:rPr>
                <w:rFonts w:eastAsia="Calibri" w:cs="Times New Roman"/>
                <w:iCs/>
                <w:lang w:val="en-GB" w:eastAsia="zh-CN"/>
              </w:rPr>
              <w:t xml:space="preserve"> = 0.1385</w:t>
            </w:r>
            <w:r w:rsidRPr="00DB47CD">
              <w:rPr>
                <w:rFonts w:eastAsia="Calibri" w:cs="Times New Roman"/>
                <w:iCs/>
                <w:lang w:val="en-GB"/>
              </w:rPr>
              <w:t>±0.06223,</w:t>
            </w:r>
          </w:p>
          <w:p w14:paraId="7732F4AC" w14:textId="77777777" w:rsidR="00BF0719" w:rsidRPr="00DB47CD" w:rsidRDefault="00BF0719" w:rsidP="00BF0719">
            <w:pPr>
              <w:spacing w:after="0"/>
              <w:rPr>
                <w:rFonts w:eastAsia="Calibri" w:cs="Times New Roman"/>
                <w:iCs/>
                <w:lang w:val="en-GB" w:eastAsia="zh-CN"/>
              </w:rPr>
            </w:pPr>
            <w:proofErr w:type="spellStart"/>
            <w:r w:rsidRPr="00DB47CD">
              <w:rPr>
                <w:rFonts w:eastAsia="Calibri" w:cs="Times New Roman"/>
                <w:i/>
                <w:lang w:val="en-GB" w:eastAsia="zh-CN"/>
              </w:rPr>
              <w:t>k</w:t>
            </w:r>
            <w:r w:rsidRPr="00DB47CD">
              <w:rPr>
                <w:rFonts w:eastAsia="Calibri" w:cs="Times New Roman"/>
                <w:i/>
                <w:vertAlign w:val="subscript"/>
                <w:lang w:val="en-GB" w:eastAsia="zh-CN"/>
              </w:rPr>
              <w:t>d</w:t>
            </w:r>
            <w:proofErr w:type="spellEnd"/>
            <w:r w:rsidRPr="00DB47CD">
              <w:rPr>
                <w:rFonts w:eastAsia="Calibri" w:cs="Times New Roman"/>
                <w:i/>
                <w:vertAlign w:val="subscript"/>
                <w:lang w:val="en-GB" w:eastAsia="zh-CN"/>
              </w:rPr>
              <w:t xml:space="preserve"> </w:t>
            </w:r>
            <w:r w:rsidRPr="00DB47CD">
              <w:rPr>
                <w:rFonts w:eastAsia="Calibri" w:cs="Times New Roman"/>
                <w:iCs/>
                <w:lang w:val="en-GB" w:eastAsia="zh-CN"/>
              </w:rPr>
              <w:t xml:space="preserve">= </w:t>
            </w:r>
            <w:r w:rsidRPr="00DB47CD">
              <w:rPr>
                <w:rFonts w:eastAsia="Calibri" w:cs="Times New Roman"/>
                <w:iCs/>
                <w:lang w:val="en-GB"/>
              </w:rPr>
              <w:t>53.31±4.772</w:t>
            </w:r>
            <w:r w:rsidRPr="00DB47CD">
              <w:rPr>
                <w:rFonts w:eastAsia="Calibri" w:cs="Times New Roman"/>
                <w:iCs/>
                <w:lang w:val="en-GB" w:eastAsia="zh-CN"/>
              </w:rPr>
              <w:t>,</w:t>
            </w:r>
          </w:p>
          <w:p w14:paraId="78E157BA" w14:textId="77777777" w:rsidR="00BF0719" w:rsidRPr="00DB47CD" w:rsidRDefault="007228EB" w:rsidP="00BF0719">
            <w:pPr>
              <w:spacing w:after="0"/>
              <w:rPr>
                <w:rFonts w:eastAsia="Calibri" w:cs="Times New Roman"/>
                <w:iCs/>
                <w:lang w:val="en-GB" w:eastAsia="zh-CN"/>
              </w:rPr>
            </w:pPr>
            <m:oMath>
              <m:sSub>
                <m:sSubPr>
                  <m:ctrlPr>
                    <w:rPr>
                      <w:rFonts w:ascii="Cambria Math" w:eastAsia="Calibri" w:hAnsi="Cambria Math" w:cs="Times New Roman"/>
                      <w:i/>
                      <w:lang w:val="en-GB" w:eastAsia="zh-CN"/>
                    </w:rPr>
                  </m:ctrlPr>
                </m:sSubPr>
                <m:e>
                  <m:r>
                    <w:rPr>
                      <w:rFonts w:ascii="Cambria Math" w:eastAsia="Calibri" w:hAnsi="Cambria Math" w:cs="Times New Roman"/>
                      <w:lang w:val="en-GB" w:eastAsia="zh-CN"/>
                    </w:rPr>
                    <m:t>γ</m:t>
                  </m:r>
                </m:e>
                <m:sub>
                  <m:r>
                    <w:rPr>
                      <w:rFonts w:ascii="Cambria Math" w:eastAsia="Calibri" w:hAnsi="Cambria Math" w:cs="Times New Roman"/>
                      <w:lang w:val="en-GB" w:eastAsia="zh-CN"/>
                    </w:rPr>
                    <m:t>e</m:t>
                  </m:r>
                </m:sub>
              </m:sSub>
            </m:oMath>
            <w:r w:rsidR="00BF0719" w:rsidRPr="00DB47CD">
              <w:rPr>
                <w:rFonts w:eastAsia="Calibri" w:cs="Times New Roman"/>
                <w:iCs/>
                <w:lang w:val="en-GB" w:eastAsia="zh-CN"/>
              </w:rPr>
              <w:t xml:space="preserve"> = </w:t>
            </w:r>
            <w:r w:rsidR="00BF0719" w:rsidRPr="00DB47CD">
              <w:rPr>
                <w:rFonts w:eastAsia="Calibri" w:cs="Times New Roman"/>
                <w:iCs/>
                <w:lang w:val="en-GB"/>
              </w:rPr>
              <w:t>0.03195±0.005086,</w:t>
            </w:r>
          </w:p>
          <w:p w14:paraId="77EF747A" w14:textId="77777777" w:rsidR="00BF0719" w:rsidRPr="00DB47CD" w:rsidRDefault="007228EB" w:rsidP="00BF0719">
            <w:pPr>
              <w:spacing w:after="0"/>
              <w:rPr>
                <w:rFonts w:eastAsia="Calibri" w:cs="Times New Roman"/>
                <w:iCs/>
                <w:lang w:val="en-GB"/>
              </w:rPr>
            </w:pPr>
            <m:oMath>
              <m:sSub>
                <m:sSubPr>
                  <m:ctrlPr>
                    <w:rPr>
                      <w:rFonts w:ascii="Cambria Math" w:eastAsia="Calibri" w:hAnsi="Cambria Math" w:cs="Times New Roman"/>
                      <w:i/>
                      <w:lang w:val="en-GB" w:eastAsia="zh-CN"/>
                    </w:rPr>
                  </m:ctrlPr>
                </m:sSubPr>
                <m:e>
                  <m:r>
                    <w:rPr>
                      <w:rFonts w:ascii="Cambria Math" w:eastAsia="Calibri" w:hAnsi="Cambria Math" w:cs="Times New Roman"/>
                      <w:lang w:val="en-GB" w:eastAsia="zh-CN"/>
                    </w:rPr>
                    <m:t>γ</m:t>
                  </m:r>
                </m:e>
                <m:sub>
                  <m:r>
                    <w:rPr>
                      <w:rFonts w:ascii="Cambria Math" w:eastAsia="Calibri" w:hAnsi="Cambria Math" w:cs="Times New Roman"/>
                      <w:lang w:val="en-GB" w:eastAsia="zh-CN"/>
                    </w:rPr>
                    <m:t>a</m:t>
                  </m:r>
                </m:sub>
              </m:sSub>
            </m:oMath>
            <w:r w:rsidR="00BF0719" w:rsidRPr="00DB47CD">
              <w:rPr>
                <w:rFonts w:eastAsia="Calibri" w:cs="Times New Roman"/>
                <w:iCs/>
                <w:lang w:val="en-GB" w:eastAsia="zh-CN"/>
              </w:rPr>
              <w:t xml:space="preserve"> = </w:t>
            </w:r>
            <w:r w:rsidR="00BF0719" w:rsidRPr="00DB47CD">
              <w:rPr>
                <w:rFonts w:eastAsia="Calibri" w:cs="Times New Roman"/>
                <w:iCs/>
                <w:lang w:val="en-GB"/>
              </w:rPr>
              <w:t xml:space="preserve">2.350±0.2097 </w:t>
            </w:r>
          </w:p>
          <w:p w14:paraId="38545A8A" w14:textId="77777777" w:rsidR="00BF0719" w:rsidRPr="00DB47CD" w:rsidRDefault="00BF0719" w:rsidP="00BF0719">
            <w:pPr>
              <w:autoSpaceDE w:val="0"/>
              <w:autoSpaceDN w:val="0"/>
              <w:adjustRightInd w:val="0"/>
              <w:spacing w:after="0"/>
              <w:rPr>
                <w:rFonts w:eastAsia="Calibri" w:cs="Times New Roman"/>
                <w:lang w:val="en-GB"/>
              </w:rPr>
            </w:pPr>
            <w:r w:rsidRPr="00DB47CD">
              <w:rPr>
                <w:rFonts w:eastAsia="Calibri" w:cs="Times New Roman"/>
                <w:lang w:val="en-GB"/>
              </w:rPr>
              <w:t xml:space="preserve">(deviance = 57405.1, </w:t>
            </w:r>
            <w:proofErr w:type="spellStart"/>
            <w:r w:rsidRPr="00DB47CD">
              <w:rPr>
                <w:rFonts w:eastAsia="Calibri" w:cs="Times New Roman"/>
                <w:lang w:val="en-GB"/>
              </w:rPr>
              <w:t>df</w:t>
            </w:r>
            <w:proofErr w:type="spellEnd"/>
            <w:r w:rsidRPr="00DB47CD">
              <w:rPr>
                <w:rFonts w:eastAsia="Calibri" w:cs="Times New Roman"/>
                <w:lang w:val="en-GB"/>
              </w:rPr>
              <w:t xml:space="preserve"> = 185095)</w:t>
            </w:r>
          </w:p>
        </w:tc>
      </w:tr>
    </w:tbl>
    <w:p w14:paraId="75C94371" w14:textId="77777777" w:rsidR="00BF0719" w:rsidRPr="00DB47CD" w:rsidRDefault="00BF0719" w:rsidP="00BF0719">
      <w:pPr>
        <w:autoSpaceDE w:val="0"/>
        <w:autoSpaceDN w:val="0"/>
        <w:adjustRightInd w:val="0"/>
        <w:spacing w:after="0"/>
        <w:rPr>
          <w:rFonts w:eastAsia="Calibri" w:cs="Times New Roman"/>
          <w:szCs w:val="24"/>
          <w:lang w:val="en-GB"/>
        </w:rPr>
      </w:pPr>
    </w:p>
    <w:p w14:paraId="452D39BD" w14:textId="254655DC" w:rsidR="00BF0719" w:rsidRPr="00DB47CD" w:rsidRDefault="00BF0719" w:rsidP="00BF0719">
      <w:pPr>
        <w:autoSpaceDE w:val="0"/>
        <w:autoSpaceDN w:val="0"/>
        <w:adjustRightInd w:val="0"/>
        <w:spacing w:after="0"/>
        <w:rPr>
          <w:rFonts w:eastAsia="Calibri" w:cs="Times New Roman"/>
          <w:sz w:val="28"/>
          <w:szCs w:val="28"/>
          <w:lang w:val="en-GB"/>
        </w:rPr>
      </w:pPr>
      <w:r w:rsidRPr="00DB47CD">
        <w:rPr>
          <w:rFonts w:eastAsia="Calibri" w:cs="Times New Roman"/>
          <w:sz w:val="28"/>
          <w:szCs w:val="28"/>
          <w:lang w:val="en-GB"/>
        </w:rPr>
        <w:t>References</w:t>
      </w:r>
    </w:p>
    <w:p w14:paraId="730CF2E1" w14:textId="77777777" w:rsidR="00BF0719" w:rsidRPr="00DB47CD" w:rsidRDefault="00BF0719" w:rsidP="00BF0719">
      <w:pPr>
        <w:autoSpaceDE w:val="0"/>
        <w:autoSpaceDN w:val="0"/>
        <w:adjustRightInd w:val="0"/>
        <w:spacing w:after="0"/>
        <w:rPr>
          <w:rFonts w:eastAsia="Calibri" w:cs="Times New Roman"/>
          <w:szCs w:val="24"/>
          <w:lang w:val="en-GB"/>
        </w:rPr>
      </w:pPr>
    </w:p>
    <w:p w14:paraId="52CE9F2B"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Ashley SF, Vaughan GJ, </w:t>
      </w:r>
      <w:proofErr w:type="spellStart"/>
      <w:r w:rsidRPr="00DB47CD">
        <w:rPr>
          <w:rFonts w:eastAsia="Calibri" w:cs="Times New Roman"/>
          <w:szCs w:val="24"/>
          <w:lang w:val="en-GB"/>
        </w:rPr>
        <w:t>Nuttall</w:t>
      </w:r>
      <w:proofErr w:type="spellEnd"/>
      <w:r w:rsidRPr="00DB47CD">
        <w:rPr>
          <w:rFonts w:eastAsia="Calibri" w:cs="Times New Roman"/>
          <w:szCs w:val="24"/>
          <w:lang w:val="en-GB"/>
        </w:rPr>
        <w:t xml:space="preserve"> WJ, Thomas PJ (2017) Considerations in relation to off-site emergency procedures and responses for nuclear accidents. Process Safety and Environmental Protection 112:77–95</w:t>
      </w:r>
    </w:p>
    <w:p w14:paraId="7F4811E1" w14:textId="77777777" w:rsidR="00BF0719" w:rsidRPr="00DB47CD" w:rsidRDefault="00BF0719" w:rsidP="00BF0719">
      <w:pPr>
        <w:autoSpaceDE w:val="0"/>
        <w:autoSpaceDN w:val="0"/>
        <w:adjustRightInd w:val="0"/>
        <w:spacing w:after="0"/>
        <w:rPr>
          <w:rFonts w:eastAsia="Calibri" w:cs="Times New Roman"/>
          <w:szCs w:val="24"/>
          <w:lang w:val="en-GB"/>
        </w:rPr>
      </w:pPr>
      <w:proofErr w:type="spellStart"/>
      <w:r w:rsidRPr="00132E9F">
        <w:rPr>
          <w:rFonts w:eastAsia="Calibri" w:cs="Times New Roman"/>
          <w:szCs w:val="24"/>
          <w:lang w:val="en-US"/>
        </w:rPr>
        <w:t>Ehrhardt</w:t>
      </w:r>
      <w:proofErr w:type="spellEnd"/>
      <w:r w:rsidRPr="00132E9F">
        <w:rPr>
          <w:rFonts w:eastAsia="Calibri" w:cs="Times New Roman"/>
          <w:szCs w:val="24"/>
          <w:lang w:val="en-US"/>
        </w:rPr>
        <w:t xml:space="preserve"> J, Weis A (eds.) </w:t>
      </w:r>
      <w:r w:rsidRPr="00DB47CD">
        <w:rPr>
          <w:rFonts w:eastAsia="Calibri" w:cs="Times New Roman"/>
          <w:szCs w:val="24"/>
          <w:lang w:val="en-GB"/>
        </w:rPr>
        <w:t>(2000) RODOS: Decision Support System for Off-Site Nuclear Emergency Management in Europe, Final report of the RODOS project, European Commission, Brussels. Report EUR 19144, ISBN No. 92-828-9773-7, includes 2 CDs with all the technical details of the RODOS Systems</w:t>
      </w:r>
    </w:p>
    <w:p w14:paraId="3E27FB48"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Grant EJ, Brenner A, Sugiyama H, Sakata R, </w:t>
      </w:r>
      <w:proofErr w:type="spellStart"/>
      <w:r w:rsidRPr="00DB47CD">
        <w:rPr>
          <w:rFonts w:eastAsia="Calibri" w:cs="Times New Roman"/>
          <w:szCs w:val="24"/>
          <w:lang w:val="en-GB"/>
        </w:rPr>
        <w:t>Sadakane</w:t>
      </w:r>
      <w:proofErr w:type="spellEnd"/>
      <w:r w:rsidRPr="00DB47CD">
        <w:rPr>
          <w:rFonts w:eastAsia="Calibri" w:cs="Times New Roman"/>
          <w:szCs w:val="24"/>
          <w:lang w:val="en-GB"/>
        </w:rPr>
        <w:t xml:space="preserve"> A, </w:t>
      </w:r>
      <w:proofErr w:type="spellStart"/>
      <w:r w:rsidRPr="00DB47CD">
        <w:rPr>
          <w:rFonts w:eastAsia="Calibri" w:cs="Times New Roman"/>
          <w:szCs w:val="24"/>
          <w:lang w:val="en-GB"/>
        </w:rPr>
        <w:t>Utada</w:t>
      </w:r>
      <w:proofErr w:type="spellEnd"/>
      <w:r w:rsidRPr="00DB47CD">
        <w:rPr>
          <w:rFonts w:eastAsia="Calibri" w:cs="Times New Roman"/>
          <w:szCs w:val="24"/>
          <w:lang w:val="en-GB"/>
        </w:rPr>
        <w:t xml:space="preserve"> M, </w:t>
      </w:r>
      <w:proofErr w:type="spellStart"/>
      <w:r w:rsidRPr="00DB47CD">
        <w:rPr>
          <w:rFonts w:eastAsia="Calibri" w:cs="Times New Roman"/>
          <w:szCs w:val="24"/>
          <w:lang w:val="en-GB"/>
        </w:rPr>
        <w:t>Cahoon</w:t>
      </w:r>
      <w:proofErr w:type="spellEnd"/>
      <w:r w:rsidRPr="00DB47CD">
        <w:rPr>
          <w:rFonts w:eastAsia="Calibri" w:cs="Times New Roman"/>
          <w:szCs w:val="24"/>
          <w:lang w:val="en-GB"/>
        </w:rPr>
        <w:t xml:space="preserve"> EK, Milder CM, Soda M, </w:t>
      </w:r>
      <w:proofErr w:type="spellStart"/>
      <w:r w:rsidRPr="00DB47CD">
        <w:rPr>
          <w:rFonts w:eastAsia="Calibri" w:cs="Times New Roman"/>
          <w:szCs w:val="24"/>
          <w:lang w:val="en-GB"/>
        </w:rPr>
        <w:t>Cullings</w:t>
      </w:r>
      <w:proofErr w:type="spellEnd"/>
      <w:r w:rsidRPr="00DB47CD">
        <w:rPr>
          <w:rFonts w:eastAsia="Calibri" w:cs="Times New Roman"/>
          <w:szCs w:val="24"/>
          <w:lang w:val="en-GB"/>
        </w:rPr>
        <w:t xml:space="preserve"> HM, Preston DL, Mabuchi K, </w:t>
      </w:r>
      <w:proofErr w:type="spellStart"/>
      <w:r w:rsidRPr="00DB47CD">
        <w:rPr>
          <w:rFonts w:eastAsia="Calibri" w:cs="Times New Roman"/>
          <w:szCs w:val="24"/>
          <w:lang w:val="en-GB"/>
        </w:rPr>
        <w:t>Ozasa</w:t>
      </w:r>
      <w:proofErr w:type="spellEnd"/>
      <w:r w:rsidRPr="00DB47CD">
        <w:rPr>
          <w:rFonts w:eastAsia="Calibri" w:cs="Times New Roman"/>
          <w:szCs w:val="24"/>
          <w:lang w:val="en-GB"/>
        </w:rPr>
        <w:t xml:space="preserve"> K (2017) Solid Cancer Incidence among the Life Span Study of Atomic Bomb Survivors: 1958–2009. </w:t>
      </w:r>
      <w:proofErr w:type="spellStart"/>
      <w:r w:rsidRPr="00DB47CD">
        <w:rPr>
          <w:rFonts w:eastAsia="Calibri" w:cs="Times New Roman"/>
          <w:szCs w:val="24"/>
          <w:lang w:val="en-GB"/>
        </w:rPr>
        <w:t>Radiat</w:t>
      </w:r>
      <w:proofErr w:type="spellEnd"/>
      <w:r w:rsidRPr="00DB47CD">
        <w:rPr>
          <w:rFonts w:eastAsia="Calibri" w:cs="Times New Roman"/>
          <w:szCs w:val="24"/>
          <w:lang w:val="en-GB"/>
        </w:rPr>
        <w:t xml:space="preserve"> Res 187(5):513-537</w:t>
      </w:r>
    </w:p>
    <w:p w14:paraId="08DCD2C6" w14:textId="77777777" w:rsidR="00BF0719" w:rsidRPr="00DB47CD" w:rsidRDefault="00BF0719" w:rsidP="00BF0719">
      <w:pPr>
        <w:ind w:hanging="11"/>
        <w:rPr>
          <w:rFonts w:eastAsia="Calibri" w:cs="Times New Roman"/>
          <w:szCs w:val="24"/>
          <w:lang w:val="en-GB"/>
        </w:rPr>
      </w:pPr>
      <w:r w:rsidRPr="00DB47CD">
        <w:rPr>
          <w:rFonts w:eastAsia="Calibri" w:cs="Times New Roman"/>
          <w:szCs w:val="24"/>
          <w:lang w:val="en-GB"/>
        </w:rPr>
        <w:t xml:space="preserve">Harada KH, </w:t>
      </w:r>
      <w:proofErr w:type="spellStart"/>
      <w:r w:rsidRPr="00DB47CD">
        <w:rPr>
          <w:rFonts w:eastAsia="Calibri" w:cs="Times New Roman"/>
          <w:szCs w:val="24"/>
          <w:lang w:val="en-GB"/>
        </w:rPr>
        <w:t>Niisoe</w:t>
      </w:r>
      <w:proofErr w:type="spellEnd"/>
      <w:r w:rsidRPr="00DB47CD">
        <w:rPr>
          <w:rFonts w:eastAsia="Calibri" w:cs="Times New Roman"/>
          <w:szCs w:val="24"/>
          <w:lang w:val="en-GB"/>
        </w:rPr>
        <w:t xml:space="preserve"> T, </w:t>
      </w:r>
      <w:proofErr w:type="spellStart"/>
      <w:r w:rsidRPr="00DB47CD">
        <w:rPr>
          <w:rFonts w:eastAsia="Calibri" w:cs="Times New Roman"/>
          <w:szCs w:val="24"/>
          <w:lang w:val="en-GB"/>
        </w:rPr>
        <w:t>Imanaka</w:t>
      </w:r>
      <w:proofErr w:type="spellEnd"/>
      <w:r w:rsidRPr="00DB47CD">
        <w:rPr>
          <w:rFonts w:eastAsia="Calibri" w:cs="Times New Roman"/>
          <w:szCs w:val="24"/>
          <w:lang w:val="en-GB"/>
        </w:rPr>
        <w:t xml:space="preserve"> M, </w:t>
      </w:r>
      <w:proofErr w:type="spellStart"/>
      <w:r w:rsidRPr="00DB47CD">
        <w:rPr>
          <w:rFonts w:eastAsia="Calibri" w:cs="Times New Roman"/>
          <w:szCs w:val="24"/>
          <w:lang w:val="en-GB"/>
        </w:rPr>
        <w:t>Takahashid</w:t>
      </w:r>
      <w:proofErr w:type="spellEnd"/>
      <w:r w:rsidRPr="00DB47CD">
        <w:rPr>
          <w:rFonts w:eastAsia="Calibri" w:cs="Times New Roman"/>
          <w:szCs w:val="24"/>
          <w:lang w:val="en-GB"/>
        </w:rPr>
        <w:t xml:space="preserve"> T, </w:t>
      </w:r>
      <w:proofErr w:type="spellStart"/>
      <w:r w:rsidRPr="00DB47CD">
        <w:rPr>
          <w:rFonts w:eastAsia="Calibri" w:cs="Times New Roman"/>
          <w:szCs w:val="24"/>
          <w:lang w:val="en-GB"/>
        </w:rPr>
        <w:t>Amakoe</w:t>
      </w:r>
      <w:proofErr w:type="spellEnd"/>
      <w:r w:rsidRPr="00DB47CD">
        <w:rPr>
          <w:rFonts w:eastAsia="Calibri" w:cs="Times New Roman"/>
          <w:szCs w:val="24"/>
          <w:lang w:val="en-GB"/>
        </w:rPr>
        <w:t xml:space="preserve"> K, </w:t>
      </w:r>
      <w:proofErr w:type="spellStart"/>
      <w:r w:rsidRPr="00DB47CD">
        <w:rPr>
          <w:rFonts w:eastAsia="Calibri" w:cs="Times New Roman"/>
          <w:szCs w:val="24"/>
          <w:lang w:val="en-GB"/>
        </w:rPr>
        <w:t>Fujiia</w:t>
      </w:r>
      <w:proofErr w:type="spellEnd"/>
      <w:r w:rsidRPr="00DB47CD">
        <w:rPr>
          <w:rFonts w:eastAsia="Calibri" w:cs="Times New Roman"/>
          <w:szCs w:val="24"/>
          <w:lang w:val="en-GB"/>
        </w:rPr>
        <w:t xml:space="preserve"> Y, </w:t>
      </w:r>
      <w:proofErr w:type="spellStart"/>
      <w:r w:rsidRPr="00DB47CD">
        <w:rPr>
          <w:rFonts w:eastAsia="Calibri" w:cs="Times New Roman"/>
          <w:szCs w:val="24"/>
          <w:lang w:val="en-GB"/>
        </w:rPr>
        <w:t>Kanameishia</w:t>
      </w:r>
      <w:proofErr w:type="spellEnd"/>
      <w:r w:rsidRPr="00DB47CD">
        <w:rPr>
          <w:rFonts w:eastAsia="Calibri" w:cs="Times New Roman"/>
          <w:szCs w:val="24"/>
          <w:lang w:val="en-GB"/>
        </w:rPr>
        <w:t xml:space="preserve"> M, </w:t>
      </w:r>
      <w:proofErr w:type="spellStart"/>
      <w:r w:rsidRPr="00DB47CD">
        <w:rPr>
          <w:rFonts w:eastAsia="Calibri" w:cs="Times New Roman"/>
          <w:szCs w:val="24"/>
          <w:lang w:val="en-GB"/>
        </w:rPr>
        <w:t>Ohsef</w:t>
      </w:r>
      <w:proofErr w:type="spellEnd"/>
      <w:r w:rsidRPr="00DB47CD">
        <w:rPr>
          <w:rFonts w:eastAsia="Calibri" w:cs="Times New Roman"/>
          <w:szCs w:val="24"/>
          <w:lang w:val="en-GB"/>
        </w:rPr>
        <w:t xml:space="preserve"> K, </w:t>
      </w:r>
      <w:proofErr w:type="spellStart"/>
      <w:r w:rsidRPr="00DB47CD">
        <w:rPr>
          <w:rFonts w:eastAsia="Calibri" w:cs="Times New Roman"/>
          <w:szCs w:val="24"/>
          <w:lang w:val="en-GB"/>
        </w:rPr>
        <w:t>Nakaif</w:t>
      </w:r>
      <w:proofErr w:type="spellEnd"/>
      <w:r w:rsidRPr="00DB47CD">
        <w:rPr>
          <w:rFonts w:eastAsia="Calibri" w:cs="Times New Roman"/>
          <w:szCs w:val="24"/>
          <w:lang w:val="en-GB"/>
        </w:rPr>
        <w:t xml:space="preserve"> Y, </w:t>
      </w:r>
      <w:proofErr w:type="spellStart"/>
      <w:r w:rsidRPr="00DB47CD">
        <w:rPr>
          <w:rFonts w:eastAsia="Calibri" w:cs="Times New Roman"/>
          <w:szCs w:val="24"/>
          <w:lang w:val="en-GB"/>
        </w:rPr>
        <w:t>Nishikawaf</w:t>
      </w:r>
      <w:proofErr w:type="spellEnd"/>
      <w:r w:rsidRPr="00DB47CD">
        <w:rPr>
          <w:rFonts w:eastAsia="Calibri" w:cs="Times New Roman"/>
          <w:szCs w:val="24"/>
          <w:lang w:val="en-GB"/>
        </w:rPr>
        <w:t xml:space="preserve"> T, </w:t>
      </w:r>
      <w:proofErr w:type="spellStart"/>
      <w:r w:rsidRPr="00DB47CD">
        <w:rPr>
          <w:rFonts w:eastAsia="Calibri" w:cs="Times New Roman"/>
          <w:szCs w:val="24"/>
          <w:lang w:val="en-GB"/>
        </w:rPr>
        <w:t>Saitof</w:t>
      </w:r>
      <w:proofErr w:type="spellEnd"/>
      <w:r w:rsidRPr="00DB47CD">
        <w:rPr>
          <w:rFonts w:eastAsia="Calibri" w:cs="Times New Roman"/>
          <w:szCs w:val="24"/>
          <w:lang w:val="en-GB"/>
        </w:rPr>
        <w:t xml:space="preserve"> Y, </w:t>
      </w:r>
      <w:proofErr w:type="spellStart"/>
      <w:r w:rsidRPr="00DB47CD">
        <w:rPr>
          <w:rFonts w:eastAsia="Calibri" w:cs="Times New Roman"/>
          <w:szCs w:val="24"/>
          <w:lang w:val="en-GB"/>
        </w:rPr>
        <w:t>Sakamotog</w:t>
      </w:r>
      <w:proofErr w:type="spellEnd"/>
      <w:r w:rsidRPr="00DB47CD">
        <w:rPr>
          <w:rFonts w:eastAsia="Calibri" w:cs="Times New Roman"/>
          <w:szCs w:val="24"/>
          <w:lang w:val="en-GB"/>
        </w:rPr>
        <w:t xml:space="preserve"> H, </w:t>
      </w:r>
      <w:proofErr w:type="spellStart"/>
      <w:r w:rsidRPr="00DB47CD">
        <w:rPr>
          <w:rFonts w:eastAsia="Calibri" w:cs="Times New Roman"/>
          <w:szCs w:val="24"/>
          <w:lang w:val="en-GB"/>
        </w:rPr>
        <w:t>Ueyamah</w:t>
      </w:r>
      <w:proofErr w:type="spellEnd"/>
      <w:r w:rsidRPr="00DB47CD">
        <w:rPr>
          <w:rFonts w:eastAsia="Calibri" w:cs="Times New Roman"/>
          <w:szCs w:val="24"/>
          <w:lang w:val="en-GB"/>
        </w:rPr>
        <w:t xml:space="preserve"> K, </w:t>
      </w:r>
      <w:proofErr w:type="spellStart"/>
      <w:r w:rsidRPr="00DB47CD">
        <w:rPr>
          <w:rFonts w:eastAsia="Calibri" w:cs="Times New Roman"/>
          <w:szCs w:val="24"/>
          <w:lang w:val="en-GB"/>
        </w:rPr>
        <w:t>Hisakii</w:t>
      </w:r>
      <w:proofErr w:type="spellEnd"/>
      <w:r w:rsidRPr="00DB47CD">
        <w:rPr>
          <w:rFonts w:eastAsia="Calibri" w:cs="Times New Roman"/>
          <w:szCs w:val="24"/>
          <w:lang w:val="en-GB"/>
        </w:rPr>
        <w:t xml:space="preserve"> K, </w:t>
      </w:r>
      <w:proofErr w:type="spellStart"/>
      <w:r w:rsidRPr="00DB47CD">
        <w:rPr>
          <w:rFonts w:eastAsia="Calibri" w:cs="Times New Roman"/>
          <w:szCs w:val="24"/>
          <w:lang w:val="en-GB"/>
        </w:rPr>
        <w:t>Oharai</w:t>
      </w:r>
      <w:proofErr w:type="spellEnd"/>
      <w:r w:rsidRPr="00DB47CD">
        <w:rPr>
          <w:rFonts w:eastAsia="Calibri" w:cs="Times New Roman"/>
          <w:szCs w:val="24"/>
          <w:lang w:val="en-GB"/>
        </w:rPr>
        <w:t xml:space="preserve"> E, </w:t>
      </w:r>
      <w:proofErr w:type="spellStart"/>
      <w:r w:rsidRPr="00DB47CD">
        <w:rPr>
          <w:rFonts w:eastAsia="Calibri" w:cs="Times New Roman"/>
          <w:szCs w:val="24"/>
          <w:lang w:val="en-GB"/>
        </w:rPr>
        <w:t>Inouej</w:t>
      </w:r>
      <w:proofErr w:type="spellEnd"/>
      <w:r w:rsidRPr="00DB47CD">
        <w:rPr>
          <w:rFonts w:eastAsia="Calibri" w:cs="Times New Roman"/>
          <w:szCs w:val="24"/>
          <w:lang w:val="en-GB"/>
        </w:rPr>
        <w:t xml:space="preserve"> T, </w:t>
      </w:r>
      <w:proofErr w:type="spellStart"/>
      <w:r w:rsidRPr="00DB47CD">
        <w:rPr>
          <w:rFonts w:eastAsia="Calibri" w:cs="Times New Roman"/>
          <w:szCs w:val="24"/>
          <w:lang w:val="en-GB"/>
        </w:rPr>
        <w:t>Yamamotok</w:t>
      </w:r>
      <w:proofErr w:type="spellEnd"/>
      <w:r w:rsidRPr="00DB47CD">
        <w:rPr>
          <w:rFonts w:eastAsia="Calibri" w:cs="Times New Roman"/>
          <w:szCs w:val="24"/>
          <w:lang w:val="en-GB"/>
        </w:rPr>
        <w:t xml:space="preserve"> K, </w:t>
      </w:r>
      <w:proofErr w:type="spellStart"/>
      <w:r w:rsidRPr="00DB47CD">
        <w:rPr>
          <w:rFonts w:eastAsia="Calibri" w:cs="Times New Roman"/>
          <w:szCs w:val="24"/>
          <w:lang w:val="en-GB"/>
        </w:rPr>
        <w:t>Matsuokal</w:t>
      </w:r>
      <w:proofErr w:type="spellEnd"/>
      <w:r w:rsidRPr="00DB47CD">
        <w:rPr>
          <w:rFonts w:eastAsia="Calibri" w:cs="Times New Roman"/>
          <w:szCs w:val="24"/>
          <w:lang w:val="en-GB"/>
        </w:rPr>
        <w:t xml:space="preserve"> Y, </w:t>
      </w:r>
      <w:proofErr w:type="spellStart"/>
      <w:r w:rsidRPr="00DB47CD">
        <w:rPr>
          <w:rFonts w:eastAsia="Calibri" w:cs="Times New Roman"/>
          <w:szCs w:val="24"/>
          <w:lang w:val="en-GB"/>
        </w:rPr>
        <w:t>Ohatae</w:t>
      </w:r>
      <w:proofErr w:type="spellEnd"/>
      <w:r w:rsidRPr="00DB47CD">
        <w:rPr>
          <w:rFonts w:eastAsia="Calibri" w:cs="Times New Roman"/>
          <w:szCs w:val="24"/>
          <w:lang w:val="en-GB"/>
        </w:rPr>
        <w:t xml:space="preserve"> H, </w:t>
      </w:r>
      <w:proofErr w:type="spellStart"/>
      <w:r w:rsidRPr="00DB47CD">
        <w:rPr>
          <w:rFonts w:eastAsia="Calibri" w:cs="Times New Roman"/>
          <w:szCs w:val="24"/>
          <w:lang w:val="en-GB"/>
        </w:rPr>
        <w:t>Toshimam</w:t>
      </w:r>
      <w:proofErr w:type="spellEnd"/>
      <w:r w:rsidRPr="00DB47CD">
        <w:rPr>
          <w:rFonts w:eastAsia="Calibri" w:cs="Times New Roman"/>
          <w:szCs w:val="24"/>
          <w:lang w:val="en-GB"/>
        </w:rPr>
        <w:t xml:space="preserve"> K, </w:t>
      </w:r>
      <w:proofErr w:type="spellStart"/>
      <w:r w:rsidRPr="00DB47CD">
        <w:rPr>
          <w:rFonts w:eastAsia="Calibri" w:cs="Times New Roman"/>
          <w:szCs w:val="24"/>
          <w:lang w:val="en-GB"/>
        </w:rPr>
        <w:t>Okadan</w:t>
      </w:r>
      <w:proofErr w:type="spellEnd"/>
      <w:r w:rsidRPr="00DB47CD">
        <w:rPr>
          <w:rFonts w:eastAsia="Calibri" w:cs="Times New Roman"/>
          <w:szCs w:val="24"/>
          <w:lang w:val="en-GB"/>
        </w:rPr>
        <w:t xml:space="preserve"> A, </w:t>
      </w:r>
      <w:proofErr w:type="spellStart"/>
      <w:r w:rsidRPr="00DB47CD">
        <w:rPr>
          <w:rFonts w:eastAsia="Calibri" w:cs="Times New Roman"/>
          <w:szCs w:val="24"/>
          <w:lang w:val="en-GB"/>
        </w:rPr>
        <w:t>Satoo</w:t>
      </w:r>
      <w:proofErr w:type="spellEnd"/>
      <w:r w:rsidRPr="00DB47CD">
        <w:rPr>
          <w:rFonts w:eastAsia="Calibri" w:cs="Times New Roman"/>
          <w:szCs w:val="24"/>
          <w:lang w:val="en-GB"/>
        </w:rPr>
        <w:t xml:space="preserve"> H, </w:t>
      </w:r>
      <w:proofErr w:type="spellStart"/>
      <w:r w:rsidRPr="00DB47CD">
        <w:rPr>
          <w:rFonts w:eastAsia="Calibri" w:cs="Times New Roman"/>
          <w:szCs w:val="24"/>
          <w:lang w:val="en-GB"/>
        </w:rPr>
        <w:t>Kuwamorip</w:t>
      </w:r>
      <w:proofErr w:type="spellEnd"/>
      <w:r w:rsidRPr="00DB47CD">
        <w:rPr>
          <w:rFonts w:eastAsia="Calibri" w:cs="Times New Roman"/>
          <w:szCs w:val="24"/>
          <w:lang w:val="en-GB"/>
        </w:rPr>
        <w:t xml:space="preserve"> T, </w:t>
      </w:r>
      <w:proofErr w:type="spellStart"/>
      <w:r w:rsidRPr="00DB47CD">
        <w:rPr>
          <w:rFonts w:eastAsia="Calibri" w:cs="Times New Roman"/>
          <w:szCs w:val="24"/>
          <w:lang w:val="en-GB"/>
        </w:rPr>
        <w:t>Tanip</w:t>
      </w:r>
      <w:proofErr w:type="spellEnd"/>
      <w:r w:rsidRPr="00DB47CD">
        <w:rPr>
          <w:rFonts w:eastAsia="Calibri" w:cs="Times New Roman"/>
          <w:szCs w:val="24"/>
          <w:lang w:val="en-GB"/>
        </w:rPr>
        <w:t xml:space="preserve"> H, </w:t>
      </w:r>
      <w:proofErr w:type="spellStart"/>
      <w:r w:rsidRPr="00DB47CD">
        <w:rPr>
          <w:rFonts w:eastAsia="Calibri" w:cs="Times New Roman"/>
          <w:szCs w:val="24"/>
          <w:lang w:val="en-GB"/>
        </w:rPr>
        <w:t>Suzukiq</w:t>
      </w:r>
      <w:proofErr w:type="spellEnd"/>
      <w:r w:rsidRPr="00DB47CD">
        <w:rPr>
          <w:rFonts w:eastAsia="Calibri" w:cs="Times New Roman"/>
          <w:szCs w:val="24"/>
          <w:lang w:val="en-GB"/>
        </w:rPr>
        <w:t xml:space="preserve"> R, </w:t>
      </w:r>
      <w:proofErr w:type="spellStart"/>
      <w:r w:rsidRPr="00DB47CD">
        <w:rPr>
          <w:rFonts w:eastAsia="Calibri" w:cs="Times New Roman"/>
          <w:szCs w:val="24"/>
          <w:lang w:val="en-GB"/>
        </w:rPr>
        <w:t>Kashikuraq</w:t>
      </w:r>
      <w:proofErr w:type="spellEnd"/>
      <w:r w:rsidRPr="00DB47CD">
        <w:rPr>
          <w:rFonts w:eastAsia="Calibri" w:cs="Times New Roman"/>
          <w:szCs w:val="24"/>
          <w:lang w:val="en-GB"/>
        </w:rPr>
        <w:t xml:space="preserve"> M, </w:t>
      </w:r>
      <w:proofErr w:type="spellStart"/>
      <w:r w:rsidRPr="00DB47CD">
        <w:rPr>
          <w:rFonts w:eastAsia="Calibri" w:cs="Times New Roman"/>
          <w:szCs w:val="24"/>
          <w:lang w:val="en-GB"/>
        </w:rPr>
        <w:t>Nezur</w:t>
      </w:r>
      <w:proofErr w:type="spellEnd"/>
      <w:r w:rsidRPr="00DB47CD">
        <w:rPr>
          <w:rFonts w:eastAsia="Calibri" w:cs="Times New Roman"/>
          <w:szCs w:val="24"/>
          <w:lang w:val="en-GB"/>
        </w:rPr>
        <w:t xml:space="preserve"> M, </w:t>
      </w:r>
      <w:proofErr w:type="spellStart"/>
      <w:r w:rsidRPr="00DB47CD">
        <w:rPr>
          <w:rFonts w:eastAsia="Calibri" w:cs="Times New Roman"/>
          <w:szCs w:val="24"/>
          <w:lang w:val="en-GB"/>
        </w:rPr>
        <w:t>Miyachis</w:t>
      </w:r>
      <w:proofErr w:type="spellEnd"/>
      <w:r w:rsidRPr="00DB47CD">
        <w:rPr>
          <w:rFonts w:eastAsia="Calibri" w:cs="Times New Roman"/>
          <w:szCs w:val="24"/>
          <w:lang w:val="en-GB"/>
        </w:rPr>
        <w:t xml:space="preserve"> Y, </w:t>
      </w:r>
      <w:proofErr w:type="spellStart"/>
      <w:r w:rsidRPr="00DB47CD">
        <w:rPr>
          <w:rFonts w:eastAsia="Calibri" w:cs="Times New Roman"/>
          <w:szCs w:val="24"/>
          <w:lang w:val="en-GB"/>
        </w:rPr>
        <w:t>Arait</w:t>
      </w:r>
      <w:proofErr w:type="spellEnd"/>
      <w:r w:rsidRPr="00DB47CD">
        <w:rPr>
          <w:rFonts w:eastAsia="Calibri" w:cs="Times New Roman"/>
          <w:szCs w:val="24"/>
          <w:lang w:val="en-GB"/>
        </w:rPr>
        <w:t xml:space="preserve"> F, </w:t>
      </w:r>
      <w:proofErr w:type="spellStart"/>
      <w:r w:rsidRPr="00DB47CD">
        <w:rPr>
          <w:rFonts w:eastAsia="Calibri" w:cs="Times New Roman"/>
          <w:szCs w:val="24"/>
          <w:lang w:val="en-GB"/>
        </w:rPr>
        <w:t>Kuwamoriu</w:t>
      </w:r>
      <w:proofErr w:type="spellEnd"/>
      <w:r w:rsidRPr="00DB47CD">
        <w:rPr>
          <w:rFonts w:eastAsia="Calibri" w:cs="Times New Roman"/>
          <w:szCs w:val="24"/>
          <w:lang w:val="en-GB"/>
        </w:rPr>
        <w:t xml:space="preserve"> M, </w:t>
      </w:r>
      <w:proofErr w:type="spellStart"/>
      <w:r w:rsidRPr="00DB47CD">
        <w:rPr>
          <w:rFonts w:eastAsia="Calibri" w:cs="Times New Roman"/>
          <w:szCs w:val="24"/>
          <w:lang w:val="en-GB"/>
        </w:rPr>
        <w:t>Haradav</w:t>
      </w:r>
      <w:proofErr w:type="spellEnd"/>
      <w:r w:rsidRPr="00DB47CD">
        <w:rPr>
          <w:rFonts w:eastAsia="Calibri" w:cs="Times New Roman"/>
          <w:szCs w:val="24"/>
          <w:lang w:val="en-GB"/>
        </w:rPr>
        <w:t xml:space="preserve"> S, </w:t>
      </w:r>
      <w:proofErr w:type="spellStart"/>
      <w:r w:rsidRPr="00DB47CD">
        <w:rPr>
          <w:rFonts w:eastAsia="Calibri" w:cs="Times New Roman"/>
          <w:szCs w:val="24"/>
          <w:lang w:val="en-GB"/>
        </w:rPr>
        <w:t>Ohmoriv</w:t>
      </w:r>
      <w:proofErr w:type="spellEnd"/>
      <w:r w:rsidRPr="00DB47CD">
        <w:rPr>
          <w:rFonts w:eastAsia="Calibri" w:cs="Times New Roman"/>
          <w:szCs w:val="24"/>
          <w:lang w:val="en-GB"/>
        </w:rPr>
        <w:t xml:space="preserve"> A, </w:t>
      </w:r>
      <w:proofErr w:type="spellStart"/>
      <w:r w:rsidRPr="00DB47CD">
        <w:rPr>
          <w:rFonts w:eastAsia="Calibri" w:cs="Times New Roman"/>
          <w:szCs w:val="24"/>
          <w:lang w:val="en-GB"/>
        </w:rPr>
        <w:t>Ishikawab</w:t>
      </w:r>
      <w:proofErr w:type="spellEnd"/>
      <w:r w:rsidRPr="00DB47CD">
        <w:rPr>
          <w:rFonts w:eastAsia="Calibri" w:cs="Times New Roman"/>
          <w:szCs w:val="24"/>
          <w:lang w:val="en-GB"/>
        </w:rPr>
        <w:t xml:space="preserve"> H, and </w:t>
      </w:r>
      <w:proofErr w:type="spellStart"/>
      <w:r w:rsidRPr="00DB47CD">
        <w:rPr>
          <w:rFonts w:eastAsia="Calibri" w:cs="Times New Roman"/>
          <w:szCs w:val="24"/>
          <w:lang w:val="en-GB"/>
        </w:rPr>
        <w:t>Koizumia</w:t>
      </w:r>
      <w:proofErr w:type="spellEnd"/>
      <w:r w:rsidRPr="00DB47CD">
        <w:rPr>
          <w:rFonts w:eastAsia="Calibri" w:cs="Times New Roman"/>
          <w:szCs w:val="24"/>
          <w:lang w:val="en-GB"/>
        </w:rPr>
        <w:t xml:space="preserve"> A (2014) Radiation dose rates now and in the future for residents </w:t>
      </w:r>
      <w:proofErr w:type="spellStart"/>
      <w:r w:rsidRPr="00DB47CD">
        <w:rPr>
          <w:rFonts w:eastAsia="Calibri" w:cs="Times New Roman"/>
          <w:szCs w:val="24"/>
          <w:lang w:val="en-GB"/>
        </w:rPr>
        <w:t>neighboring</w:t>
      </w:r>
      <w:proofErr w:type="spellEnd"/>
      <w:r w:rsidRPr="00DB47CD">
        <w:rPr>
          <w:rFonts w:eastAsia="Calibri" w:cs="Times New Roman"/>
          <w:szCs w:val="24"/>
          <w:lang w:val="en-GB"/>
        </w:rPr>
        <w:t xml:space="preserve"> restricted areas of the Fukushima Daiichi Nuclear Power Plant. PNAS 111 (10): E914-E923</w:t>
      </w:r>
    </w:p>
    <w:p w14:paraId="6DBDEFAF"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Hsu WL, Preston DL, Soda M, Sugiyama H, </w:t>
      </w:r>
      <w:proofErr w:type="spellStart"/>
      <w:r w:rsidRPr="00DB47CD">
        <w:rPr>
          <w:rFonts w:eastAsia="Calibri" w:cs="Times New Roman"/>
          <w:szCs w:val="24"/>
          <w:lang w:val="en-GB"/>
        </w:rPr>
        <w:t>Funamoto</w:t>
      </w:r>
      <w:proofErr w:type="spellEnd"/>
      <w:r w:rsidRPr="00DB47CD">
        <w:rPr>
          <w:rFonts w:eastAsia="Calibri" w:cs="Times New Roman"/>
          <w:szCs w:val="24"/>
          <w:lang w:val="en-GB"/>
        </w:rPr>
        <w:t xml:space="preserve"> S, Kodama K, Kimura A, </w:t>
      </w:r>
      <w:proofErr w:type="spellStart"/>
      <w:r w:rsidRPr="00DB47CD">
        <w:rPr>
          <w:rFonts w:eastAsia="Calibri" w:cs="Times New Roman"/>
          <w:szCs w:val="24"/>
          <w:lang w:val="en-GB"/>
        </w:rPr>
        <w:t>Kamada</w:t>
      </w:r>
      <w:proofErr w:type="spellEnd"/>
      <w:r w:rsidRPr="00DB47CD">
        <w:rPr>
          <w:rFonts w:eastAsia="Calibri" w:cs="Times New Roman"/>
          <w:szCs w:val="24"/>
          <w:lang w:val="en-GB"/>
        </w:rPr>
        <w:t xml:space="preserve"> N, </w:t>
      </w:r>
      <w:proofErr w:type="spellStart"/>
      <w:r w:rsidRPr="00DB47CD">
        <w:rPr>
          <w:rFonts w:eastAsia="Calibri" w:cs="Times New Roman"/>
          <w:szCs w:val="24"/>
          <w:lang w:val="en-GB"/>
        </w:rPr>
        <w:t>Dohy</w:t>
      </w:r>
      <w:proofErr w:type="spellEnd"/>
      <w:r w:rsidRPr="00DB47CD">
        <w:rPr>
          <w:rFonts w:eastAsia="Calibri" w:cs="Times New Roman"/>
          <w:szCs w:val="24"/>
          <w:lang w:val="en-GB"/>
        </w:rPr>
        <w:t xml:space="preserve"> H, </w:t>
      </w:r>
      <w:proofErr w:type="spellStart"/>
      <w:r w:rsidRPr="00DB47CD">
        <w:rPr>
          <w:rFonts w:eastAsia="Calibri" w:cs="Times New Roman"/>
          <w:szCs w:val="24"/>
          <w:lang w:val="en-GB"/>
        </w:rPr>
        <w:t>Tomonaga</w:t>
      </w:r>
      <w:proofErr w:type="spellEnd"/>
      <w:r w:rsidRPr="00DB47CD">
        <w:rPr>
          <w:rFonts w:eastAsia="Calibri" w:cs="Times New Roman"/>
          <w:szCs w:val="24"/>
          <w:lang w:val="en-GB"/>
        </w:rPr>
        <w:t xml:space="preserve"> M, </w:t>
      </w:r>
      <w:proofErr w:type="spellStart"/>
      <w:r w:rsidRPr="00DB47CD">
        <w:rPr>
          <w:rFonts w:eastAsia="Calibri" w:cs="Times New Roman"/>
          <w:szCs w:val="24"/>
          <w:lang w:val="en-GB"/>
        </w:rPr>
        <w:t>Iwanaga</w:t>
      </w:r>
      <w:proofErr w:type="spellEnd"/>
      <w:r w:rsidRPr="00DB47CD">
        <w:rPr>
          <w:rFonts w:eastAsia="Calibri" w:cs="Times New Roman"/>
          <w:szCs w:val="24"/>
          <w:lang w:val="en-GB"/>
        </w:rPr>
        <w:t xml:space="preserve"> M, Miyazaki Y, </w:t>
      </w:r>
      <w:proofErr w:type="spellStart"/>
      <w:r w:rsidRPr="00DB47CD">
        <w:rPr>
          <w:rFonts w:eastAsia="Calibri" w:cs="Times New Roman"/>
          <w:szCs w:val="24"/>
          <w:lang w:val="en-GB"/>
        </w:rPr>
        <w:t>Cullings</w:t>
      </w:r>
      <w:proofErr w:type="spellEnd"/>
      <w:r w:rsidRPr="00DB47CD">
        <w:rPr>
          <w:rFonts w:eastAsia="Calibri" w:cs="Times New Roman"/>
          <w:szCs w:val="24"/>
          <w:lang w:val="en-GB"/>
        </w:rPr>
        <w:t xml:space="preserve"> H, </w:t>
      </w:r>
      <w:proofErr w:type="spellStart"/>
      <w:r w:rsidRPr="00DB47CD">
        <w:rPr>
          <w:rFonts w:eastAsia="Calibri" w:cs="Times New Roman"/>
          <w:szCs w:val="24"/>
          <w:lang w:val="en-GB"/>
        </w:rPr>
        <w:t>Suyama</w:t>
      </w:r>
      <w:proofErr w:type="spellEnd"/>
      <w:r w:rsidRPr="00DB47CD">
        <w:rPr>
          <w:rFonts w:eastAsia="Calibri" w:cs="Times New Roman"/>
          <w:szCs w:val="24"/>
          <w:lang w:val="en-GB"/>
        </w:rPr>
        <w:t xml:space="preserve"> A, </w:t>
      </w:r>
      <w:proofErr w:type="spellStart"/>
      <w:r w:rsidRPr="00DB47CD">
        <w:rPr>
          <w:rFonts w:eastAsia="Calibri" w:cs="Times New Roman"/>
          <w:szCs w:val="24"/>
          <w:lang w:val="en-GB"/>
        </w:rPr>
        <w:t>Ozasa</w:t>
      </w:r>
      <w:proofErr w:type="spellEnd"/>
      <w:r w:rsidRPr="00DB47CD">
        <w:rPr>
          <w:rFonts w:eastAsia="Calibri" w:cs="Times New Roman"/>
          <w:szCs w:val="24"/>
          <w:lang w:val="en-GB"/>
        </w:rPr>
        <w:t xml:space="preserve"> K, Shore R, Mabuchi K (2013) The Incidence of </w:t>
      </w:r>
      <w:proofErr w:type="spellStart"/>
      <w:r w:rsidRPr="00DB47CD">
        <w:rPr>
          <w:rFonts w:eastAsia="Calibri" w:cs="Times New Roman"/>
          <w:szCs w:val="24"/>
          <w:lang w:val="en-GB"/>
        </w:rPr>
        <w:t>Leukemia</w:t>
      </w:r>
      <w:proofErr w:type="spellEnd"/>
      <w:r w:rsidRPr="00DB47CD">
        <w:rPr>
          <w:rFonts w:eastAsia="Calibri" w:cs="Times New Roman"/>
          <w:szCs w:val="24"/>
          <w:lang w:val="en-GB"/>
        </w:rPr>
        <w:t xml:space="preserve">, Lymphoma and Multiple Myeloma among Atomic Bomb Survivors: 1950–2001. </w:t>
      </w:r>
      <w:proofErr w:type="spellStart"/>
      <w:r w:rsidRPr="00DB47CD">
        <w:rPr>
          <w:rFonts w:eastAsia="Calibri" w:cs="Times New Roman"/>
          <w:szCs w:val="24"/>
          <w:lang w:val="en-GB"/>
        </w:rPr>
        <w:t>Radiat</w:t>
      </w:r>
      <w:proofErr w:type="spellEnd"/>
      <w:r w:rsidRPr="00DB47CD">
        <w:rPr>
          <w:rFonts w:eastAsia="Calibri" w:cs="Times New Roman"/>
          <w:szCs w:val="24"/>
          <w:lang w:val="en-GB"/>
        </w:rPr>
        <w:t xml:space="preserve"> Res 179(3):361-82</w:t>
      </w:r>
    </w:p>
    <w:p w14:paraId="7D93F58F" w14:textId="7423C7BA"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IAEA (2015</w:t>
      </w:r>
      <w:r w:rsidR="00694779" w:rsidRPr="00DB47CD">
        <w:rPr>
          <w:rFonts w:eastAsia="Calibri" w:cs="Times New Roman"/>
          <w:szCs w:val="24"/>
          <w:lang w:val="en-GB"/>
        </w:rPr>
        <w:t>) Preparedness</w:t>
      </w:r>
      <w:r w:rsidRPr="00DB47CD">
        <w:rPr>
          <w:rFonts w:eastAsia="Calibri" w:cs="Times New Roman"/>
          <w:szCs w:val="24"/>
          <w:lang w:val="en-GB"/>
        </w:rPr>
        <w:t xml:space="preserve"> and Response for a Nuclear or Radiological Emergency. IAEA Safety Standards Series (</w:t>
      </w:r>
      <w:proofErr w:type="spellStart"/>
      <w:r w:rsidRPr="00DB47CD">
        <w:rPr>
          <w:rFonts w:eastAsia="Calibri" w:cs="Times New Roman"/>
          <w:szCs w:val="24"/>
          <w:lang w:val="en-GB"/>
        </w:rPr>
        <w:t>No.GSR</w:t>
      </w:r>
      <w:proofErr w:type="spellEnd"/>
      <w:r w:rsidRPr="00DB47CD">
        <w:rPr>
          <w:rFonts w:eastAsia="Calibri" w:cs="Times New Roman"/>
          <w:szCs w:val="24"/>
          <w:lang w:val="en-GB"/>
        </w:rPr>
        <w:t xml:space="preserve"> Part 7)</w:t>
      </w:r>
    </w:p>
    <w:p w14:paraId="328AA1C7" w14:textId="77777777" w:rsidR="00BF0719" w:rsidRPr="00DB47CD" w:rsidRDefault="00BF0719" w:rsidP="00BF0719">
      <w:pPr>
        <w:autoSpaceDE w:val="0"/>
        <w:autoSpaceDN w:val="0"/>
        <w:adjustRightInd w:val="0"/>
        <w:spacing w:after="0"/>
        <w:rPr>
          <w:rFonts w:eastAsia="Calibri" w:cs="Times New Roman"/>
          <w:szCs w:val="24"/>
          <w:lang w:val="en-GB"/>
        </w:rPr>
      </w:pPr>
      <w:proofErr w:type="spellStart"/>
      <w:r w:rsidRPr="00DB47CD">
        <w:rPr>
          <w:rFonts w:eastAsia="Calibri" w:cs="Times New Roman"/>
          <w:szCs w:val="24"/>
          <w:lang w:val="en-GB"/>
        </w:rPr>
        <w:lastRenderedPageBreak/>
        <w:t>Ievdin</w:t>
      </w:r>
      <w:proofErr w:type="spellEnd"/>
      <w:r w:rsidRPr="00DB47CD">
        <w:rPr>
          <w:rFonts w:eastAsia="Calibri" w:cs="Times New Roman"/>
          <w:szCs w:val="24"/>
          <w:lang w:val="en-GB"/>
        </w:rPr>
        <w:t xml:space="preserve"> I, </w:t>
      </w:r>
      <w:proofErr w:type="spellStart"/>
      <w:r w:rsidRPr="00DB47CD">
        <w:rPr>
          <w:rFonts w:eastAsia="Calibri" w:cs="Times New Roman"/>
          <w:szCs w:val="24"/>
          <w:lang w:val="en-GB"/>
        </w:rPr>
        <w:t>Trybushnyi</w:t>
      </w:r>
      <w:proofErr w:type="spellEnd"/>
      <w:r w:rsidRPr="00DB47CD">
        <w:rPr>
          <w:rFonts w:eastAsia="Calibri" w:cs="Times New Roman"/>
          <w:szCs w:val="24"/>
          <w:lang w:val="en-GB"/>
        </w:rPr>
        <w:t xml:space="preserve"> D, </w:t>
      </w:r>
      <w:proofErr w:type="spellStart"/>
      <w:r w:rsidRPr="00DB47CD">
        <w:rPr>
          <w:rFonts w:eastAsia="Calibri" w:cs="Times New Roman"/>
          <w:szCs w:val="24"/>
          <w:lang w:val="en-GB"/>
        </w:rPr>
        <w:t>Zheleznyak</w:t>
      </w:r>
      <w:proofErr w:type="spellEnd"/>
      <w:r w:rsidRPr="00DB47CD">
        <w:rPr>
          <w:rFonts w:eastAsia="Calibri" w:cs="Times New Roman"/>
          <w:szCs w:val="24"/>
          <w:lang w:val="en-GB"/>
        </w:rPr>
        <w:t xml:space="preserve"> M, </w:t>
      </w:r>
      <w:proofErr w:type="spellStart"/>
      <w:r w:rsidRPr="00DB47CD">
        <w:rPr>
          <w:rFonts w:eastAsia="Calibri" w:cs="Times New Roman"/>
          <w:szCs w:val="24"/>
          <w:lang w:val="en-GB"/>
        </w:rPr>
        <w:t>Raskob</w:t>
      </w:r>
      <w:proofErr w:type="spellEnd"/>
      <w:r w:rsidRPr="00DB47CD">
        <w:rPr>
          <w:rFonts w:eastAsia="Calibri" w:cs="Times New Roman"/>
          <w:szCs w:val="24"/>
          <w:lang w:val="en-GB"/>
        </w:rPr>
        <w:t xml:space="preserve"> W (2010) RODOS re-engineering: aims and implementation details. In: </w:t>
      </w:r>
      <w:proofErr w:type="spellStart"/>
      <w:r w:rsidRPr="00DB47CD">
        <w:rPr>
          <w:rFonts w:eastAsia="Calibri" w:cs="Times New Roman"/>
          <w:szCs w:val="24"/>
          <w:lang w:val="en-GB"/>
        </w:rPr>
        <w:t>Raskob</w:t>
      </w:r>
      <w:proofErr w:type="spellEnd"/>
      <w:r w:rsidRPr="00DB47CD">
        <w:rPr>
          <w:rFonts w:eastAsia="Calibri" w:cs="Times New Roman"/>
          <w:szCs w:val="24"/>
          <w:lang w:val="en-GB"/>
        </w:rPr>
        <w:t xml:space="preserve"> W, </w:t>
      </w:r>
      <w:proofErr w:type="spellStart"/>
      <w:r w:rsidRPr="00DB47CD">
        <w:rPr>
          <w:rFonts w:eastAsia="Calibri" w:cs="Times New Roman"/>
          <w:szCs w:val="24"/>
          <w:lang w:val="en-GB"/>
        </w:rPr>
        <w:t>Hugon</w:t>
      </w:r>
      <w:proofErr w:type="spellEnd"/>
      <w:r w:rsidRPr="00DB47CD">
        <w:rPr>
          <w:rFonts w:eastAsia="Calibri" w:cs="Times New Roman"/>
          <w:szCs w:val="24"/>
          <w:lang w:val="en-GB"/>
        </w:rPr>
        <w:t xml:space="preserve"> M (</w:t>
      </w:r>
      <w:proofErr w:type="spellStart"/>
      <w:proofErr w:type="gramStart"/>
      <w:r w:rsidRPr="00DB47CD">
        <w:rPr>
          <w:rFonts w:eastAsia="Calibri" w:cs="Times New Roman"/>
          <w:szCs w:val="24"/>
          <w:lang w:val="en-GB"/>
        </w:rPr>
        <w:t>eds</w:t>
      </w:r>
      <w:proofErr w:type="spellEnd"/>
      <w:proofErr w:type="gramEnd"/>
      <w:r w:rsidRPr="00DB47CD">
        <w:rPr>
          <w:rFonts w:eastAsia="Calibri" w:cs="Times New Roman"/>
          <w:szCs w:val="24"/>
          <w:lang w:val="en-GB"/>
        </w:rPr>
        <w:t>) Enhancing nuclear and radiological emergency management and rehabilitation: Key results of the EURANOS European project. Radioprotection 45 (5 Supplement): S181-S189</w:t>
      </w:r>
    </w:p>
    <w:p w14:paraId="71F01BA3" w14:textId="77777777" w:rsidR="00BF0719" w:rsidRPr="00DB47CD" w:rsidRDefault="00BF0719" w:rsidP="00BF0719">
      <w:pPr>
        <w:rPr>
          <w:rFonts w:eastAsia="Calibri" w:cs="Times New Roman"/>
          <w:szCs w:val="24"/>
          <w:lang w:val="en-GB"/>
        </w:rPr>
      </w:pPr>
      <w:r w:rsidRPr="00DB47CD">
        <w:rPr>
          <w:rFonts w:eastAsia="Calibri" w:cs="Times New Roman"/>
          <w:szCs w:val="24"/>
          <w:lang w:val="en-GB"/>
        </w:rPr>
        <w:t>International Commission on Radiological Protection (2007) The 2007 Recommendations of the International Commission on Radiological Protection, ICRP 2007, Annals of the ICRP 103(37):2–4</w:t>
      </w:r>
    </w:p>
    <w:p w14:paraId="23613E4B" w14:textId="77777777" w:rsidR="00BF0719" w:rsidRPr="00DB47CD" w:rsidRDefault="00BF0719" w:rsidP="00BF0719">
      <w:pPr>
        <w:rPr>
          <w:rFonts w:eastAsia="Calibri" w:cs="Times New Roman"/>
          <w:szCs w:val="24"/>
          <w:lang w:val="en-GB"/>
        </w:rPr>
      </w:pPr>
      <w:r w:rsidRPr="00DB47CD">
        <w:rPr>
          <w:rFonts w:eastAsia="Calibri" w:cs="Times New Roman"/>
          <w:szCs w:val="24"/>
          <w:lang w:val="en-GB"/>
        </w:rPr>
        <w:t xml:space="preserve">Jacob P, Kaiser JC, </w:t>
      </w:r>
      <w:proofErr w:type="spellStart"/>
      <w:r w:rsidRPr="00DB47CD">
        <w:rPr>
          <w:rFonts w:eastAsia="Calibri" w:cs="Times New Roman"/>
          <w:szCs w:val="24"/>
          <w:lang w:val="en-GB"/>
        </w:rPr>
        <w:t>Ulanovsky</w:t>
      </w:r>
      <w:proofErr w:type="spellEnd"/>
      <w:r w:rsidRPr="00DB47CD">
        <w:rPr>
          <w:rFonts w:eastAsia="Calibri" w:cs="Times New Roman"/>
          <w:szCs w:val="24"/>
          <w:lang w:val="en-GB"/>
        </w:rPr>
        <w:t xml:space="preserve"> A (2014) </w:t>
      </w:r>
      <w:proofErr w:type="spellStart"/>
      <w:r w:rsidRPr="00DB47CD">
        <w:rPr>
          <w:rFonts w:eastAsia="Calibri" w:cs="Times New Roman"/>
          <w:szCs w:val="24"/>
          <w:lang w:val="en-GB"/>
        </w:rPr>
        <w:t>Ultrasonographic</w:t>
      </w:r>
      <w:proofErr w:type="spellEnd"/>
      <w:r w:rsidRPr="00DB47CD">
        <w:rPr>
          <w:rFonts w:eastAsia="Calibri" w:cs="Times New Roman"/>
          <w:szCs w:val="24"/>
          <w:lang w:val="en-GB"/>
        </w:rPr>
        <w:t xml:space="preserve"> surveys and thyroid cancer in the Fukushima Prefecture. </w:t>
      </w:r>
      <w:proofErr w:type="spellStart"/>
      <w:r w:rsidRPr="00DB47CD">
        <w:rPr>
          <w:rFonts w:eastAsia="Calibri" w:cs="Times New Roman"/>
          <w:szCs w:val="24"/>
          <w:lang w:val="en-GB"/>
        </w:rPr>
        <w:t>Radiat</w:t>
      </w:r>
      <w:proofErr w:type="spellEnd"/>
      <w:r w:rsidRPr="00DB47CD">
        <w:rPr>
          <w:rFonts w:eastAsia="Calibri" w:cs="Times New Roman"/>
          <w:szCs w:val="24"/>
          <w:lang w:val="en-GB"/>
        </w:rPr>
        <w:t xml:space="preserve"> Environ </w:t>
      </w:r>
      <w:proofErr w:type="spellStart"/>
      <w:r w:rsidRPr="00DB47CD">
        <w:rPr>
          <w:rFonts w:eastAsia="Calibri" w:cs="Times New Roman"/>
          <w:szCs w:val="24"/>
          <w:lang w:val="en-GB"/>
        </w:rPr>
        <w:t>Biophys</w:t>
      </w:r>
      <w:proofErr w:type="spellEnd"/>
      <w:r w:rsidRPr="00DB47CD">
        <w:rPr>
          <w:rFonts w:eastAsia="Calibri" w:cs="Times New Roman"/>
          <w:szCs w:val="24"/>
          <w:lang w:val="en-GB"/>
        </w:rPr>
        <w:t xml:space="preserve"> 53:291-401 and 403 (erratum) </w:t>
      </w:r>
    </w:p>
    <w:p w14:paraId="2BCCC00B" w14:textId="3693CD68" w:rsidR="00694779" w:rsidRPr="0024579E" w:rsidRDefault="00BF0719" w:rsidP="00BF0719">
      <w:pPr>
        <w:rPr>
          <w:rFonts w:eastAsia="Calibri" w:cs="Times New Roman"/>
          <w:szCs w:val="24"/>
        </w:rPr>
      </w:pPr>
      <w:r w:rsidRPr="00DB47CD">
        <w:rPr>
          <w:rFonts w:eastAsia="Calibri" w:cs="Times New Roman"/>
          <w:szCs w:val="24"/>
          <w:lang w:val="en-GB"/>
        </w:rPr>
        <w:t>Jaco</w:t>
      </w:r>
      <w:r w:rsidR="0024579E">
        <w:rPr>
          <w:rFonts w:eastAsia="Calibri" w:cs="Times New Roman"/>
          <w:szCs w:val="24"/>
          <w:lang w:val="en-GB"/>
        </w:rPr>
        <w:t xml:space="preserve">b P, Kaiser C, </w:t>
      </w:r>
      <w:proofErr w:type="spellStart"/>
      <w:r w:rsidR="0024579E">
        <w:rPr>
          <w:rFonts w:eastAsia="Calibri" w:cs="Times New Roman"/>
          <w:szCs w:val="24"/>
          <w:lang w:val="en-GB"/>
        </w:rPr>
        <w:t>Ulanovsky</w:t>
      </w:r>
      <w:proofErr w:type="spellEnd"/>
      <w:r w:rsidR="0024579E">
        <w:rPr>
          <w:rFonts w:eastAsia="Calibri" w:cs="Times New Roman"/>
          <w:szCs w:val="24"/>
          <w:lang w:val="en-GB"/>
        </w:rPr>
        <w:t xml:space="preserve"> A (2017</w:t>
      </w:r>
      <w:r w:rsidRPr="00DB47CD">
        <w:rPr>
          <w:rFonts w:eastAsia="Calibri" w:cs="Times New Roman"/>
          <w:szCs w:val="24"/>
          <w:lang w:val="en-GB"/>
        </w:rPr>
        <w:t xml:space="preserve">) </w:t>
      </w:r>
      <w:proofErr w:type="spellStart"/>
      <w:r w:rsidRPr="00DB47CD">
        <w:rPr>
          <w:rFonts w:eastAsia="Calibri" w:cs="Times New Roman"/>
          <w:szCs w:val="24"/>
          <w:lang w:val="en-GB"/>
        </w:rPr>
        <w:t>ProZES</w:t>
      </w:r>
      <w:proofErr w:type="spellEnd"/>
      <w:r w:rsidRPr="00DB47CD">
        <w:rPr>
          <w:rFonts w:eastAsia="Calibri" w:cs="Times New Roman"/>
          <w:szCs w:val="24"/>
          <w:lang w:val="en-GB"/>
        </w:rPr>
        <w:t xml:space="preserve"> – a tool for assessment of assigned share of radiation in probability of cancer development. </w:t>
      </w:r>
      <w:r w:rsidRPr="005717D8">
        <w:rPr>
          <w:rFonts w:eastAsia="Calibri" w:cs="Times New Roman"/>
          <w:szCs w:val="24"/>
        </w:rPr>
        <w:t>Bundesamt für Strahlenschutz (</w:t>
      </w:r>
      <w:proofErr w:type="spellStart"/>
      <w:r w:rsidRPr="005717D8">
        <w:rPr>
          <w:rFonts w:eastAsia="Calibri" w:cs="Times New Roman"/>
          <w:szCs w:val="24"/>
        </w:rPr>
        <w:t>BfS</w:t>
      </w:r>
      <w:proofErr w:type="spellEnd"/>
      <w:r w:rsidRPr="005717D8">
        <w:rPr>
          <w:rFonts w:eastAsia="Calibri" w:cs="Times New Roman"/>
          <w:szCs w:val="24"/>
        </w:rPr>
        <w:t xml:space="preserve">). Report BfS-RESFOR-120/17. </w:t>
      </w:r>
      <w:r w:rsidRPr="0024579E">
        <w:rPr>
          <w:rFonts w:eastAsia="Calibri" w:cs="Times New Roman"/>
          <w:szCs w:val="24"/>
        </w:rPr>
        <w:t xml:space="preserve">URL: </w:t>
      </w:r>
      <w:hyperlink r:id="rId9" w:history="1">
        <w:r w:rsidRPr="0024579E">
          <w:rPr>
            <w:rFonts w:eastAsia="Calibri" w:cs="Times New Roman"/>
            <w:color w:val="0000FF"/>
            <w:sz w:val="20"/>
            <w:szCs w:val="20"/>
            <w:u w:val="single"/>
          </w:rPr>
          <w:t>http://doris.bfs.de/jspui/handle/urn:nbn:de:0221-2017032014253</w:t>
        </w:r>
      </w:hyperlink>
      <w:r w:rsidRPr="0024579E">
        <w:rPr>
          <w:rFonts w:eastAsia="Calibri" w:cs="Times New Roman"/>
          <w:szCs w:val="24"/>
        </w:rPr>
        <w:t xml:space="preserve">  </w:t>
      </w:r>
    </w:p>
    <w:p w14:paraId="567D5327" w14:textId="0616F764" w:rsidR="00BF0719" w:rsidRPr="00DB47CD" w:rsidRDefault="00694779" w:rsidP="00BF0719">
      <w:pPr>
        <w:rPr>
          <w:rFonts w:eastAsia="Calibri" w:cs="Times New Roman"/>
          <w:szCs w:val="24"/>
          <w:lang w:val="en-GB"/>
        </w:rPr>
      </w:pPr>
      <w:r>
        <w:rPr>
          <w:rFonts w:eastAsia="Calibri" w:cs="Times New Roman"/>
          <w:szCs w:val="24"/>
          <w:lang w:val="en-GB"/>
        </w:rPr>
        <w:t>Kaiser JC (2012) Empirical risk analysis of severe reactor accidents in nuclear power p</w:t>
      </w:r>
      <w:r w:rsidR="00BF0719" w:rsidRPr="00DB47CD">
        <w:rPr>
          <w:rFonts w:eastAsia="Calibri" w:cs="Times New Roman"/>
          <w:szCs w:val="24"/>
          <w:lang w:val="en-GB"/>
        </w:rPr>
        <w:t xml:space="preserve">lants after Fukushima. Sci. Tech. </w:t>
      </w:r>
      <w:proofErr w:type="spellStart"/>
      <w:r w:rsidR="00BF0719" w:rsidRPr="00DB47CD">
        <w:rPr>
          <w:rFonts w:eastAsia="Calibri" w:cs="Times New Roman"/>
          <w:szCs w:val="24"/>
          <w:lang w:val="en-GB"/>
        </w:rPr>
        <w:t>Nucl</w:t>
      </w:r>
      <w:proofErr w:type="spellEnd"/>
      <w:r w:rsidR="00BF0719" w:rsidRPr="00DB47CD">
        <w:rPr>
          <w:rFonts w:eastAsia="Calibri" w:cs="Times New Roman"/>
          <w:szCs w:val="24"/>
          <w:lang w:val="en-GB"/>
        </w:rPr>
        <w:t>. Inst., Article ID 384987, doi:10.1155/2012/384987</w:t>
      </w:r>
    </w:p>
    <w:p w14:paraId="20EBD6C3" w14:textId="77777777" w:rsidR="00BF0719" w:rsidRPr="00DB47CD" w:rsidRDefault="00BF0719" w:rsidP="00BF0719">
      <w:pPr>
        <w:autoSpaceDE w:val="0"/>
        <w:autoSpaceDN w:val="0"/>
        <w:adjustRightInd w:val="0"/>
        <w:spacing w:after="0"/>
        <w:rPr>
          <w:rFonts w:eastAsia="Calibri" w:cs="Times New Roman"/>
          <w:szCs w:val="24"/>
          <w:lang w:val="en-GB"/>
        </w:rPr>
      </w:pPr>
      <w:proofErr w:type="spellStart"/>
      <w:r w:rsidRPr="00DB47CD">
        <w:rPr>
          <w:rFonts w:eastAsia="Calibri" w:cs="Times New Roman"/>
          <w:szCs w:val="24"/>
          <w:lang w:val="en-GB"/>
        </w:rPr>
        <w:t>Kellerer</w:t>
      </w:r>
      <w:proofErr w:type="spellEnd"/>
      <w:r w:rsidRPr="00DB47CD">
        <w:rPr>
          <w:rFonts w:eastAsia="Calibri" w:cs="Times New Roman"/>
          <w:szCs w:val="24"/>
          <w:lang w:val="en-GB"/>
        </w:rPr>
        <w:t xml:space="preserve"> AM, </w:t>
      </w:r>
      <w:proofErr w:type="spellStart"/>
      <w:r w:rsidRPr="00DB47CD">
        <w:rPr>
          <w:rFonts w:eastAsia="Calibri" w:cs="Times New Roman"/>
          <w:szCs w:val="24"/>
          <w:lang w:val="en-GB"/>
        </w:rPr>
        <w:t>Nekolla</w:t>
      </w:r>
      <w:proofErr w:type="spellEnd"/>
      <w:r w:rsidRPr="00DB47CD">
        <w:rPr>
          <w:rFonts w:eastAsia="Calibri" w:cs="Times New Roman"/>
          <w:szCs w:val="24"/>
          <w:lang w:val="en-GB"/>
        </w:rPr>
        <w:t xml:space="preserve"> EA, Walsh L (2001) </w:t>
      </w:r>
      <w:proofErr w:type="gramStart"/>
      <w:r w:rsidRPr="00DB47CD">
        <w:rPr>
          <w:rFonts w:eastAsia="Calibri" w:cs="Times New Roman"/>
          <w:szCs w:val="24"/>
          <w:lang w:val="en-GB"/>
        </w:rPr>
        <w:t>On</w:t>
      </w:r>
      <w:proofErr w:type="gramEnd"/>
      <w:r w:rsidRPr="00DB47CD">
        <w:rPr>
          <w:rFonts w:eastAsia="Calibri" w:cs="Times New Roman"/>
          <w:szCs w:val="24"/>
          <w:lang w:val="en-GB"/>
        </w:rPr>
        <w:t xml:space="preserve"> the conversion of solid cancer excess relative risk into lifetime attributable risk. </w:t>
      </w:r>
      <w:proofErr w:type="spellStart"/>
      <w:r w:rsidRPr="00DB47CD">
        <w:rPr>
          <w:rFonts w:eastAsia="Calibri" w:cs="Times New Roman"/>
          <w:szCs w:val="24"/>
          <w:lang w:val="en-GB"/>
        </w:rPr>
        <w:t>Radiat</w:t>
      </w:r>
      <w:proofErr w:type="spellEnd"/>
      <w:r w:rsidRPr="00DB47CD">
        <w:rPr>
          <w:rFonts w:eastAsia="Calibri" w:cs="Times New Roman"/>
          <w:szCs w:val="24"/>
          <w:lang w:val="en-GB"/>
        </w:rPr>
        <w:t xml:space="preserve"> Environ </w:t>
      </w:r>
      <w:proofErr w:type="spellStart"/>
      <w:r w:rsidRPr="00DB47CD">
        <w:rPr>
          <w:rFonts w:eastAsia="Calibri" w:cs="Times New Roman"/>
          <w:szCs w:val="24"/>
          <w:lang w:val="en-GB"/>
        </w:rPr>
        <w:t>Biophys</w:t>
      </w:r>
      <w:proofErr w:type="spellEnd"/>
      <w:r w:rsidRPr="00DB47CD">
        <w:rPr>
          <w:rFonts w:eastAsia="Calibri" w:cs="Times New Roman"/>
          <w:szCs w:val="24"/>
          <w:lang w:val="en-GB"/>
        </w:rPr>
        <w:t xml:space="preserve"> 40:249-257</w:t>
      </w:r>
    </w:p>
    <w:p w14:paraId="547600B9"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NCRP Commentary No. 27 (2018) Implications of recent epidemiologic studies for the linear </w:t>
      </w:r>
      <w:proofErr w:type="spellStart"/>
      <w:r w:rsidRPr="00DB47CD">
        <w:rPr>
          <w:rFonts w:eastAsia="Calibri" w:cs="Times New Roman"/>
          <w:szCs w:val="24"/>
          <w:lang w:val="en-GB"/>
        </w:rPr>
        <w:t>nonthreshold</w:t>
      </w:r>
      <w:proofErr w:type="spellEnd"/>
      <w:r w:rsidRPr="00DB47CD">
        <w:rPr>
          <w:rFonts w:eastAsia="Calibri" w:cs="Times New Roman"/>
          <w:szCs w:val="24"/>
          <w:lang w:val="en-GB"/>
        </w:rPr>
        <w:t xml:space="preserve"> model and radiation protection. NCRP </w:t>
      </w:r>
    </w:p>
    <w:p w14:paraId="6F970A42" w14:textId="77777777" w:rsidR="00BF0719" w:rsidRDefault="00BF0719" w:rsidP="00BF0719">
      <w:pPr>
        <w:rPr>
          <w:rFonts w:eastAsia="Calibri" w:cs="Times New Roman"/>
          <w:szCs w:val="24"/>
          <w:lang w:val="en-GB"/>
        </w:rPr>
      </w:pPr>
      <w:r w:rsidRPr="00DB47CD">
        <w:rPr>
          <w:rFonts w:eastAsia="Calibri" w:cs="Times New Roman"/>
          <w:szCs w:val="24"/>
          <w:lang w:val="en-GB"/>
        </w:rPr>
        <w:t xml:space="preserve">Preston DL, </w:t>
      </w:r>
      <w:proofErr w:type="spellStart"/>
      <w:r w:rsidRPr="00DB47CD">
        <w:rPr>
          <w:rFonts w:eastAsia="Calibri" w:cs="Times New Roman"/>
          <w:szCs w:val="24"/>
          <w:lang w:val="en-GB"/>
        </w:rPr>
        <w:t>Lubin</w:t>
      </w:r>
      <w:proofErr w:type="spellEnd"/>
      <w:r w:rsidRPr="00DB47CD">
        <w:rPr>
          <w:rFonts w:eastAsia="Calibri" w:cs="Times New Roman"/>
          <w:szCs w:val="24"/>
          <w:lang w:val="en-GB"/>
        </w:rPr>
        <w:t xml:space="preserve"> JH, Pierce DA (1993) Epicure User`s Guide. </w:t>
      </w:r>
      <w:proofErr w:type="spellStart"/>
      <w:r w:rsidRPr="00DB47CD">
        <w:rPr>
          <w:rFonts w:eastAsia="Calibri" w:cs="Times New Roman"/>
          <w:szCs w:val="24"/>
          <w:lang w:val="en-GB"/>
        </w:rPr>
        <w:t>HiroSoft</w:t>
      </w:r>
      <w:proofErr w:type="spellEnd"/>
      <w:r w:rsidRPr="00DB47CD">
        <w:rPr>
          <w:rFonts w:eastAsia="Calibri" w:cs="Times New Roman"/>
          <w:szCs w:val="24"/>
          <w:lang w:val="en-GB"/>
        </w:rPr>
        <w:t xml:space="preserve"> International Corp., Seattle </w:t>
      </w:r>
    </w:p>
    <w:p w14:paraId="1B0763C2" w14:textId="77777777" w:rsidR="0024579E" w:rsidRPr="007D43C0" w:rsidRDefault="0024579E" w:rsidP="0024579E">
      <w:pPr>
        <w:jc w:val="both"/>
        <w:rPr>
          <w:lang w:val="en-GB"/>
        </w:rPr>
      </w:pPr>
      <w:r w:rsidRPr="007D43C0">
        <w:rPr>
          <w:lang w:val="en-GB"/>
        </w:rPr>
        <w:t xml:space="preserve">Preston DL, </w:t>
      </w:r>
      <w:proofErr w:type="spellStart"/>
      <w:r w:rsidRPr="007D43C0">
        <w:rPr>
          <w:lang w:val="en-GB"/>
        </w:rPr>
        <w:t>Mattsson</w:t>
      </w:r>
      <w:proofErr w:type="spellEnd"/>
      <w:r w:rsidRPr="007D43C0">
        <w:rPr>
          <w:lang w:val="en-GB"/>
        </w:rPr>
        <w:t xml:space="preserve"> A, Holmberg E, Shore R, </w:t>
      </w:r>
      <w:proofErr w:type="spellStart"/>
      <w:r w:rsidRPr="007D43C0">
        <w:rPr>
          <w:lang w:val="en-GB"/>
        </w:rPr>
        <w:t>Hildreth</w:t>
      </w:r>
      <w:proofErr w:type="spellEnd"/>
      <w:r w:rsidRPr="007D43C0">
        <w:rPr>
          <w:lang w:val="en-GB"/>
        </w:rPr>
        <w:t xml:space="preserve"> NG &amp; </w:t>
      </w:r>
      <w:proofErr w:type="spellStart"/>
      <w:r w:rsidRPr="007D43C0">
        <w:rPr>
          <w:lang w:val="en-GB"/>
        </w:rPr>
        <w:t>Boice</w:t>
      </w:r>
      <w:proofErr w:type="spellEnd"/>
      <w:r w:rsidRPr="007D43C0">
        <w:rPr>
          <w:lang w:val="en-GB"/>
        </w:rPr>
        <w:t xml:space="preserve"> JD </w:t>
      </w:r>
      <w:r>
        <w:rPr>
          <w:lang w:val="en-GB"/>
        </w:rPr>
        <w:t>(</w:t>
      </w:r>
      <w:r w:rsidRPr="007D43C0">
        <w:rPr>
          <w:lang w:val="en-GB"/>
        </w:rPr>
        <w:t>2002</w:t>
      </w:r>
      <w:r>
        <w:rPr>
          <w:lang w:val="en-GB"/>
        </w:rPr>
        <w:t xml:space="preserve">) </w:t>
      </w:r>
      <w:r w:rsidRPr="007D43C0">
        <w:rPr>
          <w:lang w:val="en-GB"/>
        </w:rPr>
        <w:t xml:space="preserve">Radiation effects on breast cancer risk: A pooled analysis of eight cohorts. </w:t>
      </w:r>
      <w:proofErr w:type="spellStart"/>
      <w:r>
        <w:rPr>
          <w:lang w:val="en-GB"/>
        </w:rPr>
        <w:t>Radiat</w:t>
      </w:r>
      <w:proofErr w:type="spellEnd"/>
      <w:r>
        <w:rPr>
          <w:lang w:val="en-GB"/>
        </w:rPr>
        <w:t>. Res. 158:220–235</w:t>
      </w:r>
      <w:r w:rsidRPr="007D43C0">
        <w:rPr>
          <w:lang w:val="en-GB"/>
        </w:rPr>
        <w:t xml:space="preserve"> </w:t>
      </w:r>
    </w:p>
    <w:p w14:paraId="10717CAB" w14:textId="77777777" w:rsidR="00BF0719" w:rsidRPr="0024579E" w:rsidRDefault="00BF0719" w:rsidP="00BF0719">
      <w:pPr>
        <w:jc w:val="both"/>
        <w:rPr>
          <w:rFonts w:eastAsia="Calibri" w:cs="Times New Roman"/>
          <w:szCs w:val="24"/>
          <w:lang w:val="en-GB"/>
        </w:rPr>
      </w:pPr>
      <w:r w:rsidRPr="00DB47CD">
        <w:rPr>
          <w:rFonts w:eastAsia="Calibri" w:cs="Times New Roman"/>
          <w:szCs w:val="24"/>
          <w:lang w:val="en-GB"/>
        </w:rPr>
        <w:t xml:space="preserve">Preston DL, Ron E, </w:t>
      </w:r>
      <w:proofErr w:type="spellStart"/>
      <w:r w:rsidRPr="00DB47CD">
        <w:rPr>
          <w:rFonts w:eastAsia="Calibri" w:cs="Times New Roman"/>
          <w:szCs w:val="24"/>
          <w:lang w:val="en-GB"/>
        </w:rPr>
        <w:t>Tokuoka</w:t>
      </w:r>
      <w:proofErr w:type="spellEnd"/>
      <w:r w:rsidRPr="00DB47CD">
        <w:rPr>
          <w:rFonts w:eastAsia="Calibri" w:cs="Times New Roman"/>
          <w:szCs w:val="24"/>
          <w:lang w:val="en-GB"/>
        </w:rPr>
        <w:t xml:space="preserve"> S, </w:t>
      </w:r>
      <w:proofErr w:type="spellStart"/>
      <w:r w:rsidRPr="00DB47CD">
        <w:rPr>
          <w:rFonts w:eastAsia="Calibri" w:cs="Times New Roman"/>
          <w:szCs w:val="24"/>
          <w:lang w:val="en-GB"/>
        </w:rPr>
        <w:t>Funamoto</w:t>
      </w:r>
      <w:proofErr w:type="spellEnd"/>
      <w:r w:rsidRPr="00DB47CD">
        <w:rPr>
          <w:rFonts w:eastAsia="Calibri" w:cs="Times New Roman"/>
          <w:szCs w:val="24"/>
          <w:lang w:val="en-GB"/>
        </w:rPr>
        <w:t xml:space="preserve"> S, Nishi N, Soda M, Mabuchi K, Kodama K (2007) Solid cancer incidence in atomic bomb survivors: 1958-1998. </w:t>
      </w:r>
      <w:proofErr w:type="spellStart"/>
      <w:r w:rsidRPr="0024579E">
        <w:rPr>
          <w:rFonts w:eastAsia="Calibri" w:cs="Times New Roman"/>
          <w:szCs w:val="24"/>
          <w:lang w:val="en-GB"/>
        </w:rPr>
        <w:t>Radiat</w:t>
      </w:r>
      <w:proofErr w:type="spellEnd"/>
      <w:r w:rsidRPr="0024579E">
        <w:rPr>
          <w:rFonts w:eastAsia="Calibri" w:cs="Times New Roman"/>
          <w:szCs w:val="24"/>
          <w:lang w:val="en-GB"/>
        </w:rPr>
        <w:t xml:space="preserve"> Res 168: 1-64 </w:t>
      </w:r>
    </w:p>
    <w:p w14:paraId="6CC854CE" w14:textId="77777777" w:rsidR="00BF0719" w:rsidRPr="00DB47CD" w:rsidRDefault="00BF0719" w:rsidP="00BF0719">
      <w:pPr>
        <w:autoSpaceDE w:val="0"/>
        <w:autoSpaceDN w:val="0"/>
        <w:adjustRightInd w:val="0"/>
        <w:spacing w:after="0"/>
        <w:rPr>
          <w:rFonts w:eastAsia="Calibri" w:cs="Times New Roman"/>
          <w:szCs w:val="24"/>
          <w:lang w:val="en-GB"/>
        </w:rPr>
      </w:pPr>
      <w:r w:rsidRPr="0024579E">
        <w:rPr>
          <w:rFonts w:eastAsia="Calibri" w:cs="Times New Roman"/>
          <w:szCs w:val="24"/>
          <w:lang w:val="en-GB"/>
        </w:rPr>
        <w:t xml:space="preserve">RKI-GEKID (2017) Krebs in Deutschland </w:t>
      </w:r>
      <w:proofErr w:type="spellStart"/>
      <w:r w:rsidRPr="0024579E">
        <w:rPr>
          <w:rFonts w:eastAsia="Calibri" w:cs="Times New Roman"/>
          <w:szCs w:val="24"/>
          <w:lang w:val="en-GB"/>
        </w:rPr>
        <w:t>für</w:t>
      </w:r>
      <w:proofErr w:type="spellEnd"/>
      <w:r w:rsidRPr="0024579E">
        <w:rPr>
          <w:rFonts w:eastAsia="Calibri" w:cs="Times New Roman"/>
          <w:szCs w:val="24"/>
          <w:lang w:val="en-GB"/>
        </w:rPr>
        <w:t xml:space="preserve"> 2013/2014. 11. </w:t>
      </w:r>
      <w:proofErr w:type="spellStart"/>
      <w:r w:rsidRPr="0024579E">
        <w:rPr>
          <w:rFonts w:eastAsia="Calibri" w:cs="Times New Roman"/>
          <w:szCs w:val="24"/>
          <w:lang w:val="en-GB"/>
        </w:rPr>
        <w:t>Ausgabe</w:t>
      </w:r>
      <w:proofErr w:type="spellEnd"/>
      <w:r w:rsidRPr="0024579E">
        <w:rPr>
          <w:rFonts w:eastAsia="Calibri" w:cs="Times New Roman"/>
          <w:szCs w:val="24"/>
          <w:lang w:val="en-GB"/>
        </w:rPr>
        <w:t xml:space="preserve">. </w:t>
      </w:r>
      <w:r w:rsidRPr="005717D8">
        <w:rPr>
          <w:rFonts w:eastAsia="Calibri" w:cs="Times New Roman"/>
          <w:szCs w:val="24"/>
        </w:rPr>
        <w:t>Robert Koch-Institut (</w:t>
      </w:r>
      <w:proofErr w:type="spellStart"/>
      <w:r w:rsidRPr="005717D8">
        <w:rPr>
          <w:rFonts w:eastAsia="Calibri" w:cs="Times New Roman"/>
          <w:szCs w:val="24"/>
        </w:rPr>
        <w:t>Hrsg</w:t>
      </w:r>
      <w:proofErr w:type="spellEnd"/>
      <w:r w:rsidRPr="005717D8">
        <w:rPr>
          <w:rFonts w:eastAsia="Calibri" w:cs="Times New Roman"/>
          <w:szCs w:val="24"/>
        </w:rPr>
        <w:t>) und die Gesellschaft der epidemiologischen Krebsregister in Deutschland e.V. (</w:t>
      </w:r>
      <w:proofErr w:type="spellStart"/>
      <w:r w:rsidRPr="005717D8">
        <w:rPr>
          <w:rFonts w:eastAsia="Calibri" w:cs="Times New Roman"/>
          <w:szCs w:val="24"/>
        </w:rPr>
        <w:t>Hrsg</w:t>
      </w:r>
      <w:proofErr w:type="spellEnd"/>
      <w:r w:rsidRPr="005717D8">
        <w:rPr>
          <w:rFonts w:eastAsia="Calibri" w:cs="Times New Roman"/>
          <w:szCs w:val="24"/>
        </w:rPr>
        <w:t xml:space="preserve">). </w:t>
      </w:r>
      <w:r w:rsidRPr="00DB47CD">
        <w:rPr>
          <w:rFonts w:eastAsia="Calibri" w:cs="Times New Roman"/>
          <w:szCs w:val="24"/>
          <w:lang w:val="en-GB"/>
        </w:rPr>
        <w:t>Berlin</w:t>
      </w:r>
    </w:p>
    <w:p w14:paraId="764700E5"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Shore RE, Beck HL, </w:t>
      </w:r>
      <w:proofErr w:type="spellStart"/>
      <w:r w:rsidRPr="00DB47CD">
        <w:rPr>
          <w:rFonts w:eastAsia="Calibri" w:cs="Times New Roman"/>
          <w:szCs w:val="24"/>
          <w:lang w:val="en-GB"/>
        </w:rPr>
        <w:t>Boice</w:t>
      </w:r>
      <w:proofErr w:type="spellEnd"/>
      <w:r w:rsidRPr="00DB47CD">
        <w:rPr>
          <w:rFonts w:eastAsia="Calibri" w:cs="Times New Roman"/>
          <w:szCs w:val="24"/>
          <w:lang w:val="en-GB"/>
        </w:rPr>
        <w:t xml:space="preserve"> JD, </w:t>
      </w:r>
      <w:proofErr w:type="spellStart"/>
      <w:r w:rsidRPr="00DB47CD">
        <w:rPr>
          <w:rFonts w:eastAsia="Calibri" w:cs="Times New Roman"/>
          <w:szCs w:val="24"/>
          <w:lang w:val="en-GB"/>
        </w:rPr>
        <w:t>Caffrey</w:t>
      </w:r>
      <w:proofErr w:type="spellEnd"/>
      <w:r w:rsidRPr="00DB47CD">
        <w:rPr>
          <w:rFonts w:eastAsia="Calibri" w:cs="Times New Roman"/>
          <w:szCs w:val="24"/>
          <w:lang w:val="en-GB"/>
        </w:rPr>
        <w:t xml:space="preserve"> EA, Davis S, Grogan HA, </w:t>
      </w:r>
      <w:proofErr w:type="spellStart"/>
      <w:r w:rsidRPr="00DB47CD">
        <w:rPr>
          <w:rFonts w:eastAsia="Calibri" w:cs="Times New Roman"/>
          <w:szCs w:val="24"/>
          <w:lang w:val="en-GB"/>
        </w:rPr>
        <w:t>Mettler</w:t>
      </w:r>
      <w:proofErr w:type="spellEnd"/>
      <w:r w:rsidRPr="00DB47CD">
        <w:rPr>
          <w:rFonts w:eastAsia="Calibri" w:cs="Times New Roman"/>
          <w:szCs w:val="24"/>
          <w:lang w:val="en-GB"/>
        </w:rPr>
        <w:t xml:space="preserve"> FA, Preston RJ, Till JE, </w:t>
      </w:r>
      <w:proofErr w:type="spellStart"/>
      <w:r w:rsidRPr="00DB47CD">
        <w:rPr>
          <w:rFonts w:eastAsia="Calibri" w:cs="Times New Roman"/>
          <w:szCs w:val="24"/>
          <w:lang w:val="en-GB"/>
        </w:rPr>
        <w:t>Wakeford</w:t>
      </w:r>
      <w:proofErr w:type="spellEnd"/>
      <w:r w:rsidRPr="00DB47CD">
        <w:rPr>
          <w:rFonts w:eastAsia="Calibri" w:cs="Times New Roman"/>
          <w:szCs w:val="24"/>
          <w:lang w:val="en-GB"/>
        </w:rPr>
        <w:t xml:space="preserve"> R, Walsh L, </w:t>
      </w:r>
      <w:proofErr w:type="spellStart"/>
      <w:r w:rsidRPr="00DB47CD">
        <w:rPr>
          <w:rFonts w:eastAsia="Calibri" w:cs="Times New Roman"/>
          <w:szCs w:val="24"/>
          <w:lang w:val="en-GB"/>
        </w:rPr>
        <w:t>Dauer</w:t>
      </w:r>
      <w:proofErr w:type="spellEnd"/>
      <w:r w:rsidRPr="00DB47CD">
        <w:rPr>
          <w:rFonts w:eastAsia="Calibri" w:cs="Times New Roman"/>
          <w:szCs w:val="24"/>
          <w:lang w:val="en-GB"/>
        </w:rPr>
        <w:t xml:space="preserve"> LT (2018) Memorandum, Implications of recent epidemiologic studies for the linear </w:t>
      </w:r>
      <w:proofErr w:type="spellStart"/>
      <w:r w:rsidRPr="00DB47CD">
        <w:rPr>
          <w:rFonts w:eastAsia="Calibri" w:cs="Times New Roman"/>
          <w:szCs w:val="24"/>
          <w:lang w:val="en-GB"/>
        </w:rPr>
        <w:t>nonthreshold</w:t>
      </w:r>
      <w:proofErr w:type="spellEnd"/>
      <w:r w:rsidRPr="00DB47CD">
        <w:rPr>
          <w:rFonts w:eastAsia="Calibri" w:cs="Times New Roman"/>
          <w:szCs w:val="24"/>
          <w:lang w:val="en-GB"/>
        </w:rPr>
        <w:t xml:space="preserve"> model and radiation protection. J </w:t>
      </w:r>
      <w:proofErr w:type="spellStart"/>
      <w:r w:rsidRPr="00DB47CD">
        <w:rPr>
          <w:rFonts w:eastAsia="Calibri" w:cs="Times New Roman"/>
          <w:szCs w:val="24"/>
          <w:lang w:val="en-GB"/>
        </w:rPr>
        <w:t>Radiolo</w:t>
      </w:r>
      <w:proofErr w:type="spellEnd"/>
      <w:r w:rsidRPr="00DB47CD">
        <w:rPr>
          <w:rFonts w:eastAsia="Calibri" w:cs="Times New Roman"/>
          <w:szCs w:val="24"/>
          <w:lang w:val="en-GB"/>
        </w:rPr>
        <w:t xml:space="preserve"> </w:t>
      </w:r>
      <w:proofErr w:type="spellStart"/>
      <w:r w:rsidRPr="00DB47CD">
        <w:rPr>
          <w:rFonts w:eastAsia="Calibri" w:cs="Times New Roman"/>
          <w:szCs w:val="24"/>
          <w:lang w:val="en-GB"/>
        </w:rPr>
        <w:t>Prot</w:t>
      </w:r>
      <w:proofErr w:type="spellEnd"/>
      <w:r w:rsidRPr="00DB47CD">
        <w:rPr>
          <w:rFonts w:eastAsia="Calibri" w:cs="Times New Roman"/>
          <w:szCs w:val="24"/>
          <w:lang w:val="en-GB"/>
        </w:rPr>
        <w:t xml:space="preserve"> 38:1212-1233 </w:t>
      </w:r>
    </w:p>
    <w:p w14:paraId="5DB01A77" w14:textId="36597A5D" w:rsidR="00BF0719" w:rsidRPr="00694779"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Shore R, Walsh L, </w:t>
      </w:r>
      <w:proofErr w:type="spellStart"/>
      <w:r w:rsidRPr="00DB47CD">
        <w:rPr>
          <w:rFonts w:eastAsia="Calibri" w:cs="Times New Roman"/>
          <w:szCs w:val="24"/>
          <w:lang w:val="en-GB"/>
        </w:rPr>
        <w:t>Azizova</w:t>
      </w:r>
      <w:proofErr w:type="spellEnd"/>
      <w:r w:rsidRPr="00DB47CD">
        <w:rPr>
          <w:rFonts w:eastAsia="Calibri" w:cs="Times New Roman"/>
          <w:szCs w:val="24"/>
          <w:lang w:val="en-GB"/>
        </w:rPr>
        <w:t xml:space="preserve"> T, </w:t>
      </w:r>
      <w:proofErr w:type="spellStart"/>
      <w:r w:rsidRPr="00DB47CD">
        <w:rPr>
          <w:rFonts w:eastAsia="Calibri" w:cs="Times New Roman"/>
          <w:szCs w:val="24"/>
          <w:lang w:val="en-GB"/>
        </w:rPr>
        <w:t>Rühm</w:t>
      </w:r>
      <w:proofErr w:type="spellEnd"/>
      <w:r w:rsidRPr="00DB47CD">
        <w:rPr>
          <w:rFonts w:eastAsia="Calibri" w:cs="Times New Roman"/>
          <w:szCs w:val="24"/>
          <w:lang w:val="en-GB"/>
        </w:rPr>
        <w:t xml:space="preserve"> W (2017) Risk of solid cancer in low dose-rate radiation epidemiological studies and the dose-rate effectiveness factor, International Journal of Rad</w:t>
      </w:r>
      <w:r w:rsidR="00694779">
        <w:rPr>
          <w:rFonts w:eastAsia="Calibri" w:cs="Times New Roman"/>
          <w:szCs w:val="24"/>
          <w:lang w:val="en-GB"/>
        </w:rPr>
        <w:t>iation Biology 93(10):1064-1078</w:t>
      </w:r>
    </w:p>
    <w:p w14:paraId="47F41D3F" w14:textId="77777777" w:rsidR="00BF0719" w:rsidRPr="00DB47CD" w:rsidRDefault="00BF0719" w:rsidP="00BF0719">
      <w:pPr>
        <w:autoSpaceDE w:val="0"/>
        <w:autoSpaceDN w:val="0"/>
        <w:adjustRightInd w:val="0"/>
        <w:spacing w:after="0"/>
        <w:rPr>
          <w:rFonts w:eastAsia="TradeGothicLTStd" w:cs="Times New Roman"/>
          <w:color w:val="1A181C"/>
          <w:szCs w:val="24"/>
          <w:lang w:val="en-GB" w:eastAsia="de-DE"/>
        </w:rPr>
      </w:pPr>
      <w:r w:rsidRPr="005717D8">
        <w:rPr>
          <w:rFonts w:eastAsia="TradeGothicLTStd" w:cs="Times New Roman"/>
          <w:color w:val="1A181C"/>
          <w:szCs w:val="24"/>
          <w:lang w:eastAsia="de-DE"/>
        </w:rPr>
        <w:t xml:space="preserve">Statistisches Bundesamt (2016) Strebetafel 2013/2015, </w:t>
      </w:r>
      <w:r w:rsidRPr="005717D8">
        <w:rPr>
          <w:rFonts w:eastAsia="Calibri" w:cs="Times New Roman"/>
          <w:bCs/>
          <w:color w:val="000000"/>
          <w:szCs w:val="24"/>
        </w:rPr>
        <w:t xml:space="preserve">Methoden- und Ergebnisbericht zur laufenden Berechnung von Periodensterbetafeln für Deutschland und die Bundesländer. </w:t>
      </w:r>
      <w:proofErr w:type="spellStart"/>
      <w:r w:rsidRPr="00DB47CD">
        <w:rPr>
          <w:rFonts w:eastAsia="Calibri" w:cs="Times New Roman"/>
          <w:bCs/>
          <w:color w:val="000000"/>
          <w:szCs w:val="24"/>
          <w:lang w:val="en-GB"/>
        </w:rPr>
        <w:t>Statistisches</w:t>
      </w:r>
      <w:proofErr w:type="spellEnd"/>
      <w:r w:rsidRPr="00DB47CD">
        <w:rPr>
          <w:rFonts w:eastAsia="Calibri" w:cs="Times New Roman"/>
          <w:bCs/>
          <w:color w:val="000000"/>
          <w:szCs w:val="24"/>
          <w:lang w:val="en-GB"/>
        </w:rPr>
        <w:t xml:space="preserve"> </w:t>
      </w:r>
      <w:proofErr w:type="spellStart"/>
      <w:r w:rsidRPr="00DB47CD">
        <w:rPr>
          <w:rFonts w:eastAsia="Calibri" w:cs="Times New Roman"/>
          <w:bCs/>
          <w:color w:val="000000"/>
          <w:szCs w:val="24"/>
          <w:lang w:val="en-GB"/>
        </w:rPr>
        <w:t>Bundesamt</w:t>
      </w:r>
      <w:proofErr w:type="spellEnd"/>
      <w:r w:rsidRPr="00DB47CD">
        <w:rPr>
          <w:rFonts w:eastAsia="Calibri" w:cs="Times New Roman"/>
          <w:bCs/>
          <w:color w:val="000000"/>
          <w:szCs w:val="24"/>
          <w:lang w:val="en-GB"/>
        </w:rPr>
        <w:t>, Wiesbaden</w:t>
      </w:r>
      <w:r w:rsidRPr="00DB47CD">
        <w:rPr>
          <w:rFonts w:eastAsia="Calibri" w:cs="Times New Roman"/>
          <w:b/>
          <w:bCs/>
          <w:color w:val="000000"/>
          <w:szCs w:val="24"/>
          <w:lang w:val="en-GB"/>
        </w:rPr>
        <w:t xml:space="preserve"> </w:t>
      </w:r>
      <w:r w:rsidRPr="00DB47CD">
        <w:rPr>
          <w:rFonts w:eastAsia="TradeGothicLTStd" w:cs="Times New Roman"/>
          <w:color w:val="1A181C"/>
          <w:szCs w:val="24"/>
          <w:lang w:val="en-GB" w:eastAsia="de-DE"/>
        </w:rPr>
        <w:t>(www.destatis.de/kontakt)</w:t>
      </w:r>
    </w:p>
    <w:p w14:paraId="1F53B596" w14:textId="77777777" w:rsidR="00BF0719" w:rsidRPr="00DB47CD" w:rsidRDefault="00BF0719" w:rsidP="00BF0719">
      <w:pPr>
        <w:autoSpaceDE w:val="0"/>
        <w:autoSpaceDN w:val="0"/>
        <w:adjustRightInd w:val="0"/>
        <w:spacing w:after="0"/>
        <w:rPr>
          <w:rFonts w:eastAsia="Times New Roman" w:cs="Times New Roman"/>
          <w:b/>
          <w:color w:val="000000"/>
          <w:szCs w:val="24"/>
          <w:lang w:val="en-GB" w:eastAsia="de-DE"/>
        </w:rPr>
      </w:pPr>
      <w:r w:rsidRPr="00DB47CD">
        <w:rPr>
          <w:rFonts w:eastAsia="Times New Roman" w:cs="Times New Roman"/>
          <w:color w:val="000000"/>
          <w:szCs w:val="24"/>
          <w:lang w:val="en-GB" w:eastAsia="de-DE"/>
        </w:rPr>
        <w:t>SSK (2014), Basic Radiological Principles for Decisions on Measures for the Protection of the Population against Incidents involving Releases of Radionuclides, Recommendation by the German Commission on Radiological Protection</w:t>
      </w:r>
    </w:p>
    <w:p w14:paraId="6969F6C2" w14:textId="77777777" w:rsidR="00BF0719" w:rsidRPr="00DB47CD" w:rsidRDefault="00BF0719" w:rsidP="00DB47CD">
      <w:pPr>
        <w:rPr>
          <w:lang w:val="en-GB" w:eastAsia="de-DE"/>
        </w:rPr>
      </w:pPr>
      <w:r w:rsidRPr="00DB47CD">
        <w:rPr>
          <w:lang w:val="en-GB" w:eastAsia="de-DE"/>
        </w:rPr>
        <w:t>Swiss RPO (2017) Radiological Protection Ordinance (RPO) – of 26 April 2017 (Status as of 5 June 2018) Art. 123, 2017 (</w:t>
      </w:r>
      <w:hyperlink r:id="rId10" w:history="1">
        <w:r w:rsidRPr="00DB47CD">
          <w:rPr>
            <w:lang w:val="en-GB" w:eastAsia="de-DE"/>
          </w:rPr>
          <w:t>https://www.admin.ch/opc/en/classified-compilation/20163016/index.html</w:t>
        </w:r>
      </w:hyperlink>
      <w:r w:rsidRPr="00DB47CD">
        <w:rPr>
          <w:lang w:val="en-GB" w:eastAsia="de-DE"/>
        </w:rPr>
        <w:t>)</w:t>
      </w:r>
    </w:p>
    <w:p w14:paraId="212C6451"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lastRenderedPageBreak/>
        <w:t xml:space="preserve">Thomas D, Darby S, </w:t>
      </w:r>
      <w:proofErr w:type="spellStart"/>
      <w:r w:rsidRPr="00DB47CD">
        <w:rPr>
          <w:rFonts w:eastAsia="Calibri" w:cs="Times New Roman"/>
          <w:szCs w:val="24"/>
          <w:lang w:val="en-GB"/>
        </w:rPr>
        <w:t>Fagnani</w:t>
      </w:r>
      <w:proofErr w:type="spellEnd"/>
      <w:r w:rsidRPr="00DB47CD">
        <w:rPr>
          <w:rFonts w:eastAsia="Calibri" w:cs="Times New Roman"/>
          <w:szCs w:val="24"/>
          <w:lang w:val="en-GB"/>
        </w:rPr>
        <w:t xml:space="preserve"> F, Hubert P, </w:t>
      </w:r>
      <w:proofErr w:type="spellStart"/>
      <w:r w:rsidRPr="00DB47CD">
        <w:rPr>
          <w:rFonts w:eastAsia="Calibri" w:cs="Times New Roman"/>
          <w:szCs w:val="24"/>
          <w:lang w:val="en-GB"/>
        </w:rPr>
        <w:t>Vaeth</w:t>
      </w:r>
      <w:proofErr w:type="spellEnd"/>
      <w:r w:rsidRPr="00DB47CD">
        <w:rPr>
          <w:rFonts w:eastAsia="Calibri" w:cs="Times New Roman"/>
          <w:szCs w:val="24"/>
          <w:lang w:val="en-GB"/>
        </w:rPr>
        <w:t xml:space="preserve"> M, Weiss K (1992) Definition and estimation of lifetime detriment from radiation exposures: principles and methods. Health Physics 63(3):259-272</w:t>
      </w:r>
    </w:p>
    <w:p w14:paraId="15593B89" w14:textId="77777777" w:rsidR="00BF0719" w:rsidRPr="00DB47CD" w:rsidRDefault="00BF0719" w:rsidP="00BF0719">
      <w:pPr>
        <w:autoSpaceDE w:val="0"/>
        <w:autoSpaceDN w:val="0"/>
        <w:adjustRightInd w:val="0"/>
        <w:spacing w:after="0"/>
        <w:rPr>
          <w:rFonts w:eastAsia="Calibri" w:cs="Times New Roman"/>
          <w:bCs/>
          <w:color w:val="000000"/>
          <w:szCs w:val="24"/>
          <w:lang w:val="en-GB"/>
        </w:rPr>
      </w:pPr>
      <w:proofErr w:type="spellStart"/>
      <w:r w:rsidRPr="00DB47CD">
        <w:rPr>
          <w:rFonts w:eastAsia="Calibri" w:cs="Times New Roman"/>
          <w:color w:val="000000"/>
          <w:szCs w:val="24"/>
          <w:lang w:val="en-GB"/>
        </w:rPr>
        <w:t>Ulanowski</w:t>
      </w:r>
      <w:proofErr w:type="spellEnd"/>
      <w:r w:rsidRPr="00DB47CD">
        <w:rPr>
          <w:rFonts w:eastAsia="Calibri" w:cs="Times New Roman"/>
          <w:color w:val="000000"/>
          <w:szCs w:val="24"/>
          <w:lang w:val="en-GB"/>
        </w:rPr>
        <w:t xml:space="preserve"> A, </w:t>
      </w:r>
      <w:proofErr w:type="spellStart"/>
      <w:r w:rsidRPr="00DB47CD">
        <w:rPr>
          <w:rFonts w:eastAsia="Calibri" w:cs="Times New Roman"/>
          <w:color w:val="000000"/>
          <w:szCs w:val="24"/>
          <w:lang w:val="en-GB"/>
        </w:rPr>
        <w:t>Eidemüller</w:t>
      </w:r>
      <w:proofErr w:type="spellEnd"/>
      <w:r w:rsidRPr="00DB47CD">
        <w:rPr>
          <w:rFonts w:eastAsia="Calibri" w:cs="Times New Roman"/>
          <w:color w:val="000000"/>
          <w:szCs w:val="24"/>
          <w:lang w:val="en-GB"/>
        </w:rPr>
        <w:t xml:space="preserve"> M, </w:t>
      </w:r>
      <w:proofErr w:type="spellStart"/>
      <w:r w:rsidRPr="00DB47CD">
        <w:rPr>
          <w:rFonts w:eastAsia="Calibri" w:cs="Times New Roman"/>
          <w:color w:val="000000"/>
          <w:szCs w:val="24"/>
          <w:lang w:val="en-GB"/>
        </w:rPr>
        <w:t>Güthlin</w:t>
      </w:r>
      <w:proofErr w:type="spellEnd"/>
      <w:r w:rsidRPr="00DB47CD">
        <w:rPr>
          <w:rFonts w:eastAsia="Calibri" w:cs="Times New Roman"/>
          <w:color w:val="000000"/>
          <w:szCs w:val="24"/>
          <w:lang w:val="en-GB"/>
        </w:rPr>
        <w:t xml:space="preserve"> D, Kaiser JC, </w:t>
      </w:r>
      <w:proofErr w:type="spellStart"/>
      <w:r w:rsidRPr="00DB47CD">
        <w:rPr>
          <w:rFonts w:eastAsia="Calibri" w:cs="Times New Roman"/>
          <w:color w:val="000000"/>
          <w:szCs w:val="24"/>
          <w:lang w:val="en-GB"/>
        </w:rPr>
        <w:t>Shemiakina</w:t>
      </w:r>
      <w:proofErr w:type="spellEnd"/>
      <w:r w:rsidRPr="00DB47CD">
        <w:rPr>
          <w:rFonts w:eastAsia="Calibri" w:cs="Times New Roman"/>
          <w:color w:val="000000"/>
          <w:szCs w:val="24"/>
          <w:lang w:val="en-GB"/>
        </w:rPr>
        <w:t xml:space="preserve"> E, Jacob P (2016) </w:t>
      </w:r>
      <w:proofErr w:type="spellStart"/>
      <w:r w:rsidRPr="00DB47CD">
        <w:rPr>
          <w:rFonts w:eastAsia="Calibri" w:cs="Times New Roman"/>
          <w:bCs/>
          <w:color w:val="000000"/>
          <w:szCs w:val="24"/>
          <w:lang w:val="en-GB"/>
        </w:rPr>
        <w:t>ProZES</w:t>
      </w:r>
      <w:proofErr w:type="spellEnd"/>
      <w:r w:rsidRPr="00DB47CD">
        <w:rPr>
          <w:rFonts w:eastAsia="Calibri" w:cs="Times New Roman"/>
          <w:bCs/>
          <w:color w:val="000000"/>
          <w:szCs w:val="24"/>
          <w:lang w:val="en-GB"/>
        </w:rPr>
        <w:t xml:space="preserve">: a tool for assessment of assigned share of radiation in probability of cancer development (Part II), </w:t>
      </w:r>
      <w:proofErr w:type="spellStart"/>
      <w:r w:rsidRPr="00DB47CD">
        <w:rPr>
          <w:rFonts w:eastAsia="Calibri" w:cs="Times New Roman"/>
          <w:bCs/>
          <w:color w:val="000000"/>
          <w:szCs w:val="24"/>
          <w:lang w:val="en-GB"/>
        </w:rPr>
        <w:t>Bundesamt</w:t>
      </w:r>
      <w:proofErr w:type="spellEnd"/>
      <w:r w:rsidRPr="00DB47CD">
        <w:rPr>
          <w:rFonts w:eastAsia="Calibri" w:cs="Times New Roman"/>
          <w:bCs/>
          <w:color w:val="000000"/>
          <w:szCs w:val="24"/>
          <w:lang w:val="en-GB"/>
        </w:rPr>
        <w:t xml:space="preserve"> </w:t>
      </w:r>
      <w:proofErr w:type="spellStart"/>
      <w:r w:rsidRPr="00DB47CD">
        <w:rPr>
          <w:rFonts w:eastAsia="Calibri" w:cs="Times New Roman"/>
          <w:bCs/>
          <w:color w:val="000000"/>
          <w:szCs w:val="24"/>
          <w:lang w:val="en-GB"/>
        </w:rPr>
        <w:t>f</w:t>
      </w:r>
      <w:r w:rsidRPr="00DB47CD">
        <w:rPr>
          <w:rFonts w:eastAsia="Calibri" w:cs="Times New Roman"/>
          <w:color w:val="000000"/>
          <w:szCs w:val="24"/>
          <w:lang w:val="en-GB"/>
        </w:rPr>
        <w:t>ü</w:t>
      </w:r>
      <w:r w:rsidRPr="00DB47CD">
        <w:rPr>
          <w:rFonts w:eastAsia="Calibri" w:cs="Times New Roman"/>
          <w:bCs/>
          <w:color w:val="000000"/>
          <w:szCs w:val="24"/>
          <w:lang w:val="en-GB"/>
        </w:rPr>
        <w:t>r</w:t>
      </w:r>
      <w:proofErr w:type="spellEnd"/>
      <w:r w:rsidRPr="00DB47CD">
        <w:rPr>
          <w:rFonts w:eastAsia="Calibri" w:cs="Times New Roman"/>
          <w:bCs/>
          <w:color w:val="000000"/>
          <w:szCs w:val="24"/>
          <w:lang w:val="en-GB"/>
        </w:rPr>
        <w:t xml:space="preserve"> </w:t>
      </w:r>
      <w:proofErr w:type="spellStart"/>
      <w:r w:rsidRPr="00DB47CD">
        <w:rPr>
          <w:rFonts w:eastAsia="Calibri" w:cs="Times New Roman"/>
          <w:bCs/>
          <w:color w:val="000000"/>
          <w:szCs w:val="24"/>
          <w:lang w:val="en-GB"/>
        </w:rPr>
        <w:t>Strahlenschutz</w:t>
      </w:r>
      <w:proofErr w:type="spellEnd"/>
      <w:r w:rsidRPr="00DB47CD">
        <w:rPr>
          <w:rFonts w:eastAsia="Calibri" w:cs="Times New Roman"/>
          <w:bCs/>
          <w:color w:val="000000"/>
          <w:szCs w:val="24"/>
          <w:lang w:val="en-GB"/>
        </w:rPr>
        <w:t xml:space="preserve"> (</w:t>
      </w:r>
      <w:proofErr w:type="spellStart"/>
      <w:r w:rsidRPr="00DB47CD">
        <w:rPr>
          <w:rFonts w:eastAsia="Calibri" w:cs="Times New Roman"/>
          <w:bCs/>
          <w:color w:val="000000"/>
          <w:szCs w:val="24"/>
          <w:lang w:val="en-GB"/>
        </w:rPr>
        <w:t>BfS</w:t>
      </w:r>
      <w:proofErr w:type="spellEnd"/>
      <w:r w:rsidRPr="00DB47CD">
        <w:rPr>
          <w:rFonts w:eastAsia="Calibri" w:cs="Times New Roman"/>
          <w:bCs/>
          <w:color w:val="000000"/>
          <w:szCs w:val="24"/>
          <w:lang w:val="en-GB"/>
        </w:rPr>
        <w:t xml:space="preserve">). Report BfS-RESFOR-116/16. URL: </w:t>
      </w:r>
      <w:hyperlink r:id="rId11" w:history="1">
        <w:r w:rsidRPr="00DB47CD">
          <w:rPr>
            <w:rFonts w:eastAsia="Calibri" w:cs="Times New Roman"/>
            <w:color w:val="0000FF"/>
            <w:szCs w:val="24"/>
            <w:u w:val="single"/>
            <w:lang w:val="en-GB"/>
          </w:rPr>
          <w:t>http://doris.bfs.de/jspui/handle/urn:nbn:de:0221-2016112214169</w:t>
        </w:r>
      </w:hyperlink>
      <w:r w:rsidRPr="00DB47CD">
        <w:rPr>
          <w:rFonts w:eastAsia="Calibri" w:cs="Times New Roman"/>
          <w:bCs/>
          <w:color w:val="000000"/>
          <w:szCs w:val="24"/>
          <w:lang w:val="en-GB"/>
        </w:rPr>
        <w:t xml:space="preserve"> </w:t>
      </w:r>
    </w:p>
    <w:p w14:paraId="0E077EDF" w14:textId="5C5263FD" w:rsidR="00BF0719" w:rsidRPr="00DB47CD" w:rsidRDefault="00BF0719" w:rsidP="00BF0719">
      <w:pPr>
        <w:rPr>
          <w:rFonts w:eastAsia="Calibri" w:cs="Arial"/>
          <w:lang w:val="en-GB"/>
        </w:rPr>
      </w:pPr>
      <w:proofErr w:type="spellStart"/>
      <w:r w:rsidRPr="00DB47CD">
        <w:rPr>
          <w:rFonts w:eastAsia="Calibri" w:cs="Arial"/>
          <w:lang w:val="en-GB"/>
        </w:rPr>
        <w:t>Ulanowski</w:t>
      </w:r>
      <w:proofErr w:type="spellEnd"/>
      <w:r w:rsidRPr="00DB47CD">
        <w:rPr>
          <w:rFonts w:eastAsia="Calibri" w:cs="Arial"/>
          <w:lang w:val="en-GB"/>
        </w:rPr>
        <w:t xml:space="preserve"> A, Kaiser</w:t>
      </w:r>
      <w:r w:rsidRPr="00DB47CD">
        <w:rPr>
          <w:rFonts w:eastAsia="Calibri" w:cs="Arial"/>
          <w:vertAlign w:val="superscript"/>
          <w:lang w:val="en-GB"/>
        </w:rPr>
        <w:t xml:space="preserve"> </w:t>
      </w:r>
      <w:r w:rsidRPr="00DB47CD">
        <w:rPr>
          <w:rFonts w:eastAsia="Calibri" w:cs="Arial"/>
          <w:lang w:val="en-GB"/>
        </w:rPr>
        <w:t>J C, Schneid</w:t>
      </w:r>
      <w:r w:rsidR="00415C1E">
        <w:rPr>
          <w:rFonts w:eastAsia="Calibri" w:cs="Arial"/>
          <w:lang w:val="en-GB"/>
        </w:rPr>
        <w:t>er U,</w:t>
      </w:r>
      <w:r w:rsidR="00415C1E" w:rsidRPr="00DB47CD">
        <w:rPr>
          <w:rFonts w:eastAsia="Calibri" w:cs="Arial"/>
          <w:lang w:val="en-GB"/>
        </w:rPr>
        <w:t xml:space="preserve"> Walsh</w:t>
      </w:r>
      <w:r w:rsidR="00415C1E" w:rsidRPr="00DB47CD">
        <w:rPr>
          <w:rFonts w:eastAsia="Calibri" w:cs="Arial"/>
          <w:vertAlign w:val="superscript"/>
          <w:lang w:val="en-GB"/>
        </w:rPr>
        <w:t xml:space="preserve">  </w:t>
      </w:r>
      <w:r w:rsidR="00415C1E" w:rsidRPr="00DB47CD">
        <w:rPr>
          <w:rFonts w:eastAsia="Calibri" w:cs="Arial"/>
          <w:lang w:val="en-GB"/>
        </w:rPr>
        <w:t xml:space="preserve">L </w:t>
      </w:r>
      <w:r w:rsidRPr="00DB47CD">
        <w:rPr>
          <w:rFonts w:eastAsia="Calibri" w:cs="Arial"/>
          <w:lang w:val="en-GB"/>
        </w:rPr>
        <w:t>(2019)  On the calculation of prognostic radiation risk estimates in medicine and radiation protection. In preparation</w:t>
      </w:r>
    </w:p>
    <w:p w14:paraId="509AEE87" w14:textId="77777777" w:rsidR="00BF0719" w:rsidRPr="00DB47CD" w:rsidRDefault="00BF0719" w:rsidP="00BF0719">
      <w:pPr>
        <w:rPr>
          <w:rFonts w:eastAsia="Calibri" w:cs="Times New Roman"/>
          <w:szCs w:val="24"/>
          <w:lang w:val="en-GB"/>
        </w:rPr>
      </w:pPr>
      <w:r w:rsidRPr="00DB47CD">
        <w:rPr>
          <w:rFonts w:eastAsia="Calibri" w:cs="Times New Roman"/>
          <w:szCs w:val="24"/>
          <w:lang w:val="en-GB"/>
        </w:rPr>
        <w:t>United Nations Effects of Ionizing Radiation (2008). United Nations Scientific Committee on the Effects of Atomic Radiation UNSCEAR 2006 Report. Volume I. Annex A: Epidemiological studies of radiation and cancer. United Nations, New York</w:t>
      </w:r>
    </w:p>
    <w:p w14:paraId="62BD8FC0" w14:textId="77777777" w:rsidR="00BF0719" w:rsidRPr="00DB47CD" w:rsidRDefault="00BF0719" w:rsidP="00BF0719">
      <w:pPr>
        <w:rPr>
          <w:rFonts w:eastAsia="Calibri" w:cs="Times New Roman"/>
          <w:bCs/>
          <w:szCs w:val="24"/>
          <w:lang w:val="en-GB"/>
        </w:rPr>
      </w:pPr>
      <w:r w:rsidRPr="00DB47CD">
        <w:rPr>
          <w:rFonts w:eastAsia="Calibri" w:cs="Times New Roman"/>
          <w:szCs w:val="24"/>
          <w:lang w:val="en-GB"/>
        </w:rPr>
        <w:t>United States National Research Council (2006) Committee to Assess Health Risks from Exposure to Low Levels of Ionizing Radiation, Health Risks from Exposure to Low Levels of Ionizing Radiation: BEIR VII – Phase 2. United States National Academy of Sciences. National Academy Press: Washington DC</w:t>
      </w:r>
    </w:p>
    <w:p w14:paraId="1D40A95F"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United Nations Effects of Ionizing Radiation (2013) United Nations Scientific Committee on the Effects of Atomic Radiation UNSCEAR 2013 Report. Volume II. Annex B: Effects of radiation exposure of children, New York</w:t>
      </w:r>
    </w:p>
    <w:p w14:paraId="3F07DF32" w14:textId="77777777" w:rsidR="00BF0719" w:rsidRPr="00DB47CD" w:rsidRDefault="00BF0719" w:rsidP="00BF0719">
      <w:pPr>
        <w:autoSpaceDE w:val="0"/>
        <w:autoSpaceDN w:val="0"/>
        <w:adjustRightInd w:val="0"/>
        <w:spacing w:after="0"/>
        <w:rPr>
          <w:rFonts w:eastAsia="Calibri" w:cs="Times New Roman"/>
          <w:bCs/>
          <w:szCs w:val="24"/>
          <w:lang w:val="en-GB"/>
        </w:rPr>
      </w:pPr>
      <w:r w:rsidRPr="00DB47CD">
        <w:rPr>
          <w:rFonts w:eastAsia="Calibri" w:cs="Times New Roman"/>
          <w:szCs w:val="24"/>
          <w:lang w:val="en-GB"/>
        </w:rPr>
        <w:t>United Nations Effects of Ionizing Radiation (2014) United Nations Scientific Committee on the Effects of Atomic Radiation UNSCEAR 2013 Report. Volume I. Annex A: Levels and effects of radiation exposure due to the nuclear accident after the 2011 great east-Japan earthquake and tsunami, New York</w:t>
      </w:r>
    </w:p>
    <w:p w14:paraId="22667D27" w14:textId="77777777" w:rsidR="00BF0719" w:rsidRPr="00DB47CD" w:rsidRDefault="00BF0719" w:rsidP="00BF0719">
      <w:pPr>
        <w:autoSpaceDE w:val="0"/>
        <w:autoSpaceDN w:val="0"/>
        <w:adjustRightInd w:val="0"/>
        <w:spacing w:after="0"/>
        <w:rPr>
          <w:rFonts w:eastAsia="Calibri" w:cs="Times New Roman"/>
          <w:szCs w:val="24"/>
          <w:lang w:val="en-GB"/>
        </w:rPr>
      </w:pPr>
      <w:proofErr w:type="spellStart"/>
      <w:r w:rsidRPr="00DB47CD">
        <w:rPr>
          <w:rFonts w:eastAsia="Calibri" w:cs="Times New Roman"/>
          <w:szCs w:val="24"/>
          <w:lang w:val="en-GB"/>
        </w:rPr>
        <w:t>Vaeth</w:t>
      </w:r>
      <w:proofErr w:type="spellEnd"/>
      <w:r w:rsidRPr="00DB47CD">
        <w:rPr>
          <w:rFonts w:eastAsia="Calibri" w:cs="Times New Roman"/>
          <w:szCs w:val="24"/>
          <w:lang w:val="en-GB"/>
        </w:rPr>
        <w:t xml:space="preserve"> M, Pierce DA (1990) Calculating excess lifetime risk in relative risk models. Environmental Health </w:t>
      </w:r>
      <w:proofErr w:type="spellStart"/>
      <w:r w:rsidRPr="00DB47CD">
        <w:rPr>
          <w:rFonts w:eastAsia="Calibri" w:cs="Times New Roman"/>
          <w:szCs w:val="24"/>
          <w:lang w:val="en-GB"/>
        </w:rPr>
        <w:t>Prospectives</w:t>
      </w:r>
      <w:proofErr w:type="spellEnd"/>
      <w:r w:rsidRPr="00DB47CD">
        <w:rPr>
          <w:rFonts w:eastAsia="Calibri" w:cs="Times New Roman"/>
          <w:szCs w:val="24"/>
          <w:lang w:val="en-GB"/>
        </w:rPr>
        <w:t>, 87:83–94.</w:t>
      </w:r>
    </w:p>
    <w:p w14:paraId="235337F3" w14:textId="77777777" w:rsidR="00BF0719" w:rsidRPr="00DB47CD" w:rsidRDefault="00BF0719" w:rsidP="00BF0719">
      <w:pPr>
        <w:spacing w:after="0"/>
        <w:rPr>
          <w:rFonts w:eastAsia="Times New Roman" w:cs="Times New Roman"/>
          <w:szCs w:val="24"/>
          <w:lang w:val="en-GB" w:eastAsia="ru-RU"/>
        </w:rPr>
      </w:pPr>
      <w:proofErr w:type="spellStart"/>
      <w:r w:rsidRPr="00DB47CD">
        <w:rPr>
          <w:rFonts w:eastAsia="Times New Roman" w:cs="Times New Roman"/>
          <w:szCs w:val="24"/>
          <w:lang w:val="en-GB" w:eastAsia="ru-RU"/>
        </w:rPr>
        <w:t>Wakeford</w:t>
      </w:r>
      <w:proofErr w:type="spellEnd"/>
      <w:r w:rsidRPr="00DB47CD">
        <w:rPr>
          <w:rFonts w:eastAsia="Times New Roman" w:cs="Times New Roman"/>
          <w:szCs w:val="24"/>
          <w:lang w:val="en-GB" w:eastAsia="ru-RU"/>
        </w:rPr>
        <w:t xml:space="preserve"> R (2011) </w:t>
      </w:r>
      <w:proofErr w:type="gramStart"/>
      <w:r w:rsidRPr="00DB47CD">
        <w:rPr>
          <w:rFonts w:eastAsia="Times New Roman" w:cs="Times New Roman"/>
          <w:szCs w:val="24"/>
          <w:lang w:val="en-GB" w:eastAsia="ru-RU"/>
        </w:rPr>
        <w:t>And</w:t>
      </w:r>
      <w:proofErr w:type="gramEnd"/>
      <w:r w:rsidRPr="00DB47CD">
        <w:rPr>
          <w:rFonts w:eastAsia="Times New Roman" w:cs="Times New Roman"/>
          <w:szCs w:val="24"/>
          <w:lang w:val="en-GB" w:eastAsia="ru-RU"/>
        </w:rPr>
        <w:t xml:space="preserve"> now, Fukushima. J </w:t>
      </w:r>
      <w:proofErr w:type="spellStart"/>
      <w:r w:rsidRPr="00DB47CD">
        <w:rPr>
          <w:rFonts w:eastAsia="Times New Roman" w:cs="Times New Roman"/>
          <w:szCs w:val="24"/>
          <w:lang w:val="en-GB" w:eastAsia="ru-RU"/>
        </w:rPr>
        <w:t>Radiol</w:t>
      </w:r>
      <w:proofErr w:type="spellEnd"/>
      <w:r w:rsidRPr="00DB47CD">
        <w:rPr>
          <w:rFonts w:eastAsia="Times New Roman" w:cs="Times New Roman"/>
          <w:szCs w:val="24"/>
          <w:lang w:val="en-GB" w:eastAsia="ru-RU"/>
        </w:rPr>
        <w:t xml:space="preserve"> </w:t>
      </w:r>
      <w:r w:rsidRPr="00DB47CD">
        <w:rPr>
          <w:rFonts w:eastAsia="Times New Roman" w:cs="Times New Roman"/>
          <w:bCs/>
          <w:szCs w:val="24"/>
          <w:lang w:val="en-GB" w:eastAsia="ru-RU"/>
        </w:rPr>
        <w:t>31</w:t>
      </w:r>
      <w:r w:rsidRPr="00DB47CD">
        <w:rPr>
          <w:rFonts w:eastAsia="Times New Roman" w:cs="Times New Roman"/>
          <w:b/>
          <w:bCs/>
          <w:szCs w:val="24"/>
          <w:lang w:val="en-GB" w:eastAsia="ru-RU"/>
        </w:rPr>
        <w:t>:</w:t>
      </w:r>
      <w:r w:rsidRPr="00DB47CD">
        <w:rPr>
          <w:rFonts w:eastAsia="Times New Roman" w:cs="Times New Roman"/>
          <w:szCs w:val="24"/>
          <w:lang w:val="en-GB" w:eastAsia="ru-RU"/>
        </w:rPr>
        <w:t>167–176.</w:t>
      </w:r>
    </w:p>
    <w:p w14:paraId="7D263FED" w14:textId="77777777" w:rsidR="00BF0719" w:rsidRPr="00DB47CD" w:rsidRDefault="00BF0719" w:rsidP="00BF0719">
      <w:pPr>
        <w:rPr>
          <w:rFonts w:eastAsia="Calibri" w:cs="Times New Roman"/>
          <w:szCs w:val="24"/>
          <w:lang w:val="en-GB"/>
        </w:rPr>
      </w:pPr>
      <w:r w:rsidRPr="00DB47CD">
        <w:rPr>
          <w:rFonts w:eastAsia="Calibri" w:cs="Times New Roman"/>
          <w:szCs w:val="24"/>
          <w:lang w:val="en-GB"/>
        </w:rPr>
        <w:t>WHO (2013) Health risk assessment from the nuclear accident after the 2011 Great East Japan Earthquake and Tsunami based on a preliminary dose estimation. WHO (</w:t>
      </w:r>
      <w:hyperlink r:id="rId12" w:history="1">
        <w:r w:rsidRPr="00DB47CD">
          <w:rPr>
            <w:rFonts w:eastAsia="Calibri" w:cs="Times New Roman"/>
            <w:color w:val="0000FF"/>
            <w:szCs w:val="24"/>
            <w:u w:val="single"/>
            <w:lang w:val="en-GB"/>
          </w:rPr>
          <w:t>http://www.who.int/ionizing_radiation/pub_meet/fukushima_risk_assessment_2013/en</w:t>
        </w:r>
      </w:hyperlink>
      <w:r w:rsidRPr="00DB47CD">
        <w:rPr>
          <w:rFonts w:eastAsia="Calibri" w:cs="Times New Roman"/>
          <w:szCs w:val="24"/>
          <w:lang w:val="en-GB"/>
        </w:rPr>
        <w:t>)</w:t>
      </w:r>
    </w:p>
    <w:p w14:paraId="3F6F60EE" w14:textId="77777777" w:rsidR="00BF0719" w:rsidRPr="00DB47CD" w:rsidRDefault="00BF0719" w:rsidP="00BF0719">
      <w:pPr>
        <w:autoSpaceDE w:val="0"/>
        <w:autoSpaceDN w:val="0"/>
        <w:adjustRightInd w:val="0"/>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 xml:space="preserve">Walsh L, Zhang W, Shore RE, </w:t>
      </w:r>
      <w:proofErr w:type="spellStart"/>
      <w:r w:rsidRPr="00DB47CD">
        <w:rPr>
          <w:rFonts w:eastAsia="Times New Roman" w:cs="Times New Roman"/>
          <w:color w:val="000000"/>
          <w:szCs w:val="24"/>
          <w:lang w:val="en-GB" w:eastAsia="de-DE"/>
        </w:rPr>
        <w:t>Auvinen</w:t>
      </w:r>
      <w:proofErr w:type="spellEnd"/>
      <w:r w:rsidRPr="00DB47CD">
        <w:rPr>
          <w:rFonts w:eastAsia="Times New Roman" w:cs="Times New Roman"/>
          <w:color w:val="000000"/>
          <w:szCs w:val="24"/>
          <w:lang w:val="en-GB" w:eastAsia="de-DE"/>
        </w:rPr>
        <w:t xml:space="preserve"> A, Laurier D, </w:t>
      </w:r>
      <w:proofErr w:type="spellStart"/>
      <w:r w:rsidRPr="00DB47CD">
        <w:rPr>
          <w:rFonts w:eastAsia="Times New Roman" w:cs="Times New Roman"/>
          <w:color w:val="000000"/>
          <w:szCs w:val="24"/>
          <w:lang w:val="en-GB" w:eastAsia="de-DE"/>
        </w:rPr>
        <w:t>Wakeford</w:t>
      </w:r>
      <w:proofErr w:type="spellEnd"/>
      <w:r w:rsidRPr="00DB47CD">
        <w:rPr>
          <w:rFonts w:eastAsia="Times New Roman" w:cs="Times New Roman"/>
          <w:color w:val="000000"/>
          <w:szCs w:val="24"/>
          <w:lang w:val="en-GB" w:eastAsia="de-DE"/>
        </w:rPr>
        <w:t xml:space="preserve"> R, Jacob P, Gent N, </w:t>
      </w:r>
      <w:proofErr w:type="spellStart"/>
      <w:r w:rsidRPr="00DB47CD">
        <w:rPr>
          <w:rFonts w:eastAsia="Times New Roman" w:cs="Times New Roman"/>
          <w:color w:val="000000"/>
          <w:szCs w:val="24"/>
          <w:lang w:val="en-GB" w:eastAsia="de-DE"/>
        </w:rPr>
        <w:t>Anspaugh</w:t>
      </w:r>
      <w:proofErr w:type="spellEnd"/>
      <w:r w:rsidRPr="00DB47CD">
        <w:rPr>
          <w:rFonts w:eastAsia="Times New Roman" w:cs="Times New Roman"/>
          <w:color w:val="000000"/>
          <w:szCs w:val="24"/>
          <w:lang w:val="en-GB" w:eastAsia="de-DE"/>
        </w:rPr>
        <w:t xml:space="preserve"> LR, </w:t>
      </w:r>
      <w:proofErr w:type="spellStart"/>
      <w:r w:rsidRPr="00DB47CD">
        <w:rPr>
          <w:rFonts w:eastAsia="Times New Roman" w:cs="Times New Roman"/>
          <w:color w:val="000000"/>
          <w:szCs w:val="24"/>
          <w:lang w:val="en-GB" w:eastAsia="de-DE"/>
        </w:rPr>
        <w:t>Schüz</w:t>
      </w:r>
      <w:proofErr w:type="spellEnd"/>
      <w:r w:rsidRPr="00DB47CD">
        <w:rPr>
          <w:rFonts w:eastAsia="Times New Roman" w:cs="Times New Roman"/>
          <w:color w:val="000000"/>
          <w:szCs w:val="24"/>
          <w:lang w:val="en-GB" w:eastAsia="de-DE"/>
        </w:rPr>
        <w:t xml:space="preserve"> J, </w:t>
      </w:r>
      <w:proofErr w:type="spellStart"/>
      <w:r w:rsidRPr="00DB47CD">
        <w:rPr>
          <w:rFonts w:eastAsia="Times New Roman" w:cs="Times New Roman"/>
          <w:color w:val="000000"/>
          <w:szCs w:val="24"/>
          <w:lang w:val="en-GB" w:eastAsia="de-DE"/>
        </w:rPr>
        <w:t>Kesminiene</w:t>
      </w:r>
      <w:proofErr w:type="spellEnd"/>
      <w:r w:rsidRPr="00DB47CD">
        <w:rPr>
          <w:rFonts w:eastAsia="Times New Roman" w:cs="Times New Roman"/>
          <w:color w:val="000000"/>
          <w:szCs w:val="24"/>
          <w:lang w:val="en-GB" w:eastAsia="de-DE"/>
        </w:rPr>
        <w:t xml:space="preserve"> A, van Deventer E, </w:t>
      </w:r>
      <w:proofErr w:type="spellStart"/>
      <w:r w:rsidRPr="00DB47CD">
        <w:rPr>
          <w:rFonts w:eastAsia="Times New Roman" w:cs="Times New Roman"/>
          <w:color w:val="000000"/>
          <w:szCs w:val="24"/>
          <w:lang w:val="en-GB" w:eastAsia="de-DE"/>
        </w:rPr>
        <w:t>Tritscher</w:t>
      </w:r>
      <w:proofErr w:type="spellEnd"/>
      <w:r w:rsidRPr="00DB47CD">
        <w:rPr>
          <w:rFonts w:eastAsia="Times New Roman" w:cs="Times New Roman"/>
          <w:color w:val="000000"/>
          <w:szCs w:val="24"/>
          <w:lang w:val="en-GB" w:eastAsia="de-DE"/>
        </w:rPr>
        <w:t xml:space="preserve"> A, del Rosario Pérez M (2014)  A framework for estimating radiation-related cancer risks in Japan from the 2011 Fukushima Nuclear Accident. </w:t>
      </w:r>
      <w:proofErr w:type="spellStart"/>
      <w:r w:rsidRPr="00DB47CD">
        <w:rPr>
          <w:rFonts w:eastAsia="Times New Roman" w:cs="Times New Roman"/>
          <w:color w:val="000000"/>
          <w:szCs w:val="24"/>
          <w:lang w:val="en-GB" w:eastAsia="de-DE"/>
        </w:rPr>
        <w:t>Radit</w:t>
      </w:r>
      <w:proofErr w:type="spellEnd"/>
      <w:r w:rsidRPr="00DB47CD">
        <w:rPr>
          <w:rFonts w:eastAsia="Times New Roman" w:cs="Times New Roman"/>
          <w:color w:val="000000"/>
          <w:szCs w:val="24"/>
          <w:lang w:val="en-GB" w:eastAsia="de-DE"/>
        </w:rPr>
        <w:t>. Res. 182, 556-572</w:t>
      </w:r>
    </w:p>
    <w:p w14:paraId="59A8185D" w14:textId="77777777" w:rsidR="00BF0719" w:rsidRPr="00DB47CD" w:rsidRDefault="00BF0719" w:rsidP="00BF0719">
      <w:pPr>
        <w:autoSpaceDE w:val="0"/>
        <w:autoSpaceDN w:val="0"/>
        <w:adjustRightInd w:val="0"/>
        <w:spacing w:after="0"/>
        <w:rPr>
          <w:rFonts w:eastAsia="Calibri" w:cs="Times New Roman"/>
          <w:bCs/>
          <w:color w:val="000000"/>
          <w:szCs w:val="24"/>
          <w:lang w:val="en-GB"/>
        </w:rPr>
      </w:pPr>
      <w:r w:rsidRPr="00DB47CD">
        <w:rPr>
          <w:rFonts w:eastAsia="Calibri" w:cs="Times New Roman"/>
          <w:bCs/>
          <w:color w:val="000000"/>
          <w:szCs w:val="24"/>
          <w:lang w:val="en-GB"/>
        </w:rPr>
        <w:t>Walsh L (2016) Fukushima Health Risk Assessment:  Lessons Learned. EU Scientific Seminar 2014 Fukushima – Lessons learned and issues, Luxembourg, 18 November 2014, European commission publication</w:t>
      </w:r>
    </w:p>
    <w:p w14:paraId="5828BD9A" w14:textId="77777777" w:rsidR="00BF0719" w:rsidRPr="00DB47CD" w:rsidRDefault="00BF0719" w:rsidP="00BF0719">
      <w:pPr>
        <w:autoSpaceDE w:val="0"/>
        <w:autoSpaceDN w:val="0"/>
        <w:adjustRightInd w:val="0"/>
        <w:spacing w:after="0"/>
        <w:rPr>
          <w:rFonts w:eastAsia="TradeGothicLTStd" w:cs="Times New Roman"/>
          <w:color w:val="1A181C"/>
          <w:szCs w:val="24"/>
          <w:lang w:val="en-GB"/>
        </w:rPr>
      </w:pPr>
      <w:proofErr w:type="spellStart"/>
      <w:r w:rsidRPr="00DB47CD">
        <w:rPr>
          <w:rFonts w:eastAsia="TradeGothicLTStd" w:cs="Times New Roman"/>
          <w:color w:val="1A181C"/>
          <w:szCs w:val="24"/>
          <w:lang w:val="en-GB"/>
        </w:rPr>
        <w:t>ZfKD</w:t>
      </w:r>
      <w:proofErr w:type="spellEnd"/>
      <w:r w:rsidRPr="00DB47CD">
        <w:rPr>
          <w:rFonts w:eastAsia="TradeGothicLTStd" w:cs="Times New Roman"/>
          <w:color w:val="1A181C"/>
          <w:szCs w:val="24"/>
          <w:lang w:val="en-GB"/>
        </w:rPr>
        <w:t xml:space="preserve"> (2016), RKI, (https://www.krebsdaten.de)</w:t>
      </w:r>
    </w:p>
    <w:p w14:paraId="2DFE9AFB" w14:textId="77777777" w:rsidR="00BF0719" w:rsidRPr="00DB47CD" w:rsidRDefault="00BF0719" w:rsidP="00BF0719">
      <w:pPr>
        <w:autoSpaceDE w:val="0"/>
        <w:autoSpaceDN w:val="0"/>
        <w:adjustRightInd w:val="0"/>
        <w:spacing w:after="0"/>
        <w:rPr>
          <w:rFonts w:eastAsia="Times New Roman" w:cs="Times New Roman"/>
          <w:color w:val="000000"/>
          <w:szCs w:val="24"/>
          <w:lang w:val="en-GB" w:eastAsia="de-DE"/>
        </w:rPr>
      </w:pPr>
    </w:p>
    <w:p w14:paraId="1B8C6774" w14:textId="77777777" w:rsidR="00BF0719" w:rsidRPr="00DB47CD" w:rsidRDefault="00BF0719" w:rsidP="00BF0719">
      <w:pPr>
        <w:autoSpaceDE w:val="0"/>
        <w:autoSpaceDN w:val="0"/>
        <w:adjustRightInd w:val="0"/>
        <w:spacing w:after="0"/>
        <w:rPr>
          <w:rFonts w:eastAsia="Calibri" w:cs="Times New Roman"/>
          <w:szCs w:val="24"/>
          <w:lang w:val="en-GB"/>
        </w:rPr>
      </w:pPr>
    </w:p>
    <w:p w14:paraId="74697F91" w14:textId="77777777" w:rsidR="00BF0719" w:rsidRPr="00DB47CD" w:rsidRDefault="00BF0719" w:rsidP="00BF0719">
      <w:pPr>
        <w:autoSpaceDE w:val="0"/>
        <w:autoSpaceDN w:val="0"/>
        <w:adjustRightInd w:val="0"/>
        <w:spacing w:after="0"/>
        <w:rPr>
          <w:rFonts w:eastAsia="Calibri" w:cs="Times New Roman"/>
          <w:sz w:val="20"/>
          <w:szCs w:val="20"/>
          <w:lang w:val="en-GB"/>
        </w:rPr>
      </w:pPr>
    </w:p>
    <w:p w14:paraId="0E4FC0E2" w14:textId="77777777" w:rsidR="00BF0719" w:rsidRPr="00DB47CD" w:rsidRDefault="00BF0719" w:rsidP="00BF0719">
      <w:pPr>
        <w:autoSpaceDE w:val="0"/>
        <w:autoSpaceDN w:val="0"/>
        <w:adjustRightInd w:val="0"/>
        <w:spacing w:after="0"/>
        <w:rPr>
          <w:rFonts w:eastAsia="Calibri" w:cs="Times New Roman"/>
          <w:szCs w:val="24"/>
          <w:lang w:val="en-GB"/>
        </w:rPr>
      </w:pPr>
    </w:p>
    <w:p w14:paraId="24A76476" w14:textId="77777777" w:rsidR="00BF0719" w:rsidRPr="00DB47CD" w:rsidRDefault="00BF0719" w:rsidP="00BF0719">
      <w:pPr>
        <w:autoSpaceDE w:val="0"/>
        <w:autoSpaceDN w:val="0"/>
        <w:adjustRightInd w:val="0"/>
        <w:spacing w:after="0"/>
        <w:rPr>
          <w:rFonts w:eastAsia="Calibri" w:cs="Times New Roman"/>
          <w:szCs w:val="24"/>
          <w:lang w:val="en-GB"/>
        </w:rPr>
      </w:pPr>
    </w:p>
    <w:p w14:paraId="44C5CBD9" w14:textId="77777777" w:rsidR="00BF0719" w:rsidRPr="00DB47CD" w:rsidRDefault="00BF0719" w:rsidP="00BF0719">
      <w:pPr>
        <w:autoSpaceDE w:val="0"/>
        <w:autoSpaceDN w:val="0"/>
        <w:adjustRightInd w:val="0"/>
        <w:spacing w:after="0"/>
        <w:rPr>
          <w:rFonts w:eastAsia="Calibri" w:cs="Times New Roman"/>
          <w:szCs w:val="24"/>
          <w:lang w:val="en-GB"/>
        </w:rPr>
      </w:pPr>
    </w:p>
    <w:p w14:paraId="732A1A85" w14:textId="77777777" w:rsidR="00BF0719" w:rsidRPr="00DB47CD" w:rsidRDefault="00BF0719" w:rsidP="00BF0719">
      <w:pPr>
        <w:autoSpaceDE w:val="0"/>
        <w:autoSpaceDN w:val="0"/>
        <w:adjustRightInd w:val="0"/>
        <w:spacing w:after="0"/>
        <w:rPr>
          <w:rFonts w:eastAsia="Calibri" w:cs="Times New Roman"/>
          <w:szCs w:val="24"/>
          <w:lang w:val="en-GB"/>
        </w:rPr>
      </w:pPr>
    </w:p>
    <w:p w14:paraId="31486697"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Figures </w:t>
      </w:r>
    </w:p>
    <w:p w14:paraId="41947583" w14:textId="77777777" w:rsidR="00BF0719" w:rsidRPr="00DB47CD" w:rsidRDefault="00BF0719" w:rsidP="00BF0719">
      <w:pPr>
        <w:autoSpaceDE w:val="0"/>
        <w:autoSpaceDN w:val="0"/>
        <w:adjustRightInd w:val="0"/>
        <w:spacing w:after="0"/>
        <w:rPr>
          <w:rFonts w:eastAsia="Calibri" w:cs="Times New Roman"/>
          <w:szCs w:val="24"/>
          <w:lang w:val="en-GB"/>
        </w:rPr>
      </w:pPr>
    </w:p>
    <w:p w14:paraId="776D0771"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noProof/>
          <w:szCs w:val="24"/>
          <w:lang w:eastAsia="de-DE"/>
        </w:rPr>
        <w:drawing>
          <wp:inline distT="0" distB="0" distL="0" distR="0" wp14:anchorId="1E1B4B03" wp14:editId="18197B13">
            <wp:extent cx="6249035" cy="331660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9035" cy="3316605"/>
                    </a:xfrm>
                    <a:prstGeom prst="rect">
                      <a:avLst/>
                    </a:prstGeom>
                    <a:noFill/>
                  </pic:spPr>
                </pic:pic>
              </a:graphicData>
            </a:graphic>
          </wp:inline>
        </w:drawing>
      </w:r>
    </w:p>
    <w:p w14:paraId="2CC366A0"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Fig. 1 Male and female all solid cancer baseline (dark grey) and radiation (light grey with error bars) risks in cases per 10,000 persons calculated from LBR and the LAR for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effective dose. Error bars are for 95% confidence intervals. </w:t>
      </w:r>
    </w:p>
    <w:p w14:paraId="5F44C33E" w14:textId="77777777" w:rsidR="00BF0719" w:rsidRPr="00DB47CD" w:rsidRDefault="00BF0719" w:rsidP="00BF0719">
      <w:pPr>
        <w:autoSpaceDE w:val="0"/>
        <w:autoSpaceDN w:val="0"/>
        <w:adjustRightInd w:val="0"/>
        <w:spacing w:after="0"/>
        <w:rPr>
          <w:rFonts w:eastAsia="Calibri" w:cs="Times New Roman"/>
          <w:szCs w:val="24"/>
          <w:lang w:val="en-GB"/>
        </w:rPr>
      </w:pPr>
    </w:p>
    <w:p w14:paraId="6C03076C" w14:textId="77777777" w:rsidR="00BF0719" w:rsidRPr="00DB47CD" w:rsidRDefault="00BF0719" w:rsidP="00BF0719">
      <w:pPr>
        <w:autoSpaceDE w:val="0"/>
        <w:autoSpaceDN w:val="0"/>
        <w:adjustRightInd w:val="0"/>
        <w:spacing w:after="0"/>
        <w:rPr>
          <w:rFonts w:eastAsia="Calibri" w:cs="Times New Roman"/>
          <w:szCs w:val="24"/>
          <w:lang w:val="en-GB"/>
        </w:rPr>
      </w:pPr>
    </w:p>
    <w:p w14:paraId="4B40BBA3" w14:textId="77777777" w:rsidR="00BF0719" w:rsidRPr="00DB47CD" w:rsidRDefault="00BF0719" w:rsidP="00BF0719">
      <w:pPr>
        <w:autoSpaceDE w:val="0"/>
        <w:autoSpaceDN w:val="0"/>
        <w:adjustRightInd w:val="0"/>
        <w:spacing w:after="0"/>
        <w:rPr>
          <w:rFonts w:eastAsia="Calibri" w:cs="Times New Roman"/>
          <w:szCs w:val="24"/>
          <w:lang w:val="en-GB"/>
        </w:rPr>
      </w:pPr>
    </w:p>
    <w:p w14:paraId="0D6B2A5E" w14:textId="77777777" w:rsidR="00BF0719" w:rsidRPr="00DB47CD" w:rsidRDefault="00BF0719" w:rsidP="00BF0719">
      <w:pPr>
        <w:autoSpaceDE w:val="0"/>
        <w:autoSpaceDN w:val="0"/>
        <w:adjustRightInd w:val="0"/>
        <w:spacing w:after="0"/>
        <w:rPr>
          <w:rFonts w:eastAsia="Calibri" w:cs="Times New Roman"/>
          <w:szCs w:val="24"/>
          <w:lang w:val="en-GB"/>
        </w:rPr>
      </w:pPr>
    </w:p>
    <w:p w14:paraId="63451CEE" w14:textId="77777777" w:rsidR="00BF0719" w:rsidRPr="00DB47CD" w:rsidRDefault="00BF0719" w:rsidP="00BF0719">
      <w:pPr>
        <w:autoSpaceDE w:val="0"/>
        <w:autoSpaceDN w:val="0"/>
        <w:adjustRightInd w:val="0"/>
        <w:spacing w:after="0"/>
        <w:rPr>
          <w:rFonts w:eastAsia="Calibri" w:cs="Times New Roman"/>
          <w:szCs w:val="24"/>
          <w:lang w:val="en-GB"/>
        </w:rPr>
      </w:pPr>
    </w:p>
    <w:p w14:paraId="6D73CCEC" w14:textId="77777777" w:rsidR="00BF0719" w:rsidRPr="00DB47CD" w:rsidRDefault="00BF0719" w:rsidP="00BF0719">
      <w:pPr>
        <w:autoSpaceDE w:val="0"/>
        <w:autoSpaceDN w:val="0"/>
        <w:adjustRightInd w:val="0"/>
        <w:spacing w:after="0"/>
        <w:rPr>
          <w:rFonts w:eastAsia="Calibri" w:cs="Times New Roman"/>
          <w:szCs w:val="24"/>
          <w:lang w:val="en-GB"/>
        </w:rPr>
      </w:pPr>
    </w:p>
    <w:p w14:paraId="0E895A3F"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noProof/>
          <w:szCs w:val="24"/>
          <w:lang w:eastAsia="de-DE"/>
        </w:rPr>
        <w:lastRenderedPageBreak/>
        <w:drawing>
          <wp:inline distT="0" distB="0" distL="0" distR="0" wp14:anchorId="2493383C" wp14:editId="3EE10F58">
            <wp:extent cx="6249035" cy="331660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9035" cy="3316605"/>
                    </a:xfrm>
                    <a:prstGeom prst="rect">
                      <a:avLst/>
                    </a:prstGeom>
                    <a:noFill/>
                  </pic:spPr>
                </pic:pic>
              </a:graphicData>
            </a:graphic>
          </wp:inline>
        </w:drawing>
      </w:r>
    </w:p>
    <w:p w14:paraId="4657D490"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Fig. 2 Male and female leukaemia baseline (dark grey) and radiation (light grey with error bars) risks in cases per 10,000 persons calculated from LBR and the LAR for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effective dose. Error bars are for 95% confidence intervals. </w:t>
      </w:r>
    </w:p>
    <w:p w14:paraId="32828290" w14:textId="77777777" w:rsidR="00BF0719" w:rsidRPr="00DB47CD" w:rsidRDefault="00BF0719" w:rsidP="00BF0719">
      <w:pPr>
        <w:autoSpaceDE w:val="0"/>
        <w:autoSpaceDN w:val="0"/>
        <w:adjustRightInd w:val="0"/>
        <w:spacing w:after="0"/>
        <w:rPr>
          <w:rFonts w:eastAsia="Calibri" w:cs="Times New Roman"/>
          <w:szCs w:val="24"/>
          <w:lang w:val="en-GB"/>
        </w:rPr>
      </w:pPr>
    </w:p>
    <w:p w14:paraId="53D79784" w14:textId="77777777" w:rsidR="00BF0719" w:rsidRPr="00DB47CD" w:rsidRDefault="00BF0719" w:rsidP="00BF0719">
      <w:pPr>
        <w:autoSpaceDE w:val="0"/>
        <w:autoSpaceDN w:val="0"/>
        <w:adjustRightInd w:val="0"/>
        <w:spacing w:after="0"/>
        <w:rPr>
          <w:rFonts w:eastAsia="Calibri" w:cs="Times New Roman"/>
          <w:szCs w:val="24"/>
          <w:lang w:val="en-GB"/>
        </w:rPr>
      </w:pPr>
    </w:p>
    <w:p w14:paraId="10DC8E8E"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noProof/>
          <w:szCs w:val="24"/>
          <w:lang w:eastAsia="de-DE"/>
        </w:rPr>
        <w:drawing>
          <wp:inline distT="0" distB="0" distL="0" distR="0" wp14:anchorId="5B1669A0" wp14:editId="05DF03FB">
            <wp:extent cx="6254750" cy="3310255"/>
            <wp:effectExtent l="0" t="0" r="0"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54750" cy="3310255"/>
                    </a:xfrm>
                    <a:prstGeom prst="rect">
                      <a:avLst/>
                    </a:prstGeom>
                    <a:noFill/>
                  </pic:spPr>
                </pic:pic>
              </a:graphicData>
            </a:graphic>
          </wp:inline>
        </w:drawing>
      </w:r>
    </w:p>
    <w:p w14:paraId="78558AC4"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Fig. 3 Male and female thyroid cancer baseline (dark grey) and radiation (light grey with error bars) risks in cases per 10,000 persons calculated from LBR and the LAR for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effective dose. Error bars are for 95% confidence intervals. </w:t>
      </w:r>
    </w:p>
    <w:p w14:paraId="04B96F5A" w14:textId="77777777" w:rsidR="00BF0719" w:rsidRPr="00DB47CD" w:rsidRDefault="00BF0719" w:rsidP="00BF0719">
      <w:pPr>
        <w:autoSpaceDE w:val="0"/>
        <w:autoSpaceDN w:val="0"/>
        <w:adjustRightInd w:val="0"/>
        <w:spacing w:after="0"/>
        <w:rPr>
          <w:rFonts w:eastAsia="Calibri" w:cs="Times New Roman"/>
          <w:szCs w:val="24"/>
          <w:lang w:val="en-GB"/>
        </w:rPr>
      </w:pPr>
    </w:p>
    <w:p w14:paraId="58F183C5"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noProof/>
          <w:szCs w:val="24"/>
          <w:lang w:eastAsia="de-DE"/>
        </w:rPr>
        <w:lastRenderedPageBreak/>
        <w:drawing>
          <wp:inline distT="0" distB="0" distL="0" distR="0" wp14:anchorId="57A87A64" wp14:editId="756C2FBB">
            <wp:extent cx="3169920" cy="3291840"/>
            <wp:effectExtent l="0" t="0" r="0" b="3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9920" cy="3291840"/>
                    </a:xfrm>
                    <a:prstGeom prst="rect">
                      <a:avLst/>
                    </a:prstGeom>
                    <a:noFill/>
                  </pic:spPr>
                </pic:pic>
              </a:graphicData>
            </a:graphic>
          </wp:inline>
        </w:drawing>
      </w:r>
    </w:p>
    <w:p w14:paraId="4458FF9F"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Fig. 4 Female breast cancer baseline (dark grey) and radiation (light grey with error bars) risks in cases per 10,000 persons calculated from LBR and the LAR for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effective dose. Error bars are for 95% confidence intervals. </w:t>
      </w:r>
    </w:p>
    <w:p w14:paraId="2553558C" w14:textId="77777777" w:rsidR="00BF0719" w:rsidRPr="00DB47CD" w:rsidRDefault="00BF0719" w:rsidP="00BF0719">
      <w:pPr>
        <w:autoSpaceDE w:val="0"/>
        <w:autoSpaceDN w:val="0"/>
        <w:adjustRightInd w:val="0"/>
        <w:spacing w:after="0"/>
        <w:rPr>
          <w:rFonts w:eastAsia="Calibri" w:cs="Times New Roman"/>
          <w:szCs w:val="24"/>
          <w:lang w:val="en-GB"/>
        </w:rPr>
      </w:pPr>
    </w:p>
    <w:p w14:paraId="0905AD16" w14:textId="77777777" w:rsidR="00BF0719" w:rsidRPr="00DB47CD" w:rsidRDefault="00BF0719" w:rsidP="00BF0719">
      <w:pPr>
        <w:autoSpaceDE w:val="0"/>
        <w:autoSpaceDN w:val="0"/>
        <w:adjustRightInd w:val="0"/>
        <w:spacing w:after="0"/>
        <w:rPr>
          <w:rFonts w:eastAsia="Calibri" w:cs="Times New Roman"/>
          <w:szCs w:val="24"/>
          <w:lang w:val="en-GB"/>
        </w:rPr>
      </w:pPr>
    </w:p>
    <w:p w14:paraId="39CDD493"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noProof/>
          <w:szCs w:val="24"/>
          <w:lang w:eastAsia="de-DE"/>
        </w:rPr>
        <w:drawing>
          <wp:inline distT="0" distB="0" distL="0" distR="0" wp14:anchorId="52701E3B" wp14:editId="32449CAB">
            <wp:extent cx="4651375" cy="3115310"/>
            <wp:effectExtent l="0" t="0" r="0" b="889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51375" cy="3115310"/>
                    </a:xfrm>
                    <a:prstGeom prst="rect">
                      <a:avLst/>
                    </a:prstGeom>
                    <a:noFill/>
                  </pic:spPr>
                </pic:pic>
              </a:graphicData>
            </a:graphic>
          </wp:inline>
        </w:drawing>
      </w:r>
    </w:p>
    <w:p w14:paraId="2860CBFE" w14:textId="77777777" w:rsidR="00BF0719" w:rsidRPr="00DB47CD" w:rsidRDefault="00BF0719" w:rsidP="00BF0719">
      <w:pPr>
        <w:autoSpaceDE w:val="0"/>
        <w:autoSpaceDN w:val="0"/>
        <w:adjustRightInd w:val="0"/>
        <w:spacing w:after="0"/>
        <w:rPr>
          <w:rFonts w:eastAsia="Calibri" w:cs="Times New Roman"/>
          <w:szCs w:val="24"/>
          <w:lang w:val="en-GB"/>
        </w:rPr>
      </w:pPr>
    </w:p>
    <w:p w14:paraId="247E98C8"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Fig. 5 Cases per 10,000 persons for females (light grey) and males (dark grey) for different types of cancer, calculated from the radiation risks, LAR for 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effective dose for age at exposure of 1 year. Error bars are for 95% confidence intervals. </w:t>
      </w:r>
    </w:p>
    <w:p w14:paraId="27B7EB67" w14:textId="77777777" w:rsidR="00BF0719" w:rsidRPr="00DB47CD" w:rsidRDefault="00BF0719" w:rsidP="00BF0719">
      <w:pPr>
        <w:autoSpaceDE w:val="0"/>
        <w:autoSpaceDN w:val="0"/>
        <w:adjustRightInd w:val="0"/>
        <w:spacing w:after="0"/>
        <w:rPr>
          <w:rFonts w:eastAsia="Calibri" w:cs="Times New Roman"/>
          <w:szCs w:val="24"/>
          <w:lang w:val="en-GB"/>
        </w:rPr>
      </w:pPr>
    </w:p>
    <w:p w14:paraId="55CE917A" w14:textId="77777777" w:rsidR="00BF0719" w:rsidRPr="00DB47CD" w:rsidRDefault="00BF0719" w:rsidP="00BF0719">
      <w:pPr>
        <w:autoSpaceDE w:val="0"/>
        <w:autoSpaceDN w:val="0"/>
        <w:adjustRightInd w:val="0"/>
        <w:spacing w:after="0"/>
        <w:rPr>
          <w:rFonts w:eastAsia="Calibri" w:cs="Times New Roman"/>
          <w:szCs w:val="24"/>
          <w:lang w:val="en-GB"/>
        </w:rPr>
      </w:pPr>
    </w:p>
    <w:p w14:paraId="4E015A47" w14:textId="77777777"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Tables</w:t>
      </w:r>
    </w:p>
    <w:p w14:paraId="24F12871" w14:textId="77777777" w:rsidR="00BF0719" w:rsidRPr="00DB47CD" w:rsidRDefault="00BF0719" w:rsidP="00BF0719">
      <w:pPr>
        <w:autoSpaceDE w:val="0"/>
        <w:autoSpaceDN w:val="0"/>
        <w:adjustRightInd w:val="0"/>
        <w:spacing w:after="0"/>
        <w:rPr>
          <w:rFonts w:eastAsia="Calibri" w:cs="Times New Roman"/>
          <w:szCs w:val="24"/>
          <w:lang w:val="en-GB"/>
        </w:rPr>
      </w:pPr>
    </w:p>
    <w:p w14:paraId="52A937F0" w14:textId="1B70450E" w:rsidR="00BF0719" w:rsidRPr="00DB47CD" w:rsidRDefault="00BF0719" w:rsidP="00BF0719">
      <w:pPr>
        <w:autoSpaceDE w:val="0"/>
        <w:autoSpaceDN w:val="0"/>
        <w:adjustRightInd w:val="0"/>
        <w:jc w:val="both"/>
        <w:rPr>
          <w:rFonts w:eastAsia="Calibri" w:cs="Times New Roman"/>
          <w:bCs/>
          <w:szCs w:val="24"/>
          <w:lang w:val="en-GB"/>
        </w:rPr>
      </w:pPr>
      <w:r w:rsidRPr="00DB47CD">
        <w:rPr>
          <w:rFonts w:eastAsia="Calibri" w:cs="Times New Roman"/>
          <w:bCs/>
          <w:szCs w:val="24"/>
          <w:lang w:val="en-GB"/>
        </w:rPr>
        <w:t xml:space="preserve">Table 1 </w:t>
      </w:r>
      <w:proofErr w:type="gramStart"/>
      <w:r w:rsidRPr="00DB47CD">
        <w:rPr>
          <w:rFonts w:eastAsia="Calibri" w:cs="Times New Roman"/>
          <w:bCs/>
          <w:szCs w:val="24"/>
          <w:lang w:val="en-GB"/>
        </w:rPr>
        <w:t>The</w:t>
      </w:r>
      <w:proofErr w:type="gramEnd"/>
      <w:r w:rsidRPr="00DB47CD">
        <w:rPr>
          <w:rFonts w:eastAsia="Calibri" w:cs="Times New Roman"/>
          <w:bCs/>
          <w:szCs w:val="24"/>
          <w:lang w:val="en-GB"/>
        </w:rPr>
        <w:t xml:space="preserve"> organ dose ranges corresponding an effective dose range of 20 to 100 </w:t>
      </w:r>
      <w:proofErr w:type="spellStart"/>
      <w:r w:rsidRPr="00DB47CD">
        <w:rPr>
          <w:rFonts w:eastAsia="Calibri" w:cs="Times New Roman"/>
          <w:bCs/>
          <w:szCs w:val="24"/>
          <w:lang w:val="en-GB"/>
        </w:rPr>
        <w:t>mSv</w:t>
      </w:r>
      <w:proofErr w:type="spellEnd"/>
      <w:r w:rsidRPr="00DB47CD">
        <w:rPr>
          <w:rFonts w:eastAsia="Calibri" w:cs="Times New Roman"/>
          <w:bCs/>
          <w:szCs w:val="24"/>
          <w:lang w:val="en-GB"/>
        </w:rPr>
        <w:t xml:space="preserve">, calculated with the ratio of organ to effective dose, from external exposures, for the situation after the Fukushima accident, as given in Table 19 of </w:t>
      </w:r>
      <w:r w:rsidR="00DB47CD">
        <w:rPr>
          <w:rFonts w:eastAsia="Calibri" w:cs="Times New Roman"/>
          <w:bCs/>
          <w:szCs w:val="24"/>
          <w:lang w:val="en-GB"/>
        </w:rPr>
        <w:t xml:space="preserve">the WHO report </w:t>
      </w:r>
      <w:r w:rsidRPr="00DB47CD">
        <w:rPr>
          <w:rFonts w:eastAsia="Calibri" w:cs="Times New Roman"/>
          <w:bCs/>
          <w:szCs w:val="24"/>
          <w:lang w:val="en-GB"/>
        </w:rPr>
        <w:t>(</w:t>
      </w:r>
      <w:r w:rsidRPr="00DB47CD">
        <w:rPr>
          <w:rFonts w:eastAsia="Calibri" w:cs="Times New Roman"/>
          <w:szCs w:val="24"/>
          <w:lang w:val="en-GB"/>
        </w:rPr>
        <w:t>WHO, 2013,</w:t>
      </w:r>
      <w:r w:rsidRPr="00DB47CD">
        <w:rPr>
          <w:rFonts w:eastAsia="Calibri" w:cs="Times New Roman"/>
          <w:bCs/>
          <w:szCs w:val="24"/>
          <w:lang w:val="en-GB"/>
        </w:rPr>
        <w:t xml:space="preserve"> Annex G</w:t>
      </w:r>
      <w:r w:rsidR="00DB47CD">
        <w:rPr>
          <w:rFonts w:eastAsia="Calibri" w:cs="Times New Roman"/>
          <w:bCs/>
          <w:szCs w:val="24"/>
          <w:lang w:val="en-GB"/>
        </w:rPr>
        <w:t xml:space="preserve">, </w:t>
      </w:r>
      <w:r w:rsidR="00DB47CD" w:rsidRPr="00DB47CD">
        <w:rPr>
          <w:rFonts w:eastAsia="Calibri" w:cs="Times New Roman"/>
          <w:bCs/>
          <w:szCs w:val="24"/>
          <w:lang w:val="en-GB"/>
        </w:rPr>
        <w:t>p</w:t>
      </w:r>
      <w:r w:rsidR="00DB47CD">
        <w:rPr>
          <w:rFonts w:eastAsia="Calibri" w:cs="Times New Roman"/>
          <w:bCs/>
          <w:szCs w:val="24"/>
          <w:lang w:val="en-GB"/>
        </w:rPr>
        <w:t xml:space="preserve">. </w:t>
      </w:r>
      <w:r w:rsidR="00DB47CD" w:rsidRPr="00DB47CD">
        <w:rPr>
          <w:rFonts w:eastAsia="Calibri" w:cs="Times New Roman"/>
          <w:bCs/>
          <w:szCs w:val="24"/>
          <w:lang w:val="en-GB"/>
        </w:rPr>
        <w:t>134</w:t>
      </w:r>
      <w:r w:rsidRPr="00DB47CD">
        <w:rPr>
          <w:rFonts w:eastAsia="Calibri" w:cs="Times New Roman"/>
          <w:bCs/>
          <w:szCs w:val="24"/>
          <w:lang w:val="en-GB"/>
        </w:rPr>
        <w:t>)</w:t>
      </w:r>
    </w:p>
    <w:tbl>
      <w:tblPr>
        <w:tblW w:w="6440" w:type="dxa"/>
        <w:tblCellMar>
          <w:left w:w="70" w:type="dxa"/>
          <w:right w:w="70" w:type="dxa"/>
        </w:tblCellMar>
        <w:tblLook w:val="04A0" w:firstRow="1" w:lastRow="0" w:firstColumn="1" w:lastColumn="0" w:noHBand="0" w:noVBand="1"/>
      </w:tblPr>
      <w:tblGrid>
        <w:gridCol w:w="1599"/>
        <w:gridCol w:w="1231"/>
        <w:gridCol w:w="1231"/>
        <w:gridCol w:w="1231"/>
        <w:gridCol w:w="1148"/>
      </w:tblGrid>
      <w:tr w:rsidR="00DB47CD" w:rsidRPr="0024579E" w14:paraId="4C559C88" w14:textId="77777777" w:rsidTr="00DB47CD">
        <w:trPr>
          <w:trHeight w:val="615"/>
        </w:trPr>
        <w:tc>
          <w:tcPr>
            <w:tcW w:w="1599" w:type="dxa"/>
            <w:vMerge w:val="restart"/>
            <w:tcBorders>
              <w:top w:val="single" w:sz="4" w:space="0" w:color="auto"/>
              <w:left w:val="single" w:sz="4" w:space="0" w:color="auto"/>
              <w:right w:val="nil"/>
            </w:tcBorders>
            <w:shd w:val="clear" w:color="auto" w:fill="auto"/>
            <w:vAlign w:val="center"/>
            <w:hideMark/>
          </w:tcPr>
          <w:p w14:paraId="40D3D791" w14:textId="4516BF4B" w:rsidR="00DB47CD" w:rsidRPr="00DB47CD" w:rsidRDefault="00DB47CD" w:rsidP="00DB47CD">
            <w:pPr>
              <w:spacing w:after="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Age at exposure</w:t>
            </w:r>
            <w:r>
              <w:rPr>
                <w:rFonts w:eastAsia="Times New Roman" w:cs="Times New Roman"/>
                <w:color w:val="000000"/>
                <w:szCs w:val="24"/>
                <w:lang w:val="en-GB" w:eastAsia="de-DE"/>
              </w:rPr>
              <w:t>,</w:t>
            </w:r>
            <w:r w:rsidRPr="00DB47CD">
              <w:rPr>
                <w:rFonts w:eastAsia="Times New Roman" w:cs="Times New Roman"/>
                <w:color w:val="000000"/>
                <w:szCs w:val="24"/>
                <w:lang w:val="en-GB" w:eastAsia="de-DE"/>
              </w:rPr>
              <w:br/>
              <w:t>year</w:t>
            </w:r>
          </w:p>
        </w:tc>
        <w:tc>
          <w:tcPr>
            <w:tcW w:w="4841" w:type="dxa"/>
            <w:gridSpan w:val="4"/>
            <w:tcBorders>
              <w:top w:val="single" w:sz="4" w:space="0" w:color="auto"/>
              <w:left w:val="nil"/>
              <w:bottom w:val="nil"/>
              <w:right w:val="single" w:sz="4" w:space="0" w:color="000000"/>
            </w:tcBorders>
            <w:shd w:val="clear" w:color="auto" w:fill="auto"/>
            <w:vAlign w:val="center"/>
            <w:hideMark/>
          </w:tcPr>
          <w:p w14:paraId="1A01A64D" w14:textId="77777777" w:rsidR="00DB47CD" w:rsidRPr="00DB47CD" w:rsidRDefault="00DB47CD" w:rsidP="00DB47CD">
            <w:pPr>
              <w:spacing w:after="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Organ dose ranges (</w:t>
            </w:r>
            <w:proofErr w:type="spellStart"/>
            <w:r w:rsidRPr="00DB47CD">
              <w:rPr>
                <w:rFonts w:eastAsia="Times New Roman" w:cs="Times New Roman"/>
                <w:color w:val="000000"/>
                <w:szCs w:val="24"/>
                <w:lang w:val="en-GB" w:eastAsia="de-DE"/>
              </w:rPr>
              <w:t>mSv</w:t>
            </w:r>
            <w:proofErr w:type="spellEnd"/>
            <w:r w:rsidRPr="00DB47CD">
              <w:rPr>
                <w:rFonts w:eastAsia="Times New Roman" w:cs="Times New Roman"/>
                <w:color w:val="000000"/>
                <w:szCs w:val="24"/>
                <w:lang w:val="en-GB" w:eastAsia="de-DE"/>
              </w:rPr>
              <w:t xml:space="preserve">) corresponding to an </w:t>
            </w:r>
            <w:r w:rsidRPr="00DB47CD">
              <w:rPr>
                <w:rFonts w:eastAsia="Times New Roman" w:cs="Times New Roman"/>
                <w:color w:val="000000"/>
                <w:szCs w:val="24"/>
                <w:lang w:val="en-GB" w:eastAsia="de-DE"/>
              </w:rPr>
              <w:br/>
              <w:t xml:space="preserve">effective dose range of 20 - 100 </w:t>
            </w:r>
            <w:proofErr w:type="spellStart"/>
            <w:r w:rsidRPr="00DB47CD">
              <w:rPr>
                <w:rFonts w:eastAsia="Times New Roman" w:cs="Times New Roman"/>
                <w:color w:val="000000"/>
                <w:szCs w:val="24"/>
                <w:lang w:val="en-GB" w:eastAsia="de-DE"/>
              </w:rPr>
              <w:t>mSv</w:t>
            </w:r>
            <w:proofErr w:type="spellEnd"/>
          </w:p>
        </w:tc>
      </w:tr>
      <w:tr w:rsidR="00DB47CD" w:rsidRPr="00DB47CD" w14:paraId="56B81990" w14:textId="77777777" w:rsidTr="00DB47CD">
        <w:trPr>
          <w:trHeight w:val="315"/>
        </w:trPr>
        <w:tc>
          <w:tcPr>
            <w:tcW w:w="1599" w:type="dxa"/>
            <w:vMerge/>
            <w:tcBorders>
              <w:left w:val="single" w:sz="4" w:space="0" w:color="auto"/>
              <w:bottom w:val="nil"/>
              <w:right w:val="nil"/>
            </w:tcBorders>
            <w:shd w:val="clear" w:color="auto" w:fill="auto"/>
            <w:noWrap/>
            <w:vAlign w:val="center"/>
            <w:hideMark/>
          </w:tcPr>
          <w:p w14:paraId="0B62EEF7" w14:textId="60ACAA4D" w:rsidR="00DB47CD" w:rsidRPr="00DB47CD" w:rsidRDefault="00DB47CD" w:rsidP="00DB47CD">
            <w:pPr>
              <w:spacing w:after="0"/>
              <w:jc w:val="center"/>
              <w:rPr>
                <w:rFonts w:eastAsia="Times New Roman" w:cs="Times New Roman"/>
                <w:color w:val="000000"/>
                <w:szCs w:val="24"/>
                <w:lang w:val="en-GB" w:eastAsia="de-DE"/>
              </w:rPr>
            </w:pPr>
          </w:p>
        </w:tc>
        <w:tc>
          <w:tcPr>
            <w:tcW w:w="1231" w:type="dxa"/>
            <w:tcBorders>
              <w:top w:val="nil"/>
              <w:left w:val="nil"/>
              <w:bottom w:val="nil"/>
              <w:right w:val="nil"/>
            </w:tcBorders>
            <w:shd w:val="clear" w:color="auto" w:fill="auto"/>
            <w:noWrap/>
            <w:vAlign w:val="center"/>
            <w:hideMark/>
          </w:tcPr>
          <w:p w14:paraId="6D76403C" w14:textId="207DFBDC" w:rsidR="00DB47CD" w:rsidRPr="00DB47CD" w:rsidRDefault="00DB47CD" w:rsidP="00DB47CD">
            <w:pPr>
              <w:spacing w:after="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Breast</w:t>
            </w:r>
          </w:p>
        </w:tc>
        <w:tc>
          <w:tcPr>
            <w:tcW w:w="1231" w:type="dxa"/>
            <w:tcBorders>
              <w:top w:val="nil"/>
              <w:left w:val="nil"/>
              <w:bottom w:val="nil"/>
              <w:right w:val="nil"/>
            </w:tcBorders>
            <w:shd w:val="clear" w:color="auto" w:fill="auto"/>
            <w:noWrap/>
            <w:vAlign w:val="center"/>
            <w:hideMark/>
          </w:tcPr>
          <w:p w14:paraId="6C8B3B13" w14:textId="77777777" w:rsidR="00DB47CD" w:rsidRPr="00DB47CD" w:rsidRDefault="00DB47CD" w:rsidP="00DB47CD">
            <w:pPr>
              <w:spacing w:after="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Colon</w:t>
            </w:r>
          </w:p>
        </w:tc>
        <w:tc>
          <w:tcPr>
            <w:tcW w:w="1231" w:type="dxa"/>
            <w:tcBorders>
              <w:top w:val="nil"/>
              <w:left w:val="nil"/>
              <w:bottom w:val="nil"/>
              <w:right w:val="nil"/>
            </w:tcBorders>
            <w:shd w:val="clear" w:color="auto" w:fill="auto"/>
            <w:noWrap/>
            <w:vAlign w:val="center"/>
            <w:hideMark/>
          </w:tcPr>
          <w:p w14:paraId="34663CB7" w14:textId="77777777" w:rsidR="00DB47CD" w:rsidRPr="00DB47CD" w:rsidRDefault="00DB47CD" w:rsidP="00DB47CD">
            <w:pPr>
              <w:spacing w:after="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RBM</w:t>
            </w:r>
          </w:p>
        </w:tc>
        <w:tc>
          <w:tcPr>
            <w:tcW w:w="1148" w:type="dxa"/>
            <w:tcBorders>
              <w:top w:val="nil"/>
              <w:left w:val="nil"/>
              <w:bottom w:val="nil"/>
              <w:right w:val="single" w:sz="4" w:space="0" w:color="auto"/>
            </w:tcBorders>
            <w:shd w:val="clear" w:color="auto" w:fill="auto"/>
            <w:noWrap/>
            <w:vAlign w:val="center"/>
            <w:hideMark/>
          </w:tcPr>
          <w:p w14:paraId="51341936" w14:textId="77777777" w:rsidR="00DB47CD" w:rsidRPr="00DB47CD" w:rsidRDefault="00DB47CD" w:rsidP="00DB47CD">
            <w:pPr>
              <w:spacing w:after="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Thyroid</w:t>
            </w:r>
          </w:p>
        </w:tc>
      </w:tr>
      <w:tr w:rsidR="00BF0719" w:rsidRPr="00DB47CD" w14:paraId="597F210F" w14:textId="77777777" w:rsidTr="004458DA">
        <w:trPr>
          <w:trHeight w:val="315"/>
        </w:trPr>
        <w:tc>
          <w:tcPr>
            <w:tcW w:w="1599" w:type="dxa"/>
            <w:tcBorders>
              <w:top w:val="nil"/>
              <w:left w:val="single" w:sz="4" w:space="0" w:color="auto"/>
              <w:bottom w:val="nil"/>
              <w:right w:val="nil"/>
            </w:tcBorders>
            <w:shd w:val="clear" w:color="auto" w:fill="auto"/>
            <w:noWrap/>
            <w:vAlign w:val="bottom"/>
            <w:hideMark/>
          </w:tcPr>
          <w:p w14:paraId="6FB98732" w14:textId="615C12C0"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20</w:t>
            </w:r>
            <w:r w:rsidR="00DB47CD">
              <w:rPr>
                <w:rFonts w:eastAsia="Times New Roman" w:cs="Times New Roman"/>
                <w:color w:val="000000"/>
                <w:szCs w:val="24"/>
                <w:lang w:val="en-GB" w:eastAsia="de-DE"/>
              </w:rPr>
              <w:t xml:space="preserve"> (Adult)</w:t>
            </w:r>
          </w:p>
        </w:tc>
        <w:tc>
          <w:tcPr>
            <w:tcW w:w="1231" w:type="dxa"/>
            <w:tcBorders>
              <w:top w:val="nil"/>
              <w:left w:val="nil"/>
              <w:bottom w:val="nil"/>
              <w:right w:val="nil"/>
            </w:tcBorders>
            <w:shd w:val="clear" w:color="auto" w:fill="auto"/>
            <w:noWrap/>
            <w:vAlign w:val="bottom"/>
            <w:hideMark/>
          </w:tcPr>
          <w:p w14:paraId="3B8479DB" w14:textId="2A4DF910"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19.8</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99</w:t>
            </w:r>
          </w:p>
        </w:tc>
        <w:tc>
          <w:tcPr>
            <w:tcW w:w="1231" w:type="dxa"/>
            <w:tcBorders>
              <w:top w:val="nil"/>
              <w:left w:val="nil"/>
              <w:bottom w:val="nil"/>
              <w:right w:val="nil"/>
            </w:tcBorders>
            <w:shd w:val="clear" w:color="auto" w:fill="auto"/>
            <w:noWrap/>
            <w:vAlign w:val="bottom"/>
            <w:hideMark/>
          </w:tcPr>
          <w:p w14:paraId="6443A797" w14:textId="634A6A37"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18.2</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91</w:t>
            </w:r>
          </w:p>
        </w:tc>
        <w:tc>
          <w:tcPr>
            <w:tcW w:w="1231" w:type="dxa"/>
            <w:tcBorders>
              <w:top w:val="nil"/>
              <w:left w:val="nil"/>
              <w:bottom w:val="nil"/>
              <w:right w:val="nil"/>
            </w:tcBorders>
            <w:shd w:val="clear" w:color="auto" w:fill="auto"/>
            <w:noWrap/>
            <w:vAlign w:val="bottom"/>
            <w:hideMark/>
          </w:tcPr>
          <w:p w14:paraId="12812E50" w14:textId="5B8ADC26"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17.8</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89</w:t>
            </w:r>
          </w:p>
        </w:tc>
        <w:tc>
          <w:tcPr>
            <w:tcW w:w="1148" w:type="dxa"/>
            <w:tcBorders>
              <w:top w:val="nil"/>
              <w:left w:val="nil"/>
              <w:bottom w:val="nil"/>
              <w:right w:val="single" w:sz="4" w:space="0" w:color="auto"/>
            </w:tcBorders>
            <w:shd w:val="clear" w:color="auto" w:fill="auto"/>
            <w:noWrap/>
            <w:vAlign w:val="bottom"/>
            <w:hideMark/>
          </w:tcPr>
          <w:p w14:paraId="00DA8078" w14:textId="6647C359"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20</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100</w:t>
            </w:r>
          </w:p>
        </w:tc>
      </w:tr>
      <w:tr w:rsidR="00BF0719" w:rsidRPr="00DB47CD" w14:paraId="0B6255AC" w14:textId="77777777" w:rsidTr="004458DA">
        <w:trPr>
          <w:trHeight w:val="315"/>
        </w:trPr>
        <w:tc>
          <w:tcPr>
            <w:tcW w:w="1599" w:type="dxa"/>
            <w:tcBorders>
              <w:top w:val="nil"/>
              <w:left w:val="single" w:sz="4" w:space="0" w:color="auto"/>
              <w:bottom w:val="nil"/>
              <w:right w:val="nil"/>
            </w:tcBorders>
            <w:shd w:val="clear" w:color="auto" w:fill="auto"/>
            <w:noWrap/>
            <w:vAlign w:val="bottom"/>
            <w:hideMark/>
          </w:tcPr>
          <w:p w14:paraId="7D240F65" w14:textId="1259FE1C"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10</w:t>
            </w:r>
            <w:r w:rsidR="00DB47CD">
              <w:rPr>
                <w:rFonts w:eastAsia="Times New Roman" w:cs="Times New Roman"/>
                <w:color w:val="000000"/>
                <w:szCs w:val="24"/>
                <w:lang w:val="en-GB" w:eastAsia="de-DE"/>
              </w:rPr>
              <w:t xml:space="preserve"> (Child)</w:t>
            </w:r>
          </w:p>
        </w:tc>
        <w:tc>
          <w:tcPr>
            <w:tcW w:w="1231" w:type="dxa"/>
            <w:tcBorders>
              <w:top w:val="nil"/>
              <w:left w:val="nil"/>
              <w:bottom w:val="nil"/>
              <w:right w:val="nil"/>
            </w:tcBorders>
            <w:shd w:val="clear" w:color="auto" w:fill="auto"/>
            <w:noWrap/>
            <w:vAlign w:val="bottom"/>
            <w:hideMark/>
          </w:tcPr>
          <w:p w14:paraId="6B6F7DEA" w14:textId="3D37B478"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20</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100</w:t>
            </w:r>
          </w:p>
        </w:tc>
        <w:tc>
          <w:tcPr>
            <w:tcW w:w="1231" w:type="dxa"/>
            <w:tcBorders>
              <w:top w:val="nil"/>
              <w:left w:val="nil"/>
              <w:bottom w:val="nil"/>
              <w:right w:val="nil"/>
            </w:tcBorders>
            <w:shd w:val="clear" w:color="auto" w:fill="auto"/>
            <w:noWrap/>
            <w:vAlign w:val="bottom"/>
            <w:hideMark/>
          </w:tcPr>
          <w:p w14:paraId="2F3E6D53" w14:textId="1255D7C7"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19.2</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96</w:t>
            </w:r>
          </w:p>
        </w:tc>
        <w:tc>
          <w:tcPr>
            <w:tcW w:w="1231" w:type="dxa"/>
            <w:tcBorders>
              <w:top w:val="nil"/>
              <w:left w:val="nil"/>
              <w:bottom w:val="nil"/>
              <w:right w:val="nil"/>
            </w:tcBorders>
            <w:shd w:val="clear" w:color="auto" w:fill="auto"/>
            <w:noWrap/>
            <w:vAlign w:val="bottom"/>
            <w:hideMark/>
          </w:tcPr>
          <w:p w14:paraId="08F4D19D" w14:textId="3986ABA8"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20</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100</w:t>
            </w:r>
          </w:p>
        </w:tc>
        <w:tc>
          <w:tcPr>
            <w:tcW w:w="1148" w:type="dxa"/>
            <w:tcBorders>
              <w:top w:val="nil"/>
              <w:left w:val="nil"/>
              <w:bottom w:val="nil"/>
              <w:right w:val="single" w:sz="4" w:space="0" w:color="auto"/>
            </w:tcBorders>
            <w:shd w:val="clear" w:color="auto" w:fill="auto"/>
            <w:noWrap/>
            <w:vAlign w:val="bottom"/>
            <w:hideMark/>
          </w:tcPr>
          <w:p w14:paraId="331A19F3" w14:textId="229D7441"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20</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100</w:t>
            </w:r>
          </w:p>
        </w:tc>
      </w:tr>
      <w:tr w:rsidR="00BF0719" w:rsidRPr="00DB47CD" w14:paraId="47B19512" w14:textId="77777777" w:rsidTr="004458DA">
        <w:trPr>
          <w:trHeight w:val="315"/>
        </w:trPr>
        <w:tc>
          <w:tcPr>
            <w:tcW w:w="1599" w:type="dxa"/>
            <w:tcBorders>
              <w:top w:val="nil"/>
              <w:left w:val="single" w:sz="4" w:space="0" w:color="auto"/>
              <w:bottom w:val="single" w:sz="4" w:space="0" w:color="auto"/>
              <w:right w:val="nil"/>
            </w:tcBorders>
            <w:shd w:val="clear" w:color="auto" w:fill="auto"/>
            <w:noWrap/>
            <w:vAlign w:val="bottom"/>
            <w:hideMark/>
          </w:tcPr>
          <w:p w14:paraId="567D6B85" w14:textId="0A24762D" w:rsidR="00BF0719" w:rsidRPr="00DB47CD" w:rsidRDefault="00DB47CD" w:rsidP="00BF0719">
            <w:pPr>
              <w:spacing w:after="0"/>
              <w:rPr>
                <w:rFonts w:eastAsia="Times New Roman" w:cs="Times New Roman"/>
                <w:color w:val="000000"/>
                <w:szCs w:val="24"/>
                <w:lang w:val="en-GB" w:eastAsia="de-DE"/>
              </w:rPr>
            </w:pPr>
            <w:r>
              <w:rPr>
                <w:rFonts w:eastAsia="Times New Roman" w:cs="Times New Roman"/>
                <w:color w:val="000000"/>
                <w:szCs w:val="24"/>
                <w:lang w:val="en-GB" w:eastAsia="de-DE"/>
              </w:rPr>
              <w:t>1 (</w:t>
            </w:r>
            <w:r w:rsidR="00BF0719" w:rsidRPr="00DB47CD">
              <w:rPr>
                <w:rFonts w:eastAsia="Times New Roman" w:cs="Times New Roman"/>
                <w:color w:val="000000"/>
                <w:szCs w:val="24"/>
                <w:lang w:val="en-GB" w:eastAsia="de-DE"/>
              </w:rPr>
              <w:t>Infant</w:t>
            </w:r>
            <w:r>
              <w:rPr>
                <w:rFonts w:eastAsia="Times New Roman" w:cs="Times New Roman"/>
                <w:color w:val="000000"/>
                <w:szCs w:val="24"/>
                <w:lang w:val="en-GB" w:eastAsia="de-DE"/>
              </w:rPr>
              <w:t>)</w:t>
            </w:r>
          </w:p>
        </w:tc>
        <w:tc>
          <w:tcPr>
            <w:tcW w:w="1231" w:type="dxa"/>
            <w:tcBorders>
              <w:top w:val="nil"/>
              <w:left w:val="nil"/>
              <w:bottom w:val="single" w:sz="4" w:space="0" w:color="auto"/>
              <w:right w:val="nil"/>
            </w:tcBorders>
            <w:shd w:val="clear" w:color="auto" w:fill="auto"/>
            <w:noWrap/>
            <w:vAlign w:val="bottom"/>
            <w:hideMark/>
          </w:tcPr>
          <w:p w14:paraId="2492A476" w14:textId="035042DE"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20</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100</w:t>
            </w:r>
          </w:p>
        </w:tc>
        <w:tc>
          <w:tcPr>
            <w:tcW w:w="1231" w:type="dxa"/>
            <w:tcBorders>
              <w:top w:val="nil"/>
              <w:left w:val="nil"/>
              <w:bottom w:val="single" w:sz="4" w:space="0" w:color="auto"/>
              <w:right w:val="nil"/>
            </w:tcBorders>
            <w:shd w:val="clear" w:color="auto" w:fill="auto"/>
            <w:noWrap/>
            <w:vAlign w:val="bottom"/>
            <w:hideMark/>
          </w:tcPr>
          <w:p w14:paraId="28BBFFDC" w14:textId="7A023A23"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18.2</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91</w:t>
            </w:r>
          </w:p>
        </w:tc>
        <w:tc>
          <w:tcPr>
            <w:tcW w:w="1231" w:type="dxa"/>
            <w:tcBorders>
              <w:top w:val="nil"/>
              <w:left w:val="nil"/>
              <w:bottom w:val="single" w:sz="4" w:space="0" w:color="auto"/>
              <w:right w:val="nil"/>
            </w:tcBorders>
            <w:shd w:val="clear" w:color="auto" w:fill="auto"/>
            <w:noWrap/>
            <w:vAlign w:val="bottom"/>
            <w:hideMark/>
          </w:tcPr>
          <w:p w14:paraId="4F536F37" w14:textId="49E621C9"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18.8</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94</w:t>
            </w:r>
          </w:p>
        </w:tc>
        <w:tc>
          <w:tcPr>
            <w:tcW w:w="1148" w:type="dxa"/>
            <w:tcBorders>
              <w:top w:val="nil"/>
              <w:left w:val="nil"/>
              <w:bottom w:val="single" w:sz="4" w:space="0" w:color="auto"/>
              <w:right w:val="single" w:sz="4" w:space="0" w:color="auto"/>
            </w:tcBorders>
            <w:shd w:val="clear" w:color="auto" w:fill="auto"/>
            <w:noWrap/>
            <w:vAlign w:val="bottom"/>
            <w:hideMark/>
          </w:tcPr>
          <w:p w14:paraId="4EDE7815" w14:textId="4215C470" w:rsidR="00BF0719" w:rsidRPr="00DB47CD" w:rsidRDefault="00BF0719" w:rsidP="00BF0719">
            <w:pPr>
              <w:spacing w:after="0"/>
              <w:rPr>
                <w:rFonts w:eastAsia="Times New Roman" w:cs="Times New Roman"/>
                <w:color w:val="000000"/>
                <w:szCs w:val="24"/>
                <w:lang w:val="en-GB" w:eastAsia="de-DE"/>
              </w:rPr>
            </w:pPr>
            <w:r w:rsidRPr="00DB47CD">
              <w:rPr>
                <w:rFonts w:eastAsia="Times New Roman" w:cs="Times New Roman"/>
                <w:color w:val="000000"/>
                <w:szCs w:val="24"/>
                <w:lang w:val="en-GB" w:eastAsia="de-DE"/>
              </w:rPr>
              <w:t>20</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t>100</w:t>
            </w:r>
          </w:p>
        </w:tc>
      </w:tr>
    </w:tbl>
    <w:p w14:paraId="4ED2D597" w14:textId="77777777" w:rsidR="00BF0719" w:rsidRPr="00DB47CD" w:rsidRDefault="00BF0719" w:rsidP="00BF0719">
      <w:pPr>
        <w:autoSpaceDE w:val="0"/>
        <w:autoSpaceDN w:val="0"/>
        <w:adjustRightInd w:val="0"/>
        <w:spacing w:after="0"/>
        <w:rPr>
          <w:rFonts w:eastAsia="Calibri" w:cs="Times New Roman"/>
          <w:szCs w:val="24"/>
          <w:lang w:val="en-GB"/>
        </w:rPr>
      </w:pPr>
    </w:p>
    <w:p w14:paraId="0958EA76" w14:textId="15B1663E"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Table 2 All solid cancer, ranges for median number of cases per 10,000 after </w:t>
      </w:r>
      <w:r w:rsidRPr="00DB47CD">
        <w:rPr>
          <w:rFonts w:eastAsia="Calibri" w:cs="Times New Roman"/>
          <w:bCs/>
          <w:szCs w:val="24"/>
          <w:lang w:val="en-GB"/>
        </w:rPr>
        <w:t xml:space="preserve">20 years </w:t>
      </w:r>
      <w:r w:rsidRPr="00DB47CD">
        <w:rPr>
          <w:rFonts w:eastAsia="Calibri" w:cs="Times New Roman"/>
          <w:szCs w:val="24"/>
          <w:lang w:val="en-GB"/>
        </w:rPr>
        <w:t xml:space="preserve">and during lifetime </w:t>
      </w:r>
      <w:r w:rsidRPr="00DB47CD">
        <w:rPr>
          <w:rFonts w:eastAsia="Calibri" w:cs="Times New Roman"/>
          <w:bCs/>
          <w:szCs w:val="24"/>
          <w:lang w:val="en-GB"/>
        </w:rPr>
        <w:t xml:space="preserve">based on German population data for </w:t>
      </w:r>
      <w:r w:rsidRPr="00DB47CD">
        <w:rPr>
          <w:rFonts w:eastAsia="Calibri" w:cs="Times New Roman"/>
          <w:szCs w:val="24"/>
          <w:lang w:val="en-GB"/>
        </w:rPr>
        <w:t xml:space="preserve">20–100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effective dose range</w:t>
      </w:r>
    </w:p>
    <w:p w14:paraId="33276ADD" w14:textId="77777777" w:rsidR="00BF0719" w:rsidRPr="00DB47CD" w:rsidRDefault="00BF0719" w:rsidP="00BF0719">
      <w:pPr>
        <w:autoSpaceDE w:val="0"/>
        <w:autoSpaceDN w:val="0"/>
        <w:adjustRightInd w:val="0"/>
        <w:spacing w:after="0"/>
        <w:rPr>
          <w:rFonts w:eastAsia="Calibri" w:cs="Times New Roman"/>
          <w:szCs w:val="24"/>
          <w:lang w:val="en-GB"/>
        </w:rPr>
      </w:pPr>
    </w:p>
    <w:tbl>
      <w:tblPr>
        <w:tblW w:w="5000" w:type="pct"/>
        <w:tblCellMar>
          <w:left w:w="70" w:type="dxa"/>
          <w:right w:w="70" w:type="dxa"/>
        </w:tblCellMar>
        <w:tblLook w:val="04A0" w:firstRow="1" w:lastRow="0" w:firstColumn="1" w:lastColumn="0" w:noHBand="0" w:noVBand="1"/>
      </w:tblPr>
      <w:tblGrid>
        <w:gridCol w:w="1147"/>
        <w:gridCol w:w="1586"/>
        <w:gridCol w:w="1340"/>
        <w:gridCol w:w="1618"/>
        <w:gridCol w:w="1343"/>
        <w:gridCol w:w="2028"/>
      </w:tblGrid>
      <w:tr w:rsidR="00BF0719" w:rsidRPr="0024579E" w14:paraId="7485D3A4" w14:textId="77777777" w:rsidTr="004458DA">
        <w:trPr>
          <w:trHeight w:val="675"/>
        </w:trPr>
        <w:tc>
          <w:tcPr>
            <w:tcW w:w="642" w:type="pct"/>
            <w:tcBorders>
              <w:top w:val="single" w:sz="4" w:space="0" w:color="auto"/>
              <w:left w:val="single" w:sz="4" w:space="0" w:color="auto"/>
              <w:bottom w:val="single" w:sz="4" w:space="0" w:color="auto"/>
              <w:right w:val="nil"/>
            </w:tcBorders>
            <w:shd w:val="clear" w:color="000000" w:fill="FFFFFF"/>
            <w:noWrap/>
            <w:vAlign w:val="bottom"/>
            <w:hideMark/>
          </w:tcPr>
          <w:p w14:paraId="0A3B6A65"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789" w:type="pct"/>
            <w:tcBorders>
              <w:top w:val="single" w:sz="4" w:space="0" w:color="auto"/>
              <w:left w:val="nil"/>
              <w:bottom w:val="single" w:sz="4" w:space="0" w:color="auto"/>
              <w:right w:val="nil"/>
            </w:tcBorders>
            <w:shd w:val="clear" w:color="000000" w:fill="FFFFFF"/>
            <w:noWrap/>
            <w:vAlign w:val="bottom"/>
            <w:hideMark/>
          </w:tcPr>
          <w:p w14:paraId="246D4A75"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3569" w:type="pct"/>
            <w:gridSpan w:val="4"/>
            <w:tcBorders>
              <w:top w:val="single" w:sz="4" w:space="0" w:color="auto"/>
              <w:left w:val="nil"/>
              <w:bottom w:val="single" w:sz="4" w:space="0" w:color="auto"/>
              <w:right w:val="single" w:sz="4" w:space="0" w:color="000000"/>
            </w:tcBorders>
            <w:shd w:val="clear" w:color="000000" w:fill="FFFFFF"/>
            <w:vAlign w:val="bottom"/>
            <w:hideMark/>
          </w:tcPr>
          <w:p w14:paraId="0FCE32F6"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Ranges for median numbers of cases per 10,000 (with 95% CI) after 20 years-at-risk since exposure and during lifetime simply converted (10,000 times risk) from the risks in column 2.</w:t>
            </w:r>
          </w:p>
        </w:tc>
      </w:tr>
      <w:tr w:rsidR="00BF0719" w:rsidRPr="00DB47CD" w14:paraId="68B56148" w14:textId="77777777" w:rsidTr="00DB47CD">
        <w:trPr>
          <w:trHeight w:val="315"/>
        </w:trPr>
        <w:tc>
          <w:tcPr>
            <w:tcW w:w="642" w:type="pct"/>
            <w:vMerge w:val="restart"/>
            <w:tcBorders>
              <w:top w:val="nil"/>
              <w:left w:val="single" w:sz="4" w:space="0" w:color="auto"/>
              <w:bottom w:val="single" w:sz="4" w:space="0" w:color="000000"/>
              <w:right w:val="nil"/>
            </w:tcBorders>
            <w:shd w:val="clear" w:color="000000" w:fill="FFFFFF"/>
            <w:vAlign w:val="center"/>
            <w:hideMark/>
          </w:tcPr>
          <w:p w14:paraId="4D153755" w14:textId="77FE8C02"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Age at exposure</w:t>
            </w:r>
            <w:r w:rsidR="00DB47CD">
              <w:rPr>
                <w:rFonts w:eastAsia="Times New Roman" w:cs="Times New Roman"/>
                <w:szCs w:val="24"/>
                <w:lang w:val="en-GB" w:eastAsia="de-DE"/>
              </w:rPr>
              <w:t>,</w:t>
            </w:r>
            <w:r w:rsidRPr="00DB47CD">
              <w:rPr>
                <w:rFonts w:eastAsia="Times New Roman" w:cs="Times New Roman"/>
                <w:szCs w:val="24"/>
                <w:lang w:val="en-GB" w:eastAsia="de-DE"/>
              </w:rPr>
              <w:br/>
              <w:t>year</w:t>
            </w:r>
          </w:p>
        </w:tc>
        <w:tc>
          <w:tcPr>
            <w:tcW w:w="789" w:type="pct"/>
            <w:tcBorders>
              <w:top w:val="nil"/>
              <w:left w:val="nil"/>
              <w:bottom w:val="nil"/>
              <w:right w:val="nil"/>
            </w:tcBorders>
            <w:shd w:val="clear" w:color="000000" w:fill="FFFFFF"/>
            <w:noWrap/>
            <w:vAlign w:val="center"/>
            <w:hideMark/>
          </w:tcPr>
          <w:p w14:paraId="41F8A25A"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Sex:</w:t>
            </w:r>
          </w:p>
        </w:tc>
        <w:tc>
          <w:tcPr>
            <w:tcW w:w="1674" w:type="pct"/>
            <w:gridSpan w:val="2"/>
            <w:tcBorders>
              <w:top w:val="single" w:sz="4" w:space="0" w:color="auto"/>
              <w:left w:val="nil"/>
              <w:bottom w:val="nil"/>
              <w:right w:val="nil"/>
            </w:tcBorders>
            <w:shd w:val="clear" w:color="000000" w:fill="FFFFFF"/>
            <w:noWrap/>
            <w:vAlign w:val="center"/>
            <w:hideMark/>
          </w:tcPr>
          <w:p w14:paraId="7A7934CD"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Male</w:t>
            </w:r>
          </w:p>
        </w:tc>
        <w:tc>
          <w:tcPr>
            <w:tcW w:w="1895" w:type="pct"/>
            <w:gridSpan w:val="2"/>
            <w:tcBorders>
              <w:top w:val="single" w:sz="4" w:space="0" w:color="auto"/>
              <w:left w:val="nil"/>
              <w:bottom w:val="nil"/>
              <w:right w:val="single" w:sz="4" w:space="0" w:color="000000"/>
            </w:tcBorders>
            <w:shd w:val="clear" w:color="000000" w:fill="FFFFFF"/>
            <w:noWrap/>
            <w:vAlign w:val="center"/>
            <w:hideMark/>
          </w:tcPr>
          <w:p w14:paraId="16EBA213"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Female</w:t>
            </w:r>
          </w:p>
        </w:tc>
      </w:tr>
      <w:tr w:rsidR="00BF0719" w:rsidRPr="00DB47CD" w14:paraId="34BF9398" w14:textId="77777777" w:rsidTr="00DB47CD">
        <w:trPr>
          <w:trHeight w:val="780"/>
        </w:trPr>
        <w:tc>
          <w:tcPr>
            <w:tcW w:w="642" w:type="pct"/>
            <w:vMerge/>
            <w:tcBorders>
              <w:top w:val="nil"/>
              <w:left w:val="single" w:sz="4" w:space="0" w:color="auto"/>
              <w:bottom w:val="single" w:sz="4" w:space="0" w:color="000000"/>
              <w:right w:val="nil"/>
            </w:tcBorders>
            <w:vAlign w:val="center"/>
            <w:hideMark/>
          </w:tcPr>
          <w:p w14:paraId="1161F1B5" w14:textId="77777777" w:rsidR="00BF0719" w:rsidRPr="00DB47CD" w:rsidRDefault="00BF0719" w:rsidP="004458DA">
            <w:pPr>
              <w:spacing w:before="40" w:after="40"/>
              <w:jc w:val="center"/>
              <w:rPr>
                <w:rFonts w:eastAsia="Times New Roman" w:cs="Times New Roman"/>
                <w:szCs w:val="24"/>
                <w:lang w:val="en-GB" w:eastAsia="de-DE"/>
              </w:rPr>
            </w:pPr>
          </w:p>
        </w:tc>
        <w:tc>
          <w:tcPr>
            <w:tcW w:w="789" w:type="pct"/>
            <w:tcBorders>
              <w:top w:val="nil"/>
              <w:left w:val="nil"/>
              <w:bottom w:val="single" w:sz="4" w:space="0" w:color="auto"/>
              <w:right w:val="nil"/>
            </w:tcBorders>
            <w:shd w:val="clear" w:color="000000" w:fill="FFFFFF"/>
            <w:noWrap/>
            <w:vAlign w:val="center"/>
            <w:hideMark/>
          </w:tcPr>
          <w:p w14:paraId="75826B77"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Effective dose:</w:t>
            </w:r>
          </w:p>
        </w:tc>
        <w:tc>
          <w:tcPr>
            <w:tcW w:w="765" w:type="pct"/>
            <w:tcBorders>
              <w:top w:val="nil"/>
              <w:left w:val="nil"/>
              <w:bottom w:val="single" w:sz="4" w:space="0" w:color="auto"/>
              <w:right w:val="nil"/>
            </w:tcBorders>
            <w:shd w:val="clear" w:color="000000" w:fill="FFFFFF"/>
            <w:noWrap/>
            <w:vAlign w:val="center"/>
            <w:hideMark/>
          </w:tcPr>
          <w:p w14:paraId="2761B5B5"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 xml:space="preserve">20 </w:t>
            </w:r>
            <w:proofErr w:type="spellStart"/>
            <w:r w:rsidRPr="00DB47CD">
              <w:rPr>
                <w:rFonts w:eastAsia="Times New Roman" w:cs="Times New Roman"/>
                <w:szCs w:val="24"/>
                <w:lang w:val="en-GB" w:eastAsia="de-DE"/>
              </w:rPr>
              <w:t>mSv</w:t>
            </w:r>
            <w:proofErr w:type="spellEnd"/>
          </w:p>
        </w:tc>
        <w:tc>
          <w:tcPr>
            <w:tcW w:w="910" w:type="pct"/>
            <w:tcBorders>
              <w:top w:val="nil"/>
              <w:left w:val="nil"/>
              <w:bottom w:val="single" w:sz="4" w:space="0" w:color="auto"/>
              <w:right w:val="nil"/>
            </w:tcBorders>
            <w:shd w:val="clear" w:color="000000" w:fill="FFFFFF"/>
            <w:noWrap/>
            <w:vAlign w:val="center"/>
            <w:hideMark/>
          </w:tcPr>
          <w:p w14:paraId="6A84B5CC"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 xml:space="preserve">100 </w:t>
            </w:r>
            <w:proofErr w:type="spellStart"/>
            <w:r w:rsidRPr="00DB47CD">
              <w:rPr>
                <w:rFonts w:eastAsia="Times New Roman" w:cs="Times New Roman"/>
                <w:szCs w:val="24"/>
                <w:lang w:val="en-GB" w:eastAsia="de-DE"/>
              </w:rPr>
              <w:t>mSv</w:t>
            </w:r>
            <w:proofErr w:type="spellEnd"/>
          </w:p>
        </w:tc>
        <w:tc>
          <w:tcPr>
            <w:tcW w:w="758" w:type="pct"/>
            <w:tcBorders>
              <w:top w:val="nil"/>
              <w:left w:val="nil"/>
              <w:bottom w:val="single" w:sz="4" w:space="0" w:color="auto"/>
              <w:right w:val="nil"/>
            </w:tcBorders>
            <w:shd w:val="clear" w:color="000000" w:fill="FFFFFF"/>
            <w:noWrap/>
            <w:vAlign w:val="center"/>
            <w:hideMark/>
          </w:tcPr>
          <w:p w14:paraId="003F332C"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 xml:space="preserve">20 </w:t>
            </w:r>
            <w:proofErr w:type="spellStart"/>
            <w:r w:rsidRPr="00DB47CD">
              <w:rPr>
                <w:rFonts w:eastAsia="Times New Roman" w:cs="Times New Roman"/>
                <w:szCs w:val="24"/>
                <w:lang w:val="en-GB" w:eastAsia="de-DE"/>
              </w:rPr>
              <w:t>mSv</w:t>
            </w:r>
            <w:proofErr w:type="spellEnd"/>
          </w:p>
        </w:tc>
        <w:tc>
          <w:tcPr>
            <w:tcW w:w="1137" w:type="pct"/>
            <w:tcBorders>
              <w:top w:val="nil"/>
              <w:left w:val="nil"/>
              <w:bottom w:val="single" w:sz="4" w:space="0" w:color="auto"/>
              <w:right w:val="single" w:sz="4" w:space="0" w:color="auto"/>
            </w:tcBorders>
            <w:shd w:val="clear" w:color="000000" w:fill="FFFFFF"/>
            <w:noWrap/>
            <w:vAlign w:val="center"/>
            <w:hideMark/>
          </w:tcPr>
          <w:p w14:paraId="139ACD38"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 xml:space="preserve">100 </w:t>
            </w:r>
            <w:proofErr w:type="spellStart"/>
            <w:r w:rsidRPr="00DB47CD">
              <w:rPr>
                <w:rFonts w:eastAsia="Times New Roman" w:cs="Times New Roman"/>
                <w:szCs w:val="24"/>
                <w:lang w:val="en-GB" w:eastAsia="de-DE"/>
              </w:rPr>
              <w:t>mSv</w:t>
            </w:r>
            <w:proofErr w:type="spellEnd"/>
          </w:p>
        </w:tc>
      </w:tr>
      <w:tr w:rsidR="00BF0719" w:rsidRPr="00DB47CD" w14:paraId="32805935" w14:textId="77777777" w:rsidTr="004458DA">
        <w:trPr>
          <w:trHeight w:val="315"/>
        </w:trPr>
        <w:tc>
          <w:tcPr>
            <w:tcW w:w="642" w:type="pct"/>
            <w:tcBorders>
              <w:top w:val="nil"/>
              <w:left w:val="single" w:sz="4" w:space="0" w:color="auto"/>
              <w:bottom w:val="nil"/>
              <w:right w:val="nil"/>
            </w:tcBorders>
            <w:shd w:val="clear" w:color="000000" w:fill="FFFFFF"/>
            <w:noWrap/>
            <w:vAlign w:val="bottom"/>
            <w:hideMark/>
          </w:tcPr>
          <w:p w14:paraId="348E038B" w14:textId="07BA5DE7" w:rsidR="00BF0719" w:rsidRPr="00DB47CD" w:rsidRDefault="00DB47CD" w:rsidP="004458DA">
            <w:pPr>
              <w:spacing w:before="40" w:after="40"/>
              <w:rPr>
                <w:rFonts w:eastAsia="Times New Roman" w:cs="Times New Roman"/>
                <w:szCs w:val="24"/>
                <w:lang w:val="en-GB" w:eastAsia="de-DE"/>
              </w:rPr>
            </w:pPr>
            <w:r>
              <w:rPr>
                <w:rFonts w:eastAsia="Times New Roman" w:cs="Times New Roman"/>
                <w:szCs w:val="24"/>
                <w:lang w:val="en-GB" w:eastAsia="de-DE"/>
              </w:rPr>
              <w:t>20 (</w:t>
            </w:r>
            <w:r w:rsidR="00BF0719" w:rsidRPr="00DB47CD">
              <w:rPr>
                <w:rFonts w:eastAsia="Times New Roman" w:cs="Times New Roman"/>
                <w:szCs w:val="24"/>
                <w:lang w:val="en-GB" w:eastAsia="de-DE"/>
              </w:rPr>
              <w:t>Adult</w:t>
            </w:r>
            <w:r>
              <w:rPr>
                <w:rFonts w:eastAsia="Times New Roman" w:cs="Times New Roman"/>
                <w:szCs w:val="24"/>
                <w:lang w:val="en-GB" w:eastAsia="de-DE"/>
              </w:rPr>
              <w:t>)</w:t>
            </w:r>
          </w:p>
        </w:tc>
        <w:tc>
          <w:tcPr>
            <w:tcW w:w="789" w:type="pct"/>
            <w:tcBorders>
              <w:top w:val="nil"/>
              <w:left w:val="nil"/>
              <w:bottom w:val="nil"/>
              <w:right w:val="nil"/>
            </w:tcBorders>
            <w:shd w:val="clear" w:color="000000" w:fill="FFFFFF"/>
            <w:noWrap/>
            <w:vAlign w:val="bottom"/>
            <w:hideMark/>
          </w:tcPr>
          <w:p w14:paraId="472AC8EE"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AR</w:t>
            </w:r>
            <w:r w:rsidRPr="00DB47CD">
              <w:rPr>
                <w:rFonts w:eastAsia="Times New Roman" w:cs="Times New Roman"/>
                <w:szCs w:val="24"/>
                <w:vertAlign w:val="subscript"/>
                <w:lang w:val="en-GB" w:eastAsia="de-DE"/>
              </w:rPr>
              <w:t>20</w:t>
            </w:r>
          </w:p>
        </w:tc>
        <w:tc>
          <w:tcPr>
            <w:tcW w:w="765" w:type="pct"/>
            <w:tcBorders>
              <w:top w:val="nil"/>
              <w:left w:val="nil"/>
              <w:bottom w:val="nil"/>
              <w:right w:val="nil"/>
            </w:tcBorders>
            <w:shd w:val="clear" w:color="000000" w:fill="FFFFFF"/>
            <w:noWrap/>
            <w:vAlign w:val="bottom"/>
            <w:hideMark/>
          </w:tcPr>
          <w:p w14:paraId="4F6B3FB5"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2(1; 14)</w:t>
            </w:r>
          </w:p>
        </w:tc>
        <w:tc>
          <w:tcPr>
            <w:tcW w:w="910" w:type="pct"/>
            <w:tcBorders>
              <w:top w:val="nil"/>
              <w:left w:val="nil"/>
              <w:bottom w:val="nil"/>
              <w:right w:val="nil"/>
            </w:tcBorders>
            <w:shd w:val="clear" w:color="000000" w:fill="FFFFFF"/>
            <w:noWrap/>
            <w:vAlign w:val="bottom"/>
            <w:hideMark/>
          </w:tcPr>
          <w:p w14:paraId="6077D626"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11 (3; 70)</w:t>
            </w:r>
          </w:p>
        </w:tc>
        <w:tc>
          <w:tcPr>
            <w:tcW w:w="758" w:type="pct"/>
            <w:tcBorders>
              <w:top w:val="nil"/>
              <w:left w:val="nil"/>
              <w:bottom w:val="nil"/>
              <w:right w:val="nil"/>
            </w:tcBorders>
            <w:shd w:val="clear" w:color="000000" w:fill="FFFFFF"/>
            <w:noWrap/>
            <w:vAlign w:val="bottom"/>
            <w:hideMark/>
          </w:tcPr>
          <w:p w14:paraId="705F5003"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5 (2; 13)</w:t>
            </w:r>
          </w:p>
        </w:tc>
        <w:tc>
          <w:tcPr>
            <w:tcW w:w="1137" w:type="pct"/>
            <w:tcBorders>
              <w:top w:val="nil"/>
              <w:left w:val="nil"/>
              <w:bottom w:val="nil"/>
              <w:right w:val="single" w:sz="4" w:space="0" w:color="auto"/>
            </w:tcBorders>
            <w:shd w:val="clear" w:color="000000" w:fill="FFFFFF"/>
            <w:noWrap/>
            <w:vAlign w:val="bottom"/>
            <w:hideMark/>
          </w:tcPr>
          <w:p w14:paraId="138D65A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25 (10; 63)</w:t>
            </w:r>
          </w:p>
        </w:tc>
      </w:tr>
      <w:tr w:rsidR="00BF0719" w:rsidRPr="00DB47CD" w14:paraId="6EDCC2BF" w14:textId="77777777" w:rsidTr="004458DA">
        <w:trPr>
          <w:trHeight w:val="315"/>
        </w:trPr>
        <w:tc>
          <w:tcPr>
            <w:tcW w:w="642" w:type="pct"/>
            <w:tcBorders>
              <w:top w:val="nil"/>
              <w:left w:val="single" w:sz="4" w:space="0" w:color="auto"/>
              <w:bottom w:val="nil"/>
              <w:right w:val="nil"/>
            </w:tcBorders>
            <w:shd w:val="clear" w:color="000000" w:fill="FFFFFF"/>
            <w:noWrap/>
            <w:vAlign w:val="bottom"/>
            <w:hideMark/>
          </w:tcPr>
          <w:p w14:paraId="00EB14EF"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789" w:type="pct"/>
            <w:tcBorders>
              <w:top w:val="nil"/>
              <w:left w:val="nil"/>
              <w:bottom w:val="nil"/>
              <w:right w:val="nil"/>
            </w:tcBorders>
            <w:shd w:val="clear" w:color="000000" w:fill="FFFFFF"/>
            <w:noWrap/>
            <w:vAlign w:val="bottom"/>
            <w:hideMark/>
          </w:tcPr>
          <w:p w14:paraId="558EBDA9"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LAR</w:t>
            </w:r>
          </w:p>
        </w:tc>
        <w:tc>
          <w:tcPr>
            <w:tcW w:w="765" w:type="pct"/>
            <w:tcBorders>
              <w:top w:val="nil"/>
              <w:left w:val="nil"/>
              <w:bottom w:val="nil"/>
              <w:right w:val="nil"/>
            </w:tcBorders>
            <w:shd w:val="clear" w:color="000000" w:fill="FFFFFF"/>
            <w:noWrap/>
            <w:vAlign w:val="bottom"/>
            <w:hideMark/>
          </w:tcPr>
          <w:p w14:paraId="600ED602"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33 (15; 76)</w:t>
            </w:r>
          </w:p>
        </w:tc>
        <w:tc>
          <w:tcPr>
            <w:tcW w:w="910" w:type="pct"/>
            <w:tcBorders>
              <w:top w:val="nil"/>
              <w:left w:val="nil"/>
              <w:bottom w:val="nil"/>
              <w:right w:val="nil"/>
            </w:tcBorders>
            <w:shd w:val="clear" w:color="000000" w:fill="FFFFFF"/>
            <w:noWrap/>
            <w:vAlign w:val="bottom"/>
            <w:hideMark/>
          </w:tcPr>
          <w:p w14:paraId="3434F952"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166 (73; 381)</w:t>
            </w:r>
          </w:p>
        </w:tc>
        <w:tc>
          <w:tcPr>
            <w:tcW w:w="758" w:type="pct"/>
            <w:tcBorders>
              <w:top w:val="nil"/>
              <w:left w:val="nil"/>
              <w:bottom w:val="nil"/>
              <w:right w:val="nil"/>
            </w:tcBorders>
            <w:shd w:val="clear" w:color="000000" w:fill="FFFFFF"/>
            <w:noWrap/>
            <w:vAlign w:val="bottom"/>
            <w:hideMark/>
          </w:tcPr>
          <w:p w14:paraId="6F4D9C86"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51 (22; 123)</w:t>
            </w:r>
          </w:p>
        </w:tc>
        <w:tc>
          <w:tcPr>
            <w:tcW w:w="1137" w:type="pct"/>
            <w:tcBorders>
              <w:top w:val="nil"/>
              <w:left w:val="nil"/>
              <w:bottom w:val="nil"/>
              <w:right w:val="single" w:sz="4" w:space="0" w:color="auto"/>
            </w:tcBorders>
            <w:shd w:val="clear" w:color="000000" w:fill="FFFFFF"/>
            <w:noWrap/>
            <w:vAlign w:val="bottom"/>
            <w:hideMark/>
          </w:tcPr>
          <w:p w14:paraId="0F7AA37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257 (112; 618)</w:t>
            </w:r>
          </w:p>
        </w:tc>
      </w:tr>
      <w:tr w:rsidR="00BF0719" w:rsidRPr="00DB47CD" w14:paraId="5D7BA7D5" w14:textId="77777777" w:rsidTr="004458DA">
        <w:trPr>
          <w:trHeight w:val="315"/>
        </w:trPr>
        <w:tc>
          <w:tcPr>
            <w:tcW w:w="642" w:type="pct"/>
            <w:tcBorders>
              <w:top w:val="nil"/>
              <w:left w:val="single" w:sz="4" w:space="0" w:color="auto"/>
              <w:bottom w:val="nil"/>
              <w:right w:val="nil"/>
            </w:tcBorders>
            <w:shd w:val="clear" w:color="000000" w:fill="FFFFFF"/>
            <w:noWrap/>
            <w:vAlign w:val="bottom"/>
            <w:hideMark/>
          </w:tcPr>
          <w:p w14:paraId="26280908"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789" w:type="pct"/>
            <w:tcBorders>
              <w:top w:val="nil"/>
              <w:left w:val="nil"/>
              <w:bottom w:val="nil"/>
              <w:right w:val="nil"/>
            </w:tcBorders>
            <w:shd w:val="clear" w:color="000000" w:fill="FFFFFF"/>
            <w:noWrap/>
            <w:vAlign w:val="bottom"/>
            <w:hideMark/>
          </w:tcPr>
          <w:p w14:paraId="68EF4442"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BR</w:t>
            </w:r>
            <w:r w:rsidRPr="00DB47CD">
              <w:rPr>
                <w:rFonts w:eastAsia="Times New Roman" w:cs="Times New Roman"/>
                <w:szCs w:val="24"/>
                <w:vertAlign w:val="subscript"/>
                <w:lang w:val="en-GB" w:eastAsia="de-DE"/>
              </w:rPr>
              <w:t>20</w:t>
            </w:r>
          </w:p>
        </w:tc>
        <w:tc>
          <w:tcPr>
            <w:tcW w:w="1674" w:type="pct"/>
            <w:gridSpan w:val="2"/>
            <w:tcBorders>
              <w:top w:val="nil"/>
              <w:left w:val="nil"/>
              <w:bottom w:val="nil"/>
              <w:right w:val="nil"/>
            </w:tcBorders>
            <w:shd w:val="clear" w:color="000000" w:fill="FFFFFF"/>
            <w:noWrap/>
            <w:vAlign w:val="bottom"/>
            <w:hideMark/>
          </w:tcPr>
          <w:p w14:paraId="3E1A7556"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102 (90; 116)</w:t>
            </w:r>
          </w:p>
        </w:tc>
        <w:tc>
          <w:tcPr>
            <w:tcW w:w="1895" w:type="pct"/>
            <w:gridSpan w:val="2"/>
            <w:tcBorders>
              <w:top w:val="nil"/>
              <w:left w:val="nil"/>
              <w:bottom w:val="nil"/>
              <w:right w:val="single" w:sz="4" w:space="0" w:color="000000"/>
            </w:tcBorders>
            <w:shd w:val="clear" w:color="000000" w:fill="FFFFFF"/>
            <w:noWrap/>
            <w:vAlign w:val="bottom"/>
            <w:hideMark/>
          </w:tcPr>
          <w:p w14:paraId="18144A86"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164 (149; 181)</w:t>
            </w:r>
          </w:p>
        </w:tc>
      </w:tr>
      <w:tr w:rsidR="00BF0719" w:rsidRPr="00DB47CD" w14:paraId="212895DF" w14:textId="77777777" w:rsidTr="004458DA">
        <w:trPr>
          <w:trHeight w:val="315"/>
        </w:trPr>
        <w:tc>
          <w:tcPr>
            <w:tcW w:w="642" w:type="pct"/>
            <w:tcBorders>
              <w:top w:val="nil"/>
              <w:left w:val="single" w:sz="4" w:space="0" w:color="auto"/>
              <w:bottom w:val="single" w:sz="4" w:space="0" w:color="auto"/>
              <w:right w:val="nil"/>
            </w:tcBorders>
            <w:shd w:val="clear" w:color="000000" w:fill="FFFFFF"/>
            <w:noWrap/>
            <w:vAlign w:val="bottom"/>
            <w:hideMark/>
          </w:tcPr>
          <w:p w14:paraId="6BE27636"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789" w:type="pct"/>
            <w:tcBorders>
              <w:top w:val="nil"/>
              <w:left w:val="nil"/>
              <w:bottom w:val="single" w:sz="4" w:space="0" w:color="auto"/>
              <w:right w:val="nil"/>
            </w:tcBorders>
            <w:shd w:val="clear" w:color="000000" w:fill="FFFFFF"/>
            <w:noWrap/>
            <w:vAlign w:val="bottom"/>
            <w:hideMark/>
          </w:tcPr>
          <w:p w14:paraId="69DDDBAB"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LBR</w:t>
            </w:r>
          </w:p>
        </w:tc>
        <w:tc>
          <w:tcPr>
            <w:tcW w:w="1674" w:type="pct"/>
            <w:gridSpan w:val="2"/>
            <w:tcBorders>
              <w:top w:val="nil"/>
              <w:left w:val="nil"/>
              <w:bottom w:val="single" w:sz="4" w:space="0" w:color="auto"/>
              <w:right w:val="nil"/>
            </w:tcBorders>
            <w:shd w:val="clear" w:color="000000" w:fill="FFFFFF"/>
            <w:noWrap/>
            <w:vAlign w:val="bottom"/>
            <w:hideMark/>
          </w:tcPr>
          <w:p w14:paraId="7F41183E"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4005 (3878; 4140)</w:t>
            </w:r>
          </w:p>
        </w:tc>
        <w:tc>
          <w:tcPr>
            <w:tcW w:w="1895" w:type="pct"/>
            <w:gridSpan w:val="2"/>
            <w:tcBorders>
              <w:top w:val="nil"/>
              <w:left w:val="nil"/>
              <w:bottom w:val="single" w:sz="4" w:space="0" w:color="auto"/>
              <w:right w:val="single" w:sz="4" w:space="0" w:color="000000"/>
            </w:tcBorders>
            <w:shd w:val="clear" w:color="000000" w:fill="FFFFFF"/>
            <w:noWrap/>
            <w:vAlign w:val="bottom"/>
            <w:hideMark/>
          </w:tcPr>
          <w:p w14:paraId="7F4BFCA7"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3509 (3385; 3639)</w:t>
            </w:r>
          </w:p>
        </w:tc>
      </w:tr>
      <w:tr w:rsidR="00BF0719" w:rsidRPr="00DB47CD" w14:paraId="76EB1FFA" w14:textId="77777777" w:rsidTr="004458DA">
        <w:trPr>
          <w:trHeight w:val="315"/>
        </w:trPr>
        <w:tc>
          <w:tcPr>
            <w:tcW w:w="642" w:type="pct"/>
            <w:tcBorders>
              <w:top w:val="nil"/>
              <w:left w:val="single" w:sz="4" w:space="0" w:color="auto"/>
              <w:bottom w:val="nil"/>
              <w:right w:val="nil"/>
            </w:tcBorders>
            <w:shd w:val="clear" w:color="000000" w:fill="FFFFFF"/>
            <w:noWrap/>
            <w:vAlign w:val="bottom"/>
            <w:hideMark/>
          </w:tcPr>
          <w:p w14:paraId="2D0A4196" w14:textId="15A418B5" w:rsidR="00BF0719" w:rsidRPr="00DB47CD" w:rsidRDefault="00DB47CD" w:rsidP="004458DA">
            <w:pPr>
              <w:spacing w:before="40" w:after="40"/>
              <w:rPr>
                <w:rFonts w:eastAsia="Times New Roman" w:cs="Times New Roman"/>
                <w:szCs w:val="24"/>
                <w:lang w:val="en-GB" w:eastAsia="de-DE"/>
              </w:rPr>
            </w:pPr>
            <w:r>
              <w:rPr>
                <w:rFonts w:eastAsia="Times New Roman" w:cs="Times New Roman"/>
                <w:szCs w:val="24"/>
                <w:lang w:val="en-GB" w:eastAsia="de-DE"/>
              </w:rPr>
              <w:t>10 (</w:t>
            </w:r>
            <w:r w:rsidR="00BF0719" w:rsidRPr="00DB47CD">
              <w:rPr>
                <w:rFonts w:eastAsia="Times New Roman" w:cs="Times New Roman"/>
                <w:szCs w:val="24"/>
                <w:lang w:val="en-GB" w:eastAsia="de-DE"/>
              </w:rPr>
              <w:t>Child</w:t>
            </w:r>
            <w:r>
              <w:rPr>
                <w:rFonts w:eastAsia="Times New Roman" w:cs="Times New Roman"/>
                <w:szCs w:val="24"/>
                <w:lang w:val="en-GB" w:eastAsia="de-DE"/>
              </w:rPr>
              <w:t>)</w:t>
            </w:r>
          </w:p>
        </w:tc>
        <w:tc>
          <w:tcPr>
            <w:tcW w:w="789" w:type="pct"/>
            <w:tcBorders>
              <w:top w:val="nil"/>
              <w:left w:val="nil"/>
              <w:bottom w:val="nil"/>
              <w:right w:val="nil"/>
            </w:tcBorders>
            <w:shd w:val="clear" w:color="000000" w:fill="FFFFFF"/>
            <w:noWrap/>
            <w:vAlign w:val="bottom"/>
            <w:hideMark/>
          </w:tcPr>
          <w:p w14:paraId="7D82EC75"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AR</w:t>
            </w:r>
            <w:r w:rsidRPr="00DB47CD">
              <w:rPr>
                <w:rFonts w:eastAsia="Times New Roman" w:cs="Times New Roman"/>
                <w:szCs w:val="24"/>
                <w:vertAlign w:val="subscript"/>
                <w:lang w:val="en-GB" w:eastAsia="de-DE"/>
              </w:rPr>
              <w:t>20</w:t>
            </w:r>
          </w:p>
        </w:tc>
        <w:tc>
          <w:tcPr>
            <w:tcW w:w="765" w:type="pct"/>
            <w:tcBorders>
              <w:top w:val="nil"/>
              <w:left w:val="nil"/>
              <w:bottom w:val="nil"/>
              <w:right w:val="nil"/>
            </w:tcBorders>
            <w:shd w:val="clear" w:color="000000" w:fill="FFFFFF"/>
            <w:noWrap/>
            <w:vAlign w:val="bottom"/>
            <w:hideMark/>
          </w:tcPr>
          <w:p w14:paraId="22B643F6"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 (0; 40)</w:t>
            </w:r>
          </w:p>
        </w:tc>
        <w:tc>
          <w:tcPr>
            <w:tcW w:w="910" w:type="pct"/>
            <w:tcBorders>
              <w:top w:val="nil"/>
              <w:left w:val="nil"/>
              <w:bottom w:val="nil"/>
              <w:right w:val="nil"/>
            </w:tcBorders>
            <w:shd w:val="clear" w:color="000000" w:fill="FFFFFF"/>
            <w:noWrap/>
            <w:vAlign w:val="bottom"/>
            <w:hideMark/>
          </w:tcPr>
          <w:p w14:paraId="4559E6CB"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10 (2; 200)</w:t>
            </w:r>
          </w:p>
        </w:tc>
        <w:tc>
          <w:tcPr>
            <w:tcW w:w="758" w:type="pct"/>
            <w:tcBorders>
              <w:top w:val="nil"/>
              <w:left w:val="nil"/>
              <w:bottom w:val="nil"/>
              <w:right w:val="nil"/>
            </w:tcBorders>
            <w:shd w:val="clear" w:color="000000" w:fill="FFFFFF"/>
            <w:noWrap/>
            <w:vAlign w:val="bottom"/>
            <w:hideMark/>
          </w:tcPr>
          <w:p w14:paraId="24F7DCF4"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3 (1; 9)</w:t>
            </w:r>
          </w:p>
        </w:tc>
        <w:tc>
          <w:tcPr>
            <w:tcW w:w="1137" w:type="pct"/>
            <w:tcBorders>
              <w:top w:val="nil"/>
              <w:left w:val="nil"/>
              <w:bottom w:val="nil"/>
              <w:right w:val="single" w:sz="4" w:space="0" w:color="auto"/>
            </w:tcBorders>
            <w:shd w:val="clear" w:color="000000" w:fill="FFFFFF"/>
            <w:noWrap/>
            <w:vAlign w:val="bottom"/>
            <w:hideMark/>
          </w:tcPr>
          <w:p w14:paraId="53E442FF"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17 (6; 43)</w:t>
            </w:r>
          </w:p>
        </w:tc>
      </w:tr>
      <w:tr w:rsidR="00BF0719" w:rsidRPr="00DB47CD" w14:paraId="596CCF40" w14:textId="77777777" w:rsidTr="004458DA">
        <w:trPr>
          <w:trHeight w:val="315"/>
        </w:trPr>
        <w:tc>
          <w:tcPr>
            <w:tcW w:w="642" w:type="pct"/>
            <w:tcBorders>
              <w:top w:val="nil"/>
              <w:left w:val="single" w:sz="4" w:space="0" w:color="auto"/>
              <w:bottom w:val="nil"/>
              <w:right w:val="nil"/>
            </w:tcBorders>
            <w:shd w:val="clear" w:color="000000" w:fill="FFFFFF"/>
            <w:noWrap/>
            <w:vAlign w:val="bottom"/>
            <w:hideMark/>
          </w:tcPr>
          <w:p w14:paraId="3536B6E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789" w:type="pct"/>
            <w:tcBorders>
              <w:top w:val="nil"/>
              <w:left w:val="nil"/>
              <w:bottom w:val="nil"/>
              <w:right w:val="nil"/>
            </w:tcBorders>
            <w:shd w:val="clear" w:color="000000" w:fill="FFFFFF"/>
            <w:noWrap/>
            <w:vAlign w:val="bottom"/>
            <w:hideMark/>
          </w:tcPr>
          <w:p w14:paraId="0F128F5D"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LAR</w:t>
            </w:r>
          </w:p>
        </w:tc>
        <w:tc>
          <w:tcPr>
            <w:tcW w:w="765" w:type="pct"/>
            <w:tcBorders>
              <w:top w:val="nil"/>
              <w:left w:val="nil"/>
              <w:bottom w:val="nil"/>
              <w:right w:val="nil"/>
            </w:tcBorders>
            <w:shd w:val="clear" w:color="000000" w:fill="FFFFFF"/>
            <w:noWrap/>
            <w:vAlign w:val="bottom"/>
            <w:hideMark/>
          </w:tcPr>
          <w:p w14:paraId="56128A0C"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46 (18; 143)</w:t>
            </w:r>
          </w:p>
        </w:tc>
        <w:tc>
          <w:tcPr>
            <w:tcW w:w="910" w:type="pct"/>
            <w:tcBorders>
              <w:top w:val="nil"/>
              <w:left w:val="nil"/>
              <w:bottom w:val="nil"/>
              <w:right w:val="nil"/>
            </w:tcBorders>
            <w:shd w:val="clear" w:color="000000" w:fill="FFFFFF"/>
            <w:noWrap/>
            <w:vAlign w:val="bottom"/>
            <w:hideMark/>
          </w:tcPr>
          <w:p w14:paraId="2046CF18"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229 (92; 716)</w:t>
            </w:r>
          </w:p>
        </w:tc>
        <w:tc>
          <w:tcPr>
            <w:tcW w:w="758" w:type="pct"/>
            <w:tcBorders>
              <w:top w:val="nil"/>
              <w:left w:val="nil"/>
              <w:bottom w:val="nil"/>
              <w:right w:val="nil"/>
            </w:tcBorders>
            <w:shd w:val="clear" w:color="000000" w:fill="FFFFFF"/>
            <w:noWrap/>
            <w:vAlign w:val="bottom"/>
            <w:hideMark/>
          </w:tcPr>
          <w:p w14:paraId="5783924D"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70 (30; 179)</w:t>
            </w:r>
          </w:p>
        </w:tc>
        <w:tc>
          <w:tcPr>
            <w:tcW w:w="1137" w:type="pct"/>
            <w:tcBorders>
              <w:top w:val="nil"/>
              <w:left w:val="nil"/>
              <w:bottom w:val="nil"/>
              <w:right w:val="single" w:sz="4" w:space="0" w:color="auto"/>
            </w:tcBorders>
            <w:shd w:val="clear" w:color="000000" w:fill="FFFFFF"/>
            <w:noWrap/>
            <w:vAlign w:val="bottom"/>
            <w:hideMark/>
          </w:tcPr>
          <w:p w14:paraId="6D9071DB"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350 (149; 895)</w:t>
            </w:r>
          </w:p>
        </w:tc>
      </w:tr>
      <w:tr w:rsidR="00BF0719" w:rsidRPr="00DB47CD" w14:paraId="7B9749E5" w14:textId="77777777" w:rsidTr="004458DA">
        <w:trPr>
          <w:trHeight w:val="315"/>
        </w:trPr>
        <w:tc>
          <w:tcPr>
            <w:tcW w:w="642" w:type="pct"/>
            <w:tcBorders>
              <w:top w:val="nil"/>
              <w:left w:val="single" w:sz="4" w:space="0" w:color="auto"/>
              <w:bottom w:val="nil"/>
              <w:right w:val="nil"/>
            </w:tcBorders>
            <w:shd w:val="clear" w:color="000000" w:fill="FFFFFF"/>
            <w:noWrap/>
            <w:vAlign w:val="bottom"/>
            <w:hideMark/>
          </w:tcPr>
          <w:p w14:paraId="3E57AB48"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789" w:type="pct"/>
            <w:tcBorders>
              <w:top w:val="nil"/>
              <w:left w:val="nil"/>
              <w:bottom w:val="nil"/>
              <w:right w:val="nil"/>
            </w:tcBorders>
            <w:shd w:val="clear" w:color="000000" w:fill="FFFFFF"/>
            <w:noWrap/>
            <w:vAlign w:val="bottom"/>
            <w:hideMark/>
          </w:tcPr>
          <w:p w14:paraId="4452CB9D"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BR</w:t>
            </w:r>
            <w:r w:rsidRPr="00DB47CD">
              <w:rPr>
                <w:rFonts w:eastAsia="Times New Roman" w:cs="Times New Roman"/>
                <w:szCs w:val="24"/>
                <w:vertAlign w:val="subscript"/>
                <w:lang w:val="en-GB" w:eastAsia="de-DE"/>
              </w:rPr>
              <w:t>20</w:t>
            </w:r>
          </w:p>
        </w:tc>
        <w:tc>
          <w:tcPr>
            <w:tcW w:w="1674" w:type="pct"/>
            <w:gridSpan w:val="2"/>
            <w:tcBorders>
              <w:top w:val="nil"/>
              <w:left w:val="nil"/>
              <w:bottom w:val="nil"/>
              <w:right w:val="nil"/>
            </w:tcBorders>
            <w:shd w:val="clear" w:color="000000" w:fill="FFFFFF"/>
            <w:noWrap/>
            <w:vAlign w:val="bottom"/>
            <w:hideMark/>
          </w:tcPr>
          <w:p w14:paraId="375A1370"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45 (37; 54)</w:t>
            </w:r>
          </w:p>
        </w:tc>
        <w:tc>
          <w:tcPr>
            <w:tcW w:w="1895" w:type="pct"/>
            <w:gridSpan w:val="2"/>
            <w:tcBorders>
              <w:top w:val="nil"/>
              <w:left w:val="nil"/>
              <w:bottom w:val="nil"/>
              <w:right w:val="single" w:sz="4" w:space="0" w:color="000000"/>
            </w:tcBorders>
            <w:shd w:val="clear" w:color="000000" w:fill="FFFFFF"/>
            <w:noWrap/>
            <w:vAlign w:val="bottom"/>
            <w:hideMark/>
          </w:tcPr>
          <w:p w14:paraId="15A87B85"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50 (42; 60)</w:t>
            </w:r>
          </w:p>
        </w:tc>
      </w:tr>
      <w:tr w:rsidR="00BF0719" w:rsidRPr="00DB47CD" w14:paraId="4CDFD3D7" w14:textId="77777777" w:rsidTr="004458DA">
        <w:trPr>
          <w:trHeight w:val="315"/>
        </w:trPr>
        <w:tc>
          <w:tcPr>
            <w:tcW w:w="642" w:type="pct"/>
            <w:tcBorders>
              <w:top w:val="nil"/>
              <w:left w:val="single" w:sz="4" w:space="0" w:color="auto"/>
              <w:bottom w:val="single" w:sz="4" w:space="0" w:color="auto"/>
              <w:right w:val="nil"/>
            </w:tcBorders>
            <w:shd w:val="clear" w:color="000000" w:fill="FFFFFF"/>
            <w:noWrap/>
            <w:vAlign w:val="bottom"/>
            <w:hideMark/>
          </w:tcPr>
          <w:p w14:paraId="75FAD95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789" w:type="pct"/>
            <w:tcBorders>
              <w:top w:val="nil"/>
              <w:left w:val="nil"/>
              <w:bottom w:val="single" w:sz="4" w:space="0" w:color="auto"/>
              <w:right w:val="nil"/>
            </w:tcBorders>
            <w:shd w:val="clear" w:color="000000" w:fill="FFFFFF"/>
            <w:noWrap/>
            <w:vAlign w:val="bottom"/>
            <w:hideMark/>
          </w:tcPr>
          <w:p w14:paraId="336FCD78"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LBR</w:t>
            </w:r>
          </w:p>
        </w:tc>
        <w:tc>
          <w:tcPr>
            <w:tcW w:w="1674" w:type="pct"/>
            <w:gridSpan w:val="2"/>
            <w:tcBorders>
              <w:top w:val="nil"/>
              <w:left w:val="nil"/>
              <w:bottom w:val="single" w:sz="4" w:space="0" w:color="auto"/>
              <w:right w:val="nil"/>
            </w:tcBorders>
            <w:shd w:val="clear" w:color="000000" w:fill="FFFFFF"/>
            <w:noWrap/>
            <w:vAlign w:val="bottom"/>
            <w:hideMark/>
          </w:tcPr>
          <w:p w14:paraId="632A54BA"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4002 (3873; 4140)</w:t>
            </w:r>
          </w:p>
        </w:tc>
        <w:tc>
          <w:tcPr>
            <w:tcW w:w="1895" w:type="pct"/>
            <w:gridSpan w:val="2"/>
            <w:tcBorders>
              <w:top w:val="nil"/>
              <w:left w:val="nil"/>
              <w:bottom w:val="single" w:sz="4" w:space="0" w:color="auto"/>
              <w:right w:val="single" w:sz="4" w:space="0" w:color="000000"/>
            </w:tcBorders>
            <w:shd w:val="clear" w:color="000000" w:fill="FFFFFF"/>
            <w:noWrap/>
            <w:vAlign w:val="bottom"/>
            <w:hideMark/>
          </w:tcPr>
          <w:p w14:paraId="6A013F21"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3509 (3383; 3643)</w:t>
            </w:r>
          </w:p>
        </w:tc>
      </w:tr>
      <w:tr w:rsidR="00BF0719" w:rsidRPr="00DB47CD" w14:paraId="53C30AB3" w14:textId="77777777" w:rsidTr="004458DA">
        <w:trPr>
          <w:trHeight w:val="315"/>
        </w:trPr>
        <w:tc>
          <w:tcPr>
            <w:tcW w:w="642" w:type="pct"/>
            <w:tcBorders>
              <w:top w:val="nil"/>
              <w:left w:val="single" w:sz="4" w:space="0" w:color="auto"/>
              <w:bottom w:val="nil"/>
              <w:right w:val="nil"/>
            </w:tcBorders>
            <w:shd w:val="clear" w:color="000000" w:fill="FFFFFF"/>
            <w:noWrap/>
            <w:vAlign w:val="bottom"/>
            <w:hideMark/>
          </w:tcPr>
          <w:p w14:paraId="41CECCCD" w14:textId="329DDF7F" w:rsidR="00BF0719" w:rsidRPr="00DB47CD" w:rsidRDefault="00DB47CD" w:rsidP="004458DA">
            <w:pPr>
              <w:spacing w:before="40" w:after="40"/>
              <w:rPr>
                <w:rFonts w:eastAsia="Times New Roman" w:cs="Times New Roman"/>
                <w:szCs w:val="24"/>
                <w:lang w:val="en-GB" w:eastAsia="de-DE"/>
              </w:rPr>
            </w:pPr>
            <w:r>
              <w:rPr>
                <w:rFonts w:eastAsia="Times New Roman" w:cs="Times New Roman"/>
                <w:szCs w:val="24"/>
                <w:lang w:val="en-GB" w:eastAsia="de-DE"/>
              </w:rPr>
              <w:t>1 (</w:t>
            </w:r>
            <w:r w:rsidR="00BF0719" w:rsidRPr="00DB47CD">
              <w:rPr>
                <w:rFonts w:eastAsia="Times New Roman" w:cs="Times New Roman"/>
                <w:szCs w:val="24"/>
                <w:lang w:val="en-GB" w:eastAsia="de-DE"/>
              </w:rPr>
              <w:t>Infant</w:t>
            </w:r>
            <w:r>
              <w:rPr>
                <w:rFonts w:eastAsia="Times New Roman" w:cs="Times New Roman"/>
                <w:szCs w:val="24"/>
                <w:lang w:val="en-GB" w:eastAsia="de-DE"/>
              </w:rPr>
              <w:t>)</w:t>
            </w:r>
          </w:p>
        </w:tc>
        <w:tc>
          <w:tcPr>
            <w:tcW w:w="789" w:type="pct"/>
            <w:tcBorders>
              <w:top w:val="nil"/>
              <w:left w:val="nil"/>
              <w:bottom w:val="nil"/>
              <w:right w:val="nil"/>
            </w:tcBorders>
            <w:shd w:val="clear" w:color="000000" w:fill="FFFFFF"/>
            <w:noWrap/>
            <w:vAlign w:val="bottom"/>
            <w:hideMark/>
          </w:tcPr>
          <w:p w14:paraId="3593AB51"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AR</w:t>
            </w:r>
            <w:r w:rsidRPr="00DB47CD">
              <w:rPr>
                <w:rFonts w:eastAsia="Times New Roman" w:cs="Times New Roman"/>
                <w:szCs w:val="24"/>
                <w:vertAlign w:val="subscript"/>
                <w:lang w:val="en-GB" w:eastAsia="de-DE"/>
              </w:rPr>
              <w:t>20</w:t>
            </w:r>
          </w:p>
        </w:tc>
        <w:tc>
          <w:tcPr>
            <w:tcW w:w="765" w:type="pct"/>
            <w:tcBorders>
              <w:top w:val="nil"/>
              <w:left w:val="nil"/>
              <w:bottom w:val="nil"/>
              <w:right w:val="nil"/>
            </w:tcBorders>
            <w:shd w:val="clear" w:color="000000" w:fill="FFFFFF"/>
            <w:noWrap/>
            <w:vAlign w:val="bottom"/>
            <w:hideMark/>
          </w:tcPr>
          <w:p w14:paraId="7D2009E7"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1 (0; 29)</w:t>
            </w:r>
          </w:p>
        </w:tc>
        <w:tc>
          <w:tcPr>
            <w:tcW w:w="910" w:type="pct"/>
            <w:tcBorders>
              <w:top w:val="nil"/>
              <w:left w:val="nil"/>
              <w:bottom w:val="nil"/>
              <w:right w:val="nil"/>
            </w:tcBorders>
            <w:shd w:val="clear" w:color="000000" w:fill="FFFFFF"/>
            <w:noWrap/>
            <w:vAlign w:val="bottom"/>
            <w:hideMark/>
          </w:tcPr>
          <w:p w14:paraId="5128EE0F"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5 (0; 144)</w:t>
            </w:r>
          </w:p>
        </w:tc>
        <w:tc>
          <w:tcPr>
            <w:tcW w:w="758" w:type="pct"/>
            <w:tcBorders>
              <w:top w:val="nil"/>
              <w:left w:val="nil"/>
              <w:bottom w:val="nil"/>
              <w:right w:val="nil"/>
            </w:tcBorders>
            <w:shd w:val="clear" w:color="000000" w:fill="FFFFFF"/>
            <w:noWrap/>
            <w:vAlign w:val="bottom"/>
            <w:hideMark/>
          </w:tcPr>
          <w:p w14:paraId="2A419B21"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 (1; 8)</w:t>
            </w:r>
          </w:p>
        </w:tc>
        <w:tc>
          <w:tcPr>
            <w:tcW w:w="1137" w:type="pct"/>
            <w:tcBorders>
              <w:top w:val="nil"/>
              <w:left w:val="nil"/>
              <w:bottom w:val="nil"/>
              <w:right w:val="single" w:sz="4" w:space="0" w:color="auto"/>
            </w:tcBorders>
            <w:shd w:val="clear" w:color="000000" w:fill="FFFFFF"/>
            <w:noWrap/>
            <w:vAlign w:val="bottom"/>
            <w:hideMark/>
          </w:tcPr>
          <w:p w14:paraId="31E9071F"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11 (3; 41)</w:t>
            </w:r>
          </w:p>
        </w:tc>
      </w:tr>
      <w:tr w:rsidR="00BF0719" w:rsidRPr="00DB47CD" w14:paraId="7F2F2629" w14:textId="77777777" w:rsidTr="004458DA">
        <w:trPr>
          <w:trHeight w:val="315"/>
        </w:trPr>
        <w:tc>
          <w:tcPr>
            <w:tcW w:w="642" w:type="pct"/>
            <w:tcBorders>
              <w:top w:val="nil"/>
              <w:left w:val="single" w:sz="4" w:space="0" w:color="auto"/>
              <w:bottom w:val="nil"/>
              <w:right w:val="nil"/>
            </w:tcBorders>
            <w:shd w:val="clear" w:color="000000" w:fill="FFFFFF"/>
            <w:noWrap/>
            <w:vAlign w:val="bottom"/>
            <w:hideMark/>
          </w:tcPr>
          <w:p w14:paraId="7C7E5814"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789" w:type="pct"/>
            <w:tcBorders>
              <w:top w:val="nil"/>
              <w:left w:val="nil"/>
              <w:bottom w:val="nil"/>
              <w:right w:val="nil"/>
            </w:tcBorders>
            <w:shd w:val="clear" w:color="000000" w:fill="FFFFFF"/>
            <w:noWrap/>
            <w:vAlign w:val="bottom"/>
            <w:hideMark/>
          </w:tcPr>
          <w:p w14:paraId="1605FC6B"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LAR</w:t>
            </w:r>
          </w:p>
        </w:tc>
        <w:tc>
          <w:tcPr>
            <w:tcW w:w="765" w:type="pct"/>
            <w:tcBorders>
              <w:top w:val="nil"/>
              <w:left w:val="nil"/>
              <w:bottom w:val="nil"/>
              <w:right w:val="nil"/>
            </w:tcBorders>
            <w:shd w:val="clear" w:color="000000" w:fill="FFFFFF"/>
            <w:noWrap/>
            <w:vAlign w:val="bottom"/>
            <w:hideMark/>
          </w:tcPr>
          <w:p w14:paraId="7EB13FCD"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53 (18; 219)</w:t>
            </w:r>
          </w:p>
        </w:tc>
        <w:tc>
          <w:tcPr>
            <w:tcW w:w="910" w:type="pct"/>
            <w:tcBorders>
              <w:top w:val="nil"/>
              <w:left w:val="nil"/>
              <w:bottom w:val="nil"/>
              <w:right w:val="nil"/>
            </w:tcBorders>
            <w:shd w:val="clear" w:color="000000" w:fill="FFFFFF"/>
            <w:noWrap/>
            <w:vAlign w:val="bottom"/>
            <w:hideMark/>
          </w:tcPr>
          <w:p w14:paraId="70E99EBF"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264 (88; 1097)</w:t>
            </w:r>
          </w:p>
        </w:tc>
        <w:tc>
          <w:tcPr>
            <w:tcW w:w="758" w:type="pct"/>
            <w:tcBorders>
              <w:top w:val="nil"/>
              <w:left w:val="nil"/>
              <w:bottom w:val="nil"/>
              <w:right w:val="nil"/>
            </w:tcBorders>
            <w:shd w:val="clear" w:color="000000" w:fill="FFFFFF"/>
            <w:noWrap/>
            <w:vAlign w:val="bottom"/>
            <w:hideMark/>
          </w:tcPr>
          <w:p w14:paraId="4D7BE837"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83 (33; 240)</w:t>
            </w:r>
          </w:p>
        </w:tc>
        <w:tc>
          <w:tcPr>
            <w:tcW w:w="1137" w:type="pct"/>
            <w:tcBorders>
              <w:top w:val="nil"/>
              <w:left w:val="nil"/>
              <w:bottom w:val="nil"/>
              <w:right w:val="single" w:sz="4" w:space="0" w:color="auto"/>
            </w:tcBorders>
            <w:shd w:val="clear" w:color="000000" w:fill="FFFFFF"/>
            <w:noWrap/>
            <w:vAlign w:val="bottom"/>
            <w:hideMark/>
          </w:tcPr>
          <w:p w14:paraId="2588764D"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416 (164; 1200)</w:t>
            </w:r>
          </w:p>
        </w:tc>
      </w:tr>
      <w:tr w:rsidR="00BF0719" w:rsidRPr="00DB47CD" w14:paraId="03B6825F" w14:textId="77777777" w:rsidTr="004458DA">
        <w:trPr>
          <w:trHeight w:val="315"/>
        </w:trPr>
        <w:tc>
          <w:tcPr>
            <w:tcW w:w="642" w:type="pct"/>
            <w:tcBorders>
              <w:top w:val="nil"/>
              <w:left w:val="single" w:sz="4" w:space="0" w:color="auto"/>
              <w:bottom w:val="nil"/>
              <w:right w:val="nil"/>
            </w:tcBorders>
            <w:shd w:val="clear" w:color="000000" w:fill="FFFFFF"/>
            <w:noWrap/>
            <w:vAlign w:val="bottom"/>
            <w:hideMark/>
          </w:tcPr>
          <w:p w14:paraId="4ED7E9F4"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789" w:type="pct"/>
            <w:tcBorders>
              <w:top w:val="nil"/>
              <w:left w:val="nil"/>
              <w:bottom w:val="nil"/>
              <w:right w:val="nil"/>
            </w:tcBorders>
            <w:shd w:val="clear" w:color="000000" w:fill="FFFFFF"/>
            <w:noWrap/>
            <w:vAlign w:val="bottom"/>
            <w:hideMark/>
          </w:tcPr>
          <w:p w14:paraId="4C37279B"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BR</w:t>
            </w:r>
            <w:r w:rsidRPr="00DB47CD">
              <w:rPr>
                <w:rFonts w:eastAsia="Times New Roman" w:cs="Times New Roman"/>
                <w:szCs w:val="24"/>
                <w:vertAlign w:val="subscript"/>
                <w:lang w:val="en-GB" w:eastAsia="de-DE"/>
              </w:rPr>
              <w:t>20</w:t>
            </w:r>
          </w:p>
        </w:tc>
        <w:tc>
          <w:tcPr>
            <w:tcW w:w="1674" w:type="pct"/>
            <w:gridSpan w:val="2"/>
            <w:tcBorders>
              <w:top w:val="nil"/>
              <w:left w:val="nil"/>
              <w:bottom w:val="nil"/>
              <w:right w:val="nil"/>
            </w:tcBorders>
            <w:shd w:val="clear" w:color="000000" w:fill="FFFFFF"/>
            <w:noWrap/>
            <w:vAlign w:val="bottom"/>
            <w:hideMark/>
          </w:tcPr>
          <w:p w14:paraId="7AF749B6"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20 (14; 27)</w:t>
            </w:r>
          </w:p>
        </w:tc>
        <w:tc>
          <w:tcPr>
            <w:tcW w:w="1895" w:type="pct"/>
            <w:gridSpan w:val="2"/>
            <w:tcBorders>
              <w:top w:val="nil"/>
              <w:left w:val="nil"/>
              <w:bottom w:val="nil"/>
              <w:right w:val="single" w:sz="4" w:space="0" w:color="000000"/>
            </w:tcBorders>
            <w:shd w:val="clear" w:color="000000" w:fill="FFFFFF"/>
            <w:noWrap/>
            <w:vAlign w:val="bottom"/>
            <w:hideMark/>
          </w:tcPr>
          <w:p w14:paraId="7BD3B43D"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18 (13; 26)</w:t>
            </w:r>
          </w:p>
        </w:tc>
      </w:tr>
      <w:tr w:rsidR="00BF0719" w:rsidRPr="00DB47CD" w14:paraId="0C5E6DF6" w14:textId="77777777" w:rsidTr="004458DA">
        <w:trPr>
          <w:trHeight w:val="315"/>
        </w:trPr>
        <w:tc>
          <w:tcPr>
            <w:tcW w:w="642" w:type="pct"/>
            <w:tcBorders>
              <w:top w:val="nil"/>
              <w:left w:val="single" w:sz="4" w:space="0" w:color="auto"/>
              <w:bottom w:val="single" w:sz="4" w:space="0" w:color="auto"/>
              <w:right w:val="nil"/>
            </w:tcBorders>
            <w:shd w:val="clear" w:color="000000" w:fill="FFFFFF"/>
            <w:noWrap/>
            <w:vAlign w:val="bottom"/>
            <w:hideMark/>
          </w:tcPr>
          <w:p w14:paraId="0BB433E2"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789" w:type="pct"/>
            <w:tcBorders>
              <w:top w:val="nil"/>
              <w:left w:val="nil"/>
              <w:bottom w:val="single" w:sz="4" w:space="0" w:color="auto"/>
              <w:right w:val="nil"/>
            </w:tcBorders>
            <w:shd w:val="clear" w:color="000000" w:fill="FFFFFF"/>
            <w:noWrap/>
            <w:vAlign w:val="bottom"/>
            <w:hideMark/>
          </w:tcPr>
          <w:p w14:paraId="1B370F83"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LBR</w:t>
            </w:r>
          </w:p>
        </w:tc>
        <w:tc>
          <w:tcPr>
            <w:tcW w:w="1674" w:type="pct"/>
            <w:gridSpan w:val="2"/>
            <w:tcBorders>
              <w:top w:val="nil"/>
              <w:left w:val="nil"/>
              <w:bottom w:val="single" w:sz="4" w:space="0" w:color="auto"/>
              <w:right w:val="nil"/>
            </w:tcBorders>
            <w:shd w:val="clear" w:color="000000" w:fill="FFFFFF"/>
            <w:noWrap/>
            <w:vAlign w:val="bottom"/>
            <w:hideMark/>
          </w:tcPr>
          <w:p w14:paraId="2A5AE716"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4002 (3871; 4143)</w:t>
            </w:r>
          </w:p>
        </w:tc>
        <w:tc>
          <w:tcPr>
            <w:tcW w:w="1895" w:type="pct"/>
            <w:gridSpan w:val="2"/>
            <w:tcBorders>
              <w:top w:val="nil"/>
              <w:left w:val="nil"/>
              <w:bottom w:val="single" w:sz="4" w:space="0" w:color="auto"/>
              <w:right w:val="single" w:sz="4" w:space="0" w:color="000000"/>
            </w:tcBorders>
            <w:shd w:val="clear" w:color="000000" w:fill="FFFFFF"/>
            <w:noWrap/>
            <w:vAlign w:val="bottom"/>
            <w:hideMark/>
          </w:tcPr>
          <w:p w14:paraId="7C60104E"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3511 (3383; 3647)</w:t>
            </w:r>
          </w:p>
        </w:tc>
      </w:tr>
    </w:tbl>
    <w:p w14:paraId="1DAD1FF4" w14:textId="77777777" w:rsidR="00BF0719" w:rsidRPr="00DB47CD" w:rsidRDefault="00BF0719" w:rsidP="00BF0719">
      <w:pPr>
        <w:autoSpaceDE w:val="0"/>
        <w:autoSpaceDN w:val="0"/>
        <w:adjustRightInd w:val="0"/>
        <w:spacing w:after="0"/>
        <w:rPr>
          <w:rFonts w:eastAsia="Calibri" w:cs="Times New Roman"/>
          <w:szCs w:val="24"/>
          <w:lang w:val="en-GB"/>
        </w:rPr>
      </w:pPr>
    </w:p>
    <w:p w14:paraId="3602B41A" w14:textId="77777777" w:rsidR="00415C1E" w:rsidRDefault="00415C1E" w:rsidP="00BF0719">
      <w:pPr>
        <w:autoSpaceDE w:val="0"/>
        <w:autoSpaceDN w:val="0"/>
        <w:adjustRightInd w:val="0"/>
        <w:spacing w:after="0"/>
        <w:rPr>
          <w:rFonts w:eastAsia="Calibri" w:cs="Times New Roman"/>
          <w:szCs w:val="24"/>
          <w:lang w:val="en-GB"/>
        </w:rPr>
      </w:pPr>
    </w:p>
    <w:p w14:paraId="20C41A72" w14:textId="77777777" w:rsidR="00415C1E" w:rsidRDefault="00415C1E" w:rsidP="00BF0719">
      <w:pPr>
        <w:autoSpaceDE w:val="0"/>
        <w:autoSpaceDN w:val="0"/>
        <w:adjustRightInd w:val="0"/>
        <w:spacing w:after="0"/>
        <w:rPr>
          <w:rFonts w:eastAsia="Calibri" w:cs="Times New Roman"/>
          <w:szCs w:val="24"/>
          <w:lang w:val="en-GB"/>
        </w:rPr>
      </w:pPr>
    </w:p>
    <w:p w14:paraId="1E374874" w14:textId="77777777" w:rsidR="00415C1E" w:rsidRDefault="00415C1E" w:rsidP="00BF0719">
      <w:pPr>
        <w:autoSpaceDE w:val="0"/>
        <w:autoSpaceDN w:val="0"/>
        <w:adjustRightInd w:val="0"/>
        <w:spacing w:after="0"/>
        <w:rPr>
          <w:rFonts w:eastAsia="Calibri" w:cs="Times New Roman"/>
          <w:szCs w:val="24"/>
          <w:lang w:val="en-GB"/>
        </w:rPr>
      </w:pPr>
    </w:p>
    <w:p w14:paraId="49E35717" w14:textId="77777777" w:rsidR="00415C1E" w:rsidRDefault="00415C1E" w:rsidP="00BF0719">
      <w:pPr>
        <w:autoSpaceDE w:val="0"/>
        <w:autoSpaceDN w:val="0"/>
        <w:adjustRightInd w:val="0"/>
        <w:spacing w:after="0"/>
        <w:rPr>
          <w:rFonts w:eastAsia="Calibri" w:cs="Times New Roman"/>
          <w:szCs w:val="24"/>
          <w:lang w:val="en-GB"/>
        </w:rPr>
      </w:pPr>
    </w:p>
    <w:p w14:paraId="3190FC1A" w14:textId="77777777" w:rsidR="00415C1E" w:rsidRDefault="00415C1E" w:rsidP="00BF0719">
      <w:pPr>
        <w:autoSpaceDE w:val="0"/>
        <w:autoSpaceDN w:val="0"/>
        <w:adjustRightInd w:val="0"/>
        <w:spacing w:after="0"/>
        <w:rPr>
          <w:rFonts w:eastAsia="Calibri" w:cs="Times New Roman"/>
          <w:szCs w:val="24"/>
          <w:lang w:val="en-GB"/>
        </w:rPr>
      </w:pPr>
    </w:p>
    <w:p w14:paraId="222436C2" w14:textId="77777777" w:rsidR="00415C1E" w:rsidRDefault="00415C1E" w:rsidP="00BF0719">
      <w:pPr>
        <w:autoSpaceDE w:val="0"/>
        <w:autoSpaceDN w:val="0"/>
        <w:adjustRightInd w:val="0"/>
        <w:spacing w:after="0"/>
        <w:rPr>
          <w:rFonts w:eastAsia="Calibri" w:cs="Times New Roman"/>
          <w:szCs w:val="24"/>
          <w:lang w:val="en-GB"/>
        </w:rPr>
      </w:pPr>
    </w:p>
    <w:p w14:paraId="625564A0" w14:textId="77777777" w:rsidR="00415C1E" w:rsidRDefault="00415C1E" w:rsidP="00BF0719">
      <w:pPr>
        <w:autoSpaceDE w:val="0"/>
        <w:autoSpaceDN w:val="0"/>
        <w:adjustRightInd w:val="0"/>
        <w:spacing w:after="0"/>
        <w:rPr>
          <w:rFonts w:eastAsia="Calibri" w:cs="Times New Roman"/>
          <w:szCs w:val="24"/>
          <w:lang w:val="en-GB"/>
        </w:rPr>
      </w:pPr>
    </w:p>
    <w:p w14:paraId="01023827" w14:textId="77777777" w:rsidR="00415C1E" w:rsidRDefault="00415C1E" w:rsidP="00BF0719">
      <w:pPr>
        <w:autoSpaceDE w:val="0"/>
        <w:autoSpaceDN w:val="0"/>
        <w:adjustRightInd w:val="0"/>
        <w:spacing w:after="0"/>
        <w:rPr>
          <w:rFonts w:eastAsia="Calibri" w:cs="Times New Roman"/>
          <w:szCs w:val="24"/>
          <w:lang w:val="en-GB"/>
        </w:rPr>
      </w:pPr>
    </w:p>
    <w:p w14:paraId="4D30E478" w14:textId="77777777" w:rsidR="00415C1E" w:rsidRDefault="00415C1E" w:rsidP="00BF0719">
      <w:pPr>
        <w:autoSpaceDE w:val="0"/>
        <w:autoSpaceDN w:val="0"/>
        <w:adjustRightInd w:val="0"/>
        <w:spacing w:after="0"/>
        <w:rPr>
          <w:rFonts w:eastAsia="Calibri" w:cs="Times New Roman"/>
          <w:szCs w:val="24"/>
          <w:lang w:val="en-GB"/>
        </w:rPr>
      </w:pPr>
    </w:p>
    <w:p w14:paraId="67B9A131" w14:textId="77777777" w:rsidR="00415C1E" w:rsidRDefault="00415C1E" w:rsidP="00BF0719">
      <w:pPr>
        <w:autoSpaceDE w:val="0"/>
        <w:autoSpaceDN w:val="0"/>
        <w:adjustRightInd w:val="0"/>
        <w:spacing w:after="0"/>
        <w:rPr>
          <w:rFonts w:eastAsia="Calibri" w:cs="Times New Roman"/>
          <w:szCs w:val="24"/>
          <w:lang w:val="en-GB"/>
        </w:rPr>
      </w:pPr>
    </w:p>
    <w:p w14:paraId="5769B2AF" w14:textId="77777777" w:rsidR="00415C1E" w:rsidRDefault="00415C1E" w:rsidP="00BF0719">
      <w:pPr>
        <w:autoSpaceDE w:val="0"/>
        <w:autoSpaceDN w:val="0"/>
        <w:adjustRightInd w:val="0"/>
        <w:spacing w:after="0"/>
        <w:rPr>
          <w:rFonts w:eastAsia="Calibri" w:cs="Times New Roman"/>
          <w:szCs w:val="24"/>
          <w:lang w:val="en-GB"/>
        </w:rPr>
      </w:pPr>
    </w:p>
    <w:p w14:paraId="0CF8D445" w14:textId="77777777" w:rsidR="00415C1E" w:rsidRDefault="00415C1E" w:rsidP="00BF0719">
      <w:pPr>
        <w:autoSpaceDE w:val="0"/>
        <w:autoSpaceDN w:val="0"/>
        <w:adjustRightInd w:val="0"/>
        <w:spacing w:after="0"/>
        <w:rPr>
          <w:rFonts w:eastAsia="Calibri" w:cs="Times New Roman"/>
          <w:szCs w:val="24"/>
          <w:lang w:val="en-GB"/>
        </w:rPr>
      </w:pPr>
    </w:p>
    <w:p w14:paraId="40F415BC" w14:textId="77777777" w:rsidR="00415C1E" w:rsidRDefault="00415C1E" w:rsidP="00BF0719">
      <w:pPr>
        <w:autoSpaceDE w:val="0"/>
        <w:autoSpaceDN w:val="0"/>
        <w:adjustRightInd w:val="0"/>
        <w:spacing w:after="0"/>
        <w:rPr>
          <w:rFonts w:eastAsia="Calibri" w:cs="Times New Roman"/>
          <w:szCs w:val="24"/>
          <w:lang w:val="en-GB"/>
        </w:rPr>
      </w:pPr>
    </w:p>
    <w:p w14:paraId="6EF2AFC0" w14:textId="77777777" w:rsidR="00415C1E" w:rsidRDefault="00415C1E" w:rsidP="00BF0719">
      <w:pPr>
        <w:autoSpaceDE w:val="0"/>
        <w:autoSpaceDN w:val="0"/>
        <w:adjustRightInd w:val="0"/>
        <w:spacing w:after="0"/>
        <w:rPr>
          <w:rFonts w:eastAsia="Calibri" w:cs="Times New Roman"/>
          <w:szCs w:val="24"/>
          <w:lang w:val="en-GB"/>
        </w:rPr>
      </w:pPr>
    </w:p>
    <w:p w14:paraId="029A5357" w14:textId="35A70852"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Table 3 Leukaemia, ranges for median number of cases per 10,000 after </w:t>
      </w:r>
      <w:r w:rsidRPr="00DB47CD">
        <w:rPr>
          <w:rFonts w:eastAsia="Calibri" w:cs="Times New Roman"/>
          <w:bCs/>
          <w:szCs w:val="24"/>
          <w:lang w:val="en-GB"/>
        </w:rPr>
        <w:t xml:space="preserve">20 years </w:t>
      </w:r>
      <w:r w:rsidRPr="00DB47CD">
        <w:rPr>
          <w:rFonts w:eastAsia="Calibri" w:cs="Times New Roman"/>
          <w:szCs w:val="24"/>
          <w:lang w:val="en-GB"/>
        </w:rPr>
        <w:t xml:space="preserve">and during lifetime </w:t>
      </w:r>
      <w:r w:rsidRPr="00DB47CD">
        <w:rPr>
          <w:rFonts w:eastAsia="Calibri" w:cs="Times New Roman"/>
          <w:bCs/>
          <w:szCs w:val="24"/>
          <w:lang w:val="en-GB"/>
        </w:rPr>
        <w:t xml:space="preserve">based on German population data for </w:t>
      </w:r>
      <w:r w:rsidRPr="00DB47CD">
        <w:rPr>
          <w:rFonts w:eastAsia="Calibri" w:cs="Times New Roman"/>
          <w:szCs w:val="24"/>
          <w:lang w:val="en-GB"/>
        </w:rPr>
        <w:t xml:space="preserve">20–100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effective dose range.</w:t>
      </w:r>
    </w:p>
    <w:p w14:paraId="757BD252" w14:textId="77777777" w:rsidR="00BF0719" w:rsidRPr="00DB47CD" w:rsidRDefault="00BF0719" w:rsidP="00BF0719">
      <w:pPr>
        <w:autoSpaceDE w:val="0"/>
        <w:autoSpaceDN w:val="0"/>
        <w:adjustRightInd w:val="0"/>
        <w:spacing w:after="0"/>
        <w:rPr>
          <w:rFonts w:eastAsia="Calibri" w:cs="Times New Roman"/>
          <w:szCs w:val="24"/>
          <w:lang w:val="en-GB"/>
        </w:rPr>
      </w:pPr>
    </w:p>
    <w:tbl>
      <w:tblPr>
        <w:tblW w:w="0" w:type="auto"/>
        <w:tblCellMar>
          <w:left w:w="70" w:type="dxa"/>
          <w:right w:w="70" w:type="dxa"/>
        </w:tblCellMar>
        <w:tblLook w:val="04A0" w:firstRow="1" w:lastRow="0" w:firstColumn="1" w:lastColumn="0" w:noHBand="0" w:noVBand="1"/>
      </w:tblPr>
      <w:tblGrid>
        <w:gridCol w:w="1234"/>
        <w:gridCol w:w="1586"/>
        <w:gridCol w:w="1388"/>
        <w:gridCol w:w="1733"/>
        <w:gridCol w:w="1388"/>
        <w:gridCol w:w="1733"/>
      </w:tblGrid>
      <w:tr w:rsidR="00BF0719" w:rsidRPr="0024579E" w14:paraId="03E790D4" w14:textId="77777777" w:rsidTr="004458DA">
        <w:trPr>
          <w:trHeight w:val="675"/>
        </w:trPr>
        <w:tc>
          <w:tcPr>
            <w:tcW w:w="0" w:type="auto"/>
            <w:tcBorders>
              <w:top w:val="single" w:sz="4" w:space="0" w:color="auto"/>
              <w:left w:val="single" w:sz="4" w:space="0" w:color="auto"/>
              <w:bottom w:val="single" w:sz="4" w:space="0" w:color="auto"/>
              <w:right w:val="nil"/>
            </w:tcBorders>
            <w:shd w:val="clear" w:color="000000" w:fill="FFFFFF"/>
            <w:noWrap/>
            <w:vAlign w:val="bottom"/>
            <w:hideMark/>
          </w:tcPr>
          <w:p w14:paraId="2A4089F4"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single" w:sz="4" w:space="0" w:color="auto"/>
              <w:left w:val="nil"/>
              <w:bottom w:val="single" w:sz="4" w:space="0" w:color="auto"/>
              <w:right w:val="nil"/>
            </w:tcBorders>
            <w:shd w:val="clear" w:color="000000" w:fill="FFFFFF"/>
            <w:noWrap/>
            <w:vAlign w:val="bottom"/>
            <w:hideMark/>
          </w:tcPr>
          <w:p w14:paraId="08F93148"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gridSpan w:val="4"/>
            <w:tcBorders>
              <w:top w:val="single" w:sz="4" w:space="0" w:color="auto"/>
              <w:left w:val="nil"/>
              <w:bottom w:val="single" w:sz="4" w:space="0" w:color="auto"/>
              <w:right w:val="single" w:sz="4" w:space="0" w:color="000000"/>
            </w:tcBorders>
            <w:shd w:val="clear" w:color="000000" w:fill="FFFFFF"/>
            <w:vAlign w:val="bottom"/>
            <w:hideMark/>
          </w:tcPr>
          <w:p w14:paraId="5AE4504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Ranges for median numbers of cases per 10,000 (with 95% CI) after 20 years-at-risk since exposure and during lifetime simply converted (10,000 times risk) from the risks in column 2.</w:t>
            </w:r>
          </w:p>
        </w:tc>
      </w:tr>
      <w:tr w:rsidR="00BF0719" w:rsidRPr="00DB47CD" w14:paraId="76003DB9" w14:textId="77777777" w:rsidTr="004458DA">
        <w:trPr>
          <w:trHeight w:val="568"/>
        </w:trPr>
        <w:tc>
          <w:tcPr>
            <w:tcW w:w="0" w:type="auto"/>
            <w:vMerge w:val="restart"/>
            <w:tcBorders>
              <w:top w:val="nil"/>
              <w:left w:val="single" w:sz="4" w:space="0" w:color="auto"/>
              <w:bottom w:val="single" w:sz="4" w:space="0" w:color="000000"/>
              <w:right w:val="nil"/>
            </w:tcBorders>
            <w:shd w:val="clear" w:color="000000" w:fill="FFFFFF"/>
            <w:vAlign w:val="center"/>
            <w:hideMark/>
          </w:tcPr>
          <w:p w14:paraId="65ABC5DE" w14:textId="158136D5"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Age at exposure</w:t>
            </w:r>
            <w:r w:rsidR="00691599">
              <w:rPr>
                <w:rFonts w:eastAsia="Times New Roman" w:cs="Times New Roman"/>
                <w:szCs w:val="24"/>
                <w:lang w:val="en-GB" w:eastAsia="de-DE"/>
              </w:rPr>
              <w:t>,</w:t>
            </w:r>
            <w:r w:rsidRPr="00DB47CD">
              <w:rPr>
                <w:rFonts w:eastAsia="Times New Roman" w:cs="Times New Roman"/>
                <w:szCs w:val="24"/>
                <w:lang w:val="en-GB" w:eastAsia="de-DE"/>
              </w:rPr>
              <w:br/>
              <w:t>year</w:t>
            </w:r>
          </w:p>
        </w:tc>
        <w:tc>
          <w:tcPr>
            <w:tcW w:w="0" w:type="auto"/>
            <w:tcBorders>
              <w:top w:val="nil"/>
              <w:left w:val="nil"/>
              <w:bottom w:val="nil"/>
              <w:right w:val="nil"/>
            </w:tcBorders>
            <w:shd w:val="clear" w:color="000000" w:fill="FFFFFF"/>
            <w:noWrap/>
            <w:vAlign w:val="center"/>
            <w:hideMark/>
          </w:tcPr>
          <w:p w14:paraId="09D2BFFA"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Sex:</w:t>
            </w:r>
          </w:p>
        </w:tc>
        <w:tc>
          <w:tcPr>
            <w:tcW w:w="0" w:type="auto"/>
            <w:gridSpan w:val="2"/>
            <w:tcBorders>
              <w:top w:val="single" w:sz="4" w:space="0" w:color="auto"/>
              <w:left w:val="nil"/>
              <w:bottom w:val="nil"/>
              <w:right w:val="nil"/>
            </w:tcBorders>
            <w:shd w:val="clear" w:color="000000" w:fill="FFFFFF"/>
            <w:noWrap/>
            <w:vAlign w:val="center"/>
            <w:hideMark/>
          </w:tcPr>
          <w:p w14:paraId="751B83A1"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Male</w:t>
            </w:r>
          </w:p>
        </w:tc>
        <w:tc>
          <w:tcPr>
            <w:tcW w:w="0" w:type="auto"/>
            <w:gridSpan w:val="2"/>
            <w:tcBorders>
              <w:top w:val="single" w:sz="4" w:space="0" w:color="auto"/>
              <w:left w:val="nil"/>
              <w:bottom w:val="nil"/>
              <w:right w:val="single" w:sz="4" w:space="0" w:color="000000"/>
            </w:tcBorders>
            <w:shd w:val="clear" w:color="000000" w:fill="FFFFFF"/>
            <w:noWrap/>
            <w:vAlign w:val="center"/>
            <w:hideMark/>
          </w:tcPr>
          <w:p w14:paraId="3B959EF7"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Female</w:t>
            </w:r>
          </w:p>
        </w:tc>
      </w:tr>
      <w:tr w:rsidR="00BF0719" w:rsidRPr="00DB47CD" w14:paraId="5D902480" w14:textId="77777777" w:rsidTr="004458DA">
        <w:trPr>
          <w:trHeight w:val="568"/>
        </w:trPr>
        <w:tc>
          <w:tcPr>
            <w:tcW w:w="0" w:type="auto"/>
            <w:vMerge/>
            <w:tcBorders>
              <w:top w:val="nil"/>
              <w:left w:val="single" w:sz="4" w:space="0" w:color="auto"/>
              <w:bottom w:val="single" w:sz="4" w:space="0" w:color="000000"/>
              <w:right w:val="nil"/>
            </w:tcBorders>
            <w:vAlign w:val="center"/>
            <w:hideMark/>
          </w:tcPr>
          <w:p w14:paraId="024CD3CD" w14:textId="77777777" w:rsidR="00BF0719" w:rsidRPr="00DB47CD" w:rsidRDefault="00BF0719" w:rsidP="004458DA">
            <w:pPr>
              <w:spacing w:before="40" w:after="40"/>
              <w:jc w:val="center"/>
              <w:rPr>
                <w:rFonts w:eastAsia="Times New Roman" w:cs="Times New Roman"/>
                <w:szCs w:val="24"/>
                <w:lang w:val="en-GB" w:eastAsia="de-DE"/>
              </w:rPr>
            </w:pPr>
          </w:p>
        </w:tc>
        <w:tc>
          <w:tcPr>
            <w:tcW w:w="0" w:type="auto"/>
            <w:tcBorders>
              <w:top w:val="nil"/>
              <w:left w:val="nil"/>
              <w:bottom w:val="single" w:sz="4" w:space="0" w:color="auto"/>
              <w:right w:val="nil"/>
            </w:tcBorders>
            <w:shd w:val="clear" w:color="000000" w:fill="FFFFFF"/>
            <w:noWrap/>
            <w:vAlign w:val="center"/>
            <w:hideMark/>
          </w:tcPr>
          <w:p w14:paraId="58662109"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Effective dose:</w:t>
            </w:r>
          </w:p>
        </w:tc>
        <w:tc>
          <w:tcPr>
            <w:tcW w:w="0" w:type="auto"/>
            <w:tcBorders>
              <w:top w:val="nil"/>
              <w:left w:val="nil"/>
              <w:bottom w:val="single" w:sz="4" w:space="0" w:color="auto"/>
              <w:right w:val="nil"/>
            </w:tcBorders>
            <w:shd w:val="clear" w:color="000000" w:fill="FFFFFF"/>
            <w:noWrap/>
            <w:vAlign w:val="center"/>
            <w:hideMark/>
          </w:tcPr>
          <w:p w14:paraId="610E2DA3"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 xml:space="preserve">20 </w:t>
            </w:r>
            <w:proofErr w:type="spellStart"/>
            <w:r w:rsidRPr="00DB47CD">
              <w:rPr>
                <w:rFonts w:eastAsia="Times New Roman" w:cs="Times New Roman"/>
                <w:szCs w:val="24"/>
                <w:lang w:val="en-GB" w:eastAsia="de-DE"/>
              </w:rPr>
              <w:t>mSv</w:t>
            </w:r>
            <w:proofErr w:type="spellEnd"/>
          </w:p>
        </w:tc>
        <w:tc>
          <w:tcPr>
            <w:tcW w:w="0" w:type="auto"/>
            <w:tcBorders>
              <w:top w:val="nil"/>
              <w:left w:val="nil"/>
              <w:bottom w:val="single" w:sz="4" w:space="0" w:color="auto"/>
              <w:right w:val="nil"/>
            </w:tcBorders>
            <w:shd w:val="clear" w:color="000000" w:fill="FFFFFF"/>
            <w:noWrap/>
            <w:vAlign w:val="center"/>
            <w:hideMark/>
          </w:tcPr>
          <w:p w14:paraId="77F9AF1D"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 xml:space="preserve">100 </w:t>
            </w:r>
            <w:proofErr w:type="spellStart"/>
            <w:r w:rsidRPr="00DB47CD">
              <w:rPr>
                <w:rFonts w:eastAsia="Times New Roman" w:cs="Times New Roman"/>
                <w:szCs w:val="24"/>
                <w:lang w:val="en-GB" w:eastAsia="de-DE"/>
              </w:rPr>
              <w:t>mSv</w:t>
            </w:r>
            <w:proofErr w:type="spellEnd"/>
          </w:p>
        </w:tc>
        <w:tc>
          <w:tcPr>
            <w:tcW w:w="0" w:type="auto"/>
            <w:tcBorders>
              <w:top w:val="nil"/>
              <w:left w:val="nil"/>
              <w:bottom w:val="single" w:sz="4" w:space="0" w:color="auto"/>
              <w:right w:val="nil"/>
            </w:tcBorders>
            <w:shd w:val="clear" w:color="000000" w:fill="FFFFFF"/>
            <w:noWrap/>
            <w:vAlign w:val="center"/>
            <w:hideMark/>
          </w:tcPr>
          <w:p w14:paraId="40BFD0C3"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 xml:space="preserve">20 </w:t>
            </w:r>
            <w:proofErr w:type="spellStart"/>
            <w:r w:rsidRPr="00DB47CD">
              <w:rPr>
                <w:rFonts w:eastAsia="Times New Roman" w:cs="Times New Roman"/>
                <w:szCs w:val="24"/>
                <w:lang w:val="en-GB" w:eastAsia="de-DE"/>
              </w:rPr>
              <w:t>mSv</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19B8B1F8"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 xml:space="preserve">100 </w:t>
            </w:r>
            <w:proofErr w:type="spellStart"/>
            <w:r w:rsidRPr="00DB47CD">
              <w:rPr>
                <w:rFonts w:eastAsia="Times New Roman" w:cs="Times New Roman"/>
                <w:szCs w:val="24"/>
                <w:lang w:val="en-GB" w:eastAsia="de-DE"/>
              </w:rPr>
              <w:t>mSv</w:t>
            </w:r>
            <w:proofErr w:type="spellEnd"/>
          </w:p>
        </w:tc>
      </w:tr>
      <w:tr w:rsidR="00BF0719" w:rsidRPr="00DB47CD" w14:paraId="723D52E3" w14:textId="77777777" w:rsidTr="004458DA">
        <w:trPr>
          <w:trHeight w:val="315"/>
        </w:trPr>
        <w:tc>
          <w:tcPr>
            <w:tcW w:w="0" w:type="auto"/>
            <w:tcBorders>
              <w:top w:val="nil"/>
              <w:left w:val="single" w:sz="4" w:space="0" w:color="auto"/>
              <w:bottom w:val="nil"/>
              <w:right w:val="nil"/>
            </w:tcBorders>
            <w:shd w:val="clear" w:color="000000" w:fill="FFFFFF"/>
            <w:noWrap/>
            <w:vAlign w:val="bottom"/>
            <w:hideMark/>
          </w:tcPr>
          <w:p w14:paraId="7DD51F2F" w14:textId="5AD8DDE7" w:rsidR="00BF0719" w:rsidRPr="00DB47CD" w:rsidRDefault="004458DA" w:rsidP="004458DA">
            <w:pPr>
              <w:spacing w:before="40" w:after="40"/>
              <w:rPr>
                <w:rFonts w:eastAsia="Times New Roman" w:cs="Times New Roman"/>
                <w:szCs w:val="24"/>
                <w:lang w:val="en-GB" w:eastAsia="de-DE"/>
              </w:rPr>
            </w:pPr>
            <w:r>
              <w:rPr>
                <w:rFonts w:eastAsia="Times New Roman" w:cs="Times New Roman"/>
                <w:szCs w:val="24"/>
                <w:lang w:val="en-GB" w:eastAsia="de-DE"/>
              </w:rPr>
              <w:t>20 (</w:t>
            </w:r>
            <w:r w:rsidR="00BF0719" w:rsidRPr="00DB47CD">
              <w:rPr>
                <w:rFonts w:eastAsia="Times New Roman" w:cs="Times New Roman"/>
                <w:szCs w:val="24"/>
                <w:lang w:val="en-GB" w:eastAsia="de-DE"/>
              </w:rPr>
              <w:t>Adult</w:t>
            </w:r>
            <w:r>
              <w:rPr>
                <w:rFonts w:eastAsia="Times New Roman" w:cs="Times New Roman"/>
                <w:szCs w:val="24"/>
                <w:lang w:val="en-GB" w:eastAsia="de-DE"/>
              </w:rPr>
              <w:t>)</w:t>
            </w:r>
          </w:p>
        </w:tc>
        <w:tc>
          <w:tcPr>
            <w:tcW w:w="0" w:type="auto"/>
            <w:tcBorders>
              <w:top w:val="nil"/>
              <w:left w:val="nil"/>
              <w:bottom w:val="nil"/>
              <w:right w:val="nil"/>
            </w:tcBorders>
            <w:shd w:val="clear" w:color="000000" w:fill="FFFFFF"/>
            <w:noWrap/>
            <w:vAlign w:val="bottom"/>
            <w:hideMark/>
          </w:tcPr>
          <w:p w14:paraId="741A425C"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AR</w:t>
            </w:r>
            <w:r w:rsidRPr="00DB47CD">
              <w:rPr>
                <w:rFonts w:eastAsia="Times New Roman" w:cs="Times New Roman"/>
                <w:szCs w:val="24"/>
                <w:vertAlign w:val="subscript"/>
                <w:lang w:val="en-GB" w:eastAsia="de-DE"/>
              </w:rPr>
              <w:t>20</w:t>
            </w:r>
          </w:p>
        </w:tc>
        <w:tc>
          <w:tcPr>
            <w:tcW w:w="0" w:type="auto"/>
            <w:tcBorders>
              <w:top w:val="nil"/>
              <w:left w:val="nil"/>
              <w:bottom w:val="nil"/>
              <w:right w:val="nil"/>
            </w:tcBorders>
            <w:shd w:val="clear" w:color="000000" w:fill="FFFFFF"/>
            <w:noWrap/>
            <w:vAlign w:val="bottom"/>
          </w:tcPr>
          <w:p w14:paraId="2E70C007"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1 (0; 3)</w:t>
            </w:r>
          </w:p>
        </w:tc>
        <w:tc>
          <w:tcPr>
            <w:tcW w:w="0" w:type="auto"/>
            <w:tcBorders>
              <w:top w:val="nil"/>
              <w:left w:val="nil"/>
              <w:bottom w:val="nil"/>
              <w:right w:val="nil"/>
            </w:tcBorders>
            <w:shd w:val="clear" w:color="000000" w:fill="FFFFFF"/>
            <w:noWrap/>
            <w:vAlign w:val="bottom"/>
          </w:tcPr>
          <w:p w14:paraId="3683A915"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4 (0; 14)</w:t>
            </w:r>
          </w:p>
        </w:tc>
        <w:tc>
          <w:tcPr>
            <w:tcW w:w="0" w:type="auto"/>
            <w:tcBorders>
              <w:top w:val="nil"/>
              <w:left w:val="nil"/>
              <w:bottom w:val="nil"/>
              <w:right w:val="nil"/>
            </w:tcBorders>
            <w:shd w:val="clear" w:color="000000" w:fill="FFFFFF"/>
            <w:noWrap/>
            <w:vAlign w:val="bottom"/>
          </w:tcPr>
          <w:p w14:paraId="73FA4A9D"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0 (0; 2)</w:t>
            </w:r>
          </w:p>
        </w:tc>
        <w:tc>
          <w:tcPr>
            <w:tcW w:w="0" w:type="auto"/>
            <w:tcBorders>
              <w:top w:val="nil"/>
              <w:left w:val="nil"/>
              <w:bottom w:val="nil"/>
              <w:right w:val="single" w:sz="4" w:space="0" w:color="auto"/>
            </w:tcBorders>
            <w:shd w:val="clear" w:color="000000" w:fill="FFFFFF"/>
            <w:noWrap/>
            <w:vAlign w:val="bottom"/>
          </w:tcPr>
          <w:p w14:paraId="640D6DE2"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2 (0; 11)</w:t>
            </w:r>
          </w:p>
        </w:tc>
      </w:tr>
      <w:tr w:rsidR="00BF0719" w:rsidRPr="00DB47CD" w14:paraId="5609C02D" w14:textId="77777777" w:rsidTr="004458DA">
        <w:trPr>
          <w:trHeight w:val="315"/>
        </w:trPr>
        <w:tc>
          <w:tcPr>
            <w:tcW w:w="0" w:type="auto"/>
            <w:tcBorders>
              <w:top w:val="nil"/>
              <w:left w:val="single" w:sz="4" w:space="0" w:color="auto"/>
              <w:bottom w:val="nil"/>
              <w:right w:val="nil"/>
            </w:tcBorders>
            <w:shd w:val="clear" w:color="000000" w:fill="FFFFFF"/>
            <w:noWrap/>
            <w:vAlign w:val="bottom"/>
            <w:hideMark/>
          </w:tcPr>
          <w:p w14:paraId="35A1BBDC"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18B0C842"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LAR</w:t>
            </w:r>
          </w:p>
        </w:tc>
        <w:tc>
          <w:tcPr>
            <w:tcW w:w="0" w:type="auto"/>
            <w:tcBorders>
              <w:top w:val="nil"/>
              <w:left w:val="nil"/>
              <w:bottom w:val="nil"/>
              <w:right w:val="nil"/>
            </w:tcBorders>
            <w:shd w:val="clear" w:color="000000" w:fill="FFFFFF"/>
            <w:noWrap/>
            <w:vAlign w:val="bottom"/>
          </w:tcPr>
          <w:p w14:paraId="50FF3D94"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2 (0; 7)</w:t>
            </w:r>
          </w:p>
        </w:tc>
        <w:tc>
          <w:tcPr>
            <w:tcW w:w="0" w:type="auto"/>
            <w:tcBorders>
              <w:top w:val="nil"/>
              <w:left w:val="nil"/>
              <w:bottom w:val="nil"/>
              <w:right w:val="nil"/>
            </w:tcBorders>
            <w:shd w:val="clear" w:color="000000" w:fill="FFFFFF"/>
            <w:noWrap/>
            <w:vAlign w:val="bottom"/>
          </w:tcPr>
          <w:p w14:paraId="6AEA3A0B"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10 (0; 35)</w:t>
            </w:r>
          </w:p>
        </w:tc>
        <w:tc>
          <w:tcPr>
            <w:tcW w:w="0" w:type="auto"/>
            <w:tcBorders>
              <w:top w:val="nil"/>
              <w:left w:val="nil"/>
              <w:bottom w:val="nil"/>
              <w:right w:val="nil"/>
            </w:tcBorders>
            <w:shd w:val="clear" w:color="000000" w:fill="FFFFFF"/>
            <w:noWrap/>
            <w:vAlign w:val="bottom"/>
          </w:tcPr>
          <w:p w14:paraId="36C1ABB0"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1 (0; 5)</w:t>
            </w:r>
          </w:p>
        </w:tc>
        <w:tc>
          <w:tcPr>
            <w:tcW w:w="0" w:type="auto"/>
            <w:tcBorders>
              <w:top w:val="nil"/>
              <w:left w:val="nil"/>
              <w:bottom w:val="nil"/>
              <w:right w:val="single" w:sz="4" w:space="0" w:color="auto"/>
            </w:tcBorders>
            <w:shd w:val="clear" w:color="000000" w:fill="FFFFFF"/>
            <w:noWrap/>
            <w:vAlign w:val="bottom"/>
          </w:tcPr>
          <w:p w14:paraId="3EE443CC"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7 (0; 29)</w:t>
            </w:r>
          </w:p>
        </w:tc>
      </w:tr>
      <w:tr w:rsidR="00BF0719" w:rsidRPr="00DB47CD" w14:paraId="6CF2386E" w14:textId="77777777" w:rsidTr="004458DA">
        <w:trPr>
          <w:trHeight w:val="315"/>
        </w:trPr>
        <w:tc>
          <w:tcPr>
            <w:tcW w:w="0" w:type="auto"/>
            <w:tcBorders>
              <w:top w:val="nil"/>
              <w:left w:val="single" w:sz="4" w:space="0" w:color="auto"/>
              <w:bottom w:val="nil"/>
              <w:right w:val="nil"/>
            </w:tcBorders>
            <w:shd w:val="clear" w:color="000000" w:fill="FFFFFF"/>
            <w:noWrap/>
            <w:vAlign w:val="bottom"/>
            <w:hideMark/>
          </w:tcPr>
          <w:p w14:paraId="4F1E5ABC"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5A8BB6B6"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BR</w:t>
            </w:r>
            <w:r w:rsidRPr="00DB47CD">
              <w:rPr>
                <w:rFonts w:eastAsia="Times New Roman" w:cs="Times New Roman"/>
                <w:szCs w:val="24"/>
                <w:vertAlign w:val="subscript"/>
                <w:lang w:val="en-GB" w:eastAsia="de-DE"/>
              </w:rPr>
              <w:t>20</w:t>
            </w:r>
          </w:p>
        </w:tc>
        <w:tc>
          <w:tcPr>
            <w:tcW w:w="0" w:type="auto"/>
            <w:gridSpan w:val="2"/>
            <w:tcBorders>
              <w:top w:val="nil"/>
              <w:left w:val="nil"/>
              <w:bottom w:val="nil"/>
              <w:right w:val="nil"/>
            </w:tcBorders>
            <w:shd w:val="clear" w:color="000000" w:fill="FFFFFF"/>
            <w:noWrap/>
            <w:vAlign w:val="bottom"/>
          </w:tcPr>
          <w:p w14:paraId="3CED4AD8"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7 (4; 11)</w:t>
            </w:r>
          </w:p>
        </w:tc>
        <w:tc>
          <w:tcPr>
            <w:tcW w:w="0" w:type="auto"/>
            <w:gridSpan w:val="2"/>
            <w:tcBorders>
              <w:top w:val="nil"/>
              <w:left w:val="nil"/>
              <w:bottom w:val="nil"/>
              <w:right w:val="single" w:sz="4" w:space="0" w:color="000000"/>
            </w:tcBorders>
            <w:shd w:val="clear" w:color="000000" w:fill="FFFFFF"/>
            <w:noWrap/>
            <w:vAlign w:val="bottom"/>
          </w:tcPr>
          <w:p w14:paraId="765D1B6E"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5 (3; 8)</w:t>
            </w:r>
          </w:p>
        </w:tc>
      </w:tr>
      <w:tr w:rsidR="00BF0719" w:rsidRPr="00DB47CD" w14:paraId="3F7A33D9" w14:textId="77777777" w:rsidTr="004458DA">
        <w:trPr>
          <w:trHeight w:val="315"/>
        </w:trPr>
        <w:tc>
          <w:tcPr>
            <w:tcW w:w="0" w:type="auto"/>
            <w:tcBorders>
              <w:top w:val="nil"/>
              <w:left w:val="single" w:sz="4" w:space="0" w:color="auto"/>
              <w:bottom w:val="single" w:sz="4" w:space="0" w:color="auto"/>
              <w:right w:val="nil"/>
            </w:tcBorders>
            <w:shd w:val="clear" w:color="000000" w:fill="FFFFFF"/>
            <w:noWrap/>
            <w:vAlign w:val="bottom"/>
            <w:hideMark/>
          </w:tcPr>
          <w:p w14:paraId="236BBC57"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single" w:sz="4" w:space="0" w:color="auto"/>
              <w:right w:val="nil"/>
            </w:tcBorders>
            <w:shd w:val="clear" w:color="000000" w:fill="FFFFFF"/>
            <w:noWrap/>
            <w:vAlign w:val="bottom"/>
            <w:hideMark/>
          </w:tcPr>
          <w:p w14:paraId="77250A21"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LBR</w:t>
            </w:r>
          </w:p>
        </w:tc>
        <w:tc>
          <w:tcPr>
            <w:tcW w:w="0" w:type="auto"/>
            <w:gridSpan w:val="2"/>
            <w:tcBorders>
              <w:top w:val="nil"/>
              <w:left w:val="nil"/>
              <w:bottom w:val="single" w:sz="4" w:space="0" w:color="auto"/>
              <w:right w:val="nil"/>
            </w:tcBorders>
            <w:shd w:val="clear" w:color="000000" w:fill="FFFFFF"/>
            <w:noWrap/>
            <w:vAlign w:val="bottom"/>
          </w:tcPr>
          <w:p w14:paraId="63027A7D"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153 (129; 184)</w:t>
            </w:r>
          </w:p>
        </w:tc>
        <w:tc>
          <w:tcPr>
            <w:tcW w:w="0" w:type="auto"/>
            <w:gridSpan w:val="2"/>
            <w:tcBorders>
              <w:top w:val="nil"/>
              <w:left w:val="nil"/>
              <w:bottom w:val="single" w:sz="4" w:space="0" w:color="auto"/>
              <w:right w:val="single" w:sz="4" w:space="0" w:color="000000"/>
            </w:tcBorders>
            <w:shd w:val="clear" w:color="000000" w:fill="FFFFFF"/>
            <w:noWrap/>
            <w:vAlign w:val="bottom"/>
          </w:tcPr>
          <w:p w14:paraId="7121F9D4"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112 (92; 138)</w:t>
            </w:r>
          </w:p>
        </w:tc>
      </w:tr>
      <w:tr w:rsidR="00BF0719" w:rsidRPr="00DB47CD" w14:paraId="64E351D8" w14:textId="77777777" w:rsidTr="004458DA">
        <w:trPr>
          <w:trHeight w:val="315"/>
        </w:trPr>
        <w:tc>
          <w:tcPr>
            <w:tcW w:w="0" w:type="auto"/>
            <w:tcBorders>
              <w:top w:val="nil"/>
              <w:left w:val="single" w:sz="4" w:space="0" w:color="auto"/>
              <w:bottom w:val="nil"/>
              <w:right w:val="nil"/>
            </w:tcBorders>
            <w:shd w:val="clear" w:color="000000" w:fill="FFFFFF"/>
            <w:noWrap/>
            <w:vAlign w:val="bottom"/>
            <w:hideMark/>
          </w:tcPr>
          <w:p w14:paraId="4E23F328" w14:textId="06225467" w:rsidR="00BF0719" w:rsidRPr="00DB47CD" w:rsidRDefault="004458DA" w:rsidP="004458DA">
            <w:pPr>
              <w:spacing w:before="40" w:after="40"/>
              <w:rPr>
                <w:rFonts w:eastAsia="Times New Roman" w:cs="Times New Roman"/>
                <w:szCs w:val="24"/>
                <w:lang w:val="en-GB" w:eastAsia="de-DE"/>
              </w:rPr>
            </w:pPr>
            <w:r>
              <w:rPr>
                <w:rFonts w:eastAsia="Times New Roman" w:cs="Times New Roman"/>
                <w:szCs w:val="24"/>
                <w:lang w:val="en-GB" w:eastAsia="de-DE"/>
              </w:rPr>
              <w:t>10 (</w:t>
            </w:r>
            <w:r w:rsidR="00BF0719" w:rsidRPr="00DB47CD">
              <w:rPr>
                <w:rFonts w:eastAsia="Times New Roman" w:cs="Times New Roman"/>
                <w:szCs w:val="24"/>
                <w:lang w:val="en-GB" w:eastAsia="de-DE"/>
              </w:rPr>
              <w:t>Child</w:t>
            </w:r>
            <w:r>
              <w:rPr>
                <w:rFonts w:eastAsia="Times New Roman" w:cs="Times New Roman"/>
                <w:szCs w:val="24"/>
                <w:lang w:val="en-GB" w:eastAsia="de-DE"/>
              </w:rPr>
              <w:t>)</w:t>
            </w:r>
          </w:p>
        </w:tc>
        <w:tc>
          <w:tcPr>
            <w:tcW w:w="0" w:type="auto"/>
            <w:tcBorders>
              <w:top w:val="nil"/>
              <w:left w:val="nil"/>
              <w:bottom w:val="nil"/>
              <w:right w:val="nil"/>
            </w:tcBorders>
            <w:shd w:val="clear" w:color="000000" w:fill="FFFFFF"/>
            <w:noWrap/>
            <w:vAlign w:val="bottom"/>
            <w:hideMark/>
          </w:tcPr>
          <w:p w14:paraId="543431E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AR</w:t>
            </w:r>
            <w:r w:rsidRPr="00DB47CD">
              <w:rPr>
                <w:rFonts w:eastAsia="Times New Roman" w:cs="Times New Roman"/>
                <w:szCs w:val="24"/>
                <w:vertAlign w:val="subscript"/>
                <w:lang w:val="en-GB" w:eastAsia="de-DE"/>
              </w:rPr>
              <w:t>20</w:t>
            </w:r>
          </w:p>
        </w:tc>
        <w:tc>
          <w:tcPr>
            <w:tcW w:w="0" w:type="auto"/>
            <w:tcBorders>
              <w:top w:val="single" w:sz="4" w:space="0" w:color="auto"/>
              <w:left w:val="nil"/>
              <w:bottom w:val="nil"/>
              <w:right w:val="nil"/>
            </w:tcBorders>
            <w:shd w:val="clear" w:color="000000" w:fill="FFFFFF"/>
            <w:noWrap/>
            <w:vAlign w:val="bottom"/>
          </w:tcPr>
          <w:p w14:paraId="716A513D"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1 (0; 6)</w:t>
            </w:r>
          </w:p>
        </w:tc>
        <w:tc>
          <w:tcPr>
            <w:tcW w:w="0" w:type="auto"/>
            <w:tcBorders>
              <w:top w:val="single" w:sz="4" w:space="0" w:color="auto"/>
              <w:left w:val="nil"/>
              <w:bottom w:val="nil"/>
              <w:right w:val="nil"/>
            </w:tcBorders>
            <w:shd w:val="clear" w:color="000000" w:fill="FFFFFF"/>
            <w:noWrap/>
            <w:vAlign w:val="bottom"/>
          </w:tcPr>
          <w:p w14:paraId="16BB7C76"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6 (0; 33)</w:t>
            </w:r>
          </w:p>
        </w:tc>
        <w:tc>
          <w:tcPr>
            <w:tcW w:w="0" w:type="auto"/>
            <w:tcBorders>
              <w:top w:val="single" w:sz="4" w:space="0" w:color="auto"/>
              <w:left w:val="nil"/>
              <w:bottom w:val="nil"/>
              <w:right w:val="nil"/>
            </w:tcBorders>
            <w:shd w:val="clear" w:color="000000" w:fill="FFFFFF"/>
            <w:noWrap/>
            <w:vAlign w:val="bottom"/>
          </w:tcPr>
          <w:p w14:paraId="31A2728A"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1 (0; 5)</w:t>
            </w:r>
          </w:p>
        </w:tc>
        <w:tc>
          <w:tcPr>
            <w:tcW w:w="0" w:type="auto"/>
            <w:tcBorders>
              <w:top w:val="single" w:sz="4" w:space="0" w:color="auto"/>
              <w:left w:val="nil"/>
              <w:bottom w:val="nil"/>
              <w:right w:val="single" w:sz="4" w:space="0" w:color="auto"/>
            </w:tcBorders>
            <w:shd w:val="clear" w:color="000000" w:fill="FFFFFF"/>
            <w:noWrap/>
            <w:vAlign w:val="bottom"/>
          </w:tcPr>
          <w:p w14:paraId="4010F066"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4 (0; 29)</w:t>
            </w:r>
          </w:p>
        </w:tc>
      </w:tr>
      <w:tr w:rsidR="00BF0719" w:rsidRPr="00DB47CD" w14:paraId="527007A3" w14:textId="77777777" w:rsidTr="004458DA">
        <w:trPr>
          <w:trHeight w:val="315"/>
        </w:trPr>
        <w:tc>
          <w:tcPr>
            <w:tcW w:w="0" w:type="auto"/>
            <w:tcBorders>
              <w:top w:val="nil"/>
              <w:left w:val="single" w:sz="4" w:space="0" w:color="auto"/>
              <w:bottom w:val="nil"/>
              <w:right w:val="nil"/>
            </w:tcBorders>
            <w:shd w:val="clear" w:color="000000" w:fill="FFFFFF"/>
            <w:noWrap/>
            <w:vAlign w:val="bottom"/>
            <w:hideMark/>
          </w:tcPr>
          <w:p w14:paraId="7FC7AEAC"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2A84E935"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LAR</w:t>
            </w:r>
          </w:p>
        </w:tc>
        <w:tc>
          <w:tcPr>
            <w:tcW w:w="0" w:type="auto"/>
            <w:tcBorders>
              <w:top w:val="nil"/>
              <w:left w:val="nil"/>
              <w:bottom w:val="nil"/>
              <w:right w:val="nil"/>
            </w:tcBorders>
            <w:shd w:val="clear" w:color="000000" w:fill="FFFFFF"/>
            <w:noWrap/>
            <w:vAlign w:val="bottom"/>
          </w:tcPr>
          <w:p w14:paraId="47F35F4F"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2 (0; 11)</w:t>
            </w:r>
          </w:p>
        </w:tc>
        <w:tc>
          <w:tcPr>
            <w:tcW w:w="0" w:type="auto"/>
            <w:tcBorders>
              <w:top w:val="nil"/>
              <w:left w:val="nil"/>
              <w:bottom w:val="nil"/>
              <w:right w:val="nil"/>
            </w:tcBorders>
            <w:shd w:val="clear" w:color="000000" w:fill="FFFFFF"/>
            <w:noWrap/>
            <w:vAlign w:val="bottom"/>
          </w:tcPr>
          <w:p w14:paraId="5E9C375C"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13 (0; 62)</w:t>
            </w:r>
          </w:p>
        </w:tc>
        <w:tc>
          <w:tcPr>
            <w:tcW w:w="0" w:type="auto"/>
            <w:tcBorders>
              <w:top w:val="nil"/>
              <w:left w:val="nil"/>
              <w:bottom w:val="nil"/>
              <w:right w:val="nil"/>
            </w:tcBorders>
            <w:shd w:val="clear" w:color="000000" w:fill="FFFFFF"/>
            <w:noWrap/>
            <w:vAlign w:val="bottom"/>
          </w:tcPr>
          <w:p w14:paraId="2A04A036"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2 (0; 10)</w:t>
            </w:r>
          </w:p>
        </w:tc>
        <w:tc>
          <w:tcPr>
            <w:tcW w:w="0" w:type="auto"/>
            <w:tcBorders>
              <w:top w:val="nil"/>
              <w:left w:val="nil"/>
              <w:bottom w:val="nil"/>
              <w:right w:val="single" w:sz="4" w:space="0" w:color="auto"/>
            </w:tcBorders>
            <w:shd w:val="clear" w:color="000000" w:fill="FFFFFF"/>
            <w:noWrap/>
            <w:vAlign w:val="bottom"/>
          </w:tcPr>
          <w:p w14:paraId="0E82FEA7"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10 (0; 57)</w:t>
            </w:r>
          </w:p>
        </w:tc>
      </w:tr>
      <w:tr w:rsidR="00BF0719" w:rsidRPr="00DB47CD" w14:paraId="353F65E7" w14:textId="77777777" w:rsidTr="004458DA">
        <w:trPr>
          <w:trHeight w:val="315"/>
        </w:trPr>
        <w:tc>
          <w:tcPr>
            <w:tcW w:w="0" w:type="auto"/>
            <w:tcBorders>
              <w:top w:val="nil"/>
              <w:left w:val="single" w:sz="4" w:space="0" w:color="auto"/>
              <w:bottom w:val="nil"/>
              <w:right w:val="nil"/>
            </w:tcBorders>
            <w:shd w:val="clear" w:color="000000" w:fill="FFFFFF"/>
            <w:noWrap/>
            <w:vAlign w:val="bottom"/>
            <w:hideMark/>
          </w:tcPr>
          <w:p w14:paraId="2EE1D02F"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27FC57FE"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BR</w:t>
            </w:r>
            <w:r w:rsidRPr="00DB47CD">
              <w:rPr>
                <w:rFonts w:eastAsia="Times New Roman" w:cs="Times New Roman"/>
                <w:szCs w:val="24"/>
                <w:vertAlign w:val="subscript"/>
                <w:lang w:val="en-GB" w:eastAsia="de-DE"/>
              </w:rPr>
              <w:t>20</w:t>
            </w:r>
          </w:p>
        </w:tc>
        <w:tc>
          <w:tcPr>
            <w:tcW w:w="0" w:type="auto"/>
            <w:gridSpan w:val="2"/>
            <w:tcBorders>
              <w:top w:val="nil"/>
              <w:left w:val="nil"/>
              <w:bottom w:val="nil"/>
              <w:right w:val="nil"/>
            </w:tcBorders>
            <w:shd w:val="clear" w:color="000000" w:fill="FFFFFF"/>
            <w:noWrap/>
            <w:vAlign w:val="bottom"/>
          </w:tcPr>
          <w:p w14:paraId="16C8789A"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7 (4; 11)</w:t>
            </w:r>
          </w:p>
        </w:tc>
        <w:tc>
          <w:tcPr>
            <w:tcW w:w="0" w:type="auto"/>
            <w:gridSpan w:val="2"/>
            <w:tcBorders>
              <w:top w:val="nil"/>
              <w:left w:val="nil"/>
              <w:bottom w:val="nil"/>
              <w:right w:val="single" w:sz="4" w:space="0" w:color="000000"/>
            </w:tcBorders>
            <w:shd w:val="clear" w:color="000000" w:fill="FFFFFF"/>
            <w:noWrap/>
            <w:vAlign w:val="bottom"/>
          </w:tcPr>
          <w:p w14:paraId="23C770CE"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4 (2; 8)</w:t>
            </w:r>
          </w:p>
        </w:tc>
      </w:tr>
      <w:tr w:rsidR="00BF0719" w:rsidRPr="00DB47CD" w14:paraId="55C01D7F" w14:textId="77777777" w:rsidTr="004458DA">
        <w:trPr>
          <w:trHeight w:val="315"/>
        </w:trPr>
        <w:tc>
          <w:tcPr>
            <w:tcW w:w="0" w:type="auto"/>
            <w:tcBorders>
              <w:top w:val="nil"/>
              <w:left w:val="single" w:sz="4" w:space="0" w:color="auto"/>
              <w:bottom w:val="single" w:sz="4" w:space="0" w:color="auto"/>
              <w:right w:val="nil"/>
            </w:tcBorders>
            <w:shd w:val="clear" w:color="000000" w:fill="FFFFFF"/>
            <w:noWrap/>
            <w:vAlign w:val="bottom"/>
            <w:hideMark/>
          </w:tcPr>
          <w:p w14:paraId="5C352B4E"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single" w:sz="4" w:space="0" w:color="auto"/>
              <w:right w:val="nil"/>
            </w:tcBorders>
            <w:shd w:val="clear" w:color="000000" w:fill="FFFFFF"/>
            <w:noWrap/>
            <w:vAlign w:val="bottom"/>
            <w:hideMark/>
          </w:tcPr>
          <w:p w14:paraId="7ECB27BF"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LBR</w:t>
            </w:r>
          </w:p>
        </w:tc>
        <w:tc>
          <w:tcPr>
            <w:tcW w:w="0" w:type="auto"/>
            <w:gridSpan w:val="2"/>
            <w:tcBorders>
              <w:top w:val="nil"/>
              <w:left w:val="nil"/>
              <w:bottom w:val="single" w:sz="4" w:space="0" w:color="auto"/>
              <w:right w:val="nil"/>
            </w:tcBorders>
            <w:shd w:val="clear" w:color="000000" w:fill="FFFFFF"/>
            <w:noWrap/>
            <w:vAlign w:val="bottom"/>
          </w:tcPr>
          <w:p w14:paraId="52C0D77A"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156 (131; 190)</w:t>
            </w:r>
          </w:p>
        </w:tc>
        <w:tc>
          <w:tcPr>
            <w:tcW w:w="0" w:type="auto"/>
            <w:gridSpan w:val="2"/>
            <w:tcBorders>
              <w:top w:val="nil"/>
              <w:left w:val="nil"/>
              <w:bottom w:val="single" w:sz="4" w:space="0" w:color="auto"/>
              <w:right w:val="single" w:sz="4" w:space="0" w:color="000000"/>
            </w:tcBorders>
            <w:shd w:val="clear" w:color="000000" w:fill="FFFFFF"/>
            <w:noWrap/>
            <w:vAlign w:val="bottom"/>
          </w:tcPr>
          <w:p w14:paraId="4B173E5C"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115 (94; 143)</w:t>
            </w:r>
          </w:p>
        </w:tc>
      </w:tr>
      <w:tr w:rsidR="00BF0719" w:rsidRPr="00DB47CD" w14:paraId="06A43FEC" w14:textId="77777777" w:rsidTr="004458DA">
        <w:trPr>
          <w:trHeight w:val="315"/>
        </w:trPr>
        <w:tc>
          <w:tcPr>
            <w:tcW w:w="0" w:type="auto"/>
            <w:tcBorders>
              <w:top w:val="nil"/>
              <w:left w:val="single" w:sz="4" w:space="0" w:color="auto"/>
              <w:bottom w:val="nil"/>
              <w:right w:val="nil"/>
            </w:tcBorders>
            <w:shd w:val="clear" w:color="000000" w:fill="FFFFFF"/>
            <w:noWrap/>
            <w:vAlign w:val="bottom"/>
            <w:hideMark/>
          </w:tcPr>
          <w:p w14:paraId="46387551" w14:textId="443D799B" w:rsidR="00BF0719" w:rsidRPr="00DB47CD" w:rsidRDefault="004458DA" w:rsidP="004458DA">
            <w:pPr>
              <w:spacing w:before="40" w:after="40"/>
              <w:rPr>
                <w:rFonts w:eastAsia="Times New Roman" w:cs="Times New Roman"/>
                <w:szCs w:val="24"/>
                <w:lang w:val="en-GB" w:eastAsia="de-DE"/>
              </w:rPr>
            </w:pPr>
            <w:r>
              <w:rPr>
                <w:rFonts w:eastAsia="Times New Roman" w:cs="Times New Roman"/>
                <w:szCs w:val="24"/>
                <w:lang w:val="en-GB" w:eastAsia="de-DE"/>
              </w:rPr>
              <w:t>1 (</w:t>
            </w:r>
            <w:r w:rsidR="00BF0719" w:rsidRPr="00DB47CD">
              <w:rPr>
                <w:rFonts w:eastAsia="Times New Roman" w:cs="Times New Roman"/>
                <w:szCs w:val="24"/>
                <w:lang w:val="en-GB" w:eastAsia="de-DE"/>
              </w:rPr>
              <w:t>Infant</w:t>
            </w:r>
            <w:r>
              <w:rPr>
                <w:rFonts w:eastAsia="Times New Roman" w:cs="Times New Roman"/>
                <w:szCs w:val="24"/>
                <w:lang w:val="en-GB" w:eastAsia="de-DE"/>
              </w:rPr>
              <w:t>)</w:t>
            </w:r>
          </w:p>
        </w:tc>
        <w:tc>
          <w:tcPr>
            <w:tcW w:w="0" w:type="auto"/>
            <w:tcBorders>
              <w:top w:val="nil"/>
              <w:left w:val="nil"/>
              <w:bottom w:val="nil"/>
              <w:right w:val="nil"/>
            </w:tcBorders>
            <w:shd w:val="clear" w:color="000000" w:fill="FFFFFF"/>
            <w:noWrap/>
            <w:vAlign w:val="bottom"/>
            <w:hideMark/>
          </w:tcPr>
          <w:p w14:paraId="7EF978A4"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AR</w:t>
            </w:r>
            <w:r w:rsidRPr="00DB47CD">
              <w:rPr>
                <w:rFonts w:eastAsia="Times New Roman" w:cs="Times New Roman"/>
                <w:szCs w:val="24"/>
                <w:vertAlign w:val="subscript"/>
                <w:lang w:val="en-GB" w:eastAsia="de-DE"/>
              </w:rPr>
              <w:t>20</w:t>
            </w:r>
          </w:p>
        </w:tc>
        <w:tc>
          <w:tcPr>
            <w:tcW w:w="0" w:type="auto"/>
            <w:tcBorders>
              <w:top w:val="nil"/>
              <w:left w:val="nil"/>
              <w:bottom w:val="nil"/>
              <w:right w:val="nil"/>
            </w:tcBorders>
            <w:shd w:val="clear" w:color="000000" w:fill="FFFFFF"/>
            <w:noWrap/>
            <w:vAlign w:val="bottom"/>
          </w:tcPr>
          <w:p w14:paraId="43963213"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3 (0; 25)</w:t>
            </w:r>
          </w:p>
        </w:tc>
        <w:tc>
          <w:tcPr>
            <w:tcW w:w="0" w:type="auto"/>
            <w:tcBorders>
              <w:top w:val="nil"/>
              <w:left w:val="nil"/>
              <w:bottom w:val="nil"/>
              <w:right w:val="nil"/>
            </w:tcBorders>
            <w:shd w:val="clear" w:color="000000" w:fill="FFFFFF"/>
            <w:noWrap/>
            <w:vAlign w:val="bottom"/>
          </w:tcPr>
          <w:p w14:paraId="740BDE89"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19 (0; 138)</w:t>
            </w:r>
          </w:p>
        </w:tc>
        <w:tc>
          <w:tcPr>
            <w:tcW w:w="0" w:type="auto"/>
            <w:tcBorders>
              <w:top w:val="nil"/>
              <w:left w:val="nil"/>
              <w:bottom w:val="nil"/>
              <w:right w:val="nil"/>
            </w:tcBorders>
            <w:shd w:val="clear" w:color="000000" w:fill="FFFFFF"/>
            <w:noWrap/>
            <w:vAlign w:val="bottom"/>
          </w:tcPr>
          <w:p w14:paraId="06653398"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2 (0; 20)</w:t>
            </w:r>
          </w:p>
        </w:tc>
        <w:tc>
          <w:tcPr>
            <w:tcW w:w="0" w:type="auto"/>
            <w:tcBorders>
              <w:top w:val="nil"/>
              <w:left w:val="nil"/>
              <w:bottom w:val="nil"/>
              <w:right w:val="single" w:sz="4" w:space="0" w:color="auto"/>
            </w:tcBorders>
            <w:shd w:val="clear" w:color="000000" w:fill="FFFFFF"/>
            <w:noWrap/>
            <w:vAlign w:val="bottom"/>
          </w:tcPr>
          <w:p w14:paraId="73791194"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14 (0; 112)</w:t>
            </w:r>
          </w:p>
        </w:tc>
      </w:tr>
      <w:tr w:rsidR="00BF0719" w:rsidRPr="00DB47CD" w14:paraId="6E8FB2C3" w14:textId="77777777" w:rsidTr="004458DA">
        <w:trPr>
          <w:trHeight w:val="315"/>
        </w:trPr>
        <w:tc>
          <w:tcPr>
            <w:tcW w:w="0" w:type="auto"/>
            <w:tcBorders>
              <w:top w:val="nil"/>
              <w:left w:val="single" w:sz="4" w:space="0" w:color="auto"/>
              <w:bottom w:val="nil"/>
              <w:right w:val="nil"/>
            </w:tcBorders>
            <w:shd w:val="clear" w:color="000000" w:fill="FFFFFF"/>
            <w:noWrap/>
            <w:vAlign w:val="bottom"/>
            <w:hideMark/>
          </w:tcPr>
          <w:p w14:paraId="6634FC9A"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19CB7ECF"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LAR</w:t>
            </w:r>
          </w:p>
        </w:tc>
        <w:tc>
          <w:tcPr>
            <w:tcW w:w="0" w:type="auto"/>
            <w:tcBorders>
              <w:top w:val="nil"/>
              <w:left w:val="nil"/>
              <w:bottom w:val="nil"/>
              <w:right w:val="nil"/>
            </w:tcBorders>
            <w:shd w:val="clear" w:color="000000" w:fill="FFFFFF"/>
            <w:noWrap/>
            <w:vAlign w:val="bottom"/>
          </w:tcPr>
          <w:p w14:paraId="2ECC7D07"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6 (0; 33)</w:t>
            </w:r>
          </w:p>
        </w:tc>
        <w:tc>
          <w:tcPr>
            <w:tcW w:w="0" w:type="auto"/>
            <w:tcBorders>
              <w:top w:val="nil"/>
              <w:left w:val="nil"/>
              <w:bottom w:val="nil"/>
              <w:right w:val="nil"/>
            </w:tcBorders>
            <w:shd w:val="clear" w:color="000000" w:fill="FFFFFF"/>
            <w:noWrap/>
            <w:vAlign w:val="bottom"/>
          </w:tcPr>
          <w:p w14:paraId="75E5475D"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30 (1; 176)</w:t>
            </w:r>
          </w:p>
        </w:tc>
        <w:tc>
          <w:tcPr>
            <w:tcW w:w="0" w:type="auto"/>
            <w:tcBorders>
              <w:top w:val="nil"/>
              <w:left w:val="nil"/>
              <w:bottom w:val="nil"/>
              <w:right w:val="nil"/>
            </w:tcBorders>
            <w:shd w:val="clear" w:color="000000" w:fill="FFFFFF"/>
            <w:noWrap/>
            <w:vAlign w:val="bottom"/>
          </w:tcPr>
          <w:p w14:paraId="77EFA21C"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4 (0; 28)</w:t>
            </w:r>
          </w:p>
        </w:tc>
        <w:tc>
          <w:tcPr>
            <w:tcW w:w="0" w:type="auto"/>
            <w:tcBorders>
              <w:top w:val="nil"/>
              <w:left w:val="nil"/>
              <w:bottom w:val="nil"/>
              <w:right w:val="single" w:sz="4" w:space="0" w:color="auto"/>
            </w:tcBorders>
            <w:shd w:val="clear" w:color="000000" w:fill="FFFFFF"/>
            <w:noWrap/>
            <w:vAlign w:val="bottom"/>
          </w:tcPr>
          <w:p w14:paraId="3F2AF898" w14:textId="77777777" w:rsidR="00BF0719" w:rsidRPr="00DB47CD" w:rsidRDefault="00BF0719" w:rsidP="004458DA">
            <w:pPr>
              <w:spacing w:before="40" w:after="40"/>
              <w:rPr>
                <w:rFonts w:eastAsia="Calibri" w:cs="Times New Roman"/>
                <w:color w:val="000000"/>
                <w:szCs w:val="24"/>
                <w:lang w:val="en-GB"/>
              </w:rPr>
            </w:pPr>
            <w:r w:rsidRPr="00DB47CD">
              <w:rPr>
                <w:rFonts w:eastAsia="Calibri" w:cs="Times New Roman"/>
                <w:color w:val="000000"/>
                <w:szCs w:val="24"/>
                <w:lang w:val="en-GB"/>
              </w:rPr>
              <w:t>22 (0; 148)</w:t>
            </w:r>
          </w:p>
        </w:tc>
      </w:tr>
      <w:tr w:rsidR="00BF0719" w:rsidRPr="00DB47CD" w14:paraId="2093B7F9" w14:textId="77777777" w:rsidTr="004458DA">
        <w:trPr>
          <w:trHeight w:val="315"/>
        </w:trPr>
        <w:tc>
          <w:tcPr>
            <w:tcW w:w="0" w:type="auto"/>
            <w:tcBorders>
              <w:top w:val="nil"/>
              <w:left w:val="single" w:sz="4" w:space="0" w:color="auto"/>
              <w:bottom w:val="nil"/>
              <w:right w:val="nil"/>
            </w:tcBorders>
            <w:shd w:val="clear" w:color="000000" w:fill="FFFFFF"/>
            <w:noWrap/>
            <w:vAlign w:val="bottom"/>
            <w:hideMark/>
          </w:tcPr>
          <w:p w14:paraId="19C9D0FD"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6E632DFC"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BR</w:t>
            </w:r>
            <w:r w:rsidRPr="00DB47CD">
              <w:rPr>
                <w:rFonts w:eastAsia="Times New Roman" w:cs="Times New Roman"/>
                <w:szCs w:val="24"/>
                <w:vertAlign w:val="subscript"/>
                <w:lang w:val="en-GB" w:eastAsia="de-DE"/>
              </w:rPr>
              <w:t>20</w:t>
            </w:r>
          </w:p>
        </w:tc>
        <w:tc>
          <w:tcPr>
            <w:tcW w:w="0" w:type="auto"/>
            <w:gridSpan w:val="2"/>
            <w:tcBorders>
              <w:top w:val="nil"/>
              <w:left w:val="nil"/>
              <w:bottom w:val="nil"/>
              <w:right w:val="nil"/>
            </w:tcBorders>
            <w:shd w:val="clear" w:color="000000" w:fill="FFFFFF"/>
            <w:noWrap/>
            <w:vAlign w:val="bottom"/>
          </w:tcPr>
          <w:p w14:paraId="6DE7FF9A"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9 (6; 14)</w:t>
            </w:r>
          </w:p>
        </w:tc>
        <w:tc>
          <w:tcPr>
            <w:tcW w:w="0" w:type="auto"/>
            <w:gridSpan w:val="2"/>
            <w:tcBorders>
              <w:top w:val="nil"/>
              <w:left w:val="nil"/>
              <w:bottom w:val="nil"/>
              <w:right w:val="single" w:sz="4" w:space="0" w:color="000000"/>
            </w:tcBorders>
            <w:shd w:val="clear" w:color="000000" w:fill="FFFFFF"/>
            <w:noWrap/>
            <w:vAlign w:val="bottom"/>
          </w:tcPr>
          <w:p w14:paraId="784595E0"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7 (4; 12)</w:t>
            </w:r>
          </w:p>
        </w:tc>
      </w:tr>
      <w:tr w:rsidR="00BF0719" w:rsidRPr="00DB47CD" w14:paraId="5538A0A7" w14:textId="77777777" w:rsidTr="004458DA">
        <w:trPr>
          <w:trHeight w:val="315"/>
        </w:trPr>
        <w:tc>
          <w:tcPr>
            <w:tcW w:w="0" w:type="auto"/>
            <w:tcBorders>
              <w:top w:val="nil"/>
              <w:left w:val="single" w:sz="4" w:space="0" w:color="auto"/>
              <w:bottom w:val="single" w:sz="4" w:space="0" w:color="auto"/>
              <w:right w:val="nil"/>
            </w:tcBorders>
            <w:shd w:val="clear" w:color="000000" w:fill="FFFFFF"/>
            <w:noWrap/>
            <w:vAlign w:val="bottom"/>
            <w:hideMark/>
          </w:tcPr>
          <w:p w14:paraId="5E05A033"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single" w:sz="4" w:space="0" w:color="auto"/>
              <w:right w:val="nil"/>
            </w:tcBorders>
            <w:shd w:val="clear" w:color="000000" w:fill="FFFFFF"/>
            <w:noWrap/>
            <w:vAlign w:val="bottom"/>
            <w:hideMark/>
          </w:tcPr>
          <w:p w14:paraId="18DFAF14"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LBR</w:t>
            </w:r>
          </w:p>
        </w:tc>
        <w:tc>
          <w:tcPr>
            <w:tcW w:w="0" w:type="auto"/>
            <w:gridSpan w:val="2"/>
            <w:tcBorders>
              <w:top w:val="nil"/>
              <w:left w:val="nil"/>
              <w:bottom w:val="single" w:sz="4" w:space="0" w:color="auto"/>
              <w:right w:val="nil"/>
            </w:tcBorders>
            <w:shd w:val="clear" w:color="000000" w:fill="FFFFFF"/>
            <w:noWrap/>
            <w:vAlign w:val="bottom"/>
          </w:tcPr>
          <w:p w14:paraId="584C50FB"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161 (134; 197)</w:t>
            </w:r>
          </w:p>
        </w:tc>
        <w:tc>
          <w:tcPr>
            <w:tcW w:w="0" w:type="auto"/>
            <w:gridSpan w:val="2"/>
            <w:tcBorders>
              <w:top w:val="nil"/>
              <w:left w:val="nil"/>
              <w:bottom w:val="single" w:sz="4" w:space="0" w:color="auto"/>
              <w:right w:val="single" w:sz="4" w:space="0" w:color="000000"/>
            </w:tcBorders>
            <w:shd w:val="clear" w:color="000000" w:fill="FFFFFF"/>
            <w:noWrap/>
            <w:vAlign w:val="bottom"/>
          </w:tcPr>
          <w:p w14:paraId="02CB884D" w14:textId="77777777" w:rsidR="00BF0719" w:rsidRPr="00DB47CD" w:rsidRDefault="00BF0719" w:rsidP="004458DA">
            <w:pPr>
              <w:spacing w:before="40" w:after="40"/>
              <w:jc w:val="center"/>
              <w:rPr>
                <w:rFonts w:eastAsia="Calibri" w:cs="Times New Roman"/>
                <w:color w:val="000000"/>
                <w:szCs w:val="24"/>
                <w:lang w:val="en-GB"/>
              </w:rPr>
            </w:pPr>
            <w:r w:rsidRPr="00DB47CD">
              <w:rPr>
                <w:rFonts w:eastAsia="Calibri" w:cs="Times New Roman"/>
                <w:color w:val="000000"/>
                <w:szCs w:val="24"/>
                <w:lang w:val="en-GB"/>
              </w:rPr>
              <w:t>119 (96; 149)</w:t>
            </w:r>
          </w:p>
        </w:tc>
      </w:tr>
    </w:tbl>
    <w:p w14:paraId="787806BA" w14:textId="77777777" w:rsidR="00BF0719" w:rsidRPr="00DB47CD" w:rsidRDefault="00BF0719" w:rsidP="00BF0719">
      <w:pPr>
        <w:autoSpaceDE w:val="0"/>
        <w:autoSpaceDN w:val="0"/>
        <w:adjustRightInd w:val="0"/>
        <w:spacing w:after="0"/>
        <w:rPr>
          <w:rFonts w:eastAsia="Calibri" w:cs="Times New Roman"/>
          <w:szCs w:val="24"/>
          <w:lang w:val="en-GB"/>
        </w:rPr>
      </w:pPr>
    </w:p>
    <w:p w14:paraId="2FA6F92B" w14:textId="77777777" w:rsidR="00BF0719" w:rsidRPr="00DB47CD" w:rsidRDefault="00BF0719" w:rsidP="00BF0719">
      <w:pPr>
        <w:autoSpaceDE w:val="0"/>
        <w:autoSpaceDN w:val="0"/>
        <w:adjustRightInd w:val="0"/>
        <w:spacing w:after="0"/>
        <w:rPr>
          <w:rFonts w:eastAsia="Calibri" w:cs="Times New Roman"/>
          <w:szCs w:val="24"/>
          <w:lang w:val="en-GB"/>
        </w:rPr>
      </w:pPr>
    </w:p>
    <w:p w14:paraId="33B1BA2B" w14:textId="77777777" w:rsidR="00BF0719" w:rsidRPr="00DB47CD" w:rsidRDefault="00BF0719" w:rsidP="00BF0719">
      <w:pPr>
        <w:autoSpaceDE w:val="0"/>
        <w:autoSpaceDN w:val="0"/>
        <w:adjustRightInd w:val="0"/>
        <w:spacing w:after="0"/>
        <w:rPr>
          <w:rFonts w:eastAsia="Calibri" w:cs="Times New Roman"/>
          <w:szCs w:val="24"/>
          <w:lang w:val="en-GB"/>
        </w:rPr>
      </w:pPr>
    </w:p>
    <w:p w14:paraId="443FCB67" w14:textId="77777777" w:rsidR="00BF0719" w:rsidRPr="00DB47CD" w:rsidRDefault="00BF0719" w:rsidP="00BF0719">
      <w:pPr>
        <w:autoSpaceDE w:val="0"/>
        <w:autoSpaceDN w:val="0"/>
        <w:adjustRightInd w:val="0"/>
        <w:spacing w:after="0"/>
        <w:rPr>
          <w:rFonts w:eastAsia="Calibri" w:cs="Times New Roman"/>
          <w:szCs w:val="24"/>
          <w:lang w:val="en-GB"/>
        </w:rPr>
      </w:pPr>
    </w:p>
    <w:p w14:paraId="5E6B08B4" w14:textId="77777777" w:rsidR="00BF0719" w:rsidRPr="00DB47CD" w:rsidRDefault="00BF0719" w:rsidP="00BF0719">
      <w:pPr>
        <w:autoSpaceDE w:val="0"/>
        <w:autoSpaceDN w:val="0"/>
        <w:adjustRightInd w:val="0"/>
        <w:spacing w:after="0"/>
        <w:rPr>
          <w:rFonts w:eastAsia="Calibri" w:cs="Times New Roman"/>
          <w:szCs w:val="24"/>
          <w:lang w:val="en-GB"/>
        </w:rPr>
      </w:pPr>
    </w:p>
    <w:p w14:paraId="4B39DCDF" w14:textId="77777777" w:rsidR="00BF0719" w:rsidRPr="00DB47CD" w:rsidRDefault="00BF0719" w:rsidP="00BF0719">
      <w:pPr>
        <w:autoSpaceDE w:val="0"/>
        <w:autoSpaceDN w:val="0"/>
        <w:adjustRightInd w:val="0"/>
        <w:spacing w:after="0"/>
        <w:rPr>
          <w:rFonts w:eastAsia="Calibri" w:cs="Times New Roman"/>
          <w:szCs w:val="24"/>
          <w:lang w:val="en-GB"/>
        </w:rPr>
      </w:pPr>
    </w:p>
    <w:p w14:paraId="05DB3E0B" w14:textId="77777777" w:rsidR="00BF0719" w:rsidRPr="00DB47CD" w:rsidRDefault="00BF0719" w:rsidP="00BF0719">
      <w:pPr>
        <w:autoSpaceDE w:val="0"/>
        <w:autoSpaceDN w:val="0"/>
        <w:adjustRightInd w:val="0"/>
        <w:spacing w:after="0"/>
        <w:rPr>
          <w:rFonts w:eastAsia="Calibri" w:cs="Times New Roman"/>
          <w:szCs w:val="24"/>
          <w:lang w:val="en-GB"/>
        </w:rPr>
      </w:pPr>
    </w:p>
    <w:p w14:paraId="46E7D61B" w14:textId="77777777" w:rsidR="00BF0719" w:rsidRPr="00DB47CD" w:rsidRDefault="00BF0719" w:rsidP="00BF0719">
      <w:pPr>
        <w:autoSpaceDE w:val="0"/>
        <w:autoSpaceDN w:val="0"/>
        <w:adjustRightInd w:val="0"/>
        <w:spacing w:after="0"/>
        <w:rPr>
          <w:rFonts w:eastAsia="Calibri" w:cs="Times New Roman"/>
          <w:szCs w:val="24"/>
          <w:lang w:val="en-GB"/>
        </w:rPr>
      </w:pPr>
    </w:p>
    <w:p w14:paraId="590BC1A5" w14:textId="77777777" w:rsidR="00BF0719" w:rsidRPr="00DB47CD" w:rsidRDefault="00BF0719" w:rsidP="00BF0719">
      <w:pPr>
        <w:autoSpaceDE w:val="0"/>
        <w:autoSpaceDN w:val="0"/>
        <w:adjustRightInd w:val="0"/>
        <w:spacing w:after="0"/>
        <w:rPr>
          <w:rFonts w:eastAsia="Calibri" w:cs="Times New Roman"/>
          <w:szCs w:val="24"/>
          <w:lang w:val="en-GB"/>
        </w:rPr>
      </w:pPr>
    </w:p>
    <w:p w14:paraId="6F4D4C83" w14:textId="77777777" w:rsidR="00415C1E" w:rsidRDefault="00415C1E" w:rsidP="00BF0719">
      <w:pPr>
        <w:autoSpaceDE w:val="0"/>
        <w:autoSpaceDN w:val="0"/>
        <w:adjustRightInd w:val="0"/>
        <w:spacing w:after="0"/>
        <w:rPr>
          <w:rFonts w:eastAsia="Calibri" w:cs="Times New Roman"/>
          <w:szCs w:val="24"/>
          <w:lang w:val="en-GB"/>
        </w:rPr>
      </w:pPr>
    </w:p>
    <w:p w14:paraId="037D2FDC" w14:textId="77777777" w:rsidR="00415C1E" w:rsidRDefault="00415C1E" w:rsidP="00BF0719">
      <w:pPr>
        <w:autoSpaceDE w:val="0"/>
        <w:autoSpaceDN w:val="0"/>
        <w:adjustRightInd w:val="0"/>
        <w:spacing w:after="0"/>
        <w:rPr>
          <w:rFonts w:eastAsia="Calibri" w:cs="Times New Roman"/>
          <w:szCs w:val="24"/>
          <w:lang w:val="en-GB"/>
        </w:rPr>
      </w:pPr>
    </w:p>
    <w:p w14:paraId="74A1BE8B" w14:textId="77777777" w:rsidR="00415C1E" w:rsidRDefault="00415C1E" w:rsidP="00BF0719">
      <w:pPr>
        <w:autoSpaceDE w:val="0"/>
        <w:autoSpaceDN w:val="0"/>
        <w:adjustRightInd w:val="0"/>
        <w:spacing w:after="0"/>
        <w:rPr>
          <w:rFonts w:eastAsia="Calibri" w:cs="Times New Roman"/>
          <w:szCs w:val="24"/>
          <w:lang w:val="en-GB"/>
        </w:rPr>
      </w:pPr>
    </w:p>
    <w:p w14:paraId="7C17E077" w14:textId="77777777" w:rsidR="00415C1E" w:rsidRDefault="00415C1E" w:rsidP="00BF0719">
      <w:pPr>
        <w:autoSpaceDE w:val="0"/>
        <w:autoSpaceDN w:val="0"/>
        <w:adjustRightInd w:val="0"/>
        <w:spacing w:after="0"/>
        <w:rPr>
          <w:rFonts w:eastAsia="Calibri" w:cs="Times New Roman"/>
          <w:szCs w:val="24"/>
          <w:lang w:val="en-GB"/>
        </w:rPr>
      </w:pPr>
    </w:p>
    <w:p w14:paraId="3B0B2CBE" w14:textId="77777777" w:rsidR="00415C1E" w:rsidRDefault="00415C1E" w:rsidP="00BF0719">
      <w:pPr>
        <w:autoSpaceDE w:val="0"/>
        <w:autoSpaceDN w:val="0"/>
        <w:adjustRightInd w:val="0"/>
        <w:spacing w:after="0"/>
        <w:rPr>
          <w:rFonts w:eastAsia="Calibri" w:cs="Times New Roman"/>
          <w:szCs w:val="24"/>
          <w:lang w:val="en-GB"/>
        </w:rPr>
      </w:pPr>
    </w:p>
    <w:p w14:paraId="36C04413" w14:textId="77777777" w:rsidR="00415C1E" w:rsidRDefault="00415C1E" w:rsidP="00BF0719">
      <w:pPr>
        <w:autoSpaceDE w:val="0"/>
        <w:autoSpaceDN w:val="0"/>
        <w:adjustRightInd w:val="0"/>
        <w:spacing w:after="0"/>
        <w:rPr>
          <w:rFonts w:eastAsia="Calibri" w:cs="Times New Roman"/>
          <w:szCs w:val="24"/>
          <w:lang w:val="en-GB"/>
        </w:rPr>
      </w:pPr>
    </w:p>
    <w:p w14:paraId="3310BA26" w14:textId="0B431026"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Table 4 Thyroid cancer, ranges for median number of cases per 10,000 after </w:t>
      </w:r>
      <w:r w:rsidRPr="00DB47CD">
        <w:rPr>
          <w:rFonts w:eastAsia="Calibri" w:cs="Times New Roman"/>
          <w:bCs/>
          <w:szCs w:val="24"/>
          <w:lang w:val="en-GB"/>
        </w:rPr>
        <w:t xml:space="preserve">20 years </w:t>
      </w:r>
      <w:r w:rsidRPr="00DB47CD">
        <w:rPr>
          <w:rFonts w:eastAsia="Calibri" w:cs="Times New Roman"/>
          <w:szCs w:val="24"/>
          <w:lang w:val="en-GB"/>
        </w:rPr>
        <w:t xml:space="preserve">and during lifetime </w:t>
      </w:r>
      <w:r w:rsidRPr="00DB47CD">
        <w:rPr>
          <w:rFonts w:eastAsia="Calibri" w:cs="Times New Roman"/>
          <w:bCs/>
          <w:szCs w:val="24"/>
          <w:lang w:val="en-GB"/>
        </w:rPr>
        <w:t xml:space="preserve">based on German population data for </w:t>
      </w:r>
      <w:r w:rsidRPr="00DB47CD">
        <w:rPr>
          <w:rFonts w:eastAsia="Calibri" w:cs="Times New Roman"/>
          <w:szCs w:val="24"/>
          <w:lang w:val="en-GB"/>
        </w:rPr>
        <w:t xml:space="preserve">20–100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effective dose range.</w:t>
      </w:r>
    </w:p>
    <w:tbl>
      <w:tblPr>
        <w:tblpPr w:leftFromText="141" w:rightFromText="141" w:vertAnchor="text" w:horzAnchor="margin" w:tblpY="224"/>
        <w:tblW w:w="8719" w:type="dxa"/>
        <w:tblCellMar>
          <w:left w:w="70" w:type="dxa"/>
          <w:right w:w="70" w:type="dxa"/>
        </w:tblCellMar>
        <w:tblLook w:val="04A0" w:firstRow="1" w:lastRow="0" w:firstColumn="1" w:lastColumn="0" w:noHBand="0" w:noVBand="1"/>
      </w:tblPr>
      <w:tblGrid>
        <w:gridCol w:w="1225"/>
        <w:gridCol w:w="1586"/>
        <w:gridCol w:w="1246"/>
        <w:gridCol w:w="1416"/>
        <w:gridCol w:w="1368"/>
        <w:gridCol w:w="1878"/>
      </w:tblGrid>
      <w:tr w:rsidR="00BF0719" w:rsidRPr="0024579E" w14:paraId="019E431C" w14:textId="77777777" w:rsidTr="004458DA">
        <w:trPr>
          <w:trHeight w:val="20"/>
        </w:trPr>
        <w:tc>
          <w:tcPr>
            <w:tcW w:w="0" w:type="auto"/>
            <w:tcBorders>
              <w:top w:val="single" w:sz="4" w:space="0" w:color="auto"/>
              <w:left w:val="single" w:sz="4" w:space="0" w:color="auto"/>
              <w:bottom w:val="single" w:sz="4" w:space="0" w:color="auto"/>
              <w:right w:val="nil"/>
            </w:tcBorders>
            <w:shd w:val="clear" w:color="000000" w:fill="FFFFFF"/>
            <w:noWrap/>
            <w:vAlign w:val="bottom"/>
            <w:hideMark/>
          </w:tcPr>
          <w:p w14:paraId="23C20A2A"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single" w:sz="4" w:space="0" w:color="auto"/>
              <w:left w:val="nil"/>
              <w:bottom w:val="single" w:sz="4" w:space="0" w:color="auto"/>
              <w:right w:val="nil"/>
            </w:tcBorders>
            <w:shd w:val="clear" w:color="000000" w:fill="FFFFFF"/>
            <w:noWrap/>
            <w:vAlign w:val="bottom"/>
            <w:hideMark/>
          </w:tcPr>
          <w:p w14:paraId="660CB63C"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gridSpan w:val="4"/>
            <w:tcBorders>
              <w:top w:val="single" w:sz="4" w:space="0" w:color="auto"/>
              <w:left w:val="nil"/>
              <w:bottom w:val="single" w:sz="4" w:space="0" w:color="auto"/>
              <w:right w:val="single" w:sz="4" w:space="0" w:color="000000"/>
            </w:tcBorders>
            <w:shd w:val="clear" w:color="000000" w:fill="FFFFFF"/>
            <w:vAlign w:val="bottom"/>
            <w:hideMark/>
          </w:tcPr>
          <w:p w14:paraId="10B818DB"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Ranges for median numbers of cases per 10,000 (with 95% CI) after 20 years-at-risk since exposure and during lifetime simply converted (10,000 times risk) from the risks in column 2.</w:t>
            </w:r>
          </w:p>
        </w:tc>
      </w:tr>
      <w:tr w:rsidR="00BF0719" w:rsidRPr="00DB47CD" w14:paraId="5E5EBBF0" w14:textId="77777777" w:rsidTr="004458DA">
        <w:trPr>
          <w:trHeight w:val="20"/>
        </w:trPr>
        <w:tc>
          <w:tcPr>
            <w:tcW w:w="0" w:type="auto"/>
            <w:vMerge w:val="restart"/>
            <w:tcBorders>
              <w:top w:val="nil"/>
              <w:left w:val="single" w:sz="4" w:space="0" w:color="auto"/>
              <w:bottom w:val="single" w:sz="4" w:space="0" w:color="000000"/>
              <w:right w:val="nil"/>
            </w:tcBorders>
            <w:shd w:val="clear" w:color="000000" w:fill="FFFFFF"/>
            <w:vAlign w:val="bottom"/>
            <w:hideMark/>
          </w:tcPr>
          <w:p w14:paraId="2F812978" w14:textId="44A2A873"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Age at exposure</w:t>
            </w:r>
            <w:r w:rsidR="00691599">
              <w:rPr>
                <w:rFonts w:eastAsia="Times New Roman" w:cs="Times New Roman"/>
                <w:szCs w:val="24"/>
                <w:lang w:val="en-GB" w:eastAsia="de-DE"/>
              </w:rPr>
              <w:t>,</w:t>
            </w:r>
            <w:r w:rsidRPr="00DB47CD">
              <w:rPr>
                <w:rFonts w:eastAsia="Times New Roman" w:cs="Times New Roman"/>
                <w:szCs w:val="24"/>
                <w:lang w:val="en-GB" w:eastAsia="de-DE"/>
              </w:rPr>
              <w:br/>
              <w:t>year</w:t>
            </w:r>
          </w:p>
        </w:tc>
        <w:tc>
          <w:tcPr>
            <w:tcW w:w="0" w:type="auto"/>
            <w:tcBorders>
              <w:top w:val="nil"/>
              <w:left w:val="nil"/>
              <w:bottom w:val="nil"/>
              <w:right w:val="nil"/>
            </w:tcBorders>
            <w:shd w:val="clear" w:color="000000" w:fill="FFFFFF"/>
            <w:noWrap/>
            <w:vAlign w:val="bottom"/>
            <w:hideMark/>
          </w:tcPr>
          <w:p w14:paraId="09209F17"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Sex:</w:t>
            </w:r>
          </w:p>
        </w:tc>
        <w:tc>
          <w:tcPr>
            <w:tcW w:w="0" w:type="auto"/>
            <w:gridSpan w:val="2"/>
            <w:tcBorders>
              <w:top w:val="single" w:sz="4" w:space="0" w:color="auto"/>
              <w:left w:val="nil"/>
              <w:bottom w:val="nil"/>
              <w:right w:val="nil"/>
            </w:tcBorders>
            <w:shd w:val="clear" w:color="000000" w:fill="FFFFFF"/>
            <w:noWrap/>
            <w:vAlign w:val="bottom"/>
            <w:hideMark/>
          </w:tcPr>
          <w:p w14:paraId="4383E0B4"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Male</w:t>
            </w:r>
          </w:p>
        </w:tc>
        <w:tc>
          <w:tcPr>
            <w:tcW w:w="0" w:type="auto"/>
            <w:gridSpan w:val="2"/>
            <w:tcBorders>
              <w:top w:val="single" w:sz="4" w:space="0" w:color="auto"/>
              <w:left w:val="nil"/>
              <w:bottom w:val="nil"/>
              <w:right w:val="single" w:sz="4" w:space="0" w:color="000000"/>
            </w:tcBorders>
            <w:shd w:val="clear" w:color="000000" w:fill="FFFFFF"/>
            <w:noWrap/>
            <w:vAlign w:val="bottom"/>
            <w:hideMark/>
          </w:tcPr>
          <w:p w14:paraId="35502315"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Female</w:t>
            </w:r>
          </w:p>
        </w:tc>
      </w:tr>
      <w:tr w:rsidR="00BF0719" w:rsidRPr="00DB47CD" w14:paraId="3AC10B3F" w14:textId="77777777" w:rsidTr="004458DA">
        <w:trPr>
          <w:trHeight w:val="20"/>
        </w:trPr>
        <w:tc>
          <w:tcPr>
            <w:tcW w:w="0" w:type="auto"/>
            <w:vMerge/>
            <w:tcBorders>
              <w:top w:val="nil"/>
              <w:left w:val="single" w:sz="4" w:space="0" w:color="auto"/>
              <w:bottom w:val="single" w:sz="4" w:space="0" w:color="000000"/>
              <w:right w:val="nil"/>
            </w:tcBorders>
            <w:vAlign w:val="center"/>
            <w:hideMark/>
          </w:tcPr>
          <w:p w14:paraId="735CC1D2" w14:textId="77777777" w:rsidR="00BF0719" w:rsidRPr="00DB47CD" w:rsidRDefault="00BF0719" w:rsidP="004458DA">
            <w:pPr>
              <w:spacing w:before="40" w:after="40"/>
              <w:rPr>
                <w:rFonts w:eastAsia="Times New Roman" w:cs="Times New Roman"/>
                <w:szCs w:val="24"/>
                <w:lang w:val="en-GB" w:eastAsia="de-DE"/>
              </w:rPr>
            </w:pPr>
          </w:p>
        </w:tc>
        <w:tc>
          <w:tcPr>
            <w:tcW w:w="0" w:type="auto"/>
            <w:tcBorders>
              <w:top w:val="nil"/>
              <w:left w:val="nil"/>
              <w:bottom w:val="single" w:sz="4" w:space="0" w:color="auto"/>
              <w:right w:val="nil"/>
            </w:tcBorders>
            <w:shd w:val="clear" w:color="000000" w:fill="FFFFFF"/>
            <w:noWrap/>
            <w:vAlign w:val="bottom"/>
            <w:hideMark/>
          </w:tcPr>
          <w:p w14:paraId="48849B1C"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Effective dose:</w:t>
            </w:r>
          </w:p>
        </w:tc>
        <w:tc>
          <w:tcPr>
            <w:tcW w:w="0" w:type="auto"/>
            <w:tcBorders>
              <w:top w:val="nil"/>
              <w:left w:val="nil"/>
              <w:bottom w:val="single" w:sz="4" w:space="0" w:color="auto"/>
              <w:right w:val="nil"/>
            </w:tcBorders>
            <w:shd w:val="clear" w:color="000000" w:fill="FFFFFF"/>
            <w:noWrap/>
            <w:vAlign w:val="bottom"/>
            <w:hideMark/>
          </w:tcPr>
          <w:p w14:paraId="223F6AE6"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xml:space="preserve">20 </w:t>
            </w:r>
            <w:proofErr w:type="spellStart"/>
            <w:r w:rsidRPr="00DB47CD">
              <w:rPr>
                <w:rFonts w:eastAsia="Times New Roman" w:cs="Times New Roman"/>
                <w:szCs w:val="24"/>
                <w:lang w:val="en-GB" w:eastAsia="de-DE"/>
              </w:rPr>
              <w:t>mSv</w:t>
            </w:r>
            <w:proofErr w:type="spellEnd"/>
          </w:p>
        </w:tc>
        <w:tc>
          <w:tcPr>
            <w:tcW w:w="0" w:type="auto"/>
            <w:tcBorders>
              <w:top w:val="nil"/>
              <w:left w:val="nil"/>
              <w:bottom w:val="single" w:sz="4" w:space="0" w:color="auto"/>
              <w:right w:val="nil"/>
            </w:tcBorders>
            <w:shd w:val="clear" w:color="000000" w:fill="FFFFFF"/>
            <w:noWrap/>
            <w:vAlign w:val="bottom"/>
            <w:hideMark/>
          </w:tcPr>
          <w:p w14:paraId="75F4B857"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xml:space="preserve">100 </w:t>
            </w:r>
            <w:proofErr w:type="spellStart"/>
            <w:r w:rsidRPr="00DB47CD">
              <w:rPr>
                <w:rFonts w:eastAsia="Times New Roman" w:cs="Times New Roman"/>
                <w:szCs w:val="24"/>
                <w:lang w:val="en-GB" w:eastAsia="de-DE"/>
              </w:rPr>
              <w:t>mSv</w:t>
            </w:r>
            <w:proofErr w:type="spellEnd"/>
          </w:p>
        </w:tc>
        <w:tc>
          <w:tcPr>
            <w:tcW w:w="0" w:type="auto"/>
            <w:tcBorders>
              <w:top w:val="nil"/>
              <w:left w:val="nil"/>
              <w:bottom w:val="single" w:sz="4" w:space="0" w:color="auto"/>
              <w:right w:val="nil"/>
            </w:tcBorders>
            <w:shd w:val="clear" w:color="000000" w:fill="FFFFFF"/>
            <w:noWrap/>
            <w:vAlign w:val="bottom"/>
            <w:hideMark/>
          </w:tcPr>
          <w:p w14:paraId="4850EA0D"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xml:space="preserve">20 </w:t>
            </w:r>
            <w:proofErr w:type="spellStart"/>
            <w:r w:rsidRPr="00DB47CD">
              <w:rPr>
                <w:rFonts w:eastAsia="Times New Roman" w:cs="Times New Roman"/>
                <w:szCs w:val="24"/>
                <w:lang w:val="en-GB" w:eastAsia="de-DE"/>
              </w:rPr>
              <w:t>mSv</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632FC5B8"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xml:space="preserve">100 </w:t>
            </w:r>
            <w:proofErr w:type="spellStart"/>
            <w:r w:rsidRPr="00DB47CD">
              <w:rPr>
                <w:rFonts w:eastAsia="Times New Roman" w:cs="Times New Roman"/>
                <w:szCs w:val="24"/>
                <w:lang w:val="en-GB" w:eastAsia="de-DE"/>
              </w:rPr>
              <w:t>mSv</w:t>
            </w:r>
            <w:proofErr w:type="spellEnd"/>
          </w:p>
        </w:tc>
      </w:tr>
      <w:tr w:rsidR="00BF0719" w:rsidRPr="00DB47CD" w14:paraId="2AA340D8" w14:textId="77777777" w:rsidTr="004458DA">
        <w:trPr>
          <w:trHeight w:val="20"/>
        </w:trPr>
        <w:tc>
          <w:tcPr>
            <w:tcW w:w="0" w:type="auto"/>
            <w:tcBorders>
              <w:top w:val="nil"/>
              <w:left w:val="single" w:sz="4" w:space="0" w:color="auto"/>
              <w:bottom w:val="nil"/>
              <w:right w:val="nil"/>
            </w:tcBorders>
            <w:shd w:val="clear" w:color="000000" w:fill="FFFFFF"/>
            <w:noWrap/>
            <w:vAlign w:val="bottom"/>
            <w:hideMark/>
          </w:tcPr>
          <w:p w14:paraId="1AD93CD7" w14:textId="0A251F51" w:rsidR="00BF0719" w:rsidRPr="00DB47CD" w:rsidRDefault="004458DA" w:rsidP="004458DA">
            <w:pPr>
              <w:spacing w:before="40" w:after="40"/>
              <w:rPr>
                <w:rFonts w:eastAsia="Times New Roman" w:cs="Times New Roman"/>
                <w:szCs w:val="24"/>
                <w:lang w:val="en-GB" w:eastAsia="de-DE"/>
              </w:rPr>
            </w:pPr>
            <w:r>
              <w:rPr>
                <w:rFonts w:eastAsia="Times New Roman" w:cs="Times New Roman"/>
                <w:szCs w:val="24"/>
                <w:lang w:val="en-GB" w:eastAsia="de-DE"/>
              </w:rPr>
              <w:t>20 (</w:t>
            </w:r>
            <w:r w:rsidR="00BF0719" w:rsidRPr="00DB47CD">
              <w:rPr>
                <w:rFonts w:eastAsia="Times New Roman" w:cs="Times New Roman"/>
                <w:szCs w:val="24"/>
                <w:lang w:val="en-GB" w:eastAsia="de-DE"/>
              </w:rPr>
              <w:t>Adult</w:t>
            </w:r>
            <w:r>
              <w:rPr>
                <w:rFonts w:eastAsia="Times New Roman" w:cs="Times New Roman"/>
                <w:szCs w:val="24"/>
                <w:lang w:val="en-GB" w:eastAsia="de-DE"/>
              </w:rPr>
              <w:t>)</w:t>
            </w:r>
          </w:p>
        </w:tc>
        <w:tc>
          <w:tcPr>
            <w:tcW w:w="0" w:type="auto"/>
            <w:tcBorders>
              <w:top w:val="nil"/>
              <w:left w:val="nil"/>
              <w:bottom w:val="nil"/>
              <w:right w:val="nil"/>
            </w:tcBorders>
            <w:shd w:val="clear" w:color="000000" w:fill="FFFFFF"/>
            <w:noWrap/>
            <w:vAlign w:val="bottom"/>
            <w:hideMark/>
          </w:tcPr>
          <w:p w14:paraId="1AFFCC7D"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AR</w:t>
            </w:r>
            <w:r w:rsidRPr="00DB47CD">
              <w:rPr>
                <w:rFonts w:eastAsia="Times New Roman" w:cs="Times New Roman"/>
                <w:szCs w:val="24"/>
                <w:vertAlign w:val="subscript"/>
                <w:lang w:val="en-GB" w:eastAsia="de-DE"/>
              </w:rPr>
              <w:t>20</w:t>
            </w:r>
          </w:p>
        </w:tc>
        <w:tc>
          <w:tcPr>
            <w:tcW w:w="0" w:type="auto"/>
            <w:tcBorders>
              <w:top w:val="single" w:sz="4" w:space="0" w:color="auto"/>
              <w:left w:val="nil"/>
              <w:bottom w:val="nil"/>
              <w:right w:val="nil"/>
            </w:tcBorders>
            <w:shd w:val="clear" w:color="000000" w:fill="FFFFFF"/>
            <w:noWrap/>
            <w:vAlign w:val="bottom"/>
          </w:tcPr>
          <w:p w14:paraId="62549CB8"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0 (0; 1)</w:t>
            </w:r>
          </w:p>
        </w:tc>
        <w:tc>
          <w:tcPr>
            <w:tcW w:w="0" w:type="auto"/>
            <w:tcBorders>
              <w:top w:val="single" w:sz="4" w:space="0" w:color="auto"/>
              <w:left w:val="nil"/>
              <w:bottom w:val="nil"/>
              <w:right w:val="nil"/>
            </w:tcBorders>
            <w:shd w:val="clear" w:color="000000" w:fill="FFFFFF"/>
            <w:noWrap/>
            <w:vAlign w:val="bottom"/>
          </w:tcPr>
          <w:p w14:paraId="630D195B"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1 (0; 3)</w:t>
            </w:r>
          </w:p>
        </w:tc>
        <w:tc>
          <w:tcPr>
            <w:tcW w:w="0" w:type="auto"/>
            <w:tcBorders>
              <w:top w:val="single" w:sz="4" w:space="0" w:color="auto"/>
              <w:left w:val="nil"/>
              <w:bottom w:val="nil"/>
              <w:right w:val="nil"/>
            </w:tcBorders>
            <w:shd w:val="clear" w:color="000000" w:fill="FFFFFF"/>
            <w:noWrap/>
            <w:vAlign w:val="bottom"/>
          </w:tcPr>
          <w:p w14:paraId="0892A216"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0 (0; 2)</w:t>
            </w:r>
          </w:p>
        </w:tc>
        <w:tc>
          <w:tcPr>
            <w:tcW w:w="0" w:type="auto"/>
            <w:tcBorders>
              <w:top w:val="single" w:sz="4" w:space="0" w:color="auto"/>
              <w:left w:val="nil"/>
              <w:bottom w:val="nil"/>
              <w:right w:val="single" w:sz="4" w:space="0" w:color="auto"/>
            </w:tcBorders>
            <w:shd w:val="clear" w:color="000000" w:fill="FFFFFF"/>
            <w:noWrap/>
            <w:vAlign w:val="bottom"/>
          </w:tcPr>
          <w:p w14:paraId="7C60DA4A"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 (0; 9)</w:t>
            </w:r>
          </w:p>
        </w:tc>
      </w:tr>
      <w:tr w:rsidR="00BF0719" w:rsidRPr="00DB47CD" w14:paraId="0B87B91B" w14:textId="77777777" w:rsidTr="004458DA">
        <w:trPr>
          <w:trHeight w:val="20"/>
        </w:trPr>
        <w:tc>
          <w:tcPr>
            <w:tcW w:w="0" w:type="auto"/>
            <w:tcBorders>
              <w:top w:val="nil"/>
              <w:left w:val="single" w:sz="4" w:space="0" w:color="auto"/>
              <w:bottom w:val="nil"/>
              <w:right w:val="nil"/>
            </w:tcBorders>
            <w:shd w:val="clear" w:color="000000" w:fill="FFFFFF"/>
            <w:noWrap/>
            <w:vAlign w:val="bottom"/>
            <w:hideMark/>
          </w:tcPr>
          <w:p w14:paraId="53FB70F7"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70298D0B"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LAR</w:t>
            </w:r>
          </w:p>
        </w:tc>
        <w:tc>
          <w:tcPr>
            <w:tcW w:w="0" w:type="auto"/>
            <w:tcBorders>
              <w:top w:val="nil"/>
              <w:left w:val="nil"/>
              <w:bottom w:val="nil"/>
              <w:right w:val="nil"/>
            </w:tcBorders>
            <w:shd w:val="clear" w:color="000000" w:fill="FFFFFF"/>
            <w:noWrap/>
            <w:vAlign w:val="bottom"/>
          </w:tcPr>
          <w:p w14:paraId="0514CC9F"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1 (0; 2)</w:t>
            </w:r>
          </w:p>
        </w:tc>
        <w:tc>
          <w:tcPr>
            <w:tcW w:w="0" w:type="auto"/>
            <w:tcBorders>
              <w:top w:val="nil"/>
              <w:left w:val="nil"/>
              <w:bottom w:val="nil"/>
              <w:right w:val="nil"/>
            </w:tcBorders>
            <w:shd w:val="clear" w:color="000000" w:fill="FFFFFF"/>
            <w:noWrap/>
            <w:vAlign w:val="bottom"/>
          </w:tcPr>
          <w:p w14:paraId="09FA995A"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3 (0; 11)</w:t>
            </w:r>
          </w:p>
        </w:tc>
        <w:tc>
          <w:tcPr>
            <w:tcW w:w="0" w:type="auto"/>
            <w:tcBorders>
              <w:top w:val="nil"/>
              <w:left w:val="nil"/>
              <w:bottom w:val="nil"/>
              <w:right w:val="nil"/>
            </w:tcBorders>
            <w:shd w:val="clear" w:color="000000" w:fill="FFFFFF"/>
            <w:noWrap/>
            <w:vAlign w:val="bottom"/>
          </w:tcPr>
          <w:p w14:paraId="6DD9BDE7"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 (0; 6)</w:t>
            </w:r>
          </w:p>
        </w:tc>
        <w:tc>
          <w:tcPr>
            <w:tcW w:w="0" w:type="auto"/>
            <w:tcBorders>
              <w:top w:val="nil"/>
              <w:left w:val="nil"/>
              <w:bottom w:val="nil"/>
              <w:right w:val="single" w:sz="4" w:space="0" w:color="auto"/>
            </w:tcBorders>
            <w:shd w:val="clear" w:color="000000" w:fill="FFFFFF"/>
            <w:noWrap/>
            <w:vAlign w:val="bottom"/>
          </w:tcPr>
          <w:p w14:paraId="55572733"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9 (2; 28)</w:t>
            </w:r>
          </w:p>
        </w:tc>
      </w:tr>
      <w:tr w:rsidR="00BF0719" w:rsidRPr="00DB47CD" w14:paraId="78621545" w14:textId="77777777" w:rsidTr="004458DA">
        <w:trPr>
          <w:trHeight w:val="20"/>
        </w:trPr>
        <w:tc>
          <w:tcPr>
            <w:tcW w:w="0" w:type="auto"/>
            <w:tcBorders>
              <w:top w:val="nil"/>
              <w:left w:val="single" w:sz="4" w:space="0" w:color="auto"/>
              <w:bottom w:val="nil"/>
              <w:right w:val="nil"/>
            </w:tcBorders>
            <w:shd w:val="clear" w:color="000000" w:fill="FFFFFF"/>
            <w:noWrap/>
            <w:vAlign w:val="bottom"/>
            <w:hideMark/>
          </w:tcPr>
          <w:p w14:paraId="70D4F1A9"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3447CAB8"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BR</w:t>
            </w:r>
            <w:r w:rsidRPr="00DB47CD">
              <w:rPr>
                <w:rFonts w:eastAsia="Times New Roman" w:cs="Times New Roman"/>
                <w:szCs w:val="24"/>
                <w:vertAlign w:val="subscript"/>
                <w:lang w:val="en-GB" w:eastAsia="de-DE"/>
              </w:rPr>
              <w:t>20</w:t>
            </w:r>
          </w:p>
        </w:tc>
        <w:tc>
          <w:tcPr>
            <w:tcW w:w="0" w:type="auto"/>
            <w:gridSpan w:val="2"/>
            <w:tcBorders>
              <w:top w:val="nil"/>
              <w:left w:val="nil"/>
              <w:bottom w:val="nil"/>
              <w:right w:val="nil"/>
            </w:tcBorders>
            <w:shd w:val="clear" w:color="000000" w:fill="FFFFFF"/>
            <w:noWrap/>
            <w:vAlign w:val="bottom"/>
          </w:tcPr>
          <w:p w14:paraId="4138C518"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5 (3; 9)</w:t>
            </w:r>
          </w:p>
        </w:tc>
        <w:tc>
          <w:tcPr>
            <w:tcW w:w="0" w:type="auto"/>
            <w:gridSpan w:val="2"/>
            <w:tcBorders>
              <w:top w:val="nil"/>
              <w:left w:val="nil"/>
              <w:bottom w:val="nil"/>
              <w:right w:val="single" w:sz="4" w:space="0" w:color="000000"/>
            </w:tcBorders>
            <w:shd w:val="clear" w:color="000000" w:fill="FFFFFF"/>
            <w:noWrap/>
            <w:vAlign w:val="bottom"/>
          </w:tcPr>
          <w:p w14:paraId="39EDF1CD"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19 (14; 25)</w:t>
            </w:r>
          </w:p>
        </w:tc>
      </w:tr>
      <w:tr w:rsidR="00BF0719" w:rsidRPr="00DB47CD" w14:paraId="12106C59" w14:textId="77777777" w:rsidTr="004458DA">
        <w:trPr>
          <w:trHeight w:val="132"/>
        </w:trPr>
        <w:tc>
          <w:tcPr>
            <w:tcW w:w="0" w:type="auto"/>
            <w:tcBorders>
              <w:top w:val="nil"/>
              <w:left w:val="single" w:sz="4" w:space="0" w:color="auto"/>
              <w:bottom w:val="single" w:sz="4" w:space="0" w:color="auto"/>
              <w:right w:val="nil"/>
            </w:tcBorders>
            <w:shd w:val="clear" w:color="000000" w:fill="FFFFFF"/>
            <w:noWrap/>
            <w:vAlign w:val="bottom"/>
            <w:hideMark/>
          </w:tcPr>
          <w:p w14:paraId="65D6E31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single" w:sz="4" w:space="0" w:color="auto"/>
              <w:right w:val="nil"/>
            </w:tcBorders>
            <w:shd w:val="clear" w:color="000000" w:fill="FFFFFF"/>
            <w:noWrap/>
            <w:vAlign w:val="bottom"/>
            <w:hideMark/>
          </w:tcPr>
          <w:p w14:paraId="7FD1C555"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LBR</w:t>
            </w:r>
          </w:p>
        </w:tc>
        <w:tc>
          <w:tcPr>
            <w:tcW w:w="0" w:type="auto"/>
            <w:gridSpan w:val="2"/>
            <w:tcBorders>
              <w:top w:val="nil"/>
              <w:left w:val="nil"/>
              <w:bottom w:val="single" w:sz="4" w:space="0" w:color="auto"/>
              <w:right w:val="nil"/>
            </w:tcBorders>
            <w:shd w:val="clear" w:color="000000" w:fill="FFFFFF"/>
            <w:noWrap/>
            <w:vAlign w:val="bottom"/>
          </w:tcPr>
          <w:p w14:paraId="2D8C5CFE"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32 (22; 48)</w:t>
            </w:r>
          </w:p>
        </w:tc>
        <w:tc>
          <w:tcPr>
            <w:tcW w:w="0" w:type="auto"/>
            <w:gridSpan w:val="2"/>
            <w:tcBorders>
              <w:top w:val="nil"/>
              <w:left w:val="nil"/>
              <w:bottom w:val="single" w:sz="4" w:space="0" w:color="auto"/>
              <w:right w:val="single" w:sz="4" w:space="0" w:color="000000"/>
            </w:tcBorders>
            <w:shd w:val="clear" w:color="000000" w:fill="FFFFFF"/>
            <w:noWrap/>
            <w:vAlign w:val="bottom"/>
          </w:tcPr>
          <w:p w14:paraId="7CD853B6"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77 (61; 101)</w:t>
            </w:r>
          </w:p>
        </w:tc>
      </w:tr>
      <w:tr w:rsidR="00BF0719" w:rsidRPr="00DB47CD" w14:paraId="58632B71" w14:textId="77777777" w:rsidTr="004458DA">
        <w:trPr>
          <w:trHeight w:val="20"/>
        </w:trPr>
        <w:tc>
          <w:tcPr>
            <w:tcW w:w="0" w:type="auto"/>
            <w:tcBorders>
              <w:top w:val="nil"/>
              <w:left w:val="single" w:sz="4" w:space="0" w:color="auto"/>
              <w:bottom w:val="nil"/>
              <w:right w:val="nil"/>
            </w:tcBorders>
            <w:shd w:val="clear" w:color="000000" w:fill="FFFFFF"/>
            <w:noWrap/>
            <w:vAlign w:val="bottom"/>
            <w:hideMark/>
          </w:tcPr>
          <w:p w14:paraId="1B19564B" w14:textId="1B1A4E93" w:rsidR="00BF0719" w:rsidRPr="00DB47CD" w:rsidRDefault="004458DA" w:rsidP="004458DA">
            <w:pPr>
              <w:spacing w:before="40" w:after="40"/>
              <w:rPr>
                <w:rFonts w:eastAsia="Times New Roman" w:cs="Times New Roman"/>
                <w:szCs w:val="24"/>
                <w:lang w:val="en-GB" w:eastAsia="de-DE"/>
              </w:rPr>
            </w:pPr>
            <w:r>
              <w:rPr>
                <w:rFonts w:eastAsia="Times New Roman" w:cs="Times New Roman"/>
                <w:szCs w:val="24"/>
                <w:lang w:val="en-GB" w:eastAsia="de-DE"/>
              </w:rPr>
              <w:t>10 (</w:t>
            </w:r>
            <w:r w:rsidR="00BF0719" w:rsidRPr="00DB47CD">
              <w:rPr>
                <w:rFonts w:eastAsia="Times New Roman" w:cs="Times New Roman"/>
                <w:szCs w:val="24"/>
                <w:lang w:val="en-GB" w:eastAsia="de-DE"/>
              </w:rPr>
              <w:t>Child</w:t>
            </w:r>
            <w:r>
              <w:rPr>
                <w:rFonts w:eastAsia="Times New Roman" w:cs="Times New Roman"/>
                <w:szCs w:val="24"/>
                <w:lang w:val="en-GB" w:eastAsia="de-DE"/>
              </w:rPr>
              <w:t>)</w:t>
            </w:r>
          </w:p>
        </w:tc>
        <w:tc>
          <w:tcPr>
            <w:tcW w:w="0" w:type="auto"/>
            <w:tcBorders>
              <w:top w:val="nil"/>
              <w:left w:val="nil"/>
              <w:bottom w:val="nil"/>
              <w:right w:val="nil"/>
            </w:tcBorders>
            <w:shd w:val="clear" w:color="000000" w:fill="FFFFFF"/>
            <w:noWrap/>
            <w:vAlign w:val="bottom"/>
            <w:hideMark/>
          </w:tcPr>
          <w:p w14:paraId="36104B6C"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AR</w:t>
            </w:r>
            <w:r w:rsidRPr="00DB47CD">
              <w:rPr>
                <w:rFonts w:eastAsia="Times New Roman" w:cs="Times New Roman"/>
                <w:szCs w:val="24"/>
                <w:vertAlign w:val="subscript"/>
                <w:lang w:val="en-GB" w:eastAsia="de-DE"/>
              </w:rPr>
              <w:t>20</w:t>
            </w:r>
          </w:p>
        </w:tc>
        <w:tc>
          <w:tcPr>
            <w:tcW w:w="0" w:type="auto"/>
            <w:tcBorders>
              <w:top w:val="nil"/>
              <w:left w:val="nil"/>
              <w:bottom w:val="nil"/>
              <w:right w:val="nil"/>
            </w:tcBorders>
            <w:shd w:val="clear" w:color="000000" w:fill="FFFFFF"/>
            <w:noWrap/>
            <w:vAlign w:val="bottom"/>
          </w:tcPr>
          <w:p w14:paraId="2A2A2F59"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0 (0; 1)</w:t>
            </w:r>
          </w:p>
        </w:tc>
        <w:tc>
          <w:tcPr>
            <w:tcW w:w="0" w:type="auto"/>
            <w:tcBorders>
              <w:top w:val="nil"/>
              <w:left w:val="nil"/>
              <w:bottom w:val="nil"/>
              <w:right w:val="nil"/>
            </w:tcBorders>
            <w:shd w:val="clear" w:color="000000" w:fill="FFFFFF"/>
            <w:noWrap/>
            <w:vAlign w:val="bottom"/>
          </w:tcPr>
          <w:p w14:paraId="2F673D41"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1 (0; 4)</w:t>
            </w:r>
          </w:p>
        </w:tc>
        <w:tc>
          <w:tcPr>
            <w:tcW w:w="0" w:type="auto"/>
            <w:tcBorders>
              <w:top w:val="nil"/>
              <w:left w:val="nil"/>
              <w:bottom w:val="nil"/>
              <w:right w:val="nil"/>
            </w:tcBorders>
            <w:shd w:val="clear" w:color="000000" w:fill="FFFFFF"/>
            <w:noWrap/>
            <w:vAlign w:val="bottom"/>
          </w:tcPr>
          <w:p w14:paraId="26A5AAE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0 (0; 2)</w:t>
            </w:r>
          </w:p>
        </w:tc>
        <w:tc>
          <w:tcPr>
            <w:tcW w:w="0" w:type="auto"/>
            <w:tcBorders>
              <w:top w:val="nil"/>
              <w:left w:val="nil"/>
              <w:bottom w:val="nil"/>
              <w:right w:val="single" w:sz="4" w:space="0" w:color="auto"/>
            </w:tcBorders>
            <w:shd w:val="clear" w:color="000000" w:fill="FFFFFF"/>
            <w:noWrap/>
            <w:vAlign w:val="bottom"/>
          </w:tcPr>
          <w:p w14:paraId="3C99190F"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 (0; 10)</w:t>
            </w:r>
          </w:p>
        </w:tc>
      </w:tr>
      <w:tr w:rsidR="00BF0719" w:rsidRPr="00DB47CD" w14:paraId="16A8FBC5" w14:textId="77777777" w:rsidTr="004458DA">
        <w:trPr>
          <w:trHeight w:val="20"/>
        </w:trPr>
        <w:tc>
          <w:tcPr>
            <w:tcW w:w="0" w:type="auto"/>
            <w:tcBorders>
              <w:top w:val="nil"/>
              <w:left w:val="single" w:sz="4" w:space="0" w:color="auto"/>
              <w:bottom w:val="nil"/>
              <w:right w:val="nil"/>
            </w:tcBorders>
            <w:shd w:val="clear" w:color="000000" w:fill="FFFFFF"/>
            <w:noWrap/>
            <w:vAlign w:val="bottom"/>
            <w:hideMark/>
          </w:tcPr>
          <w:p w14:paraId="6F866377"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11A2CF22"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LAR</w:t>
            </w:r>
          </w:p>
        </w:tc>
        <w:tc>
          <w:tcPr>
            <w:tcW w:w="0" w:type="auto"/>
            <w:tcBorders>
              <w:top w:val="nil"/>
              <w:left w:val="nil"/>
              <w:bottom w:val="nil"/>
              <w:right w:val="nil"/>
            </w:tcBorders>
            <w:shd w:val="clear" w:color="000000" w:fill="FFFFFF"/>
            <w:noWrap/>
            <w:vAlign w:val="bottom"/>
          </w:tcPr>
          <w:p w14:paraId="2DF10B6B"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1 (0; 4)</w:t>
            </w:r>
          </w:p>
        </w:tc>
        <w:tc>
          <w:tcPr>
            <w:tcW w:w="0" w:type="auto"/>
            <w:tcBorders>
              <w:top w:val="nil"/>
              <w:left w:val="nil"/>
              <w:bottom w:val="nil"/>
              <w:right w:val="nil"/>
            </w:tcBorders>
            <w:shd w:val="clear" w:color="000000" w:fill="FFFFFF"/>
            <w:noWrap/>
            <w:vAlign w:val="bottom"/>
          </w:tcPr>
          <w:p w14:paraId="134FC6F7"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5 (1; 21)</w:t>
            </w:r>
          </w:p>
        </w:tc>
        <w:tc>
          <w:tcPr>
            <w:tcW w:w="0" w:type="auto"/>
            <w:tcBorders>
              <w:top w:val="nil"/>
              <w:left w:val="nil"/>
              <w:bottom w:val="nil"/>
              <w:right w:val="nil"/>
            </w:tcBorders>
            <w:shd w:val="clear" w:color="000000" w:fill="FFFFFF"/>
            <w:noWrap/>
            <w:vAlign w:val="bottom"/>
          </w:tcPr>
          <w:p w14:paraId="7690A2F5"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4 (1; 11)</w:t>
            </w:r>
          </w:p>
        </w:tc>
        <w:tc>
          <w:tcPr>
            <w:tcW w:w="0" w:type="auto"/>
            <w:tcBorders>
              <w:top w:val="nil"/>
              <w:left w:val="nil"/>
              <w:bottom w:val="nil"/>
              <w:right w:val="single" w:sz="4" w:space="0" w:color="auto"/>
            </w:tcBorders>
            <w:shd w:val="clear" w:color="000000" w:fill="FFFFFF"/>
            <w:noWrap/>
            <w:vAlign w:val="bottom"/>
          </w:tcPr>
          <w:p w14:paraId="25C877CF"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20 (6; 56)</w:t>
            </w:r>
          </w:p>
        </w:tc>
      </w:tr>
      <w:tr w:rsidR="00BF0719" w:rsidRPr="00DB47CD" w14:paraId="70B93BF3" w14:textId="77777777" w:rsidTr="004458DA">
        <w:trPr>
          <w:trHeight w:val="20"/>
        </w:trPr>
        <w:tc>
          <w:tcPr>
            <w:tcW w:w="0" w:type="auto"/>
            <w:tcBorders>
              <w:top w:val="nil"/>
              <w:left w:val="single" w:sz="4" w:space="0" w:color="auto"/>
              <w:bottom w:val="nil"/>
              <w:right w:val="nil"/>
            </w:tcBorders>
            <w:shd w:val="clear" w:color="000000" w:fill="FFFFFF"/>
            <w:noWrap/>
            <w:vAlign w:val="bottom"/>
            <w:hideMark/>
          </w:tcPr>
          <w:p w14:paraId="6BCF778D"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112A44E7"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BR</w:t>
            </w:r>
            <w:r w:rsidRPr="00DB47CD">
              <w:rPr>
                <w:rFonts w:eastAsia="Times New Roman" w:cs="Times New Roman"/>
                <w:szCs w:val="24"/>
                <w:vertAlign w:val="subscript"/>
                <w:lang w:val="en-GB" w:eastAsia="de-DE"/>
              </w:rPr>
              <w:t>20</w:t>
            </w:r>
          </w:p>
        </w:tc>
        <w:tc>
          <w:tcPr>
            <w:tcW w:w="0" w:type="auto"/>
            <w:gridSpan w:val="2"/>
            <w:tcBorders>
              <w:top w:val="nil"/>
              <w:left w:val="nil"/>
              <w:bottom w:val="nil"/>
              <w:right w:val="nil"/>
            </w:tcBorders>
            <w:shd w:val="clear" w:color="000000" w:fill="FFFFFF"/>
            <w:noWrap/>
            <w:vAlign w:val="bottom"/>
          </w:tcPr>
          <w:p w14:paraId="1DA1FBF5"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2 (1; 5)</w:t>
            </w:r>
          </w:p>
        </w:tc>
        <w:tc>
          <w:tcPr>
            <w:tcW w:w="0" w:type="auto"/>
            <w:gridSpan w:val="2"/>
            <w:tcBorders>
              <w:top w:val="nil"/>
              <w:left w:val="nil"/>
              <w:bottom w:val="nil"/>
              <w:right w:val="single" w:sz="4" w:space="0" w:color="000000"/>
            </w:tcBorders>
            <w:shd w:val="clear" w:color="000000" w:fill="FFFFFF"/>
            <w:noWrap/>
            <w:vAlign w:val="bottom"/>
          </w:tcPr>
          <w:p w14:paraId="6A4B95A8"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8 (5; 12)</w:t>
            </w:r>
          </w:p>
        </w:tc>
      </w:tr>
      <w:tr w:rsidR="00BF0719" w:rsidRPr="00DB47CD" w14:paraId="3C464DDC" w14:textId="77777777" w:rsidTr="004458DA">
        <w:trPr>
          <w:trHeight w:val="20"/>
        </w:trPr>
        <w:tc>
          <w:tcPr>
            <w:tcW w:w="0" w:type="auto"/>
            <w:tcBorders>
              <w:top w:val="nil"/>
              <w:left w:val="single" w:sz="4" w:space="0" w:color="auto"/>
              <w:bottom w:val="single" w:sz="4" w:space="0" w:color="auto"/>
              <w:right w:val="nil"/>
            </w:tcBorders>
            <w:shd w:val="clear" w:color="000000" w:fill="FFFFFF"/>
            <w:noWrap/>
            <w:vAlign w:val="bottom"/>
            <w:hideMark/>
          </w:tcPr>
          <w:p w14:paraId="0D3DC507"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single" w:sz="4" w:space="0" w:color="auto"/>
              <w:right w:val="nil"/>
            </w:tcBorders>
            <w:shd w:val="clear" w:color="000000" w:fill="FFFFFF"/>
            <w:noWrap/>
            <w:vAlign w:val="bottom"/>
            <w:hideMark/>
          </w:tcPr>
          <w:p w14:paraId="15BC58D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LBR</w:t>
            </w:r>
          </w:p>
        </w:tc>
        <w:tc>
          <w:tcPr>
            <w:tcW w:w="0" w:type="auto"/>
            <w:gridSpan w:val="2"/>
            <w:tcBorders>
              <w:top w:val="nil"/>
              <w:left w:val="nil"/>
              <w:bottom w:val="single" w:sz="4" w:space="0" w:color="auto"/>
              <w:right w:val="nil"/>
            </w:tcBorders>
            <w:shd w:val="clear" w:color="000000" w:fill="FFFFFF"/>
            <w:noWrap/>
            <w:vAlign w:val="bottom"/>
          </w:tcPr>
          <w:p w14:paraId="75A7F109"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32 (22; 49)</w:t>
            </w:r>
          </w:p>
        </w:tc>
        <w:tc>
          <w:tcPr>
            <w:tcW w:w="0" w:type="auto"/>
            <w:gridSpan w:val="2"/>
            <w:tcBorders>
              <w:top w:val="nil"/>
              <w:left w:val="nil"/>
              <w:bottom w:val="single" w:sz="4" w:space="0" w:color="auto"/>
              <w:right w:val="single" w:sz="4" w:space="0" w:color="000000"/>
            </w:tcBorders>
            <w:shd w:val="clear" w:color="000000" w:fill="FFFFFF"/>
            <w:noWrap/>
            <w:vAlign w:val="bottom"/>
          </w:tcPr>
          <w:p w14:paraId="46D6DF6E"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78 (61; 103)</w:t>
            </w:r>
          </w:p>
        </w:tc>
      </w:tr>
      <w:tr w:rsidR="00BF0719" w:rsidRPr="00DB47CD" w14:paraId="77994205" w14:textId="77777777" w:rsidTr="004458DA">
        <w:trPr>
          <w:trHeight w:val="20"/>
        </w:trPr>
        <w:tc>
          <w:tcPr>
            <w:tcW w:w="0" w:type="auto"/>
            <w:tcBorders>
              <w:top w:val="nil"/>
              <w:left w:val="single" w:sz="4" w:space="0" w:color="auto"/>
              <w:bottom w:val="nil"/>
              <w:right w:val="nil"/>
            </w:tcBorders>
            <w:shd w:val="clear" w:color="000000" w:fill="FFFFFF"/>
            <w:noWrap/>
            <w:vAlign w:val="bottom"/>
            <w:hideMark/>
          </w:tcPr>
          <w:p w14:paraId="7025D506" w14:textId="1C95A65B" w:rsidR="00BF0719" w:rsidRPr="00DB47CD" w:rsidRDefault="004458DA" w:rsidP="004458DA">
            <w:pPr>
              <w:spacing w:before="40" w:after="40"/>
              <w:rPr>
                <w:rFonts w:eastAsia="Times New Roman" w:cs="Times New Roman"/>
                <w:szCs w:val="24"/>
                <w:lang w:val="en-GB" w:eastAsia="de-DE"/>
              </w:rPr>
            </w:pPr>
            <w:r>
              <w:rPr>
                <w:rFonts w:eastAsia="Times New Roman" w:cs="Times New Roman"/>
                <w:szCs w:val="24"/>
                <w:lang w:val="en-GB" w:eastAsia="de-DE"/>
              </w:rPr>
              <w:t>1 (</w:t>
            </w:r>
            <w:r w:rsidR="00BF0719" w:rsidRPr="00DB47CD">
              <w:rPr>
                <w:rFonts w:eastAsia="Times New Roman" w:cs="Times New Roman"/>
                <w:szCs w:val="24"/>
                <w:lang w:val="en-GB" w:eastAsia="de-DE"/>
              </w:rPr>
              <w:t>Infant</w:t>
            </w:r>
            <w:r>
              <w:rPr>
                <w:rFonts w:eastAsia="Times New Roman" w:cs="Times New Roman"/>
                <w:szCs w:val="24"/>
                <w:lang w:val="en-GB" w:eastAsia="de-DE"/>
              </w:rPr>
              <w:t>)</w:t>
            </w:r>
          </w:p>
        </w:tc>
        <w:tc>
          <w:tcPr>
            <w:tcW w:w="0" w:type="auto"/>
            <w:tcBorders>
              <w:top w:val="nil"/>
              <w:left w:val="nil"/>
              <w:bottom w:val="nil"/>
              <w:right w:val="nil"/>
            </w:tcBorders>
            <w:shd w:val="clear" w:color="000000" w:fill="FFFFFF"/>
            <w:noWrap/>
            <w:vAlign w:val="bottom"/>
            <w:hideMark/>
          </w:tcPr>
          <w:p w14:paraId="766A3ACB"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AR</w:t>
            </w:r>
            <w:r w:rsidRPr="00DB47CD">
              <w:rPr>
                <w:rFonts w:eastAsia="Times New Roman" w:cs="Times New Roman"/>
                <w:szCs w:val="24"/>
                <w:vertAlign w:val="subscript"/>
                <w:lang w:val="en-GB" w:eastAsia="de-DE"/>
              </w:rPr>
              <w:t>20</w:t>
            </w:r>
          </w:p>
        </w:tc>
        <w:tc>
          <w:tcPr>
            <w:tcW w:w="0" w:type="auto"/>
            <w:tcBorders>
              <w:top w:val="nil"/>
              <w:left w:val="nil"/>
              <w:bottom w:val="nil"/>
              <w:right w:val="nil"/>
            </w:tcBorders>
            <w:shd w:val="clear" w:color="000000" w:fill="FFFFFF"/>
            <w:noWrap/>
            <w:vAlign w:val="bottom"/>
          </w:tcPr>
          <w:p w14:paraId="645E6213"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0 (0; 1)</w:t>
            </w:r>
          </w:p>
        </w:tc>
        <w:tc>
          <w:tcPr>
            <w:tcW w:w="0" w:type="auto"/>
            <w:tcBorders>
              <w:top w:val="nil"/>
              <w:left w:val="nil"/>
              <w:bottom w:val="nil"/>
              <w:right w:val="nil"/>
            </w:tcBorders>
            <w:shd w:val="clear" w:color="000000" w:fill="FFFFFF"/>
            <w:noWrap/>
            <w:vAlign w:val="bottom"/>
          </w:tcPr>
          <w:p w14:paraId="13E55523"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1 (0; 5)</w:t>
            </w:r>
          </w:p>
        </w:tc>
        <w:tc>
          <w:tcPr>
            <w:tcW w:w="0" w:type="auto"/>
            <w:tcBorders>
              <w:top w:val="nil"/>
              <w:left w:val="nil"/>
              <w:bottom w:val="nil"/>
              <w:right w:val="nil"/>
            </w:tcBorders>
            <w:shd w:val="clear" w:color="000000" w:fill="FFFFFF"/>
            <w:noWrap/>
            <w:vAlign w:val="bottom"/>
          </w:tcPr>
          <w:p w14:paraId="5FFFD836"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0 (0; 1)</w:t>
            </w:r>
          </w:p>
        </w:tc>
        <w:tc>
          <w:tcPr>
            <w:tcW w:w="0" w:type="auto"/>
            <w:tcBorders>
              <w:top w:val="nil"/>
              <w:left w:val="nil"/>
              <w:bottom w:val="nil"/>
              <w:right w:val="single" w:sz="4" w:space="0" w:color="auto"/>
            </w:tcBorders>
            <w:shd w:val="clear" w:color="000000" w:fill="FFFFFF"/>
            <w:noWrap/>
            <w:vAlign w:val="bottom"/>
          </w:tcPr>
          <w:p w14:paraId="751667CE"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 (0; 7)</w:t>
            </w:r>
          </w:p>
        </w:tc>
      </w:tr>
      <w:tr w:rsidR="00BF0719" w:rsidRPr="00DB47CD" w14:paraId="7F35525B" w14:textId="77777777" w:rsidTr="004458DA">
        <w:trPr>
          <w:trHeight w:val="20"/>
        </w:trPr>
        <w:tc>
          <w:tcPr>
            <w:tcW w:w="0" w:type="auto"/>
            <w:tcBorders>
              <w:top w:val="nil"/>
              <w:left w:val="single" w:sz="4" w:space="0" w:color="auto"/>
              <w:bottom w:val="nil"/>
              <w:right w:val="nil"/>
            </w:tcBorders>
            <w:shd w:val="clear" w:color="000000" w:fill="FFFFFF"/>
            <w:noWrap/>
            <w:vAlign w:val="bottom"/>
            <w:hideMark/>
          </w:tcPr>
          <w:p w14:paraId="4D86A124"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40E0CE8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LAR</w:t>
            </w:r>
          </w:p>
        </w:tc>
        <w:tc>
          <w:tcPr>
            <w:tcW w:w="0" w:type="auto"/>
            <w:tcBorders>
              <w:top w:val="nil"/>
              <w:left w:val="nil"/>
              <w:bottom w:val="nil"/>
              <w:right w:val="nil"/>
            </w:tcBorders>
            <w:shd w:val="clear" w:color="000000" w:fill="FFFFFF"/>
            <w:noWrap/>
            <w:vAlign w:val="bottom"/>
          </w:tcPr>
          <w:p w14:paraId="0B5ED7F9"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2 (0; 9)</w:t>
            </w:r>
          </w:p>
        </w:tc>
        <w:tc>
          <w:tcPr>
            <w:tcW w:w="0" w:type="auto"/>
            <w:tcBorders>
              <w:top w:val="nil"/>
              <w:left w:val="nil"/>
              <w:bottom w:val="nil"/>
              <w:right w:val="nil"/>
            </w:tcBorders>
            <w:shd w:val="clear" w:color="000000" w:fill="FFFFFF"/>
            <w:noWrap/>
            <w:vAlign w:val="bottom"/>
          </w:tcPr>
          <w:p w14:paraId="50902C45"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9 (1; 43)</w:t>
            </w:r>
          </w:p>
        </w:tc>
        <w:tc>
          <w:tcPr>
            <w:tcW w:w="0" w:type="auto"/>
            <w:tcBorders>
              <w:top w:val="nil"/>
              <w:left w:val="nil"/>
              <w:bottom w:val="nil"/>
              <w:right w:val="nil"/>
            </w:tcBorders>
            <w:shd w:val="clear" w:color="000000" w:fill="FFFFFF"/>
            <w:noWrap/>
            <w:vAlign w:val="bottom"/>
          </w:tcPr>
          <w:p w14:paraId="45FF317A"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8 (2; 27)</w:t>
            </w:r>
          </w:p>
        </w:tc>
        <w:tc>
          <w:tcPr>
            <w:tcW w:w="0" w:type="auto"/>
            <w:tcBorders>
              <w:top w:val="nil"/>
              <w:left w:val="nil"/>
              <w:bottom w:val="nil"/>
              <w:right w:val="single" w:sz="4" w:space="0" w:color="auto"/>
            </w:tcBorders>
            <w:shd w:val="clear" w:color="000000" w:fill="FFFFFF"/>
            <w:noWrap/>
            <w:vAlign w:val="bottom"/>
          </w:tcPr>
          <w:p w14:paraId="6A19EA1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41 (11; 133)</w:t>
            </w:r>
          </w:p>
        </w:tc>
      </w:tr>
      <w:tr w:rsidR="00BF0719" w:rsidRPr="00DB47CD" w14:paraId="58C2F8F3" w14:textId="77777777" w:rsidTr="004458DA">
        <w:trPr>
          <w:trHeight w:val="20"/>
        </w:trPr>
        <w:tc>
          <w:tcPr>
            <w:tcW w:w="0" w:type="auto"/>
            <w:tcBorders>
              <w:top w:val="nil"/>
              <w:left w:val="single" w:sz="4" w:space="0" w:color="auto"/>
              <w:bottom w:val="nil"/>
              <w:right w:val="nil"/>
            </w:tcBorders>
            <w:shd w:val="clear" w:color="000000" w:fill="FFFFFF"/>
            <w:noWrap/>
            <w:vAlign w:val="bottom"/>
            <w:hideMark/>
          </w:tcPr>
          <w:p w14:paraId="3BA5788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nil"/>
              <w:right w:val="nil"/>
            </w:tcBorders>
            <w:shd w:val="clear" w:color="000000" w:fill="FFFFFF"/>
            <w:noWrap/>
            <w:vAlign w:val="bottom"/>
            <w:hideMark/>
          </w:tcPr>
          <w:p w14:paraId="560CA1B0"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BR</w:t>
            </w:r>
            <w:r w:rsidRPr="00DB47CD">
              <w:rPr>
                <w:rFonts w:eastAsia="Times New Roman" w:cs="Times New Roman"/>
                <w:szCs w:val="24"/>
                <w:vertAlign w:val="subscript"/>
                <w:lang w:val="en-GB" w:eastAsia="de-DE"/>
              </w:rPr>
              <w:t>20</w:t>
            </w:r>
          </w:p>
        </w:tc>
        <w:tc>
          <w:tcPr>
            <w:tcW w:w="0" w:type="auto"/>
            <w:gridSpan w:val="2"/>
            <w:tcBorders>
              <w:top w:val="nil"/>
              <w:left w:val="nil"/>
              <w:bottom w:val="nil"/>
              <w:right w:val="nil"/>
            </w:tcBorders>
            <w:shd w:val="clear" w:color="000000" w:fill="FFFFFF"/>
            <w:noWrap/>
            <w:vAlign w:val="bottom"/>
          </w:tcPr>
          <w:p w14:paraId="3DA3B8F3"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1 (0; 2)</w:t>
            </w:r>
          </w:p>
        </w:tc>
        <w:tc>
          <w:tcPr>
            <w:tcW w:w="0" w:type="auto"/>
            <w:gridSpan w:val="2"/>
            <w:tcBorders>
              <w:top w:val="nil"/>
              <w:left w:val="nil"/>
              <w:bottom w:val="nil"/>
              <w:right w:val="single" w:sz="4" w:space="0" w:color="000000"/>
            </w:tcBorders>
            <w:shd w:val="clear" w:color="000000" w:fill="FFFFFF"/>
            <w:noWrap/>
            <w:vAlign w:val="bottom"/>
          </w:tcPr>
          <w:p w14:paraId="4CFB1E37"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2 (1; 4)</w:t>
            </w:r>
          </w:p>
        </w:tc>
      </w:tr>
      <w:tr w:rsidR="00BF0719" w:rsidRPr="00DB47CD" w14:paraId="310F0B5F" w14:textId="77777777" w:rsidTr="004458DA">
        <w:trPr>
          <w:trHeight w:val="20"/>
        </w:trPr>
        <w:tc>
          <w:tcPr>
            <w:tcW w:w="0" w:type="auto"/>
            <w:tcBorders>
              <w:top w:val="nil"/>
              <w:left w:val="single" w:sz="4" w:space="0" w:color="auto"/>
              <w:bottom w:val="single" w:sz="4" w:space="0" w:color="auto"/>
              <w:right w:val="nil"/>
            </w:tcBorders>
            <w:shd w:val="clear" w:color="000000" w:fill="FFFFFF"/>
            <w:noWrap/>
            <w:vAlign w:val="bottom"/>
            <w:hideMark/>
          </w:tcPr>
          <w:p w14:paraId="4AD55B5E"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 </w:t>
            </w:r>
          </w:p>
        </w:tc>
        <w:tc>
          <w:tcPr>
            <w:tcW w:w="0" w:type="auto"/>
            <w:tcBorders>
              <w:top w:val="nil"/>
              <w:left w:val="nil"/>
              <w:bottom w:val="single" w:sz="4" w:space="0" w:color="auto"/>
              <w:right w:val="nil"/>
            </w:tcBorders>
            <w:shd w:val="clear" w:color="000000" w:fill="FFFFFF"/>
            <w:noWrap/>
            <w:vAlign w:val="bottom"/>
            <w:hideMark/>
          </w:tcPr>
          <w:p w14:paraId="761EFDDC" w14:textId="77777777" w:rsidR="00BF0719" w:rsidRPr="00DB47CD" w:rsidRDefault="00BF0719" w:rsidP="004458DA">
            <w:pPr>
              <w:spacing w:before="40" w:after="40"/>
              <w:rPr>
                <w:rFonts w:eastAsia="Times New Roman" w:cs="Times New Roman"/>
                <w:szCs w:val="24"/>
                <w:lang w:val="en-GB" w:eastAsia="de-DE"/>
              </w:rPr>
            </w:pPr>
            <w:r w:rsidRPr="00DB47CD">
              <w:rPr>
                <w:rFonts w:eastAsia="Times New Roman" w:cs="Times New Roman"/>
                <w:szCs w:val="24"/>
                <w:lang w:val="en-GB" w:eastAsia="de-DE"/>
              </w:rPr>
              <w:t>LBR</w:t>
            </w:r>
          </w:p>
        </w:tc>
        <w:tc>
          <w:tcPr>
            <w:tcW w:w="0" w:type="auto"/>
            <w:gridSpan w:val="2"/>
            <w:tcBorders>
              <w:top w:val="nil"/>
              <w:left w:val="nil"/>
              <w:bottom w:val="single" w:sz="4" w:space="0" w:color="auto"/>
              <w:right w:val="nil"/>
            </w:tcBorders>
            <w:shd w:val="clear" w:color="000000" w:fill="FFFFFF"/>
            <w:noWrap/>
            <w:vAlign w:val="bottom"/>
          </w:tcPr>
          <w:p w14:paraId="1DFDE386"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32 (22; 50)</w:t>
            </w:r>
          </w:p>
        </w:tc>
        <w:tc>
          <w:tcPr>
            <w:tcW w:w="0" w:type="auto"/>
            <w:gridSpan w:val="2"/>
            <w:tcBorders>
              <w:top w:val="nil"/>
              <w:left w:val="nil"/>
              <w:bottom w:val="single" w:sz="4" w:space="0" w:color="auto"/>
              <w:right w:val="single" w:sz="4" w:space="0" w:color="000000"/>
            </w:tcBorders>
            <w:shd w:val="clear" w:color="000000" w:fill="FFFFFF"/>
            <w:noWrap/>
            <w:vAlign w:val="bottom"/>
          </w:tcPr>
          <w:p w14:paraId="300E563C" w14:textId="77777777" w:rsidR="00BF0719" w:rsidRPr="00DB47CD" w:rsidRDefault="00BF0719" w:rsidP="004458DA">
            <w:pPr>
              <w:spacing w:before="40" w:after="40"/>
              <w:jc w:val="center"/>
              <w:rPr>
                <w:rFonts w:eastAsia="Times New Roman" w:cs="Times New Roman"/>
                <w:szCs w:val="24"/>
                <w:lang w:val="en-GB" w:eastAsia="de-DE"/>
              </w:rPr>
            </w:pPr>
            <w:r w:rsidRPr="00DB47CD">
              <w:rPr>
                <w:rFonts w:eastAsia="Times New Roman" w:cs="Times New Roman"/>
                <w:szCs w:val="24"/>
                <w:lang w:val="en-GB" w:eastAsia="de-DE"/>
              </w:rPr>
              <w:t>78 (61; 104)</w:t>
            </w:r>
          </w:p>
        </w:tc>
      </w:tr>
    </w:tbl>
    <w:p w14:paraId="2934119B" w14:textId="77777777" w:rsidR="00BF0719" w:rsidRPr="00DB47CD" w:rsidRDefault="00BF0719" w:rsidP="00BF0719">
      <w:pPr>
        <w:autoSpaceDE w:val="0"/>
        <w:autoSpaceDN w:val="0"/>
        <w:adjustRightInd w:val="0"/>
        <w:spacing w:after="0"/>
        <w:rPr>
          <w:rFonts w:eastAsia="Calibri" w:cs="Times New Roman"/>
          <w:szCs w:val="24"/>
          <w:lang w:val="en-GB"/>
        </w:rPr>
      </w:pPr>
    </w:p>
    <w:p w14:paraId="4D9435D5" w14:textId="77777777" w:rsidR="00BF0719" w:rsidRPr="00DB47CD" w:rsidRDefault="00BF0719" w:rsidP="00BF0719">
      <w:pPr>
        <w:autoSpaceDE w:val="0"/>
        <w:autoSpaceDN w:val="0"/>
        <w:adjustRightInd w:val="0"/>
        <w:spacing w:after="0"/>
        <w:rPr>
          <w:rFonts w:eastAsia="Calibri" w:cs="Times New Roman"/>
          <w:szCs w:val="24"/>
          <w:lang w:val="en-GB"/>
        </w:rPr>
      </w:pPr>
    </w:p>
    <w:p w14:paraId="49E21401" w14:textId="77777777" w:rsidR="00BF0719" w:rsidRPr="00DB47CD" w:rsidRDefault="00BF0719" w:rsidP="00BF0719">
      <w:pPr>
        <w:autoSpaceDE w:val="0"/>
        <w:autoSpaceDN w:val="0"/>
        <w:adjustRightInd w:val="0"/>
        <w:spacing w:after="0"/>
        <w:rPr>
          <w:rFonts w:eastAsia="Calibri" w:cs="Times New Roman"/>
          <w:szCs w:val="24"/>
          <w:lang w:val="en-GB"/>
        </w:rPr>
      </w:pPr>
    </w:p>
    <w:p w14:paraId="01264C39" w14:textId="77777777" w:rsidR="00BF0719" w:rsidRPr="00DB47CD" w:rsidRDefault="00BF0719" w:rsidP="00BF0719">
      <w:pPr>
        <w:autoSpaceDE w:val="0"/>
        <w:autoSpaceDN w:val="0"/>
        <w:adjustRightInd w:val="0"/>
        <w:spacing w:after="0"/>
        <w:rPr>
          <w:rFonts w:eastAsia="Calibri" w:cs="Times New Roman"/>
          <w:szCs w:val="24"/>
          <w:lang w:val="en-GB"/>
        </w:rPr>
      </w:pPr>
    </w:p>
    <w:p w14:paraId="3546E2BA" w14:textId="77777777" w:rsidR="00BF0719" w:rsidRPr="00DB47CD" w:rsidRDefault="00BF0719" w:rsidP="00BF0719">
      <w:pPr>
        <w:autoSpaceDE w:val="0"/>
        <w:autoSpaceDN w:val="0"/>
        <w:adjustRightInd w:val="0"/>
        <w:spacing w:after="0"/>
        <w:rPr>
          <w:rFonts w:eastAsia="Calibri" w:cs="Times New Roman"/>
          <w:szCs w:val="24"/>
          <w:lang w:val="en-GB"/>
        </w:rPr>
      </w:pPr>
    </w:p>
    <w:p w14:paraId="7DDC55E3" w14:textId="77777777" w:rsidR="00BF0719" w:rsidRPr="00DB47CD" w:rsidRDefault="00BF0719" w:rsidP="00BF0719">
      <w:pPr>
        <w:autoSpaceDE w:val="0"/>
        <w:autoSpaceDN w:val="0"/>
        <w:adjustRightInd w:val="0"/>
        <w:spacing w:after="0"/>
        <w:rPr>
          <w:rFonts w:eastAsia="Calibri" w:cs="Times New Roman"/>
          <w:szCs w:val="24"/>
          <w:lang w:val="en-GB"/>
        </w:rPr>
      </w:pPr>
    </w:p>
    <w:p w14:paraId="08D7E8AB" w14:textId="77777777" w:rsidR="00BF0719" w:rsidRPr="00DB47CD" w:rsidRDefault="00BF0719" w:rsidP="00BF0719">
      <w:pPr>
        <w:autoSpaceDE w:val="0"/>
        <w:autoSpaceDN w:val="0"/>
        <w:adjustRightInd w:val="0"/>
        <w:spacing w:after="0"/>
        <w:rPr>
          <w:rFonts w:eastAsia="Calibri" w:cs="Times New Roman"/>
          <w:szCs w:val="24"/>
          <w:lang w:val="en-GB"/>
        </w:rPr>
      </w:pPr>
    </w:p>
    <w:p w14:paraId="09005895" w14:textId="77777777" w:rsidR="00415C1E" w:rsidRDefault="00415C1E" w:rsidP="00BF0719">
      <w:pPr>
        <w:autoSpaceDE w:val="0"/>
        <w:autoSpaceDN w:val="0"/>
        <w:adjustRightInd w:val="0"/>
        <w:spacing w:after="0"/>
        <w:rPr>
          <w:rFonts w:eastAsia="Calibri" w:cs="Times New Roman"/>
          <w:szCs w:val="24"/>
          <w:lang w:val="en-GB"/>
        </w:rPr>
      </w:pPr>
    </w:p>
    <w:p w14:paraId="6D531123" w14:textId="77777777" w:rsidR="00415C1E" w:rsidRDefault="00415C1E" w:rsidP="00BF0719">
      <w:pPr>
        <w:autoSpaceDE w:val="0"/>
        <w:autoSpaceDN w:val="0"/>
        <w:adjustRightInd w:val="0"/>
        <w:spacing w:after="0"/>
        <w:rPr>
          <w:rFonts w:eastAsia="Calibri" w:cs="Times New Roman"/>
          <w:szCs w:val="24"/>
          <w:lang w:val="en-GB"/>
        </w:rPr>
      </w:pPr>
    </w:p>
    <w:p w14:paraId="26C550B8" w14:textId="77777777" w:rsidR="00415C1E" w:rsidRDefault="00415C1E" w:rsidP="00BF0719">
      <w:pPr>
        <w:autoSpaceDE w:val="0"/>
        <w:autoSpaceDN w:val="0"/>
        <w:adjustRightInd w:val="0"/>
        <w:spacing w:after="0"/>
        <w:rPr>
          <w:rFonts w:eastAsia="Calibri" w:cs="Times New Roman"/>
          <w:szCs w:val="24"/>
          <w:lang w:val="en-GB"/>
        </w:rPr>
      </w:pPr>
    </w:p>
    <w:p w14:paraId="7AB676FC" w14:textId="77777777" w:rsidR="00415C1E" w:rsidRDefault="00415C1E" w:rsidP="00BF0719">
      <w:pPr>
        <w:autoSpaceDE w:val="0"/>
        <w:autoSpaceDN w:val="0"/>
        <w:adjustRightInd w:val="0"/>
        <w:spacing w:after="0"/>
        <w:rPr>
          <w:rFonts w:eastAsia="Calibri" w:cs="Times New Roman"/>
          <w:szCs w:val="24"/>
          <w:lang w:val="en-GB"/>
        </w:rPr>
      </w:pPr>
    </w:p>
    <w:p w14:paraId="44FFA113" w14:textId="77777777" w:rsidR="00415C1E" w:rsidRDefault="00415C1E" w:rsidP="00BF0719">
      <w:pPr>
        <w:autoSpaceDE w:val="0"/>
        <w:autoSpaceDN w:val="0"/>
        <w:adjustRightInd w:val="0"/>
        <w:spacing w:after="0"/>
        <w:rPr>
          <w:rFonts w:eastAsia="Calibri" w:cs="Times New Roman"/>
          <w:szCs w:val="24"/>
          <w:lang w:val="en-GB"/>
        </w:rPr>
      </w:pPr>
    </w:p>
    <w:p w14:paraId="1DD335BD" w14:textId="77777777" w:rsidR="00415C1E" w:rsidRDefault="00415C1E" w:rsidP="00BF0719">
      <w:pPr>
        <w:autoSpaceDE w:val="0"/>
        <w:autoSpaceDN w:val="0"/>
        <w:adjustRightInd w:val="0"/>
        <w:spacing w:after="0"/>
        <w:rPr>
          <w:rFonts w:eastAsia="Calibri" w:cs="Times New Roman"/>
          <w:szCs w:val="24"/>
          <w:lang w:val="en-GB"/>
        </w:rPr>
      </w:pPr>
    </w:p>
    <w:p w14:paraId="4AC15359" w14:textId="77777777" w:rsidR="00415C1E" w:rsidRDefault="00415C1E" w:rsidP="00BF0719">
      <w:pPr>
        <w:autoSpaceDE w:val="0"/>
        <w:autoSpaceDN w:val="0"/>
        <w:adjustRightInd w:val="0"/>
        <w:spacing w:after="0"/>
        <w:rPr>
          <w:rFonts w:eastAsia="Calibri" w:cs="Times New Roman"/>
          <w:szCs w:val="24"/>
          <w:lang w:val="en-GB"/>
        </w:rPr>
      </w:pPr>
    </w:p>
    <w:p w14:paraId="75A7664E" w14:textId="77777777" w:rsidR="00415C1E" w:rsidRDefault="00415C1E" w:rsidP="00BF0719">
      <w:pPr>
        <w:autoSpaceDE w:val="0"/>
        <w:autoSpaceDN w:val="0"/>
        <w:adjustRightInd w:val="0"/>
        <w:spacing w:after="0"/>
        <w:rPr>
          <w:rFonts w:eastAsia="Calibri" w:cs="Times New Roman"/>
          <w:szCs w:val="24"/>
          <w:lang w:val="en-GB"/>
        </w:rPr>
      </w:pPr>
    </w:p>
    <w:p w14:paraId="320CAA89" w14:textId="77777777" w:rsidR="00415C1E" w:rsidRDefault="00415C1E" w:rsidP="00BF0719">
      <w:pPr>
        <w:autoSpaceDE w:val="0"/>
        <w:autoSpaceDN w:val="0"/>
        <w:adjustRightInd w:val="0"/>
        <w:spacing w:after="0"/>
        <w:rPr>
          <w:rFonts w:eastAsia="Calibri" w:cs="Times New Roman"/>
          <w:szCs w:val="24"/>
          <w:lang w:val="en-GB"/>
        </w:rPr>
      </w:pPr>
    </w:p>
    <w:p w14:paraId="5E059DB1" w14:textId="791BBBB8" w:rsidR="00BF0719" w:rsidRPr="00DB47CD" w:rsidRDefault="00BF0719" w:rsidP="00BF0719">
      <w:pPr>
        <w:autoSpaceDE w:val="0"/>
        <w:autoSpaceDN w:val="0"/>
        <w:adjustRightInd w:val="0"/>
        <w:spacing w:after="0"/>
        <w:rPr>
          <w:rFonts w:eastAsia="Calibri" w:cs="Times New Roman"/>
          <w:szCs w:val="24"/>
          <w:lang w:val="en-GB"/>
        </w:rPr>
      </w:pPr>
      <w:r w:rsidRPr="00DB47CD">
        <w:rPr>
          <w:rFonts w:eastAsia="Calibri" w:cs="Times New Roman"/>
          <w:szCs w:val="24"/>
          <w:lang w:val="en-GB"/>
        </w:rPr>
        <w:t xml:space="preserve">Table 5 Breast cancer, ranges for median number of cases per 10,000 after </w:t>
      </w:r>
      <w:r w:rsidRPr="00DB47CD">
        <w:rPr>
          <w:rFonts w:eastAsia="Calibri" w:cs="Times New Roman"/>
          <w:bCs/>
          <w:szCs w:val="24"/>
          <w:lang w:val="en-GB"/>
        </w:rPr>
        <w:t xml:space="preserve">20 years </w:t>
      </w:r>
      <w:r w:rsidRPr="00DB47CD">
        <w:rPr>
          <w:rFonts w:eastAsia="Calibri" w:cs="Times New Roman"/>
          <w:szCs w:val="24"/>
          <w:lang w:val="en-GB"/>
        </w:rPr>
        <w:t xml:space="preserve">and during lifetime </w:t>
      </w:r>
      <w:r w:rsidRPr="00DB47CD">
        <w:rPr>
          <w:rFonts w:eastAsia="Calibri" w:cs="Times New Roman"/>
          <w:bCs/>
          <w:szCs w:val="24"/>
          <w:lang w:val="en-GB"/>
        </w:rPr>
        <w:t xml:space="preserve">based on German population data for </w:t>
      </w:r>
      <w:r w:rsidRPr="00DB47CD">
        <w:rPr>
          <w:rFonts w:eastAsia="Calibri" w:cs="Times New Roman"/>
          <w:szCs w:val="24"/>
          <w:lang w:val="en-GB"/>
        </w:rPr>
        <w:t xml:space="preserve">20–100 </w:t>
      </w:r>
      <w:proofErr w:type="spellStart"/>
      <w:r w:rsidRPr="00DB47CD">
        <w:rPr>
          <w:rFonts w:eastAsia="Calibri" w:cs="Times New Roman"/>
          <w:szCs w:val="24"/>
          <w:lang w:val="en-GB"/>
        </w:rPr>
        <w:t>mSv</w:t>
      </w:r>
      <w:proofErr w:type="spellEnd"/>
      <w:r w:rsidRPr="00DB47CD">
        <w:rPr>
          <w:rFonts w:eastAsia="Calibri" w:cs="Times New Roman"/>
          <w:szCs w:val="24"/>
          <w:lang w:val="en-GB"/>
        </w:rPr>
        <w:t xml:space="preserve"> effective dose range.</w:t>
      </w:r>
    </w:p>
    <w:p w14:paraId="187F8AA3" w14:textId="77777777" w:rsidR="00BF0719" w:rsidRPr="00DB47CD" w:rsidRDefault="00BF0719" w:rsidP="00BF0719">
      <w:pPr>
        <w:autoSpaceDE w:val="0"/>
        <w:autoSpaceDN w:val="0"/>
        <w:adjustRightInd w:val="0"/>
        <w:spacing w:after="0"/>
        <w:rPr>
          <w:rFonts w:eastAsia="Calibri" w:cs="Times New Roman"/>
          <w:szCs w:val="24"/>
          <w:lang w:val="en-GB"/>
        </w:rPr>
      </w:pPr>
    </w:p>
    <w:tbl>
      <w:tblPr>
        <w:tblW w:w="0" w:type="auto"/>
        <w:tblLayout w:type="fixed"/>
        <w:tblCellMar>
          <w:left w:w="70" w:type="dxa"/>
          <w:right w:w="70" w:type="dxa"/>
        </w:tblCellMar>
        <w:tblLook w:val="04A0" w:firstRow="1" w:lastRow="0" w:firstColumn="1" w:lastColumn="0" w:noHBand="0" w:noVBand="1"/>
      </w:tblPr>
      <w:tblGrid>
        <w:gridCol w:w="1700"/>
        <w:gridCol w:w="1586"/>
        <w:gridCol w:w="350"/>
        <w:gridCol w:w="968"/>
        <w:gridCol w:w="968"/>
        <w:gridCol w:w="313"/>
        <w:gridCol w:w="1623"/>
      </w:tblGrid>
      <w:tr w:rsidR="00BF0719" w:rsidRPr="0024579E" w14:paraId="0CFEAF08" w14:textId="77777777" w:rsidTr="004458DA">
        <w:trPr>
          <w:trHeight w:val="675"/>
        </w:trPr>
        <w:tc>
          <w:tcPr>
            <w:tcW w:w="1700" w:type="dxa"/>
            <w:tcBorders>
              <w:top w:val="single" w:sz="4" w:space="0" w:color="auto"/>
              <w:left w:val="single" w:sz="4" w:space="0" w:color="auto"/>
              <w:bottom w:val="single" w:sz="4" w:space="0" w:color="auto"/>
              <w:right w:val="nil"/>
            </w:tcBorders>
            <w:shd w:val="clear" w:color="000000" w:fill="FFFFFF"/>
            <w:noWrap/>
            <w:vAlign w:val="bottom"/>
            <w:hideMark/>
          </w:tcPr>
          <w:p w14:paraId="6FF641F0" w14:textId="77777777" w:rsidR="00BF0719" w:rsidRPr="00DB47CD" w:rsidRDefault="00BF0719" w:rsidP="00691599">
            <w:pPr>
              <w:spacing w:before="40" w:after="40"/>
              <w:rPr>
                <w:rFonts w:eastAsia="Times New Roman" w:cs="Times New Roman"/>
                <w:sz w:val="20"/>
                <w:lang w:val="en-GB" w:eastAsia="de-DE"/>
              </w:rPr>
            </w:pPr>
            <w:r w:rsidRPr="00DB47CD">
              <w:rPr>
                <w:rFonts w:eastAsia="Times New Roman" w:cs="Times New Roman"/>
                <w:sz w:val="20"/>
                <w:lang w:val="en-GB" w:eastAsia="de-DE"/>
              </w:rPr>
              <w:t> </w:t>
            </w:r>
          </w:p>
        </w:tc>
        <w:tc>
          <w:tcPr>
            <w:tcW w:w="1586" w:type="dxa"/>
            <w:tcBorders>
              <w:top w:val="single" w:sz="4" w:space="0" w:color="auto"/>
              <w:left w:val="nil"/>
              <w:bottom w:val="single" w:sz="4" w:space="0" w:color="auto"/>
              <w:right w:val="nil"/>
            </w:tcBorders>
            <w:shd w:val="clear" w:color="000000" w:fill="FFFFFF"/>
            <w:noWrap/>
            <w:vAlign w:val="bottom"/>
            <w:hideMark/>
          </w:tcPr>
          <w:p w14:paraId="554C9344"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 </w:t>
            </w:r>
          </w:p>
        </w:tc>
        <w:tc>
          <w:tcPr>
            <w:tcW w:w="4222" w:type="dxa"/>
            <w:gridSpan w:val="5"/>
            <w:tcBorders>
              <w:top w:val="single" w:sz="4" w:space="0" w:color="auto"/>
              <w:left w:val="nil"/>
              <w:bottom w:val="single" w:sz="4" w:space="0" w:color="auto"/>
              <w:right w:val="single" w:sz="4" w:space="0" w:color="000000"/>
            </w:tcBorders>
            <w:shd w:val="clear" w:color="000000" w:fill="FFFFFF"/>
            <w:vAlign w:val="bottom"/>
            <w:hideMark/>
          </w:tcPr>
          <w:p w14:paraId="75BA73F0"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szCs w:val="24"/>
                <w:lang w:val="en-GB" w:eastAsia="de-DE"/>
              </w:rPr>
              <w:t>Ranges for median numbers of cases per 10,000 (with 95% CI) after 20 years-at-risk since exposure and during lifetime simply converted (10,000 times risk) from the risks in column 2.</w:t>
            </w:r>
          </w:p>
        </w:tc>
      </w:tr>
      <w:tr w:rsidR="00BF0719" w:rsidRPr="00DB47CD" w14:paraId="51342419" w14:textId="77777777" w:rsidTr="00691599">
        <w:trPr>
          <w:trHeight w:val="315"/>
        </w:trPr>
        <w:tc>
          <w:tcPr>
            <w:tcW w:w="1700" w:type="dxa"/>
            <w:vMerge w:val="restart"/>
            <w:tcBorders>
              <w:top w:val="nil"/>
              <w:left w:val="single" w:sz="4" w:space="0" w:color="auto"/>
              <w:bottom w:val="single" w:sz="4" w:space="0" w:color="000000"/>
              <w:right w:val="nil"/>
            </w:tcBorders>
            <w:shd w:val="clear" w:color="000000" w:fill="FFFFFF"/>
            <w:vAlign w:val="center"/>
            <w:hideMark/>
          </w:tcPr>
          <w:p w14:paraId="218D8EAA" w14:textId="4351526E" w:rsidR="00BF0719" w:rsidRPr="00DB47CD" w:rsidRDefault="00BF0719" w:rsidP="00691599">
            <w:pPr>
              <w:spacing w:before="40" w:after="4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Age at exposure</w:t>
            </w:r>
            <w:r w:rsidR="00691599">
              <w:rPr>
                <w:rFonts w:eastAsia="Times New Roman" w:cs="Times New Roman"/>
                <w:color w:val="000000"/>
                <w:szCs w:val="24"/>
                <w:lang w:val="en-GB" w:eastAsia="de-DE"/>
              </w:rPr>
              <w:t>,</w:t>
            </w:r>
            <w:r w:rsidRPr="00DB47CD">
              <w:rPr>
                <w:rFonts w:eastAsia="Times New Roman" w:cs="Times New Roman"/>
                <w:color w:val="000000"/>
                <w:szCs w:val="24"/>
                <w:lang w:val="en-GB" w:eastAsia="de-DE"/>
              </w:rPr>
              <w:br/>
              <w:t>year</w:t>
            </w:r>
          </w:p>
        </w:tc>
        <w:tc>
          <w:tcPr>
            <w:tcW w:w="1586" w:type="dxa"/>
            <w:tcBorders>
              <w:top w:val="nil"/>
              <w:left w:val="nil"/>
              <w:bottom w:val="nil"/>
              <w:right w:val="nil"/>
            </w:tcBorders>
            <w:shd w:val="clear" w:color="000000" w:fill="FFFFFF"/>
            <w:noWrap/>
            <w:vAlign w:val="center"/>
            <w:hideMark/>
          </w:tcPr>
          <w:p w14:paraId="4EA6D18B" w14:textId="77777777" w:rsidR="00BF0719" w:rsidRPr="00DB47CD" w:rsidRDefault="00BF0719" w:rsidP="00691599">
            <w:pPr>
              <w:spacing w:before="40" w:after="4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Sex:</w:t>
            </w:r>
          </w:p>
        </w:tc>
        <w:tc>
          <w:tcPr>
            <w:tcW w:w="4222" w:type="dxa"/>
            <w:gridSpan w:val="5"/>
            <w:tcBorders>
              <w:top w:val="single" w:sz="4" w:space="0" w:color="auto"/>
              <w:left w:val="nil"/>
              <w:bottom w:val="nil"/>
              <w:right w:val="single" w:sz="4" w:space="0" w:color="000000"/>
            </w:tcBorders>
            <w:shd w:val="clear" w:color="000000" w:fill="FFFFFF"/>
            <w:noWrap/>
            <w:vAlign w:val="center"/>
            <w:hideMark/>
          </w:tcPr>
          <w:p w14:paraId="70C1ADC4" w14:textId="77777777" w:rsidR="00BF0719" w:rsidRPr="00DB47CD" w:rsidRDefault="00BF0719" w:rsidP="00691599">
            <w:pPr>
              <w:spacing w:before="40" w:after="4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Female</w:t>
            </w:r>
          </w:p>
        </w:tc>
      </w:tr>
      <w:tr w:rsidR="00BF0719" w:rsidRPr="00DB47CD" w14:paraId="7E8FB9A3" w14:textId="77777777" w:rsidTr="00691599">
        <w:trPr>
          <w:trHeight w:val="780"/>
        </w:trPr>
        <w:tc>
          <w:tcPr>
            <w:tcW w:w="1700" w:type="dxa"/>
            <w:vMerge/>
            <w:tcBorders>
              <w:top w:val="nil"/>
              <w:left w:val="single" w:sz="4" w:space="0" w:color="auto"/>
              <w:bottom w:val="single" w:sz="4" w:space="0" w:color="000000"/>
              <w:right w:val="nil"/>
            </w:tcBorders>
            <w:vAlign w:val="center"/>
            <w:hideMark/>
          </w:tcPr>
          <w:p w14:paraId="5859C280" w14:textId="77777777" w:rsidR="00BF0719" w:rsidRPr="00DB47CD" w:rsidRDefault="00BF0719" w:rsidP="00691599">
            <w:pPr>
              <w:spacing w:before="40" w:after="40"/>
              <w:jc w:val="center"/>
              <w:rPr>
                <w:rFonts w:eastAsia="Times New Roman" w:cs="Times New Roman"/>
                <w:color w:val="000000"/>
                <w:szCs w:val="24"/>
                <w:lang w:val="en-GB" w:eastAsia="de-DE"/>
              </w:rPr>
            </w:pPr>
          </w:p>
        </w:tc>
        <w:tc>
          <w:tcPr>
            <w:tcW w:w="1586" w:type="dxa"/>
            <w:tcBorders>
              <w:top w:val="nil"/>
              <w:left w:val="nil"/>
              <w:bottom w:val="single" w:sz="4" w:space="0" w:color="auto"/>
              <w:right w:val="nil"/>
            </w:tcBorders>
            <w:shd w:val="clear" w:color="000000" w:fill="FFFFFF"/>
            <w:noWrap/>
            <w:vAlign w:val="center"/>
            <w:hideMark/>
          </w:tcPr>
          <w:p w14:paraId="0687862A" w14:textId="77777777" w:rsidR="00BF0719" w:rsidRPr="00DB47CD" w:rsidRDefault="00BF0719" w:rsidP="00691599">
            <w:pPr>
              <w:spacing w:before="40" w:after="4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Effective dose:</w:t>
            </w:r>
          </w:p>
        </w:tc>
        <w:tc>
          <w:tcPr>
            <w:tcW w:w="2599" w:type="dxa"/>
            <w:gridSpan w:val="4"/>
            <w:tcBorders>
              <w:top w:val="nil"/>
              <w:left w:val="nil"/>
              <w:bottom w:val="single" w:sz="4" w:space="0" w:color="auto"/>
              <w:right w:val="nil"/>
            </w:tcBorders>
            <w:shd w:val="clear" w:color="000000" w:fill="FFFFFF"/>
            <w:noWrap/>
            <w:vAlign w:val="center"/>
            <w:hideMark/>
          </w:tcPr>
          <w:p w14:paraId="1832AEAF" w14:textId="77777777" w:rsidR="00BF0719" w:rsidRPr="00DB47CD" w:rsidRDefault="00BF0719" w:rsidP="00691599">
            <w:pPr>
              <w:spacing w:before="40" w:after="4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 xml:space="preserve">20 </w:t>
            </w:r>
            <w:proofErr w:type="spellStart"/>
            <w:r w:rsidRPr="00DB47CD">
              <w:rPr>
                <w:rFonts w:eastAsia="Times New Roman" w:cs="Times New Roman"/>
                <w:color w:val="000000"/>
                <w:szCs w:val="24"/>
                <w:lang w:val="en-GB" w:eastAsia="de-DE"/>
              </w:rPr>
              <w:t>mSv</w:t>
            </w:r>
            <w:proofErr w:type="spellEnd"/>
          </w:p>
        </w:tc>
        <w:tc>
          <w:tcPr>
            <w:tcW w:w="1623" w:type="dxa"/>
            <w:tcBorders>
              <w:top w:val="nil"/>
              <w:left w:val="nil"/>
              <w:bottom w:val="single" w:sz="4" w:space="0" w:color="auto"/>
              <w:right w:val="single" w:sz="4" w:space="0" w:color="auto"/>
            </w:tcBorders>
            <w:shd w:val="clear" w:color="000000" w:fill="FFFFFF"/>
            <w:noWrap/>
            <w:vAlign w:val="center"/>
            <w:hideMark/>
          </w:tcPr>
          <w:p w14:paraId="6B64369B" w14:textId="77777777" w:rsidR="00BF0719" w:rsidRPr="00DB47CD" w:rsidRDefault="00BF0719" w:rsidP="00691599">
            <w:pPr>
              <w:spacing w:before="40" w:after="40"/>
              <w:jc w:val="center"/>
              <w:rPr>
                <w:rFonts w:eastAsia="Times New Roman" w:cs="Times New Roman"/>
                <w:color w:val="000000"/>
                <w:szCs w:val="24"/>
                <w:lang w:val="en-GB" w:eastAsia="de-DE"/>
              </w:rPr>
            </w:pPr>
            <w:r w:rsidRPr="00DB47CD">
              <w:rPr>
                <w:rFonts w:eastAsia="Times New Roman" w:cs="Times New Roman"/>
                <w:color w:val="000000"/>
                <w:szCs w:val="24"/>
                <w:lang w:val="en-GB" w:eastAsia="de-DE"/>
              </w:rPr>
              <w:t xml:space="preserve">100 </w:t>
            </w:r>
            <w:proofErr w:type="spellStart"/>
            <w:r w:rsidRPr="00DB47CD">
              <w:rPr>
                <w:rFonts w:eastAsia="Times New Roman" w:cs="Times New Roman"/>
                <w:color w:val="000000"/>
                <w:szCs w:val="24"/>
                <w:lang w:val="en-GB" w:eastAsia="de-DE"/>
              </w:rPr>
              <w:t>mSv</w:t>
            </w:r>
            <w:proofErr w:type="spellEnd"/>
          </w:p>
        </w:tc>
      </w:tr>
      <w:tr w:rsidR="00BF0719" w:rsidRPr="00DB47CD" w14:paraId="0B317E4B" w14:textId="77777777" w:rsidTr="004458DA">
        <w:trPr>
          <w:trHeight w:val="227"/>
        </w:trPr>
        <w:tc>
          <w:tcPr>
            <w:tcW w:w="1700" w:type="dxa"/>
            <w:tcBorders>
              <w:top w:val="nil"/>
              <w:left w:val="single" w:sz="4" w:space="0" w:color="auto"/>
              <w:bottom w:val="nil"/>
              <w:right w:val="nil"/>
            </w:tcBorders>
            <w:shd w:val="clear" w:color="000000" w:fill="FFFFFF"/>
            <w:noWrap/>
            <w:vAlign w:val="bottom"/>
            <w:hideMark/>
          </w:tcPr>
          <w:p w14:paraId="6AD1A09E" w14:textId="4688F839" w:rsidR="00BF0719" w:rsidRPr="00DB47CD" w:rsidRDefault="00691599" w:rsidP="00691599">
            <w:pPr>
              <w:spacing w:before="40" w:after="40"/>
              <w:rPr>
                <w:rFonts w:eastAsia="Times New Roman" w:cs="Times New Roman"/>
                <w:color w:val="000000"/>
                <w:szCs w:val="24"/>
                <w:lang w:val="en-GB" w:eastAsia="de-DE"/>
              </w:rPr>
            </w:pPr>
            <w:r>
              <w:rPr>
                <w:rFonts w:eastAsia="Times New Roman" w:cs="Times New Roman"/>
                <w:color w:val="000000"/>
                <w:szCs w:val="24"/>
                <w:lang w:val="en-GB" w:eastAsia="de-DE"/>
              </w:rPr>
              <w:t>20 (</w:t>
            </w:r>
            <w:r w:rsidR="00BF0719" w:rsidRPr="00DB47CD">
              <w:rPr>
                <w:rFonts w:eastAsia="Times New Roman" w:cs="Times New Roman"/>
                <w:color w:val="000000"/>
                <w:szCs w:val="24"/>
                <w:lang w:val="en-GB" w:eastAsia="de-DE"/>
              </w:rPr>
              <w:t>Adult</w:t>
            </w:r>
            <w:r>
              <w:rPr>
                <w:rFonts w:eastAsia="Times New Roman" w:cs="Times New Roman"/>
                <w:color w:val="000000"/>
                <w:szCs w:val="24"/>
                <w:lang w:val="en-GB" w:eastAsia="de-DE"/>
              </w:rPr>
              <w:t>)</w:t>
            </w:r>
          </w:p>
        </w:tc>
        <w:tc>
          <w:tcPr>
            <w:tcW w:w="1936" w:type="dxa"/>
            <w:gridSpan w:val="2"/>
            <w:tcBorders>
              <w:top w:val="nil"/>
              <w:left w:val="nil"/>
              <w:bottom w:val="nil"/>
              <w:right w:val="nil"/>
            </w:tcBorders>
            <w:shd w:val="clear" w:color="000000" w:fill="FFFFFF"/>
            <w:noWrap/>
            <w:vAlign w:val="bottom"/>
            <w:hideMark/>
          </w:tcPr>
          <w:p w14:paraId="070BB7BA"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AR</w:t>
            </w:r>
            <w:r w:rsidRPr="00DB47CD">
              <w:rPr>
                <w:rFonts w:eastAsia="Times New Roman" w:cs="Times New Roman"/>
                <w:color w:val="000000"/>
                <w:szCs w:val="24"/>
                <w:vertAlign w:val="subscript"/>
                <w:lang w:val="en-GB" w:eastAsia="de-DE"/>
              </w:rPr>
              <w:t>20</w:t>
            </w:r>
          </w:p>
        </w:tc>
        <w:tc>
          <w:tcPr>
            <w:tcW w:w="1936" w:type="dxa"/>
            <w:gridSpan w:val="2"/>
            <w:tcBorders>
              <w:top w:val="single" w:sz="4" w:space="0" w:color="auto"/>
              <w:left w:val="nil"/>
              <w:bottom w:val="nil"/>
              <w:right w:val="nil"/>
            </w:tcBorders>
            <w:shd w:val="clear" w:color="000000" w:fill="FFFFFF"/>
            <w:noWrap/>
            <w:vAlign w:val="bottom"/>
          </w:tcPr>
          <w:p w14:paraId="67940474"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 xml:space="preserve"> 1 (0; 3)</w:t>
            </w:r>
          </w:p>
        </w:tc>
        <w:tc>
          <w:tcPr>
            <w:tcW w:w="1936" w:type="dxa"/>
            <w:gridSpan w:val="2"/>
            <w:tcBorders>
              <w:top w:val="single" w:sz="4" w:space="0" w:color="auto"/>
              <w:left w:val="nil"/>
              <w:bottom w:val="nil"/>
              <w:right w:val="single" w:sz="4" w:space="0" w:color="auto"/>
            </w:tcBorders>
            <w:shd w:val="clear" w:color="000000" w:fill="FFFFFF"/>
            <w:noWrap/>
            <w:vAlign w:val="bottom"/>
          </w:tcPr>
          <w:p w14:paraId="347BC496"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4 (1; 14)</w:t>
            </w:r>
          </w:p>
        </w:tc>
      </w:tr>
      <w:tr w:rsidR="00BF0719" w:rsidRPr="00DB47CD" w14:paraId="7394923B" w14:textId="77777777" w:rsidTr="004458DA">
        <w:trPr>
          <w:trHeight w:val="227"/>
        </w:trPr>
        <w:tc>
          <w:tcPr>
            <w:tcW w:w="1700" w:type="dxa"/>
            <w:tcBorders>
              <w:top w:val="nil"/>
              <w:left w:val="single" w:sz="4" w:space="0" w:color="auto"/>
              <w:bottom w:val="nil"/>
              <w:right w:val="nil"/>
            </w:tcBorders>
            <w:shd w:val="clear" w:color="000000" w:fill="FFFFFF"/>
            <w:noWrap/>
            <w:vAlign w:val="bottom"/>
            <w:hideMark/>
          </w:tcPr>
          <w:p w14:paraId="04C6C7E2"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 </w:t>
            </w:r>
          </w:p>
        </w:tc>
        <w:tc>
          <w:tcPr>
            <w:tcW w:w="1936" w:type="dxa"/>
            <w:gridSpan w:val="2"/>
            <w:tcBorders>
              <w:top w:val="nil"/>
              <w:left w:val="nil"/>
              <w:bottom w:val="nil"/>
              <w:right w:val="nil"/>
            </w:tcBorders>
            <w:shd w:val="clear" w:color="000000" w:fill="FFFFFF"/>
            <w:noWrap/>
            <w:vAlign w:val="bottom"/>
            <w:hideMark/>
          </w:tcPr>
          <w:p w14:paraId="58EEEB43"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LAR</w:t>
            </w:r>
          </w:p>
        </w:tc>
        <w:tc>
          <w:tcPr>
            <w:tcW w:w="1936" w:type="dxa"/>
            <w:gridSpan w:val="2"/>
            <w:tcBorders>
              <w:top w:val="nil"/>
              <w:left w:val="nil"/>
              <w:bottom w:val="nil"/>
              <w:right w:val="nil"/>
            </w:tcBorders>
            <w:shd w:val="clear" w:color="000000" w:fill="FFFFFF"/>
            <w:noWrap/>
            <w:vAlign w:val="bottom"/>
          </w:tcPr>
          <w:p w14:paraId="60C45217"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13 (4; 42)</w:t>
            </w:r>
          </w:p>
        </w:tc>
        <w:tc>
          <w:tcPr>
            <w:tcW w:w="1936" w:type="dxa"/>
            <w:gridSpan w:val="2"/>
            <w:tcBorders>
              <w:top w:val="nil"/>
              <w:left w:val="nil"/>
              <w:bottom w:val="nil"/>
              <w:right w:val="single" w:sz="4" w:space="0" w:color="auto"/>
            </w:tcBorders>
            <w:shd w:val="clear" w:color="000000" w:fill="FFFFFF"/>
            <w:noWrap/>
            <w:vAlign w:val="bottom"/>
          </w:tcPr>
          <w:p w14:paraId="668E13A5"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65 (20; 211)</w:t>
            </w:r>
          </w:p>
        </w:tc>
      </w:tr>
      <w:tr w:rsidR="00BF0719" w:rsidRPr="00DB47CD" w14:paraId="3FE0C05E" w14:textId="77777777" w:rsidTr="004458DA">
        <w:trPr>
          <w:trHeight w:val="227"/>
        </w:trPr>
        <w:tc>
          <w:tcPr>
            <w:tcW w:w="1700" w:type="dxa"/>
            <w:tcBorders>
              <w:top w:val="nil"/>
              <w:left w:val="single" w:sz="4" w:space="0" w:color="auto"/>
              <w:bottom w:val="nil"/>
              <w:right w:val="nil"/>
            </w:tcBorders>
            <w:shd w:val="clear" w:color="000000" w:fill="FFFFFF"/>
            <w:noWrap/>
            <w:vAlign w:val="bottom"/>
            <w:hideMark/>
          </w:tcPr>
          <w:p w14:paraId="25BAD3DA"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 </w:t>
            </w:r>
          </w:p>
        </w:tc>
        <w:tc>
          <w:tcPr>
            <w:tcW w:w="2904" w:type="dxa"/>
            <w:gridSpan w:val="3"/>
            <w:tcBorders>
              <w:top w:val="nil"/>
              <w:left w:val="nil"/>
              <w:bottom w:val="nil"/>
              <w:right w:val="nil"/>
            </w:tcBorders>
            <w:shd w:val="clear" w:color="000000" w:fill="FFFFFF"/>
            <w:noWrap/>
            <w:vAlign w:val="bottom"/>
            <w:hideMark/>
          </w:tcPr>
          <w:p w14:paraId="0B5E13C3"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BR</w:t>
            </w:r>
            <w:r w:rsidRPr="00DB47CD">
              <w:rPr>
                <w:rFonts w:eastAsia="Times New Roman" w:cs="Times New Roman"/>
                <w:color w:val="000000"/>
                <w:szCs w:val="24"/>
                <w:vertAlign w:val="subscript"/>
                <w:lang w:val="en-GB" w:eastAsia="de-DE"/>
              </w:rPr>
              <w:t>20</w:t>
            </w:r>
          </w:p>
        </w:tc>
        <w:tc>
          <w:tcPr>
            <w:tcW w:w="2904" w:type="dxa"/>
            <w:gridSpan w:val="3"/>
            <w:tcBorders>
              <w:top w:val="nil"/>
              <w:left w:val="nil"/>
              <w:bottom w:val="nil"/>
              <w:right w:val="single" w:sz="4" w:space="0" w:color="000000"/>
            </w:tcBorders>
            <w:shd w:val="clear" w:color="000000" w:fill="FFFFFF"/>
            <w:noWrap/>
            <w:vAlign w:val="bottom"/>
          </w:tcPr>
          <w:p w14:paraId="3328D0D8"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53 (45; 62)</w:t>
            </w:r>
          </w:p>
        </w:tc>
      </w:tr>
      <w:tr w:rsidR="00BF0719" w:rsidRPr="00DB47CD" w14:paraId="12367315" w14:textId="77777777" w:rsidTr="004458DA">
        <w:trPr>
          <w:trHeight w:val="227"/>
        </w:trPr>
        <w:tc>
          <w:tcPr>
            <w:tcW w:w="1700" w:type="dxa"/>
            <w:tcBorders>
              <w:top w:val="nil"/>
              <w:left w:val="single" w:sz="4" w:space="0" w:color="auto"/>
              <w:bottom w:val="single" w:sz="4" w:space="0" w:color="auto"/>
              <w:right w:val="nil"/>
            </w:tcBorders>
            <w:shd w:val="clear" w:color="000000" w:fill="FFFFFF"/>
            <w:noWrap/>
            <w:vAlign w:val="bottom"/>
            <w:hideMark/>
          </w:tcPr>
          <w:p w14:paraId="2C409E15"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 </w:t>
            </w:r>
          </w:p>
        </w:tc>
        <w:tc>
          <w:tcPr>
            <w:tcW w:w="2904" w:type="dxa"/>
            <w:gridSpan w:val="3"/>
            <w:tcBorders>
              <w:top w:val="nil"/>
              <w:left w:val="nil"/>
              <w:bottom w:val="single" w:sz="4" w:space="0" w:color="auto"/>
              <w:right w:val="nil"/>
            </w:tcBorders>
            <w:shd w:val="clear" w:color="000000" w:fill="FFFFFF"/>
            <w:noWrap/>
            <w:vAlign w:val="bottom"/>
            <w:hideMark/>
          </w:tcPr>
          <w:p w14:paraId="45FD4D7E"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LBR</w:t>
            </w:r>
          </w:p>
        </w:tc>
        <w:tc>
          <w:tcPr>
            <w:tcW w:w="2904" w:type="dxa"/>
            <w:gridSpan w:val="3"/>
            <w:tcBorders>
              <w:top w:val="nil"/>
              <w:left w:val="nil"/>
              <w:bottom w:val="single" w:sz="4" w:space="0" w:color="auto"/>
              <w:right w:val="single" w:sz="4" w:space="0" w:color="000000"/>
            </w:tcBorders>
            <w:shd w:val="clear" w:color="000000" w:fill="FFFFFF"/>
            <w:noWrap/>
            <w:vAlign w:val="bottom"/>
          </w:tcPr>
          <w:p w14:paraId="2192A7A7"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1235 (1161; 1313)</w:t>
            </w:r>
          </w:p>
        </w:tc>
      </w:tr>
      <w:tr w:rsidR="00BF0719" w:rsidRPr="00DB47CD" w14:paraId="6A7160DB" w14:textId="77777777" w:rsidTr="004458DA">
        <w:trPr>
          <w:trHeight w:val="113"/>
        </w:trPr>
        <w:tc>
          <w:tcPr>
            <w:tcW w:w="1700" w:type="dxa"/>
            <w:tcBorders>
              <w:top w:val="nil"/>
              <w:left w:val="single" w:sz="4" w:space="0" w:color="auto"/>
              <w:bottom w:val="nil"/>
              <w:right w:val="nil"/>
            </w:tcBorders>
            <w:shd w:val="clear" w:color="000000" w:fill="FFFFFF"/>
            <w:noWrap/>
            <w:vAlign w:val="bottom"/>
            <w:hideMark/>
          </w:tcPr>
          <w:p w14:paraId="4DE9B60F" w14:textId="67B3F66D" w:rsidR="00BF0719" w:rsidRPr="00DB47CD" w:rsidRDefault="00691599" w:rsidP="00691599">
            <w:pPr>
              <w:spacing w:before="40" w:after="40"/>
              <w:rPr>
                <w:rFonts w:eastAsia="Times New Roman" w:cs="Times New Roman"/>
                <w:color w:val="000000"/>
                <w:szCs w:val="24"/>
                <w:lang w:val="en-GB" w:eastAsia="de-DE"/>
              </w:rPr>
            </w:pPr>
            <w:r>
              <w:rPr>
                <w:rFonts w:eastAsia="Times New Roman" w:cs="Times New Roman"/>
                <w:color w:val="000000"/>
                <w:szCs w:val="24"/>
                <w:lang w:val="en-GB" w:eastAsia="de-DE"/>
              </w:rPr>
              <w:t>10 (</w:t>
            </w:r>
            <w:r w:rsidR="00BF0719" w:rsidRPr="00DB47CD">
              <w:rPr>
                <w:rFonts w:eastAsia="Times New Roman" w:cs="Times New Roman"/>
                <w:color w:val="000000"/>
                <w:szCs w:val="24"/>
                <w:lang w:val="en-GB" w:eastAsia="de-DE"/>
              </w:rPr>
              <w:t>Child</w:t>
            </w:r>
            <w:r>
              <w:rPr>
                <w:rFonts w:eastAsia="Times New Roman" w:cs="Times New Roman"/>
                <w:color w:val="000000"/>
                <w:szCs w:val="24"/>
                <w:lang w:val="en-GB" w:eastAsia="de-DE"/>
              </w:rPr>
              <w:t>)</w:t>
            </w:r>
          </w:p>
        </w:tc>
        <w:tc>
          <w:tcPr>
            <w:tcW w:w="1936" w:type="dxa"/>
            <w:gridSpan w:val="2"/>
            <w:tcBorders>
              <w:top w:val="nil"/>
              <w:left w:val="nil"/>
              <w:bottom w:val="nil"/>
              <w:right w:val="nil"/>
            </w:tcBorders>
            <w:shd w:val="clear" w:color="000000" w:fill="FFFFFF"/>
            <w:noWrap/>
            <w:vAlign w:val="bottom"/>
            <w:hideMark/>
          </w:tcPr>
          <w:p w14:paraId="19FA3797"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AR</w:t>
            </w:r>
            <w:r w:rsidRPr="00DB47CD">
              <w:rPr>
                <w:rFonts w:eastAsia="Times New Roman" w:cs="Times New Roman"/>
                <w:color w:val="000000"/>
                <w:szCs w:val="24"/>
                <w:vertAlign w:val="subscript"/>
                <w:lang w:val="en-GB" w:eastAsia="de-DE"/>
              </w:rPr>
              <w:t>20</w:t>
            </w:r>
          </w:p>
        </w:tc>
        <w:tc>
          <w:tcPr>
            <w:tcW w:w="1936" w:type="dxa"/>
            <w:gridSpan w:val="2"/>
            <w:tcBorders>
              <w:top w:val="nil"/>
              <w:left w:val="nil"/>
              <w:bottom w:val="nil"/>
              <w:right w:val="nil"/>
            </w:tcBorders>
            <w:shd w:val="clear" w:color="000000" w:fill="FFFFFF"/>
            <w:noWrap/>
            <w:vAlign w:val="bottom"/>
          </w:tcPr>
          <w:p w14:paraId="2F33630A"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0 (0; 2)</w:t>
            </w:r>
          </w:p>
        </w:tc>
        <w:tc>
          <w:tcPr>
            <w:tcW w:w="1936" w:type="dxa"/>
            <w:gridSpan w:val="2"/>
            <w:tcBorders>
              <w:top w:val="nil"/>
              <w:left w:val="nil"/>
              <w:bottom w:val="nil"/>
              <w:right w:val="single" w:sz="4" w:space="0" w:color="auto"/>
            </w:tcBorders>
            <w:shd w:val="clear" w:color="000000" w:fill="FFFFFF"/>
            <w:noWrap/>
            <w:vAlign w:val="bottom"/>
          </w:tcPr>
          <w:p w14:paraId="616B3F89"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2 (1; 8)</w:t>
            </w:r>
          </w:p>
        </w:tc>
      </w:tr>
      <w:tr w:rsidR="00BF0719" w:rsidRPr="00DB47CD" w14:paraId="733B9127" w14:textId="77777777" w:rsidTr="004458DA">
        <w:trPr>
          <w:trHeight w:val="227"/>
        </w:trPr>
        <w:tc>
          <w:tcPr>
            <w:tcW w:w="1700" w:type="dxa"/>
            <w:tcBorders>
              <w:top w:val="nil"/>
              <w:left w:val="single" w:sz="4" w:space="0" w:color="auto"/>
              <w:bottom w:val="nil"/>
              <w:right w:val="nil"/>
            </w:tcBorders>
            <w:shd w:val="clear" w:color="000000" w:fill="FFFFFF"/>
            <w:noWrap/>
            <w:vAlign w:val="bottom"/>
            <w:hideMark/>
          </w:tcPr>
          <w:p w14:paraId="1A9D9597"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 </w:t>
            </w:r>
          </w:p>
        </w:tc>
        <w:tc>
          <w:tcPr>
            <w:tcW w:w="1936" w:type="dxa"/>
            <w:gridSpan w:val="2"/>
            <w:tcBorders>
              <w:top w:val="nil"/>
              <w:left w:val="nil"/>
              <w:bottom w:val="nil"/>
              <w:right w:val="nil"/>
            </w:tcBorders>
            <w:shd w:val="clear" w:color="000000" w:fill="FFFFFF"/>
            <w:noWrap/>
            <w:vAlign w:val="bottom"/>
            <w:hideMark/>
          </w:tcPr>
          <w:p w14:paraId="2A808824"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LAR</w:t>
            </w:r>
          </w:p>
        </w:tc>
        <w:tc>
          <w:tcPr>
            <w:tcW w:w="1936" w:type="dxa"/>
            <w:gridSpan w:val="2"/>
            <w:tcBorders>
              <w:top w:val="nil"/>
              <w:left w:val="nil"/>
              <w:bottom w:val="nil"/>
              <w:right w:val="nil"/>
            </w:tcBorders>
            <w:shd w:val="clear" w:color="000000" w:fill="FFFFFF"/>
            <w:noWrap/>
            <w:vAlign w:val="bottom"/>
          </w:tcPr>
          <w:p w14:paraId="1FF38F18"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22 (7; 69)</w:t>
            </w:r>
          </w:p>
        </w:tc>
        <w:tc>
          <w:tcPr>
            <w:tcW w:w="1936" w:type="dxa"/>
            <w:gridSpan w:val="2"/>
            <w:tcBorders>
              <w:top w:val="nil"/>
              <w:left w:val="nil"/>
              <w:bottom w:val="nil"/>
              <w:right w:val="single" w:sz="4" w:space="0" w:color="auto"/>
            </w:tcBorders>
            <w:shd w:val="clear" w:color="000000" w:fill="FFFFFF"/>
            <w:noWrap/>
            <w:vAlign w:val="bottom"/>
          </w:tcPr>
          <w:p w14:paraId="5DC5402B"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109 (34; 345)</w:t>
            </w:r>
          </w:p>
        </w:tc>
      </w:tr>
      <w:tr w:rsidR="00BF0719" w:rsidRPr="00DB47CD" w14:paraId="371A67DC" w14:textId="77777777" w:rsidTr="004458DA">
        <w:trPr>
          <w:trHeight w:val="227"/>
        </w:trPr>
        <w:tc>
          <w:tcPr>
            <w:tcW w:w="1700" w:type="dxa"/>
            <w:tcBorders>
              <w:top w:val="nil"/>
              <w:left w:val="single" w:sz="4" w:space="0" w:color="auto"/>
              <w:bottom w:val="nil"/>
              <w:right w:val="nil"/>
            </w:tcBorders>
            <w:shd w:val="clear" w:color="000000" w:fill="FFFFFF"/>
            <w:noWrap/>
            <w:vAlign w:val="bottom"/>
            <w:hideMark/>
          </w:tcPr>
          <w:p w14:paraId="4F3C75B6"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 </w:t>
            </w:r>
          </w:p>
        </w:tc>
        <w:tc>
          <w:tcPr>
            <w:tcW w:w="2904" w:type="dxa"/>
            <w:gridSpan w:val="3"/>
            <w:tcBorders>
              <w:top w:val="nil"/>
              <w:left w:val="nil"/>
              <w:bottom w:val="nil"/>
              <w:right w:val="nil"/>
            </w:tcBorders>
            <w:shd w:val="clear" w:color="000000" w:fill="FFFFFF"/>
            <w:noWrap/>
            <w:vAlign w:val="bottom"/>
            <w:hideMark/>
          </w:tcPr>
          <w:p w14:paraId="5D7C9A5C"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BR</w:t>
            </w:r>
            <w:r w:rsidRPr="00DB47CD">
              <w:rPr>
                <w:rFonts w:eastAsia="Times New Roman" w:cs="Times New Roman"/>
                <w:color w:val="000000"/>
                <w:szCs w:val="24"/>
                <w:vertAlign w:val="subscript"/>
                <w:lang w:val="en-GB" w:eastAsia="de-DE"/>
              </w:rPr>
              <w:t>20</w:t>
            </w:r>
          </w:p>
        </w:tc>
        <w:tc>
          <w:tcPr>
            <w:tcW w:w="2904" w:type="dxa"/>
            <w:gridSpan w:val="3"/>
            <w:tcBorders>
              <w:top w:val="nil"/>
              <w:left w:val="nil"/>
              <w:bottom w:val="nil"/>
              <w:right w:val="single" w:sz="4" w:space="0" w:color="000000"/>
            </w:tcBorders>
            <w:shd w:val="clear" w:color="000000" w:fill="FFFFFF"/>
            <w:noWrap/>
            <w:vAlign w:val="bottom"/>
          </w:tcPr>
          <w:p w14:paraId="103AB40F"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7 (5; 10)</w:t>
            </w:r>
          </w:p>
        </w:tc>
      </w:tr>
      <w:tr w:rsidR="00BF0719" w:rsidRPr="00DB47CD" w14:paraId="1BECC295" w14:textId="77777777" w:rsidTr="004458DA">
        <w:trPr>
          <w:trHeight w:val="227"/>
        </w:trPr>
        <w:tc>
          <w:tcPr>
            <w:tcW w:w="1700" w:type="dxa"/>
            <w:tcBorders>
              <w:top w:val="nil"/>
              <w:left w:val="single" w:sz="4" w:space="0" w:color="auto"/>
              <w:bottom w:val="single" w:sz="4" w:space="0" w:color="auto"/>
              <w:right w:val="nil"/>
            </w:tcBorders>
            <w:shd w:val="clear" w:color="000000" w:fill="FFFFFF"/>
            <w:noWrap/>
            <w:vAlign w:val="bottom"/>
            <w:hideMark/>
          </w:tcPr>
          <w:p w14:paraId="0B0F368C"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 </w:t>
            </w:r>
          </w:p>
        </w:tc>
        <w:tc>
          <w:tcPr>
            <w:tcW w:w="2904" w:type="dxa"/>
            <w:gridSpan w:val="3"/>
            <w:tcBorders>
              <w:top w:val="nil"/>
              <w:left w:val="nil"/>
              <w:bottom w:val="single" w:sz="4" w:space="0" w:color="auto"/>
              <w:right w:val="nil"/>
            </w:tcBorders>
            <w:shd w:val="clear" w:color="000000" w:fill="FFFFFF"/>
            <w:noWrap/>
            <w:vAlign w:val="bottom"/>
            <w:hideMark/>
          </w:tcPr>
          <w:p w14:paraId="61AC413E"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LBR</w:t>
            </w:r>
          </w:p>
        </w:tc>
        <w:tc>
          <w:tcPr>
            <w:tcW w:w="2904" w:type="dxa"/>
            <w:gridSpan w:val="3"/>
            <w:tcBorders>
              <w:top w:val="nil"/>
              <w:left w:val="nil"/>
              <w:bottom w:val="single" w:sz="4" w:space="0" w:color="auto"/>
              <w:right w:val="single" w:sz="4" w:space="0" w:color="000000"/>
            </w:tcBorders>
            <w:shd w:val="clear" w:color="000000" w:fill="FFFFFF"/>
            <w:noWrap/>
            <w:vAlign w:val="bottom"/>
          </w:tcPr>
          <w:p w14:paraId="284FE40E"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1234 (1160; 1312)</w:t>
            </w:r>
          </w:p>
        </w:tc>
      </w:tr>
      <w:tr w:rsidR="00BF0719" w:rsidRPr="00DB47CD" w14:paraId="149101D8" w14:textId="77777777" w:rsidTr="004458DA">
        <w:trPr>
          <w:trHeight w:val="227"/>
        </w:trPr>
        <w:tc>
          <w:tcPr>
            <w:tcW w:w="1700" w:type="dxa"/>
            <w:tcBorders>
              <w:top w:val="nil"/>
              <w:left w:val="single" w:sz="4" w:space="0" w:color="auto"/>
              <w:bottom w:val="nil"/>
              <w:right w:val="nil"/>
            </w:tcBorders>
            <w:shd w:val="clear" w:color="000000" w:fill="FFFFFF"/>
            <w:noWrap/>
            <w:vAlign w:val="bottom"/>
            <w:hideMark/>
          </w:tcPr>
          <w:p w14:paraId="64F18B45" w14:textId="32795A26" w:rsidR="00BF0719" w:rsidRPr="00DB47CD" w:rsidRDefault="00691599" w:rsidP="00691599">
            <w:pPr>
              <w:spacing w:before="40" w:after="40"/>
              <w:rPr>
                <w:rFonts w:eastAsia="Times New Roman" w:cs="Times New Roman"/>
                <w:color w:val="000000"/>
                <w:szCs w:val="24"/>
                <w:lang w:val="en-GB" w:eastAsia="de-DE"/>
              </w:rPr>
            </w:pPr>
            <w:r>
              <w:rPr>
                <w:rFonts w:eastAsia="Times New Roman" w:cs="Times New Roman"/>
                <w:color w:val="000000"/>
                <w:szCs w:val="24"/>
                <w:lang w:val="en-GB" w:eastAsia="de-DE"/>
              </w:rPr>
              <w:t>1 (</w:t>
            </w:r>
            <w:r w:rsidR="00BF0719" w:rsidRPr="00DB47CD">
              <w:rPr>
                <w:rFonts w:eastAsia="Times New Roman" w:cs="Times New Roman"/>
                <w:color w:val="000000"/>
                <w:szCs w:val="24"/>
                <w:lang w:val="en-GB" w:eastAsia="de-DE"/>
              </w:rPr>
              <w:t>Infant</w:t>
            </w:r>
            <w:r>
              <w:rPr>
                <w:rFonts w:eastAsia="Times New Roman" w:cs="Times New Roman"/>
                <w:color w:val="000000"/>
                <w:szCs w:val="24"/>
                <w:lang w:val="en-GB" w:eastAsia="de-DE"/>
              </w:rPr>
              <w:t>)</w:t>
            </w:r>
          </w:p>
        </w:tc>
        <w:tc>
          <w:tcPr>
            <w:tcW w:w="1936" w:type="dxa"/>
            <w:gridSpan w:val="2"/>
            <w:tcBorders>
              <w:top w:val="nil"/>
              <w:left w:val="nil"/>
              <w:bottom w:val="nil"/>
              <w:right w:val="nil"/>
            </w:tcBorders>
            <w:shd w:val="clear" w:color="000000" w:fill="FFFFFF"/>
            <w:noWrap/>
            <w:vAlign w:val="bottom"/>
            <w:hideMark/>
          </w:tcPr>
          <w:p w14:paraId="2178B84D"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szCs w:val="24"/>
                <w:lang w:val="en-GB" w:eastAsia="de-DE"/>
              </w:rPr>
              <w:t>AR</w:t>
            </w:r>
            <w:r w:rsidRPr="00DB47CD">
              <w:rPr>
                <w:rFonts w:eastAsia="Times New Roman" w:cs="Times New Roman"/>
                <w:szCs w:val="24"/>
                <w:vertAlign w:val="subscript"/>
                <w:lang w:val="en-GB" w:eastAsia="de-DE"/>
              </w:rPr>
              <w:t>20</w:t>
            </w:r>
          </w:p>
        </w:tc>
        <w:tc>
          <w:tcPr>
            <w:tcW w:w="1936" w:type="dxa"/>
            <w:gridSpan w:val="2"/>
            <w:tcBorders>
              <w:top w:val="nil"/>
              <w:left w:val="nil"/>
              <w:bottom w:val="nil"/>
              <w:right w:val="nil"/>
            </w:tcBorders>
            <w:shd w:val="clear" w:color="000000" w:fill="FFFFFF"/>
            <w:noWrap/>
            <w:vAlign w:val="bottom"/>
          </w:tcPr>
          <w:p w14:paraId="2F431A78"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w:t>
            </w:r>
          </w:p>
        </w:tc>
        <w:tc>
          <w:tcPr>
            <w:tcW w:w="1936" w:type="dxa"/>
            <w:gridSpan w:val="2"/>
            <w:tcBorders>
              <w:top w:val="nil"/>
              <w:left w:val="nil"/>
              <w:bottom w:val="nil"/>
              <w:right w:val="single" w:sz="4" w:space="0" w:color="auto"/>
            </w:tcBorders>
            <w:shd w:val="clear" w:color="000000" w:fill="FFFFFF"/>
            <w:noWrap/>
            <w:vAlign w:val="bottom"/>
          </w:tcPr>
          <w:p w14:paraId="3C5B45C9"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w:t>
            </w:r>
          </w:p>
        </w:tc>
      </w:tr>
      <w:tr w:rsidR="00BF0719" w:rsidRPr="00DB47CD" w14:paraId="37A9AEB0" w14:textId="77777777" w:rsidTr="004458DA">
        <w:trPr>
          <w:trHeight w:val="227"/>
        </w:trPr>
        <w:tc>
          <w:tcPr>
            <w:tcW w:w="1700" w:type="dxa"/>
            <w:tcBorders>
              <w:top w:val="nil"/>
              <w:left w:val="single" w:sz="4" w:space="0" w:color="auto"/>
              <w:bottom w:val="nil"/>
              <w:right w:val="nil"/>
            </w:tcBorders>
            <w:shd w:val="clear" w:color="000000" w:fill="FFFFFF"/>
            <w:noWrap/>
            <w:vAlign w:val="bottom"/>
            <w:hideMark/>
          </w:tcPr>
          <w:p w14:paraId="1A007C6F"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 </w:t>
            </w:r>
          </w:p>
        </w:tc>
        <w:tc>
          <w:tcPr>
            <w:tcW w:w="1936" w:type="dxa"/>
            <w:gridSpan w:val="2"/>
            <w:tcBorders>
              <w:top w:val="nil"/>
              <w:left w:val="nil"/>
              <w:bottom w:val="nil"/>
              <w:right w:val="nil"/>
            </w:tcBorders>
            <w:shd w:val="clear" w:color="000000" w:fill="FFFFFF"/>
            <w:noWrap/>
            <w:vAlign w:val="bottom"/>
            <w:hideMark/>
          </w:tcPr>
          <w:p w14:paraId="1FB2744F"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LAR</w:t>
            </w:r>
          </w:p>
        </w:tc>
        <w:tc>
          <w:tcPr>
            <w:tcW w:w="1936" w:type="dxa"/>
            <w:gridSpan w:val="2"/>
            <w:tcBorders>
              <w:top w:val="nil"/>
              <w:left w:val="nil"/>
              <w:bottom w:val="nil"/>
              <w:right w:val="nil"/>
            </w:tcBorders>
            <w:shd w:val="clear" w:color="000000" w:fill="FFFFFF"/>
            <w:noWrap/>
            <w:vAlign w:val="bottom"/>
          </w:tcPr>
          <w:p w14:paraId="1C24C734"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35 (10; 113)</w:t>
            </w:r>
          </w:p>
        </w:tc>
        <w:tc>
          <w:tcPr>
            <w:tcW w:w="1936" w:type="dxa"/>
            <w:gridSpan w:val="2"/>
            <w:tcBorders>
              <w:top w:val="nil"/>
              <w:left w:val="nil"/>
              <w:bottom w:val="nil"/>
              <w:right w:val="single" w:sz="4" w:space="0" w:color="auto"/>
            </w:tcBorders>
            <w:shd w:val="clear" w:color="000000" w:fill="FFFFFF"/>
            <w:noWrap/>
            <w:vAlign w:val="bottom"/>
          </w:tcPr>
          <w:p w14:paraId="49FADAD3"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173 (51; 566)</w:t>
            </w:r>
          </w:p>
        </w:tc>
      </w:tr>
      <w:tr w:rsidR="00BF0719" w:rsidRPr="00DB47CD" w14:paraId="27604E3B" w14:textId="77777777" w:rsidTr="004458DA">
        <w:trPr>
          <w:trHeight w:val="227"/>
        </w:trPr>
        <w:tc>
          <w:tcPr>
            <w:tcW w:w="1700" w:type="dxa"/>
            <w:tcBorders>
              <w:top w:val="nil"/>
              <w:left w:val="single" w:sz="4" w:space="0" w:color="auto"/>
              <w:bottom w:val="nil"/>
              <w:right w:val="nil"/>
            </w:tcBorders>
            <w:shd w:val="clear" w:color="000000" w:fill="FFFFFF"/>
            <w:noWrap/>
            <w:vAlign w:val="bottom"/>
            <w:hideMark/>
          </w:tcPr>
          <w:p w14:paraId="039F6E35"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 </w:t>
            </w:r>
          </w:p>
        </w:tc>
        <w:tc>
          <w:tcPr>
            <w:tcW w:w="2904" w:type="dxa"/>
            <w:gridSpan w:val="3"/>
            <w:tcBorders>
              <w:top w:val="nil"/>
              <w:left w:val="nil"/>
              <w:bottom w:val="nil"/>
              <w:right w:val="nil"/>
            </w:tcBorders>
            <w:shd w:val="clear" w:color="000000" w:fill="FFFFFF"/>
            <w:noWrap/>
            <w:vAlign w:val="bottom"/>
            <w:hideMark/>
          </w:tcPr>
          <w:p w14:paraId="165399AF"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szCs w:val="24"/>
                <w:lang w:val="en-GB" w:eastAsia="de-DE"/>
              </w:rPr>
              <w:t>BR</w:t>
            </w:r>
            <w:r w:rsidRPr="00DB47CD">
              <w:rPr>
                <w:rFonts w:eastAsia="Times New Roman" w:cs="Times New Roman"/>
                <w:szCs w:val="24"/>
                <w:vertAlign w:val="subscript"/>
                <w:lang w:val="en-GB" w:eastAsia="de-DE"/>
              </w:rPr>
              <w:t>20</w:t>
            </w:r>
          </w:p>
        </w:tc>
        <w:tc>
          <w:tcPr>
            <w:tcW w:w="2904" w:type="dxa"/>
            <w:gridSpan w:val="3"/>
            <w:tcBorders>
              <w:top w:val="nil"/>
              <w:left w:val="nil"/>
              <w:bottom w:val="nil"/>
              <w:right w:val="single" w:sz="4" w:space="0" w:color="000000"/>
            </w:tcBorders>
            <w:shd w:val="clear" w:color="000000" w:fill="FFFFFF"/>
            <w:noWrap/>
            <w:vAlign w:val="bottom"/>
          </w:tcPr>
          <w:p w14:paraId="203B8B6B"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0 (0; 1)</w:t>
            </w:r>
          </w:p>
        </w:tc>
      </w:tr>
      <w:tr w:rsidR="00BF0719" w:rsidRPr="00DB47CD" w14:paraId="73B99258" w14:textId="77777777" w:rsidTr="004458DA">
        <w:trPr>
          <w:trHeight w:val="227"/>
        </w:trPr>
        <w:tc>
          <w:tcPr>
            <w:tcW w:w="1700" w:type="dxa"/>
            <w:tcBorders>
              <w:top w:val="nil"/>
              <w:left w:val="single" w:sz="4" w:space="0" w:color="auto"/>
              <w:bottom w:val="single" w:sz="4" w:space="0" w:color="auto"/>
              <w:right w:val="nil"/>
            </w:tcBorders>
            <w:shd w:val="clear" w:color="000000" w:fill="FFFFFF"/>
            <w:noWrap/>
            <w:vAlign w:val="bottom"/>
            <w:hideMark/>
          </w:tcPr>
          <w:p w14:paraId="34A5F66A"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 </w:t>
            </w:r>
          </w:p>
        </w:tc>
        <w:tc>
          <w:tcPr>
            <w:tcW w:w="2904" w:type="dxa"/>
            <w:gridSpan w:val="3"/>
            <w:tcBorders>
              <w:top w:val="nil"/>
              <w:left w:val="nil"/>
              <w:bottom w:val="single" w:sz="4" w:space="0" w:color="auto"/>
              <w:right w:val="nil"/>
            </w:tcBorders>
            <w:shd w:val="clear" w:color="000000" w:fill="FFFFFF"/>
            <w:noWrap/>
            <w:vAlign w:val="bottom"/>
            <w:hideMark/>
          </w:tcPr>
          <w:p w14:paraId="5DEB1733"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LBR</w:t>
            </w:r>
          </w:p>
        </w:tc>
        <w:tc>
          <w:tcPr>
            <w:tcW w:w="2904" w:type="dxa"/>
            <w:gridSpan w:val="3"/>
            <w:tcBorders>
              <w:top w:val="nil"/>
              <w:left w:val="nil"/>
              <w:bottom w:val="single" w:sz="4" w:space="0" w:color="auto"/>
              <w:right w:val="single" w:sz="4" w:space="0" w:color="000000"/>
            </w:tcBorders>
            <w:shd w:val="clear" w:color="000000" w:fill="FFFFFF"/>
            <w:noWrap/>
            <w:vAlign w:val="bottom"/>
          </w:tcPr>
          <w:p w14:paraId="1EE5DF70" w14:textId="77777777" w:rsidR="00BF0719" w:rsidRPr="00DB47CD" w:rsidRDefault="00BF0719" w:rsidP="00691599">
            <w:pPr>
              <w:spacing w:before="40" w:after="40"/>
              <w:rPr>
                <w:rFonts w:eastAsia="Times New Roman" w:cs="Times New Roman"/>
                <w:color w:val="000000"/>
                <w:szCs w:val="24"/>
                <w:lang w:val="en-GB" w:eastAsia="de-DE"/>
              </w:rPr>
            </w:pPr>
            <w:r w:rsidRPr="00DB47CD">
              <w:rPr>
                <w:rFonts w:eastAsia="Times New Roman" w:cs="Times New Roman"/>
                <w:color w:val="000000"/>
                <w:szCs w:val="24"/>
                <w:lang w:val="en-GB" w:eastAsia="de-DE"/>
              </w:rPr>
              <w:t>1232 (1159; 1310)</w:t>
            </w:r>
          </w:p>
        </w:tc>
      </w:tr>
    </w:tbl>
    <w:p w14:paraId="31301ED3" w14:textId="77777777" w:rsidR="00BF0719" w:rsidRPr="00DB47CD" w:rsidRDefault="00BF0719" w:rsidP="00BF0719">
      <w:pPr>
        <w:autoSpaceDE w:val="0"/>
        <w:autoSpaceDN w:val="0"/>
        <w:adjustRightInd w:val="0"/>
        <w:spacing w:after="0"/>
        <w:rPr>
          <w:rFonts w:eastAsia="Calibri" w:cs="Times New Roman"/>
          <w:szCs w:val="24"/>
          <w:lang w:val="en-GB"/>
        </w:rPr>
      </w:pPr>
    </w:p>
    <w:p w14:paraId="77F99A4B" w14:textId="77777777" w:rsidR="009C10B3" w:rsidRPr="00DB47CD" w:rsidRDefault="009C10B3">
      <w:pPr>
        <w:rPr>
          <w:lang w:val="en-GB"/>
        </w:rPr>
      </w:pPr>
    </w:p>
    <w:sectPr w:rsidR="009C10B3" w:rsidRPr="00DB47CD">
      <w:footerReference w:type="default" r:id="rId18"/>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3B20CB" w16cid:durableId="1F4339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F8A55" w14:textId="77777777" w:rsidR="007228EB" w:rsidRDefault="007228EB">
      <w:pPr>
        <w:spacing w:after="0"/>
      </w:pPr>
      <w:r>
        <w:separator/>
      </w:r>
    </w:p>
  </w:endnote>
  <w:endnote w:type="continuationSeparator" w:id="0">
    <w:p w14:paraId="67719DD3" w14:textId="77777777" w:rsidR="007228EB" w:rsidRDefault="00722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radeGothicLTStd">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062749"/>
      <w:docPartObj>
        <w:docPartGallery w:val="Page Numbers (Bottom of Page)"/>
        <w:docPartUnique/>
      </w:docPartObj>
    </w:sdtPr>
    <w:sdtEndPr>
      <w:rPr>
        <w:noProof/>
      </w:rPr>
    </w:sdtEndPr>
    <w:sdtContent>
      <w:p w14:paraId="3065C8F7" w14:textId="368A14EF" w:rsidR="00B36812" w:rsidRDefault="00B36812">
        <w:pPr>
          <w:pStyle w:val="Fuzeile"/>
          <w:jc w:val="center"/>
        </w:pPr>
        <w:r>
          <w:fldChar w:fldCharType="begin"/>
        </w:r>
        <w:r>
          <w:instrText xml:space="preserve"> PAGE   \* MERGEFORMAT </w:instrText>
        </w:r>
        <w:r>
          <w:fldChar w:fldCharType="separate"/>
        </w:r>
        <w:r w:rsidR="00115897">
          <w:rPr>
            <w:noProof/>
          </w:rPr>
          <w:t>21</w:t>
        </w:r>
        <w:r>
          <w:rPr>
            <w:noProof/>
          </w:rPr>
          <w:fldChar w:fldCharType="end"/>
        </w:r>
      </w:p>
    </w:sdtContent>
  </w:sdt>
  <w:p w14:paraId="4BDB6E91" w14:textId="77777777" w:rsidR="00B36812" w:rsidRDefault="00B3681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EA854" w14:textId="77777777" w:rsidR="007228EB" w:rsidRDefault="007228EB">
      <w:pPr>
        <w:spacing w:after="0"/>
      </w:pPr>
      <w:r>
        <w:separator/>
      </w:r>
    </w:p>
  </w:footnote>
  <w:footnote w:type="continuationSeparator" w:id="0">
    <w:p w14:paraId="21A040A7" w14:textId="77777777" w:rsidR="007228EB" w:rsidRDefault="007228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1A7408"/>
    <w:multiLevelType w:val="hybridMultilevel"/>
    <w:tmpl w:val="5568CD04"/>
    <w:lvl w:ilvl="0" w:tplc="C3C631A4">
      <w:start w:val="1"/>
      <w:numFmt w:val="bullet"/>
      <w:lvlText w:val="•"/>
      <w:lvlJc w:val="left"/>
      <w:pPr>
        <w:tabs>
          <w:tab w:val="num" w:pos="720"/>
        </w:tabs>
        <w:ind w:left="720" w:hanging="360"/>
      </w:pPr>
      <w:rPr>
        <w:rFonts w:ascii="Arial" w:hAnsi="Arial" w:hint="default"/>
      </w:rPr>
    </w:lvl>
    <w:lvl w:ilvl="1" w:tplc="D9EA9D58" w:tentative="1">
      <w:start w:val="1"/>
      <w:numFmt w:val="bullet"/>
      <w:lvlText w:val="•"/>
      <w:lvlJc w:val="left"/>
      <w:pPr>
        <w:tabs>
          <w:tab w:val="num" w:pos="1440"/>
        </w:tabs>
        <w:ind w:left="1440" w:hanging="360"/>
      </w:pPr>
      <w:rPr>
        <w:rFonts w:ascii="Arial" w:hAnsi="Arial" w:hint="default"/>
      </w:rPr>
    </w:lvl>
    <w:lvl w:ilvl="2" w:tplc="B5421DCC" w:tentative="1">
      <w:start w:val="1"/>
      <w:numFmt w:val="bullet"/>
      <w:lvlText w:val="•"/>
      <w:lvlJc w:val="left"/>
      <w:pPr>
        <w:tabs>
          <w:tab w:val="num" w:pos="2160"/>
        </w:tabs>
        <w:ind w:left="2160" w:hanging="360"/>
      </w:pPr>
      <w:rPr>
        <w:rFonts w:ascii="Arial" w:hAnsi="Arial" w:hint="default"/>
      </w:rPr>
    </w:lvl>
    <w:lvl w:ilvl="3" w:tplc="791A6432" w:tentative="1">
      <w:start w:val="1"/>
      <w:numFmt w:val="bullet"/>
      <w:lvlText w:val="•"/>
      <w:lvlJc w:val="left"/>
      <w:pPr>
        <w:tabs>
          <w:tab w:val="num" w:pos="2880"/>
        </w:tabs>
        <w:ind w:left="2880" w:hanging="360"/>
      </w:pPr>
      <w:rPr>
        <w:rFonts w:ascii="Arial" w:hAnsi="Arial" w:hint="default"/>
      </w:rPr>
    </w:lvl>
    <w:lvl w:ilvl="4" w:tplc="6BEA871A" w:tentative="1">
      <w:start w:val="1"/>
      <w:numFmt w:val="bullet"/>
      <w:lvlText w:val="•"/>
      <w:lvlJc w:val="left"/>
      <w:pPr>
        <w:tabs>
          <w:tab w:val="num" w:pos="3600"/>
        </w:tabs>
        <w:ind w:left="3600" w:hanging="360"/>
      </w:pPr>
      <w:rPr>
        <w:rFonts w:ascii="Arial" w:hAnsi="Arial" w:hint="default"/>
      </w:rPr>
    </w:lvl>
    <w:lvl w:ilvl="5" w:tplc="55646FA8" w:tentative="1">
      <w:start w:val="1"/>
      <w:numFmt w:val="bullet"/>
      <w:lvlText w:val="•"/>
      <w:lvlJc w:val="left"/>
      <w:pPr>
        <w:tabs>
          <w:tab w:val="num" w:pos="4320"/>
        </w:tabs>
        <w:ind w:left="4320" w:hanging="360"/>
      </w:pPr>
      <w:rPr>
        <w:rFonts w:ascii="Arial" w:hAnsi="Arial" w:hint="default"/>
      </w:rPr>
    </w:lvl>
    <w:lvl w:ilvl="6" w:tplc="DA3483AC" w:tentative="1">
      <w:start w:val="1"/>
      <w:numFmt w:val="bullet"/>
      <w:lvlText w:val="•"/>
      <w:lvlJc w:val="left"/>
      <w:pPr>
        <w:tabs>
          <w:tab w:val="num" w:pos="5040"/>
        </w:tabs>
        <w:ind w:left="5040" w:hanging="360"/>
      </w:pPr>
      <w:rPr>
        <w:rFonts w:ascii="Arial" w:hAnsi="Arial" w:hint="default"/>
      </w:rPr>
    </w:lvl>
    <w:lvl w:ilvl="7" w:tplc="C3B816F6" w:tentative="1">
      <w:start w:val="1"/>
      <w:numFmt w:val="bullet"/>
      <w:lvlText w:val="•"/>
      <w:lvlJc w:val="left"/>
      <w:pPr>
        <w:tabs>
          <w:tab w:val="num" w:pos="5760"/>
        </w:tabs>
        <w:ind w:left="5760" w:hanging="360"/>
      </w:pPr>
      <w:rPr>
        <w:rFonts w:ascii="Arial" w:hAnsi="Arial" w:hint="default"/>
      </w:rPr>
    </w:lvl>
    <w:lvl w:ilvl="8" w:tplc="3DD6B7F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19"/>
    <w:rsid w:val="0001072E"/>
    <w:rsid w:val="00010F25"/>
    <w:rsid w:val="00017EA4"/>
    <w:rsid w:val="000426E8"/>
    <w:rsid w:val="00052BA4"/>
    <w:rsid w:val="000B7655"/>
    <w:rsid w:val="000E2760"/>
    <w:rsid w:val="00115897"/>
    <w:rsid w:val="00132E9F"/>
    <w:rsid w:val="001415FA"/>
    <w:rsid w:val="00146355"/>
    <w:rsid w:val="001C2711"/>
    <w:rsid w:val="00222332"/>
    <w:rsid w:val="0022786D"/>
    <w:rsid w:val="0024579E"/>
    <w:rsid w:val="002B011A"/>
    <w:rsid w:val="003B428D"/>
    <w:rsid w:val="00415C1E"/>
    <w:rsid w:val="00423110"/>
    <w:rsid w:val="00440C59"/>
    <w:rsid w:val="004458DA"/>
    <w:rsid w:val="00452DB2"/>
    <w:rsid w:val="00561DDB"/>
    <w:rsid w:val="005717D8"/>
    <w:rsid w:val="005B0B1E"/>
    <w:rsid w:val="005D4D51"/>
    <w:rsid w:val="00624DAC"/>
    <w:rsid w:val="00691599"/>
    <w:rsid w:val="00694779"/>
    <w:rsid w:val="006C2CC0"/>
    <w:rsid w:val="006E4FB4"/>
    <w:rsid w:val="007228EB"/>
    <w:rsid w:val="00737B36"/>
    <w:rsid w:val="007F3897"/>
    <w:rsid w:val="007F3B60"/>
    <w:rsid w:val="00915F27"/>
    <w:rsid w:val="00920186"/>
    <w:rsid w:val="009B75F3"/>
    <w:rsid w:val="009C10B3"/>
    <w:rsid w:val="00B36812"/>
    <w:rsid w:val="00BC0004"/>
    <w:rsid w:val="00BF0719"/>
    <w:rsid w:val="00C163B1"/>
    <w:rsid w:val="00C74CB0"/>
    <w:rsid w:val="00C86624"/>
    <w:rsid w:val="00CE0BE8"/>
    <w:rsid w:val="00D172E2"/>
    <w:rsid w:val="00DB47CD"/>
    <w:rsid w:val="00E3208E"/>
    <w:rsid w:val="00EC2D18"/>
    <w:rsid w:val="00EF211D"/>
    <w:rsid w:val="00FF16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4E786"/>
  <w15:chartTrackingRefBased/>
  <w15:docId w15:val="{E27447E2-BEC6-4347-B94F-4E9879F9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47CD"/>
    <w:pPr>
      <w:spacing w:before="120" w:after="120" w:line="240" w:lineRule="auto"/>
    </w:pPr>
    <w:rPr>
      <w:rFonts w:ascii="Times New Roman" w:hAnsi="Times New Roman"/>
      <w:sz w:val="24"/>
    </w:rPr>
  </w:style>
  <w:style w:type="paragraph" w:styleId="berschrift1">
    <w:name w:val="heading 1"/>
    <w:basedOn w:val="Standard"/>
    <w:link w:val="berschrift1Zchn"/>
    <w:uiPriority w:val="9"/>
    <w:qFormat/>
    <w:rsid w:val="00BF0719"/>
    <w:pPr>
      <w:spacing w:before="100" w:beforeAutospacing="1" w:after="100" w:afterAutospacing="1"/>
      <w:outlineLvl w:val="0"/>
    </w:pPr>
    <w:rPr>
      <w:rFonts w:eastAsia="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0719"/>
    <w:rPr>
      <w:rFonts w:ascii="Times New Roman" w:eastAsia="Times New Roman" w:hAnsi="Times New Roman" w:cs="Times New Roman"/>
      <w:b/>
      <w:bCs/>
      <w:kern w:val="36"/>
      <w:sz w:val="48"/>
      <w:szCs w:val="48"/>
      <w:lang w:eastAsia="de-DE"/>
    </w:rPr>
  </w:style>
  <w:style w:type="numbering" w:customStyle="1" w:styleId="NoList1">
    <w:name w:val="No List1"/>
    <w:next w:val="KeineListe"/>
    <w:uiPriority w:val="99"/>
    <w:semiHidden/>
    <w:unhideWhenUsed/>
    <w:rsid w:val="00BF0719"/>
  </w:style>
  <w:style w:type="paragraph" w:customStyle="1" w:styleId="Author">
    <w:name w:val="Author"/>
    <w:basedOn w:val="Standard"/>
    <w:qFormat/>
    <w:rsid w:val="00BF0719"/>
    <w:pPr>
      <w:spacing w:before="240" w:line="276" w:lineRule="auto"/>
    </w:pPr>
    <w:rPr>
      <w:rFonts w:eastAsia="Times New Roman" w:cs="Times New Roman"/>
      <w:lang w:val="en-GB" w:eastAsia="de-DE"/>
    </w:rPr>
  </w:style>
  <w:style w:type="paragraph" w:customStyle="1" w:styleId="Address">
    <w:name w:val="Address"/>
    <w:basedOn w:val="Standard"/>
    <w:qFormat/>
    <w:rsid w:val="00BF0719"/>
    <w:pPr>
      <w:spacing w:after="240"/>
    </w:pPr>
    <w:rPr>
      <w:rFonts w:eastAsia="Times New Roman" w:cs="Times New Roman"/>
      <w:sz w:val="20"/>
      <w:lang w:val="en-GB" w:eastAsia="de-DE"/>
    </w:rPr>
  </w:style>
  <w:style w:type="character" w:styleId="Hyperlink">
    <w:name w:val="Hyperlink"/>
    <w:basedOn w:val="Absatz-Standardschriftart"/>
    <w:uiPriority w:val="99"/>
    <w:rsid w:val="00BF0719"/>
    <w:rPr>
      <w:rFonts w:cs="Times New Roman"/>
      <w:color w:val="0000FF"/>
      <w:u w:val="single"/>
    </w:rPr>
  </w:style>
  <w:style w:type="paragraph" w:customStyle="1" w:styleId="Default">
    <w:name w:val="Default"/>
    <w:rsid w:val="00BF0719"/>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StandardWeb">
    <w:name w:val="Normal (Web)"/>
    <w:basedOn w:val="Standard"/>
    <w:uiPriority w:val="99"/>
    <w:semiHidden/>
    <w:unhideWhenUsed/>
    <w:rsid w:val="00BF0719"/>
    <w:pPr>
      <w:spacing w:before="100" w:beforeAutospacing="1" w:after="100" w:afterAutospacing="1"/>
    </w:pPr>
    <w:rPr>
      <w:rFonts w:eastAsia="Times New Roman" w:cs="Times New Roman"/>
      <w:szCs w:val="24"/>
      <w:lang w:eastAsia="de-DE"/>
    </w:rPr>
  </w:style>
  <w:style w:type="paragraph" w:styleId="Kopfzeile">
    <w:name w:val="header"/>
    <w:basedOn w:val="Standard"/>
    <w:link w:val="KopfzeileZchn"/>
    <w:uiPriority w:val="99"/>
    <w:unhideWhenUsed/>
    <w:rsid w:val="00BF0719"/>
    <w:pPr>
      <w:tabs>
        <w:tab w:val="center" w:pos="4536"/>
        <w:tab w:val="right" w:pos="9072"/>
      </w:tabs>
      <w:spacing w:after="0"/>
    </w:pPr>
  </w:style>
  <w:style w:type="character" w:customStyle="1" w:styleId="KopfzeileZchn">
    <w:name w:val="Kopfzeile Zchn"/>
    <w:basedOn w:val="Absatz-Standardschriftart"/>
    <w:link w:val="Kopfzeile"/>
    <w:uiPriority w:val="99"/>
    <w:rsid w:val="00BF0719"/>
    <w:rPr>
      <w:rFonts w:ascii="Times New Roman" w:hAnsi="Times New Roman"/>
      <w:sz w:val="24"/>
    </w:rPr>
  </w:style>
  <w:style w:type="paragraph" w:styleId="Fuzeile">
    <w:name w:val="footer"/>
    <w:basedOn w:val="Standard"/>
    <w:link w:val="FuzeileZchn"/>
    <w:uiPriority w:val="99"/>
    <w:unhideWhenUsed/>
    <w:rsid w:val="00BF0719"/>
    <w:pPr>
      <w:tabs>
        <w:tab w:val="center" w:pos="4536"/>
        <w:tab w:val="right" w:pos="9072"/>
      </w:tabs>
      <w:spacing w:after="0"/>
    </w:pPr>
  </w:style>
  <w:style w:type="character" w:customStyle="1" w:styleId="FuzeileZchn">
    <w:name w:val="Fußzeile Zchn"/>
    <w:basedOn w:val="Absatz-Standardschriftart"/>
    <w:link w:val="Fuzeile"/>
    <w:uiPriority w:val="99"/>
    <w:rsid w:val="00BF0719"/>
    <w:rPr>
      <w:rFonts w:ascii="Times New Roman" w:hAnsi="Times New Roman"/>
      <w:sz w:val="24"/>
    </w:rPr>
  </w:style>
  <w:style w:type="character" w:styleId="Kommentarzeichen">
    <w:name w:val="annotation reference"/>
    <w:basedOn w:val="Absatz-Standardschriftart"/>
    <w:uiPriority w:val="99"/>
    <w:semiHidden/>
    <w:unhideWhenUsed/>
    <w:rsid w:val="00BF0719"/>
    <w:rPr>
      <w:sz w:val="16"/>
      <w:szCs w:val="16"/>
    </w:rPr>
  </w:style>
  <w:style w:type="paragraph" w:styleId="Kommentartext">
    <w:name w:val="annotation text"/>
    <w:basedOn w:val="Standard"/>
    <w:link w:val="KommentartextZchn"/>
    <w:unhideWhenUsed/>
    <w:rsid w:val="00BF0719"/>
    <w:rPr>
      <w:sz w:val="20"/>
      <w:szCs w:val="20"/>
    </w:rPr>
  </w:style>
  <w:style w:type="character" w:customStyle="1" w:styleId="KommentartextZchn">
    <w:name w:val="Kommentartext Zchn"/>
    <w:basedOn w:val="Absatz-Standardschriftart"/>
    <w:link w:val="Kommentartext"/>
    <w:rsid w:val="00BF0719"/>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BF0719"/>
    <w:rPr>
      <w:b/>
      <w:bCs/>
    </w:rPr>
  </w:style>
  <w:style w:type="character" w:customStyle="1" w:styleId="KommentarthemaZchn">
    <w:name w:val="Kommentarthema Zchn"/>
    <w:basedOn w:val="KommentartextZchn"/>
    <w:link w:val="Kommentarthema"/>
    <w:uiPriority w:val="99"/>
    <w:semiHidden/>
    <w:rsid w:val="00BF0719"/>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BF0719"/>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0719"/>
    <w:rPr>
      <w:rFonts w:ascii="Segoe UI" w:hAnsi="Segoe UI" w:cs="Segoe UI"/>
      <w:sz w:val="18"/>
      <w:szCs w:val="18"/>
    </w:rPr>
  </w:style>
  <w:style w:type="paragraph" w:customStyle="1" w:styleId="Title1">
    <w:name w:val="Title1"/>
    <w:basedOn w:val="Standard"/>
    <w:next w:val="Standard"/>
    <w:uiPriority w:val="10"/>
    <w:qFormat/>
    <w:rsid w:val="00BF0719"/>
    <w:pPr>
      <w:spacing w:after="0"/>
      <w:contextualSpacing/>
    </w:pPr>
    <w:rPr>
      <w:rFonts w:eastAsia="SimSun" w:cs="Times New Roman"/>
      <w:spacing w:val="-10"/>
      <w:kern w:val="28"/>
      <w:sz w:val="40"/>
      <w:szCs w:val="56"/>
      <w:lang w:val="en-GB" w:eastAsia="de-DE"/>
    </w:rPr>
  </w:style>
  <w:style w:type="character" w:customStyle="1" w:styleId="TitelZchn">
    <w:name w:val="Titel Zchn"/>
    <w:basedOn w:val="Absatz-Standardschriftart"/>
    <w:link w:val="Titel"/>
    <w:uiPriority w:val="10"/>
    <w:rsid w:val="00BF0719"/>
    <w:rPr>
      <w:rFonts w:ascii="Times New Roman" w:eastAsia="SimSun" w:hAnsi="Times New Roman" w:cs="Times New Roman"/>
      <w:spacing w:val="-10"/>
      <w:kern w:val="28"/>
      <w:sz w:val="40"/>
      <w:szCs w:val="56"/>
      <w:lang w:val="en-GB" w:eastAsia="de-DE"/>
    </w:rPr>
  </w:style>
  <w:style w:type="paragraph" w:customStyle="1" w:styleId="SimpleBelAm">
    <w:name w:val="Simple(BelAm)"/>
    <w:basedOn w:val="Standard"/>
    <w:uiPriority w:val="99"/>
    <w:rsid w:val="00BF0719"/>
    <w:pPr>
      <w:spacing w:after="0" w:line="360" w:lineRule="auto"/>
      <w:jc w:val="both"/>
    </w:pPr>
    <w:rPr>
      <w:rFonts w:eastAsia="Times New Roman" w:cs="Times New Roman"/>
      <w:szCs w:val="20"/>
      <w:lang w:val="en-US" w:eastAsia="ru-RU"/>
    </w:rPr>
  </w:style>
  <w:style w:type="character" w:customStyle="1" w:styleId="FollowedHyperlink1">
    <w:name w:val="FollowedHyperlink1"/>
    <w:basedOn w:val="Absatz-Standardschriftart"/>
    <w:uiPriority w:val="99"/>
    <w:semiHidden/>
    <w:unhideWhenUsed/>
    <w:rsid w:val="00BF0719"/>
    <w:rPr>
      <w:color w:val="954F72"/>
      <w:u w:val="single"/>
    </w:rPr>
  </w:style>
  <w:style w:type="character" w:customStyle="1" w:styleId="highwire-cite-metadata-journal">
    <w:name w:val="highwire-cite-metadata-journal"/>
    <w:basedOn w:val="Absatz-Standardschriftart"/>
    <w:rsid w:val="00BF0719"/>
  </w:style>
  <w:style w:type="character" w:customStyle="1" w:styleId="highwire-cite-metadata-date">
    <w:name w:val="highwire-cite-metadata-date"/>
    <w:basedOn w:val="Absatz-Standardschriftart"/>
    <w:rsid w:val="00BF0719"/>
  </w:style>
  <w:style w:type="character" w:customStyle="1" w:styleId="highwire-cite-metadata-volume">
    <w:name w:val="highwire-cite-metadata-volume"/>
    <w:basedOn w:val="Absatz-Standardschriftart"/>
    <w:rsid w:val="00BF0719"/>
  </w:style>
  <w:style w:type="character" w:customStyle="1" w:styleId="highwire-cite-metadata-issue">
    <w:name w:val="highwire-cite-metadata-issue"/>
    <w:basedOn w:val="Absatz-Standardschriftart"/>
    <w:rsid w:val="00BF0719"/>
  </w:style>
  <w:style w:type="character" w:customStyle="1" w:styleId="highwire-cite-metadata-pages">
    <w:name w:val="highwire-cite-metadata-pages"/>
    <w:basedOn w:val="Absatz-Standardschriftart"/>
    <w:rsid w:val="00BF0719"/>
  </w:style>
  <w:style w:type="table" w:styleId="Tabellenraster">
    <w:name w:val="Table Grid"/>
    <w:basedOn w:val="NormaleTabelle"/>
    <w:uiPriority w:val="39"/>
    <w:rsid w:val="00BF0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F0719"/>
    <w:rPr>
      <w:color w:val="808080"/>
    </w:rPr>
  </w:style>
  <w:style w:type="character" w:customStyle="1" w:styleId="UnresolvedMention">
    <w:name w:val="Unresolved Mention"/>
    <w:basedOn w:val="Absatz-Standardschriftart"/>
    <w:uiPriority w:val="99"/>
    <w:semiHidden/>
    <w:unhideWhenUsed/>
    <w:rsid w:val="00BF0719"/>
    <w:rPr>
      <w:color w:val="808080"/>
      <w:shd w:val="clear" w:color="auto" w:fill="E6E6E6"/>
    </w:rPr>
  </w:style>
  <w:style w:type="paragraph" w:styleId="Titel">
    <w:name w:val="Title"/>
    <w:basedOn w:val="Standard"/>
    <w:next w:val="Standard"/>
    <w:link w:val="TitelZchn"/>
    <w:uiPriority w:val="10"/>
    <w:qFormat/>
    <w:rsid w:val="00BF0719"/>
    <w:pPr>
      <w:spacing w:after="0"/>
      <w:contextualSpacing/>
    </w:pPr>
    <w:rPr>
      <w:rFonts w:eastAsia="SimSun" w:cs="Times New Roman"/>
      <w:spacing w:val="-10"/>
      <w:kern w:val="28"/>
      <w:sz w:val="40"/>
      <w:szCs w:val="56"/>
      <w:lang w:val="en-GB" w:eastAsia="de-DE"/>
    </w:rPr>
  </w:style>
  <w:style w:type="character" w:customStyle="1" w:styleId="TitleChar1">
    <w:name w:val="Title Char1"/>
    <w:basedOn w:val="Absatz-Standardschriftart"/>
    <w:uiPriority w:val="10"/>
    <w:rsid w:val="00BF0719"/>
    <w:rPr>
      <w:rFonts w:asciiTheme="majorHAnsi" w:eastAsiaTheme="majorEastAsia" w:hAnsiTheme="majorHAnsi" w:cstheme="majorBidi"/>
      <w:spacing w:val="-10"/>
      <w:kern w:val="28"/>
      <w:sz w:val="56"/>
      <w:szCs w:val="56"/>
    </w:rPr>
  </w:style>
  <w:style w:type="character" w:styleId="BesuchterHyperlink">
    <w:name w:val="FollowedHyperlink"/>
    <w:basedOn w:val="Absatz-Standardschriftart"/>
    <w:uiPriority w:val="99"/>
    <w:semiHidden/>
    <w:unhideWhenUsed/>
    <w:rsid w:val="00BF07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rf.or.jp"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ionizing_radiation/pub_meet/fukushima_risk_assessment_2013/en"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ris.bfs.de/jspui/handle/urn:nbn:de:0221-2016112214169"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admin.ch/opc/en/classified-compilation/20163016/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ris.bfs.de/jspui/handle/urn:nbn:de:0221-2017032014253"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DC6C-6A65-4AED-B727-48815AE9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7618</Words>
  <Characters>47996</Characters>
  <Application>Microsoft Office Word</Application>
  <DocSecurity>0</DocSecurity>
  <Lines>399</Lines>
  <Paragraphs>111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Ulanovsky</dc:creator>
  <cp:keywords/>
  <dc:description/>
  <cp:lastModifiedBy>Linda</cp:lastModifiedBy>
  <cp:revision>5</cp:revision>
  <cp:lastPrinted>2018-11-30T12:27:00Z</cp:lastPrinted>
  <dcterms:created xsi:type="dcterms:W3CDTF">2018-12-07T11:52:00Z</dcterms:created>
  <dcterms:modified xsi:type="dcterms:W3CDTF">2018-12-07T12:29:00Z</dcterms:modified>
</cp:coreProperties>
</file>