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exact"/>
        <w:jc w:val="center"/>
        <w:rPr>
          <w:rFonts w:ascii="Arial" w:hAnsi="Arial" w:cs="Arial"/>
          <w:b/>
          <w:bCs/>
          <w:sz w:val="22"/>
          <w:szCs w:val="22"/>
        </w:rPr>
      </w:pPr>
      <w:bookmarkStart w:id="0" w:name="_GoBack"/>
      <w:bookmarkEnd w:id="0"/>
      <w:r>
        <w:rPr>
          <w:rFonts w:ascii="Arial" w:hAnsi="Arial" w:cs="Arial"/>
          <w:b/>
          <w:bCs/>
          <w:sz w:val="22"/>
          <w:szCs w:val="22"/>
        </w:rPr>
        <w:t xml:space="preserve">Determination of methyl order parameters </w:t>
      </w:r>
      <w:r>
        <w:rPr>
          <w:rFonts w:ascii="Arial" w:hAnsi="Arial" w:cs="Arial"/>
          <w:b/>
          <w:bCs/>
          <w:sz w:val="22"/>
          <w:szCs w:val="22"/>
        </w:rPr>
        <w:br/>
        <w:t>using solid state NMR under off magic angle spinning</w:t>
      </w:r>
    </w:p>
    <w:p>
      <w:pPr>
        <w:spacing w:line="360" w:lineRule="exact"/>
        <w:jc w:val="center"/>
        <w:rPr>
          <w:rFonts w:ascii="Arial" w:hAnsi="Arial" w:cs="Arial"/>
          <w:b/>
          <w:bCs/>
          <w:sz w:val="22"/>
          <w:szCs w:val="22"/>
        </w:rPr>
      </w:pPr>
    </w:p>
    <w:p>
      <w:pPr>
        <w:spacing w:line="360" w:lineRule="exact"/>
        <w:ind w:right="-34"/>
        <w:jc w:val="center"/>
        <w:rPr>
          <w:rFonts w:ascii="Arial" w:hAnsi="Arial" w:cs="Arial"/>
          <w:b/>
          <w:bCs/>
          <w:sz w:val="22"/>
          <w:szCs w:val="22"/>
        </w:rPr>
      </w:pPr>
    </w:p>
    <w:p>
      <w:pPr>
        <w:spacing w:line="360" w:lineRule="exact"/>
        <w:ind w:right="-34"/>
        <w:jc w:val="center"/>
        <w:rPr>
          <w:rFonts w:ascii="Arial" w:hAnsi="Arial" w:cs="Arial"/>
          <w:sz w:val="22"/>
          <w:szCs w:val="22"/>
        </w:rPr>
      </w:pPr>
    </w:p>
    <w:p>
      <w:pPr>
        <w:spacing w:line="360" w:lineRule="exact"/>
        <w:ind w:right="-34"/>
        <w:jc w:val="center"/>
        <w:rPr>
          <w:rFonts w:ascii="Arial" w:hAnsi="Arial" w:cs="Arial"/>
          <w:sz w:val="22"/>
          <w:szCs w:val="22"/>
        </w:rPr>
      </w:pPr>
      <w:r>
        <w:rPr>
          <w:rFonts w:ascii="Arial" w:hAnsi="Arial" w:cs="Arial"/>
          <w:sz w:val="22"/>
          <w:szCs w:val="22"/>
        </w:rPr>
        <w:t>Kai Xue</w:t>
      </w:r>
      <w:r>
        <w:rPr>
          <w:rFonts w:ascii="Arial" w:hAnsi="Arial" w:cs="Arial" w:hint="eastAsia"/>
          <w:sz w:val="22"/>
          <w:szCs w:val="22"/>
        </w:rPr>
        <w:t>,</w:t>
      </w:r>
      <w:r>
        <w:rPr>
          <w:rFonts w:ascii="Arial" w:hAnsi="Arial" w:cs="Arial"/>
          <w:sz w:val="22"/>
          <w:szCs w:val="22"/>
          <w:vertAlign w:val="superscript"/>
        </w:rPr>
        <w:t>a</w:t>
      </w:r>
      <w:r>
        <w:rPr>
          <w:rFonts w:ascii="Arial" w:hAnsi="Arial" w:cs="Arial"/>
          <w:sz w:val="22"/>
          <w:szCs w:val="22"/>
        </w:rPr>
        <w:t xml:space="preserve"> Salvatore Mamone, Benita Koch</w:t>
      </w:r>
      <w:r>
        <w:rPr>
          <w:rFonts w:ascii="Arial" w:hAnsi="Arial" w:cs="Arial"/>
          <w:sz w:val="22"/>
          <w:szCs w:val="22"/>
          <w:vertAlign w:val="superscript"/>
        </w:rPr>
        <w:t xml:space="preserve"> b </w:t>
      </w:r>
      <w:r>
        <w:rPr>
          <w:rFonts w:ascii="Arial" w:hAnsi="Arial" w:cs="Arial"/>
          <w:sz w:val="22"/>
          <w:szCs w:val="22"/>
        </w:rPr>
        <w:t>, Riddhiman Sarkar</w:t>
      </w:r>
      <w:r>
        <w:rPr>
          <w:rFonts w:ascii="Arial" w:hAnsi="Arial" w:cs="Arial" w:hint="eastAsia"/>
          <w:sz w:val="22"/>
          <w:szCs w:val="22"/>
        </w:rPr>
        <w:t>,</w:t>
      </w:r>
      <w:r>
        <w:rPr>
          <w:rFonts w:ascii="Arial" w:hAnsi="Arial" w:cs="Arial"/>
          <w:sz w:val="22"/>
          <w:szCs w:val="22"/>
          <w:vertAlign w:val="superscript"/>
        </w:rPr>
        <w:t>a,b,*</w:t>
      </w:r>
      <w:r>
        <w:rPr>
          <w:rFonts w:ascii="Arial" w:hAnsi="Arial" w:cs="Arial" w:hint="eastAsia"/>
          <w:sz w:val="22"/>
          <w:szCs w:val="22"/>
        </w:rPr>
        <w:t xml:space="preserve"> </w:t>
      </w:r>
      <w:r>
        <w:rPr>
          <w:rFonts w:ascii="Arial" w:hAnsi="Arial" w:cs="Arial"/>
          <w:sz w:val="22"/>
          <w:szCs w:val="22"/>
        </w:rPr>
        <w:t>and Bernd Reif</w:t>
      </w:r>
      <w:r>
        <w:rPr>
          <w:rFonts w:ascii="Arial" w:hAnsi="Arial" w:cs="Arial"/>
          <w:sz w:val="22"/>
          <w:szCs w:val="22"/>
          <w:vertAlign w:val="superscript"/>
        </w:rPr>
        <w:t>a,b</w:t>
      </w:r>
      <w:r>
        <w:rPr>
          <w:rFonts w:ascii="Arial" w:hAnsi="Arial" w:cs="Arial"/>
          <w:sz w:val="22"/>
          <w:szCs w:val="22"/>
        </w:rPr>
        <w:t>*</w:t>
      </w:r>
    </w:p>
    <w:p>
      <w:pPr>
        <w:spacing w:line="360" w:lineRule="exact"/>
        <w:jc w:val="center"/>
        <w:rPr>
          <w:rFonts w:ascii="Arial" w:hAnsi="Arial" w:cs="Arial"/>
          <w:sz w:val="22"/>
          <w:szCs w:val="22"/>
        </w:rPr>
      </w:pPr>
    </w:p>
    <w:p>
      <w:pPr>
        <w:spacing w:line="360" w:lineRule="exact"/>
        <w:jc w:val="center"/>
        <w:rPr>
          <w:rFonts w:ascii="Arial" w:hAnsi="Arial" w:cs="Arial"/>
          <w:sz w:val="22"/>
          <w:szCs w:val="22"/>
        </w:rPr>
      </w:pPr>
    </w:p>
    <w:p>
      <w:pPr>
        <w:spacing w:line="360" w:lineRule="exact"/>
        <w:jc w:val="center"/>
        <w:rPr>
          <w:rFonts w:ascii="Arial" w:hAnsi="Arial" w:cs="Arial"/>
          <w:sz w:val="22"/>
          <w:szCs w:val="22"/>
        </w:rPr>
      </w:pPr>
    </w:p>
    <w:p>
      <w:pPr>
        <w:spacing w:line="360" w:lineRule="exact"/>
        <w:jc w:val="center"/>
        <w:rPr>
          <w:rFonts w:ascii="Arial" w:hAnsi="Arial" w:cs="Arial"/>
          <w:sz w:val="22"/>
          <w:szCs w:val="22"/>
        </w:rPr>
      </w:pPr>
    </w:p>
    <w:p>
      <w:pPr>
        <w:spacing w:line="360" w:lineRule="exact"/>
        <w:jc w:val="center"/>
        <w:rPr>
          <w:rFonts w:ascii="Arial" w:hAnsi="Arial" w:cs="Arial"/>
          <w:sz w:val="22"/>
          <w:szCs w:val="22"/>
        </w:rPr>
      </w:pPr>
    </w:p>
    <w:p>
      <w:pPr>
        <w:spacing w:line="360" w:lineRule="exact"/>
        <w:jc w:val="center"/>
        <w:rPr>
          <w:rFonts w:ascii="Arial" w:hAnsi="Arial" w:cs="Arial"/>
          <w:sz w:val="22"/>
          <w:szCs w:val="22"/>
        </w:rPr>
      </w:pPr>
    </w:p>
    <w:p>
      <w:pPr>
        <w:spacing w:line="360" w:lineRule="exact"/>
        <w:jc w:val="center"/>
        <w:rPr>
          <w:rFonts w:ascii="Arial" w:hAnsi="Arial" w:cs="Arial"/>
          <w:sz w:val="22"/>
          <w:szCs w:val="22"/>
          <w:lang w:val="en-US"/>
        </w:rPr>
      </w:pPr>
      <w:r>
        <w:rPr>
          <w:rFonts w:ascii="Arial" w:hAnsi="Arial" w:cs="Arial"/>
          <w:sz w:val="22"/>
          <w:szCs w:val="22"/>
          <w:lang w:val="en-US"/>
        </w:rPr>
        <w:t>2 May, 2019</w:t>
      </w:r>
    </w:p>
    <w:p>
      <w:pPr>
        <w:spacing w:line="360" w:lineRule="exact"/>
        <w:jc w:val="center"/>
        <w:rPr>
          <w:rFonts w:ascii="Arial" w:hAnsi="Arial" w:cs="Arial"/>
          <w:sz w:val="22"/>
          <w:szCs w:val="22"/>
          <w:lang w:val="en-US"/>
        </w:rPr>
      </w:pPr>
    </w:p>
    <w:p>
      <w:pPr>
        <w:spacing w:line="360" w:lineRule="exact"/>
        <w:jc w:val="center"/>
        <w:rPr>
          <w:rFonts w:ascii="Arial" w:hAnsi="Arial" w:cs="Arial"/>
          <w:sz w:val="22"/>
          <w:szCs w:val="22"/>
          <w:lang w:val="en-US"/>
        </w:rPr>
      </w:pPr>
    </w:p>
    <w:p>
      <w:pPr>
        <w:spacing w:line="360" w:lineRule="exact"/>
        <w:jc w:val="center"/>
        <w:rPr>
          <w:rFonts w:ascii="Arial" w:hAnsi="Arial" w:cs="Arial"/>
          <w:sz w:val="22"/>
          <w:szCs w:val="22"/>
          <w:lang w:val="de-DE"/>
        </w:rPr>
      </w:pPr>
      <w:r>
        <w:rPr>
          <w:rFonts w:ascii="Arial" w:hAnsi="Arial" w:cs="Arial"/>
          <w:sz w:val="22"/>
          <w:szCs w:val="22"/>
          <w:vertAlign w:val="superscript"/>
          <w:lang w:val="de-DE"/>
        </w:rPr>
        <w:t xml:space="preserve">a </w:t>
      </w:r>
      <w:r>
        <w:rPr>
          <w:rFonts w:ascii="Arial" w:hAnsi="Arial" w:cs="Arial"/>
          <w:sz w:val="22"/>
          <w:szCs w:val="22"/>
          <w:lang w:val="de-DE"/>
        </w:rPr>
        <w:t>Helmholtz-Zentrum München (HMGU), Deutsches Forschungszentrum für Gesundheit und Umwelt, Ingolstädter Landstr. 1, 85764 Neuherberg, Germany</w:t>
      </w:r>
    </w:p>
    <w:p>
      <w:pPr>
        <w:spacing w:line="360" w:lineRule="exact"/>
        <w:jc w:val="center"/>
        <w:rPr>
          <w:rFonts w:ascii="Arial" w:hAnsi="Arial" w:cs="Arial"/>
          <w:sz w:val="22"/>
          <w:szCs w:val="22"/>
          <w:lang w:val="de-DE"/>
        </w:rPr>
      </w:pPr>
      <w:r>
        <w:rPr>
          <w:rFonts w:ascii="Arial" w:hAnsi="Arial" w:cs="Arial"/>
          <w:sz w:val="22"/>
          <w:szCs w:val="22"/>
          <w:vertAlign w:val="superscript"/>
          <w:lang w:val="de-DE"/>
        </w:rPr>
        <w:t>b</w:t>
      </w:r>
      <w:r>
        <w:rPr>
          <w:rFonts w:ascii="Arial" w:hAnsi="Arial" w:cs="Arial"/>
          <w:sz w:val="22"/>
          <w:szCs w:val="22"/>
          <w:lang w:val="de-DE"/>
        </w:rPr>
        <w:t xml:space="preserve"> </w:t>
      </w:r>
      <w:r>
        <w:rPr>
          <w:rFonts w:ascii="Arial" w:hAnsi="Arial" w:cs="Arial"/>
          <w:sz w:val="22"/>
          <w:szCs w:val="22"/>
          <w:lang w:val="de-DE" w:bidi="x-none"/>
        </w:rPr>
        <w:t>Munich Center for Integrated Protein Science (CIPS-M) at Department Chemie,</w:t>
      </w:r>
      <w:r>
        <w:rPr>
          <w:rFonts w:ascii="Arial" w:hAnsi="Arial" w:cs="Arial"/>
          <w:sz w:val="22"/>
          <w:szCs w:val="22"/>
          <w:lang w:val="de-DE"/>
        </w:rPr>
        <w:t xml:space="preserve"> Technische Universität München (TUM), Lichtenbergstr. 4, 85747 Garching, Germany</w:t>
      </w:r>
    </w:p>
    <w:p>
      <w:pPr>
        <w:spacing w:line="360" w:lineRule="exact"/>
        <w:jc w:val="center"/>
        <w:rPr>
          <w:rFonts w:ascii="Arial" w:hAnsi="Arial" w:cs="Arial"/>
          <w:sz w:val="22"/>
          <w:szCs w:val="22"/>
          <w:lang w:bidi="x-none"/>
        </w:rPr>
      </w:pPr>
      <w:r>
        <w:rPr>
          <w:rFonts w:ascii="Arial" w:hAnsi="Arial" w:cs="Arial"/>
          <w:sz w:val="22"/>
          <w:szCs w:val="22"/>
          <w:vertAlign w:val="superscript"/>
        </w:rPr>
        <w:t>c</w:t>
      </w:r>
      <w:r>
        <w:rPr>
          <w:rFonts w:ascii="Arial" w:hAnsi="Arial" w:cs="Arial"/>
          <w:sz w:val="22"/>
          <w:szCs w:val="22"/>
        </w:rPr>
        <w:t xml:space="preserve"> </w:t>
      </w:r>
      <w:r>
        <w:rPr>
          <w:rFonts w:ascii="Arial" w:hAnsi="Arial" w:cs="Arial"/>
          <w:sz w:val="22"/>
          <w:szCs w:val="22"/>
          <w:lang w:bidi="x-none"/>
        </w:rPr>
        <w:t>Max Planck Institute for Biophysical Chemistry, Göttingen</w:t>
      </w:r>
    </w:p>
    <w:p>
      <w:pPr>
        <w:spacing w:line="360" w:lineRule="exact"/>
        <w:jc w:val="both"/>
        <w:rPr>
          <w:rFonts w:ascii="Arial" w:hAnsi="Arial" w:cs="Arial"/>
          <w:sz w:val="22"/>
          <w:szCs w:val="22"/>
        </w:rPr>
      </w:pPr>
    </w:p>
    <w:p>
      <w:pPr>
        <w:spacing w:line="360" w:lineRule="exact"/>
        <w:jc w:val="both"/>
        <w:rPr>
          <w:rFonts w:ascii="Arial" w:hAnsi="Arial" w:cs="Arial"/>
          <w:sz w:val="22"/>
          <w:szCs w:val="22"/>
        </w:rPr>
      </w:pPr>
    </w:p>
    <w:p>
      <w:pPr>
        <w:pStyle w:val="Textkrper2"/>
        <w:spacing w:line="360" w:lineRule="exact"/>
        <w:jc w:val="both"/>
        <w:outlineLvl w:val="0"/>
        <w:rPr>
          <w:rFonts w:ascii="Arial" w:hAnsi="Arial" w:cs="Arial"/>
          <w:b/>
          <w:sz w:val="22"/>
          <w:szCs w:val="22"/>
          <w:lang w:val="en-GB"/>
        </w:rPr>
      </w:pPr>
    </w:p>
    <w:p>
      <w:pPr>
        <w:pStyle w:val="Textkrper2"/>
        <w:spacing w:line="360" w:lineRule="exact"/>
        <w:jc w:val="both"/>
        <w:outlineLvl w:val="0"/>
        <w:rPr>
          <w:rFonts w:ascii="Arial" w:hAnsi="Arial" w:cs="Arial"/>
          <w:b/>
          <w:sz w:val="22"/>
          <w:szCs w:val="22"/>
          <w:lang w:val="en-GB"/>
        </w:rPr>
      </w:pPr>
    </w:p>
    <w:p>
      <w:pPr>
        <w:pStyle w:val="Textkrper2"/>
        <w:spacing w:line="360" w:lineRule="exact"/>
        <w:outlineLvl w:val="0"/>
        <w:rPr>
          <w:rFonts w:ascii="Arial" w:hAnsi="Arial" w:cs="Arial"/>
          <w:sz w:val="22"/>
          <w:szCs w:val="22"/>
        </w:rPr>
      </w:pPr>
      <w:r>
        <w:rPr>
          <w:rFonts w:ascii="Arial" w:hAnsi="Arial" w:cs="Arial"/>
          <w:sz w:val="22"/>
          <w:szCs w:val="22"/>
        </w:rPr>
        <w:t>For submission to: JBNMR, Special issue</w:t>
      </w:r>
    </w:p>
    <w:p>
      <w:pPr>
        <w:spacing w:line="360" w:lineRule="exact"/>
        <w:rPr>
          <w:rFonts w:ascii="Arial" w:hAnsi="Arial" w:cs="Arial"/>
          <w:iCs/>
          <w:sz w:val="22"/>
          <w:szCs w:val="22"/>
        </w:rPr>
      </w:pPr>
      <w:r>
        <w:rPr>
          <w:rFonts w:ascii="Arial" w:hAnsi="Arial" w:cs="Arial"/>
          <w:iCs/>
          <w:sz w:val="22"/>
          <w:szCs w:val="22"/>
        </w:rPr>
        <w:t xml:space="preserve">To whom correspondence should be addressed: </w:t>
      </w:r>
    </w:p>
    <w:p>
      <w:pPr>
        <w:spacing w:line="360" w:lineRule="exact"/>
        <w:rPr>
          <w:rFonts w:ascii="Arial" w:hAnsi="Arial" w:cs="Arial"/>
          <w:iCs/>
          <w:sz w:val="22"/>
          <w:szCs w:val="22"/>
        </w:rPr>
      </w:pPr>
      <w:hyperlink r:id="rId7" w:history="1">
        <w:r>
          <w:rPr>
            <w:rStyle w:val="Hyperlink"/>
            <w:rFonts w:ascii="Arial" w:hAnsi="Arial" w:cs="Arial"/>
            <w:iCs/>
            <w:sz w:val="22"/>
            <w:szCs w:val="22"/>
          </w:rPr>
          <w:t>reif@tum.de</w:t>
        </w:r>
      </w:hyperlink>
      <w:r>
        <w:rPr>
          <w:rFonts w:ascii="Arial" w:hAnsi="Arial" w:cs="Arial"/>
          <w:iCs/>
          <w:sz w:val="22"/>
          <w:szCs w:val="22"/>
        </w:rPr>
        <w:t xml:space="preserve">, </w:t>
      </w:r>
    </w:p>
    <w:p>
      <w:pPr>
        <w:spacing w:line="360" w:lineRule="exact"/>
        <w:rPr>
          <w:rFonts w:ascii="Arial" w:hAnsi="Arial" w:cs="Arial"/>
          <w:iCs/>
          <w:color w:val="0000FF"/>
          <w:sz w:val="22"/>
          <w:szCs w:val="22"/>
          <w:u w:val="single"/>
        </w:rPr>
      </w:pPr>
      <w:hyperlink r:id="rId8" w:history="1">
        <w:r>
          <w:rPr>
            <w:rStyle w:val="Hyperlink"/>
            <w:rFonts w:ascii="Arial" w:hAnsi="Arial" w:cs="Arial"/>
            <w:iCs/>
            <w:sz w:val="22"/>
            <w:szCs w:val="22"/>
          </w:rPr>
          <w:t>riddhiman.sarkar@helmholtz-muenchen.de</w:t>
        </w:r>
      </w:hyperlink>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jc w:val="both"/>
        <w:rPr>
          <w:rFonts w:ascii="Arial" w:hAnsi="Arial" w:cs="Arial"/>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lastRenderedPageBreak/>
        <w:t>Abstract</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 xml:space="preserve">Quantification of dipolar couplings in biological solids is important for the understanding of dynamic processes. Under Magic Angle Spinning (MAS), order parameters are normally obtained by recoupling of anisotropic interactions involving the application of radio frequency pulses. We have recently shown that amide backbone order parameters can be estimated accurately in a spin-echo experiment in case the rotor spinning angle is slightly mis-calibrated. In this work, we apply this method to determine methyl order parameters in a deuterated sample of the SH3 domain of chicken </w:t>
      </w:r>
      <w:r>
        <w:rPr>
          <w:rFonts w:ascii="Arial" w:hAnsi="Arial" w:cs="Arial"/>
          <w:sz w:val="22"/>
          <w:szCs w:val="22"/>
        </w:rPr>
        <w:sym w:font="Symbol" w:char="F061"/>
      </w:r>
      <w:r>
        <w:rPr>
          <w:rFonts w:ascii="Arial" w:hAnsi="Arial" w:cs="Arial"/>
          <w:sz w:val="22"/>
          <w:szCs w:val="22"/>
        </w:rPr>
        <w:t xml:space="preserve">-spectrin in which the methyl containing side chains valine and leucine are selectively protonated. </w:t>
      </w:r>
    </w:p>
    <w:p>
      <w:pPr>
        <w:spacing w:line="360" w:lineRule="auto"/>
        <w:jc w:val="both"/>
        <w:rPr>
          <w:rFonts w:ascii="Arial" w:hAnsi="Arial" w:cs="Arial"/>
          <w:sz w:val="22"/>
          <w:szCs w:val="22"/>
        </w:rPr>
      </w:pPr>
      <w:r>
        <w:rPr>
          <w:rFonts w:ascii="Arial" w:hAnsi="Arial" w:cs="Arial"/>
          <w:sz w:val="22"/>
          <w:szCs w:val="22"/>
        </w:rPr>
        <w:t xml:space="preserve">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Arial" w:hAnsi="Arial" w:cs="Arial"/>
          <w:sz w:val="22"/>
          <w:szCs w:val="22"/>
        </w:rPr>
      </w:pPr>
      <w:r>
        <w:rPr>
          <w:rFonts w:ascii="Helvetica" w:hAnsi="Helvetica"/>
          <w:b/>
          <w:sz w:val="22"/>
          <w:szCs w:val="22"/>
        </w:rPr>
        <w:t>Keywords:</w:t>
      </w:r>
      <w:r>
        <w:rPr>
          <w:rFonts w:ascii="Helvetica" w:hAnsi="Helvetica"/>
          <w:sz w:val="22"/>
          <w:szCs w:val="22"/>
        </w:rPr>
        <w:t xml:space="preserve">  solid-state NMR, off Magic Angle spinning, Spin Echo, Microcrystalline proteins, perdeuteration</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Introduction</w:t>
      </w:r>
    </w:p>
    <w:p>
      <w:pPr>
        <w:spacing w:line="360" w:lineRule="auto"/>
        <w:jc w:val="both"/>
        <w:rPr>
          <w:rFonts w:ascii="Arial" w:hAnsi="Arial" w:cs="Arial"/>
          <w:b/>
          <w:sz w:val="22"/>
          <w:szCs w:val="22"/>
        </w:rPr>
      </w:pPr>
    </w:p>
    <w:p>
      <w:pPr>
        <w:spacing w:line="360" w:lineRule="auto"/>
        <w:jc w:val="both"/>
        <w:rPr>
          <w:rFonts w:ascii="Arial" w:hAnsi="Arial" w:cs="Arial"/>
          <w:sz w:val="22"/>
          <w:szCs w:val="22"/>
        </w:rPr>
      </w:pPr>
      <w:r>
        <w:rPr>
          <w:rFonts w:ascii="Arial" w:hAnsi="Arial" w:cs="Arial"/>
          <w:sz w:val="22"/>
          <w:szCs w:val="22"/>
        </w:rPr>
        <w:t xml:space="preserve">Many biomolecular processes such as molecular recognition, enzyme catalysis and ligand binding require a certain amount of flexibility or dynamics in the structure. Initially, solution-state NMR and later solid-state NMR has provided powerful methods to characterize such processes in biomolecules. </w:t>
      </w:r>
    </w:p>
    <w:p>
      <w:pPr>
        <w:spacing w:line="360" w:lineRule="auto"/>
        <w:jc w:val="both"/>
        <w:rPr>
          <w:rFonts w:ascii="Arial" w:hAnsi="Arial" w:cs="Arial"/>
          <w:sz w:val="22"/>
          <w:szCs w:val="22"/>
        </w:rPr>
      </w:pPr>
      <w:r>
        <w:rPr>
          <w:rFonts w:ascii="Arial" w:hAnsi="Arial" w:cs="Arial"/>
          <w:sz w:val="22"/>
          <w:szCs w:val="22"/>
        </w:rPr>
        <w:t xml:space="preserve">Dennis Torchia pioneered this work with experiments on the characterization of dynamics of staphylococcal nuclease </w:t>
      </w:r>
      <w:r>
        <w:rPr>
          <w:rFonts w:ascii="Arial" w:hAnsi="Arial" w:cs="Arial"/>
          <w:sz w:val="22"/>
          <w:szCs w:val="22"/>
        </w:rPr>
        <w:fldChar w:fldCharType="begin"/>
      </w:r>
      <w:r>
        <w:rPr>
          <w:rFonts w:ascii="Arial" w:hAnsi="Arial" w:cs="Arial"/>
          <w:sz w:val="22"/>
          <w:szCs w:val="22"/>
        </w:rPr>
        <w:instrText xml:space="preserve"> ADDIN EN.CITE &lt;EndNote&gt;&lt;Cite&gt;&lt;Author&gt;Cole&lt;/Author&gt;&lt;Year&gt;1988&lt;/Year&gt;&lt;RecNum&gt;95&lt;/RecNum&gt;&lt;DisplayText&gt;(Cole et al. 1988; Cole and Torchia 1991)&lt;/DisplayText&gt;&lt;record&gt;&lt;rec-number&gt;95&lt;/rec-number&gt;&lt;foreign-keys&gt;&lt;key app="EN" db-id="a9resxaadtas09e2zsopdwwzxte520te05dv" timestamp="1550833271"&gt;95&lt;/key&gt;&lt;/foreign-keys&gt;&lt;ref-type name="Journal Article"&gt;17&lt;/ref-type&gt;&lt;contributors&gt;&lt;authors&gt;&lt;author&gt;Cole, H. B.&lt;/author&gt;&lt;author&gt;Sparks, S. W.&lt;/author&gt;&lt;author&gt;Torchia, D. A.&lt;/author&gt;&lt;/authors&gt;&lt;/contributors&gt;&lt;titles&gt;&lt;title&gt;Comparison of the solution and crystal structures of staphylococcal nuclease with 13C and 15N chemical shifts used as structural fingerprints&lt;/title&gt;&lt;secondary-title&gt;Proceedings of the National Academy of Sciences&lt;/secondary-title&gt;&lt;/titles&gt;&lt;periodical&gt;&lt;full-title&gt;Proceedings of the National Academy of Sciences&lt;/full-title&gt;&lt;/periodical&gt;&lt;pages&gt;6362-6365&lt;/pages&gt;&lt;volume&gt;85&lt;/volume&gt;&lt;number&gt;17&lt;/number&gt;&lt;dates&gt;&lt;year&gt;1988&lt;/year&gt;&lt;/dates&gt;&lt;isbn&gt;0027-8424&amp;#xD;1091-6490&lt;/isbn&gt;&lt;urls&gt;&lt;/urls&gt;&lt;electronic-resource-num&gt;10.1073/pnas.85.17.6362&lt;/electronic-resource-num&gt;&lt;/record&gt;&lt;/Cite&gt;&lt;Cite&gt;&lt;Author&gt;Cole&lt;/Author&gt;&lt;Year&gt;1991&lt;/Year&gt;&lt;RecNum&gt;96&lt;/RecNum&gt;&lt;record&gt;&lt;rec-number&gt;96&lt;/rec-number&gt;&lt;foreign-keys&gt;&lt;key app="EN" db-id="a9resxaadtas09e2zsopdwwzxte520te05dv" timestamp="1550833335"&gt;96&lt;/key&gt;&lt;/foreign-keys&gt;&lt;ref-type name="Journal Article"&gt;17&lt;/ref-type&gt;&lt;contributors&gt;&lt;authors&gt;&lt;author&gt;Cole, Holly B. R.&lt;/author&gt;&lt;author&gt;Torchia, Dennis A.&lt;/author&gt;&lt;/authors&gt;&lt;/contributors&gt;&lt;titles&gt;&lt;title&gt;An NMR study of the backbone dynamics of staphylococcal nuclease in the crystalline state&lt;/title&gt;&lt;secondary-title&gt;Chemical Physics&lt;/secondary-title&gt;&lt;/titles&gt;&lt;periodical&gt;&lt;full-title&gt;Chemical Physics&lt;/full-title&gt;&lt;/periodical&gt;&lt;pages&gt;271-281&lt;/pages&gt;&lt;volume&gt;158&lt;/volume&gt;&lt;number&gt;2-3&lt;/number&gt;&lt;dates&gt;&lt;year&gt;1991&lt;/year&gt;&lt;/dates&gt;&lt;isbn&gt;03010104&lt;/isbn&gt;&lt;urls&gt;&lt;/urls&gt;&lt;electronic-resource-num&gt;10.1016/0301-0104(91)87071-3&lt;/electronic-resource-num&gt;&lt;/record&gt;&lt;/Cite&gt;&lt;/EndNote&gt;</w:instrText>
      </w:r>
      <w:r>
        <w:rPr>
          <w:rFonts w:ascii="Arial" w:hAnsi="Arial" w:cs="Arial"/>
          <w:sz w:val="22"/>
          <w:szCs w:val="22"/>
        </w:rPr>
        <w:fldChar w:fldCharType="separate"/>
      </w:r>
      <w:r>
        <w:rPr>
          <w:rFonts w:ascii="Arial" w:hAnsi="Arial" w:cs="Arial"/>
          <w:noProof/>
          <w:sz w:val="22"/>
          <w:szCs w:val="22"/>
        </w:rPr>
        <w:t>(Cole et al. 1988; Cole and Torchia 1991)</w:t>
      </w:r>
      <w:r>
        <w:rPr>
          <w:rFonts w:ascii="Arial" w:hAnsi="Arial" w:cs="Arial"/>
          <w:sz w:val="22"/>
          <w:szCs w:val="22"/>
        </w:rPr>
        <w:fldChar w:fldCharType="end"/>
      </w:r>
      <w:r>
        <w:rPr>
          <w:rFonts w:ascii="Arial" w:hAnsi="Arial" w:cs="Arial"/>
          <w:sz w:val="22"/>
          <w:szCs w:val="22"/>
        </w:rPr>
        <w:t>.</w:t>
      </w:r>
      <w:r>
        <w:rPr>
          <w:rFonts w:ascii="Arial" w:hAnsi="Arial" w:cs="Arial"/>
          <w:sz w:val="22"/>
          <w:szCs w:val="22"/>
          <w:lang w:val="en-US"/>
        </w:rPr>
        <w:t xml:space="preserve"> </w:t>
      </w:r>
      <w:r>
        <w:rPr>
          <w:rFonts w:ascii="Arial" w:hAnsi="Arial" w:cs="Arial"/>
          <w:sz w:val="22"/>
          <w:szCs w:val="22"/>
        </w:rPr>
        <w:t xml:space="preserve">The theoretical analysis of the </w:t>
      </w:r>
      <w:r>
        <w:rPr>
          <w:rFonts w:ascii="Arial" w:hAnsi="Arial" w:cs="Arial"/>
          <w:sz w:val="22"/>
          <w:szCs w:val="22"/>
          <w:vertAlign w:val="superscript"/>
        </w:rPr>
        <w:t>15</w:t>
      </w:r>
      <w:r>
        <w:rPr>
          <w:rFonts w:ascii="Arial" w:hAnsi="Arial" w:cs="Arial"/>
          <w:sz w:val="22"/>
          <w:szCs w:val="22"/>
        </w:rPr>
        <w:t xml:space="preserve">N longitudinal relaxation data for various jump and diffusive motional models is based on the seminal paper by Torchia and Szabo </w:t>
      </w:r>
      <w:r>
        <w:rPr>
          <w:rFonts w:ascii="Arial" w:hAnsi="Arial" w:cs="Arial"/>
          <w:sz w:val="22"/>
          <w:szCs w:val="22"/>
        </w:rPr>
        <w:fldChar w:fldCharType="begin"/>
      </w:r>
      <w:r>
        <w:rPr>
          <w:rFonts w:ascii="Arial" w:hAnsi="Arial" w:cs="Arial"/>
          <w:sz w:val="22"/>
          <w:szCs w:val="22"/>
        </w:rPr>
        <w:instrText xml:space="preserve"> ADDIN EN.CITE &lt;EndNote&gt;&lt;Cite&gt;&lt;Author&gt;Torchia&lt;/Author&gt;&lt;Year&gt;1982&lt;/Year&gt;&lt;RecNum&gt;97&lt;/RecNum&gt;&lt;DisplayText&gt;(Torchia and Szabo 1982)&lt;/DisplayText&gt;&lt;record&gt;&lt;rec-number&gt;97&lt;/rec-number&gt;&lt;foreign-keys&gt;&lt;key app="EN" db-id="a9resxaadtas09e2zsopdwwzxte520te05dv" timestamp="1550833545"&gt;97&lt;/key&gt;&lt;/foreign-keys&gt;&lt;ref-type name="Journal Article"&gt;17&lt;/ref-type&gt;&lt;contributors&gt;&lt;authors&gt;&lt;author&gt;Torchia, D. A.&lt;/author&gt;&lt;author&gt;Szabo, Attila&lt;/author&gt;&lt;/authors&gt;&lt;/contributors&gt;&lt;titles&gt;&lt;title&gt;Spin-lattice relaxation in solids&lt;/title&gt;&lt;secondary-title&gt;Journal of Magnetic Resonance (1969)&lt;/secondary-title&gt;&lt;/titles&gt;&lt;periodical&gt;&lt;full-title&gt;Journal of Magnetic Resonance (1969)&lt;/full-title&gt;&lt;/periodical&gt;&lt;pages&gt;107-121&lt;/pages&gt;&lt;volume&gt;49&lt;/volume&gt;&lt;number&gt;1&lt;/number&gt;&lt;dates&gt;&lt;year&gt;1982&lt;/year&gt;&lt;/dates&gt;&lt;isbn&gt;00222364&lt;/isbn&gt;&lt;urls&gt;&lt;/urls&gt;&lt;electronic-resource-num&gt;10.1016/0022-2364(82)90301-8&lt;/electronic-resource-num&gt;&lt;/record&gt;&lt;/Cite&gt;&lt;/EndNote&gt;</w:instrText>
      </w:r>
      <w:r>
        <w:rPr>
          <w:rFonts w:ascii="Arial" w:hAnsi="Arial" w:cs="Arial"/>
          <w:sz w:val="22"/>
          <w:szCs w:val="22"/>
        </w:rPr>
        <w:fldChar w:fldCharType="separate"/>
      </w:r>
      <w:r>
        <w:rPr>
          <w:rFonts w:ascii="Arial" w:hAnsi="Arial" w:cs="Arial"/>
          <w:noProof/>
          <w:sz w:val="22"/>
          <w:szCs w:val="22"/>
        </w:rPr>
        <w:t>(Torchia and Szabo 1982)</w:t>
      </w:r>
      <w:r>
        <w:rPr>
          <w:rFonts w:ascii="Arial" w:hAnsi="Arial" w:cs="Arial"/>
          <w:sz w:val="22"/>
          <w:szCs w:val="22"/>
        </w:rPr>
        <w:fldChar w:fldCharType="end"/>
      </w:r>
      <w:r>
        <w:rPr>
          <w:rFonts w:ascii="Arial" w:hAnsi="Arial" w:cs="Arial"/>
          <w:sz w:val="22"/>
          <w:szCs w:val="22"/>
          <w:lang w:val="en-US"/>
        </w:rPr>
        <w:t xml:space="preserve">. These experiments were inspiration for a whole generation of scientists. </w:t>
      </w:r>
      <w:r>
        <w:rPr>
          <w:rFonts w:ascii="Arial" w:hAnsi="Arial" w:cs="Arial"/>
          <w:sz w:val="22"/>
          <w:szCs w:val="22"/>
        </w:rPr>
        <w:t>With the advent of higher magnetic fields, faster spinning, availability of high quality samples and atom-specific assignments in the solid-state, these experiments have been applied to uniformly isotopically enriched proteins to measure backbone amide</w:t>
      </w:r>
      <w:r>
        <w:t xml:space="preserve"> </w:t>
      </w:r>
      <w:r>
        <w:rPr>
          <w:rFonts w:ascii="Arial" w:hAnsi="Arial" w:cs="Arial"/>
          <w:sz w:val="22"/>
          <w:szCs w:val="22"/>
        </w:rPr>
        <w:fldChar w:fldCharType="begin"/>
      </w:r>
      <w:r>
        <w:rPr>
          <w:rFonts w:ascii="Arial" w:hAnsi="Arial" w:cs="Arial"/>
          <w:sz w:val="22"/>
          <w:szCs w:val="22"/>
        </w:rPr>
        <w:instrText xml:space="preserve"> ADDIN EN.CITE &lt;EndNote&gt;&lt;Cite&gt;&lt;Author&gt;Giraud&lt;/Author&gt;&lt;Year&gt;2004&lt;/Year&gt;&lt;RecNum&gt;98&lt;/RecNum&gt;&lt;DisplayText&gt;(Giraud et al. 2004)&lt;/DisplayText&gt;&lt;record&gt;&lt;rec-number&gt;98&lt;/rec-number&gt;&lt;foreign-keys&gt;&lt;key app="EN" db-id="a9resxaadtas09e2zsopdwwzxte520te05dv" timestamp="1550842908"&gt;98&lt;/key&gt;&lt;/foreign-keys&gt;&lt;ref-type name="Journal Article"&gt;17&lt;/ref-type&gt;&lt;contributors&gt;&lt;authors&gt;&lt;author&gt;Giraud, Nicolas&lt;/author&gt;&lt;author&gt;Böckmann, Anja&lt;/author&gt;&lt;author&gt;Lesage, Anne&lt;/author&gt;&lt;author&gt;Penin, François&lt;/author&gt;&lt;author&gt;Blackledge, Martin&lt;/author&gt;&lt;author&gt;Emsley, Lyndon&lt;/author&gt;&lt;/authors&gt;&lt;/contributors&gt;&lt;titles&gt;&lt;title&gt;Site-Specific Backbone Dynamics from a Crystalline Protein by Solid-State NMR Spectroscopy&lt;/title&gt;&lt;secondary-title&gt;Journal of the American Chemical Society&lt;/secondary-title&gt;&lt;/titles&gt;&lt;periodical&gt;&lt;full-title&gt;J Am Chem Soc&lt;/full-title&gt;&lt;abbr-1&gt;Journal of the American Chemical Society&lt;/abbr-1&gt;&lt;/periodical&gt;&lt;pages&gt;11422-11423&lt;/pages&gt;&lt;volume&gt;126&lt;/volume&gt;&lt;number&gt;37&lt;/number&gt;&lt;dates&gt;&lt;year&gt;2004&lt;/year&gt;&lt;/dates&gt;&lt;isbn&gt;0002-7863&amp;#xD;1520-5126&lt;/isbn&gt;&lt;urls&gt;&lt;/urls&gt;&lt;electronic-resource-num&gt;10.1021/ja046578g&lt;/electronic-resource-num&gt;&lt;/record&gt;&lt;/Cite&gt;&lt;/EndNote&gt;</w:instrText>
      </w:r>
      <w:r>
        <w:rPr>
          <w:rFonts w:ascii="Arial" w:hAnsi="Arial" w:cs="Arial"/>
          <w:sz w:val="22"/>
          <w:szCs w:val="22"/>
        </w:rPr>
        <w:fldChar w:fldCharType="separate"/>
      </w:r>
      <w:r>
        <w:rPr>
          <w:rFonts w:ascii="Arial" w:hAnsi="Arial" w:cs="Arial"/>
          <w:noProof/>
          <w:sz w:val="22"/>
          <w:szCs w:val="22"/>
        </w:rPr>
        <w:t>(Giraud et al. 2004)</w:t>
      </w:r>
      <w:r>
        <w:rPr>
          <w:rFonts w:ascii="Arial" w:hAnsi="Arial" w:cs="Arial"/>
          <w:sz w:val="22"/>
          <w:szCs w:val="22"/>
        </w:rPr>
        <w:fldChar w:fldCharType="end"/>
      </w:r>
      <w:r>
        <w:t xml:space="preserve"> </w:t>
      </w:r>
      <w:r>
        <w:rPr>
          <w:rFonts w:ascii="Arial" w:hAnsi="Arial" w:cs="Arial"/>
          <w:sz w:val="22"/>
          <w:szCs w:val="22"/>
        </w:rPr>
        <w:fldChar w:fldCharType="begin"/>
      </w:r>
      <w:r>
        <w:rPr>
          <w:rFonts w:ascii="Arial" w:hAnsi="Arial" w:cs="Arial"/>
          <w:sz w:val="22"/>
          <w:szCs w:val="22"/>
        </w:rPr>
        <w:instrText xml:space="preserve"> ADDIN EN.CITE &lt;EndNote&gt;&lt;Cite&gt;&lt;Author&gt;Chevelkov&lt;/Author&gt;&lt;Year&gt;2008&lt;/Year&gt;&lt;RecNum&gt;99&lt;/RecNum&gt;&lt;DisplayText&gt;(Chevelkov et al. 2008)&lt;/DisplayText&gt;&lt;record&gt;&lt;rec-number&gt;99&lt;/rec-number&gt;&lt;foreign-keys&gt;&lt;key app="EN" db-id="a9resxaadtas09e2zsopdwwzxte520te05dv" timestamp="1550842998"&gt;99&lt;/key&gt;&lt;/foreign-keys&gt;&lt;ref-type name="Journal Article"&gt;17&lt;/ref-type&gt;&lt;contributors&gt;&lt;authors&gt;&lt;author&gt;Chevelkov, Veniamin&lt;/author&gt;&lt;author&gt;Diehl, Anne&lt;/author&gt;&lt;author&gt;Reif, Bernd&lt;/author&gt;&lt;/authors&gt;&lt;/contributors&gt;&lt;titles&gt;&lt;title&gt;Measurement of N15-T1 relaxation rates in a perdeuterated protein by magic angle spinning solid-state nuclear magnetic resonance spectroscopy&lt;/title&gt;&lt;secondary-title&gt;The Journal of Chemical Physics&lt;/secondary-title&gt;&lt;/titles&gt;&lt;periodical&gt;&lt;full-title&gt;The Journal of Chemical Physics&lt;/full-title&gt;&lt;/periodical&gt;&lt;pages&gt;052316&lt;/pages&gt;&lt;volume&gt;128&lt;/volume&gt;&lt;number&gt;5&lt;/number&gt;&lt;dates&gt;&lt;year&gt;2008&lt;/year&gt;&lt;/dates&gt;&lt;isbn&gt;0021-9606&amp;#xD;1089-7690&lt;/isbn&gt;&lt;urls&gt;&lt;/urls&gt;&lt;electronic-resource-num&gt;10.1063/1.2819311&lt;/electronic-resource-num&gt;&lt;/record&gt;&lt;/Cite&gt;&lt;/EndNote&gt;</w:instrText>
      </w:r>
      <w:r>
        <w:rPr>
          <w:rFonts w:ascii="Arial" w:hAnsi="Arial" w:cs="Arial"/>
          <w:sz w:val="22"/>
          <w:szCs w:val="22"/>
        </w:rPr>
        <w:fldChar w:fldCharType="separate"/>
      </w:r>
      <w:r>
        <w:rPr>
          <w:rFonts w:ascii="Arial" w:hAnsi="Arial" w:cs="Arial"/>
          <w:noProof/>
          <w:sz w:val="22"/>
          <w:szCs w:val="22"/>
        </w:rPr>
        <w:t>(Chevelkov et al. 2008)</w:t>
      </w:r>
      <w:r>
        <w:rPr>
          <w:rFonts w:ascii="Arial" w:hAnsi="Arial" w:cs="Arial"/>
          <w:sz w:val="22"/>
          <w:szCs w:val="22"/>
        </w:rPr>
        <w:fldChar w:fldCharType="end"/>
      </w:r>
      <w:r>
        <w:rPr>
          <w:rFonts w:ascii="Arial" w:hAnsi="Arial" w:cs="Arial"/>
          <w:sz w:val="22"/>
          <w:szCs w:val="22"/>
          <w:lang w:val="en-US"/>
        </w:rPr>
        <w:t xml:space="preserve">, as well as for carbon </w:t>
      </w:r>
      <w:r>
        <w:rPr>
          <w:rFonts w:ascii="Arial" w:hAnsi="Arial" w:cs="Arial"/>
          <w:sz w:val="22"/>
          <w:szCs w:val="22"/>
          <w:vertAlign w:val="superscript"/>
          <w:lang w:val="en-US"/>
        </w:rPr>
        <w:t>13</w:t>
      </w:r>
      <w:r>
        <w:rPr>
          <w:rFonts w:ascii="Arial" w:hAnsi="Arial" w:cs="Arial"/>
          <w:sz w:val="22"/>
          <w:szCs w:val="22"/>
          <w:lang w:val="en-US"/>
        </w:rPr>
        <w:t xml:space="preserve">Cα relaxation rates in a proton and carbon dilute environment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&lt;EndNote&gt;&lt;Cite&gt;&lt;Author&gt;Asami&lt;/Author&gt;&lt;Year&gt;2015&lt;/Year&gt;&lt;RecNum&gt;100&lt;/RecNum&gt;&lt;DisplayText&gt;(Asami et al. 2015)&lt;/DisplayText&gt;&lt;record&gt;&lt;rec-number&gt;100&lt;/rec-number&gt;&lt;foreign-keys&gt;&lt;key app="EN" db-id="a9resxaadtas09e2zsopdwwzxte520te05dv" timestamp="1550843101"&gt;100&lt;/key&gt;&lt;/foreign-keys&gt;&lt;ref-type name="Journal Article"&gt;17&lt;/ref-type&gt;&lt;contributors&gt;&lt;authors&gt;&lt;author&gt;Asami, Sam&lt;/author&gt;&lt;author&gt;Porter, Justin R.&lt;/author&gt;&lt;author&gt;Lange, Oliver F.&lt;/author&gt;&lt;author&gt;Reif, Bernd&lt;/author&gt;&lt;/authors&gt;&lt;/contributors&gt;&lt;titles&gt;&lt;title&gt;Access to Cα Backbone Dynamics of Biological Solids by 13C T1 Relaxation and Molecular Dynamics Simulation&lt;/title&gt;&lt;secondary-title&gt;Journal of the American Chemical Society&lt;/secondary-title&gt;&lt;/titles&gt;&lt;periodical&gt;&lt;full-title&gt;J Am Chem Soc&lt;/full-title&gt;&lt;abbr-1&gt;Journal of the American Chemical Society&lt;/abbr-1&gt;&lt;/periodical&gt;&lt;pages&gt;1094-1100&lt;/pages&gt;&lt;volume&gt;137&lt;/volume&gt;&lt;number&gt;3&lt;/number&gt;&lt;dates&gt;&lt;year&gt;2015&lt;/year&gt;&lt;/dates&gt;&lt;isbn&gt;0002-7863&amp;#xD;1520-5126&lt;/isbn&gt;&lt;urls&gt;&lt;/urls&gt;&lt;electronic-resource-num&gt;10.1021/ja509367q&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(Asami et al. 2015)</w:t>
      </w:r>
      <w:r>
        <w:rPr>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sz w:val="22"/>
          <w:szCs w:val="22"/>
        </w:rPr>
        <w:t xml:space="preserve">Application of model-free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&lt;EndNote&gt;&lt;Cite&gt;&lt;Author&gt;Lipari&lt;/Author&gt;&lt;Year&gt;1982&lt;/Year&gt;&lt;RecNum&gt;92&lt;/RecNum&gt;&lt;DisplayText&gt;(Lipari and Szabo 1982)&lt;/DisplayText&gt;&lt;record&gt;&lt;rec-number&gt;92&lt;/rec-number&gt;&lt;foreign-keys&gt;&lt;key app="EN" db-id="a9resxaadtas09e2zsopdwwzxte520te05dv" timestamp="1549890687"&gt;92&lt;/key&gt;&lt;/foreign-keys&gt;&lt;ref-type name="Journal Article"&gt;17&lt;/ref-type&gt;&lt;contributors&gt;&lt;authors&gt;&lt;author&gt;Lipari, Giovanni&lt;/author&gt;&lt;author&gt;Szabo, Attila&lt;/author&gt;&lt;/authors&gt;&lt;/contributors&gt;&lt;titles&gt;&lt;title&gt;Model-free approach to the interpretation of nuclear magnetic resonance relaxation in macromolecules. 1. Theory and range of validity&lt;/title&gt;&lt;secondary-title&gt;Journal of the American Chemical Society&lt;/secondary-title&gt;&lt;/titles&gt;&lt;periodical&gt;&lt;full-title&gt;J Am Chem Soc&lt;/full-title&gt;&lt;abbr-1&gt;Journal of the American Chemical Society&lt;/abbr-1&gt;&lt;/periodical&gt;&lt;pages&gt;4546-4559&lt;/pages&gt;&lt;volume&gt;104&lt;/volume&gt;&lt;number&gt;17&lt;/number&gt;&lt;dates&gt;&lt;year&gt;1982&lt;/year&gt;&lt;/dates&gt;&lt;isbn&gt;0002-7863&lt;/isbn&gt;&lt;urls&gt;&lt;/urls&gt;&lt;electronic-resource-num&gt;10.1021/ja00381a009&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(Lipari and Szabo 1982)</w:t>
      </w:r>
      <w:r>
        <w:rPr>
          <w:rFonts w:ascii="Arial" w:hAnsi="Arial" w:cs="Arial"/>
          <w:sz w:val="22"/>
          <w:szCs w:val="22"/>
          <w:lang w:val="en-US"/>
        </w:rPr>
        <w:fldChar w:fldCharType="end"/>
      </w:r>
      <w:r>
        <w:rPr>
          <w:rFonts w:ascii="Arial" w:hAnsi="Arial" w:cs="Arial"/>
          <w:sz w:val="22"/>
          <w:szCs w:val="22"/>
        </w:rPr>
        <w:t xml:space="preserve"> </w:t>
      </w:r>
      <w:r>
        <w:rPr>
          <w:rFonts w:ascii="Arial" w:hAnsi="Arial" w:cs="Arial"/>
          <w:sz w:val="22"/>
          <w:szCs w:val="22"/>
          <w:lang w:val="en-US"/>
        </w:rPr>
        <w:t xml:space="preserve">and extended model-free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&lt;EndNote&gt;&lt;Cite&gt;&lt;Author&gt;Clore&lt;/Author&gt;&lt;Year&gt;1990&lt;/Year&gt;&lt;RecNum&gt;101&lt;/RecNum&gt;&lt;DisplayText&gt;(Clore et al. 1990)&lt;/DisplayText&gt;&lt;record&gt;&lt;rec-number&gt;101&lt;/rec-number&gt;&lt;foreign-keys&gt;&lt;key app="EN" db-id="a9resxaadtas09e2zsopdwwzxte520te05dv" timestamp="1550843250"&gt;101&lt;/key&gt;&lt;/foreign-keys&gt;&lt;ref-type name="Journal Article"&gt;17&lt;/ref-type&gt;&lt;contributors&gt;&lt;authors&gt;&lt;author&gt;Clore, G. Marius&lt;/author&gt;&lt;author&gt;Szabo, Attila&lt;/author&gt;&lt;author&gt;Bax, Ad&lt;/author&gt;&lt;author&gt;Kay, Lewis E.&lt;/author&gt;&lt;author&gt;Driscoll, Paul C.&lt;/author&gt;&lt;author&gt;Gronenborn, Angela M.&lt;/author&gt;&lt;/authors&gt;&lt;/contributors&gt;&lt;titles&gt;&lt;title&gt;Deviations from the simple two-parameter model-free approach to the interpretation of nitrogen-15 nuclear magnetic relaxation of proteins&lt;/title&gt;&lt;secondary-title&gt;Journal of the American Chemical Society&lt;/secondary-title&gt;&lt;/titles&gt;&lt;periodical&gt;&lt;full-title&gt;J Am Chem Soc&lt;/full-title&gt;&lt;abbr-1&gt;Journal of the American Chemical Society&lt;/abbr-1&gt;&lt;/periodical&gt;&lt;pages&gt;4989-4991&lt;/pages&gt;&lt;volume&gt;112&lt;/volume&gt;&lt;number&gt;12&lt;/number&gt;&lt;dates&gt;&lt;year&gt;1990&lt;/year&gt;&lt;/dates&gt;&lt;isbn&gt;0002-7863&lt;/isbn&gt;&lt;urls&gt;&lt;/urls&gt;&lt;electronic-resource-num&gt;10.1021/ja00168a070&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(Clore et al. 1990)</w:t>
      </w:r>
      <w:r>
        <w:rPr>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sz w:val="22"/>
          <w:szCs w:val="22"/>
        </w:rPr>
        <w:t xml:space="preserve">approaches resulted in a quantification of dynamic processes for micro-crystalline proteins </w:t>
      </w:r>
      <w:r>
        <w:rPr>
          <w:rFonts w:ascii="Arial" w:hAnsi="Arial" w:cs="Arial"/>
          <w:sz w:val="22"/>
          <w:szCs w:val="22"/>
          <w:lang w:val="en-US"/>
        </w:rPr>
        <w:fldChar w:fldCharType="begin">
          <w:fldData xml:space="preserve">PEVuZE5vdGU+PENpdGU+PEF1dGhvcj5DaGV2ZWxrb3Y8L0F1dGhvcj48WWVhcj4yMDA5PC9ZZWFy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PEVuZE5vdGU+PENpdGU+PEF1dGhvcj5DaGV2ZWxrb3Y8L0F1dGhvcj48WWVhcj4yMDA5PC9ZZWFy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(Chevelkov et al. 2009b; Schanda et al. 2010)</w:t>
      </w:r>
      <w:r>
        <w:rPr>
          <w:rFonts w:ascii="Arial" w:hAnsi="Arial" w:cs="Arial"/>
          <w:sz w:val="22"/>
          <w:szCs w:val="22"/>
          <w:lang w:val="en-US"/>
        </w:rPr>
        <w:fldChar w:fldCharType="end"/>
      </w:r>
      <w:r>
        <w:rPr>
          <w:rFonts w:ascii="Arial" w:hAnsi="Arial" w:cs="Arial"/>
          <w:sz w:val="22"/>
          <w:szCs w:val="22"/>
          <w:lang w:val="en-US"/>
        </w:rPr>
        <w:t xml:space="preserve">, as well as for HET-s prion fibrils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&lt;EndNote&gt;&lt;Cite&gt;&lt;Author&gt;Smith&lt;/Author&gt;&lt;Year&gt;2016&lt;/Year&gt;&lt;RecNum&gt;103&lt;/RecNum&gt;&lt;DisplayText&gt;(Smith et al. 2016)&lt;/DisplayText&gt;&lt;record&gt;&lt;rec-number&gt;103&lt;/rec-number&gt;&lt;foreign-keys&gt;&lt;key app="EN" db-id="a9resxaadtas09e2zsopdwwzxte520te05dv" timestamp="1550845010"&gt;103&lt;/key&gt;&lt;/foreign-keys&gt;&lt;ref-type name="Journal Article"&gt;17&lt;/ref-type&gt;&lt;contributors&gt;&lt;authors&gt;&lt;author&gt;Smith, Albert A.&lt;/author&gt;&lt;author&gt;Testori, Emilie&lt;/author&gt;&lt;author&gt;Cadalbert, Riccardo&lt;/author&gt;&lt;author&gt;Meier, Beat H.&lt;/author&gt;&lt;author&gt;Ernst, Matthias&lt;/author&gt;&lt;/authors&gt;&lt;/contributors&gt;&lt;titles&gt;&lt;title&gt;Characterization of fibril dynamics on three timescales by solid-state NMR&lt;/title&gt;&lt;secondary-title&gt;Journal of Biomolecular NMR&lt;/secondary-title&gt;&lt;/titles&gt;&lt;periodical&gt;&lt;full-title&gt;Journal of Biomolecular NMR&lt;/full-title&gt;&lt;/periodical&gt;&lt;pages&gt;171-191&lt;/pages&gt;&lt;volume&gt;65&lt;/volume&gt;&lt;number&gt;3-4&lt;/number&gt;&lt;dates&gt;&lt;year&gt;2016&lt;/year&gt;&lt;/dates&gt;&lt;isbn&gt;0925-2738&amp;#xD;1573-5001&lt;/isbn&gt;&lt;urls&gt;&lt;/urls&gt;&lt;electronic-resource-num&gt;10.1007/s10858-016-0047-8&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(Smith et al. 2016)</w:t>
      </w:r>
      <w:r>
        <w:rPr>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sz w:val="22"/>
          <w:szCs w:val="22"/>
        </w:rPr>
        <w:t>Torchia and co-workers compared structure and dynamics of staphylococcal nuclease in solution and in the crystal</w:t>
      </w:r>
      <w:r>
        <w:t xml:space="preserve"> </w:t>
      </w:r>
      <w:r>
        <w:rPr>
          <w:rFonts w:ascii="Arial" w:hAnsi="Arial" w:cs="Arial"/>
          <w:sz w:val="22"/>
          <w:szCs w:val="22"/>
        </w:rPr>
        <w:fldChar w:fldCharType="begin"/>
      </w:r>
      <w:r>
        <w:rPr>
          <w:rFonts w:ascii="Arial" w:hAnsi="Arial" w:cs="Arial"/>
          <w:sz w:val="22"/>
          <w:szCs w:val="22"/>
        </w:rPr>
        <w:instrText xml:space="preserve"> ADDIN EN.CITE &lt;EndNote&gt;&lt;Cite&gt;&lt;Author&gt;Cole&lt;/Author&gt;&lt;Year&gt;1988&lt;/Year&gt;&lt;RecNum&gt;95&lt;/RecNum&gt;&lt;DisplayText&gt;(Cole et al. 1988)&lt;/DisplayText&gt;&lt;record&gt;&lt;rec-number&gt;95&lt;/rec-number&gt;&lt;foreign-keys&gt;&lt;key app="EN" db-id="a9resxaadtas09e2zsopdwwzxte520te05dv" timestamp="1550833271"&gt;95&lt;/key&gt;&lt;/foreign-keys&gt;&lt;ref-type name="Journal Article"&gt;17&lt;/ref-type&gt;&lt;contributors&gt;&lt;authors&gt;&lt;author&gt;Cole, H. B.&lt;/author&gt;&lt;author&gt;Sparks, S. W.&lt;/author&gt;&lt;author&gt;Torchia, D. A.&lt;/author&gt;&lt;/authors&gt;&lt;/contributors&gt;&lt;titles&gt;&lt;title&gt;Comparison of the solution and crystal structures of staphylococcal nuclease with 13C and 15N chemical shifts used as structural fingerprints&lt;/title&gt;&lt;secondary-title&gt;Proceedings of the National Academy of Sciences&lt;/secondary-title&gt;&lt;/titles&gt;&lt;periodical&gt;&lt;full-title&gt;Proceedings of the National Academy of Sciences&lt;/full-title&gt;&lt;/periodical&gt;&lt;pages&gt;6362-6365&lt;/pages&gt;&lt;volume&gt;85&lt;/volume&gt;&lt;number&gt;17&lt;/number&gt;&lt;dates&gt;&lt;year&gt;1988&lt;/year&gt;&lt;/dates&gt;&lt;isbn&gt;0027-8424&amp;#xD;1091-6490&lt;/isbn&gt;&lt;urls&gt;&lt;/urls&gt;&lt;electronic-resource-num&gt;10.1073/pnas.85.17.6362&lt;/electronic-resource-num&gt;&lt;/record&gt;&lt;/Cite&gt;&lt;/EndNote&gt;</w:instrText>
      </w:r>
      <w:r>
        <w:rPr>
          <w:rFonts w:ascii="Arial" w:hAnsi="Arial" w:cs="Arial"/>
          <w:sz w:val="22"/>
          <w:szCs w:val="22"/>
        </w:rPr>
        <w:fldChar w:fldCharType="separate"/>
      </w:r>
      <w:r>
        <w:rPr>
          <w:rFonts w:ascii="Arial" w:hAnsi="Arial" w:cs="Arial"/>
          <w:noProof/>
          <w:sz w:val="22"/>
          <w:szCs w:val="22"/>
        </w:rPr>
        <w:t>(Cole et al. 1988)</w:t>
      </w:r>
      <w:r>
        <w:rPr>
          <w:rFonts w:ascii="Arial" w:hAnsi="Arial" w:cs="Arial"/>
          <w:sz w:val="22"/>
          <w:szCs w:val="22"/>
        </w:rPr>
        <w:fldChar w:fldCharType="end"/>
      </w:r>
      <w:r>
        <w:rPr>
          <w:rFonts w:ascii="Arial" w:hAnsi="Arial" w:cs="Arial"/>
          <w:sz w:val="22"/>
          <w:szCs w:val="22"/>
        </w:rPr>
        <w:t xml:space="preserve">. This analysis became a prototypic study for later investigations in which the dynamic properties of proteins in liquid and solid phase were compared </w:t>
      </w:r>
      <w:r>
        <w:rPr>
          <w:rFonts w:ascii="Arial" w:hAnsi="Arial" w:cs="Arial"/>
          <w:sz w:val="22"/>
          <w:szCs w:val="22"/>
        </w:rPr>
        <w:fldChar w:fldCharType="begin"/>
      </w:r>
      <w:r>
        <w:rPr>
          <w:rFonts w:ascii="Arial" w:hAnsi="Arial" w:cs="Arial"/>
          <w:sz w:val="22"/>
          <w:szCs w:val="22"/>
        </w:rPr>
        <w:instrText xml:space="preserve"> ADDIN EN.CITE &lt;EndNote&gt;&lt;Cite&gt;&lt;Author&gt;Reif&lt;/Author&gt;&lt;Year&gt;2006&lt;/Year&gt;&lt;RecNum&gt;104&lt;/RecNum&gt;&lt;DisplayText&gt;(Reif et al. 2006)&lt;/DisplayText&gt;&lt;record&gt;&lt;rec-number&gt;104&lt;/rec-number&gt;&lt;foreign-keys&gt;&lt;key app="EN" db-id="a9resxaadtas09e2zsopdwwzxte520te05dv" timestamp="1550845164"&gt;104&lt;/key&gt;&lt;/foreign-keys&gt;&lt;ref-type name="Journal Article"&gt;17&lt;/ref-type&gt;&lt;contributors&gt;&lt;authors&gt;&lt;author&gt;Reif, Bernd&lt;/author&gt;&lt;author&gt;Xue, Yi&lt;/author&gt;&lt;author&gt;Agarwal, Vipin&lt;/author&gt;&lt;author&gt;Pavlova, Maria S.&lt;/author&gt;&lt;author&gt;Hologne, Maggy&lt;/author&gt;&lt;author&gt;Diehl, Anne&lt;/author&gt;&lt;author&gt;Ryabov, Yaroslav E.&lt;/author&gt;&lt;author&gt;Skrynnikov, Nikolai R.&lt;/author&gt;&lt;/authors&gt;&lt;/contributors&gt;&lt;titles&gt;&lt;title&gt;Protein Side-Chain Dynamics Observed by Solution- and Solid-State NMR:  Comparative Analysis of Methyl2H Relaxation Data&lt;/title&gt;&lt;secondary-title&gt;Journal of the American Chemical Society&lt;/secondary-title&gt;&lt;/titles&gt;&lt;periodical&gt;&lt;full-title&gt;J Am Chem Soc&lt;/full-title&gt;&lt;abbr-1&gt;Journal of the American Chemical Society&lt;/abbr-1&gt;&lt;/periodical&gt;&lt;pages&gt;12354-12355&lt;/pages&gt;&lt;volume&gt;128&lt;/volume&gt;&lt;number&gt;38&lt;/number&gt;&lt;dates&gt;&lt;year&gt;2006&lt;/year&gt;&lt;/dates&gt;&lt;isbn&gt;0002-7863&amp;#xD;1520-5126&lt;/isbn&gt;&lt;urls&gt;&lt;/urls&gt;&lt;electronic-resource-num&gt;10.1021/ja062808a&lt;/electronic-resource-num&gt;&lt;/record&gt;&lt;/Cite&gt;&lt;/EndNote&gt;</w:instrText>
      </w:r>
      <w:r>
        <w:rPr>
          <w:rFonts w:ascii="Arial" w:hAnsi="Arial" w:cs="Arial"/>
          <w:sz w:val="22"/>
          <w:szCs w:val="22"/>
        </w:rPr>
        <w:fldChar w:fldCharType="separate"/>
      </w:r>
      <w:r>
        <w:rPr>
          <w:rFonts w:ascii="Arial" w:hAnsi="Arial" w:cs="Arial"/>
          <w:noProof/>
          <w:sz w:val="22"/>
          <w:szCs w:val="22"/>
        </w:rPr>
        <w:t>(Reif et al. 2006)</w:t>
      </w:r>
      <w:r>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&lt;EndNote&gt;&lt;Cite&gt;&lt;Author&gt;Chevelkov&lt;/Author&gt;&lt;Year&gt;2010&lt;/Year&gt;&lt;RecNum&gt;105&lt;/RecNum&gt;&lt;DisplayText&gt;(Chevelkov et al. 2010)&lt;/DisplayText&gt;&lt;record&gt;&lt;rec-number&gt;105&lt;/rec-number&gt;&lt;foreign-keys&gt;&lt;key app="EN" db-id="a9resxaadtas09e2zsopdwwzxte520te05dv" timestamp="1550845233"&gt;105&lt;/key&gt;&lt;/foreign-keys&gt;&lt;ref-type name="Journal Article"&gt;17&lt;/ref-type&gt;&lt;contributors&gt;&lt;authors&gt;&lt;author&gt;Chevelkov, Veniamin&lt;/author&gt;&lt;author&gt;Xue, Yi&lt;/author&gt;&lt;author&gt;Linser, Rasmus&lt;/author&gt;&lt;author&gt;Skrynnikov, Nikolai R.&lt;/author&gt;&lt;author&gt;Reif, Bernd&lt;/author&gt;&lt;/authors&gt;&lt;/contributors&gt;&lt;titles&gt;&lt;title&gt;Comparison of Solid-State Dipolar Couplings and Solution Relaxation Data Provides Insight into Protein Backbone Dynamics&lt;/title&gt;&lt;secondary-title&gt;Journal of the American Chemical Society&lt;/secondary-title&gt;&lt;/titles&gt;&lt;periodical&gt;&lt;full-title&gt;J Am Chem Soc&lt;/full-title&gt;&lt;abbr-1&gt;Journal of the American Chemical Society&lt;/abbr-1&gt;&lt;/periodical&gt;&lt;pages&gt;5015-5017&lt;/pages&gt;&lt;volume&gt;132&lt;/volume&gt;&lt;number&gt;14&lt;/number&gt;&lt;dates&gt;&lt;year&gt;2010&lt;/year&gt;&lt;/dates&gt;&lt;isbn&gt;0002-7863&amp;#xD;1520-5126&lt;/isbn&gt;&lt;urls&gt;&lt;/urls&gt;&lt;electronic-resource-num&gt;10.1021/ja100645k&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(Chevelkov et al. 2010)</w:t>
      </w:r>
      <w:r>
        <w:rPr>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sz w:val="22"/>
          <w:szCs w:val="22"/>
        </w:rPr>
        <w:t xml:space="preserve">The analysis of dynamics of keratin and collagen fibrils carried out by the Torchia lab had an important impact on the understanding of the </w:t>
      </w:r>
      <w:r>
        <w:rPr>
          <w:rFonts w:ascii="Arial" w:hAnsi="Arial" w:cs="Arial"/>
          <w:sz w:val="22"/>
          <w:szCs w:val="22"/>
          <w:lang w:val="en-US"/>
        </w:rPr>
        <w:t xml:space="preserve">mechanical properties of this protein material </w:t>
      </w:r>
      <w:r>
        <w:rPr>
          <w:rFonts w:ascii="Arial" w:hAnsi="Arial" w:cs="Arial"/>
          <w:sz w:val="22"/>
          <w:szCs w:val="22"/>
          <w:lang w:val="en-US"/>
        </w:rPr>
        <w:fldChar w:fldCharType="begin">
          <w:fldData xml:space="preserve">PEVuZE5vdGU+PENpdGU+PEF1dGhvcj5CYXRjaGVsZGVyPC9BdXRob3I+PFllYXI+MTk4MjwvWWVh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</w:fldData>
        </w:fldChar>
      </w:r>
      <w:r>
        <w:rPr>
          <w:rFonts w:ascii="Arial" w:hAnsi="Arial" w:cs="Arial"/>
          <w:sz w:val="22"/>
          <w:szCs w:val="22"/>
          <w:lang w:val="en-US"/>
        </w:rPr>
        <w:instrText xml:space="preserve"> ADDIN EN.CITE </w:instrText>
      </w:r>
      <w:r>
        <w:rPr>
          <w:rFonts w:ascii="Arial" w:hAnsi="Arial" w:cs="Arial"/>
          <w:sz w:val="22"/>
          <w:szCs w:val="22"/>
          <w:lang w:val="en-US"/>
        </w:rPr>
        <w:fldChar w:fldCharType="begin">
          <w:fldData xml:space="preserve">PEVuZE5vdGU+PENpdGU+PEF1dGhvcj5CYXRjaGVsZGVyPC9BdXRob3I+PFllYXI+MTk4MjwvWWVh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</w:fldData>
        </w:fldChar>
      </w:r>
      <w:r>
        <w:rPr>
          <w:rFonts w:ascii="Arial" w:hAnsi="Arial" w:cs="Arial"/>
          <w:sz w:val="22"/>
          <w:szCs w:val="22"/>
          <w:lang w:val="en-US"/>
        </w:rPr>
        <w:instrText xml:space="preserve"> ADDIN EN.CITE.DATA </w:instrText>
      </w:r>
      <w:r>
        <w:rPr>
          <w:rFonts w:ascii="Arial" w:hAnsi="Arial" w:cs="Arial"/>
          <w:sz w:val="22"/>
          <w:szCs w:val="22"/>
          <w:lang w:val="en-US"/>
        </w:rPr>
      </w:r>
      <w:r>
        <w:rPr>
          <w:rFonts w:ascii="Arial" w:hAnsi="Arial" w:cs="Arial"/>
          <w:sz w:val="22"/>
          <w:szCs w:val="22"/>
          <w:lang w:val="en-US"/>
        </w:rPr>
        <w:fldChar w:fldCharType="end"/>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(Batchelder et al. 1982; Jelinski et al. 1980; Mack et al. 2002)</w:t>
      </w:r>
      <w:r>
        <w:rPr>
          <w:rFonts w:ascii="Arial" w:hAnsi="Arial" w:cs="Arial"/>
          <w:sz w:val="22"/>
          <w:szCs w:val="22"/>
          <w:lang w:val="en-US"/>
        </w:rPr>
        <w:fldChar w:fldCharType="end"/>
      </w:r>
      <w:r>
        <w:rPr>
          <w:rFonts w:ascii="Arial" w:hAnsi="Arial" w:cs="Arial"/>
          <w:sz w:val="22"/>
          <w:szCs w:val="22"/>
          <w:lang w:val="en-US"/>
        </w:rPr>
        <w:t xml:space="preserve">, and is a role model how solid-state NMR allows to better understand motional processes in biology. </w:t>
      </w:r>
      <w:r>
        <w:rPr>
          <w:rFonts w:ascii="Arial" w:hAnsi="Arial" w:cs="Arial"/>
          <w:sz w:val="22"/>
          <w:szCs w:val="22"/>
        </w:rPr>
        <w:t xml:space="preserve">The analysis of deuterium line shapes of alanine methyl deuterated collagen samples </w:t>
      </w:r>
      <w:r>
        <w:rPr>
          <w:rFonts w:ascii="Arial" w:hAnsi="Arial" w:cs="Arial"/>
          <w:sz w:val="22"/>
          <w:szCs w:val="22"/>
        </w:rPr>
        <w:fldChar w:fldCharType="begin"/>
      </w:r>
      <w:r>
        <w:rPr>
          <w:rFonts w:ascii="Arial" w:hAnsi="Arial" w:cs="Arial"/>
          <w:sz w:val="22"/>
          <w:szCs w:val="22"/>
        </w:rPr>
        <w:instrText xml:space="preserve"> ADDIN EN.CITE &lt;EndNote&gt;&lt;Cite&gt;&lt;Author&gt;Jelinski&lt;/Author&gt;&lt;Year&gt;1980&lt;/Year&gt;&lt;RecNum&gt;107&lt;/RecNum&gt;&lt;DisplayText&gt;(Jelinski et al. 1980)&lt;/DisplayText&gt;&lt;record&gt;&lt;rec-number&gt;107&lt;/rec-number&gt;&lt;foreign-keys&gt;&lt;key app="EN" db-id="a9resxaadtas09e2zsopdwwzxte520te05dv" timestamp="1550846084"&gt;107&lt;/key&gt;&lt;/foreign-keys&gt;&lt;ref-type name="Journal Article"&gt;17&lt;/ref-type&gt;&lt;contributors&gt;&lt;authors&gt;&lt;author&gt;Jelinski, Lynn W.&lt;/author&gt;&lt;author&gt;Sullivan, C. E.&lt;/author&gt;&lt;author&gt;Torchia, D. A.&lt;/author&gt;&lt;/authors&gt;&lt;/contributors&gt;&lt;titles&gt;&lt;title&gt;2H NMR study of molecular motion in collagen fibrils&lt;/title&gt;&lt;secondary-title&gt;Nature&lt;/secondary-title&gt;&lt;/titles&gt;&lt;periodical&gt;&lt;full-title&gt;Nature&lt;/full-title&gt;&lt;/periodical&gt;&lt;pages&gt;531-534&lt;/pages&gt;&lt;volume&gt;284&lt;/volume&gt;&lt;number&gt;5756&lt;/number&gt;&lt;dates&gt;&lt;year&gt;1980&lt;/year&gt;&lt;/dates&gt;&lt;isbn&gt;0028-0836&amp;#xD;1476-4687&lt;/isbn&gt;&lt;urls&gt;&lt;/urls&gt;&lt;electronic-resource-num&gt;10.1038/284531a0&lt;/electronic-resource-num&gt;&lt;/record&gt;&lt;/Cite&gt;&lt;/EndNote&gt;</w:instrText>
      </w:r>
      <w:r>
        <w:rPr>
          <w:rFonts w:ascii="Arial" w:hAnsi="Arial" w:cs="Arial"/>
          <w:sz w:val="22"/>
          <w:szCs w:val="22"/>
        </w:rPr>
        <w:fldChar w:fldCharType="separate"/>
      </w:r>
      <w:r>
        <w:rPr>
          <w:rFonts w:ascii="Arial" w:hAnsi="Arial" w:cs="Arial"/>
          <w:noProof/>
          <w:sz w:val="22"/>
          <w:szCs w:val="22"/>
        </w:rPr>
        <w:t>(Jelinski et al. 1980)</w:t>
      </w:r>
      <w:r>
        <w:rPr>
          <w:rFonts w:ascii="Arial" w:hAnsi="Arial" w:cs="Arial"/>
          <w:sz w:val="22"/>
          <w:szCs w:val="22"/>
        </w:rPr>
        <w:fldChar w:fldCharType="end"/>
      </w:r>
      <w:r>
        <w:rPr>
          <w:rFonts w:ascii="Arial" w:hAnsi="Arial" w:cs="Arial"/>
          <w:sz w:val="22"/>
          <w:szCs w:val="22"/>
        </w:rPr>
        <w:t xml:space="preserve"> showed how the collagen molecules in the collagen fibrils reorient. The motional model is extracted from the measured order and asymmetry parameters. Today, experiments are carried out at ever increasing MAS rotation frequencies, and new methods are needed to extract information on order and asymmetry parameters under these conditions.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 xml:space="preserve">Under magic angle spinning, dipolar interactions are suppressed and need to be reintroduced by application of a multiple-pulse scheme. In the past, phase inverted CP (CPPI) </w:t>
      </w:r>
      <w:r>
        <w:rPr>
          <w:rFonts w:ascii="Arial" w:hAnsi="Arial" w:cs="Arial"/>
          <w:sz w:val="22"/>
          <w:szCs w:val="22"/>
        </w:rPr>
        <w:fldChar w:fldCharType="begin"/>
      </w:r>
      <w:r>
        <w:rPr>
          <w:rFonts w:ascii="Arial" w:hAnsi="Arial" w:cs="Arial"/>
          <w:sz w:val="22"/>
          <w:szCs w:val="22"/>
        </w:rPr>
        <w:instrText xml:space="preserve"> ADDIN EN.CITE &lt;EndNote&gt;&lt;Cite&gt;&lt;Author&gt;Chevelkov&lt;/Author&gt;&lt;Year&gt;2009&lt;/Year&gt;&lt;RecNum&gt;64&lt;/RecNum&gt;&lt;DisplayText&gt;(Chevelkov et al. 2009a)&lt;/DisplayText&gt;&lt;record&gt;&lt;rec-number&gt;64&lt;/rec-number&gt;&lt;foreign-keys&gt;&lt;key app="EN" db-id="a9resxaadtas09e2zsopdwwzxte520te05dv" timestamp="1531226675"&gt;64&lt;/key&gt;&lt;/foreign-keys&gt;&lt;ref-type name="Journal Article"&gt;17&lt;/ref-type&gt;&lt;contributors&gt;&lt;authors&gt;&lt;author&gt;Chevelkov, V.&lt;/author&gt;&lt;author&gt;Fink, U.&lt;/author&gt;&lt;author&gt;Reif, B.&lt;/author&gt;&lt;/authors&gt;&lt;/contributors&gt;&lt;auth-address&gt;Leibniz-Forschungsinstitut fur Molekulare Pharmakologie, D-13125 Berlin, Germany.&lt;/auth-address&gt;&lt;titles&gt;&lt;title&gt;Accurate determination of order parameters from 1H,15N dipolar couplings in MAS solid-state NMR experiments&lt;/title&gt;&lt;secondary-title&gt;J Am Chem Soc&lt;/secondary-title&gt;&lt;/titles&gt;&lt;periodical&gt;&lt;full-title&gt;J Am Chem Soc&lt;/full-title&gt;&lt;abbr-1&gt;Journal of the American Chemical Society&lt;/abbr-1&gt;&lt;/periodical&gt;&lt;pages&gt;14018-22&lt;/pages&gt;&lt;volume&gt;131&lt;/volume&gt;&lt;number&gt;39&lt;/number&gt;&lt;keywords&gt;&lt;keyword&gt;Computer Simulation&lt;/keyword&gt;&lt;keyword&gt;Deuterium/chemistry&lt;/keyword&gt;&lt;keyword&gt;Hydrogen Bonding&lt;/keyword&gt;&lt;keyword&gt;Nitrogen Isotopes&lt;/keyword&gt;&lt;keyword&gt;Nuclear Magnetic Resonance, Biomolecular/*methods&lt;/keyword&gt;&lt;keyword&gt;Proteins/*chemistry&lt;/keyword&gt;&lt;keyword&gt;Spectrin/chemistry&lt;/keyword&gt;&lt;/keywords&gt;&lt;dates&gt;&lt;year&gt;2009&lt;/year&gt;&lt;pub-dates&gt;&lt;date&gt;Oct 7&lt;/date&gt;&lt;/pub-dates&gt;&lt;/dates&gt;&lt;isbn&gt;1520-5126 (Electronic)&amp;#xD;0002-7863 (Linking)&lt;/isbn&gt;&lt;accession-num&gt;19743845&lt;/accession-num&gt;&lt;urls&gt;&lt;related-urls&gt;&lt;url&gt;https://www.ncbi.nlm.nih.gov/pubmed/19743845&lt;/url&gt;&lt;/related-urls&gt;&lt;/urls&gt;&lt;electronic-resource-num&gt;10.1021/ja902649u&lt;/electronic-resource-num&gt;&lt;/record&gt;&lt;/Cite&gt;&lt;/EndNote&gt;</w:instrText>
      </w:r>
      <w:r>
        <w:rPr>
          <w:rFonts w:ascii="Arial" w:hAnsi="Arial" w:cs="Arial"/>
          <w:sz w:val="22"/>
          <w:szCs w:val="22"/>
        </w:rPr>
        <w:fldChar w:fldCharType="separate"/>
      </w:r>
      <w:r>
        <w:rPr>
          <w:rFonts w:ascii="Arial" w:hAnsi="Arial" w:cs="Arial"/>
          <w:noProof/>
          <w:sz w:val="22"/>
          <w:szCs w:val="22"/>
        </w:rPr>
        <w:t>(Chevelkov et al. 2009a)</w:t>
      </w:r>
      <w:r>
        <w:rPr>
          <w:rFonts w:ascii="Arial" w:hAnsi="Arial" w:cs="Arial"/>
          <w:sz w:val="22"/>
          <w:szCs w:val="22"/>
        </w:rPr>
        <w:fldChar w:fldCharType="end"/>
      </w:r>
      <w:r>
        <w:rPr>
          <w:rFonts w:ascii="Arial" w:hAnsi="Arial" w:cs="Arial"/>
          <w:sz w:val="22"/>
          <w:szCs w:val="22"/>
        </w:rPr>
        <w:t xml:space="preserve">, REDOR-type experiments </w:t>
      </w:r>
      <w:r>
        <w:rPr>
          <w:rFonts w:ascii="Arial" w:hAnsi="Arial" w:cs="Arial"/>
          <w:sz w:val="22"/>
          <w:szCs w:val="22"/>
        </w:rPr>
        <w:fldChar w:fldCharType="begin"/>
      </w:r>
      <w:r>
        <w:rPr>
          <w:rFonts w:ascii="Arial" w:hAnsi="Arial" w:cs="Arial"/>
          <w:sz w:val="22"/>
          <w:szCs w:val="22"/>
        </w:rPr>
        <w:instrText xml:space="preserve"> ADDIN EN.CITE &lt;EndNote&gt;&lt;Cite&gt;&lt;Author&gt;Schanda&lt;/Author&gt;&lt;Year&gt;2010&lt;/Year&gt;&lt;RecNum&gt;68&lt;/RecNum&gt;&lt;DisplayText&gt;(Schanda et al. 2010)&lt;/DisplayText&gt;&lt;record&gt;&lt;rec-number&gt;68&lt;/rec-number&gt;&lt;foreign-keys&gt;&lt;key app="EN" db-id="a9resxaadtas09e2zsopdwwzxte520te05dv" timestamp="1531226916"&gt;68&lt;/key&gt;&lt;/foreign-keys&gt;&lt;ref-type name="Journal Article"&gt;17&lt;/ref-type&gt;&lt;contributors&gt;&lt;authors&gt;&lt;author&gt;Schanda, P.&lt;/author&gt;&lt;author&gt;Meier, B. H.&lt;/author&gt;&lt;author&gt;Ernst, M.&lt;/author&gt;&lt;/authors&gt;&lt;/contributors&gt;&lt;auth-address&gt;ETH Zurich, Physical Chemistry, Wolfgang-Pauli-Strasse 10, 8093 Zurich, Switzerland. pasa@nmr.phys.chem.ethz.ch&lt;/auth-address&gt;&lt;titles&gt;&lt;title&gt;Quantitative analysis of protein backbone dynamics in microcrystalline ubiquitin by solid-state NMR spectroscopy&lt;/title&gt;&lt;secondary-title&gt;J Am Chem Soc&lt;/secondary-title&gt;&lt;/titles&gt;&lt;periodical&gt;&lt;full-title&gt;J Am Chem Soc&lt;/full-title&gt;&lt;abbr-1&gt;Journal of the American Chemical Society&lt;/abbr-1&gt;&lt;/periodical&gt;&lt;pages&gt;15957-67&lt;/pages&gt;&lt;volume&gt;132&lt;/volume&gt;&lt;number&gt;45&lt;/number&gt;&lt;keywords&gt;&lt;keyword&gt;Computer Simulation&lt;/keyword&gt;&lt;keyword&gt;Crystallization&lt;/keyword&gt;&lt;keyword&gt;Models, Chemical&lt;/keyword&gt;&lt;keyword&gt;Nuclear Magnetic Resonance, Biomolecular/*methods&lt;/keyword&gt;&lt;keyword&gt;Protein Conformation&lt;/keyword&gt;&lt;keyword&gt;Ubiquitin/*chemistry&lt;/keyword&gt;&lt;/keywords&gt;&lt;dates&gt;&lt;year&gt;2010&lt;/year&gt;&lt;pub-dates&gt;&lt;date&gt;Nov 17&lt;/date&gt;&lt;/pub-dates&gt;&lt;/dates&gt;&lt;isbn&gt;1520-5126 (Electronic)&amp;#xD;0002-7863 (Linking)&lt;/isbn&gt;&lt;accession-num&gt;20977205&lt;/accession-num&gt;&lt;urls&gt;&lt;related-urls&gt;&lt;url&gt;https://www.ncbi.nlm.nih.gov/pubmed/20977205&lt;/url&gt;&lt;/related-urls&gt;&lt;/urls&gt;&lt;electronic-resource-num&gt;10.1021/ja100726a&lt;/electronic-resource-num&gt;&lt;/record&gt;&lt;/Cite&gt;&lt;/EndNote&gt;</w:instrText>
      </w:r>
      <w:r>
        <w:rPr>
          <w:rFonts w:ascii="Arial" w:hAnsi="Arial" w:cs="Arial"/>
          <w:sz w:val="22"/>
          <w:szCs w:val="22"/>
        </w:rPr>
        <w:fldChar w:fldCharType="separate"/>
      </w:r>
      <w:r>
        <w:rPr>
          <w:rFonts w:ascii="Arial" w:hAnsi="Arial" w:cs="Arial"/>
          <w:noProof/>
          <w:sz w:val="22"/>
          <w:szCs w:val="22"/>
        </w:rPr>
        <w:t>(Schanda et al. 2010)</w:t>
      </w:r>
      <w:r>
        <w:rPr>
          <w:rFonts w:ascii="Arial" w:hAnsi="Arial" w:cs="Arial"/>
          <w:sz w:val="22"/>
          <w:szCs w:val="22"/>
        </w:rPr>
        <w:fldChar w:fldCharType="end"/>
      </w:r>
      <w:r>
        <w:rPr>
          <w:rFonts w:ascii="Arial" w:hAnsi="Arial" w:cs="Arial"/>
          <w:sz w:val="22"/>
          <w:szCs w:val="22"/>
        </w:rPr>
        <w:t xml:space="preserve">, DIPSHIFT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&lt;EndNote&gt;&lt;Cite&gt;&lt;Author&gt;Munowitz&lt;/Author&gt;&lt;Year&gt;1981&lt;/Year&gt;&lt;RecNum&gt;109&lt;/RecNum&gt;&lt;DisplayText&gt;(Munowitz et al. 1981)&lt;/DisplayText&gt;&lt;record&gt;&lt;rec-number&gt;109&lt;/rec-number&gt;&lt;foreign-keys&gt;&lt;key app="EN" db-id="a9resxaadtas09e2zsopdwwzxte520te05dv" timestamp="1550846664"&gt;109&lt;/key&gt;&lt;/foreign-keys&gt;&lt;ref-type name="Journal Article"&gt;17&lt;/ref-type&gt;&lt;contributors&gt;&lt;authors&gt;&lt;author&gt;Munowitz, M. G.&lt;/author&gt;&lt;author&gt;Griffin, R. G.&lt;/author&gt;&lt;author&gt;Bodenhausen, G.&lt;/author&gt;&lt;author&gt;Huang, T. H.&lt;/author&gt;&lt;/authors&gt;&lt;/contributors&gt;&lt;titles&gt;&lt;title&gt;Two-dimensional rotational spin-echo nuclear magnetic resonance in solids: correlation of chemical shift and dipolar interactions&lt;/title&gt;&lt;secondary-title&gt;Journal of the American Chemical Society&lt;/secondary-title&gt;&lt;/titles&gt;&lt;periodical&gt;&lt;full-title&gt;J Am Chem Soc&lt;/full-title&gt;&lt;abbr-1&gt;Journal of the American Chemical Society&lt;/abbr-1&gt;&lt;/periodical&gt;&lt;pages&gt;2529-2533&lt;/pages&gt;&lt;volume&gt;103&lt;/volume&gt;&lt;number&gt;10&lt;/number&gt;&lt;dates&gt;&lt;year&gt;1981&lt;/year&gt;&lt;/dates&gt;&lt;isbn&gt;0002-7863&lt;/isbn&gt;&lt;urls&gt;&lt;/urls&gt;&lt;electronic-resource-num&gt;10.1021/ja00400a007&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(Munowitz et al. 1981)</w:t>
      </w:r>
      <w:r>
        <w:rPr>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sz w:val="22"/>
          <w:szCs w:val="22"/>
        </w:rPr>
        <w:t xml:space="preserve">or its </w:t>
      </w:r>
      <w:r>
        <w:rPr>
          <w:rFonts w:ascii="Arial" w:hAnsi="Arial" w:cs="Arial"/>
          <w:sz w:val="22"/>
          <w:szCs w:val="22"/>
          <w:lang w:val="en-US"/>
        </w:rPr>
        <w:t xml:space="preserve">phase-alternating R-symmetry (PARS) based </w:t>
      </w:r>
      <w:r>
        <w:rPr>
          <w:rFonts w:ascii="Arial" w:hAnsi="Arial" w:cs="Arial"/>
          <w:sz w:val="22"/>
          <w:szCs w:val="22"/>
          <w:lang w:val="en-US"/>
        </w:rPr>
        <w:lastRenderedPageBreak/>
        <w:t xml:space="preserve">analogues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&lt;EndNote&gt;&lt;Cite&gt;&lt;Author&gt;Hou&lt;/Author&gt;&lt;Year&gt;2014&lt;/Year&gt;&lt;RecNum&gt;110&lt;/RecNum&gt;&lt;DisplayText&gt;(Hou et al. 2014)&lt;/DisplayText&gt;&lt;record&gt;&lt;rec-number&gt;110&lt;/rec-number&gt;&lt;foreign-keys&gt;&lt;key app="EN" db-id="a9resxaadtas09e2zsopdwwzxte520te05dv" timestamp="1550846740"&gt;110&lt;/key&gt;&lt;/foreign-keys&gt;&lt;ref-type name="Journal Article"&gt;17&lt;/ref-type&gt;&lt;contributors&gt;&lt;authors&gt;&lt;author&gt;Hou, Guangjin&lt;/author&gt;&lt;author&gt;Lu, Xingyu&lt;/author&gt;&lt;author&gt;Vega, Alexander J.&lt;/author&gt;&lt;author&gt;Polenova, Tatyana&lt;/author&gt;&lt;/authors&gt;&lt;/contributors&gt;&lt;titles&gt;&lt;title&gt;Accurate measurement of heteronuclear dipolar couplings by phase-alternating R-symmetry (PARS) sequences in magic angle spinning NMR spectroscopy&lt;/title&gt;&lt;secondary-title&gt;The Journal of Chemical Physics&lt;/secondary-title&gt;&lt;/titles&gt;&lt;periodical&gt;&lt;full-title&gt;The Journal of Chemical Physics&lt;/full-title&gt;&lt;/periodical&gt;&lt;pages&gt;104202&lt;/pages&gt;&lt;volume&gt;141&lt;/volume&gt;&lt;number&gt;10&lt;/number&gt;&lt;dates&gt;&lt;year&gt;2014&lt;/year&gt;&lt;/dates&gt;&lt;isbn&gt;0021-9606&amp;#xD;1089-7690&lt;/isbn&gt;&lt;urls&gt;&lt;/urls&gt;&lt;electronic-resource-num&gt;10.1063/1.4894226&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(Hou et al. 2014)</w:t>
      </w:r>
      <w:r>
        <w:rPr>
          <w:rFonts w:ascii="Arial" w:hAnsi="Arial" w:cs="Arial"/>
          <w:sz w:val="22"/>
          <w:szCs w:val="22"/>
          <w:lang w:val="en-US"/>
        </w:rPr>
        <w:fldChar w:fldCharType="end"/>
      </w:r>
      <w:r>
        <w:rPr>
          <w:rFonts w:ascii="Arial" w:hAnsi="Arial" w:cs="Arial"/>
          <w:sz w:val="22"/>
          <w:szCs w:val="22"/>
          <w:lang w:val="en-US"/>
        </w:rPr>
        <w:t xml:space="preserve">, as well as </w:t>
      </w:r>
      <w:r>
        <w:rPr>
          <w:rFonts w:ascii="Arial" w:hAnsi="Arial" w:cs="Arial"/>
          <w:sz w:val="22"/>
          <w:szCs w:val="22"/>
        </w:rPr>
        <w:t xml:space="preserve">cross polarization with variable contact time (CP-VC) </w:t>
      </w:r>
      <w:r>
        <w:rPr>
          <w:rFonts w:ascii="Arial" w:hAnsi="Arial" w:cs="Arial"/>
          <w:sz w:val="22"/>
          <w:szCs w:val="22"/>
        </w:rPr>
        <w:fldChar w:fldCharType="begin"/>
      </w:r>
      <w:r>
        <w:rPr>
          <w:rFonts w:ascii="Arial" w:hAnsi="Arial" w:cs="Arial"/>
          <w:sz w:val="22"/>
          <w:szCs w:val="22"/>
        </w:rPr>
        <w:instrText xml:space="preserve"> ADDIN EN.CITE &lt;EndNote&gt;&lt;Cite&gt;&lt;Author&gt;Paluch&lt;/Author&gt;&lt;Year&gt;2015&lt;/Year&gt;&lt;RecNum&gt;81&lt;/RecNum&gt;&lt;DisplayText&gt;(Paluch et al. 2015)&lt;/DisplayText&gt;&lt;record&gt;&lt;rec-number&gt;81&lt;/rec-number&gt;&lt;foreign-keys&gt;&lt;key app="EN" db-id="a9resxaadtas09e2zsopdwwzxte520te05dv" timestamp="1531486678"&gt;81&lt;/key&gt;&lt;/foreign-keys&gt;&lt;ref-type name="Journal Article"&gt;17&lt;/ref-type&gt;&lt;contributors&gt;&lt;authors&gt;&lt;author&gt;Paluch, P.&lt;/author&gt;&lt;author&gt;Trébosc, J.&lt;/author&gt;&lt;author&gt;Nishiyama, Y.&lt;/author&gt;&lt;author&gt;Potrzebowski, M. J.&lt;/author&gt;&lt;author&gt;Malon, M.&lt;/author&gt;&lt;author&gt;Amoureux, J. P.&lt;/author&gt;&lt;/authors&gt;&lt;/contributors&gt;&lt;titles&gt;&lt;title&gt;Theoretical study of CP-VC: A simple, robust and accurate MAS NMR method for analysis of dipolar C–H interactions under rotation speeds faster than ca. 60kHz&lt;/title&gt;&lt;secondary-title&gt;Journal of Magnetic Resonance&lt;/secondary-title&gt;&lt;/titles&gt;&lt;periodical&gt;&lt;full-title&gt;Journal of Magnetic Resonance&lt;/full-title&gt;&lt;/periodical&gt;&lt;pages&gt;67-77&lt;/pages&gt;&lt;volume&gt;252&lt;/volume&gt;&lt;dates&gt;&lt;year&gt;2015&lt;/year&gt;&lt;/dates&gt;&lt;isbn&gt;10907807&lt;/isbn&gt;&lt;urls&gt;&lt;/urls&gt;&lt;electronic-resource-num&gt;10.1016/j.jmr.2015.01.002&lt;/electronic-resource-num&gt;&lt;/record&gt;&lt;/Cite&gt;&lt;/EndNote&gt;</w:instrText>
      </w:r>
      <w:r>
        <w:rPr>
          <w:rFonts w:ascii="Arial" w:hAnsi="Arial" w:cs="Arial"/>
          <w:sz w:val="22"/>
          <w:szCs w:val="22"/>
        </w:rPr>
        <w:fldChar w:fldCharType="separate"/>
      </w:r>
      <w:r>
        <w:rPr>
          <w:rFonts w:ascii="Arial" w:hAnsi="Arial" w:cs="Arial"/>
          <w:noProof/>
          <w:sz w:val="22"/>
          <w:szCs w:val="22"/>
        </w:rPr>
        <w:t>(Paluch et al. 2015)</w:t>
      </w:r>
      <w:r>
        <w:rPr>
          <w:rFonts w:ascii="Arial" w:hAnsi="Arial" w:cs="Arial"/>
          <w:sz w:val="22"/>
          <w:szCs w:val="22"/>
        </w:rPr>
        <w:fldChar w:fldCharType="end"/>
      </w:r>
      <w:r>
        <w:rPr>
          <w:rFonts w:ascii="Arial" w:hAnsi="Arial" w:cs="Arial"/>
          <w:sz w:val="22"/>
          <w:szCs w:val="22"/>
        </w:rPr>
        <w:t xml:space="preserve"> have been used to measure these one-bond dipolar interactions accurately. We have recently shown that amide backbone order parameters can be quantified using off-magic angle spinning </w:t>
      </w:r>
      <w:r>
        <w:rPr>
          <w:rFonts w:ascii="Arial" w:hAnsi="Arial" w:cs="Arial"/>
          <w:sz w:val="22"/>
          <w:szCs w:val="22"/>
        </w:rPr>
        <w:fldChar w:fldCharType="begin"/>
      </w:r>
      <w:r>
        <w:rPr>
          <w:rFonts w:ascii="Arial" w:hAnsi="Arial" w:cs="Arial"/>
          <w:sz w:val="22"/>
          <w:szCs w:val="22"/>
        </w:rPr>
        <w:instrText xml:space="preserve"> ADDIN EN.CITE &lt;EndNote&gt;&lt;Cite&gt;&lt;Author&gt;Xue&lt;/Author&gt;&lt;Year&gt;2019&lt;/Year&gt;&lt;RecNum&gt;91&lt;/RecNum&gt;&lt;DisplayText&gt;(Xue et al. 2019)&lt;/DisplayText&gt;&lt;record&gt;&lt;rec-number&gt;91&lt;/rec-number&gt;&lt;foreign-keys&gt;&lt;key app="EN" db-id="a9resxaadtas09e2zsopdwwzxte520te05dv" timestamp="1549890336"&gt;91&lt;/key&gt;&lt;/foreign-keys&gt;&lt;ref-type name="Journal Article"&gt;17&lt;/ref-type&gt;&lt;contributors&gt;&lt;authors&gt;&lt;author&gt;Xue, Kai&lt;/author&gt;&lt;author&gt;Mühlbauer, Max&lt;/author&gt;&lt;author&gt;Mamone, Salvatore&lt;/author&gt;&lt;author&gt;Sarkar, Riddhiman&lt;/author&gt;&lt;author&gt;Reif, Bernd&lt;/author&gt;&lt;/authors&gt;&lt;/contributors&gt;&lt;titles&gt;&lt;title&gt;Accurate Determination of 1H-15N Dipolar Couplings using inaccurate settings of the Magic Angle in Solid State NMR&lt;/title&gt;&lt;secondary-title&gt;Angewandte Chemie&lt;/secondary-title&gt;&lt;/titles&gt;&lt;periodical&gt;&lt;full-title&gt;Angewandte Chemie&lt;/full-title&gt;&lt;/periodical&gt;&lt;dates&gt;&lt;year&gt;2019&lt;/year&gt;&lt;/dates&gt;&lt;isbn&gt;00448249&lt;/isbn&gt;&lt;urls&gt;&lt;/urls&gt;&lt;electronic-resource-num&gt;10.1002/ange.201814314&lt;/electronic-resource-num&gt;&lt;/record&gt;&lt;/Cite&gt;&lt;/EndNote&gt;</w:instrText>
      </w:r>
      <w:r>
        <w:rPr>
          <w:rFonts w:ascii="Arial" w:hAnsi="Arial" w:cs="Arial"/>
          <w:sz w:val="22"/>
          <w:szCs w:val="22"/>
        </w:rPr>
        <w:fldChar w:fldCharType="separate"/>
      </w:r>
      <w:r>
        <w:rPr>
          <w:rFonts w:ascii="Arial" w:hAnsi="Arial" w:cs="Arial"/>
          <w:noProof/>
          <w:sz w:val="22"/>
          <w:szCs w:val="22"/>
        </w:rPr>
        <w:t>(Xue et al. 2019)</w:t>
      </w:r>
      <w:r>
        <w:rPr>
          <w:rFonts w:ascii="Arial" w:hAnsi="Arial" w:cs="Arial"/>
          <w:sz w:val="22"/>
          <w:szCs w:val="22"/>
        </w:rPr>
        <w:fldChar w:fldCharType="end"/>
      </w:r>
      <w:r>
        <w:rPr>
          <w:rFonts w:ascii="Arial" w:hAnsi="Arial" w:cs="Arial"/>
          <w:sz w:val="22"/>
          <w:szCs w:val="22"/>
        </w:rPr>
        <w:t xml:space="preserve">. We show here that this method is applicable for the determination of order parameters in a heavily deuterated sample of the SH3 domain of chicken α-spectrin. For the experiments, samples are prepared in which the methyl groups are selectively protonated in the </w:t>
      </w:r>
      <w:r>
        <w:rPr>
          <w:rFonts w:ascii="Arial" w:hAnsi="Arial" w:cs="Arial"/>
          <w:sz w:val="22"/>
          <w:szCs w:val="22"/>
        </w:rPr>
        <w:sym w:font="Symbol" w:char="F067"/>
      </w:r>
      <w:r>
        <w:rPr>
          <w:rFonts w:ascii="Arial" w:hAnsi="Arial" w:cs="Arial"/>
          <w:sz w:val="22"/>
          <w:szCs w:val="22"/>
          <w:vertAlign w:val="subscript"/>
        </w:rPr>
        <w:t>1</w:t>
      </w:r>
      <w:r>
        <w:rPr>
          <w:rFonts w:ascii="Arial" w:hAnsi="Arial" w:cs="Arial"/>
          <w:sz w:val="22"/>
          <w:szCs w:val="22"/>
        </w:rPr>
        <w:t xml:space="preserve"> position for valines as </w:t>
      </w:r>
      <w:r>
        <w:rPr>
          <w:rFonts w:ascii="Arial" w:hAnsi="Arial" w:cs="Arial"/>
          <w:sz w:val="22"/>
          <w:szCs w:val="22"/>
          <w:vertAlign w:val="superscript"/>
        </w:rPr>
        <w:t>13</w:t>
      </w:r>
      <w:r>
        <w:rPr>
          <w:rFonts w:ascii="Arial" w:hAnsi="Arial" w:cs="Arial"/>
          <w:sz w:val="22"/>
          <w:szCs w:val="22"/>
        </w:rPr>
        <w:t>CHD</w:t>
      </w:r>
      <w:r>
        <w:rPr>
          <w:rFonts w:ascii="Arial" w:hAnsi="Arial" w:cs="Arial"/>
          <w:sz w:val="22"/>
          <w:szCs w:val="22"/>
          <w:vertAlign w:val="subscript"/>
        </w:rPr>
        <w:t>2</w:t>
      </w:r>
      <w:r>
        <w:rPr>
          <w:rFonts w:ascii="Arial" w:hAnsi="Arial" w:cs="Arial"/>
          <w:sz w:val="22"/>
          <w:szCs w:val="22"/>
        </w:rPr>
        <w:t xml:space="preserve">, and at the </w:t>
      </w:r>
      <w:r>
        <w:rPr>
          <w:rFonts w:ascii="Arial" w:hAnsi="Arial" w:cs="Arial"/>
          <w:sz w:val="22"/>
          <w:szCs w:val="22"/>
        </w:rPr>
        <w:sym w:font="Symbol" w:char="F064"/>
      </w:r>
      <w:r>
        <w:rPr>
          <w:rFonts w:ascii="Arial" w:hAnsi="Arial" w:cs="Arial"/>
          <w:sz w:val="22"/>
          <w:szCs w:val="22"/>
          <w:vertAlign w:val="subscript"/>
        </w:rPr>
        <w:t>1</w:t>
      </w:r>
      <w:r>
        <w:rPr>
          <w:rFonts w:ascii="Arial" w:hAnsi="Arial" w:cs="Arial"/>
          <w:sz w:val="22"/>
          <w:szCs w:val="22"/>
        </w:rPr>
        <w:t xml:space="preserve"> position for leucines, using a </w:t>
      </w:r>
      <w:r>
        <w:rPr>
          <w:rFonts w:ascii="Arial" w:hAnsi="Arial" w:cs="Arial"/>
          <w:sz w:val="22"/>
          <w:szCs w:val="22"/>
          <w:lang w:val="en-US"/>
        </w:rPr>
        <w:t xml:space="preserve">specifically methyl-labeled acetolactate precursor </w:t>
      </w:r>
      <w:r>
        <w:rPr>
          <w:rFonts w:ascii="Arial" w:hAnsi="Arial" w:cs="Arial"/>
          <w:sz w:val="22"/>
          <w:szCs w:val="22"/>
          <w:lang w:val="en-US"/>
        </w:rPr>
        <w:fldChar w:fldCharType="begin"/>
      </w:r>
      <w:r>
        <w:rPr>
          <w:rFonts w:ascii="Arial" w:hAnsi="Arial" w:cs="Arial"/>
          <w:sz w:val="22"/>
          <w:szCs w:val="22"/>
          <w:lang w:val="en-US"/>
        </w:rPr>
        <w:instrText xml:space="preserve"> ADDIN EN.CITE &lt;EndNote&gt;&lt;Cite&gt;&lt;Author&gt;Gans&lt;/Author&gt;&lt;Year&gt;2010&lt;/Year&gt;&lt;RecNum&gt;111&lt;/RecNum&gt;&lt;DisplayText&gt;(Gans et al. 2010)&lt;/DisplayText&gt;&lt;record&gt;&lt;rec-number&gt;111&lt;/rec-number&gt;&lt;foreign-keys&gt;&lt;key app="EN" db-id="a9resxaadtas09e2zsopdwwzxte520te05dv" timestamp="1550846886"&gt;111&lt;/key&gt;&lt;/foreign-keys&gt;&lt;ref-type name="Journal Article"&gt;17&lt;/ref-type&gt;&lt;contributors&gt;&lt;authors&gt;&lt;author&gt;Gans, Pierre&lt;/author&gt;&lt;author&gt;Hamelin, Olivier&lt;/author&gt;&lt;author&gt;Sounier, Remy&lt;/author&gt;&lt;author&gt;Ayala, Isabel&lt;/author&gt;&lt;author&gt;Durá, M.  Asunción&lt;/author&gt;&lt;author&gt;Amero, Carlos D&lt;/author&gt;&lt;author&gt;Noirclerc-Savoye, Marjolaine&lt;/author&gt;&lt;author&gt;Franzetti, Bruno&lt;/author&gt;&lt;author&gt;Plevin, Michael J&lt;/author&gt;&lt;author&gt;Boisbouvier, Jérôme&lt;/author&gt;&lt;/authors&gt;&lt;/contributors&gt;&lt;titles&gt;&lt;title&gt;Stereospecific Isotopic Labeling of Methyl Groups for NMR Spectroscopic Studies of High-Molecular-Weight Proteins&lt;/title&gt;&lt;secondary-title&gt;Angewandte Chemie&lt;/secondary-title&gt;&lt;/titles&gt;&lt;periodical&gt;&lt;full-title&gt;Angewandte Chemie&lt;/full-title&gt;&lt;/periodical&gt;&lt;pages&gt;2002-2006&lt;/pages&gt;&lt;volume&gt;122&lt;/volume&gt;&lt;number&gt;11&lt;/number&gt;&lt;dates&gt;&lt;year&gt;2010&lt;/year&gt;&lt;/dates&gt;&lt;isbn&gt;00448249&lt;/isbn&gt;&lt;urls&gt;&lt;/urls&gt;&lt;electronic-resource-num&gt;10.1002/ange.200905660&lt;/electronic-resource-num&gt;&lt;/record&gt;&lt;/Cite&gt;&lt;/EndNote&gt;</w:instrText>
      </w:r>
      <w:r>
        <w:rPr>
          <w:rFonts w:ascii="Arial" w:hAnsi="Arial" w:cs="Arial"/>
          <w:sz w:val="22"/>
          <w:szCs w:val="22"/>
          <w:lang w:val="en-US"/>
        </w:rPr>
        <w:fldChar w:fldCharType="separate"/>
      </w:r>
      <w:r>
        <w:rPr>
          <w:rFonts w:ascii="Arial" w:hAnsi="Arial" w:cs="Arial"/>
          <w:noProof/>
          <w:sz w:val="22"/>
          <w:szCs w:val="22"/>
          <w:lang w:val="en-US"/>
        </w:rPr>
        <w:t>(Gans et al. 2010)</w:t>
      </w:r>
      <w:r>
        <w:rPr>
          <w:rFonts w:ascii="Arial" w:hAnsi="Arial" w:cs="Arial"/>
          <w:sz w:val="22"/>
          <w:szCs w:val="22"/>
          <w:lang w:val="en-US"/>
        </w:rPr>
        <w:fldChar w:fldCharType="end"/>
      </w:r>
      <w:r>
        <w:rPr>
          <w:rFonts w:ascii="Arial" w:hAnsi="Arial" w:cs="Arial"/>
          <w:sz w:val="22"/>
          <w:szCs w:val="22"/>
        </w:rPr>
        <w:t xml:space="preserve">. In this work, we have measured the </w:t>
      </w:r>
      <w:r>
        <w:rPr>
          <w:rFonts w:ascii="Arial" w:hAnsi="Arial" w:cs="Arial"/>
          <w:sz w:val="22"/>
          <w:szCs w:val="22"/>
          <w:vertAlign w:val="superscript"/>
        </w:rPr>
        <w:t>13</w:t>
      </w:r>
      <w:r>
        <w:rPr>
          <w:rFonts w:ascii="Arial" w:hAnsi="Arial" w:cs="Arial"/>
          <w:sz w:val="22"/>
          <w:szCs w:val="22"/>
        </w:rPr>
        <w:t>C-</w:t>
      </w:r>
      <w:r>
        <w:rPr>
          <w:rFonts w:ascii="Arial" w:hAnsi="Arial" w:cs="Arial"/>
          <w:sz w:val="22"/>
          <w:szCs w:val="22"/>
          <w:vertAlign w:val="superscript"/>
        </w:rPr>
        <w:t>1</w:t>
      </w:r>
      <w:r>
        <w:rPr>
          <w:rFonts w:ascii="Arial" w:hAnsi="Arial" w:cs="Arial"/>
          <w:sz w:val="22"/>
          <w:szCs w:val="22"/>
        </w:rPr>
        <w:t xml:space="preserve">H dipolar coupling of methyl groups in valine and leucine in heavily deuterated SH3 domain protein using slightly off magic angle sample spinning condition. The methyl groups are labelled as </w:t>
      </w:r>
      <w:r>
        <w:rPr>
          <w:rFonts w:ascii="Arial" w:hAnsi="Arial" w:cs="Arial"/>
          <w:sz w:val="22"/>
          <w:szCs w:val="22"/>
          <w:vertAlign w:val="superscript"/>
        </w:rPr>
        <w:t>13</w:t>
      </w:r>
      <w:r>
        <w:rPr>
          <w:rFonts w:ascii="Arial" w:hAnsi="Arial" w:cs="Arial"/>
          <w:sz w:val="22"/>
          <w:szCs w:val="22"/>
        </w:rPr>
        <w:t>CHD</w:t>
      </w:r>
      <w:r>
        <w:rPr>
          <w:rFonts w:ascii="Arial" w:hAnsi="Arial" w:cs="Arial"/>
          <w:sz w:val="22"/>
          <w:szCs w:val="22"/>
          <w:vertAlign w:val="subscript"/>
        </w:rPr>
        <w:t>2</w:t>
      </w:r>
      <w:r>
        <w:rPr>
          <w:rFonts w:ascii="Arial" w:hAnsi="Arial" w:cs="Arial"/>
          <w:sz w:val="22"/>
          <w:szCs w:val="22"/>
        </w:rPr>
        <w:t xml:space="preserve"> in 100% of the </w:t>
      </w:r>
      <w:r>
        <w:rPr>
          <w:rFonts w:ascii="Arial" w:hAnsi="Arial" w:cs="Arial"/>
          <w:sz w:val="22"/>
          <w:szCs w:val="22"/>
        </w:rPr>
        <w:sym w:font="Symbol" w:char="F067"/>
      </w:r>
      <w:r>
        <w:rPr>
          <w:rFonts w:ascii="Arial" w:hAnsi="Arial" w:cs="Arial"/>
          <w:sz w:val="22"/>
          <w:szCs w:val="22"/>
        </w:rPr>
        <w:t xml:space="preserve">1 sites in valine and 100% of the </w:t>
      </w:r>
      <w:r>
        <w:rPr>
          <w:rFonts w:ascii="Arial" w:hAnsi="Arial" w:cs="Arial"/>
          <w:sz w:val="22"/>
          <w:szCs w:val="22"/>
        </w:rPr>
        <w:sym w:font="Symbol" w:char="F064"/>
      </w:r>
      <w:r>
        <w:rPr>
          <w:rFonts w:ascii="Arial" w:hAnsi="Arial" w:cs="Arial"/>
          <w:sz w:val="22"/>
          <w:szCs w:val="22"/>
        </w:rPr>
        <w:t>1 sites in leucine. Comparison of the obtained results with the order parameters obtained in REDOR type experiments</w:t>
      </w:r>
      <w:r>
        <w:t xml:space="preserve"> </w:t>
      </w:r>
      <w:r>
        <w:rPr>
          <w:rFonts w:ascii="Arial" w:hAnsi="Arial" w:cs="Arial"/>
          <w:sz w:val="22"/>
          <w:szCs w:val="22"/>
        </w:rPr>
        <w:fldChar w:fldCharType="begin"/>
      </w:r>
      <w:r>
        <w:rPr>
          <w:rFonts w:ascii="Arial" w:hAnsi="Arial" w:cs="Arial"/>
          <w:sz w:val="22"/>
          <w:szCs w:val="22"/>
        </w:rPr>
        <w:instrText xml:space="preserve"> ADDIN EN.CITE &lt;EndNote&gt;&lt;Cite&gt;&lt;Author&gt;Asami&lt;/Author&gt;&lt;Year&gt;2013&lt;/Year&gt;&lt;RecNum&gt;26&lt;/RecNum&gt;&lt;DisplayText&gt;(Asami and Reif 2013)&lt;/DisplayText&gt;&lt;record&gt;&lt;rec-number&gt;26&lt;/rec-number&gt;&lt;foreign-keys&gt;&lt;key app="EN" db-id="a9resxaadtas09e2zsopdwwzxte520te05dv" timestamp="1489143138"&gt;26&lt;/key&gt;&lt;/foreign-keys&gt;&lt;ref-type name="Journal Article"&gt;17&lt;/ref-type&gt;&lt;contributors&gt;&lt;authors&gt;&lt;author&gt;Asami, S.&lt;/author&gt;&lt;author&gt;Reif, B.&lt;/author&gt;&lt;/authors&gt;&lt;/contributors&gt;&lt;titles&gt;&lt;title&gt;Proton-detected solid-state NMR at aliphatic sites: Applications to Crystalline Systems&lt;/title&gt;&lt;secondary-title&gt;Acc. Chem. Res.&lt;/secondary-title&gt;&lt;/titles&gt;&lt;periodical&gt;&lt;full-title&gt;Acc. Chem. Res.&lt;/full-title&gt;&lt;/periodical&gt;&lt;pages&gt;2089-2097&lt;/pages&gt;&lt;volume&gt;46&lt;/volume&gt;&lt;number&gt;9&lt;/number&gt;&lt;dates&gt;&lt;year&gt;2013&lt;/year&gt;&lt;pub-dates&gt;&lt;date&gt;17 Sep 2013&lt;/date&gt;&lt;/pub-dates&gt;&lt;/dates&gt;&lt;urls&gt;&lt;/urls&gt;&lt;/record&gt;&lt;/Cite&gt;&lt;/EndNote&gt;</w:instrText>
      </w:r>
      <w:r>
        <w:rPr>
          <w:rFonts w:ascii="Arial" w:hAnsi="Arial" w:cs="Arial"/>
          <w:sz w:val="22"/>
          <w:szCs w:val="22"/>
        </w:rPr>
        <w:fldChar w:fldCharType="separate"/>
      </w:r>
      <w:r>
        <w:rPr>
          <w:rFonts w:ascii="Arial" w:hAnsi="Arial" w:cs="Arial"/>
          <w:noProof/>
          <w:sz w:val="22"/>
          <w:szCs w:val="22"/>
        </w:rPr>
        <w:t>(Asami and Reif 2013)</w:t>
      </w:r>
      <w:r>
        <w:rPr>
          <w:rFonts w:ascii="Arial" w:hAnsi="Arial" w:cs="Arial"/>
          <w:sz w:val="22"/>
          <w:szCs w:val="22"/>
        </w:rPr>
        <w:fldChar w:fldCharType="end"/>
      </w:r>
      <w:r>
        <w:rPr>
          <w:rFonts w:ascii="Arial" w:hAnsi="Arial" w:cs="Arial"/>
          <w:sz w:val="22"/>
          <w:szCs w:val="22"/>
        </w:rPr>
        <w:t xml:space="preserve"> shows that offMAS and REDOR methods yield very similar values for the extracted order parameter. </w:t>
      </w:r>
    </w:p>
    <w:p>
      <w:pPr>
        <w:spacing w:line="360" w:lineRule="auto"/>
        <w:jc w:val="both"/>
        <w:rPr>
          <w:rFonts w:ascii="Arial" w:hAnsi="Arial" w:cs="Arial"/>
          <w:sz w:val="22"/>
          <w:szCs w:val="22"/>
        </w:rPr>
      </w:pPr>
    </w:p>
    <w:p>
      <w:pPr>
        <w:spacing w:after="120" w:line="360" w:lineRule="auto"/>
        <w:jc w:val="both"/>
        <w:rPr>
          <w:rFonts w:ascii="Arial" w:hAnsi="Arial" w:cs="Arial"/>
          <w:sz w:val="22"/>
          <w:szCs w:val="22"/>
        </w:rPr>
      </w:pPr>
      <w:r>
        <w:rPr>
          <w:rFonts w:ascii="Arial" w:hAnsi="Arial" w:cs="Arial"/>
          <w:b/>
          <w:sz w:val="22"/>
          <w:szCs w:val="22"/>
        </w:rPr>
        <w:t>Results and Discussion</w:t>
      </w:r>
    </w:p>
    <w:p>
      <w:pPr>
        <w:spacing w:line="360" w:lineRule="auto"/>
        <w:jc w:val="both"/>
        <w:rPr>
          <w:rFonts w:ascii="Arial" w:hAnsi="Arial" w:cs="Arial"/>
          <w:sz w:val="22"/>
          <w:szCs w:val="22"/>
        </w:rPr>
      </w:pPr>
      <w:r>
        <w:rPr>
          <w:rFonts w:ascii="Arial" w:hAnsi="Arial" w:cs="Arial"/>
          <w:sz w:val="22"/>
          <w:szCs w:val="22"/>
        </w:rPr>
        <w:t>High resolution NMR experiments for spinning solids traditionally require that the rotor is oriented at an angle (</w:t>
      </w:r>
      <m:oMath>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oMath>
      <w:r>
        <w:rPr>
          <w:rFonts w:ascii="Arial" w:hAnsi="Arial" w:cs="Arial"/>
          <w:sz w:val="22"/>
          <w:szCs w:val="22"/>
        </w:rPr>
        <w:t>) of 54.74</w:t>
      </w:r>
      <w:r>
        <w:rPr>
          <w:rFonts w:ascii="Helvetica" w:hAnsi="Helvetica"/>
          <w:sz w:val="22"/>
          <w:szCs w:val="22"/>
        </w:rPr>
        <w:sym w:font="Symbol" w:char="F0B0"/>
      </w:r>
      <w:r>
        <w:rPr>
          <w:rFonts w:ascii="Arial" w:hAnsi="Arial" w:cs="Arial"/>
          <w:sz w:val="22"/>
          <w:szCs w:val="22"/>
        </w:rPr>
        <w:t xml:space="preserve"> (</w:t>
      </w:r>
      <m:oMath>
        <m:func>
          <m:funcPr>
            <m:ctrlPr>
              <w:rPr>
                <w:rFonts w:ascii="Cambria Math" w:hAnsi="Cambria Math" w:cs="Arial"/>
                <w:i/>
                <w:sz w:val="22"/>
                <w:szCs w:val="22"/>
              </w:rPr>
            </m:ctrlPr>
          </m:funcPr>
          <m:fName>
            <m:sSup>
              <m:sSupPr>
                <m:ctrlPr>
                  <w:rPr>
                    <w:rFonts w:ascii="Cambria Math" w:hAnsi="Cambria Math" w:cs="Arial"/>
                    <w:i/>
                    <w:sz w:val="22"/>
                    <w:szCs w:val="22"/>
                  </w:rPr>
                </m:ctrlPr>
              </m:sSupPr>
              <m:e>
                <m:r>
                  <m:rPr>
                    <m:sty m:val="p"/>
                  </m:rPr>
                  <w:rPr>
                    <w:rFonts w:ascii="Cambria Math" w:hAnsi="Cambria Math" w:cs="Arial"/>
                    <w:sz w:val="22"/>
                    <w:szCs w:val="22"/>
                  </w:rPr>
                  <m:t>tan</m:t>
                </m:r>
              </m:e>
              <m:sup>
                <m:r>
                  <w:rPr>
                    <w:rFonts w:ascii="Cambria Math" w:hAnsi="Cambria Math" w:cs="Arial"/>
                    <w:sz w:val="22"/>
                    <w:szCs w:val="22"/>
                  </w:rPr>
                  <m:t>-1</m:t>
                </m:r>
              </m:sup>
            </m:sSup>
          </m:fName>
          <m:e>
            <m:rad>
              <m:radPr>
                <m:degHide m:val="1"/>
                <m:ctrlPr>
                  <w:rPr>
                    <w:rFonts w:ascii="Cambria Math" w:hAnsi="Cambria Math" w:cs="Arial"/>
                    <w:i/>
                    <w:sz w:val="22"/>
                    <w:szCs w:val="22"/>
                  </w:rPr>
                </m:ctrlPr>
              </m:radPr>
              <m:deg/>
              <m:e>
                <m:r>
                  <w:rPr>
                    <w:rFonts w:ascii="Cambria Math" w:hAnsi="Cambria Math" w:cs="Arial"/>
                    <w:sz w:val="22"/>
                    <w:szCs w:val="22"/>
                  </w:rPr>
                  <m:t>2</m:t>
                </m:r>
              </m:e>
            </m:rad>
          </m:e>
        </m:func>
      </m:oMath>
      <w:r>
        <w:rPr>
          <w:rFonts w:ascii="Arial" w:hAnsi="Arial" w:cs="Arial"/>
          <w:sz w:val="22"/>
          <w:szCs w:val="22"/>
        </w:rPr>
        <w:t>) with respect to B</w:t>
      </w:r>
      <w:r>
        <w:rPr>
          <w:rFonts w:ascii="Arial" w:hAnsi="Arial" w:cs="Arial"/>
          <w:sz w:val="22"/>
          <w:szCs w:val="22"/>
          <w:vertAlign w:val="subscript"/>
        </w:rPr>
        <w:t>0</w:t>
      </w:r>
      <w:r>
        <w:rPr>
          <w:rFonts w:ascii="Arial" w:hAnsi="Arial" w:cs="Arial"/>
          <w:sz w:val="22"/>
          <w:szCs w:val="22"/>
        </w:rPr>
        <w:t xml:space="preserve">. Under this condition, the components of the second rank anisotropic interactions such as dipolar interaction and chemical shift anisotropy (CSA) vanish </w:t>
      </w:r>
      <w:r>
        <w:rPr>
          <w:rFonts w:ascii="Arial" w:hAnsi="Arial" w:cs="Arial"/>
          <w:sz w:val="22"/>
          <w:szCs w:val="22"/>
        </w:rPr>
        <w:fldChar w:fldCharType="begin"/>
      </w:r>
      <w:r>
        <w:rPr>
          <w:rFonts w:ascii="Arial" w:hAnsi="Arial" w:cs="Arial"/>
          <w:sz w:val="22"/>
          <w:szCs w:val="22"/>
        </w:rPr>
        <w:instrText xml:space="preserve"> ADDIN EN.CITE &lt;EndNote&gt;&lt;Cite&gt;&lt;Author&gt;Andrew&lt;/Author&gt;&lt;Year&gt;1958&lt;/Year&gt;&lt;RecNum&gt;72&lt;/RecNum&gt;&lt;DisplayText&gt;(Andrew et al. 1958, 1959)&lt;/DisplayText&gt;&lt;record&gt;&lt;rec-number&gt;72&lt;/rec-number&gt;&lt;foreign-keys&gt;&lt;key app="EN" db-id="a9resxaadtas09e2zsopdwwzxte520te05dv" timestamp="1531236169"&gt;72&lt;/key&gt;&lt;/foreign-keys&gt;&lt;ref-type name="Journal Article"&gt;17&lt;/ref-type&gt;&lt;contributors&gt;&lt;authors&gt;&lt;author&gt;Andrew, E. R.&lt;/author&gt;&lt;author&gt;Bradbury, A.&lt;/author&gt;&lt;author&gt;Eades, R. G.&lt;/author&gt;&lt;/authors&gt;&lt;/contributors&gt;&lt;titles&gt;&lt;title&gt;Nuclear Magnetic Resonance Spectra from a Crystal rotated at High Speed&lt;/title&gt;&lt;secondary-title&gt;Nature&lt;/secondary-title&gt;&lt;/titles&gt;&lt;periodical&gt;&lt;full-title&gt;Nature&lt;/full-title&gt;&lt;/periodical&gt;&lt;pages&gt;1659&lt;/pages&gt;&lt;volume&gt;182&lt;/volume&gt;&lt;dates&gt;&lt;year&gt;1958&lt;/year&gt;&lt;pub-dates&gt;&lt;date&gt;12/13/online&lt;/date&gt;&lt;/pub-dates&gt;&lt;/dates&gt;&lt;publisher&gt;Nature Publishing Group&lt;/publisher&gt;&lt;urls&gt;&lt;related-urls&gt;&lt;url&gt;http://dx.doi.org/10.1038/1821659a0&lt;/url&gt;&lt;/related-urls&gt;&lt;/urls&gt;&lt;electronic-resource-num&gt;10.1038/1821659a0&lt;/electronic-resource-num&gt;&lt;/record&gt;&lt;/Cite&gt;&lt;Cite&gt;&lt;Author&gt;Andrew&lt;/Author&gt;&lt;Year&gt;1959&lt;/Year&gt;&lt;RecNum&gt;74&lt;/RecNum&gt;&lt;record&gt;&lt;rec-number&gt;74&lt;/rec-number&gt;&lt;foreign-keys&gt;&lt;key app="EN" db-id="a9resxaadtas09e2zsopdwwzxte520te05dv" timestamp="1531236261"&gt;74&lt;/key&gt;&lt;/foreign-keys&gt;&lt;ref-type name="Journal Article"&gt;17&lt;/ref-type&gt;&lt;contributors&gt;&lt;authors&gt;&lt;author&gt;Andrew, E. R.&lt;/author&gt;&lt;author&gt;Bradbury, A.&lt;/author&gt;&lt;author&gt;Eades, R. G.&lt;/author&gt;&lt;/authors&gt;&lt;/contributors&gt;&lt;titles&gt;&lt;title&gt;Removal of Dipolar Broadening of Nuclear Magnetic Resonance Spectra of Solids by Specimen Rotation&lt;/title&gt;&lt;secondary-title&gt;Nature&lt;/secondary-title&gt;&lt;/titles&gt;&lt;periodical&gt;&lt;full-title&gt;Nature&lt;/full-title&gt;&lt;/periodical&gt;&lt;pages&gt;1802&lt;/pages&gt;&lt;volume&gt;183&lt;/volume&gt;&lt;dates&gt;&lt;year&gt;1959&lt;/year&gt;&lt;pub-dates&gt;&lt;date&gt;06/27/online&lt;/date&gt;&lt;/pub-dates&gt;&lt;/dates&gt;&lt;publisher&gt;Nature Publishing Group&lt;/publisher&gt;&lt;urls&gt;&lt;related-urls&gt;&lt;url&gt;http://dx.doi.org/10.1038/1831802a0&lt;/url&gt;&lt;/related-urls&gt;&lt;/urls&gt;&lt;electronic-resource-num&gt;10.1038/1831802a0&lt;/electronic-resource-num&gt;&lt;/record&gt;&lt;/Cite&gt;&lt;/EndNote&gt;</w:instrText>
      </w:r>
      <w:r>
        <w:rPr>
          <w:rFonts w:ascii="Arial" w:hAnsi="Arial" w:cs="Arial"/>
          <w:sz w:val="22"/>
          <w:szCs w:val="22"/>
        </w:rPr>
        <w:fldChar w:fldCharType="separate"/>
      </w:r>
      <w:r>
        <w:rPr>
          <w:rFonts w:ascii="Arial" w:hAnsi="Arial" w:cs="Arial"/>
          <w:noProof/>
          <w:sz w:val="22"/>
          <w:szCs w:val="22"/>
        </w:rPr>
        <w:t>(Andrew et al. 1958, 1959)</w:t>
      </w:r>
      <w:r>
        <w:rPr>
          <w:rFonts w:ascii="Arial" w:hAnsi="Arial" w:cs="Arial"/>
          <w:sz w:val="22"/>
          <w:szCs w:val="22"/>
        </w:rPr>
        <w:fldChar w:fldCharType="end"/>
      </w:r>
      <w:r>
        <w:rPr>
          <w:rFonts w:ascii="Arial" w:hAnsi="Arial" w:cs="Arial"/>
          <w:sz w:val="22"/>
          <w:szCs w:val="22"/>
        </w:rPr>
        <w:t xml:space="preserve">. As a result, only the isotropic interactions such as isotropic chemical shifts and scalar couplings are retained in the spectra. In case distances between two nuclei or chemical shift tensors are to be quantified, RF pulses need to be employed to recouple the anisotropic interactions. In the past, robust recoupling methods have been developed to enable the quantification of dipolar coupling or CSA </w:t>
      </w:r>
      <w:r>
        <w:rPr>
          <w:rFonts w:ascii="Arial" w:hAnsi="Arial" w:cs="Arial"/>
          <w:sz w:val="22"/>
          <w:szCs w:val="22"/>
        </w:rPr>
        <w:fldChar w:fldCharType="begin"/>
      </w:r>
      <w:r>
        <w:rPr>
          <w:rFonts w:ascii="Arial" w:hAnsi="Arial" w:cs="Arial"/>
          <w:sz w:val="22"/>
          <w:szCs w:val="22"/>
        </w:rPr>
        <w:instrText xml:space="preserve"> ADDIN EN.CITE &lt;EndNote&gt;&lt;Cite&gt;&lt;Author&gt;Levitt&lt;/Author&gt;&lt;Year&gt;2007&lt;/Year&gt;&lt;RecNum&gt;79&lt;/RecNum&gt;&lt;DisplayText&gt;(Levitt 2007)&lt;/DisplayText&gt;&lt;record&gt;&lt;rec-number&gt;79&lt;/rec-number&gt;&lt;foreign-keys&gt;&lt;key app="EN" db-id="a9resxaadtas09e2zsopdwwzxte520te05dv" timestamp="1531486371"&gt;79&lt;/key&gt;&lt;/foreign-keys&gt;&lt;ref-type name="Journal Article"&gt;17&lt;/ref-type&gt;&lt;contributors&gt;&lt;authors&gt;&lt;author&gt;Levitt, Malcolm H.&lt;/author&gt;&lt;/authors&gt;&lt;/contributors&gt;&lt;titles&gt;&lt;title&gt;Symmetry-Based Pulse Sequences in Magic-Angle Spinning Solid-State NMR&lt;/title&gt;&lt;/titles&gt;&lt;dates&gt;&lt;year&gt;2007&lt;/year&gt;&lt;/dates&gt;&lt;urls&gt;&lt;/urls&gt;&lt;electronic-resource-num&gt;10.1002/9780470034590.emrstm0551&lt;/electronic-resource-num&gt;&lt;/record&gt;&lt;/Cite&gt;&lt;/EndNote&gt;</w:instrText>
      </w:r>
      <w:r>
        <w:rPr>
          <w:rFonts w:ascii="Arial" w:hAnsi="Arial" w:cs="Arial"/>
          <w:sz w:val="22"/>
          <w:szCs w:val="22"/>
        </w:rPr>
        <w:fldChar w:fldCharType="separate"/>
      </w:r>
      <w:r>
        <w:rPr>
          <w:rFonts w:ascii="Arial" w:hAnsi="Arial" w:cs="Arial"/>
          <w:noProof/>
          <w:sz w:val="22"/>
          <w:szCs w:val="22"/>
        </w:rPr>
        <w:t>(Levitt 2007)</w:t>
      </w:r>
      <w:r>
        <w:rPr>
          <w:rFonts w:ascii="Arial" w:hAnsi="Arial" w:cs="Arial"/>
          <w:sz w:val="22"/>
          <w:szCs w:val="22"/>
        </w:rPr>
        <w:fldChar w:fldCharType="end"/>
      </w:r>
      <w:r>
        <w:rPr>
          <w:rFonts w:ascii="Arial" w:hAnsi="Arial" w:cs="Arial"/>
          <w:sz w:val="22"/>
          <w:szCs w:val="22"/>
        </w:rPr>
        <w:t xml:space="preserve">.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The RF powers needed to recouple anisotropic interactions are typically on the order of 3-5 times the MAS frequency, with a few exceptions where RF requirements are less severe. For MAS frequencies ranging between 60-110 kHz, the RF powers thus exceed the practical limits. Fast MAS (&gt; 60 kHz) in combination with high B</w:t>
      </w:r>
      <w:r>
        <w:rPr>
          <w:rFonts w:ascii="Arial" w:hAnsi="Arial" w:cs="Arial"/>
          <w:sz w:val="22"/>
          <w:szCs w:val="22"/>
          <w:vertAlign w:val="subscript"/>
        </w:rPr>
        <w:t>0</w:t>
      </w:r>
      <w:r>
        <w:rPr>
          <w:rFonts w:ascii="Arial" w:hAnsi="Arial" w:cs="Arial"/>
          <w:sz w:val="22"/>
          <w:szCs w:val="22"/>
        </w:rPr>
        <w:t xml:space="preserve"> fields turned out to yield excellent spectral quality in biological samples. At the same time, the need for large amounts of samples decreases: Even though the rotor volume becomes smaller, sensitivity is not compromised. This makes fast MAS an attractive tool to study biological samples.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 xml:space="preserve">We have recently shown that performing NMR experiments under a slightly mis-adjusted rotation angle </w:t>
      </w:r>
      <m:oMath>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r>
          <w:rPr>
            <w:rFonts w:ascii="Cambria Math" w:hAnsi="Cambria Math" w:cs="Arial"/>
            <w:sz w:val="22"/>
            <w:szCs w:val="22"/>
          </w:rPr>
          <m:t xml:space="preserve"> </m:t>
        </m:r>
      </m:oMath>
      <w:r>
        <w:rPr>
          <w:rFonts w:ascii="Arial" w:hAnsi="Arial" w:cs="Arial"/>
          <w:sz w:val="22"/>
          <w:szCs w:val="22"/>
        </w:rPr>
        <w:t xml:space="preserve">(henceforth referred to as OffMAS), allows accurate determination of </w:t>
      </w:r>
      <w:r>
        <w:rPr>
          <w:rFonts w:ascii="Arial" w:hAnsi="Arial" w:cs="Arial"/>
          <w:sz w:val="22"/>
          <w:szCs w:val="22"/>
          <w:vertAlign w:val="superscript"/>
        </w:rPr>
        <w:t>15</w:t>
      </w:r>
      <w:r>
        <w:rPr>
          <w:rFonts w:ascii="Arial" w:hAnsi="Arial" w:cs="Arial"/>
          <w:sz w:val="22"/>
          <w:szCs w:val="22"/>
        </w:rPr>
        <w:t>N-</w:t>
      </w:r>
      <w:r>
        <w:rPr>
          <w:rFonts w:ascii="Arial" w:hAnsi="Arial" w:cs="Arial"/>
          <w:sz w:val="22"/>
          <w:szCs w:val="22"/>
          <w:vertAlign w:val="superscript"/>
        </w:rPr>
        <w:t>1</w:t>
      </w:r>
      <w:r>
        <w:rPr>
          <w:rFonts w:ascii="Arial" w:hAnsi="Arial" w:cs="Arial"/>
          <w:sz w:val="22"/>
          <w:szCs w:val="22"/>
        </w:rPr>
        <w:t xml:space="preserve">H order parameters </w:t>
      </w:r>
      <w:r>
        <w:rPr>
          <w:rFonts w:ascii="Arial" w:hAnsi="Arial" w:cs="Arial"/>
          <w:sz w:val="22"/>
          <w:szCs w:val="22"/>
        </w:rPr>
        <w:fldChar w:fldCharType="begin"/>
      </w:r>
      <w:r>
        <w:rPr>
          <w:rFonts w:ascii="Arial" w:hAnsi="Arial" w:cs="Arial"/>
          <w:sz w:val="22"/>
          <w:szCs w:val="22"/>
        </w:rPr>
        <w:instrText xml:space="preserve"> ADDIN EN.CITE &lt;EndNote&gt;&lt;Cite&gt;&lt;Author&gt;Xue&lt;/Author&gt;&lt;Year&gt;2019&lt;/Year&gt;&lt;RecNum&gt;91&lt;/RecNum&gt;&lt;DisplayText&gt;(Xue et al. 2019)&lt;/DisplayText&gt;&lt;record&gt;&lt;rec-number&gt;91&lt;/rec-number&gt;&lt;foreign-keys&gt;&lt;key app="EN" db-id="a9resxaadtas09e2zsopdwwzxte520te05dv" timestamp="1549890336"&gt;91&lt;/key&gt;&lt;/foreign-keys&gt;&lt;ref-type name="Journal Article"&gt;17&lt;/ref-type&gt;&lt;contributors&gt;&lt;authors&gt;&lt;author&gt;Xue, Kai&lt;/author&gt;&lt;author&gt;Mühlbauer, Max&lt;/author&gt;&lt;author&gt;Mamone, Salvatore&lt;/author&gt;&lt;author&gt;Sarkar, Riddhiman&lt;/author&gt;&lt;author&gt;Reif, Bernd&lt;/author&gt;&lt;/authors&gt;&lt;/contributors&gt;&lt;titles&gt;&lt;title&gt;Accurate Determination of 1H-15N Dipolar Couplings using inaccurate settings of the Magic Angle in Solid State NMR&lt;/title&gt;&lt;secondary-title&gt;Angewandte Chemie&lt;/secondary-title&gt;&lt;/titles&gt;&lt;periodical&gt;&lt;full-title&gt;Angewandte Chemie&lt;/full-title&gt;&lt;/periodical&gt;&lt;dates&gt;&lt;year&gt;2019&lt;/year&gt;&lt;/dates&gt;&lt;isbn&gt;00448249&lt;/isbn&gt;&lt;urls&gt;&lt;/urls&gt;&lt;electronic-resource-num&gt;10.1002/ange.201814314&lt;/electronic-resource-num&gt;&lt;/record&gt;&lt;/Cite&gt;&lt;/EndNote&gt;</w:instrText>
      </w:r>
      <w:r>
        <w:rPr>
          <w:rFonts w:ascii="Arial" w:hAnsi="Arial" w:cs="Arial"/>
          <w:sz w:val="22"/>
          <w:szCs w:val="22"/>
        </w:rPr>
        <w:fldChar w:fldCharType="separate"/>
      </w:r>
      <w:r>
        <w:rPr>
          <w:rFonts w:ascii="Arial" w:hAnsi="Arial" w:cs="Arial"/>
          <w:noProof/>
          <w:sz w:val="22"/>
          <w:szCs w:val="22"/>
        </w:rPr>
        <w:t>(Xue et al. 2019)</w:t>
      </w:r>
      <w:r>
        <w:rPr>
          <w:rFonts w:ascii="Arial" w:hAnsi="Arial" w:cs="Arial"/>
          <w:sz w:val="22"/>
          <w:szCs w:val="22"/>
        </w:rPr>
        <w:fldChar w:fldCharType="end"/>
      </w:r>
      <w:r>
        <w:rPr>
          <w:rFonts w:ascii="Arial" w:hAnsi="Arial" w:cs="Arial"/>
          <w:sz w:val="22"/>
          <w:szCs w:val="22"/>
        </w:rPr>
        <w:t xml:space="preserve"> in a protein sample. First implemented by the Levitt group to measure dipolar coupling in homonuclear systems for small molecules, this method is applicable at an arbitrary MAS frequency and has no restrictions with respect to the necessary RF power. In this experiment, in-phase </w:t>
      </w:r>
      <w:r>
        <w:rPr>
          <w:rFonts w:ascii="Arial" w:hAnsi="Arial" w:cs="Arial"/>
          <w:sz w:val="22"/>
          <w:szCs w:val="22"/>
          <w:vertAlign w:val="superscript"/>
        </w:rPr>
        <w:t>15</w:t>
      </w:r>
      <w:r>
        <w:rPr>
          <w:rFonts w:ascii="Arial" w:hAnsi="Arial" w:cs="Arial"/>
          <w:sz w:val="22"/>
          <w:szCs w:val="22"/>
        </w:rPr>
        <w:t>N</w:t>
      </w:r>
      <w:r>
        <w:rPr>
          <w:rFonts w:ascii="Arial" w:hAnsi="Arial" w:cs="Arial"/>
          <w:sz w:val="22"/>
          <w:szCs w:val="22"/>
          <w:vertAlign w:val="subscript"/>
        </w:rPr>
        <w:t>x/y</w:t>
      </w:r>
      <w:r>
        <w:rPr>
          <w:rFonts w:ascii="Arial" w:hAnsi="Arial" w:cs="Arial"/>
          <w:sz w:val="22"/>
          <w:szCs w:val="22"/>
        </w:rPr>
        <w:t xml:space="preserve"> magnetization is monitored as a function of the spin-echo delay using a single </w:t>
      </w:r>
      <w:r>
        <w:rPr>
          <w:rFonts w:ascii="Arial" w:hAnsi="Arial" w:cs="Arial"/>
          <w:sz w:val="22"/>
          <w:szCs w:val="22"/>
        </w:rPr>
        <w:sym w:font="Symbol" w:char="F070"/>
      </w:r>
      <w:r>
        <w:rPr>
          <w:rFonts w:ascii="Arial" w:hAnsi="Arial" w:cs="Arial"/>
          <w:sz w:val="22"/>
          <w:szCs w:val="22"/>
        </w:rPr>
        <w:t xml:space="preserve"> refocussing pulse (</w:t>
      </w:r>
      <w:r>
        <w:rPr>
          <w:rFonts w:ascii="Arial" w:hAnsi="Arial" w:cs="Arial"/>
          <w:color w:val="0432FF"/>
          <w:sz w:val="22"/>
          <w:szCs w:val="22"/>
        </w:rPr>
        <w:t>Figure 1</w:t>
      </w:r>
      <w:r>
        <w:rPr>
          <w:rFonts w:ascii="Arial" w:hAnsi="Arial" w:cs="Arial"/>
          <w:sz w:val="22"/>
          <w:szCs w:val="22"/>
        </w:rPr>
        <w:t xml:space="preserve">). The echo modulation curve of the powder averaged signal under off-MAS can be written as </w:t>
      </w:r>
      <w:r>
        <w:rPr>
          <w:rFonts w:ascii="Arial" w:hAnsi="Arial" w:cs="Arial"/>
          <w:sz w:val="22"/>
          <w:szCs w:val="22"/>
        </w:rPr>
        <w:fldChar w:fldCharType="begin">
          <w:fldData xml:space="preserve">PEVuZE5vdGU+PENpdGU+PEF1dGhvcj5QaWxlaW88L0F1dGhvcj48WWVhcj4yMDA3PC9ZZWFyPjxS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PEVuZE5vdGU+PENpdGU+PEF1dGhvcj5QaWxlaW88L0F1dGhvcj48WWVhcj4yMDA3PC9ZZWFyPjxS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(Pileio et al. 2007; Pileio et al. 2008; Sarkar et al. 2015)</w:t>
      </w:r>
      <w:r>
        <w:rPr>
          <w:rFonts w:ascii="Arial" w:hAnsi="Arial" w:cs="Arial"/>
          <w:sz w:val="22"/>
          <w:szCs w:val="22"/>
        </w:rPr>
        <w:fldChar w:fldCharType="end"/>
      </w:r>
      <w:r>
        <w:rPr>
          <w:rFonts w:ascii="Arial" w:hAnsi="Arial" w:cs="Arial"/>
          <w:sz w:val="22"/>
          <w:szCs w:val="22"/>
        </w:rPr>
        <w:t xml:space="preserve">: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ab/>
      </w:r>
      <m:oMath>
        <m:r>
          <w:rPr>
            <w:rFonts w:ascii="Cambria Math" w:hAnsi="Cambria Math" w:cs="Arial"/>
            <w:sz w:val="22"/>
            <w:szCs w:val="22"/>
          </w:rPr>
          <m:t>S</m:t>
        </m:r>
        <m:d>
          <m:dPr>
            <m:ctrlPr>
              <w:rPr>
                <w:rFonts w:ascii="Cambria Math" w:hAnsi="Cambria Math" w:cs="Arial"/>
                <w:i/>
                <w:sz w:val="22"/>
                <w:szCs w:val="22"/>
              </w:rPr>
            </m:ctrlPr>
          </m:dPr>
          <m:e>
            <m:r>
              <w:rPr>
                <w:rFonts w:ascii="Cambria Math" w:hAnsi="Cambria Math" w:cs="Arial"/>
                <w:sz w:val="22"/>
                <w:szCs w:val="22"/>
              </w:rPr>
              <m:t>τ</m:t>
            </m:r>
          </m:e>
        </m:d>
        <m:r>
          <w:rPr>
            <w:rFonts w:ascii="Cambria Math" w:hAnsi="Cambria Math" w:cs="Arial"/>
            <w:sz w:val="22"/>
            <w:szCs w:val="22"/>
          </w:rPr>
          <m:t>=pexp</m:t>
        </m:r>
        <m:d>
          <m:dPr>
            <m:begChr m:val="{"/>
            <m:endChr m:val="}"/>
            <m:ctrlPr>
              <w:rPr>
                <w:rFonts w:ascii="Cambria Math" w:hAnsi="Cambria Math" w:cs="Arial"/>
                <w:i/>
                <w:sz w:val="22"/>
                <w:szCs w:val="22"/>
              </w:rPr>
            </m:ctrlPr>
          </m:dPr>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τ</m:t>
                </m:r>
              </m:num>
              <m:den>
                <m:sSubSup>
                  <m:sSubSupPr>
                    <m:ctrlPr>
                      <w:rPr>
                        <w:rFonts w:ascii="Cambria Math" w:hAnsi="Cambria Math" w:cs="Arial"/>
                        <w:i/>
                        <w:sz w:val="22"/>
                        <w:szCs w:val="22"/>
                      </w:rPr>
                    </m:ctrlPr>
                  </m:sSubSupPr>
                  <m:e>
                    <m:r>
                      <w:rPr>
                        <w:rFonts w:ascii="Cambria Math" w:hAnsi="Cambria Math" w:cs="Arial"/>
                        <w:sz w:val="22"/>
                        <w:szCs w:val="22"/>
                      </w:rPr>
                      <m:t>T</m:t>
                    </m:r>
                  </m:e>
                  <m:sub>
                    <m:r>
                      <w:rPr>
                        <w:rFonts w:ascii="Cambria Math" w:hAnsi="Cambria Math" w:cs="Arial"/>
                        <w:sz w:val="22"/>
                        <w:szCs w:val="22"/>
                      </w:rPr>
                      <m:t>2</m:t>
                    </m:r>
                  </m:sub>
                  <m:sup>
                    <m:r>
                      <w:rPr>
                        <w:rFonts w:ascii="Cambria Math" w:hAnsi="Cambria Math" w:cs="Arial"/>
                        <w:sz w:val="22"/>
                        <w:szCs w:val="22"/>
                      </w:rPr>
                      <m:t>0</m:t>
                    </m:r>
                  </m:sup>
                </m:sSubSup>
              </m:den>
            </m:f>
          </m:e>
        </m:d>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1-p</m:t>
            </m:r>
          </m:e>
        </m:d>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mod</m:t>
            </m:r>
          </m:sub>
        </m:sSub>
        <m:r>
          <w:rPr>
            <w:rFonts w:ascii="Cambria Math" w:hAnsi="Cambria Math" w:cs="Arial"/>
            <w:sz w:val="22"/>
            <w:szCs w:val="22"/>
          </w:rPr>
          <m:t>(τ,</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r>
          <w:rPr>
            <w:rFonts w:ascii="Cambria Math" w:hAnsi="Cambria Math" w:cs="Arial"/>
            <w:sz w:val="22"/>
            <w:szCs w:val="22"/>
          </w:rPr>
          <m:t>)</m:t>
        </m:r>
        <m:r>
          <m:rPr>
            <m:sty m:val="p"/>
          </m:rPr>
          <w:rPr>
            <w:rFonts w:ascii="Cambria Math" w:hAnsi="Cambria Math" w:cs="Arial"/>
            <w:sz w:val="22"/>
            <w:szCs w:val="22"/>
          </w:rPr>
          <m:t>exp⁡{-</m:t>
        </m:r>
        <m:f>
          <m:fPr>
            <m:ctrlPr>
              <w:rPr>
                <w:rFonts w:ascii="Cambria Math" w:hAnsi="Cambria Math" w:cs="Arial"/>
                <w:sz w:val="22"/>
                <w:szCs w:val="22"/>
              </w:rPr>
            </m:ctrlPr>
          </m:fPr>
          <m:num>
            <m:r>
              <m:rPr>
                <m:sty m:val="p"/>
              </m:rPr>
              <w:rPr>
                <w:rFonts w:ascii="Cambria Math" w:hAnsi="Cambria Math" w:cs="Arial"/>
                <w:sz w:val="22"/>
                <w:szCs w:val="22"/>
              </w:rPr>
              <m:t>τ</m:t>
            </m:r>
          </m:num>
          <m:den>
            <m:sSubSup>
              <m:sSubSupPr>
                <m:ctrlPr>
                  <w:rPr>
                    <w:rFonts w:ascii="Cambria Math" w:hAnsi="Cambria Math" w:cs="Arial"/>
                    <w:i/>
                    <w:sz w:val="22"/>
                    <w:szCs w:val="22"/>
                  </w:rPr>
                </m:ctrlPr>
              </m:sSubSupPr>
              <m:e>
                <m:r>
                  <m:rPr>
                    <m:sty m:val="p"/>
                  </m:rPr>
                  <w:rPr>
                    <w:rFonts w:ascii="Cambria Math" w:hAnsi="Cambria Math" w:cs="Arial"/>
                    <w:sz w:val="22"/>
                    <w:szCs w:val="22"/>
                  </w:rPr>
                  <m:t>T</m:t>
                </m:r>
                <m:ctrlPr>
                  <w:rPr>
                    <w:rFonts w:ascii="Cambria Math" w:hAnsi="Cambria Math" w:cs="Arial"/>
                    <w:sz w:val="22"/>
                    <w:szCs w:val="22"/>
                  </w:rPr>
                </m:ctrlPr>
              </m:e>
              <m:sub>
                <m:r>
                  <m:rPr>
                    <m:sty m:val="p"/>
                  </m:rPr>
                  <w:rPr>
                    <w:rFonts w:ascii="Cambria Math" w:hAnsi="Cambria Math" w:cs="Arial"/>
                    <w:sz w:val="22"/>
                    <w:szCs w:val="22"/>
                  </w:rPr>
                  <m:t>2</m:t>
                </m:r>
                <m:ctrlPr>
                  <w:rPr>
                    <w:rFonts w:ascii="Cambria Math" w:hAnsi="Cambria Math" w:cs="Arial"/>
                    <w:sz w:val="22"/>
                    <w:szCs w:val="22"/>
                  </w:rPr>
                </m:ctrlPr>
              </m:sub>
              <m:sup>
                <m:r>
                  <w:rPr>
                    <w:rFonts w:ascii="Cambria Math" w:hAnsi="Cambria Math" w:cs="Arial"/>
                    <w:sz w:val="22"/>
                    <w:szCs w:val="22"/>
                  </w:rPr>
                  <m:t>J</m:t>
                </m:r>
              </m:sup>
            </m:sSubSup>
          </m:den>
        </m:f>
        <m:r>
          <w:rPr>
            <w:rFonts w:ascii="Cambria Math" w:hAnsi="Cambria Math" w:cs="Arial"/>
            <w:sz w:val="22"/>
            <w:szCs w:val="22"/>
          </w:rPr>
          <m:t>}</m:t>
        </m:r>
      </m:oMath>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[Eq. 1]</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 xml:space="preserve">The spin echo signal in Eq.1 consists of two components. The second part is dependent on the crystallite orientations, therefore affected by powder averaging of spin echo signals. By contrast, the first part is independent of crystallite orientations. The parameter </w:t>
      </w:r>
      <w:r>
        <w:rPr>
          <w:rFonts w:ascii="Arial" w:hAnsi="Arial" w:cs="Arial"/>
          <w:i/>
          <w:sz w:val="22"/>
          <w:szCs w:val="22"/>
        </w:rPr>
        <w:t>p</w:t>
      </w:r>
      <w:r>
        <w:rPr>
          <w:rFonts w:ascii="Arial" w:hAnsi="Arial" w:cs="Arial"/>
          <w:sz w:val="22"/>
          <w:szCs w:val="22"/>
        </w:rPr>
        <w:t xml:space="preserve"> determines the relative contributions of the signal components. </w:t>
      </w:r>
      <m:oMath>
        <m:sSubSup>
          <m:sSubSupPr>
            <m:ctrlPr>
              <w:rPr>
                <w:rFonts w:ascii="Cambria Math" w:hAnsi="Cambria Math" w:cs="Arial"/>
                <w:i/>
                <w:sz w:val="22"/>
                <w:szCs w:val="22"/>
              </w:rPr>
            </m:ctrlPr>
          </m:sSubSupPr>
          <m:e>
            <m:r>
              <w:rPr>
                <w:rFonts w:ascii="Cambria Math" w:hAnsi="Cambria Math" w:cs="Arial"/>
                <w:sz w:val="22"/>
                <w:szCs w:val="22"/>
              </w:rPr>
              <m:t>T</m:t>
            </m:r>
          </m:e>
          <m:sub>
            <m:r>
              <w:rPr>
                <w:rFonts w:ascii="Cambria Math" w:hAnsi="Cambria Math" w:cs="Arial"/>
                <w:sz w:val="22"/>
                <w:szCs w:val="22"/>
              </w:rPr>
              <m:t>2</m:t>
            </m:r>
          </m:sub>
          <m:sup>
            <m:r>
              <w:rPr>
                <w:rFonts w:ascii="Cambria Math" w:hAnsi="Cambria Math" w:cs="Arial"/>
                <w:sz w:val="22"/>
                <w:szCs w:val="22"/>
              </w:rPr>
              <m:t>0</m:t>
            </m:r>
          </m:sup>
        </m:sSubSup>
      </m:oMath>
      <w:r>
        <w:rPr>
          <w:rFonts w:ascii="Arial" w:hAnsi="Arial" w:cs="Arial"/>
          <w:sz w:val="22"/>
          <w:szCs w:val="22"/>
        </w:rPr>
        <w:t xml:space="preserve"> and </w:t>
      </w:r>
      <m:oMath>
        <m:sSubSup>
          <m:sSubSupPr>
            <m:ctrlPr>
              <w:rPr>
                <w:rFonts w:ascii="Cambria Math" w:hAnsi="Cambria Math" w:cs="Arial"/>
                <w:i/>
                <w:sz w:val="22"/>
                <w:szCs w:val="22"/>
              </w:rPr>
            </m:ctrlPr>
          </m:sSubSupPr>
          <m:e>
            <m:r>
              <w:rPr>
                <w:rFonts w:ascii="Cambria Math" w:hAnsi="Cambria Math" w:cs="Arial"/>
                <w:sz w:val="22"/>
                <w:szCs w:val="22"/>
              </w:rPr>
              <m:t>T</m:t>
            </m:r>
          </m:e>
          <m:sub>
            <m:r>
              <w:rPr>
                <w:rFonts w:ascii="Cambria Math" w:hAnsi="Cambria Math" w:cs="Arial"/>
                <w:sz w:val="22"/>
                <w:szCs w:val="22"/>
              </w:rPr>
              <m:t>2</m:t>
            </m:r>
          </m:sub>
          <m:sup>
            <m:r>
              <w:rPr>
                <w:rFonts w:ascii="Cambria Math" w:hAnsi="Cambria Math" w:cs="Arial"/>
                <w:sz w:val="22"/>
                <w:szCs w:val="22"/>
              </w:rPr>
              <m:t>J</m:t>
            </m:r>
          </m:sup>
        </m:sSubSup>
      </m:oMath>
      <w:r>
        <w:rPr>
          <w:rFonts w:ascii="Arial" w:hAnsi="Arial" w:cs="Arial"/>
          <w:sz w:val="22"/>
          <w:szCs w:val="22"/>
        </w:rPr>
        <w:t xml:space="preserve"> represent the decay constant of the first and second spin echo signal components, respectively. The oscillation of the spin echo signal is governed by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mod</m:t>
            </m:r>
          </m:sub>
        </m:sSub>
        <m:d>
          <m:dPr>
            <m:ctrlPr>
              <w:rPr>
                <w:rFonts w:ascii="Cambria Math" w:hAnsi="Cambria Math" w:cs="Arial"/>
                <w:i/>
                <w:sz w:val="22"/>
                <w:szCs w:val="22"/>
              </w:rPr>
            </m:ctrlPr>
          </m:dPr>
          <m:e>
            <m:r>
              <w:rPr>
                <w:rFonts w:ascii="Cambria Math" w:hAnsi="Cambria Math" w:cs="Arial"/>
                <w:sz w:val="22"/>
                <w:szCs w:val="22"/>
              </w:rPr>
              <m:t>τ,</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e>
        </m:d>
      </m:oMath>
      <w:r>
        <w:rPr>
          <w:rFonts w:ascii="Arial" w:hAnsi="Arial" w:cs="Arial"/>
          <w:sz w:val="22"/>
          <w:szCs w:val="22"/>
        </w:rPr>
        <w:t>, which is defined as:</w:t>
      </w:r>
    </w:p>
    <w:p>
      <w:pPr>
        <w:spacing w:line="360" w:lineRule="auto"/>
        <w:jc w:val="both"/>
        <w:rPr>
          <w:rFonts w:ascii="Arial" w:hAnsi="Arial" w:cs="Arial"/>
          <w:sz w:val="22"/>
          <w:szCs w:val="22"/>
        </w:rPr>
      </w:pPr>
    </w:p>
    <w:p>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mod</m:t>
            </m:r>
          </m:sub>
        </m:sSub>
        <m:d>
          <m:dPr>
            <m:ctrlPr>
              <w:rPr>
                <w:rFonts w:ascii="Cambria Math" w:hAnsi="Cambria Math" w:cs="Arial"/>
                <w:i/>
                <w:sz w:val="22"/>
                <w:szCs w:val="22"/>
              </w:rPr>
            </m:ctrlPr>
          </m:dPr>
          <m:e>
            <m:r>
              <w:rPr>
                <w:rFonts w:ascii="Cambria Math" w:hAnsi="Cambria Math" w:cs="Arial"/>
                <w:sz w:val="22"/>
                <w:szCs w:val="22"/>
              </w:rPr>
              <m:t>τ,</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e>
        </m:d>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nary>
          <m:naryP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π</m:t>
            </m:r>
          </m:sup>
          <m:e>
            <m:func>
              <m:funcPr>
                <m:ctrlPr>
                  <w:rPr>
                    <w:rFonts w:ascii="Cambria Math" w:hAnsi="Cambria Math" w:cs="Arial"/>
                    <w:sz w:val="22"/>
                    <w:szCs w:val="22"/>
                  </w:rPr>
                </m:ctrlPr>
              </m:funcPr>
              <m:fName>
                <m:r>
                  <m:rPr>
                    <m:sty m:val="p"/>
                  </m:rPr>
                  <w:rPr>
                    <w:rFonts w:ascii="Cambria Math" w:hAnsi="Cambria Math" w:cs="Arial"/>
                    <w:sz w:val="22"/>
                    <w:szCs w:val="22"/>
                  </w:rPr>
                  <m:t>cos</m:t>
                </m:r>
              </m:fName>
              <m:e>
                <m:d>
                  <m:dPr>
                    <m:ctrlPr>
                      <w:rPr>
                        <w:rFonts w:ascii="Cambria Math" w:hAnsi="Cambria Math" w:cs="Arial"/>
                        <w:i/>
                        <w:sz w:val="22"/>
                        <w:szCs w:val="22"/>
                      </w:rPr>
                    </m:ctrlPr>
                  </m:dPr>
                  <m:e>
                    <m:r>
                      <w:rPr>
                        <w:rFonts w:ascii="Cambria Math" w:hAnsi="Cambria Math" w:cs="Arial"/>
                        <w:sz w:val="22"/>
                        <w:szCs w:val="22"/>
                      </w:rPr>
                      <m:t>πJτ+</m:t>
                    </m:r>
                    <m:sSup>
                      <m:sSupPr>
                        <m:ctrlPr>
                          <w:rPr>
                            <w:rFonts w:ascii="Cambria Math" w:hAnsi="Cambria Math" w:cs="Arial"/>
                            <w:i/>
                            <w:sz w:val="22"/>
                            <w:szCs w:val="22"/>
                          </w:rPr>
                        </m:ctrlPr>
                      </m:sSupPr>
                      <m:e>
                        <m:r>
                          <w:rPr>
                            <w:rFonts w:ascii="Cambria Math" w:hAnsi="Cambria Math" w:cs="Arial"/>
                            <w:sz w:val="22"/>
                            <w:szCs w:val="22"/>
                          </w:rPr>
                          <m:t>2</m:t>
                        </m:r>
                      </m:e>
                      <m:sup>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sup>
                    </m:sSup>
                    <m:r>
                      <w:rPr>
                        <w:rFonts w:ascii="Cambria Math" w:hAnsi="Cambria Math" w:cs="Arial"/>
                        <w:sz w:val="22"/>
                        <w:szCs w:val="22"/>
                      </w:rPr>
                      <m:t>b</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sSubSup>
                      <m:sSubSupPr>
                        <m:ctrlPr>
                          <w:rPr>
                            <w:rFonts w:ascii="Cambria Math" w:hAnsi="Cambria Math" w:cs="Arial"/>
                            <w:i/>
                            <w:sz w:val="22"/>
                            <w:szCs w:val="22"/>
                          </w:rPr>
                        </m:ctrlPr>
                      </m:sSubSupPr>
                      <m:e>
                        <m:r>
                          <w:rPr>
                            <w:rFonts w:ascii="Cambria Math" w:hAnsi="Cambria Math" w:cs="Arial"/>
                            <w:sz w:val="22"/>
                            <w:szCs w:val="22"/>
                          </w:rPr>
                          <m:t>d</m:t>
                        </m:r>
                      </m:e>
                      <m:sub>
                        <m:r>
                          <w:rPr>
                            <w:rFonts w:ascii="Cambria Math" w:hAnsi="Cambria Math" w:cs="Arial"/>
                            <w:sz w:val="22"/>
                            <w:szCs w:val="22"/>
                          </w:rPr>
                          <m:t>00</m:t>
                        </m:r>
                      </m:sub>
                      <m:sup>
                        <m:r>
                          <w:rPr>
                            <w:rFonts w:ascii="Cambria Math" w:hAnsi="Cambria Math" w:cs="Arial"/>
                            <w:sz w:val="22"/>
                            <w:szCs w:val="22"/>
                          </w:rPr>
                          <m:t>2</m:t>
                        </m:r>
                      </m:sup>
                    </m:sSubSup>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PR</m:t>
                            </m:r>
                          </m:sub>
                        </m:sSub>
                      </m:e>
                    </m:d>
                    <m:r>
                      <w:rPr>
                        <w:rFonts w:ascii="Cambria Math" w:hAnsi="Cambria Math" w:cs="Arial"/>
                        <w:sz w:val="22"/>
                        <w:szCs w:val="22"/>
                      </w:rPr>
                      <m:t>τ</m:t>
                    </m:r>
                  </m:e>
                </m:d>
              </m:e>
            </m:func>
            <m:r>
              <w:rPr>
                <w:rFonts w:ascii="Cambria Math" w:hAnsi="Cambria Math" w:cs="Arial"/>
                <w:sz w:val="22"/>
                <w:szCs w:val="22"/>
              </w:rPr>
              <m:t>sin</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PR</m:t>
                </m:r>
              </m:sub>
            </m:sSub>
            <m:r>
              <w:rPr>
                <w:rFonts w:ascii="Cambria Math" w:hAnsi="Cambria Math" w:cs="Arial"/>
                <w:sz w:val="22"/>
                <w:szCs w:val="22"/>
              </w:rPr>
              <m:t>d</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PR</m:t>
                </m:r>
              </m:sub>
            </m:sSub>
          </m:e>
        </m:nary>
      </m:oMath>
      <w:r>
        <w:rPr>
          <w:rFonts w:ascii="Arial" w:hAnsi="Arial" w:cs="Arial"/>
          <w:sz w:val="22"/>
          <w:szCs w:val="22"/>
        </w:rPr>
        <w:t xml:space="preserve">                          [Eq. 2] </w:t>
      </w:r>
    </w:p>
    <w:p>
      <w:pPr>
        <w:spacing w:line="360" w:lineRule="auto"/>
        <w:jc w:val="both"/>
        <w:rPr>
          <w:rFonts w:ascii="Arial" w:hAnsi="Arial" w:cs="Arial"/>
          <w:sz w:val="22"/>
          <w:szCs w:val="22"/>
        </w:rPr>
      </w:pPr>
    </w:p>
    <w:p>
      <w:pPr>
        <w:spacing w:line="360" w:lineRule="auto"/>
        <w:jc w:val="both"/>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mod</m:t>
            </m:r>
          </m:sub>
        </m:sSub>
      </m:oMath>
      <w:r>
        <w:rPr>
          <w:rFonts w:ascii="Arial" w:hAnsi="Arial" w:cs="Arial"/>
          <w:sz w:val="22"/>
          <w:szCs w:val="22"/>
        </w:rPr>
        <w:t xml:space="preserve"> is a function of the </w:t>
      </w:r>
      <w:r>
        <w:rPr>
          <w:rFonts w:ascii="Arial" w:hAnsi="Arial" w:cs="Arial"/>
          <w:sz w:val="22"/>
          <w:szCs w:val="22"/>
          <w:vertAlign w:val="superscript"/>
        </w:rPr>
        <w:t>1</w:t>
      </w:r>
      <w:r>
        <w:rPr>
          <w:rFonts w:ascii="Arial" w:hAnsi="Arial" w:cs="Arial"/>
          <w:sz w:val="22"/>
          <w:szCs w:val="22"/>
        </w:rPr>
        <w:t>H,</w:t>
      </w:r>
      <w:r>
        <w:rPr>
          <w:rFonts w:ascii="Arial" w:hAnsi="Arial" w:cs="Arial"/>
          <w:sz w:val="22"/>
          <w:szCs w:val="22"/>
          <w:vertAlign w:val="superscript"/>
        </w:rPr>
        <w:t>13</w:t>
      </w:r>
      <w:r>
        <w:rPr>
          <w:rFonts w:ascii="Arial" w:hAnsi="Arial" w:cs="Arial"/>
          <w:sz w:val="22"/>
          <w:szCs w:val="22"/>
        </w:rPr>
        <w:t>C heteronuclear scalar coupling (</w:t>
      </w:r>
      <w:r>
        <w:rPr>
          <w:rFonts w:ascii="Arial" w:hAnsi="Arial" w:cs="Arial"/>
          <w:i/>
          <w:sz w:val="22"/>
          <w:szCs w:val="22"/>
        </w:rPr>
        <w:t>J</w:t>
      </w:r>
      <w:r>
        <w:rPr>
          <w:rFonts w:ascii="Arial" w:hAnsi="Arial" w:cs="Arial"/>
          <w:sz w:val="22"/>
          <w:szCs w:val="22"/>
        </w:rPr>
        <w:t xml:space="preserve">) and dipolar coupling defined as </w:t>
      </w:r>
      <m:oMath>
        <m:r>
          <w:rPr>
            <w:rFonts w:ascii="Cambria Math" w:hAnsi="Cambria Math" w:cs="Arial"/>
          </w:rPr>
          <m:t>b=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μ</m:t>
                </m:r>
              </m:e>
              <m:sub>
                <m:r>
                  <w:rPr>
                    <w:rFonts w:ascii="Cambria Math" w:hAnsi="Cambria Math" w:cs="Arial"/>
                  </w:rPr>
                  <m:t>0</m:t>
                </m:r>
              </m:sub>
            </m:sSub>
          </m:num>
          <m:den>
            <m:r>
              <w:rPr>
                <w:rFonts w:ascii="Cambria Math" w:hAnsi="Cambria Math" w:cs="Arial"/>
              </w:rPr>
              <m:t>4π</m:t>
            </m:r>
          </m:den>
        </m:f>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ℏ(γ</m:t>
                </m:r>
              </m:e>
              <m:sub>
                <m:r>
                  <w:rPr>
                    <w:rFonts w:ascii="Cambria Math" w:hAnsi="Cambria Math" w:cs="Arial"/>
                  </w:rPr>
                  <m:t>H</m:t>
                </m:r>
              </m:sub>
            </m:sSub>
            <m:sSub>
              <m:sSubPr>
                <m:ctrlPr>
                  <w:rPr>
                    <w:rFonts w:ascii="Cambria Math" w:hAnsi="Cambria Math" w:cs="Arial"/>
                    <w:i/>
                  </w:rPr>
                </m:ctrlPr>
              </m:sSubPr>
              <m:e>
                <m:r>
                  <w:rPr>
                    <w:rFonts w:ascii="Cambria Math" w:hAnsi="Cambria Math" w:cs="Arial"/>
                  </w:rPr>
                  <m:t>γ</m:t>
                </m:r>
              </m:e>
              <m:sub>
                <m:r>
                  <w:rPr>
                    <w:rFonts w:ascii="Cambria Math" w:hAnsi="Cambria Math" w:cs="Arial"/>
                  </w:rPr>
                  <m:t>X</m:t>
                </m:r>
              </m:sub>
            </m:sSub>
            <m:r>
              <w:rPr>
                <w:rFonts w:ascii="Cambria Math" w:hAnsi="Cambria Math" w:cs="Arial"/>
              </w:rPr>
              <m:t>)</m:t>
            </m:r>
          </m:num>
          <m:den>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r</m:t>
                    </m:r>
                  </m:e>
                  <m:sub>
                    <m:r>
                      <w:rPr>
                        <w:rFonts w:ascii="Cambria Math" w:hAnsi="Cambria Math" w:cs="Arial"/>
                      </w:rPr>
                      <m:t>XH</m:t>
                    </m:r>
                  </m:sub>
                </m:sSub>
              </m:e>
              <m:sup>
                <m:r>
                  <w:rPr>
                    <w:rFonts w:ascii="Cambria Math" w:hAnsi="Cambria Math" w:cs="Arial"/>
                  </w:rPr>
                  <m:t>3</m:t>
                </m:r>
              </m:sup>
            </m:sSup>
          </m:den>
        </m:f>
      </m:oMath>
      <w:r>
        <w:rPr>
          <w:rFonts w:ascii="Arial" w:hAnsi="Arial" w:cs="Arial"/>
        </w:rPr>
        <w:t xml:space="preserve">.  </w:t>
      </w:r>
      <w:r>
        <w:rPr>
          <w:rFonts w:ascii="Arial" w:hAnsi="Arial" w:cs="Arial"/>
          <w:sz w:val="22"/>
          <w:szCs w:val="22"/>
        </w:rPr>
        <w:t>The analytical solution of Eq.2 is (</w:t>
      </w:r>
      <w:r>
        <w:rPr>
          <w:rFonts w:ascii="Arial" w:hAnsi="Arial" w:cs="Arial"/>
          <w:noProof/>
          <w:sz w:val="22"/>
          <w:szCs w:val="22"/>
        </w:rPr>
        <w:t>Pileio et al. 2007</w:t>
      </w:r>
      <w:r>
        <w:rPr>
          <w:rFonts w:ascii="Arial" w:hAnsi="Arial" w:cs="Arial"/>
          <w:sz w:val="22"/>
          <w:szCs w:val="22"/>
        </w:rPr>
        <w:t>):</w:t>
      </w:r>
      <w:r>
        <w:rPr>
          <w:rFonts w:ascii="Arial" w:hAnsi="Arial" w:cs="Arial"/>
        </w:rPr>
        <w:t xml:space="preserve"> </w:t>
      </w:r>
    </w:p>
    <w:p>
      <w:pPr>
        <w:spacing w:line="360" w:lineRule="auto"/>
        <w:rPr>
          <w:rFonts w:ascii="Arial" w:hAnsi="Arial" w:cs="Arial"/>
          <w:sz w:val="22"/>
          <w:szCs w:val="22"/>
        </w:rPr>
      </w:pPr>
      <w:r>
        <w:rPr>
          <w:rFonts w:ascii="Arial" w:hAnsi="Arial" w:cs="Arial"/>
          <w:sz w:val="22"/>
          <w:szCs w:val="22"/>
        </w:rPr>
        <w:tab/>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mod</m:t>
            </m:r>
          </m:sub>
        </m:sSub>
        <m:d>
          <m:dPr>
            <m:ctrlPr>
              <w:rPr>
                <w:rFonts w:ascii="Cambria Math" w:hAnsi="Cambria Math" w:cs="Arial"/>
                <w:i/>
                <w:sz w:val="22"/>
                <w:szCs w:val="22"/>
              </w:rPr>
            </m:ctrlPr>
          </m:dPr>
          <m:e>
            <m:r>
              <w:rPr>
                <w:rFonts w:ascii="Cambria Math" w:hAnsi="Cambria Math" w:cs="Arial"/>
                <w:sz w:val="22"/>
                <w:szCs w:val="22"/>
              </w:rPr>
              <m:t>τ,</m:t>
            </m:r>
            <m:sSub>
              <m:sSubPr>
                <m:ctrlPr>
                  <w:rPr>
                    <w:rFonts w:ascii="Cambria Math" w:hAnsi="Cambria Math" w:cs="Arial"/>
                    <w:i/>
                    <w:sz w:val="22"/>
                    <w:szCs w:val="22"/>
                  </w:rPr>
                </m:ctrlPr>
              </m:sSubPr>
              <m:e>
                <m:r>
                  <w:rPr>
                    <w:rFonts w:ascii="Cambria Math" w:hAnsi="Cambria Math" w:cs="Arial"/>
                    <w:sz w:val="22"/>
                    <w:szCs w:val="22"/>
                  </w:rPr>
                  <m:t>Δθ</m:t>
                </m:r>
              </m:e>
              <m:sub>
                <m:r>
                  <w:rPr>
                    <w:rFonts w:ascii="Cambria Math" w:hAnsi="Cambria Math" w:cs="Arial"/>
                    <w:sz w:val="22"/>
                    <w:szCs w:val="22"/>
                  </w:rPr>
                  <m:t>RL</m:t>
                </m:r>
              </m:sub>
            </m:sSub>
          </m:e>
        </m:d>
        <m:r>
          <w:rPr>
            <w:rFonts w:ascii="Cambria Math" w:hAnsi="Cambria Math" w:cs="Arial"/>
            <w:sz w:val="22"/>
            <w:szCs w:val="22"/>
          </w:rPr>
          <m:t>=</m:t>
        </m:r>
        <m:sSup>
          <m:sSupPr>
            <m:ctrlPr>
              <w:rPr>
                <w:rFonts w:ascii="Cambria Math" w:hAnsi="Cambria Math" w:cs="Arial"/>
                <w:i/>
                <w:sz w:val="22"/>
                <w:szCs w:val="22"/>
              </w:rPr>
            </m:ctrlPr>
          </m:sSupPr>
          <m:e>
            <m:r>
              <w:rPr>
                <w:rFonts w:ascii="Cambria Math" w:hAnsi="Cambria Math" w:cs="Arial"/>
                <w:sz w:val="22"/>
                <w:szCs w:val="22"/>
              </w:rPr>
              <m:t>x</m:t>
            </m:r>
          </m:e>
          <m:sup>
            <m:r>
              <w:rPr>
                <w:rFonts w:ascii="Cambria Math" w:hAnsi="Cambria Math" w:cs="Arial"/>
                <w:sz w:val="22"/>
                <w:szCs w:val="22"/>
              </w:rPr>
              <m:t>-1</m:t>
            </m:r>
          </m:sup>
        </m:sSup>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c</m:t>
                </m:r>
              </m:sub>
            </m:sSub>
            <m:d>
              <m:dPr>
                <m:ctrlPr>
                  <w:rPr>
                    <w:rFonts w:ascii="Cambria Math" w:hAnsi="Cambria Math" w:cs="Arial"/>
                    <w:i/>
                    <w:sz w:val="22"/>
                    <w:szCs w:val="22"/>
                  </w:rPr>
                </m:ctrlPr>
              </m:dPr>
              <m:e>
                <m:r>
                  <w:rPr>
                    <w:rFonts w:ascii="Cambria Math" w:hAnsi="Cambria Math" w:cs="Arial"/>
                    <w:sz w:val="22"/>
                    <w:szCs w:val="22"/>
                  </w:rPr>
                  <m:t>x</m:t>
                </m:r>
              </m:e>
            </m:d>
            <m:r>
              <w:rPr>
                <w:rFonts w:ascii="Cambria Math" w:hAnsi="Cambria Math" w:cs="Arial"/>
                <w:sz w:val="22"/>
                <w:szCs w:val="22"/>
              </w:rPr>
              <m:t>cosθ+</m:t>
            </m:r>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S</m:t>
                </m:r>
              </m:sub>
            </m:sSub>
            <m:d>
              <m:dPr>
                <m:ctrlPr>
                  <w:rPr>
                    <w:rFonts w:ascii="Cambria Math" w:hAnsi="Cambria Math" w:cs="Arial"/>
                    <w:i/>
                    <w:sz w:val="22"/>
                    <w:szCs w:val="22"/>
                  </w:rPr>
                </m:ctrlPr>
              </m:dPr>
              <m:e>
                <m:r>
                  <w:rPr>
                    <w:rFonts w:ascii="Cambria Math" w:hAnsi="Cambria Math" w:cs="Arial"/>
                    <w:sz w:val="22"/>
                    <w:szCs w:val="22"/>
                  </w:rPr>
                  <m:t>x</m:t>
                </m:r>
              </m:e>
            </m:d>
            <m:r>
              <w:rPr>
                <w:rFonts w:ascii="Cambria Math" w:hAnsi="Cambria Math" w:cs="Arial"/>
                <w:sz w:val="22"/>
                <w:szCs w:val="22"/>
              </w:rPr>
              <m:t>sinθ</m:t>
            </m:r>
          </m:e>
        </m:d>
        <m:r>
          <w:rPr>
            <w:rFonts w:ascii="Cambria Math" w:hAnsi="Cambria Math" w:cs="Arial"/>
            <w:sz w:val="22"/>
            <w:szCs w:val="22"/>
          </w:rPr>
          <m:t xml:space="preserve"> </m:t>
        </m:r>
      </m:oMath>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[Eq. 3]</w:t>
      </w:r>
    </w:p>
    <w:p>
      <w:pPr>
        <w:spacing w:before="120" w:line="360" w:lineRule="auto"/>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c</m:t>
              </m:r>
            </m:sub>
          </m:sSub>
          <m:d>
            <m:dPr>
              <m:ctrlPr>
                <w:rPr>
                  <w:rFonts w:ascii="Cambria Math" w:hAnsi="Cambria Math" w:cs="Arial"/>
                  <w:i/>
                  <w:sz w:val="22"/>
                  <w:szCs w:val="22"/>
                </w:rPr>
              </m:ctrlPr>
            </m:dPr>
            <m:e>
              <m:r>
                <w:rPr>
                  <w:rFonts w:ascii="Cambria Math" w:hAnsi="Cambria Math" w:cs="Arial"/>
                  <w:sz w:val="22"/>
                  <w:szCs w:val="22"/>
                </w:rPr>
                <m:t>x</m:t>
              </m:r>
            </m:e>
          </m:d>
          <m:r>
            <w:rPr>
              <w:rFonts w:ascii="Cambria Math" w:hAnsi="Cambria Math" w:cs="Arial"/>
              <w:sz w:val="22"/>
              <w:szCs w:val="22"/>
            </w:rPr>
            <m:t>=</m:t>
          </m:r>
          <m:nary>
            <m:naryP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x</m:t>
              </m:r>
            </m:sup>
            <m:e>
              <m:func>
                <m:funcPr>
                  <m:ctrlPr>
                    <w:rPr>
                      <w:rFonts w:ascii="Cambria Math" w:hAnsi="Cambria Math" w:cs="Arial"/>
                      <w:i/>
                      <w:sz w:val="22"/>
                      <w:szCs w:val="22"/>
                    </w:rPr>
                  </m:ctrlPr>
                </m:funcPr>
                <m:fName>
                  <m:r>
                    <m:rPr>
                      <m:sty m:val="p"/>
                    </m:rPr>
                    <w:rPr>
                      <w:rFonts w:ascii="Cambria Math" w:hAnsi="Cambria Math" w:cs="Arial"/>
                      <w:sz w:val="22"/>
                      <w:szCs w:val="22"/>
                    </w:rPr>
                    <m:t>cos</m:t>
                  </m:r>
                </m:fName>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π</m:t>
                          </m:r>
                          <m:sSup>
                            <m:sSupPr>
                              <m:ctrlPr>
                                <w:rPr>
                                  <w:rFonts w:ascii="Cambria Math" w:hAnsi="Cambria Math" w:cs="Arial"/>
                                  <w:i/>
                                  <w:sz w:val="22"/>
                                  <w:szCs w:val="22"/>
                                </w:rPr>
                              </m:ctrlPr>
                            </m:sSupPr>
                            <m:e>
                              <m:r>
                                <w:rPr>
                                  <w:rFonts w:ascii="Cambria Math" w:hAnsi="Cambria Math" w:cs="Arial"/>
                                  <w:sz w:val="22"/>
                                  <w:szCs w:val="22"/>
                                </w:rPr>
                                <m:t>y</m:t>
                              </m:r>
                            </m:e>
                            <m:sup>
                              <m:r>
                                <w:rPr>
                                  <w:rFonts w:ascii="Cambria Math" w:hAnsi="Cambria Math" w:cs="Arial"/>
                                  <w:sz w:val="22"/>
                                  <w:szCs w:val="22"/>
                                </w:rPr>
                                <m:t>2</m:t>
                              </m:r>
                            </m:sup>
                          </m:sSup>
                        </m:num>
                        <m:den>
                          <m:r>
                            <w:rPr>
                              <w:rFonts w:ascii="Cambria Math" w:hAnsi="Cambria Math" w:cs="Arial"/>
                              <w:sz w:val="22"/>
                              <w:szCs w:val="22"/>
                            </w:rPr>
                            <m:t>2</m:t>
                          </m:r>
                        </m:den>
                      </m:f>
                    </m:e>
                  </m:d>
                </m:e>
              </m:func>
              <m:r>
                <w:rPr>
                  <w:rFonts w:ascii="Cambria Math" w:hAnsi="Cambria Math" w:cs="Arial"/>
                  <w:sz w:val="22"/>
                  <w:szCs w:val="22"/>
                </w:rPr>
                <m:t>dy</m:t>
              </m:r>
            </m:e>
          </m:nary>
        </m:oMath>
      </m:oMathPara>
    </w:p>
    <w:p>
      <w:pPr>
        <w:spacing w:line="360" w:lineRule="auto"/>
        <w:jc w:val="right"/>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s</m:t>
              </m:r>
            </m:sub>
          </m:sSub>
          <m:d>
            <m:dPr>
              <m:ctrlPr>
                <w:rPr>
                  <w:rFonts w:ascii="Cambria Math" w:hAnsi="Cambria Math" w:cs="Arial"/>
                  <w:i/>
                  <w:sz w:val="22"/>
                  <w:szCs w:val="22"/>
                </w:rPr>
              </m:ctrlPr>
            </m:dPr>
            <m:e>
              <m:r>
                <w:rPr>
                  <w:rFonts w:ascii="Cambria Math" w:hAnsi="Cambria Math" w:cs="Arial"/>
                  <w:sz w:val="22"/>
                  <w:szCs w:val="22"/>
                </w:rPr>
                <m:t>x</m:t>
              </m:r>
            </m:e>
          </m:d>
          <m:r>
            <w:rPr>
              <w:rFonts w:ascii="Cambria Math" w:hAnsi="Cambria Math" w:cs="Arial"/>
              <w:sz w:val="22"/>
              <w:szCs w:val="22"/>
            </w:rPr>
            <m:t>=</m:t>
          </m:r>
          <m:nary>
            <m:naryP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x</m:t>
              </m:r>
            </m:sup>
            <m:e>
              <m:func>
                <m:funcPr>
                  <m:ctrlPr>
                    <w:rPr>
                      <w:rFonts w:ascii="Cambria Math" w:hAnsi="Cambria Math" w:cs="Arial"/>
                      <w:i/>
                      <w:sz w:val="22"/>
                      <w:szCs w:val="22"/>
                    </w:rPr>
                  </m:ctrlPr>
                </m:funcPr>
                <m:fName>
                  <m:r>
                    <m:rPr>
                      <m:sty m:val="p"/>
                    </m:rPr>
                    <w:rPr>
                      <w:rFonts w:ascii="Cambria Math" w:hAnsi="Cambria Math" w:cs="Arial"/>
                      <w:sz w:val="22"/>
                      <w:szCs w:val="22"/>
                    </w:rPr>
                    <m:t>sin</m:t>
                  </m:r>
                </m:fName>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π</m:t>
                          </m:r>
                          <m:sSup>
                            <m:sSupPr>
                              <m:ctrlPr>
                                <w:rPr>
                                  <w:rFonts w:ascii="Cambria Math" w:hAnsi="Cambria Math" w:cs="Arial"/>
                                  <w:i/>
                                  <w:sz w:val="22"/>
                                  <w:szCs w:val="22"/>
                                </w:rPr>
                              </m:ctrlPr>
                            </m:sSupPr>
                            <m:e>
                              <m:r>
                                <w:rPr>
                                  <w:rFonts w:ascii="Cambria Math" w:hAnsi="Cambria Math" w:cs="Arial"/>
                                  <w:sz w:val="22"/>
                                  <w:szCs w:val="22"/>
                                </w:rPr>
                                <m:t>y</m:t>
                              </m:r>
                            </m:e>
                            <m:sup>
                              <m:r>
                                <w:rPr>
                                  <w:rFonts w:ascii="Cambria Math" w:hAnsi="Cambria Math" w:cs="Arial"/>
                                  <w:sz w:val="22"/>
                                  <w:szCs w:val="22"/>
                                </w:rPr>
                                <m:t>2</m:t>
                              </m:r>
                            </m:sup>
                          </m:sSup>
                        </m:num>
                        <m:den>
                          <m:r>
                            <w:rPr>
                              <w:rFonts w:ascii="Cambria Math" w:hAnsi="Cambria Math" w:cs="Arial"/>
                              <w:sz w:val="22"/>
                              <w:szCs w:val="22"/>
                            </w:rPr>
                            <m:t>2</m:t>
                          </m:r>
                        </m:den>
                      </m:f>
                    </m:e>
                  </m:d>
                </m:e>
              </m:func>
              <m:r>
                <w:rPr>
                  <w:rFonts w:ascii="Cambria Math" w:hAnsi="Cambria Math" w:cs="Arial"/>
                  <w:sz w:val="22"/>
                  <w:szCs w:val="22"/>
                </w:rPr>
                <m:t>dy</m:t>
              </m:r>
            </m:e>
          </m:nary>
          <m:r>
            <w:rPr>
              <w:rFonts w:ascii="Cambria Math" w:hAnsi="Cambria Math" w:cs="Arial"/>
              <w:sz w:val="22"/>
              <w:szCs w:val="22"/>
            </w:rPr>
            <m:t xml:space="preserve"> </m:t>
          </m:r>
        </m:oMath>
      </m:oMathPara>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Where</w:t>
      </w:r>
    </w:p>
    <w:p>
      <w:pPr>
        <w:spacing w:line="360" w:lineRule="auto"/>
        <w:jc w:val="right"/>
        <w:rPr>
          <w:rFonts w:ascii="Arial" w:hAnsi="Arial" w:cs="Arial"/>
          <w:sz w:val="22"/>
          <w:szCs w:val="22"/>
        </w:rPr>
      </w:pPr>
      <m:oMathPara>
        <m:oMath>
          <m:r>
            <w:rPr>
              <w:rFonts w:ascii="Cambria Math" w:hAnsi="Cambria Math" w:cs="Arial"/>
              <w:sz w:val="22"/>
              <w:szCs w:val="22"/>
            </w:rPr>
            <w:lastRenderedPageBreak/>
            <m:t>x=</m:t>
          </m:r>
          <m:sSup>
            <m:sSupPr>
              <m:ctrlPr>
                <w:rPr>
                  <w:rFonts w:ascii="Cambria Math" w:hAnsi="Cambria Math" w:cs="Arial"/>
                  <w:i/>
                  <w:sz w:val="22"/>
                  <w:szCs w:val="22"/>
                </w:rPr>
              </m:ctrlPr>
            </m:sSupPr>
            <m:e>
              <m:d>
                <m:dPr>
                  <m:ctrlPr>
                    <w:rPr>
                      <w:rFonts w:ascii="Cambria Math" w:hAnsi="Cambria Math" w:cs="Arial"/>
                      <w:i/>
                      <w:sz w:val="22"/>
                      <w:szCs w:val="22"/>
                    </w:rPr>
                  </m:ctrlPr>
                </m:dPr>
                <m:e>
                  <m:f>
                    <m:fPr>
                      <m:ctrlPr>
                        <w:rPr>
                          <w:rFonts w:ascii="Cambria Math" w:hAnsi="Cambria Math" w:cs="Arial"/>
                          <w:i/>
                          <w:sz w:val="22"/>
                          <w:szCs w:val="22"/>
                        </w:rPr>
                      </m:ctrlPr>
                    </m:fPr>
                    <m:num>
                      <m:r>
                        <w:rPr>
                          <w:rFonts w:ascii="Cambria Math" w:hAnsi="Cambria Math" w:cs="Arial"/>
                          <w:sz w:val="22"/>
                          <w:szCs w:val="22"/>
                        </w:rPr>
                        <m:t>6b</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r>
                        <w:rPr>
                          <w:rFonts w:ascii="Cambria Math" w:hAnsi="Cambria Math" w:cs="Arial"/>
                          <w:sz w:val="22"/>
                          <w:szCs w:val="22"/>
                        </w:rPr>
                        <m:t>τ</m:t>
                      </m:r>
                    </m:num>
                    <m:den>
                      <m:r>
                        <w:rPr>
                          <w:rFonts w:ascii="Cambria Math" w:hAnsi="Cambria Math" w:cs="Arial"/>
                          <w:sz w:val="22"/>
                          <w:szCs w:val="22"/>
                        </w:rPr>
                        <m:t>π</m:t>
                      </m:r>
                      <m:rad>
                        <m:radPr>
                          <m:degHide m:val="1"/>
                          <m:ctrlPr>
                            <w:rPr>
                              <w:rFonts w:ascii="Cambria Math" w:hAnsi="Cambria Math" w:cs="Arial"/>
                              <w:i/>
                              <w:sz w:val="22"/>
                              <w:szCs w:val="22"/>
                            </w:rPr>
                          </m:ctrlPr>
                        </m:radPr>
                        <m:deg/>
                        <m:e>
                          <m:d>
                            <m:dPr>
                              <m:ctrlPr>
                                <w:rPr>
                                  <w:rFonts w:ascii="Cambria Math" w:hAnsi="Cambria Math" w:cs="Arial"/>
                                  <w:i/>
                                  <w:sz w:val="22"/>
                                  <w:szCs w:val="22"/>
                                </w:rPr>
                              </m:ctrlPr>
                            </m:dPr>
                            <m:e>
                              <m:r>
                                <w:rPr>
                                  <w:rFonts w:ascii="Cambria Math" w:hAnsi="Cambria Math" w:cs="Arial"/>
                                  <w:sz w:val="22"/>
                                  <w:szCs w:val="22"/>
                                </w:rPr>
                                <m:t>2</m:t>
                              </m:r>
                            </m:e>
                          </m:d>
                        </m:e>
                      </m:rad>
                    </m:den>
                  </m:f>
                </m:e>
              </m:d>
            </m:e>
            <m:sup>
              <m:r>
                <w:rPr>
                  <w:rFonts w:ascii="Cambria Math" w:hAnsi="Cambria Math" w:cs="Arial"/>
                  <w:sz w:val="22"/>
                  <w:szCs w:val="22"/>
                </w:rPr>
                <m:t>1/2</m:t>
              </m:r>
            </m:sup>
          </m:sSup>
        </m:oMath>
      </m:oMathPara>
    </w:p>
    <w:p>
      <w:pPr>
        <w:spacing w:line="360" w:lineRule="auto"/>
        <w:jc w:val="center"/>
        <w:rPr>
          <w:rFonts w:ascii="Arial" w:hAnsi="Arial" w:cs="Arial"/>
          <w:sz w:val="22"/>
          <w:szCs w:val="22"/>
        </w:rPr>
      </w:pPr>
      <m:oMathPara>
        <m:oMath>
          <m:r>
            <w:rPr>
              <w:rFonts w:ascii="Cambria Math" w:hAnsi="Cambria Math" w:cs="Arial"/>
              <w:sz w:val="22"/>
              <w:szCs w:val="22"/>
            </w:rPr>
            <m:t>θ=</m:t>
          </m:r>
          <m:d>
            <m:dPr>
              <m:ctrlPr>
                <w:rPr>
                  <w:rFonts w:ascii="Cambria Math" w:hAnsi="Cambria Math" w:cs="Arial"/>
                  <w:i/>
                  <w:sz w:val="22"/>
                  <w:szCs w:val="22"/>
                </w:rPr>
              </m:ctrlPr>
            </m:dPr>
            <m:e>
              <m:r>
                <w:rPr>
                  <w:rFonts w:ascii="Cambria Math" w:hAnsi="Cambria Math" w:cs="Arial"/>
                  <w:sz w:val="22"/>
                  <w:szCs w:val="22"/>
                </w:rPr>
                <m:t>πJ+</m:t>
              </m:r>
              <m:sSup>
                <m:sSupPr>
                  <m:ctrlPr>
                    <w:rPr>
                      <w:rFonts w:ascii="Cambria Math" w:hAnsi="Cambria Math" w:cs="Arial"/>
                      <w:i/>
                      <w:sz w:val="22"/>
                      <w:szCs w:val="22"/>
                    </w:rPr>
                  </m:ctrlPr>
                </m:sSupPr>
                <m:e>
                  <m:r>
                    <w:rPr>
                      <w:rFonts w:ascii="Cambria Math" w:hAnsi="Cambria Math" w:cs="Arial"/>
                      <w:sz w:val="22"/>
                      <w:szCs w:val="22"/>
                    </w:rPr>
                    <m:t>2</m:t>
                  </m:r>
                </m:e>
                <m:sup>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sup>
              </m:sSup>
              <m:r>
                <w:rPr>
                  <w:rFonts w:ascii="Cambria Math" w:hAnsi="Cambria Math" w:cs="Arial"/>
                  <w:sz w:val="22"/>
                  <w:szCs w:val="22"/>
                </w:rPr>
                <m:t>b</m:t>
              </m:r>
              <m:sSub>
                <m:sSubPr>
                  <m:ctrlPr>
                    <w:rPr>
                      <w:rFonts w:ascii="Cambria Math" w:hAnsi="Cambria Math" w:cs="Arial"/>
                      <w:i/>
                      <w:sz w:val="22"/>
                      <w:szCs w:val="22"/>
                    </w:rPr>
                  </m:ctrlPr>
                </m:sSubPr>
                <m:e>
                  <m:r>
                    <w:rPr>
                      <w:rFonts w:ascii="Cambria Math" w:hAnsi="Cambria Math" w:cs="Arial"/>
                      <w:sz w:val="22"/>
                      <w:szCs w:val="22"/>
                    </w:rPr>
                    <m:t>∆θ</m:t>
                  </m:r>
                </m:e>
                <m:sub>
                  <m:r>
                    <w:rPr>
                      <w:rFonts w:ascii="Cambria Math" w:hAnsi="Cambria Math" w:cs="Arial"/>
                      <w:sz w:val="22"/>
                      <w:szCs w:val="22"/>
                    </w:rPr>
                    <m:t>RL</m:t>
                  </m:r>
                </m:sub>
              </m:sSub>
            </m:e>
          </m:d>
          <m:r>
            <w:rPr>
              <w:rFonts w:ascii="Cambria Math" w:hAnsi="Cambria Math" w:cs="Arial"/>
              <w:sz w:val="22"/>
              <w:szCs w:val="22"/>
            </w:rPr>
            <m:t>τ</m:t>
          </m:r>
        </m:oMath>
      </m:oMathPara>
    </w:p>
    <w:p>
      <w:pPr>
        <w:spacing w:line="360" w:lineRule="auto"/>
        <w:jc w:val="both"/>
        <w:rPr>
          <w:rFonts w:ascii="Arial" w:hAnsi="Arial" w:cs="Arial"/>
          <w:sz w:val="22"/>
          <w:szCs w:val="22"/>
        </w:rPr>
      </w:pPr>
    </w:p>
    <w:p>
      <w:pPr>
        <w:spacing w:line="360" w:lineRule="auto"/>
        <w:jc w:val="both"/>
        <w:rPr>
          <w:rFonts w:ascii="Arial" w:hAnsi="Arial" w:cs="Arial"/>
          <w:color w:val="000000"/>
          <w:sz w:val="22"/>
          <w:szCs w:val="22"/>
        </w:rPr>
      </w:pPr>
      <w:r>
        <w:rPr>
          <w:rFonts w:ascii="Arial" w:hAnsi="Arial" w:cs="Arial"/>
          <w:sz w:val="22"/>
          <w:szCs w:val="22"/>
        </w:rPr>
        <w:t xml:space="preserve">When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r>
          <w:rPr>
            <w:rFonts w:ascii="Cambria Math" w:hAnsi="Cambria Math" w:cs="Arial"/>
            <w:color w:val="000000"/>
            <w:sz w:val="22"/>
            <w:szCs w:val="22"/>
          </w:rPr>
          <m:t>=0</m:t>
        </m:r>
      </m:oMath>
      <w:r>
        <w:rPr>
          <w:rFonts w:ascii="Arial" w:hAnsi="Arial" w:cs="Arial"/>
          <w:color w:val="000000"/>
          <w:sz w:val="22"/>
          <w:szCs w:val="22"/>
        </w:rPr>
        <w:t xml:space="preserve">, </w:t>
      </w:r>
      <w:r>
        <w:rPr>
          <w:rFonts w:ascii="Arial" w:hAnsi="Arial" w:cs="Arial"/>
          <w:i/>
          <w:color w:val="000000"/>
          <w:sz w:val="22"/>
          <w:szCs w:val="22"/>
        </w:rPr>
        <w:t>i.e</w:t>
      </w:r>
      <w:r>
        <w:rPr>
          <w:rFonts w:ascii="Arial" w:hAnsi="Arial" w:cs="Arial"/>
          <w:color w:val="000000"/>
          <w:sz w:val="22"/>
          <w:szCs w:val="22"/>
        </w:rPr>
        <w:t xml:space="preserve">, the rotor angle is set to the magic angle, the spin echo signal is modulated by the </w:t>
      </w:r>
      <w:r>
        <w:rPr>
          <w:rFonts w:ascii="Arial" w:hAnsi="Arial" w:cs="Arial"/>
          <w:i/>
          <w:color w:val="000000"/>
          <w:sz w:val="22"/>
          <w:szCs w:val="22"/>
        </w:rPr>
        <w:t>J</w:t>
      </w:r>
      <w:r>
        <w:rPr>
          <w:rFonts w:ascii="Arial" w:hAnsi="Arial" w:cs="Arial"/>
          <w:color w:val="000000"/>
          <w:sz w:val="22"/>
          <w:szCs w:val="22"/>
        </w:rPr>
        <w:t xml:space="preserve"> coupling. A positive deviation of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from zero leads to a faster oscillation whereas a negative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leads to a slower oscillation compared to a pure </w:t>
      </w:r>
      <w:r>
        <w:rPr>
          <w:rFonts w:ascii="Arial" w:hAnsi="Arial" w:cs="Arial"/>
          <w:bCs/>
          <w:i/>
          <w:iCs/>
          <w:color w:val="000000"/>
          <w:sz w:val="22"/>
          <w:szCs w:val="22"/>
        </w:rPr>
        <w:t>J</w:t>
      </w:r>
      <w:r>
        <w:rPr>
          <w:rFonts w:ascii="Arial" w:hAnsi="Arial" w:cs="Arial"/>
          <w:bCs/>
          <w:iCs/>
          <w:color w:val="000000"/>
          <w:sz w:val="22"/>
          <w:szCs w:val="22"/>
        </w:rPr>
        <w:t xml:space="preserve"> oscillation. This additional oscillation under offMAS is proportional to the product of the dipolar coupling </w:t>
      </w:r>
      <w:r>
        <w:rPr>
          <w:rFonts w:ascii="Arial" w:hAnsi="Arial" w:cs="Arial"/>
          <w:bCs/>
          <w:i/>
          <w:iCs/>
          <w:color w:val="000000"/>
          <w:sz w:val="22"/>
          <w:szCs w:val="22"/>
        </w:rPr>
        <w:t>b</w:t>
      </w:r>
      <w:r>
        <w:rPr>
          <w:rFonts w:ascii="Arial" w:hAnsi="Arial" w:cs="Arial"/>
          <w:bCs/>
          <w:iCs/>
          <w:color w:val="000000"/>
          <w:sz w:val="22"/>
          <w:szCs w:val="22"/>
        </w:rPr>
        <w:t xml:space="preserve"> and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as described by Eq. 2. </w:t>
      </w:r>
    </w:p>
    <w:p>
      <w:pPr>
        <w:spacing w:line="360" w:lineRule="auto"/>
        <w:jc w:val="both"/>
        <w:rPr>
          <w:rFonts w:ascii="Arial" w:hAnsi="Arial" w:cs="Arial"/>
          <w:bCs/>
          <w:iCs/>
          <w:color w:val="000000"/>
          <w:sz w:val="22"/>
          <w:szCs w:val="22"/>
        </w:rPr>
      </w:pPr>
    </w:p>
    <w:p>
      <w:pPr>
        <w:spacing w:line="360" w:lineRule="auto"/>
        <w:jc w:val="both"/>
        <w:rPr>
          <w:rFonts w:ascii="Arial" w:hAnsi="Arial" w:cs="Arial"/>
          <w:bCs/>
          <w:iCs/>
          <w:color w:val="000000"/>
          <w:sz w:val="22"/>
          <w:szCs w:val="22"/>
        </w:rPr>
      </w:pPr>
      <w:r>
        <w:rPr>
          <w:rFonts w:ascii="Arial" w:hAnsi="Arial" w:cs="Arial"/>
          <w:bCs/>
          <w:iCs/>
          <w:color w:val="000000"/>
          <w:sz w:val="22"/>
          <w:szCs w:val="22"/>
        </w:rPr>
        <w:t>The spin echo curve is fitted to Eq. 2 using six parameters (</w:t>
      </w:r>
      <w:r>
        <w:rPr>
          <w:rFonts w:ascii="Arial" w:hAnsi="Arial" w:cs="Arial"/>
          <w:bCs/>
          <w:i/>
          <w:iCs/>
          <w:color w:val="000000"/>
          <w:sz w:val="22"/>
          <w:szCs w:val="22"/>
        </w:rPr>
        <w:t>p</w:t>
      </w:r>
      <w:r>
        <w:rPr>
          <w:rFonts w:ascii="Arial" w:hAnsi="Arial" w:cs="Arial"/>
          <w:bCs/>
          <w:iCs/>
          <w:color w:val="000000"/>
          <w:sz w:val="22"/>
          <w:szCs w:val="22"/>
        </w:rPr>
        <w:t xml:space="preserve">, </w:t>
      </w:r>
      <w:r>
        <w:rPr>
          <w:rFonts w:ascii="Arial" w:hAnsi="Arial" w:cs="Arial"/>
          <w:bCs/>
          <w:i/>
          <w:iCs/>
          <w:color w:val="000000"/>
          <w:sz w:val="22"/>
          <w:szCs w:val="22"/>
        </w:rPr>
        <w:t>J</w:t>
      </w:r>
      <w:r>
        <w:rPr>
          <w:rFonts w:ascii="Arial" w:hAnsi="Arial" w:cs="Arial"/>
          <w:bCs/>
          <w:iCs/>
          <w:color w:val="000000"/>
          <w:sz w:val="22"/>
          <w:szCs w:val="22"/>
        </w:rPr>
        <w:t xml:space="preserve">,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w:t>
      </w:r>
      <w:r>
        <w:rPr>
          <w:rFonts w:ascii="Arial" w:hAnsi="Arial" w:cs="Arial"/>
          <w:bCs/>
          <w:i/>
          <w:iCs/>
          <w:color w:val="000000"/>
          <w:sz w:val="22"/>
          <w:szCs w:val="22"/>
        </w:rPr>
        <w:t>b</w:t>
      </w:r>
      <w:r>
        <w:rPr>
          <w:rFonts w:ascii="Arial" w:hAnsi="Arial" w:cs="Arial"/>
          <w:bCs/>
          <w:iCs/>
          <w:color w:val="000000"/>
          <w:sz w:val="22"/>
          <w:szCs w:val="22"/>
        </w:rPr>
        <w:t xml:space="preserve">, </w:t>
      </w:r>
      <w:r>
        <w:rPr>
          <w:rFonts w:ascii="Arial" w:hAnsi="Arial" w:cs="Arial"/>
          <w:bCs/>
          <w:i/>
          <w:iCs/>
          <w:color w:val="000000"/>
          <w:sz w:val="22"/>
          <w:szCs w:val="22"/>
        </w:rPr>
        <w:t>T</w:t>
      </w:r>
      <w:r>
        <w:rPr>
          <w:rFonts w:ascii="Arial" w:hAnsi="Arial" w:cs="Arial"/>
          <w:bCs/>
          <w:iCs/>
          <w:color w:val="000000"/>
          <w:sz w:val="22"/>
          <w:szCs w:val="22"/>
          <w:vertAlign w:val="subscript"/>
        </w:rPr>
        <w:t>2</w:t>
      </w:r>
      <w:r>
        <w:rPr>
          <w:rFonts w:ascii="Arial" w:hAnsi="Arial" w:cs="Arial"/>
          <w:bCs/>
          <w:iCs/>
          <w:color w:val="000000"/>
          <w:sz w:val="22"/>
          <w:szCs w:val="22"/>
          <w:vertAlign w:val="superscript"/>
        </w:rPr>
        <w:t>0</w:t>
      </w:r>
      <w:r>
        <w:rPr>
          <w:rFonts w:ascii="Arial" w:hAnsi="Arial" w:cs="Arial"/>
          <w:bCs/>
          <w:iCs/>
          <w:color w:val="000000"/>
          <w:sz w:val="22"/>
          <w:szCs w:val="22"/>
          <w:vertAlign w:val="subscript"/>
        </w:rPr>
        <w:t xml:space="preserve"> </w:t>
      </w:r>
      <w:r>
        <w:rPr>
          <w:rFonts w:ascii="Arial" w:hAnsi="Arial" w:cs="Arial"/>
          <w:bCs/>
          <w:iCs/>
          <w:color w:val="000000"/>
          <w:sz w:val="22"/>
          <w:szCs w:val="22"/>
        </w:rPr>
        <w:t xml:space="preserve">and </w:t>
      </w:r>
      <w:r>
        <w:rPr>
          <w:rFonts w:ascii="Arial" w:hAnsi="Arial" w:cs="Arial"/>
          <w:bCs/>
          <w:i/>
          <w:iCs/>
          <w:color w:val="000000"/>
          <w:sz w:val="22"/>
          <w:szCs w:val="22"/>
        </w:rPr>
        <w:t>T</w:t>
      </w:r>
      <w:r>
        <w:rPr>
          <w:rFonts w:ascii="Arial" w:hAnsi="Arial" w:cs="Arial"/>
          <w:bCs/>
          <w:iCs/>
          <w:color w:val="000000"/>
          <w:sz w:val="22"/>
          <w:szCs w:val="22"/>
          <w:vertAlign w:val="subscript"/>
        </w:rPr>
        <w:t>2</w:t>
      </w:r>
      <w:r>
        <w:rPr>
          <w:rFonts w:ascii="Arial" w:hAnsi="Arial" w:cs="Arial"/>
          <w:bCs/>
          <w:iCs/>
          <w:color w:val="000000"/>
          <w:sz w:val="22"/>
          <w:szCs w:val="22"/>
          <w:vertAlign w:val="superscript"/>
        </w:rPr>
        <w:t>J</w:t>
      </w:r>
      <w:r>
        <w:rPr>
          <w:rFonts w:ascii="Arial" w:hAnsi="Arial" w:cs="Arial"/>
          <w:bCs/>
          <w:iCs/>
          <w:color w:val="000000"/>
          <w:sz w:val="22"/>
          <w:szCs w:val="22"/>
        </w:rPr>
        <w:t>), where (</w:t>
      </w:r>
      <w:r>
        <w:rPr>
          <w:rFonts w:ascii="Arial" w:hAnsi="Arial" w:cs="Arial"/>
          <w:bCs/>
          <w:i/>
          <w:iCs/>
          <w:color w:val="000000"/>
          <w:sz w:val="22"/>
          <w:szCs w:val="22"/>
        </w:rPr>
        <w:t>p</w:t>
      </w:r>
      <w:r>
        <w:rPr>
          <w:rFonts w:ascii="Arial" w:hAnsi="Arial" w:cs="Arial"/>
          <w:bCs/>
          <w:iCs/>
          <w:color w:val="000000"/>
          <w:sz w:val="22"/>
          <w:szCs w:val="22"/>
        </w:rPr>
        <w:t xml:space="preserve">, </w:t>
      </w:r>
      <w:r>
        <w:rPr>
          <w:rFonts w:ascii="Arial" w:hAnsi="Arial" w:cs="Arial"/>
          <w:bCs/>
          <w:i/>
          <w:iCs/>
          <w:color w:val="000000"/>
          <w:sz w:val="22"/>
          <w:szCs w:val="22"/>
        </w:rPr>
        <w:t>T</w:t>
      </w:r>
      <w:r>
        <w:rPr>
          <w:rFonts w:ascii="Arial" w:hAnsi="Arial" w:cs="Arial"/>
          <w:bCs/>
          <w:iCs/>
          <w:color w:val="000000"/>
          <w:sz w:val="22"/>
          <w:szCs w:val="22"/>
          <w:vertAlign w:val="subscript"/>
        </w:rPr>
        <w:t>2</w:t>
      </w:r>
      <w:r>
        <w:rPr>
          <w:rFonts w:ascii="Arial" w:hAnsi="Arial" w:cs="Arial"/>
          <w:bCs/>
          <w:iCs/>
          <w:color w:val="000000"/>
          <w:sz w:val="22"/>
          <w:szCs w:val="22"/>
          <w:vertAlign w:val="superscript"/>
        </w:rPr>
        <w:t>0</w:t>
      </w:r>
      <w:r>
        <w:rPr>
          <w:rFonts w:ascii="Arial" w:hAnsi="Arial" w:cs="Arial"/>
          <w:bCs/>
          <w:iCs/>
          <w:color w:val="000000"/>
          <w:sz w:val="22"/>
          <w:szCs w:val="22"/>
        </w:rPr>
        <w:t xml:space="preserve"> and </w:t>
      </w:r>
      <w:r>
        <w:rPr>
          <w:rFonts w:ascii="Arial" w:hAnsi="Arial" w:cs="Arial"/>
          <w:bCs/>
          <w:i/>
          <w:iCs/>
          <w:color w:val="000000"/>
          <w:sz w:val="22"/>
          <w:szCs w:val="22"/>
        </w:rPr>
        <w:t>T</w:t>
      </w:r>
      <w:r>
        <w:rPr>
          <w:rFonts w:ascii="Arial" w:hAnsi="Arial" w:cs="Arial"/>
          <w:bCs/>
          <w:iCs/>
          <w:color w:val="000000"/>
          <w:sz w:val="22"/>
          <w:szCs w:val="22"/>
          <w:vertAlign w:val="subscript"/>
        </w:rPr>
        <w:t>2</w:t>
      </w:r>
      <w:r>
        <w:rPr>
          <w:rFonts w:ascii="Arial" w:hAnsi="Arial" w:cs="Arial"/>
          <w:bCs/>
          <w:iCs/>
          <w:color w:val="000000"/>
          <w:sz w:val="22"/>
          <w:szCs w:val="22"/>
          <w:vertAlign w:val="superscript"/>
        </w:rPr>
        <w:t>J</w:t>
      </w:r>
      <w:r>
        <w:rPr>
          <w:rFonts w:ascii="Arial" w:hAnsi="Arial" w:cs="Arial"/>
          <w:bCs/>
          <w:iCs/>
          <w:color w:val="000000"/>
          <w:sz w:val="22"/>
          <w:szCs w:val="22"/>
        </w:rPr>
        <w:t>) are empirical parameters, which govern the decay of the spin echo curves. On the other hand, (</w:t>
      </w:r>
      <w:r>
        <w:rPr>
          <w:rFonts w:ascii="Arial" w:hAnsi="Arial" w:cs="Arial"/>
          <w:bCs/>
          <w:i/>
          <w:iCs/>
          <w:color w:val="000000"/>
          <w:sz w:val="22"/>
          <w:szCs w:val="22"/>
        </w:rPr>
        <w:t>J</w:t>
      </w:r>
      <w:r>
        <w:rPr>
          <w:rFonts w:ascii="Arial" w:hAnsi="Arial" w:cs="Arial"/>
          <w:bCs/>
          <w:iCs/>
          <w:color w:val="000000"/>
          <w:sz w:val="22"/>
          <w:szCs w:val="22"/>
        </w:rPr>
        <w:t xml:space="preserve">,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w:t>
      </w:r>
      <w:r>
        <w:rPr>
          <w:rFonts w:ascii="Arial" w:hAnsi="Arial" w:cs="Arial"/>
          <w:bCs/>
          <w:i/>
          <w:iCs/>
          <w:color w:val="000000"/>
          <w:sz w:val="22"/>
          <w:szCs w:val="22"/>
        </w:rPr>
        <w:t>b</w:t>
      </w:r>
      <w:r>
        <w:rPr>
          <w:rFonts w:ascii="Arial" w:hAnsi="Arial" w:cs="Arial"/>
          <w:bCs/>
          <w:iCs/>
          <w:color w:val="000000"/>
          <w:sz w:val="22"/>
          <w:szCs w:val="22"/>
        </w:rPr>
        <w:t>) determine the frequency of the spin echo oscillations.</w:t>
      </w:r>
    </w:p>
    <w:p>
      <w:pPr>
        <w:spacing w:line="360" w:lineRule="auto"/>
        <w:jc w:val="both"/>
        <w:rPr>
          <w:rFonts w:ascii="Arial" w:hAnsi="Arial" w:cs="Arial"/>
          <w:bCs/>
          <w:iCs/>
          <w:color w:val="000000"/>
          <w:sz w:val="22"/>
          <w:szCs w:val="22"/>
        </w:rPr>
      </w:pPr>
      <w:r>
        <w:rPr>
          <w:rFonts w:ascii="Arial" w:hAnsi="Arial" w:cs="Arial"/>
          <w:bCs/>
          <w:iCs/>
          <w:noProof/>
          <w:color w:val="000000"/>
          <w:sz w:val="22"/>
          <w:szCs w:val="22"/>
          <w:lang w:val="de-DE" w:eastAsia="de-DE"/>
        </w:rPr>
        <w:drawing>
          <wp:inline distT="0" distB="0" distL="0" distR="0">
            <wp:extent cx="4681605"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ulprog.ai"/>
                    <pic:cNvPicPr/>
                  </pic:nvPicPr>
                  <pic:blipFill rotWithShape="1">
                    <a:blip r:embed="rId9"/>
                    <a:srcRect l="10607" r="12904" b="64763"/>
                    <a:stretch/>
                  </pic:blipFill>
                  <pic:spPr bwMode="auto">
                    <a:xfrm>
                      <a:off x="0" y="0"/>
                      <a:ext cx="4695755" cy="1528606"/>
                    </a:xfrm>
                    <a:prstGeom prst="rect">
                      <a:avLst/>
                    </a:prstGeom>
                    <a:ln>
                      <a:noFill/>
                    </a:ln>
                    <a:extLst>
                      <a:ext uri="{53640926-AAD7-44D8-BBD7-CCE9431645EC}">
                        <a14:shadowObscured xmlns:a14="http://schemas.microsoft.com/office/drawing/2010/main"/>
                      </a:ext>
                    </a:extLst>
                  </pic:spPr>
                </pic:pic>
              </a:graphicData>
            </a:graphic>
          </wp:inline>
        </w:drawing>
      </w:r>
    </w:p>
    <w:p>
      <w:pPr>
        <w:spacing w:line="360" w:lineRule="auto"/>
        <w:jc w:val="both"/>
        <w:rPr>
          <w:rFonts w:ascii="Arial" w:hAnsi="Arial" w:cs="Arial"/>
          <w:b/>
          <w:bCs/>
          <w:iCs/>
          <w:color w:val="000000"/>
          <w:sz w:val="22"/>
          <w:szCs w:val="22"/>
        </w:rPr>
      </w:pPr>
    </w:p>
    <w:p>
      <w:pPr>
        <w:spacing w:line="360" w:lineRule="auto"/>
        <w:jc w:val="both"/>
        <w:rPr>
          <w:rFonts w:ascii="Arial" w:hAnsi="Arial" w:cs="Arial"/>
          <w:bCs/>
          <w:i/>
          <w:iCs/>
          <w:color w:val="000000"/>
          <w:sz w:val="20"/>
          <w:szCs w:val="20"/>
        </w:rPr>
      </w:pPr>
      <w:r>
        <w:rPr>
          <w:rFonts w:ascii="Arial" w:hAnsi="Arial" w:cs="Arial"/>
          <w:b/>
          <w:bCs/>
          <w:i/>
          <w:iCs/>
          <w:color w:val="000000"/>
          <w:sz w:val="20"/>
          <w:szCs w:val="20"/>
        </w:rPr>
        <w:t>Figure 1:</w:t>
      </w:r>
      <w:r>
        <w:rPr>
          <w:rFonts w:ascii="Arial" w:hAnsi="Arial" w:cs="Arial"/>
          <w:bCs/>
          <w:i/>
          <w:iCs/>
          <w:color w:val="000000"/>
          <w:sz w:val="20"/>
          <w:szCs w:val="20"/>
        </w:rPr>
        <w:t xml:space="preserve"> Pulse sequence used to record methyl </w:t>
      </w:r>
      <w:r>
        <w:rPr>
          <w:rFonts w:ascii="Arial" w:hAnsi="Arial" w:cs="Arial"/>
          <w:bCs/>
          <w:i/>
          <w:iCs/>
          <w:color w:val="000000"/>
          <w:sz w:val="20"/>
          <w:szCs w:val="20"/>
          <w:vertAlign w:val="superscript"/>
        </w:rPr>
        <w:t>13</w:t>
      </w:r>
      <w:r>
        <w:rPr>
          <w:rFonts w:ascii="Arial" w:hAnsi="Arial" w:cs="Arial"/>
          <w:bCs/>
          <w:i/>
          <w:iCs/>
          <w:color w:val="000000"/>
          <w:sz w:val="20"/>
          <w:szCs w:val="20"/>
        </w:rPr>
        <w:t>C-</w:t>
      </w:r>
      <w:r>
        <w:rPr>
          <w:rFonts w:ascii="Arial" w:hAnsi="Arial" w:cs="Arial"/>
          <w:bCs/>
          <w:i/>
          <w:iCs/>
          <w:color w:val="000000"/>
          <w:sz w:val="20"/>
          <w:szCs w:val="20"/>
          <w:vertAlign w:val="superscript"/>
        </w:rPr>
        <w:t>1</w:t>
      </w:r>
      <w:r>
        <w:rPr>
          <w:rFonts w:ascii="Arial" w:hAnsi="Arial" w:cs="Arial"/>
          <w:bCs/>
          <w:i/>
          <w:iCs/>
          <w:color w:val="000000"/>
          <w:sz w:val="20"/>
          <w:szCs w:val="20"/>
        </w:rPr>
        <w:t xml:space="preserve">H dipolar couplings in methyl groups of valine and leucine in the </w:t>
      </w:r>
      <w:r>
        <w:rPr>
          <w:rFonts w:ascii="Arial" w:hAnsi="Arial" w:cs="Arial"/>
          <w:bCs/>
          <w:i/>
          <w:iCs/>
          <w:color w:val="000000"/>
          <w:sz w:val="20"/>
          <w:szCs w:val="20"/>
        </w:rPr>
        <w:sym w:font="Symbol" w:char="F061"/>
      </w:r>
      <w:r>
        <w:rPr>
          <w:rFonts w:ascii="Arial" w:hAnsi="Arial" w:cs="Arial"/>
          <w:bCs/>
          <w:i/>
          <w:iCs/>
          <w:color w:val="000000"/>
          <w:sz w:val="20"/>
          <w:szCs w:val="20"/>
        </w:rPr>
        <w:t xml:space="preserve">SH3 domain. The phases were cycled as follows: </w:t>
      </w:r>
      <w:r>
        <w:rPr>
          <w:rFonts w:ascii="Arial" w:hAnsi="Arial" w:cs="Arial"/>
          <w:bCs/>
          <w:i/>
          <w:iCs/>
          <w:color w:val="000000"/>
          <w:sz w:val="20"/>
          <w:szCs w:val="20"/>
        </w:rPr>
        <w:sym w:font="Symbol" w:char="F066"/>
      </w:r>
      <w:r>
        <w:rPr>
          <w:rFonts w:ascii="Arial" w:hAnsi="Arial" w:cs="Arial"/>
          <w:bCs/>
          <w:i/>
          <w:iCs/>
          <w:color w:val="000000"/>
          <w:sz w:val="20"/>
          <w:szCs w:val="20"/>
          <w:vertAlign w:val="subscript"/>
        </w:rPr>
        <w:t>1</w:t>
      </w:r>
      <w:r>
        <w:rPr>
          <w:rFonts w:ascii="Arial" w:hAnsi="Arial" w:cs="Arial"/>
          <w:bCs/>
          <w:i/>
          <w:iCs/>
          <w:color w:val="000000"/>
          <w:sz w:val="20"/>
          <w:szCs w:val="20"/>
        </w:rPr>
        <w:t xml:space="preserve">= x, -x; </w:t>
      </w:r>
      <w:r>
        <w:rPr>
          <w:rFonts w:ascii="Arial" w:hAnsi="Arial" w:cs="Arial"/>
          <w:bCs/>
          <w:i/>
          <w:iCs/>
          <w:color w:val="000000"/>
          <w:sz w:val="20"/>
          <w:szCs w:val="20"/>
        </w:rPr>
        <w:sym w:font="Symbol" w:char="F066"/>
      </w:r>
      <w:r>
        <w:rPr>
          <w:rFonts w:ascii="Arial" w:hAnsi="Arial" w:cs="Arial"/>
          <w:bCs/>
          <w:i/>
          <w:iCs/>
          <w:color w:val="000000"/>
          <w:sz w:val="20"/>
          <w:szCs w:val="20"/>
          <w:vertAlign w:val="subscript"/>
        </w:rPr>
        <w:t>2</w:t>
      </w:r>
      <w:r>
        <w:rPr>
          <w:rFonts w:ascii="Arial" w:hAnsi="Arial" w:cs="Arial"/>
          <w:bCs/>
          <w:i/>
          <w:iCs/>
          <w:color w:val="000000"/>
          <w:sz w:val="20"/>
          <w:szCs w:val="20"/>
        </w:rPr>
        <w:t xml:space="preserve">= x, x, -x, -x; </w:t>
      </w:r>
      <w:r>
        <w:rPr>
          <w:rFonts w:ascii="Arial" w:hAnsi="Arial" w:cs="Arial"/>
          <w:bCs/>
          <w:i/>
          <w:iCs/>
          <w:color w:val="000000"/>
          <w:sz w:val="20"/>
          <w:szCs w:val="20"/>
        </w:rPr>
        <w:sym w:font="Symbol" w:char="F066"/>
      </w:r>
      <w:r>
        <w:rPr>
          <w:rFonts w:ascii="Arial" w:hAnsi="Arial" w:cs="Arial"/>
          <w:bCs/>
          <w:i/>
          <w:iCs/>
          <w:color w:val="000000"/>
          <w:sz w:val="20"/>
          <w:szCs w:val="20"/>
          <w:vertAlign w:val="subscript"/>
        </w:rPr>
        <w:t>rec</w:t>
      </w:r>
      <w:r>
        <w:rPr>
          <w:rFonts w:ascii="Arial" w:hAnsi="Arial" w:cs="Arial"/>
          <w:bCs/>
          <w:i/>
          <w:iCs/>
          <w:color w:val="000000"/>
          <w:sz w:val="20"/>
          <w:szCs w:val="20"/>
        </w:rPr>
        <w:t>= (x, -x, -x, x), (-x, x, x, -x). All other phases were kept along x, unless otherwise specified. 13 echo delays up to 32 ms were recorded in an interleaved way.</w:t>
      </w:r>
    </w:p>
    <w:p>
      <w:pPr>
        <w:spacing w:line="360" w:lineRule="auto"/>
        <w:jc w:val="both"/>
        <w:rPr>
          <w:rFonts w:ascii="Arial" w:hAnsi="Arial" w:cs="Arial"/>
          <w:bCs/>
          <w:iCs/>
          <w:color w:val="000000"/>
          <w:sz w:val="22"/>
          <w:szCs w:val="22"/>
        </w:rPr>
      </w:pPr>
    </w:p>
    <w:p>
      <w:pPr>
        <w:spacing w:line="360" w:lineRule="auto"/>
        <w:jc w:val="both"/>
        <w:rPr>
          <w:rFonts w:ascii="Arial" w:hAnsi="Arial" w:cs="Arial"/>
          <w:bCs/>
          <w:iCs/>
          <w:color w:val="000000"/>
          <w:sz w:val="22"/>
          <w:szCs w:val="22"/>
        </w:rPr>
      </w:pPr>
      <w:r>
        <w:rPr>
          <w:rFonts w:ascii="Arial" w:hAnsi="Arial" w:cs="Arial"/>
          <w:bCs/>
          <w:iCs/>
          <w:color w:val="000000"/>
          <w:sz w:val="22"/>
          <w:szCs w:val="22"/>
        </w:rPr>
        <w:t xml:space="preserve">In comparison to the amide order parameter experiment described previously, certain peculiarities have to be taken into account for the quantification of methyl order parameters. The rigid limit for the </w:t>
      </w:r>
      <w:r>
        <w:rPr>
          <w:rFonts w:ascii="Arial" w:hAnsi="Arial" w:cs="Arial"/>
          <w:bCs/>
          <w:iCs/>
          <w:color w:val="000000"/>
          <w:sz w:val="22"/>
          <w:szCs w:val="22"/>
          <w:vertAlign w:val="superscript"/>
        </w:rPr>
        <w:t>15</w:t>
      </w:r>
      <w:r>
        <w:rPr>
          <w:rFonts w:ascii="Arial" w:hAnsi="Arial" w:cs="Arial"/>
          <w:bCs/>
          <w:iCs/>
          <w:color w:val="000000"/>
          <w:sz w:val="22"/>
          <w:szCs w:val="22"/>
        </w:rPr>
        <w:t>N-</w:t>
      </w:r>
      <w:r>
        <w:rPr>
          <w:rFonts w:ascii="Arial" w:hAnsi="Arial" w:cs="Arial"/>
          <w:bCs/>
          <w:iCs/>
          <w:color w:val="000000"/>
          <w:sz w:val="22"/>
          <w:szCs w:val="22"/>
          <w:vertAlign w:val="superscript"/>
        </w:rPr>
        <w:t>1</w:t>
      </w:r>
      <w:r>
        <w:rPr>
          <w:rFonts w:ascii="Arial" w:hAnsi="Arial" w:cs="Arial"/>
          <w:bCs/>
          <w:iCs/>
          <w:color w:val="000000"/>
          <w:sz w:val="22"/>
          <w:szCs w:val="22"/>
        </w:rPr>
        <w:t xml:space="preserve">H dipolar coupling is 11478 Hz. The dipolar coupling for a </w:t>
      </w:r>
      <w:r>
        <w:rPr>
          <w:rFonts w:ascii="Arial" w:hAnsi="Arial" w:cs="Arial"/>
          <w:bCs/>
          <w:iCs/>
          <w:color w:val="000000"/>
          <w:sz w:val="22"/>
          <w:szCs w:val="22"/>
          <w:vertAlign w:val="superscript"/>
        </w:rPr>
        <w:t>1</w:t>
      </w:r>
      <w:r>
        <w:rPr>
          <w:rFonts w:ascii="Arial" w:hAnsi="Arial" w:cs="Arial"/>
          <w:bCs/>
          <w:iCs/>
          <w:color w:val="000000"/>
          <w:sz w:val="22"/>
          <w:szCs w:val="22"/>
        </w:rPr>
        <w:t xml:space="preserve">H, </w:t>
      </w:r>
      <w:r>
        <w:rPr>
          <w:rFonts w:ascii="Arial" w:hAnsi="Arial" w:cs="Arial"/>
          <w:bCs/>
          <w:iCs/>
          <w:color w:val="000000"/>
          <w:sz w:val="22"/>
          <w:szCs w:val="22"/>
          <w:vertAlign w:val="superscript"/>
        </w:rPr>
        <w:t>13</w:t>
      </w:r>
      <w:r>
        <w:rPr>
          <w:rFonts w:ascii="Arial" w:hAnsi="Arial" w:cs="Arial"/>
          <w:bCs/>
          <w:iCs/>
          <w:color w:val="000000"/>
          <w:sz w:val="22"/>
          <w:szCs w:val="22"/>
        </w:rPr>
        <w:t>C spin-pair in a methyl group amounts to 21794 Hz assuming a bond-length of 1.115 Å. Due to the rapid rotation of the methyl group on the ps timescale, the dipolar coupling values are scaled down to 7265 Hz. Since the scaling occurs along the C</w:t>
      </w:r>
      <w:r>
        <w:rPr>
          <w:rFonts w:ascii="Arial" w:hAnsi="Arial" w:cs="Arial"/>
          <w:bCs/>
          <w:iCs/>
          <w:color w:val="000000"/>
          <w:sz w:val="22"/>
          <w:szCs w:val="22"/>
          <w:vertAlign w:val="subscript"/>
        </w:rPr>
        <w:t>3</w:t>
      </w:r>
      <w:r>
        <w:rPr>
          <w:rFonts w:ascii="Arial" w:hAnsi="Arial" w:cs="Arial"/>
          <w:bCs/>
          <w:iCs/>
          <w:color w:val="000000"/>
          <w:sz w:val="22"/>
          <w:szCs w:val="22"/>
        </w:rPr>
        <w:t xml:space="preserve"> axis, the dipolar coupling tensor can be assumed to be axially symmetric. In comparison to the amide case, experiments are recorded at a larger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r>
          <w:rPr>
            <w:rFonts w:ascii="Cambria Math" w:hAnsi="Cambria Math" w:cs="Arial"/>
            <w:color w:val="000000"/>
            <w:sz w:val="22"/>
            <w:szCs w:val="22"/>
          </w:rPr>
          <m:t>=-0.12°</m:t>
        </m:r>
      </m:oMath>
      <w:r>
        <w:rPr>
          <w:rFonts w:ascii="Arial" w:hAnsi="Arial" w:cs="Arial"/>
          <w:color w:val="000000"/>
          <w:sz w:val="22"/>
          <w:szCs w:val="22"/>
        </w:rPr>
        <w:t xml:space="preserve"> accounting for the smaller effective dipolar coupling of a methyl group. </w:t>
      </w:r>
      <w:r>
        <w:rPr>
          <w:rFonts w:ascii="Arial" w:hAnsi="Arial" w:cs="Arial"/>
          <w:color w:val="000000"/>
          <w:sz w:val="22"/>
          <w:szCs w:val="22"/>
        </w:rPr>
        <w:lastRenderedPageBreak/>
        <w:t xml:space="preserve">In the fit of the OffMAS data, </w:t>
      </w:r>
      <w:r>
        <w:rPr>
          <w:rFonts w:ascii="Arial" w:hAnsi="Arial" w:cs="Arial"/>
          <w:bCs/>
          <w:i/>
          <w:iCs/>
          <w:color w:val="000000"/>
          <w:sz w:val="22"/>
          <w:szCs w:val="22"/>
        </w:rPr>
        <w:t>b</w:t>
      </w:r>
      <w:r>
        <w:rPr>
          <w:rFonts w:ascii="Arial" w:hAnsi="Arial" w:cs="Arial"/>
          <w:bCs/>
          <w:iCs/>
          <w:color w:val="000000"/>
          <w:sz w:val="22"/>
          <w:szCs w:val="22"/>
        </w:rPr>
        <w:t xml:space="preserve"> and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r>
          <w:rPr>
            <w:rFonts w:ascii="Cambria Math" w:hAnsi="Cambria Math" w:cs="Arial"/>
            <w:color w:val="000000"/>
            <w:sz w:val="22"/>
            <w:szCs w:val="22"/>
          </w:rPr>
          <m:t xml:space="preserve"> </m:t>
        </m:r>
      </m:oMath>
      <w:r>
        <w:rPr>
          <w:rFonts w:ascii="Arial" w:hAnsi="Arial" w:cs="Arial"/>
          <w:bCs/>
          <w:iCs/>
          <w:color w:val="000000"/>
          <w:sz w:val="22"/>
          <w:szCs w:val="22"/>
        </w:rPr>
        <w:t>appear as one single parameter (</w:t>
      </w:r>
      <w:r>
        <w:rPr>
          <w:rFonts w:ascii="Arial" w:hAnsi="Arial" w:cs="Arial"/>
          <w:bCs/>
          <w:i/>
          <w:iCs/>
          <w:color w:val="000000"/>
          <w:sz w:val="22"/>
          <w:szCs w:val="22"/>
        </w:rPr>
        <w:t>b</w:t>
      </w:r>
      <w:r>
        <w:rPr>
          <w:rFonts w:ascii="Arial" w:hAnsi="Arial" w:cs="Arial"/>
          <w:bCs/>
          <w:iCs/>
          <w:color w:val="000000"/>
          <w:sz w:val="22"/>
          <w:szCs w:val="22"/>
        </w:rPr>
        <w:t>*</w:t>
      </w:r>
      <m:oMath>
        <m:r>
          <w:rPr>
            <w:rFonts w:ascii="Cambria Math" w:hAnsi="Cambria Math" w:cs="Arial"/>
            <w:color w:val="000000"/>
            <w:sz w:val="22"/>
            <w:szCs w:val="22"/>
          </w:rPr>
          <m:t xml:space="preserve"> 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bCs/>
          <w:iCs/>
          <w:color w:val="000000"/>
          <w:sz w:val="22"/>
          <w:szCs w:val="22"/>
        </w:rPr>
        <w:t xml:space="preserve">). </w:t>
      </w:r>
      <w:r>
        <w:rPr>
          <w:rFonts w:ascii="Arial" w:hAnsi="Arial" w:cs="Arial"/>
          <w:color w:val="000000"/>
          <w:sz w:val="22"/>
          <w:szCs w:val="22"/>
        </w:rPr>
        <w:t xml:space="preserve">Therefore, the value of </w:t>
      </w:r>
      <m:oMath>
        <m:r>
          <w:rPr>
            <w:rFonts w:ascii="Cambria Math" w:hAnsi="Cambria Math" w:cs="Arial"/>
            <w:color w:val="000000"/>
            <w:sz w:val="22"/>
            <w:szCs w:val="22"/>
          </w:rPr>
          <m:t>Δ</m:t>
        </m:r>
        <m:sSub>
          <m:sSubPr>
            <m:ctrlPr>
              <w:rPr>
                <w:rFonts w:ascii="Cambria Math" w:hAnsi="Cambria Math" w:cs="Arial"/>
                <w:bCs/>
                <w:i/>
                <w:iCs/>
                <w:color w:val="000000"/>
                <w:sz w:val="22"/>
                <w:szCs w:val="22"/>
              </w:rPr>
            </m:ctrlPr>
          </m:sSubPr>
          <m:e>
            <m:r>
              <w:rPr>
                <w:rFonts w:ascii="Cambria Math" w:hAnsi="Cambria Math" w:cs="Arial"/>
                <w:color w:val="000000"/>
                <w:sz w:val="22"/>
                <w:szCs w:val="22"/>
              </w:rPr>
              <m:t>θ</m:t>
            </m:r>
          </m:e>
          <m:sub>
            <m:r>
              <w:rPr>
                <w:rFonts w:ascii="Cambria Math" w:hAnsi="Cambria Math" w:cs="Arial"/>
                <w:color w:val="000000"/>
                <w:sz w:val="22"/>
                <w:szCs w:val="22"/>
              </w:rPr>
              <m:t>RL</m:t>
            </m:r>
          </m:sub>
        </m:sSub>
      </m:oMath>
      <w:r>
        <w:rPr>
          <w:rFonts w:ascii="Arial" w:hAnsi="Arial" w:cs="Arial"/>
          <w:color w:val="000000"/>
          <w:sz w:val="22"/>
          <w:szCs w:val="22"/>
        </w:rPr>
        <w:t xml:space="preserve"> was determined using the spin echo for L10</w:t>
      </w:r>
      <w:r>
        <w:rPr>
          <w:rFonts w:ascii="Arial" w:hAnsi="Arial" w:cs="Arial"/>
          <w:sz w:val="22"/>
          <w:szCs w:val="22"/>
        </w:rPr>
        <w:sym w:font="Symbol" w:char="F064"/>
      </w:r>
      <w:r>
        <w:rPr>
          <w:rFonts w:ascii="Arial" w:hAnsi="Arial" w:cs="Arial"/>
          <w:sz w:val="22"/>
          <w:szCs w:val="22"/>
        </w:rPr>
        <w:t xml:space="preserve">1 using a </w:t>
      </w:r>
      <w:r>
        <w:rPr>
          <w:rFonts w:ascii="Arial" w:hAnsi="Arial" w:cs="Arial"/>
          <w:sz w:val="22"/>
          <w:szCs w:val="22"/>
          <w:vertAlign w:val="superscript"/>
        </w:rPr>
        <w:t>1</w:t>
      </w:r>
      <w:r>
        <w:rPr>
          <w:rFonts w:ascii="Arial" w:hAnsi="Arial" w:cs="Arial"/>
          <w:sz w:val="22"/>
          <w:szCs w:val="22"/>
        </w:rPr>
        <w:t>H,</w:t>
      </w:r>
      <w:r>
        <w:rPr>
          <w:rFonts w:ascii="Arial" w:hAnsi="Arial" w:cs="Arial"/>
          <w:sz w:val="22"/>
          <w:szCs w:val="22"/>
          <w:vertAlign w:val="superscript"/>
        </w:rPr>
        <w:t xml:space="preserve"> 13</w:t>
      </w:r>
      <w:r>
        <w:rPr>
          <w:rFonts w:ascii="Arial" w:hAnsi="Arial" w:cs="Arial"/>
          <w:sz w:val="22"/>
          <w:szCs w:val="22"/>
        </w:rPr>
        <w:t xml:space="preserve">C dipolar coupling value of 5040 Hz. </w:t>
      </w:r>
      <w:r>
        <w:rPr>
          <w:rFonts w:ascii="Arial" w:hAnsi="Arial" w:cs="Arial"/>
          <w:color w:val="000000"/>
          <w:sz w:val="22"/>
          <w:szCs w:val="22"/>
        </w:rPr>
        <w:t xml:space="preserve"> </w:t>
      </w:r>
    </w:p>
    <w:p>
      <w:pPr>
        <w:spacing w:line="360" w:lineRule="auto"/>
        <w:jc w:val="both"/>
        <w:rPr>
          <w:rFonts w:ascii="Arial" w:hAnsi="Arial" w:cs="Arial"/>
          <w:sz w:val="22"/>
          <w:szCs w:val="22"/>
        </w:rPr>
      </w:pPr>
    </w:p>
    <w:p>
      <w:pPr>
        <w:spacing w:line="360" w:lineRule="auto"/>
        <w:jc w:val="both"/>
        <w:rPr>
          <w:rFonts w:ascii="Arial" w:hAnsi="Arial" w:cs="Arial"/>
          <w:bCs/>
          <w:iCs/>
          <w:color w:val="000000"/>
          <w:sz w:val="22"/>
          <w:szCs w:val="22"/>
        </w:rPr>
      </w:pPr>
      <w:r>
        <w:rPr>
          <w:rFonts w:ascii="Arial" w:hAnsi="Arial" w:cs="Arial"/>
          <w:bCs/>
          <w:iCs/>
          <w:noProof/>
          <w:color w:val="000000"/>
          <w:sz w:val="22"/>
          <w:szCs w:val="22"/>
          <w:lang w:val="de-DE" w:eastAsia="de-DE"/>
        </w:rPr>
        <w:drawing>
          <wp:inline distT="0" distB="0" distL="0" distR="0">
            <wp:extent cx="3564105" cy="4614122"/>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EchoCurveCHD2_KX.ai"/>
                    <pic:cNvPicPr/>
                  </pic:nvPicPr>
                  <pic:blipFill rotWithShape="1">
                    <a:blip r:embed="rId10"/>
                    <a:srcRect t="5675" r="32369" b="32456"/>
                    <a:stretch/>
                  </pic:blipFill>
                  <pic:spPr bwMode="auto">
                    <a:xfrm>
                      <a:off x="0" y="0"/>
                      <a:ext cx="3564467" cy="4614591"/>
                    </a:xfrm>
                    <a:prstGeom prst="rect">
                      <a:avLst/>
                    </a:prstGeom>
                    <a:ln>
                      <a:noFill/>
                    </a:ln>
                    <a:extLst>
                      <a:ext uri="{53640926-AAD7-44D8-BBD7-CCE9431645EC}">
                        <a14:shadowObscured xmlns:a14="http://schemas.microsoft.com/office/drawing/2010/main"/>
                      </a:ext>
                    </a:extLst>
                  </pic:spPr>
                </pic:pic>
              </a:graphicData>
            </a:graphic>
          </wp:inline>
        </w:drawing>
      </w:r>
    </w:p>
    <w:p>
      <w:pPr>
        <w:spacing w:line="260" w:lineRule="exact"/>
        <w:jc w:val="both"/>
        <w:rPr>
          <w:rFonts w:ascii="Arial" w:hAnsi="Arial" w:cs="Arial"/>
          <w:b/>
          <w:i/>
          <w:sz w:val="20"/>
          <w:szCs w:val="20"/>
        </w:rPr>
      </w:pPr>
    </w:p>
    <w:p>
      <w:pPr>
        <w:spacing w:line="260" w:lineRule="exact"/>
        <w:jc w:val="both"/>
        <w:rPr>
          <w:rFonts w:ascii="Arial" w:hAnsi="Arial" w:cs="Arial"/>
          <w:i/>
          <w:sz w:val="20"/>
          <w:szCs w:val="20"/>
        </w:rPr>
      </w:pPr>
      <w:r>
        <w:rPr>
          <w:rFonts w:ascii="Arial" w:hAnsi="Arial" w:cs="Arial"/>
          <w:b/>
          <w:i/>
          <w:sz w:val="20"/>
          <w:szCs w:val="20"/>
        </w:rPr>
        <w:t>Figure 2:</w:t>
      </w:r>
      <w:r>
        <w:rPr>
          <w:rFonts w:ascii="Arial" w:hAnsi="Arial" w:cs="Arial"/>
          <w:i/>
          <w:sz w:val="20"/>
          <w:szCs w:val="20"/>
        </w:rPr>
        <w:t xml:space="preserve"> (A) Representative 2D </w:t>
      </w:r>
      <w:r>
        <w:rPr>
          <w:rFonts w:ascii="Arial" w:hAnsi="Arial" w:cs="Arial"/>
          <w:i/>
          <w:sz w:val="20"/>
          <w:szCs w:val="20"/>
          <w:vertAlign w:val="superscript"/>
        </w:rPr>
        <w:t>1</w:t>
      </w:r>
      <w:r>
        <w:rPr>
          <w:rFonts w:ascii="Arial" w:hAnsi="Arial" w:cs="Arial"/>
          <w:i/>
          <w:sz w:val="20"/>
          <w:szCs w:val="20"/>
        </w:rPr>
        <w:t>H,</w:t>
      </w:r>
      <w:r>
        <w:rPr>
          <w:rFonts w:ascii="Arial" w:hAnsi="Arial" w:cs="Arial"/>
          <w:i/>
          <w:sz w:val="20"/>
          <w:szCs w:val="20"/>
          <w:vertAlign w:val="superscript"/>
        </w:rPr>
        <w:t>13</w:t>
      </w:r>
      <w:r>
        <w:rPr>
          <w:rFonts w:ascii="Arial" w:hAnsi="Arial" w:cs="Arial"/>
          <w:i/>
          <w:sz w:val="20"/>
          <w:szCs w:val="20"/>
        </w:rPr>
        <w:t xml:space="preserve">C correlation spectra obtained from the pseudo 3D OffMAS experiment at echo delays of 200 </w:t>
      </w:r>
      <w:r>
        <w:rPr>
          <w:rFonts w:ascii="Arial" w:hAnsi="Arial" w:cs="Arial"/>
          <w:i/>
          <w:sz w:val="20"/>
          <w:szCs w:val="20"/>
        </w:rPr>
        <w:sym w:font="Symbol" w:char="F06D"/>
      </w:r>
      <w:r>
        <w:rPr>
          <w:rFonts w:ascii="Arial" w:hAnsi="Arial" w:cs="Arial"/>
          <w:i/>
          <w:sz w:val="20"/>
          <w:szCs w:val="20"/>
        </w:rPr>
        <w:t xml:space="preserve">s, 5.8 ms and 32.2 ms, respectively, recorded for a selectively leucine and valine methyl protonated </w:t>
      </w:r>
      <w:r>
        <w:rPr>
          <w:rFonts w:ascii="Arial" w:hAnsi="Arial" w:cs="Arial"/>
          <w:i/>
          <w:sz w:val="20"/>
          <w:szCs w:val="20"/>
        </w:rPr>
        <w:sym w:font="Symbol" w:char="F061"/>
      </w:r>
      <w:r>
        <w:rPr>
          <w:rFonts w:ascii="Arial" w:hAnsi="Arial" w:cs="Arial"/>
          <w:i/>
          <w:sz w:val="20"/>
          <w:szCs w:val="20"/>
        </w:rPr>
        <w:t>-spectrin SH3 sample. (B) Spin echo evolution curves under OffMAS for residues V53</w:t>
      </w:r>
      <w:r>
        <w:rPr>
          <w:rStyle w:val="polytonic"/>
          <w:rFonts w:eastAsia="Times New Roman"/>
        </w:rPr>
        <w:t>γ</w:t>
      </w:r>
      <w:r>
        <w:rPr>
          <w:rFonts w:ascii="Arial" w:hAnsi="Arial" w:cs="Arial"/>
          <w:i/>
          <w:sz w:val="20"/>
          <w:szCs w:val="20"/>
        </w:rPr>
        <w:t>1 (black) and V23</w:t>
      </w:r>
      <w:r>
        <w:rPr>
          <w:rStyle w:val="polytonic"/>
          <w:rFonts w:eastAsia="Times New Roman"/>
        </w:rPr>
        <w:t>γ</w:t>
      </w:r>
      <w:r>
        <w:rPr>
          <w:rFonts w:ascii="Arial" w:hAnsi="Arial" w:cs="Arial"/>
          <w:i/>
          <w:sz w:val="20"/>
          <w:szCs w:val="20"/>
        </w:rPr>
        <w:t>1 (red), respectively. Error bars are smaller than the size of the symbols. 1D traces for V53</w:t>
      </w:r>
      <w:r>
        <w:rPr>
          <w:rStyle w:val="polytonic"/>
          <w:rFonts w:eastAsia="Times New Roman"/>
        </w:rPr>
        <w:t>γ</w:t>
      </w:r>
      <w:r>
        <w:rPr>
          <w:rFonts w:ascii="Arial" w:hAnsi="Arial" w:cs="Arial"/>
          <w:i/>
          <w:sz w:val="20"/>
          <w:szCs w:val="20"/>
        </w:rPr>
        <w:t>1 are plotted at echo delays of 200 μs, 5.2 ms, 14.8 ms, respectively.</w:t>
      </w:r>
    </w:p>
    <w:p>
      <w:pPr>
        <w:spacing w:line="260" w:lineRule="exact"/>
        <w:jc w:val="both"/>
        <w:rPr>
          <w:rFonts w:ascii="Arial" w:hAnsi="Arial" w:cs="Arial"/>
          <w:i/>
          <w:sz w:val="20"/>
          <w:szCs w:val="20"/>
        </w:rPr>
      </w:pPr>
    </w:p>
    <w:p>
      <w:pPr>
        <w:spacing w:line="360" w:lineRule="auto"/>
        <w:jc w:val="both"/>
        <w:rPr>
          <w:rFonts w:ascii="Arial" w:hAnsi="Arial" w:cs="Arial"/>
          <w:sz w:val="22"/>
          <w:szCs w:val="22"/>
        </w:rPr>
      </w:pPr>
      <w:r>
        <w:rPr>
          <w:rFonts w:ascii="Arial" w:hAnsi="Arial" w:cs="Arial"/>
          <w:noProof/>
          <w:sz w:val="22"/>
          <w:szCs w:val="22"/>
          <w:lang w:val="de-DE" w:eastAsia="de-DE"/>
        </w:rPr>
        <w:lastRenderedPageBreak/>
        <w:drawing>
          <wp:inline distT="0" distB="0" distL="0" distR="0">
            <wp:extent cx="3539921" cy="252851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3.eps"/>
                    <pic:cNvPicPr/>
                  </pic:nvPicPr>
                  <pic:blipFill>
                    <a:blip r:embed="rId11"/>
                    <a:stretch>
                      <a:fillRect/>
                    </a:stretch>
                  </pic:blipFill>
                  <pic:spPr>
                    <a:xfrm>
                      <a:off x="0" y="0"/>
                      <a:ext cx="3561225" cy="2543732"/>
                    </a:xfrm>
                    <a:prstGeom prst="rect">
                      <a:avLst/>
                    </a:prstGeom>
                  </pic:spPr>
                </pic:pic>
              </a:graphicData>
            </a:graphic>
          </wp:inline>
        </w:drawing>
      </w:r>
    </w:p>
    <w:p>
      <w:pPr>
        <w:pStyle w:val="p1"/>
        <w:spacing w:line="260" w:lineRule="exact"/>
        <w:jc w:val="both"/>
        <w:rPr>
          <w:bCs/>
          <w:i/>
          <w:iCs/>
          <w:color w:val="000000"/>
          <w:sz w:val="20"/>
          <w:szCs w:val="20"/>
        </w:rPr>
      </w:pPr>
      <w:r>
        <w:rPr>
          <w:b/>
          <w:bCs/>
          <w:i/>
          <w:iCs/>
          <w:color w:val="000000"/>
          <w:sz w:val="20"/>
          <w:szCs w:val="20"/>
        </w:rPr>
        <w:t>Figure 3:</w:t>
      </w:r>
      <w:r>
        <w:rPr>
          <w:bCs/>
          <w:i/>
          <w:iCs/>
          <w:color w:val="000000"/>
          <w:sz w:val="20"/>
          <w:szCs w:val="20"/>
        </w:rPr>
        <w:t xml:space="preserve"> Correlation of methyl order parameters measured using the OffMAS approach and REDOR dephasing </w:t>
      </w:r>
      <w:r>
        <w:rPr>
          <w:bCs/>
          <w:i/>
          <w:iCs/>
          <w:color w:val="000000"/>
          <w:sz w:val="20"/>
          <w:szCs w:val="20"/>
        </w:rPr>
        <w:fldChar w:fldCharType="begin"/>
      </w:r>
      <w:r>
        <w:rPr>
          <w:bCs/>
          <w:i/>
          <w:iCs/>
          <w:color w:val="000000"/>
          <w:sz w:val="20"/>
          <w:szCs w:val="20"/>
        </w:rPr>
        <w:instrText xml:space="preserve"> ADDIN EN.CITE &lt;EndNote&gt;&lt;Cite&gt;&lt;Author&gt;Asami&lt;/Author&gt;&lt;Year&gt;2013&lt;/Year&gt;&lt;RecNum&gt;26&lt;/RecNum&gt;&lt;DisplayText&gt;(Asami and Reif 2013)&lt;/DisplayText&gt;&lt;record&gt;&lt;rec-number&gt;26&lt;/rec-number&gt;&lt;foreign-keys&gt;&lt;key app="EN" db-id="a9resxaadtas09e2zsopdwwzxte520te05dv" timestamp="1489143138"&gt;26&lt;/key&gt;&lt;/foreign-keys&gt;&lt;ref-type name="Journal Article"&gt;17&lt;/ref-type&gt;&lt;contributors&gt;&lt;authors&gt;&lt;author&gt;Asami, S.&lt;/author&gt;&lt;author&gt;Reif, B.&lt;/author&gt;&lt;/authors&gt;&lt;/contributors&gt;&lt;titles&gt;&lt;title&gt;Proton-detected solid-state NMR at aliphatic sites: Applications to Crystalline Systems&lt;/title&gt;&lt;secondary-title&gt;Acc. Chem. Res.&lt;/secondary-title&gt;&lt;/titles&gt;&lt;periodical&gt;&lt;full-title&gt;Acc. Chem. Res.&lt;/full-title&gt;&lt;/periodical&gt;&lt;pages&gt;2089-2097&lt;/pages&gt;&lt;volume&gt;46&lt;/volume&gt;&lt;number&gt;9&lt;/number&gt;&lt;dates&gt;&lt;year&gt;2013&lt;/year&gt;&lt;pub-dates&gt;&lt;date&gt;17 Sep 2013&lt;/date&gt;&lt;/pub-dates&gt;&lt;/dates&gt;&lt;urls&gt;&lt;/urls&gt;&lt;/record&gt;&lt;/Cite&gt;&lt;/EndNote&gt;</w:instrText>
      </w:r>
      <w:r>
        <w:rPr>
          <w:bCs/>
          <w:i/>
          <w:iCs/>
          <w:color w:val="000000"/>
          <w:sz w:val="20"/>
          <w:szCs w:val="20"/>
        </w:rPr>
        <w:fldChar w:fldCharType="separate"/>
      </w:r>
      <w:r>
        <w:rPr>
          <w:bCs/>
          <w:i/>
          <w:iCs/>
          <w:noProof/>
          <w:color w:val="000000"/>
          <w:sz w:val="20"/>
          <w:szCs w:val="20"/>
        </w:rPr>
        <w:t>(Asami and Reif 2013)</w:t>
      </w:r>
      <w:r>
        <w:rPr>
          <w:bCs/>
          <w:i/>
          <w:iCs/>
          <w:color w:val="000000"/>
          <w:sz w:val="20"/>
          <w:szCs w:val="20"/>
        </w:rPr>
        <w:fldChar w:fldCharType="end"/>
      </w:r>
      <w:r>
        <w:rPr>
          <w:bCs/>
          <w:i/>
          <w:iCs/>
          <w:color w:val="000000"/>
          <w:sz w:val="20"/>
          <w:szCs w:val="20"/>
        </w:rPr>
        <w:t xml:space="preserve">. The OffMAS </w:t>
      </w:r>
      <w:r>
        <w:rPr>
          <w:i/>
          <w:sz w:val="20"/>
          <w:szCs w:val="20"/>
        </w:rPr>
        <w:t xml:space="preserve">experiment was carried out using </w:t>
      </w:r>
      <w:r>
        <w:rPr>
          <w:rStyle w:val="s4"/>
          <w:rFonts w:eastAsia="Cambria Math" w:cs="Cambria Math"/>
          <w:i/>
          <w:sz w:val="20"/>
          <w:szCs w:val="20"/>
        </w:rPr>
        <w:t>𝛥𝜃</w:t>
      </w:r>
      <w:r>
        <w:rPr>
          <w:rStyle w:val="s5"/>
          <w:rFonts w:eastAsia="Cambria Math" w:cs="Cambria Math"/>
          <w:i/>
          <w:sz w:val="20"/>
          <w:szCs w:val="20"/>
          <w:vertAlign w:val="subscript"/>
        </w:rPr>
        <w:t>𝑅𝐿</w:t>
      </w:r>
      <w:r>
        <w:rPr>
          <w:rStyle w:val="s5"/>
          <w:rFonts w:ascii="Arial" w:hAnsi="Arial"/>
          <w:i/>
          <w:sz w:val="20"/>
          <w:szCs w:val="20"/>
        </w:rPr>
        <w:t xml:space="preserve"> </w:t>
      </w:r>
      <w:r>
        <w:rPr>
          <w:rStyle w:val="s4"/>
          <w:rFonts w:ascii="Arial" w:hAnsi="Arial"/>
          <w:i/>
          <w:sz w:val="20"/>
          <w:szCs w:val="20"/>
        </w:rPr>
        <w:t xml:space="preserve">= −0.12°, </w:t>
      </w:r>
      <w:r>
        <w:rPr>
          <w:i/>
          <w:sz w:val="20"/>
          <w:szCs w:val="20"/>
        </w:rPr>
        <w:t>employing 55 kHz MAS. The spectrum was recorded at an external field strength B</w:t>
      </w:r>
      <w:r>
        <w:rPr>
          <w:rStyle w:val="s3"/>
          <w:i/>
          <w:sz w:val="20"/>
          <w:szCs w:val="20"/>
          <w:vertAlign w:val="subscript"/>
        </w:rPr>
        <w:t>0</w:t>
      </w:r>
      <w:r>
        <w:rPr>
          <w:rStyle w:val="s3"/>
          <w:i/>
          <w:sz w:val="20"/>
          <w:szCs w:val="20"/>
        </w:rPr>
        <w:t xml:space="preserve"> </w:t>
      </w:r>
      <w:r>
        <w:rPr>
          <w:i/>
          <w:sz w:val="20"/>
          <w:szCs w:val="20"/>
        </w:rPr>
        <w:t xml:space="preserve">of 18.8 T (800 MHz for </w:t>
      </w:r>
      <w:r>
        <w:rPr>
          <w:rStyle w:val="s3"/>
          <w:i/>
          <w:sz w:val="20"/>
          <w:szCs w:val="20"/>
          <w:vertAlign w:val="superscript"/>
        </w:rPr>
        <w:t>1</w:t>
      </w:r>
      <w:r>
        <w:rPr>
          <w:i/>
          <w:sz w:val="20"/>
          <w:szCs w:val="20"/>
        </w:rPr>
        <w:t xml:space="preserve">H).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 xml:space="preserve">The dipolar coupling values obtained from OffMAS and REDOR methods are compared in </w:t>
      </w:r>
      <w:r>
        <w:rPr>
          <w:rFonts w:ascii="Arial" w:hAnsi="Arial" w:cs="Arial"/>
          <w:color w:val="0432FF"/>
          <w:sz w:val="22"/>
          <w:szCs w:val="22"/>
        </w:rPr>
        <w:t>Figure 3</w:t>
      </w:r>
      <w:r>
        <w:rPr>
          <w:rFonts w:ascii="Arial" w:hAnsi="Arial" w:cs="Arial"/>
          <w:sz w:val="22"/>
          <w:szCs w:val="22"/>
        </w:rPr>
        <w:t xml:space="preserve">. OffMAS and REDOR experiments are recorded under slightly different conditions: The REDOR experiment was acquired using </w:t>
      </w:r>
      <w:r>
        <w:rPr>
          <w:rFonts w:ascii="Arial" w:hAnsi="Arial" w:cs="Arial"/>
          <w:sz w:val="22"/>
          <w:szCs w:val="22"/>
          <w:vertAlign w:val="superscript"/>
        </w:rPr>
        <w:t>2</w:t>
      </w:r>
      <w:r>
        <w:rPr>
          <w:rFonts w:ascii="Arial" w:hAnsi="Arial" w:cs="Arial"/>
          <w:sz w:val="22"/>
          <w:szCs w:val="22"/>
        </w:rPr>
        <w:t xml:space="preserve">H decoupling during the </w:t>
      </w:r>
      <w:r>
        <w:rPr>
          <w:rFonts w:ascii="Arial" w:hAnsi="Arial" w:cs="Arial"/>
          <w:sz w:val="22"/>
          <w:szCs w:val="22"/>
          <w:vertAlign w:val="superscript"/>
        </w:rPr>
        <w:t>13</w:t>
      </w:r>
      <w:r>
        <w:rPr>
          <w:rFonts w:ascii="Arial" w:hAnsi="Arial" w:cs="Arial"/>
          <w:sz w:val="22"/>
          <w:szCs w:val="22"/>
        </w:rPr>
        <w:t xml:space="preserve">C </w:t>
      </w:r>
      <w:r>
        <w:rPr>
          <w:rFonts w:ascii="Arial" w:hAnsi="Arial" w:cs="Arial"/>
          <w:i/>
          <w:sz w:val="22"/>
          <w:szCs w:val="22"/>
        </w:rPr>
        <w:t>t</w:t>
      </w:r>
      <w:r>
        <w:rPr>
          <w:rFonts w:ascii="Arial" w:hAnsi="Arial" w:cs="Arial"/>
          <w:sz w:val="22"/>
          <w:szCs w:val="22"/>
          <w:vertAlign w:val="subscript"/>
        </w:rPr>
        <w:t>1</w:t>
      </w:r>
      <w:r>
        <w:rPr>
          <w:rFonts w:ascii="Arial" w:hAnsi="Arial" w:cs="Arial"/>
          <w:sz w:val="22"/>
          <w:szCs w:val="22"/>
        </w:rPr>
        <w:t xml:space="preserve"> evolution period whereas no </w:t>
      </w:r>
      <w:r>
        <w:rPr>
          <w:rFonts w:ascii="Arial" w:hAnsi="Arial" w:cs="Arial"/>
          <w:sz w:val="22"/>
          <w:szCs w:val="22"/>
          <w:vertAlign w:val="superscript"/>
        </w:rPr>
        <w:t>2</w:t>
      </w:r>
      <w:r>
        <w:rPr>
          <w:rFonts w:ascii="Arial" w:hAnsi="Arial" w:cs="Arial"/>
          <w:sz w:val="22"/>
          <w:szCs w:val="22"/>
        </w:rPr>
        <w:t xml:space="preserve">H decoupling was employed in the OffMAS experiment. This leads to larger linewidths in the </w:t>
      </w:r>
      <w:r>
        <w:rPr>
          <w:rFonts w:ascii="Arial" w:hAnsi="Arial" w:cs="Arial"/>
          <w:sz w:val="22"/>
          <w:szCs w:val="22"/>
          <w:vertAlign w:val="superscript"/>
        </w:rPr>
        <w:t>13</w:t>
      </w:r>
      <w:r>
        <w:rPr>
          <w:rFonts w:ascii="Arial" w:hAnsi="Arial" w:cs="Arial"/>
          <w:sz w:val="22"/>
          <w:szCs w:val="22"/>
        </w:rPr>
        <w:t xml:space="preserve">C dimensions in the OffMAS spectra as the </w:t>
      </w:r>
      <w:r>
        <w:rPr>
          <w:rFonts w:ascii="Arial" w:hAnsi="Arial" w:cs="Arial"/>
          <w:sz w:val="22"/>
          <w:szCs w:val="22"/>
          <w:vertAlign w:val="superscript"/>
        </w:rPr>
        <w:t>2</w:t>
      </w:r>
      <w:r>
        <w:rPr>
          <w:rFonts w:ascii="Arial" w:hAnsi="Arial" w:cs="Arial"/>
          <w:sz w:val="22"/>
          <w:szCs w:val="22"/>
        </w:rPr>
        <w:t>H,</w:t>
      </w:r>
      <w:r>
        <w:rPr>
          <w:rFonts w:ascii="Arial" w:hAnsi="Arial" w:cs="Arial"/>
          <w:sz w:val="22"/>
          <w:szCs w:val="22"/>
          <w:vertAlign w:val="superscript"/>
        </w:rPr>
        <w:t>13</w:t>
      </w:r>
      <w:r>
        <w:rPr>
          <w:rFonts w:ascii="Arial" w:hAnsi="Arial" w:cs="Arial"/>
          <w:sz w:val="22"/>
          <w:szCs w:val="22"/>
        </w:rPr>
        <w:t xml:space="preserve">C scalar couplings evolve during the indirect dimension. INEPT based magnetisation transfer schemes were employed both for OffMAS and REDOR experiments. We find that both methods yield very similar order parameters. In addition to dipole anisotropy information, the experiments contain information on the asymmetry parameter. This has been shown previously using REDOR-type experiments </w:t>
      </w:r>
      <w:r>
        <w:rPr>
          <w:rFonts w:ascii="Arial" w:hAnsi="Arial" w:cs="Arial"/>
          <w:sz w:val="22"/>
          <w:szCs w:val="22"/>
        </w:rPr>
        <w:fldChar w:fldCharType="begin">
          <w:fldData xml:space="preserve">PEVuZE5vdGU+PENpdGU+PEF1dGhvcj5TY2hhbmRhPC9BdXRob3I+PFllYXI+MjAxMTwvWWVhcj48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PEVuZE5vdGU+PENpdGU+PEF1dGhvcj5TY2hhbmRhPC9BdXRob3I+PFllYXI+MjAxMTwvWWVhcj48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(Schanda et al. 2011a; Schanda et al. 2011b)</w:t>
      </w:r>
      <w:r>
        <w:rPr>
          <w:rFonts w:ascii="Arial" w:hAnsi="Arial" w:cs="Arial"/>
          <w:sz w:val="22"/>
          <w:szCs w:val="22"/>
        </w:rPr>
        <w:fldChar w:fldCharType="end"/>
      </w:r>
      <w:r>
        <w:rPr>
          <w:rFonts w:ascii="Arial" w:hAnsi="Arial" w:cs="Arial"/>
          <w:sz w:val="22"/>
          <w:szCs w:val="22"/>
        </w:rPr>
        <w:t xml:space="preserve">. In principle, this information is contained as well in the OffMAS dipolar oscillations. Work into this direction is currently in progress in our laboratory.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trike/>
          <w:sz w:val="22"/>
          <w:szCs w:val="22"/>
        </w:rPr>
      </w:pPr>
    </w:p>
    <w:p>
      <w:pPr>
        <w:spacing w:line="360" w:lineRule="auto"/>
        <w:jc w:val="both"/>
        <w:rPr>
          <w:rFonts w:ascii="Arial" w:hAnsi="Arial"/>
          <w:b/>
          <w:sz w:val="22"/>
          <w:szCs w:val="22"/>
        </w:rPr>
      </w:pPr>
    </w:p>
    <w:p>
      <w:pPr>
        <w:spacing w:line="360" w:lineRule="auto"/>
        <w:jc w:val="both"/>
        <w:rPr>
          <w:rFonts w:ascii="Arial" w:hAnsi="Arial" w:cs="Arial"/>
          <w:sz w:val="22"/>
          <w:szCs w:val="22"/>
        </w:rPr>
      </w:pPr>
      <w:r>
        <w:rPr>
          <w:rFonts w:ascii="Arial" w:hAnsi="Arial"/>
          <w:b/>
          <w:sz w:val="22"/>
          <w:szCs w:val="22"/>
        </w:rPr>
        <w:t>Conclusions</w:t>
      </w:r>
    </w:p>
    <w:p>
      <w:pPr>
        <w:spacing w:line="360" w:lineRule="auto"/>
        <w:jc w:val="both"/>
        <w:rPr>
          <w:rFonts w:ascii="Arial" w:hAnsi="Arial"/>
          <w:sz w:val="22"/>
          <w:szCs w:val="22"/>
        </w:rPr>
      </w:pPr>
    </w:p>
    <w:p>
      <w:pPr>
        <w:spacing w:line="360" w:lineRule="auto"/>
        <w:jc w:val="both"/>
        <w:rPr>
          <w:rFonts w:ascii="Arial" w:hAnsi="Arial"/>
          <w:sz w:val="22"/>
          <w:szCs w:val="22"/>
        </w:rPr>
      </w:pPr>
      <w:r>
        <w:rPr>
          <w:rFonts w:ascii="Arial" w:hAnsi="Arial"/>
          <w:sz w:val="22"/>
          <w:szCs w:val="22"/>
        </w:rPr>
        <w:t xml:space="preserve">Taken together, we have shown that slight mis-setting of the spinning angle in a high-resolution MAS solid-state NMR experiment allows to quantify methyl order parameters in a selectively methyl protonated microcrystalline protein sample. We </w:t>
      </w:r>
      <w:r>
        <w:rPr>
          <w:rFonts w:ascii="Arial" w:hAnsi="Arial"/>
          <w:sz w:val="22"/>
          <w:szCs w:val="22"/>
        </w:rPr>
        <w:lastRenderedPageBreak/>
        <w:t xml:space="preserve">believe that this kind of experiment will be useful for the quantification of dynamics in the solid-state at very fast spinning, where even short high-power pulses occupy a significant fraction of one rotor cycle. </w:t>
      </w:r>
      <w:r>
        <w:rPr>
          <w:rFonts w:ascii="Arial" w:hAnsi="Arial"/>
          <w:sz w:val="22"/>
          <w:szCs w:val="22"/>
          <w:lang w:val="en-US"/>
        </w:rPr>
        <w:t>High accuracy in quantifying order parameters using the off-MAS method requires long coherence life times. A reduction of the error bars can be achieved by employing perdeuteration in combination with ultrafast-MAS.</w:t>
      </w:r>
      <w:r>
        <w:rPr>
          <w:rFonts w:ascii="Arial" w:hAnsi="Arial"/>
          <w:sz w:val="22"/>
          <w:szCs w:val="22"/>
        </w:rPr>
        <w:t xml:space="preserve">  </w:t>
      </w:r>
    </w:p>
    <w:p>
      <w:pPr>
        <w:spacing w:line="360" w:lineRule="auto"/>
        <w:jc w:val="both"/>
        <w:rPr>
          <w:rFonts w:ascii="Arial" w:hAnsi="Arial"/>
          <w:sz w:val="22"/>
          <w:szCs w:val="22"/>
        </w:rPr>
      </w:pPr>
    </w:p>
    <w:p>
      <w:pPr>
        <w:spacing w:line="360" w:lineRule="auto"/>
        <w:jc w:val="both"/>
        <w:rPr>
          <w:rFonts w:ascii="Arial" w:hAnsi="Arial"/>
          <w:b/>
          <w:sz w:val="22"/>
          <w:szCs w:val="22"/>
        </w:rPr>
      </w:pPr>
    </w:p>
    <w:p>
      <w:pPr>
        <w:spacing w:line="360" w:lineRule="auto"/>
        <w:jc w:val="both"/>
        <w:rPr>
          <w:rFonts w:ascii="Arial" w:hAnsi="Arial"/>
          <w:b/>
          <w:sz w:val="22"/>
          <w:szCs w:val="22"/>
        </w:rPr>
      </w:pPr>
      <w:r>
        <w:rPr>
          <w:rFonts w:ascii="Arial" w:hAnsi="Arial"/>
          <w:b/>
          <w:sz w:val="22"/>
          <w:szCs w:val="22"/>
        </w:rPr>
        <w:t>Materials and Methods</w:t>
      </w:r>
    </w:p>
    <w:p>
      <w:pPr>
        <w:spacing w:line="360" w:lineRule="auto"/>
        <w:jc w:val="both"/>
        <w:rPr>
          <w:rFonts w:ascii="Arial" w:hAnsi="Arial"/>
          <w:b/>
          <w:sz w:val="22"/>
          <w:szCs w:val="22"/>
        </w:rPr>
      </w:pPr>
    </w:p>
    <w:p>
      <w:pPr>
        <w:spacing w:line="360" w:lineRule="auto"/>
        <w:jc w:val="both"/>
        <w:rPr>
          <w:rFonts w:ascii="Arial" w:hAnsi="Arial"/>
          <w:b/>
          <w:sz w:val="22"/>
          <w:szCs w:val="22"/>
        </w:rPr>
      </w:pPr>
      <w:r>
        <w:rPr>
          <w:rFonts w:ascii="Arial" w:hAnsi="Arial"/>
          <w:b/>
          <w:sz w:val="22"/>
          <w:szCs w:val="22"/>
        </w:rPr>
        <w:t xml:space="preserve">Sample Preparation </w:t>
      </w:r>
    </w:p>
    <w:p>
      <w:pPr>
        <w:spacing w:line="360" w:lineRule="auto"/>
        <w:jc w:val="both"/>
        <w:rPr>
          <w:rFonts w:ascii="Arial" w:hAnsi="Arial"/>
          <w:b/>
          <w:sz w:val="22"/>
          <w:szCs w:val="22"/>
        </w:rPr>
      </w:pPr>
    </w:p>
    <w:p>
      <w:pPr>
        <w:spacing w:line="360" w:lineRule="auto"/>
        <w:jc w:val="both"/>
        <w:rPr>
          <w:rFonts w:ascii="Arial" w:hAnsi="Arial"/>
          <w:sz w:val="22"/>
          <w:szCs w:val="22"/>
        </w:rPr>
      </w:pPr>
      <w:r>
        <w:rPr>
          <w:rFonts w:ascii="Arial" w:hAnsi="Arial"/>
          <w:sz w:val="22"/>
          <w:szCs w:val="22"/>
        </w:rPr>
        <w:t xml:space="preserve">Microcrystalline </w:t>
      </w:r>
      <w:r>
        <w:rPr>
          <w:rFonts w:ascii="Helvetica" w:hAnsi="Helvetica" w:cs="Lucida Grande"/>
          <w:color w:val="000000"/>
          <w:sz w:val="22"/>
          <w:szCs w:val="22"/>
        </w:rPr>
        <w:t xml:space="preserve">α-spectrin SH3 was prepared as described previously </w:t>
      </w:r>
      <w:r>
        <w:rPr>
          <w:rFonts w:ascii="Helvetica" w:hAnsi="Helvetica" w:cs="Lucida Grande"/>
          <w:color w:val="000000"/>
          <w:sz w:val="22"/>
          <w:szCs w:val="22"/>
        </w:rPr>
        <w:fldChar w:fldCharType="begin"/>
      </w:r>
      <w:r>
        <w:rPr>
          <w:rFonts w:ascii="Helvetica" w:hAnsi="Helvetica" w:cs="Lucida Grande"/>
          <w:color w:val="000000"/>
          <w:sz w:val="22"/>
          <w:szCs w:val="22"/>
        </w:rPr>
        <w:instrText xml:space="preserve"> ADDIN EN.CITE &lt;EndNote&gt;&lt;Cite&gt;&lt;Author&gt;Chevelkov&lt;/Author&gt;&lt;Year&gt;2006&lt;/Year&gt;&lt;RecNum&gt;11&lt;/RecNum&gt;&lt;DisplayText&gt;(Chevelkov et al. 2006)&lt;/DisplayText&gt;&lt;record&gt;&lt;rec-number&gt;11&lt;/rec-number&gt;&lt;foreign-keys&gt;&lt;key app="EN" db-id="a9resxaadtas09e2zsopdwwzxte520te05dv" timestamp="1489143137"&gt;11&lt;/key&gt;&lt;/foreign-keys&gt;&lt;ref-type name="Journal Article"&gt;17&lt;/ref-type&gt;&lt;contributors&gt;&lt;authors&gt;&lt;author&gt;Chevelkov, Veniamin&lt;/author&gt;&lt;author&gt;Rehbein, Kristina&lt;/author&gt;&lt;author&gt;Diehl, Anne&lt;/author&gt;&lt;author&gt;Reif, Bernd&lt;/author&gt;&lt;/authors&gt;&lt;/contributors&gt;&lt;titles&gt;&lt;title&gt;Ultra-high resolution in proton solid-state NMR at high levels of deuteration&lt;/title&gt;&lt;secondary-title&gt;Angew. Chem. Int. Ed.&lt;/secondary-title&gt;&lt;/titles&gt;&lt;periodical&gt;&lt;full-title&gt;Angew. Chem. Int. Ed.&lt;/full-title&gt;&lt;/periodical&gt;&lt;pages&gt;3878-3881&lt;/pages&gt;&lt;volume&gt;45&lt;/volume&gt;&lt;number&gt;23&lt;/number&gt;&lt;keywords&gt;&lt;keyword&gt;Deuteration&lt;/keyword&gt;&lt;/keywords&gt;&lt;dates&gt;&lt;year&gt;2006&lt;/year&gt;&lt;/dates&gt;&lt;urls&gt;&lt;/urls&gt;&lt;/record&gt;&lt;/Cite&gt;&lt;/EndNote&gt;</w:instrText>
      </w:r>
      <w:r>
        <w:rPr>
          <w:rFonts w:ascii="Helvetica" w:hAnsi="Helvetica" w:cs="Lucida Grande"/>
          <w:color w:val="000000"/>
          <w:sz w:val="22"/>
          <w:szCs w:val="22"/>
        </w:rPr>
        <w:fldChar w:fldCharType="separate"/>
      </w:r>
      <w:r>
        <w:rPr>
          <w:rFonts w:ascii="Helvetica" w:hAnsi="Helvetica" w:cs="Lucida Grande"/>
          <w:noProof/>
          <w:color w:val="000000"/>
          <w:sz w:val="22"/>
          <w:szCs w:val="22"/>
        </w:rPr>
        <w:t>(Chevelkov et al. 2006)</w:t>
      </w:r>
      <w:r>
        <w:rPr>
          <w:rFonts w:ascii="Helvetica" w:hAnsi="Helvetica" w:cs="Lucida Grande"/>
          <w:color w:val="000000"/>
          <w:sz w:val="22"/>
          <w:szCs w:val="22"/>
        </w:rPr>
        <w:fldChar w:fldCharType="end"/>
      </w:r>
      <w:r>
        <w:rPr>
          <w:rFonts w:ascii="Helvetica" w:hAnsi="Helvetica" w:cs="Lucida Grande"/>
          <w:color w:val="000000"/>
          <w:sz w:val="22"/>
          <w:szCs w:val="22"/>
        </w:rPr>
        <w:t xml:space="preserve">. Methyl labelling using α-ketoisovalerate was achieved as described by Agarwal et al. </w:t>
      </w:r>
      <w:r>
        <w:rPr>
          <w:rFonts w:ascii="Helvetica" w:hAnsi="Helvetica" w:cs="Lucida Grande"/>
          <w:color w:val="000000"/>
          <w:sz w:val="22"/>
          <w:szCs w:val="22"/>
        </w:rPr>
        <w:fldChar w:fldCharType="begin"/>
      </w:r>
      <w:r>
        <w:rPr>
          <w:rFonts w:ascii="Helvetica" w:hAnsi="Helvetica" w:cs="Lucida Grande"/>
          <w:color w:val="000000"/>
          <w:sz w:val="22"/>
          <w:szCs w:val="22"/>
        </w:rPr>
        <w:instrText xml:space="preserve"> ADDIN EN.CITE &lt;EndNote&gt;&lt;Cite&gt;&lt;Author&gt;Agarwal&lt;/Author&gt;&lt;Year&gt;2008&lt;/Year&gt;&lt;RecNum&gt;115&lt;/RecNum&gt;&lt;DisplayText&gt;(Agarwal et al. 2008)&lt;/DisplayText&gt;&lt;record&gt;&lt;rec-number&gt;115&lt;/rec-number&gt;&lt;foreign-keys&gt;&lt;key app="EN" db-id="a9resxaadtas09e2zsopdwwzxte520te05dv" timestamp="1551390999"&gt;115&lt;/key&gt;&lt;/foreign-keys&gt;&lt;ref-type name="Journal Article"&gt;17&lt;/ref-type&gt;&lt;contributors&gt;&lt;authors&gt;&lt;author&gt;Agarwal, Vipin&lt;/author&gt;&lt;author&gt;Xue, Yi&lt;/author&gt;&lt;author&gt;Reif, Bernd&lt;/author&gt;&lt;author&gt;Skrynnikov, Nikolai R.&lt;/author&gt;&lt;/authors&gt;&lt;/contributors&gt;&lt;titles&gt;&lt;title&gt;Protein Side-Chain Dynamics As Observed by Solution- and Solid-State NMR Spectroscopy: A Similarity Revealed&lt;/title&gt;&lt;secondary-title&gt;Journal of the American Chemical Society&lt;/secondary-title&gt;&lt;/titles&gt;&lt;periodical&gt;&lt;full-title&gt;J Am Chem Soc&lt;/full-title&gt;&lt;abbr-1&gt;Journal of the American Chemical Society&lt;/abbr-1&gt;&lt;/periodical&gt;&lt;pages&gt;16611-16621&lt;/pages&gt;&lt;volume&gt;130&lt;/volume&gt;&lt;number&gt;49&lt;/number&gt;&lt;dates&gt;&lt;year&gt;2008&lt;/year&gt;&lt;/dates&gt;&lt;isbn&gt;0002-7863&amp;#xD;1520-5126&lt;/isbn&gt;&lt;urls&gt;&lt;/urls&gt;&lt;electronic-resource-num&gt;10.1021/ja804275p&lt;/electronic-resource-num&gt;&lt;/record&gt;&lt;/Cite&gt;&lt;/EndNote&gt;</w:instrText>
      </w:r>
      <w:r>
        <w:rPr>
          <w:rFonts w:ascii="Helvetica" w:hAnsi="Helvetica" w:cs="Lucida Grande"/>
          <w:color w:val="000000"/>
          <w:sz w:val="22"/>
          <w:szCs w:val="22"/>
        </w:rPr>
        <w:fldChar w:fldCharType="separate"/>
      </w:r>
      <w:r>
        <w:rPr>
          <w:rFonts w:ascii="Helvetica" w:hAnsi="Helvetica" w:cs="Lucida Grande"/>
          <w:noProof/>
          <w:color w:val="000000"/>
          <w:sz w:val="22"/>
          <w:szCs w:val="22"/>
        </w:rPr>
        <w:t>(Agarwal et al. 2008)</w:t>
      </w:r>
      <w:r>
        <w:rPr>
          <w:rFonts w:ascii="Helvetica" w:hAnsi="Helvetica" w:cs="Lucida Grande"/>
          <w:color w:val="000000"/>
          <w:sz w:val="22"/>
          <w:szCs w:val="22"/>
        </w:rPr>
        <w:fldChar w:fldCharType="end"/>
      </w:r>
      <w:r>
        <w:rPr>
          <w:rFonts w:ascii="Helvetica" w:hAnsi="Helvetica" w:cs="Lucida Grande"/>
          <w:color w:val="000000"/>
          <w:sz w:val="22"/>
          <w:szCs w:val="22"/>
        </w:rPr>
        <w:t xml:space="preserve">. </w:t>
      </w:r>
    </w:p>
    <w:p>
      <w:pPr>
        <w:spacing w:line="360" w:lineRule="auto"/>
        <w:jc w:val="both"/>
        <w:rPr>
          <w:rFonts w:ascii="Arial" w:hAnsi="Arial"/>
          <w:b/>
          <w:sz w:val="22"/>
          <w:szCs w:val="22"/>
        </w:rPr>
      </w:pPr>
    </w:p>
    <w:p>
      <w:pPr>
        <w:spacing w:line="360" w:lineRule="auto"/>
        <w:jc w:val="both"/>
        <w:rPr>
          <w:rFonts w:ascii="Arial" w:hAnsi="Arial"/>
          <w:b/>
          <w:sz w:val="22"/>
          <w:szCs w:val="22"/>
        </w:rPr>
      </w:pPr>
      <w:r>
        <w:rPr>
          <w:rFonts w:ascii="Arial" w:hAnsi="Arial"/>
          <w:b/>
          <w:sz w:val="22"/>
          <w:szCs w:val="22"/>
        </w:rPr>
        <w:t>NMR Spectroscopy</w:t>
      </w:r>
    </w:p>
    <w:p>
      <w:pPr>
        <w:spacing w:line="360" w:lineRule="auto"/>
        <w:jc w:val="both"/>
        <w:rPr>
          <w:rFonts w:ascii="Arial" w:hAnsi="Arial"/>
          <w:b/>
          <w:sz w:val="22"/>
          <w:szCs w:val="22"/>
        </w:rPr>
      </w:pPr>
    </w:p>
    <w:p>
      <w:pPr>
        <w:spacing w:line="360" w:lineRule="auto"/>
        <w:jc w:val="both"/>
        <w:rPr>
          <w:rFonts w:ascii="Helvetica" w:hAnsi="Helvetica" w:cs="Lucida Grande"/>
          <w:color w:val="000000"/>
          <w:sz w:val="22"/>
          <w:szCs w:val="22"/>
        </w:rPr>
      </w:pPr>
      <w:r>
        <w:rPr>
          <w:rFonts w:ascii="Arial" w:hAnsi="Arial"/>
          <w:sz w:val="22"/>
          <w:szCs w:val="22"/>
        </w:rPr>
        <w:t>NMR experiments</w:t>
      </w:r>
      <w:r>
        <w:rPr>
          <w:rFonts w:ascii="Arial" w:hAnsi="Arial"/>
          <w:b/>
          <w:sz w:val="22"/>
          <w:szCs w:val="22"/>
        </w:rPr>
        <w:t xml:space="preserve"> </w:t>
      </w:r>
      <w:r>
        <w:rPr>
          <w:rFonts w:ascii="Arial" w:hAnsi="Arial"/>
          <w:sz w:val="22"/>
          <w:szCs w:val="22"/>
        </w:rPr>
        <w:t xml:space="preserve">were carried out using a Bruker Avance 3 spectrometer operating at a </w:t>
      </w:r>
      <w:r>
        <w:rPr>
          <w:rFonts w:ascii="Arial" w:hAnsi="Arial"/>
          <w:sz w:val="22"/>
          <w:szCs w:val="22"/>
          <w:vertAlign w:val="superscript"/>
        </w:rPr>
        <w:t>1</w:t>
      </w:r>
      <w:r>
        <w:rPr>
          <w:rFonts w:ascii="Arial" w:hAnsi="Arial"/>
          <w:sz w:val="22"/>
          <w:szCs w:val="22"/>
        </w:rPr>
        <w:t xml:space="preserve">H Larmor frequency of 800 MHz. The MAS rotation frequency was set to 55 kHz. </w:t>
      </w:r>
      <w:r>
        <w:rPr>
          <w:rFonts w:ascii="Arial" w:hAnsi="Arial"/>
          <w:sz w:val="22"/>
          <w:szCs w:val="22"/>
          <w:vertAlign w:val="superscript"/>
        </w:rPr>
        <w:t>1</w:t>
      </w:r>
      <w:r>
        <w:rPr>
          <w:rFonts w:ascii="Arial" w:hAnsi="Arial"/>
          <w:sz w:val="22"/>
          <w:szCs w:val="22"/>
        </w:rPr>
        <w:t xml:space="preserve">H and </w:t>
      </w:r>
      <w:r>
        <w:rPr>
          <w:rFonts w:ascii="Arial" w:hAnsi="Arial"/>
          <w:sz w:val="22"/>
          <w:szCs w:val="22"/>
          <w:vertAlign w:val="superscript"/>
        </w:rPr>
        <w:t>13</w:t>
      </w:r>
      <w:r>
        <w:rPr>
          <w:rFonts w:ascii="Arial" w:hAnsi="Arial"/>
          <w:sz w:val="22"/>
          <w:szCs w:val="22"/>
        </w:rPr>
        <w:t xml:space="preserve">C hard pulses were applied using a RF field strength of </w:t>
      </w:r>
      <w:r>
        <w:rPr>
          <w:rFonts w:ascii="Helvetica" w:hAnsi="Helvetica" w:cs="Lucida Grande"/>
          <w:color w:val="000000"/>
          <w:sz w:val="22"/>
          <w:szCs w:val="22"/>
        </w:rPr>
        <w:t>ω</w:t>
      </w:r>
      <w:r>
        <w:rPr>
          <w:rFonts w:ascii="Helvetica" w:hAnsi="Helvetica" w:cs="Lucida Grande"/>
          <w:color w:val="000000"/>
          <w:sz w:val="22"/>
          <w:szCs w:val="22"/>
          <w:vertAlign w:val="subscript"/>
        </w:rPr>
        <w:t>1H</w:t>
      </w:r>
      <w:r>
        <w:rPr>
          <w:rFonts w:ascii="Helvetica" w:hAnsi="Helvetica" w:cs="Lucida Grande"/>
          <w:color w:val="000000"/>
          <w:sz w:val="22"/>
          <w:szCs w:val="22"/>
        </w:rPr>
        <w:t>/2π = 166.7 kHz, ω</w:t>
      </w:r>
      <w:r>
        <w:rPr>
          <w:rFonts w:ascii="Helvetica" w:hAnsi="Helvetica" w:cs="Lucida Grande"/>
          <w:color w:val="000000"/>
          <w:sz w:val="22"/>
          <w:szCs w:val="22"/>
          <w:vertAlign w:val="subscript"/>
        </w:rPr>
        <w:t>13C</w:t>
      </w:r>
      <w:r>
        <w:rPr>
          <w:rFonts w:ascii="Helvetica" w:hAnsi="Helvetica" w:cs="Lucida Grande"/>
          <w:color w:val="000000"/>
          <w:sz w:val="22"/>
          <w:szCs w:val="22"/>
        </w:rPr>
        <w:t xml:space="preserve">/2π = 78.1 kHz RF fields, respectively. The sample temperature was maintained at about 10 °C with a Bruker BCU-X unit, setting the cooling gas flow rate to 1200 litres per hour. 13 spin echo delays were measured with 16 scans each employing a recycling delay of 1.2s. The maximum echo delay was set to 32 ms. For each 2D slice, the acquisition time in the indirect dimension was set to 36.4 ms. </w:t>
      </w:r>
    </w:p>
    <w:p>
      <w:pPr>
        <w:spacing w:line="360" w:lineRule="auto"/>
        <w:jc w:val="both"/>
        <w:rPr>
          <w:rFonts w:ascii="Helvetica" w:hAnsi="Helvetica" w:cs="Lucida Grande"/>
          <w:color w:val="000000"/>
          <w:sz w:val="22"/>
          <w:szCs w:val="22"/>
        </w:rPr>
      </w:pPr>
    </w:p>
    <w:p>
      <w:pPr>
        <w:spacing w:after="120" w:line="360" w:lineRule="auto"/>
        <w:jc w:val="both"/>
        <w:rPr>
          <w:rFonts w:ascii="Helvetica" w:hAnsi="Helvetica" w:cs="Lucida Grande"/>
          <w:b/>
          <w:color w:val="000000"/>
          <w:sz w:val="22"/>
          <w:szCs w:val="22"/>
        </w:rPr>
      </w:pPr>
    </w:p>
    <w:p>
      <w:pPr>
        <w:spacing w:after="120" w:line="360" w:lineRule="auto"/>
        <w:jc w:val="both"/>
        <w:rPr>
          <w:rFonts w:ascii="Helvetica" w:hAnsi="Helvetica" w:cs="Lucida Grande"/>
          <w:b/>
          <w:color w:val="000000"/>
          <w:sz w:val="22"/>
          <w:szCs w:val="22"/>
        </w:rPr>
      </w:pPr>
    </w:p>
    <w:p>
      <w:pPr>
        <w:spacing w:after="120" w:line="360" w:lineRule="auto"/>
        <w:jc w:val="both"/>
        <w:rPr>
          <w:rFonts w:ascii="Helvetica" w:hAnsi="Helvetica" w:cs="Lucida Grande"/>
          <w:b/>
          <w:color w:val="000000"/>
          <w:sz w:val="22"/>
          <w:szCs w:val="22"/>
        </w:rPr>
      </w:pPr>
    </w:p>
    <w:p>
      <w:pPr>
        <w:spacing w:after="120" w:line="360" w:lineRule="auto"/>
        <w:jc w:val="both"/>
        <w:rPr>
          <w:rFonts w:ascii="Helvetica" w:hAnsi="Helvetica" w:cs="Lucida Grande"/>
          <w:b/>
          <w:color w:val="000000"/>
          <w:sz w:val="22"/>
          <w:szCs w:val="22"/>
        </w:rPr>
      </w:pPr>
    </w:p>
    <w:p>
      <w:pPr>
        <w:spacing w:after="120" w:line="360" w:lineRule="auto"/>
        <w:jc w:val="both"/>
        <w:rPr>
          <w:rFonts w:ascii="Helvetica" w:hAnsi="Helvetica" w:cs="Lucida Grande"/>
          <w:b/>
          <w:color w:val="000000"/>
          <w:sz w:val="22"/>
          <w:szCs w:val="22"/>
        </w:rPr>
      </w:pPr>
      <w:r>
        <w:rPr>
          <w:rFonts w:ascii="Helvetica" w:hAnsi="Helvetica" w:cs="Lucida Grande"/>
          <w:b/>
          <w:color w:val="000000"/>
          <w:sz w:val="22"/>
          <w:szCs w:val="22"/>
        </w:rPr>
        <w:t>Acknowledgement</w:t>
      </w:r>
    </w:p>
    <w:p>
      <w:pPr>
        <w:spacing w:line="360" w:lineRule="auto"/>
        <w:jc w:val="both"/>
        <w:rPr>
          <w:rFonts w:ascii="Helvetica" w:hAnsi="Helvetica" w:cs="Lucida Grande"/>
          <w:color w:val="000000"/>
          <w:sz w:val="22"/>
          <w:szCs w:val="22"/>
        </w:rPr>
      </w:pPr>
      <w:r>
        <w:rPr>
          <w:rFonts w:ascii="Helvetica" w:hAnsi="Helvetica" w:cs="Courier New"/>
          <w:sz w:val="22"/>
          <w:szCs w:val="22"/>
        </w:rPr>
        <w:t xml:space="preserve">This work was performed in the framework of the SFB-1035 (Project B07; German Research Foundation, DFG). We acknowledge support from the Helmholtz-Gemeinschaft and the Deutsche Forschungsgemeinschaft (Grants Re1435). We are grateful to the Center for Integrated Protein Science Munich (CIPS-M) for financial </w:t>
      </w:r>
      <w:r>
        <w:rPr>
          <w:rFonts w:ascii="Helvetica" w:hAnsi="Helvetica" w:cs="Courier New"/>
          <w:sz w:val="22"/>
          <w:szCs w:val="22"/>
        </w:rPr>
        <w:lastRenderedPageBreak/>
        <w:t>support.</w:t>
      </w:r>
      <w:r>
        <w:rPr>
          <w:rFonts w:ascii="Helvetica" w:hAnsi="Helvetica" w:cs="Lucida Grande"/>
          <w:color w:val="000000"/>
          <w:sz w:val="22"/>
          <w:szCs w:val="22"/>
        </w:rPr>
        <w:t xml:space="preserve">  We thank Dr. Sam Asami for stimulating discussions, and making the methyl REDOR order parameters for α-spectrin SH3 available for this study. </w:t>
      </w:r>
    </w:p>
    <w:p>
      <w:pPr>
        <w:spacing w:line="360" w:lineRule="auto"/>
        <w:jc w:val="both"/>
        <w:rPr>
          <w:rFonts w:ascii="Helvetica" w:hAnsi="Helvetica" w:cs="Lucida Grande"/>
          <w:color w:val="000000"/>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p>
    <w:p>
      <w:pPr>
        <w:spacing w:line="360" w:lineRule="auto"/>
        <w:jc w:val="both"/>
        <w:rPr>
          <w:rFonts w:ascii="Helvetica" w:hAnsi="Helvetica"/>
          <w:b/>
          <w:sz w:val="22"/>
          <w:szCs w:val="22"/>
        </w:rPr>
      </w:pPr>
      <w:r>
        <w:rPr>
          <w:rFonts w:ascii="Helvetica" w:hAnsi="Helvetica"/>
          <w:b/>
          <w:sz w:val="22"/>
          <w:szCs w:val="22"/>
        </w:rPr>
        <w:t>References</w:t>
      </w:r>
    </w:p>
    <w:p>
      <w:pPr>
        <w:pStyle w:val="EndNoteBibliography"/>
        <w:rPr>
          <w:rFonts w:ascii="Arial" w:hAnsi="Arial"/>
        </w:rPr>
      </w:pPr>
    </w:p>
    <w:p>
      <w:pPr>
        <w:spacing w:line="360" w:lineRule="auto"/>
        <w:jc w:val="both"/>
        <w:rPr>
          <w:rFonts w:ascii="Arial" w:hAnsi="Arial"/>
        </w:rPr>
      </w:pPr>
    </w:p>
    <w:p>
      <w:pPr>
        <w:pStyle w:val="EndNoteBibliography"/>
        <w:rPr>
          <w:noProof/>
        </w:rPr>
      </w:pPr>
      <w:r>
        <w:rPr>
          <w:rFonts w:ascii="Arial" w:hAnsi="Arial"/>
        </w:rPr>
        <w:fldChar w:fldCharType="begin"/>
      </w:r>
      <w:r>
        <w:rPr>
          <w:rFonts w:ascii="Arial" w:hAnsi="Arial"/>
        </w:rPr>
        <w:instrText xml:space="preserve"> ADDIN EN.REFLIST </w:instrText>
      </w:r>
      <w:r>
        <w:rPr>
          <w:rFonts w:ascii="Arial" w:hAnsi="Arial"/>
        </w:rPr>
        <w:fldChar w:fldCharType="separate"/>
      </w:r>
      <w:r>
        <w:rPr>
          <w:noProof/>
        </w:rPr>
        <w:t>Agarwal V, Xue Y, Reif B, Skrynnikov NR (2008) Protein Side-Chain Dynamics As Observed by Solution- and Solid-State NMR Spectroscopy: A Similarity Revealed. Journal of the American Chemical Society 130:16611-16621</w:t>
      </w:r>
    </w:p>
    <w:p>
      <w:pPr>
        <w:pStyle w:val="EndNoteBibliography"/>
        <w:rPr>
          <w:noProof/>
        </w:rPr>
      </w:pPr>
      <w:r>
        <w:rPr>
          <w:noProof/>
        </w:rPr>
        <w:t>Andrew ER, Bradbury A, Eades RG (1958) Nuclear Magnetic Resonance Spectra from a Crystal rotated at High Speed. Nature 182:1659</w:t>
      </w:r>
    </w:p>
    <w:p>
      <w:pPr>
        <w:pStyle w:val="EndNoteBibliography"/>
        <w:rPr>
          <w:noProof/>
        </w:rPr>
      </w:pPr>
      <w:r>
        <w:rPr>
          <w:noProof/>
        </w:rPr>
        <w:t>Andrew ER, Bradbury A, Eades RG (1959) Removal of Dipolar Broadening of Nuclear Magnetic Resonance Spectra of Solids by Specimen Rotation. Nature 183:1802</w:t>
      </w:r>
    </w:p>
    <w:p>
      <w:pPr>
        <w:pStyle w:val="EndNoteBibliography"/>
        <w:rPr>
          <w:noProof/>
        </w:rPr>
      </w:pPr>
      <w:r>
        <w:rPr>
          <w:noProof/>
        </w:rPr>
        <w:t>Asami S, Porter JR, Lange OF, Reif B (2015) Access to Cα Backbone Dynamics of Biological Solids by 13C T1 Relaxation and Molecular Dynamics Simulation. Journal of the American Chemical Society 137:1094-1100</w:t>
      </w:r>
    </w:p>
    <w:p>
      <w:pPr>
        <w:pStyle w:val="EndNoteBibliography"/>
        <w:rPr>
          <w:noProof/>
        </w:rPr>
      </w:pPr>
      <w:r>
        <w:rPr>
          <w:noProof/>
        </w:rPr>
        <w:t>Asami S, Reif B (2013) Proton-detected solid-state NMR at aliphatic sites: Applications to Crystalline Systems. Acc Chem Res 46:2089-2097</w:t>
      </w:r>
    </w:p>
    <w:p>
      <w:pPr>
        <w:pStyle w:val="EndNoteBibliography"/>
        <w:rPr>
          <w:noProof/>
        </w:rPr>
      </w:pPr>
      <w:r>
        <w:rPr>
          <w:noProof/>
        </w:rPr>
        <w:t>Batchelder LS, Sullivan CE, Jelinski LW, Torchia DA (1982) Characterization of leucine side-chain reorientation in collagen-fibrils by solid-state 2H NMR. Proceedings of the National Academy of Sciences 79:386-389</w:t>
      </w:r>
    </w:p>
    <w:p>
      <w:pPr>
        <w:pStyle w:val="EndNoteBibliography"/>
        <w:rPr>
          <w:noProof/>
        </w:rPr>
      </w:pPr>
      <w:r>
        <w:rPr>
          <w:noProof/>
        </w:rPr>
        <w:t>Chevelkov V, Diehl A, Reif B (2008) Measurement of N15-T1 relaxation rates in a perdeuterated protein by magic angle spinning solid-state nuclear magnetic resonance spectroscopy. The Journal of Chemical Physics 128:052316</w:t>
      </w:r>
    </w:p>
    <w:p>
      <w:pPr>
        <w:pStyle w:val="EndNoteBibliography"/>
        <w:rPr>
          <w:noProof/>
        </w:rPr>
      </w:pPr>
      <w:r>
        <w:rPr>
          <w:noProof/>
        </w:rPr>
        <w:t>Chevelkov V, Fink U, Reif B (2009a) Accurate determination of order parameters from 1H,15N dipolar couplings in MAS solid-state NMR experiments. Journal of the American Chemical Society 131:14018-14022</w:t>
      </w:r>
    </w:p>
    <w:p>
      <w:pPr>
        <w:pStyle w:val="EndNoteBibliography"/>
        <w:rPr>
          <w:noProof/>
        </w:rPr>
      </w:pPr>
      <w:r>
        <w:rPr>
          <w:noProof/>
        </w:rPr>
        <w:t>Chevelkov V, Fink U, Reif B (2009b) Quantitative analysis of backbone motion in proteins using MAS solid-state NMR spectroscopy. Journal of Biomolecular NMR 45:197-206</w:t>
      </w:r>
    </w:p>
    <w:p>
      <w:pPr>
        <w:pStyle w:val="EndNoteBibliography"/>
        <w:rPr>
          <w:noProof/>
        </w:rPr>
      </w:pPr>
      <w:r>
        <w:rPr>
          <w:noProof/>
        </w:rPr>
        <w:t>Chevelkov V, Rehbein K, Diehl A, Reif B (2006) Ultra-high resolution in proton solid-state NMR at high levels of deuteration. Angew Chem Int Ed 45:3878-3881</w:t>
      </w:r>
    </w:p>
    <w:p>
      <w:pPr>
        <w:pStyle w:val="EndNoteBibliography"/>
        <w:rPr>
          <w:noProof/>
        </w:rPr>
      </w:pPr>
      <w:r>
        <w:rPr>
          <w:noProof/>
        </w:rPr>
        <w:t>Chevelkov V, Xue Y, Linser R, Skrynnikov NR, Reif B (2010) Comparison of Solid-State Dipolar Couplings and Solution Relaxation Data Provides Insight into Protein Backbone Dynamics. Journal of the American Chemical Society 132:5015-5017</w:t>
      </w:r>
    </w:p>
    <w:p>
      <w:pPr>
        <w:pStyle w:val="EndNoteBibliography"/>
        <w:rPr>
          <w:noProof/>
        </w:rPr>
      </w:pPr>
      <w:r>
        <w:rPr>
          <w:noProof/>
        </w:rPr>
        <w:t>Clore GM, Szabo A, Bax A, Kay LE, Driscoll PC, Gronenborn AM (1990) Deviations from the simple two-parameter model-free approach to the interpretation of nitrogen-15 nuclear magnetic relaxation of proteins. Journal of the American Chemical Society 112:4989-4991</w:t>
      </w:r>
    </w:p>
    <w:p>
      <w:pPr>
        <w:pStyle w:val="EndNoteBibliography"/>
        <w:rPr>
          <w:noProof/>
        </w:rPr>
      </w:pPr>
      <w:r>
        <w:rPr>
          <w:noProof/>
        </w:rPr>
        <w:t>Cole HB, Sparks SW, Torchia DA (1988) Comparison of the solution and crystal structures of staphylococcal nuclease with 13C and 15N chemical shifts used as structural fingerprints. Proceedings of the National Academy of Sciences 85:6362-6365</w:t>
      </w:r>
    </w:p>
    <w:p>
      <w:pPr>
        <w:pStyle w:val="EndNoteBibliography"/>
        <w:rPr>
          <w:noProof/>
        </w:rPr>
      </w:pPr>
      <w:r>
        <w:rPr>
          <w:noProof/>
        </w:rPr>
        <w:lastRenderedPageBreak/>
        <w:t>Cole HBR, Torchia DA (1991) An NMR study of the backbone dynamics of staphylococcal nuclease in the crystalline state. Chemical Physics 158:271-281</w:t>
      </w:r>
    </w:p>
    <w:p>
      <w:pPr>
        <w:pStyle w:val="EndNoteBibliography"/>
        <w:rPr>
          <w:noProof/>
        </w:rPr>
      </w:pPr>
      <w:r>
        <w:rPr>
          <w:noProof/>
        </w:rPr>
        <w:t>Gans P, Hamelin O, Sounier R, Ayala I, Durá MA, Amero CD, Noirclerc-Savoye M, Franzetti B, Plevin MJ, Boisbouvier J (2010) Stereospecific Isotopic Labeling of Methyl Groups for NMR Spectroscopic Studies of High-Molecular-Weight Proteins. Angewandte Chemie 122:2002-2006</w:t>
      </w:r>
    </w:p>
    <w:p>
      <w:pPr>
        <w:pStyle w:val="EndNoteBibliography"/>
        <w:rPr>
          <w:noProof/>
        </w:rPr>
      </w:pPr>
      <w:r>
        <w:rPr>
          <w:noProof/>
        </w:rPr>
        <w:t>Giraud N, Böckmann A, Lesage A, Penin F, Blackledge M, Emsley L (2004) Site-Specific Backbone Dynamics from a Crystalline Protein by Solid-State NMR Spectroscopy. Journal of the American Chemical Society 126:11422-11423</w:t>
      </w:r>
    </w:p>
    <w:p>
      <w:pPr>
        <w:pStyle w:val="EndNoteBibliography"/>
        <w:rPr>
          <w:noProof/>
        </w:rPr>
      </w:pPr>
      <w:r>
        <w:rPr>
          <w:noProof/>
        </w:rPr>
        <w:t>Hou G, Lu X, Vega AJ, Polenova T (2014) Accurate measurement of heteronuclear dipolar couplings by phase-alternating R-symmetry (PARS) sequences in magic angle spinning NMR spectroscopy. The Journal of Chemical Physics 141:104202</w:t>
      </w:r>
    </w:p>
    <w:p>
      <w:pPr>
        <w:pStyle w:val="EndNoteBibliography"/>
        <w:rPr>
          <w:noProof/>
        </w:rPr>
      </w:pPr>
      <w:r>
        <w:rPr>
          <w:noProof/>
        </w:rPr>
        <w:t>Jelinski LW, Sullivan CE, Torchia DA (1980) 2H NMR study of molecular motion in collagen fibrils. Nature 284:531-534</w:t>
      </w:r>
    </w:p>
    <w:p>
      <w:pPr>
        <w:pStyle w:val="EndNoteBibliography"/>
        <w:rPr>
          <w:noProof/>
        </w:rPr>
      </w:pPr>
      <w:r>
        <w:rPr>
          <w:noProof/>
        </w:rPr>
        <w:t xml:space="preserve">Levitt MH (2007) Symmetry-Based Pulse Sequences in Magic-Angle Spinning Solid-State NMR. </w:t>
      </w:r>
    </w:p>
    <w:p>
      <w:pPr>
        <w:pStyle w:val="EndNoteBibliography"/>
        <w:rPr>
          <w:noProof/>
        </w:rPr>
      </w:pPr>
      <w:r>
        <w:rPr>
          <w:noProof/>
        </w:rPr>
        <w:t>Lipari G, Szabo A (1982) Model-free approach to the interpretation of nuclear magnetic resonance relaxation in macromolecules. 1. Theory and range of validity. Journal of the American Chemical Society 104:4546-4559</w:t>
      </w:r>
    </w:p>
    <w:p>
      <w:pPr>
        <w:pStyle w:val="EndNoteBibliography"/>
        <w:rPr>
          <w:noProof/>
        </w:rPr>
      </w:pPr>
      <w:r>
        <w:rPr>
          <w:noProof/>
        </w:rPr>
        <w:t>Mack JW, Torchia DA, Steinert PM (2002) Solid-state NMR studies of the dynamics and structure of mouse keratin intermediate filaments. Biochemistry 27:5418-5426</w:t>
      </w:r>
    </w:p>
    <w:p>
      <w:pPr>
        <w:pStyle w:val="EndNoteBibliography"/>
        <w:rPr>
          <w:noProof/>
        </w:rPr>
      </w:pPr>
      <w:r>
        <w:rPr>
          <w:noProof/>
        </w:rPr>
        <w:t>Munowitz MG, Griffin RG, Bodenhausen G, Huang TH (1981) Two-dimensional rotational spin-echo nuclear magnetic resonance in solids: correlation of chemical shift and dipolar interactions. Journal of the American Chemical Society 103:2529-2533</w:t>
      </w:r>
    </w:p>
    <w:p>
      <w:pPr>
        <w:pStyle w:val="EndNoteBibliography"/>
        <w:rPr>
          <w:noProof/>
        </w:rPr>
      </w:pPr>
      <w:r>
        <w:rPr>
          <w:noProof/>
        </w:rPr>
        <w:t>Paluch P, Trébosc J, Nishiyama Y, Potrzebowski MJ, Malon M, Amoureux JP (2015) Theoretical study of CP-VC: A simple, robust and accurate MAS NMR method for analysis of dipolar C–H interactions under rotation speeds faster than ca. 60kHz. Journal of Magnetic Resonance 252:67-77</w:t>
      </w:r>
    </w:p>
    <w:p>
      <w:pPr>
        <w:pStyle w:val="EndNoteBibliography"/>
        <w:rPr>
          <w:noProof/>
        </w:rPr>
      </w:pPr>
      <w:r>
        <w:rPr>
          <w:noProof/>
        </w:rPr>
        <w:t>Pileio G, Guo Y, Pham TN, Griffin JM, Levitt MH, Brown SP (2007) Residual dipolar couplings by off-magic-angle spinning in solid-state nuclear magnetic resonance spectroscopy. Journal of the American Chemical Society 129:10972-10973</w:t>
      </w:r>
    </w:p>
    <w:p>
      <w:pPr>
        <w:pStyle w:val="EndNoteBibliography"/>
        <w:rPr>
          <w:noProof/>
        </w:rPr>
      </w:pPr>
      <w:r>
        <w:rPr>
          <w:noProof/>
        </w:rPr>
        <w:t>Pileio G, Mamone S, Mollica G, Montesinos IM, Gansmüller A, Carravetta M, Brown SP, Levitt MH (2008) Estimation of internuclear couplings in the solid-state NMR of multiple-spin systems. Selective spin echoes and off-magic-angle sample spinning. Chemical Physics Letters 456:116-121</w:t>
      </w:r>
    </w:p>
    <w:p>
      <w:pPr>
        <w:pStyle w:val="EndNoteBibliography"/>
        <w:rPr>
          <w:noProof/>
        </w:rPr>
      </w:pPr>
      <w:r>
        <w:rPr>
          <w:noProof/>
        </w:rPr>
        <w:t>Reif B, Xue Y, Agarwal V, Pavlova MS, Hologne M, Diehl A, Ryabov YE, Skrynnikov NR (2006) Protein Side-Chain Dynamics Observed by Solution- and Solid-State NMR:  Comparative Analysis of Methyl2H Relaxation Data. Journal of the American Chemical Society 128:12354-12355</w:t>
      </w:r>
    </w:p>
    <w:p>
      <w:pPr>
        <w:pStyle w:val="EndNoteBibliography"/>
        <w:rPr>
          <w:noProof/>
        </w:rPr>
      </w:pPr>
      <w:r>
        <w:rPr>
          <w:noProof/>
        </w:rPr>
        <w:t>Sarkar R, Rodriguez Camargo DC, Pintacuda G, Reif B (2015) Restoring Resolution in Biological Solid-State NMR under Conditions of Off-Magic-Angle Spinning. J Phys Chem Lett 6:5040-5044</w:t>
      </w:r>
    </w:p>
    <w:p>
      <w:pPr>
        <w:pStyle w:val="EndNoteBibliography"/>
        <w:rPr>
          <w:noProof/>
        </w:rPr>
      </w:pPr>
      <w:r>
        <w:rPr>
          <w:noProof/>
        </w:rPr>
        <w:t>Schanda P, Huber M, Boisbouvier J, Meier BH, Ernst M (2011a) Solid-state NMR measurements of asymmetric dipolar couplings provide insight into protein side-chain motion. Angew Chem Int Ed Engl 50:11005-11009</w:t>
      </w:r>
    </w:p>
    <w:p>
      <w:pPr>
        <w:pStyle w:val="EndNoteBibliography"/>
        <w:rPr>
          <w:noProof/>
        </w:rPr>
      </w:pPr>
      <w:r>
        <w:rPr>
          <w:noProof/>
        </w:rPr>
        <w:lastRenderedPageBreak/>
        <w:t>Schanda P, Meier BH, Ernst M (2010) Quantitative analysis of protein backbone dynamics in microcrystalline ubiquitin by solid-state NMR spectroscopy. Journal of the American Chemical Society 132:15957-15967</w:t>
      </w:r>
    </w:p>
    <w:p>
      <w:pPr>
        <w:pStyle w:val="EndNoteBibliography"/>
        <w:rPr>
          <w:noProof/>
        </w:rPr>
      </w:pPr>
      <w:r>
        <w:rPr>
          <w:noProof/>
        </w:rPr>
        <w:t>Schanda P, Meier BH, Ernst M (2011b) Accurate measurement of one-bond H–X heteronuclear dipolar couplings in MAS solid-state NMR. Journal of Magnetic Resonance 210:246-259</w:t>
      </w:r>
    </w:p>
    <w:p>
      <w:pPr>
        <w:pStyle w:val="EndNoteBibliography"/>
        <w:rPr>
          <w:noProof/>
        </w:rPr>
      </w:pPr>
      <w:r>
        <w:rPr>
          <w:noProof/>
        </w:rPr>
        <w:t>Smith AA, Testori E, Cadalbert R, Meier BH, Ernst M (2016) Characterization of fibril dynamics on three timescales by solid-state NMR. Journal of Biomolecular NMR 65:171-191</w:t>
      </w:r>
    </w:p>
    <w:p>
      <w:pPr>
        <w:pStyle w:val="EndNoteBibliography"/>
        <w:rPr>
          <w:noProof/>
        </w:rPr>
      </w:pPr>
      <w:r>
        <w:rPr>
          <w:noProof/>
        </w:rPr>
        <w:t>Torchia DA, Szabo A (1982) Spin-lattice relaxation in solids. Journal of Magnetic Resonance (1969) 49:107-121</w:t>
      </w:r>
    </w:p>
    <w:p>
      <w:pPr>
        <w:pStyle w:val="EndNoteBibliography"/>
        <w:rPr>
          <w:noProof/>
        </w:rPr>
      </w:pPr>
      <w:r>
        <w:rPr>
          <w:noProof/>
        </w:rPr>
        <w:t>Xue K, Mühlbauer M, Mamone S, Sarkar R, Reif B (2019) Accurate Determination of 1H-15N Dipolar Couplings using inaccurate settings of the Magic Angle in Solid State NMR. Angewandte Chemie</w:t>
      </w:r>
    </w:p>
    <w:p>
      <w:pPr>
        <w:spacing w:line="360" w:lineRule="auto"/>
        <w:jc w:val="both"/>
        <w:rPr>
          <w:rFonts w:ascii="Arial" w:hAnsi="Arial"/>
        </w:rPr>
      </w:pPr>
      <w:r>
        <w:rPr>
          <w:rFonts w:ascii="Arial" w:hAnsi="Arial"/>
        </w:rPr>
        <w:fldChar w:fldCharType="end"/>
      </w:r>
    </w:p>
    <w:sectPr>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none" w:vAnchor="text" w:hAnchor="margin" w:xAlign="center" w:y="1"/>
      <w:rPr>
        <w:rStyle w:val="Seitenzahl"/>
        <w:rFonts w:ascii="Arial" w:hAnsi="Arial" w:cs="Arial"/>
        <w:sz w:val="22"/>
        <w:szCs w:val="22"/>
      </w:rPr>
    </w:pPr>
    <w:r>
      <w:rPr>
        <w:rStyle w:val="Seitenzahl"/>
        <w:rFonts w:ascii="Arial" w:hAnsi="Arial" w:cs="Arial"/>
        <w:sz w:val="22"/>
        <w:szCs w:val="22"/>
      </w:rPr>
      <w:fldChar w:fldCharType="begin"/>
    </w:r>
    <w:r>
      <w:rPr>
        <w:rStyle w:val="Seitenzahl"/>
        <w:rFonts w:ascii="Arial" w:hAnsi="Arial" w:cs="Arial"/>
        <w:sz w:val="22"/>
        <w:szCs w:val="22"/>
      </w:rPr>
      <w:instrText xml:space="preserve">PAGE  </w:instrText>
    </w:r>
    <w:r>
      <w:rPr>
        <w:rStyle w:val="Seitenzahl"/>
        <w:rFonts w:ascii="Arial" w:hAnsi="Arial" w:cs="Arial"/>
        <w:sz w:val="22"/>
        <w:szCs w:val="22"/>
      </w:rPr>
      <w:fldChar w:fldCharType="separate"/>
    </w:r>
    <w:r>
      <w:rPr>
        <w:rStyle w:val="Seitenzahl"/>
        <w:rFonts w:ascii="Arial" w:hAnsi="Arial" w:cs="Arial"/>
        <w:noProof/>
        <w:sz w:val="22"/>
        <w:szCs w:val="22"/>
      </w:rPr>
      <w:t>1</w:t>
    </w:r>
    <w:r>
      <w:rPr>
        <w:rStyle w:val="Seitenzahl"/>
        <w:rFonts w:ascii="Arial" w:hAnsi="Arial" w:cs="Arial"/>
        <w:sz w:val="22"/>
        <w:szCs w:val="22"/>
      </w:rPr>
      <w:fldChar w:fldCharType="end"/>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BNMR_correc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resxaadtas09e2zsopdwwzxte520te05dv&quot;&gt;reference&lt;record-ids&gt;&lt;item&gt;11&lt;/item&gt;&lt;item&gt;26&lt;/item&gt;&lt;item&gt;60&lt;/item&gt;&lt;item&gt;62&lt;/item&gt;&lt;item&gt;64&lt;/item&gt;&lt;item&gt;66&lt;/item&gt;&lt;item&gt;68&lt;/item&gt;&lt;item&gt;72&lt;/item&gt;&lt;item&gt;74&lt;/item&gt;&lt;item&gt;79&lt;/item&gt;&lt;item&gt;81&lt;/item&gt;&lt;item&gt;85&lt;/item&gt;&lt;item&gt;87&lt;/item&gt;&lt;item&gt;91&lt;/item&gt;&lt;item&gt;92&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4&lt;/item&gt;&lt;item&gt;115&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cs="Times New Roman"/>
      <w:lang w:val="en-GB"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Pr>
      <w:rFonts w:ascii="Lucida Grande" w:hAnsi="Lucida Grande" w:cs="Lucida Grande"/>
      <w:sz w:val="18"/>
      <w:szCs w:val="18"/>
      <w:lang w:val="en-US" w:eastAsia="en-US"/>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rPr>
  </w:style>
  <w:style w:type="character" w:styleId="Platzhaltertext">
    <w:name w:val="Placeholder Text"/>
    <w:basedOn w:val="Absatz-Standardschriftart"/>
    <w:uiPriority w:val="99"/>
    <w:semiHidden/>
    <w:rPr>
      <w:color w:val="808080"/>
    </w:rPr>
  </w:style>
  <w:style w:type="character" w:styleId="Hyperlink">
    <w:name w:val="Hyperlink"/>
    <w:rPr>
      <w:color w:val="0000FF"/>
      <w:u w:val="single"/>
    </w:rPr>
  </w:style>
  <w:style w:type="paragraph" w:styleId="Textkrper2">
    <w:name w:val="Body Text 2"/>
    <w:basedOn w:val="Standard"/>
    <w:link w:val="Textkrper2Zchn"/>
    <w:rPr>
      <w:rFonts w:eastAsia="Times New Roman"/>
      <w:sz w:val="20"/>
      <w:lang w:val="en-US" w:eastAsia="de-DE"/>
    </w:rPr>
  </w:style>
  <w:style w:type="character" w:customStyle="1" w:styleId="Textkrper2Zchn">
    <w:name w:val="Textkörper 2 Zchn"/>
    <w:basedOn w:val="Absatz-Standardschriftart"/>
    <w:link w:val="Textkrper2"/>
    <w:rPr>
      <w:rFonts w:ascii="Times New Roman" w:eastAsia="Times New Roman" w:hAnsi="Times New Roman" w:cs="Times New Roman"/>
      <w:sz w:val="20"/>
      <w:lang w:eastAsia="de-DE"/>
    </w:rPr>
  </w:style>
  <w:style w:type="paragraph" w:customStyle="1" w:styleId="EndNoteBibliographyTitle">
    <w:name w:val="EndNote Bibliography Title"/>
    <w:basedOn w:val="Standard"/>
    <w:pPr>
      <w:jc w:val="center"/>
    </w:pPr>
    <w:rPr>
      <w:rFonts w:ascii="Cambria" w:hAnsi="Cambria" w:cstheme="minorBidi"/>
      <w:lang w:val="en-US" w:eastAsia="en-US"/>
    </w:rPr>
  </w:style>
  <w:style w:type="paragraph" w:customStyle="1" w:styleId="EndNoteBibliography">
    <w:name w:val="EndNote Bibliography"/>
    <w:basedOn w:val="Standard"/>
    <w:pPr>
      <w:jc w:val="both"/>
    </w:pPr>
    <w:rPr>
      <w:rFonts w:ascii="Cambria" w:hAnsi="Cambria" w:cstheme="minorBidi"/>
      <w:lang w:val="en-US" w:eastAsia="en-US"/>
    </w:rPr>
  </w:style>
  <w:style w:type="paragraph" w:customStyle="1" w:styleId="p1">
    <w:name w:val="p1"/>
    <w:basedOn w:val="Standard"/>
    <w:rPr>
      <w:rFonts w:ascii="Arial" w:hAnsi="Arial" w:cs="Arial"/>
      <w:sz w:val="18"/>
      <w:szCs w:val="18"/>
      <w:lang w:eastAsia="en-GB"/>
    </w:rPr>
  </w:style>
  <w:style w:type="paragraph" w:customStyle="1" w:styleId="p2">
    <w:name w:val="p2"/>
    <w:basedOn w:val="Standard"/>
    <w:rPr>
      <w:rFonts w:ascii="Arial" w:hAnsi="Arial" w:cs="Arial"/>
      <w:sz w:val="15"/>
      <w:szCs w:val="15"/>
      <w:lang w:eastAsia="en-GB"/>
    </w:rPr>
  </w:style>
  <w:style w:type="character" w:customStyle="1" w:styleId="s1">
    <w:name w:val="s1"/>
    <w:basedOn w:val="Absatz-Standardschriftart"/>
    <w:rPr>
      <w:rFonts w:ascii="Arial" w:hAnsi="Arial" w:cs="Arial" w:hint="default"/>
      <w:sz w:val="11"/>
      <w:szCs w:val="11"/>
    </w:rPr>
  </w:style>
  <w:style w:type="character" w:customStyle="1" w:styleId="s2">
    <w:name w:val="s2"/>
    <w:basedOn w:val="Absatz-Standardschriftart"/>
    <w:rPr>
      <w:rFonts w:ascii="Arial" w:hAnsi="Arial" w:cs="Arial" w:hint="default"/>
      <w:sz w:val="17"/>
      <w:szCs w:val="17"/>
    </w:rPr>
  </w:style>
  <w:style w:type="character" w:customStyle="1" w:styleId="s3">
    <w:name w:val="s3"/>
    <w:basedOn w:val="Absatz-Standardschriftart"/>
    <w:rPr>
      <w:rFonts w:ascii="Arial" w:hAnsi="Arial" w:cs="Arial" w:hint="default"/>
      <w:sz w:val="10"/>
      <w:szCs w:val="10"/>
    </w:rPr>
  </w:style>
  <w:style w:type="character" w:customStyle="1" w:styleId="s4">
    <w:name w:val="s4"/>
    <w:basedOn w:val="Absatz-Standardschriftart"/>
    <w:rPr>
      <w:rFonts w:ascii="Cambria Math" w:hAnsi="Cambria Math" w:hint="default"/>
      <w:sz w:val="15"/>
      <w:szCs w:val="15"/>
    </w:rPr>
  </w:style>
  <w:style w:type="character" w:customStyle="1" w:styleId="s5">
    <w:name w:val="s5"/>
    <w:basedOn w:val="Absatz-Standardschriftart"/>
    <w:rPr>
      <w:rFonts w:ascii="Cambria Math" w:hAnsi="Cambria Math" w:hint="default"/>
      <w:sz w:val="11"/>
      <w:szCs w:val="11"/>
    </w:rPr>
  </w:style>
  <w:style w:type="character" w:customStyle="1" w:styleId="apple-converted-space">
    <w:name w:val="apple-converted-space"/>
    <w:basedOn w:val="Absatz-Standardschriftart"/>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hAnsi="Times New Roman" w:cs="Times New Roman"/>
      <w:lang w:val="en-GB" w:eastAsia="zh-CN"/>
    </w:rPr>
  </w:style>
  <w:style w:type="character" w:styleId="Seitenzahl">
    <w:name w:val="pag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hAnsi="Times New Roman" w:cs="Times New Roman"/>
      <w:lang w:val="en-GB" w:eastAsia="zh-CN"/>
    </w:rPr>
  </w:style>
  <w:style w:type="character" w:customStyle="1" w:styleId="polytonic">
    <w:name w:val="polytonic"/>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85392">
      <w:bodyDiv w:val="1"/>
      <w:marLeft w:val="0"/>
      <w:marRight w:val="0"/>
      <w:marTop w:val="0"/>
      <w:marBottom w:val="0"/>
      <w:divBdr>
        <w:top w:val="none" w:sz="0" w:space="0" w:color="auto"/>
        <w:left w:val="none" w:sz="0" w:space="0" w:color="auto"/>
        <w:bottom w:val="none" w:sz="0" w:space="0" w:color="auto"/>
        <w:right w:val="none" w:sz="0" w:space="0" w:color="auto"/>
      </w:divBdr>
    </w:div>
    <w:div w:id="523790968">
      <w:bodyDiv w:val="1"/>
      <w:marLeft w:val="0"/>
      <w:marRight w:val="0"/>
      <w:marTop w:val="0"/>
      <w:marBottom w:val="0"/>
      <w:divBdr>
        <w:top w:val="none" w:sz="0" w:space="0" w:color="auto"/>
        <w:left w:val="none" w:sz="0" w:space="0" w:color="auto"/>
        <w:bottom w:val="none" w:sz="0" w:space="0" w:color="auto"/>
        <w:right w:val="none" w:sz="0" w:space="0" w:color="auto"/>
      </w:divBdr>
    </w:div>
    <w:div w:id="527304155">
      <w:bodyDiv w:val="1"/>
      <w:marLeft w:val="0"/>
      <w:marRight w:val="0"/>
      <w:marTop w:val="0"/>
      <w:marBottom w:val="0"/>
      <w:divBdr>
        <w:top w:val="none" w:sz="0" w:space="0" w:color="auto"/>
        <w:left w:val="none" w:sz="0" w:space="0" w:color="auto"/>
        <w:bottom w:val="none" w:sz="0" w:space="0" w:color="auto"/>
        <w:right w:val="none" w:sz="0" w:space="0" w:color="auto"/>
      </w:divBdr>
    </w:div>
    <w:div w:id="612136105">
      <w:bodyDiv w:val="1"/>
      <w:marLeft w:val="0"/>
      <w:marRight w:val="0"/>
      <w:marTop w:val="0"/>
      <w:marBottom w:val="0"/>
      <w:divBdr>
        <w:top w:val="none" w:sz="0" w:space="0" w:color="auto"/>
        <w:left w:val="none" w:sz="0" w:space="0" w:color="auto"/>
        <w:bottom w:val="none" w:sz="0" w:space="0" w:color="auto"/>
        <w:right w:val="none" w:sz="0" w:space="0" w:color="auto"/>
      </w:divBdr>
    </w:div>
    <w:div w:id="881287623">
      <w:bodyDiv w:val="1"/>
      <w:marLeft w:val="0"/>
      <w:marRight w:val="0"/>
      <w:marTop w:val="0"/>
      <w:marBottom w:val="0"/>
      <w:divBdr>
        <w:top w:val="none" w:sz="0" w:space="0" w:color="auto"/>
        <w:left w:val="none" w:sz="0" w:space="0" w:color="auto"/>
        <w:bottom w:val="none" w:sz="0" w:space="0" w:color="auto"/>
        <w:right w:val="none" w:sz="0" w:space="0" w:color="auto"/>
      </w:divBdr>
      <w:divsChild>
        <w:div w:id="1631789330">
          <w:marLeft w:val="0"/>
          <w:marRight w:val="0"/>
          <w:marTop w:val="0"/>
          <w:marBottom w:val="0"/>
          <w:divBdr>
            <w:top w:val="none" w:sz="0" w:space="0" w:color="auto"/>
            <w:left w:val="none" w:sz="0" w:space="0" w:color="auto"/>
            <w:bottom w:val="none" w:sz="0" w:space="0" w:color="auto"/>
            <w:right w:val="none" w:sz="0" w:space="0" w:color="auto"/>
          </w:divBdr>
        </w:div>
      </w:divsChild>
    </w:div>
    <w:div w:id="1003506752">
      <w:bodyDiv w:val="1"/>
      <w:marLeft w:val="0"/>
      <w:marRight w:val="0"/>
      <w:marTop w:val="0"/>
      <w:marBottom w:val="0"/>
      <w:divBdr>
        <w:top w:val="none" w:sz="0" w:space="0" w:color="auto"/>
        <w:left w:val="none" w:sz="0" w:space="0" w:color="auto"/>
        <w:bottom w:val="none" w:sz="0" w:space="0" w:color="auto"/>
        <w:right w:val="none" w:sz="0" w:space="0" w:color="auto"/>
      </w:divBdr>
      <w:divsChild>
        <w:div w:id="270625646">
          <w:marLeft w:val="0"/>
          <w:marRight w:val="0"/>
          <w:marTop w:val="0"/>
          <w:marBottom w:val="0"/>
          <w:divBdr>
            <w:top w:val="none" w:sz="0" w:space="0" w:color="auto"/>
            <w:left w:val="none" w:sz="0" w:space="0" w:color="auto"/>
            <w:bottom w:val="none" w:sz="0" w:space="0" w:color="auto"/>
            <w:right w:val="none" w:sz="0" w:space="0" w:color="auto"/>
          </w:divBdr>
        </w:div>
        <w:div w:id="138503700">
          <w:marLeft w:val="0"/>
          <w:marRight w:val="0"/>
          <w:marTop w:val="0"/>
          <w:marBottom w:val="0"/>
          <w:divBdr>
            <w:top w:val="none" w:sz="0" w:space="0" w:color="auto"/>
            <w:left w:val="none" w:sz="0" w:space="0" w:color="auto"/>
            <w:bottom w:val="none" w:sz="0" w:space="0" w:color="auto"/>
            <w:right w:val="none" w:sz="0" w:space="0" w:color="auto"/>
          </w:divBdr>
        </w:div>
        <w:div w:id="616180003">
          <w:marLeft w:val="0"/>
          <w:marRight w:val="0"/>
          <w:marTop w:val="0"/>
          <w:marBottom w:val="0"/>
          <w:divBdr>
            <w:top w:val="none" w:sz="0" w:space="0" w:color="auto"/>
            <w:left w:val="none" w:sz="0" w:space="0" w:color="auto"/>
            <w:bottom w:val="none" w:sz="0" w:space="0" w:color="auto"/>
            <w:right w:val="none" w:sz="0" w:space="0" w:color="auto"/>
          </w:divBdr>
        </w:div>
        <w:div w:id="882181042">
          <w:marLeft w:val="0"/>
          <w:marRight w:val="0"/>
          <w:marTop w:val="0"/>
          <w:marBottom w:val="0"/>
          <w:divBdr>
            <w:top w:val="none" w:sz="0" w:space="0" w:color="auto"/>
            <w:left w:val="none" w:sz="0" w:space="0" w:color="auto"/>
            <w:bottom w:val="none" w:sz="0" w:space="0" w:color="auto"/>
            <w:right w:val="none" w:sz="0" w:space="0" w:color="auto"/>
          </w:divBdr>
        </w:div>
        <w:div w:id="1572882502">
          <w:marLeft w:val="0"/>
          <w:marRight w:val="0"/>
          <w:marTop w:val="0"/>
          <w:marBottom w:val="0"/>
          <w:divBdr>
            <w:top w:val="none" w:sz="0" w:space="0" w:color="auto"/>
            <w:left w:val="none" w:sz="0" w:space="0" w:color="auto"/>
            <w:bottom w:val="none" w:sz="0" w:space="0" w:color="auto"/>
            <w:right w:val="none" w:sz="0" w:space="0" w:color="auto"/>
          </w:divBdr>
        </w:div>
        <w:div w:id="1202523735">
          <w:marLeft w:val="0"/>
          <w:marRight w:val="0"/>
          <w:marTop w:val="0"/>
          <w:marBottom w:val="0"/>
          <w:divBdr>
            <w:top w:val="none" w:sz="0" w:space="0" w:color="auto"/>
            <w:left w:val="none" w:sz="0" w:space="0" w:color="auto"/>
            <w:bottom w:val="none" w:sz="0" w:space="0" w:color="auto"/>
            <w:right w:val="none" w:sz="0" w:space="0" w:color="auto"/>
          </w:divBdr>
        </w:div>
      </w:divsChild>
    </w:div>
    <w:div w:id="1530870860">
      <w:bodyDiv w:val="1"/>
      <w:marLeft w:val="0"/>
      <w:marRight w:val="0"/>
      <w:marTop w:val="0"/>
      <w:marBottom w:val="0"/>
      <w:divBdr>
        <w:top w:val="none" w:sz="0" w:space="0" w:color="auto"/>
        <w:left w:val="none" w:sz="0" w:space="0" w:color="auto"/>
        <w:bottom w:val="none" w:sz="0" w:space="0" w:color="auto"/>
        <w:right w:val="none" w:sz="0" w:space="0" w:color="auto"/>
      </w:divBdr>
    </w:div>
    <w:div w:id="1563758451">
      <w:bodyDiv w:val="1"/>
      <w:marLeft w:val="0"/>
      <w:marRight w:val="0"/>
      <w:marTop w:val="0"/>
      <w:marBottom w:val="0"/>
      <w:divBdr>
        <w:top w:val="none" w:sz="0" w:space="0" w:color="auto"/>
        <w:left w:val="none" w:sz="0" w:space="0" w:color="auto"/>
        <w:bottom w:val="none" w:sz="0" w:space="0" w:color="auto"/>
        <w:right w:val="none" w:sz="0" w:space="0" w:color="auto"/>
      </w:divBdr>
    </w:div>
    <w:div w:id="21133542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dhiman.sarkar@helmholtz-muenchen.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eif@tum.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5177C-1B56-4B27-9222-08CAD508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7086</Words>
  <Characters>44644</Characters>
  <Application>Microsoft Office Word</Application>
  <DocSecurity>0</DocSecurity>
  <Lines>372</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Katrin.Rauner</cp:lastModifiedBy>
  <cp:revision>2</cp:revision>
  <cp:lastPrinted>2019-05-02T09:36:00Z</cp:lastPrinted>
  <dcterms:created xsi:type="dcterms:W3CDTF">2019-09-16T11:53:00Z</dcterms:created>
  <dcterms:modified xsi:type="dcterms:W3CDTF">2019-09-16T11:53:00Z</dcterms:modified>
</cp:coreProperties>
</file>