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76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Supplemental Figure Legends</w:t>
      </w: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Supplemental Figure 1: </w:t>
      </w:r>
    </w:p>
    <w:p>
      <w:pPr>
        <w:pStyle w:val="KeinLeerraum"/>
        <w:jc w:val="both"/>
      </w:pPr>
      <w:r>
        <w:rPr>
          <w:i/>
        </w:rPr>
        <w:t>In vitro</w:t>
      </w:r>
      <w:r>
        <w:t xml:space="preserve"> Treg induction using human naïve T cells that were isolated from peripheral blood before and after FREECE study subjects were exposed to short-term cold </w:t>
      </w:r>
      <w:r>
        <w:rPr>
          <w:i/>
        </w:rPr>
        <w:t>in vivo</w:t>
      </w:r>
      <w:r>
        <w:t>. Subjects were grouped according to their sex and additionally to their BMI into BMI &lt; 30 kg/m² (lean (BMI &lt;25 kg/m²; depicted as black dots), overweight (25 kg/m² ≤ BMI &lt; 30 kg/m²; depicted as red dots)) or obese (BMI ≥ 30 kg/m²) subjects. *=</w:t>
      </w:r>
      <w:r>
        <w:rPr>
          <w:i/>
        </w:rPr>
        <w:t>p</w:t>
      </w:r>
      <w:r>
        <w:t>&lt;0.05, **=</w:t>
      </w:r>
      <w:r>
        <w:rPr>
          <w:rFonts w:asciiTheme="minorHAnsi" w:eastAsiaTheme="minorHAnsi" w:hAnsiTheme="minorHAnsi" w:cstheme="minorBidi"/>
          <w:i/>
          <w:sz w:val="22"/>
          <w:szCs w:val="22"/>
        </w:rPr>
        <w:t xml:space="preserve"> </w:t>
      </w:r>
      <w:r>
        <w:rPr>
          <w:i/>
        </w:rPr>
        <w:t>p</w:t>
      </w:r>
      <w:r>
        <w:t xml:space="preserve">&lt;0.01; Student’s paired </w:t>
      </w:r>
      <w:r>
        <w:rPr>
          <w:i/>
        </w:rPr>
        <w:t>t</w:t>
      </w:r>
      <w:r>
        <w:t xml:space="preserve">-test with two-tailed </w:t>
      </w:r>
      <w:r>
        <w:rPr>
          <w:i/>
        </w:rPr>
        <w:t>p</w:t>
      </w:r>
      <w:r>
        <w:t xml:space="preserve"> value. </w:t>
      </w: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Supplemental Figure 2: </w:t>
      </w:r>
    </w:p>
    <w:p>
      <w:pPr>
        <w:pStyle w:val="KeinLeerraum"/>
        <w:jc w:val="both"/>
      </w:pPr>
      <w:r>
        <w:t xml:space="preserve">Pearson correlation of the Treg induction potential using human naïve T cells that were isolated from peripheral blood before individuals were exposed to short-term cold </w:t>
      </w:r>
      <w:r>
        <w:rPr>
          <w:i/>
        </w:rPr>
        <w:t xml:space="preserve">in vivo </w:t>
      </w:r>
      <w:r>
        <w:t>(T</w:t>
      </w:r>
      <w:r>
        <w:rPr>
          <w:vertAlign w:val="subscript"/>
        </w:rPr>
        <w:t>0</w:t>
      </w:r>
      <w:r>
        <w:t>) with plasma leptin levels at T</w:t>
      </w:r>
      <w:r>
        <w:rPr>
          <w:vertAlign w:val="subscript"/>
        </w:rPr>
        <w:t>0</w:t>
      </w:r>
      <w:r>
        <w:t xml:space="preserve"> in female FREECE study subjects. </w:t>
      </w:r>
      <w:r>
        <w:rPr>
          <w:i/>
        </w:rPr>
        <w:t>p</w:t>
      </w:r>
      <w:r>
        <w:t>= 0.0102, r= -0.682, R squared= 0.4651.</w:t>
      </w: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Supplemental Figure 3: </w:t>
      </w:r>
    </w:p>
    <w:p>
      <w:pPr>
        <w:pStyle w:val="KeinLeerraum"/>
        <w:jc w:val="both"/>
      </w:pPr>
      <w:r>
        <w:rPr>
          <w:i/>
        </w:rPr>
        <w:t xml:space="preserve">Ex </w:t>
      </w:r>
      <w:proofErr w:type="gramStart"/>
      <w:r>
        <w:rPr>
          <w:i/>
        </w:rPr>
        <w:t>vivo</w:t>
      </w:r>
      <w:proofErr w:type="gramEnd"/>
      <w:r>
        <w:t xml:space="preserve"> Treg frequencies in peripheral blood were analyzed before and after FREECE study subjects were exposed to short-term cold </w:t>
      </w:r>
      <w:r>
        <w:rPr>
          <w:i/>
        </w:rPr>
        <w:t>in vivo</w:t>
      </w:r>
      <w:r>
        <w:t>. Subjects were grouped according to their sex and additionally to their BMI into BMI &lt; 30 kg/m² (lean (BMI &lt;25 kg/m²; depicted as black dots), overweight (25 kg/m² ≤ BMI &lt; 30 kg/m²; depicted as red dots)) or obese (BMI ≥ 30 kg/m²) subjects. **=</w:t>
      </w:r>
      <w:r>
        <w:rPr>
          <w:i/>
        </w:rPr>
        <w:t>p</w:t>
      </w:r>
      <w:r>
        <w:t xml:space="preserve">&lt;0.01; Student’s paired </w:t>
      </w:r>
      <w:r>
        <w:rPr>
          <w:i/>
        </w:rPr>
        <w:t>t</w:t>
      </w:r>
      <w:r>
        <w:t xml:space="preserve">-test with two-tailed </w:t>
      </w:r>
      <w:r>
        <w:rPr>
          <w:i/>
        </w:rPr>
        <w:t>p</w:t>
      </w:r>
      <w:r>
        <w:t xml:space="preserve"> value. </w:t>
      </w: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Supplemental Figure 4: </w:t>
      </w:r>
    </w:p>
    <w:p>
      <w:pPr>
        <w:pStyle w:val="KeinLeerraum"/>
        <w:jc w:val="both"/>
      </w:pPr>
      <w:r>
        <w:t xml:space="preserve">Staining control stained with DAPI and both secondary antibodies used in cytospins shown in Figure 5B. </w:t>
      </w:r>
    </w:p>
    <w:p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7AF30-7BDC-489A-9EC9-4DB8E80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link w:val="KeinLeerraumZchn"/>
    <w:uiPriority w:val="1"/>
    <w:qFormat/>
    <w:pPr>
      <w:spacing w:after="0" w:line="360" w:lineRule="auto"/>
    </w:pPr>
    <w:rPr>
      <w:rFonts w:ascii="Times New Roman" w:eastAsia="Times New Roman" w:hAnsi="Times New Roman" w:cs="Times New Roman"/>
      <w:sz w:val="24"/>
      <w:szCs w:val="32"/>
      <w:lang w:val="en-US"/>
    </w:rPr>
  </w:style>
  <w:style w:type="character" w:customStyle="1" w:styleId="KeinLeerraumZchn">
    <w:name w:val="Kein Leerraum Zchn"/>
    <w:link w:val="KeinLeerraum"/>
    <w:uiPriority w:val="1"/>
    <w:rPr>
      <w:rFonts w:ascii="Times New Roman" w:eastAsia="Times New Roman" w:hAnsi="Times New Roman" w:cs="Times New Roman"/>
      <w:sz w:val="24"/>
      <w:szCs w:val="32"/>
      <w:lang w:val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openxmlformats.org/officeDocument/2006/relationships/settings" Target="settings.xml"/>
   <Relationship Id="rId3" Type="http://schemas.openxmlformats.org/officeDocument/2006/relationships/webSettings" Target="webSettings.xml"/>
   <Relationship Id="rId4" Type="http://schemas.openxmlformats.org/officeDocument/2006/relationships/fontTable" Target="fontTable.xml"/>
   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