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bin" ContentType="application/vnd.openxmlformats-officedocument.oleObject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9D24287" w14:textId="77777777" w:rsidR="004C6853" w:rsidRDefault="001F1BB7" w:rsidP="00C5388A">
      <w:pPr>
        <w:spacing w:line="360" w:lineRule="auto"/>
        <w:contextualSpacing/>
        <w:jc w:val="center"/>
        <w:rPr>
          <w:b/>
          <w:bCs/>
          <w:sz w:val="32"/>
          <w:szCs w:val="28"/>
        </w:rPr>
      </w:pPr>
      <w:r w:rsidRPr="004D1276">
        <w:rPr>
          <w:b/>
          <w:bCs/>
          <w:sz w:val="32"/>
          <w:szCs w:val="28"/>
        </w:rPr>
        <w:t>Supplementary</w:t>
      </w:r>
      <w:r w:rsidR="004C6853" w:rsidRPr="004D1276">
        <w:rPr>
          <w:b/>
          <w:bCs/>
          <w:sz w:val="32"/>
          <w:szCs w:val="28"/>
        </w:rPr>
        <w:t xml:space="preserve"> Information </w:t>
      </w:r>
    </w:p>
    <w:p w14:paraId="724F2775" w14:textId="77777777" w:rsidR="00D45E36" w:rsidRPr="004D1276" w:rsidRDefault="00D45E36" w:rsidP="00C5388A">
      <w:pPr>
        <w:spacing w:line="360" w:lineRule="auto"/>
        <w:contextualSpacing/>
        <w:jc w:val="center"/>
        <w:rPr>
          <w:b/>
          <w:bCs/>
          <w:sz w:val="32"/>
          <w:szCs w:val="28"/>
        </w:rPr>
      </w:pPr>
    </w:p>
    <w:p w14:paraId="61A99B5A" w14:textId="77777777" w:rsidR="001E19C2" w:rsidRDefault="001E19C2" w:rsidP="00D45E36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Proteasome activator PA200 regulates </w:t>
      </w:r>
      <w:proofErr w:type="spellStart"/>
      <w:r>
        <w:rPr>
          <w:b/>
          <w:bCs/>
          <w:sz w:val="28"/>
          <w:szCs w:val="28"/>
        </w:rPr>
        <w:t>myofibroblast</w:t>
      </w:r>
      <w:proofErr w:type="spellEnd"/>
      <w:r>
        <w:rPr>
          <w:b/>
          <w:bCs/>
          <w:sz w:val="28"/>
          <w:szCs w:val="28"/>
        </w:rPr>
        <w:t xml:space="preserve"> differentiation </w:t>
      </w:r>
    </w:p>
    <w:p w14:paraId="181D93D5" w14:textId="77777777" w:rsidR="00F567CC" w:rsidRDefault="00F567CC" w:rsidP="00F567CC">
      <w:pPr>
        <w:pStyle w:val="StandardText"/>
        <w:jc w:val="center"/>
        <w:rPr>
          <w:u w:val="single"/>
        </w:rPr>
      </w:pPr>
      <w:r>
        <w:t>Vanessa Welk</w:t>
      </w:r>
      <w:r>
        <w:rPr>
          <w:vertAlign w:val="superscript"/>
        </w:rPr>
        <w:t>1</w:t>
      </w:r>
      <w:r>
        <w:t>, Thomas Meul</w:t>
      </w:r>
      <w:r>
        <w:rPr>
          <w:vertAlign w:val="superscript"/>
        </w:rPr>
        <w:t>1</w:t>
      </w:r>
      <w:r>
        <w:t>, Christina Lukas</w:t>
      </w:r>
      <w:r>
        <w:rPr>
          <w:vertAlign w:val="superscript"/>
        </w:rPr>
        <w:t>1</w:t>
      </w:r>
      <w:r>
        <w:t>, Ilona E. Kammerl</w:t>
      </w:r>
      <w:r>
        <w:rPr>
          <w:vertAlign w:val="superscript"/>
        </w:rPr>
        <w:t>1</w:t>
      </w:r>
      <w:r>
        <w:t xml:space="preserve">, </w:t>
      </w:r>
      <w:proofErr w:type="spellStart"/>
      <w:r>
        <w:t>Shrikant</w:t>
      </w:r>
      <w:proofErr w:type="spellEnd"/>
      <w:r>
        <w:t xml:space="preserve"> R. Mulay</w:t>
      </w:r>
      <w:r>
        <w:rPr>
          <w:vertAlign w:val="superscript"/>
        </w:rPr>
        <w:t>2</w:t>
      </w:r>
      <w:r>
        <w:t>, Andrea C. Schamberger</w:t>
      </w:r>
      <w:r>
        <w:rPr>
          <w:vertAlign w:val="superscript"/>
        </w:rPr>
        <w:t>1</w:t>
      </w:r>
      <w:r>
        <w:t>, Nora Semren</w:t>
      </w:r>
      <w:r>
        <w:rPr>
          <w:vertAlign w:val="superscript"/>
        </w:rPr>
        <w:t>1</w:t>
      </w:r>
      <w:r>
        <w:t>, Isis E. Fernandez</w:t>
      </w:r>
      <w:r>
        <w:rPr>
          <w:vertAlign w:val="superscript"/>
        </w:rPr>
        <w:t>1</w:t>
      </w:r>
      <w:r>
        <w:t>, Hans-Joachim Anders</w:t>
      </w:r>
      <w:r>
        <w:rPr>
          <w:vertAlign w:val="superscript"/>
        </w:rPr>
        <w:t>2</w:t>
      </w:r>
      <w:r>
        <w:t>, Andreas Günther</w:t>
      </w:r>
      <w:r>
        <w:rPr>
          <w:vertAlign w:val="superscript"/>
        </w:rPr>
        <w:t>3,4</w:t>
      </w:r>
      <w:r>
        <w:t xml:space="preserve">, </w:t>
      </w:r>
      <w:r w:rsidRPr="00A86FD2">
        <w:t>Jürgen Behr</w:t>
      </w:r>
      <w:r w:rsidRPr="00A86FD2">
        <w:rPr>
          <w:vertAlign w:val="superscript"/>
        </w:rPr>
        <w:t>1,5,6</w:t>
      </w:r>
      <w:r w:rsidRPr="00A86FD2">
        <w:t xml:space="preserve">, </w:t>
      </w:r>
      <w:r>
        <w:t>Oliver Eickelberg</w:t>
      </w:r>
      <w:r>
        <w:rPr>
          <w:vertAlign w:val="superscript"/>
        </w:rPr>
        <w:t>1,</w:t>
      </w:r>
      <w:r w:rsidRPr="00A86FD2">
        <w:rPr>
          <w:vertAlign w:val="superscript"/>
        </w:rPr>
        <w:t>7</w:t>
      </w:r>
      <w:r>
        <w:t>, Martina Korfei</w:t>
      </w:r>
      <w:r>
        <w:rPr>
          <w:vertAlign w:val="superscript"/>
        </w:rPr>
        <w:t>3</w:t>
      </w:r>
      <w:r>
        <w:t>,</w:t>
      </w:r>
      <w:r>
        <w:rPr>
          <w:vertAlign w:val="superscript"/>
        </w:rPr>
        <w:t xml:space="preserve"> </w:t>
      </w:r>
      <w:r>
        <w:t>and Silke Meiners</w:t>
      </w:r>
      <w:r>
        <w:rPr>
          <w:vertAlign w:val="superscript"/>
        </w:rPr>
        <w:t>1*</w:t>
      </w:r>
    </w:p>
    <w:p w14:paraId="08B50E07" w14:textId="77777777" w:rsidR="003C5955" w:rsidRDefault="003C5955" w:rsidP="00C53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contextualSpacing/>
        <w:jc w:val="both"/>
      </w:pPr>
    </w:p>
    <w:p w14:paraId="24E7DD97" w14:textId="77777777" w:rsidR="003C5955" w:rsidRDefault="003C5955" w:rsidP="00C53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contextualSpacing/>
        <w:jc w:val="both"/>
        <w:rPr>
          <w:u w:color="0000FF"/>
        </w:rPr>
      </w:pPr>
      <w:r>
        <w:t>*Corresponding author: Silke Meiners, Max-</w:t>
      </w:r>
      <w:proofErr w:type="spellStart"/>
      <w:r>
        <w:t>Lebsche</w:t>
      </w:r>
      <w:proofErr w:type="spellEnd"/>
      <w:r>
        <w:t xml:space="preserve"> </w:t>
      </w:r>
      <w:proofErr w:type="spellStart"/>
      <w:r>
        <w:t>Platz</w:t>
      </w:r>
      <w:proofErr w:type="spellEnd"/>
      <w:r>
        <w:t xml:space="preserve"> 31, 81377 Munich, Germany, Phone: 00498931874673, Fax: 0049893187194673, e-mail: </w:t>
      </w:r>
      <w:r w:rsidRPr="00DC1504">
        <w:rPr>
          <w:u w:color="0000FF"/>
        </w:rPr>
        <w:t>silke.meiners@helmholtz-muenchen.de</w:t>
      </w:r>
    </w:p>
    <w:p w14:paraId="6E2CA26D" w14:textId="578D66FE" w:rsidR="00F570D5" w:rsidRDefault="00F570D5">
      <w:pPr>
        <w:spacing w:after="0" w:line="240" w:lineRule="auto"/>
      </w:pPr>
      <w:r>
        <w:br w:type="page"/>
      </w:r>
    </w:p>
    <w:p w14:paraId="66B4F916" w14:textId="77777777" w:rsidR="004C6853" w:rsidRDefault="004C6853" w:rsidP="00C5388A">
      <w:pPr>
        <w:spacing w:line="360" w:lineRule="auto"/>
        <w:contextualSpacing/>
      </w:pPr>
    </w:p>
    <w:p w14:paraId="41600EC2" w14:textId="77777777" w:rsidR="00BF4D04" w:rsidRDefault="00D011DC" w:rsidP="00C5388A">
      <w:pPr>
        <w:spacing w:after="0" w:line="360" w:lineRule="auto"/>
        <w:contextualSpacing/>
      </w:pPr>
      <w:r>
        <w:rPr>
          <w:b/>
          <w:bCs/>
        </w:rPr>
        <w:t>Supplementary material and m</w:t>
      </w:r>
      <w:r w:rsidR="000B493E">
        <w:rPr>
          <w:b/>
          <w:bCs/>
        </w:rPr>
        <w:t>ethods</w:t>
      </w:r>
    </w:p>
    <w:p w14:paraId="433A496E" w14:textId="77777777" w:rsidR="00737926" w:rsidRDefault="00737926" w:rsidP="00C5388A">
      <w:pPr>
        <w:keepNext/>
        <w:spacing w:after="0" w:line="360" w:lineRule="auto"/>
        <w:contextualSpacing/>
        <w:jc w:val="both"/>
      </w:pPr>
      <w:r>
        <w:rPr>
          <w:i/>
          <w:iCs/>
        </w:rPr>
        <w:t>Cell culture</w:t>
      </w:r>
    </w:p>
    <w:p w14:paraId="2E1FD196" w14:textId="77777777" w:rsidR="00737926" w:rsidRDefault="00737926" w:rsidP="00C5388A">
      <w:pPr>
        <w:keepNext/>
        <w:spacing w:after="0" w:line="360" w:lineRule="auto"/>
        <w:contextualSpacing/>
        <w:jc w:val="both"/>
      </w:pPr>
      <w:r>
        <w:t xml:space="preserve">Human A549 cells were cultured in DMEM + </w:t>
      </w:r>
      <w:proofErr w:type="spellStart"/>
      <w:r>
        <w:t>GlutaMax</w:t>
      </w:r>
      <w:proofErr w:type="spellEnd"/>
      <w:r>
        <w:t xml:space="preserve"> (Thermo Fisher Scientific) supplemented with 10% (v/v) fetal bovine serum (FBS) (</w:t>
      </w:r>
      <w:proofErr w:type="spellStart"/>
      <w:r>
        <w:t>Biochrome</w:t>
      </w:r>
      <w:proofErr w:type="spellEnd"/>
      <w:r>
        <w:t>) and 100 U/mL penicillin/streptomycin (Thermo Fisher Scientific).</w:t>
      </w:r>
    </w:p>
    <w:p w14:paraId="220A4DD5" w14:textId="77777777" w:rsidR="00E93DD8" w:rsidRDefault="00E93DD8" w:rsidP="00C5388A">
      <w:pPr>
        <w:spacing w:after="0" w:line="360" w:lineRule="auto"/>
        <w:contextualSpacing/>
        <w:jc w:val="both"/>
      </w:pPr>
    </w:p>
    <w:p w14:paraId="0058AE0A" w14:textId="77777777" w:rsidR="00E93DD8" w:rsidRDefault="00E93DD8" w:rsidP="00C5388A">
      <w:pPr>
        <w:spacing w:after="0" w:line="360" w:lineRule="auto"/>
        <w:contextualSpacing/>
        <w:jc w:val="both"/>
        <w:rPr>
          <w:i/>
          <w:iCs/>
        </w:rPr>
      </w:pPr>
      <w:r>
        <w:rPr>
          <w:i/>
          <w:iCs/>
        </w:rPr>
        <w:t>Proteasome activity assay</w:t>
      </w:r>
    </w:p>
    <w:p w14:paraId="651957F3" w14:textId="77777777" w:rsidR="00E93DD8" w:rsidRDefault="00E93DD8" w:rsidP="00C5388A">
      <w:pPr>
        <w:spacing w:after="0" w:line="360" w:lineRule="auto"/>
        <w:contextualSpacing/>
        <w:jc w:val="both"/>
      </w:pPr>
      <w:r>
        <w:t>Chymotrypsin- and caspase-like activities of the proteasome were measured with the Proteasome-</w:t>
      </w:r>
      <w:proofErr w:type="spellStart"/>
      <w:r>
        <w:t>Glo</w:t>
      </w:r>
      <w:r>
        <w:rPr>
          <w:vertAlign w:val="superscript"/>
        </w:rPr>
        <w:t>TM</w:t>
      </w:r>
      <w:proofErr w:type="spellEnd"/>
      <w:r>
        <w:t xml:space="preserve"> Assay kit (</w:t>
      </w:r>
      <w:proofErr w:type="spellStart"/>
      <w:r>
        <w:t>Promega</w:t>
      </w:r>
      <w:proofErr w:type="spellEnd"/>
      <w:r>
        <w:t xml:space="preserve">) using the luminescent substrates </w:t>
      </w:r>
      <w:proofErr w:type="spellStart"/>
      <w:r>
        <w:t>Suc</w:t>
      </w:r>
      <w:proofErr w:type="spellEnd"/>
      <w:r>
        <w:t>-LLVY-</w:t>
      </w:r>
      <w:proofErr w:type="spellStart"/>
      <w:r>
        <w:t>aminoluciferin</w:t>
      </w:r>
      <w:proofErr w:type="spellEnd"/>
      <w:r>
        <w:t xml:space="preserve"> specific for chymotrypsin-like and Z-</w:t>
      </w:r>
      <w:proofErr w:type="spellStart"/>
      <w:r>
        <w:t>nLPnLD</w:t>
      </w:r>
      <w:proofErr w:type="spellEnd"/>
      <w:r>
        <w:t>-</w:t>
      </w:r>
      <w:proofErr w:type="spellStart"/>
      <w:r>
        <w:t>aminoluciferin</w:t>
      </w:r>
      <w:proofErr w:type="spellEnd"/>
      <w:r>
        <w:t xml:space="preserve"> specific for caspase-like activities. Proteasome activity of 2 µg</w:t>
      </w:r>
      <w:r>
        <w:rPr>
          <w:rFonts w:ascii="Segoe UI" w:eastAsia="Segoe UI" w:hAnsi="Segoe UI" w:cs="Segoe UI"/>
          <w:sz w:val="30"/>
          <w:szCs w:val="30"/>
        </w:rPr>
        <w:t xml:space="preserve"> </w:t>
      </w:r>
      <w:r>
        <w:t>of protein/well from a native protein extract was analyzed in three technical replicates according to the manufacturer’s protocol. Luminescence was measured every 2 min for 30 min using a TriStar LB 941 plate reader (Berthold Technologies) and values reaching the plateau were used for quantification of proteasome activities.</w:t>
      </w:r>
    </w:p>
    <w:p w14:paraId="184FE677" w14:textId="77777777" w:rsidR="00E93DD8" w:rsidRDefault="00E93DD8" w:rsidP="00C5388A">
      <w:pPr>
        <w:spacing w:after="0" w:line="360" w:lineRule="auto"/>
        <w:contextualSpacing/>
        <w:jc w:val="both"/>
      </w:pPr>
    </w:p>
    <w:p w14:paraId="4C491548" w14:textId="77777777" w:rsidR="000B493E" w:rsidRDefault="000B493E" w:rsidP="00C5388A">
      <w:pPr>
        <w:spacing w:after="0" w:line="360" w:lineRule="auto"/>
        <w:contextualSpacing/>
        <w:jc w:val="both"/>
        <w:rPr>
          <w:i/>
          <w:iCs/>
        </w:rPr>
      </w:pPr>
      <w:r>
        <w:rPr>
          <w:i/>
          <w:iCs/>
        </w:rPr>
        <w:t>Masson-Trichrome staining</w:t>
      </w:r>
    </w:p>
    <w:p w14:paraId="2AC251E2" w14:textId="77777777" w:rsidR="000B493E" w:rsidRDefault="000B493E" w:rsidP="00C5388A">
      <w:pPr>
        <w:spacing w:after="0" w:line="360" w:lineRule="auto"/>
        <w:contextualSpacing/>
        <w:jc w:val="both"/>
      </w:pPr>
      <w:r>
        <w:t xml:space="preserve">Masson-Trichrome staining was performed with the Trichrome Stain (Masson) kit (HT15, Sigma-Aldrich). Murine kidney sections were </w:t>
      </w:r>
      <w:proofErr w:type="spellStart"/>
      <w:r>
        <w:t>deparaffinized</w:t>
      </w:r>
      <w:proofErr w:type="spellEnd"/>
      <w:r>
        <w:t xml:space="preserve"> and incubated in </w:t>
      </w:r>
      <w:proofErr w:type="spellStart"/>
      <w:r>
        <w:t>Bouin’s</w:t>
      </w:r>
      <w:proofErr w:type="spellEnd"/>
      <w:r>
        <w:t xml:space="preserve"> solution (Sigma-Aldrich) at RT overnight. The staining was performed according to the manufacturer’s protocol. Slides were rehydrated, dried, mounted with </w:t>
      </w:r>
      <w:proofErr w:type="spellStart"/>
      <w:r>
        <w:t>Entellan</w:t>
      </w:r>
      <w:proofErr w:type="spellEnd"/>
      <w:r>
        <w:t xml:space="preserve"> mounting medium (Merck Millipore) and imaged using the </w:t>
      </w:r>
      <w:proofErr w:type="spellStart"/>
      <w:r>
        <w:t>Mirax</w:t>
      </w:r>
      <w:proofErr w:type="spellEnd"/>
      <w:r>
        <w:t xml:space="preserve"> scanning system (Zeiss).</w:t>
      </w:r>
    </w:p>
    <w:p w14:paraId="7BCC2610" w14:textId="77777777" w:rsidR="000B493E" w:rsidRDefault="000B493E" w:rsidP="00C5388A">
      <w:pPr>
        <w:spacing w:after="0" w:line="360" w:lineRule="auto"/>
        <w:contextualSpacing/>
        <w:jc w:val="both"/>
        <w:rPr>
          <w:i/>
          <w:iCs/>
        </w:rPr>
      </w:pPr>
    </w:p>
    <w:p w14:paraId="1AD38D78" w14:textId="77777777" w:rsidR="00BF4D04" w:rsidRDefault="00BF4D04" w:rsidP="00C5388A">
      <w:pPr>
        <w:spacing w:after="0" w:line="360" w:lineRule="auto"/>
        <w:contextualSpacing/>
      </w:pPr>
      <w:r>
        <w:rPr>
          <w:b/>
          <w:bCs/>
        </w:rPr>
        <w:t>Supplementary Tables</w:t>
      </w:r>
    </w:p>
    <w:p w14:paraId="40E6F901" w14:textId="77777777" w:rsidR="000B514A" w:rsidRDefault="000B514A" w:rsidP="00C5388A">
      <w:pPr>
        <w:spacing w:after="0" w:line="360" w:lineRule="auto"/>
        <w:contextualSpacing/>
        <w:rPr>
          <w:i/>
          <w:iCs/>
        </w:rPr>
      </w:pPr>
      <w:r>
        <w:rPr>
          <w:i/>
          <w:iCs/>
        </w:rPr>
        <w:t>Supplementary Table</w:t>
      </w:r>
      <w:r w:rsidR="00EA6C54">
        <w:rPr>
          <w:i/>
          <w:iCs/>
        </w:rPr>
        <w:t xml:space="preserve"> </w:t>
      </w:r>
      <w:r w:rsidR="003C5955">
        <w:rPr>
          <w:i/>
          <w:iCs/>
        </w:rPr>
        <w:t>1</w:t>
      </w:r>
      <w:r w:rsidR="00EA6C54">
        <w:rPr>
          <w:i/>
          <w:iCs/>
        </w:rPr>
        <w:t>: Antibodies used in the study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1417"/>
        <w:gridCol w:w="851"/>
        <w:gridCol w:w="1417"/>
        <w:gridCol w:w="851"/>
        <w:gridCol w:w="992"/>
        <w:gridCol w:w="1955"/>
      </w:tblGrid>
      <w:tr w:rsidR="000B514A" w:rsidRPr="00EA6C54" w14:paraId="39BD08F6" w14:textId="77777777" w:rsidTr="004C6853">
        <w:trPr>
          <w:trHeight w:val="300"/>
          <w:tblHeader/>
        </w:trPr>
        <w:tc>
          <w:tcPr>
            <w:tcW w:w="2000" w:type="dxa"/>
            <w:shd w:val="clear" w:color="auto" w:fill="auto"/>
            <w:noWrap/>
            <w:hideMark/>
          </w:tcPr>
          <w:p w14:paraId="77EB6EFB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Antigen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E0D884D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Product</w:t>
            </w:r>
            <w:proofErr w:type="spellEnd"/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number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0832A1DB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Host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97804A9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Type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C57806B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Appli-cation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14:paraId="33E6451D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Dilution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23F644E0" w14:textId="77777777" w:rsidR="000B514A" w:rsidRPr="00EA6C54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  <w:lang w:val="de-DE"/>
              </w:rPr>
              <w:t>Provider</w:t>
            </w:r>
          </w:p>
        </w:tc>
      </w:tr>
      <w:tr w:rsidR="00EA6C54" w:rsidRPr="00EA6C54" w14:paraId="4E3A00C8" w14:textId="77777777" w:rsidTr="00A12C81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17DAE6B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COL1A1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3D1A41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600401103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C8FF2B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196069A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22C2AE9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1B1DA03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1:5000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3F056D2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Rockland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Immunochemicals</w:t>
            </w:r>
            <w:proofErr w:type="spellEnd"/>
          </w:p>
        </w:tc>
      </w:tr>
      <w:tr w:rsidR="00EA6C54" w:rsidRPr="00EA6C54" w14:paraId="296B3216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223CE3A8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Cyclin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D1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4F6663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2978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BBB4E8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6BC14E83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Monoclonal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71EDE8E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F0BF227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1855AA1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Cell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Signaling</w:t>
            </w:r>
            <w:proofErr w:type="spellEnd"/>
          </w:p>
        </w:tc>
      </w:tr>
      <w:tr w:rsidR="00EA6C54" w:rsidRPr="00EA6C54" w14:paraId="566BE553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106D47E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Fibronectin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4B6BBDC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sc-9068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F5BA3B3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79A3FD4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233801A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6A354EE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32FE075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Santa Cruz</w:t>
            </w:r>
          </w:p>
        </w:tc>
      </w:tr>
      <w:tr w:rsidR="00EA6C54" w:rsidRPr="00EA6C54" w14:paraId="5218AE3B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044989C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GAPDH </w:t>
            </w:r>
          </w:p>
          <w:p w14:paraId="14367A7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(HRP-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linked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90520C5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14C10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4C6CA8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7953A5C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Monoclonal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190AD6B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FDC498D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1:80 000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50FE97F7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Cell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Signaling</w:t>
            </w:r>
            <w:proofErr w:type="spellEnd"/>
          </w:p>
        </w:tc>
      </w:tr>
      <w:tr w:rsidR="00EA6C54" w:rsidRPr="00EA6C54" w14:paraId="2AAEEE45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0E77D1D7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KRT5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5B9D09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ab75869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4830BA3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12625890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61EC58D0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IHC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3180EDC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1:150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0CFEEBF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Abcam</w:t>
            </w:r>
            <w:proofErr w:type="spellEnd"/>
          </w:p>
        </w:tc>
      </w:tr>
      <w:tr w:rsidR="00EA6C54" w:rsidRPr="00EA6C54" w14:paraId="592D6B67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13F7A5D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Normal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IgG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1EA2A5C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2729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0BE168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77745B4A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45DF22F0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IHC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C4C312C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proofErr w:type="spellStart"/>
            <w:r w:rsidRPr="00EA6C54">
              <w:rPr>
                <w:sz w:val="20"/>
                <w:szCs w:val="20"/>
                <w:lang w:val="de-DE"/>
              </w:rPr>
              <w:t>IgG</w:t>
            </w:r>
            <w:proofErr w:type="spellEnd"/>
            <w:r w:rsidRPr="00EA6C54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A6C54">
              <w:rPr>
                <w:sz w:val="20"/>
                <w:szCs w:val="20"/>
                <w:lang w:val="de-DE"/>
              </w:rPr>
              <w:t>ctrl</w:t>
            </w:r>
            <w:proofErr w:type="spellEnd"/>
          </w:p>
        </w:tc>
        <w:tc>
          <w:tcPr>
            <w:tcW w:w="1955" w:type="dxa"/>
            <w:shd w:val="clear" w:color="auto" w:fill="auto"/>
            <w:noWrap/>
            <w:hideMark/>
          </w:tcPr>
          <w:p w14:paraId="3207329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Cell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Signaling</w:t>
            </w:r>
            <w:proofErr w:type="spellEnd"/>
          </w:p>
        </w:tc>
      </w:tr>
      <w:tr w:rsidR="00EA6C54" w:rsidRPr="00EA6C54" w14:paraId="6ED4AC60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3E7E3B5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lastRenderedPageBreak/>
              <w:t>PA200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antibody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#1)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BB83CA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PA1-1961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FC5CD0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2D81789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5AFC41A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A705740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1:1000</w:t>
            </w:r>
          </w:p>
          <w:p w14:paraId="62CFFE13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1:600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6053183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Thermo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Fisher Scientific</w:t>
            </w:r>
          </w:p>
        </w:tc>
      </w:tr>
      <w:tr w:rsidR="00EA6C54" w:rsidRPr="00EA6C54" w14:paraId="0D598C76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6FE5DA2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PA200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antibody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#2;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for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human)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FEE1C8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NBP1-22236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CCA0AB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7E0AD35E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005BADC5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8261257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1:2500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479A8127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Novus Biologicals</w:t>
            </w:r>
          </w:p>
        </w:tc>
      </w:tr>
      <w:tr w:rsidR="00EA6C54" w:rsidRPr="00EA6C54" w14:paraId="1D62DF8F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3F6E55C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PA200 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antibody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#3;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for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6DE3F2A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NBP2-32575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29EFB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3EDF42C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1611EF0A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90C1A30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1:500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70558F2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Novus Biologicals</w:t>
            </w:r>
          </w:p>
        </w:tc>
      </w:tr>
      <w:tr w:rsidR="00EA6C54" w:rsidRPr="00EA6C54" w14:paraId="18FCE60B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7527308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  <w:t>PA200 (antibody #</w:t>
            </w:r>
            <w:r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  <w:t>4</w:t>
            </w: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  <w:t>; mouse and human)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B7EE65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sc-135512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56A1BE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6C87DAA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32DC105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IHC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F6B7ACD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1:50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1952CFD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Santa Cruz</w:t>
            </w:r>
          </w:p>
        </w:tc>
      </w:tr>
      <w:tr w:rsidR="00EA6C54" w:rsidRPr="00EA6C54" w14:paraId="214C1A0A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5985FCA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PCNA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4399F5B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18-0110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1A32AFE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B5304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Monoclonal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510B1EF7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2AFC286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1:2000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1BC64B8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Thermo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Fisher Scientific</w:t>
            </w:r>
          </w:p>
        </w:tc>
      </w:tr>
      <w:tr w:rsidR="00EA6C54" w:rsidRPr="00EA6C54" w14:paraId="6A6C55D0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23EBAAC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RPT5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302AA4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A303-538A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4AF215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2E35E16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6414003B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E59C7E6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1:5000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0556B50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Bethyl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Laboratories</w:t>
            </w:r>
          </w:p>
        </w:tc>
      </w:tr>
      <w:tr w:rsidR="00EA6C54" w:rsidRPr="00EA6C54" w14:paraId="615A444B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21D91C2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α1-7 (MCP231)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11AAE8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ab22674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7A67C7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9027C28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Monoclonal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1F6205F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E8AA840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78654D7A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Abcam</w:t>
            </w:r>
            <w:proofErr w:type="spellEnd"/>
          </w:p>
        </w:tc>
      </w:tr>
      <w:tr w:rsidR="00EA6C54" w:rsidRPr="00EA6C54" w14:paraId="561A4037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5EFADE9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αSMA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9393B0A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A5228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39ACAB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45FD7BF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Monoclonal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4BE4B199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F7E140C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42D3E58E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Sigma Aldrich</w:t>
            </w:r>
          </w:p>
        </w:tc>
      </w:tr>
      <w:tr w:rsidR="00EA6C54" w:rsidRPr="00EA6C54" w14:paraId="7321DBFE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481E70B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αSMA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2D63A0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ab5694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F7CDE7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746F060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6246CDA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IHC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14C3F6E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1:200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752A4EE7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Abcam</w:t>
            </w:r>
            <w:proofErr w:type="spellEnd"/>
          </w:p>
        </w:tc>
      </w:tr>
      <w:tr w:rsidR="00EA6C54" w:rsidRPr="00EA6C54" w14:paraId="05D81902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750184A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β5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64ACB5D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ab90867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E68A0C1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Rabbit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hideMark/>
          </w:tcPr>
          <w:p w14:paraId="5EEBCA27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Polyclonal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16B7234C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AD1C805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1:1000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2CF31E24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Abcam</w:t>
            </w:r>
            <w:proofErr w:type="spellEnd"/>
          </w:p>
        </w:tc>
      </w:tr>
      <w:tr w:rsidR="00EA6C54" w:rsidRPr="00EA6C54" w14:paraId="23208A5D" w14:textId="77777777" w:rsidTr="00EA6C54">
        <w:trPr>
          <w:trHeight w:val="300"/>
        </w:trPr>
        <w:tc>
          <w:tcPr>
            <w:tcW w:w="2000" w:type="dxa"/>
            <w:shd w:val="clear" w:color="auto" w:fill="auto"/>
            <w:noWrap/>
            <w:hideMark/>
          </w:tcPr>
          <w:p w14:paraId="4E44119B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β-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Actin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 (HRP-</w:t>
            </w: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linked</w:t>
            </w:r>
            <w:proofErr w:type="spellEnd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46443C6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A3854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588BBF3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99F3BE2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Monoclonal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hideMark/>
          </w:tcPr>
          <w:p w14:paraId="4CC92870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WB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C213AA2" w14:textId="77777777" w:rsidR="00EA6C54" w:rsidRPr="00EA6C54" w:rsidRDefault="00EA6C54" w:rsidP="00C5388A">
            <w:pPr>
              <w:pStyle w:val="TabelleSupplement"/>
              <w:contextualSpacing/>
              <w:rPr>
                <w:sz w:val="20"/>
                <w:szCs w:val="20"/>
              </w:rPr>
            </w:pPr>
            <w:r w:rsidRPr="00EA6C54">
              <w:rPr>
                <w:sz w:val="20"/>
                <w:szCs w:val="20"/>
                <w:lang w:val="de-DE"/>
              </w:rPr>
              <w:t>1:80000</w:t>
            </w:r>
          </w:p>
        </w:tc>
        <w:tc>
          <w:tcPr>
            <w:tcW w:w="1955" w:type="dxa"/>
            <w:shd w:val="clear" w:color="auto" w:fill="auto"/>
            <w:noWrap/>
            <w:hideMark/>
          </w:tcPr>
          <w:p w14:paraId="01D352EA" w14:textId="77777777" w:rsidR="00EA6C54" w:rsidRPr="00EA6C54" w:rsidRDefault="00EA6C54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EA6C54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Sigma Aldrich</w:t>
            </w:r>
          </w:p>
        </w:tc>
      </w:tr>
    </w:tbl>
    <w:p w14:paraId="3268E3D6" w14:textId="77777777" w:rsidR="00DC1504" w:rsidRDefault="00DC1504" w:rsidP="00C5388A">
      <w:pPr>
        <w:spacing w:after="0" w:line="360" w:lineRule="auto"/>
        <w:contextualSpacing/>
        <w:rPr>
          <w:i/>
          <w:iCs/>
        </w:rPr>
      </w:pPr>
    </w:p>
    <w:p w14:paraId="7CF94F3F" w14:textId="77777777" w:rsidR="00DC1504" w:rsidRDefault="00DC1504" w:rsidP="00C5388A">
      <w:pPr>
        <w:spacing w:after="0" w:line="360" w:lineRule="auto"/>
        <w:contextualSpacing/>
        <w:rPr>
          <w:i/>
          <w:iCs/>
        </w:rPr>
      </w:pPr>
      <w:r>
        <w:rPr>
          <w:i/>
          <w:iCs/>
        </w:rPr>
        <w:br w:type="page"/>
      </w:r>
    </w:p>
    <w:p w14:paraId="0362212C" w14:textId="77777777" w:rsidR="000B514A" w:rsidRPr="000B514A" w:rsidRDefault="000B514A" w:rsidP="00C5388A">
      <w:pPr>
        <w:spacing w:after="0" w:line="360" w:lineRule="auto"/>
        <w:contextualSpacing/>
        <w:rPr>
          <w:i/>
          <w:iCs/>
        </w:rPr>
      </w:pPr>
      <w:r>
        <w:rPr>
          <w:i/>
          <w:iCs/>
        </w:rPr>
        <w:lastRenderedPageBreak/>
        <w:t>Supplementary Table 3: Primers used for RT-qPCR</w:t>
      </w:r>
    </w:p>
    <w:tbl>
      <w:tblPr>
        <w:tblW w:w="701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3410"/>
      </w:tblGrid>
      <w:tr w:rsidR="000B514A" w:rsidRPr="000B514A" w14:paraId="68C610F2" w14:textId="77777777" w:rsidTr="004C6853">
        <w:trPr>
          <w:trHeight w:val="300"/>
          <w:tblHeader/>
        </w:trPr>
        <w:tc>
          <w:tcPr>
            <w:tcW w:w="120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F3D1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  <w:t>Gene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6BC3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  <w:t>Species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EB02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341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3716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360" w:lineRule="auto"/>
              <w:contextualSpacing/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b/>
                <w:sz w:val="20"/>
                <w:szCs w:val="20"/>
                <w:bdr w:val="none" w:sz="0" w:space="0" w:color="auto"/>
              </w:rPr>
              <w:t>Sequence 5’-3’</w:t>
            </w:r>
          </w:p>
        </w:tc>
      </w:tr>
      <w:tr w:rsidR="000B514A" w:rsidRPr="000B514A" w14:paraId="4DFB5E1B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F87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ACTA2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E44B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DCC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38755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CGAGATCTCACTGACTACCTCATGA </w:t>
            </w:r>
          </w:p>
        </w:tc>
      </w:tr>
      <w:tr w:rsidR="000B514A" w:rsidRPr="000B514A" w14:paraId="7A697ECD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60C2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DD01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4257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574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AGAGCTACATAACACAGTTTCTCCTTGA </w:t>
            </w:r>
          </w:p>
        </w:tc>
      </w:tr>
      <w:tr w:rsidR="000B514A" w:rsidRPr="000B514A" w14:paraId="62FD7C42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7A08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 xml:space="preserve">CCND1 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4C9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F65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82DA4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CGTGGCCTCTAAGATGAAGG</w:t>
            </w:r>
          </w:p>
        </w:tc>
      </w:tr>
      <w:tr w:rsidR="000B514A" w:rsidRPr="000B514A" w14:paraId="6F4D4778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4EA56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B07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4D38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6CA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CTGGCATTTTGGAGAGGAAG</w:t>
            </w:r>
          </w:p>
        </w:tc>
      </w:tr>
      <w:tr w:rsidR="000B514A" w:rsidRPr="000B514A" w14:paraId="1B69F64D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B4E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COL1A1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50B0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632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0CB43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CAAGAGGAAGGCCAAGTCGAG </w:t>
            </w:r>
          </w:p>
        </w:tc>
      </w:tr>
      <w:tr w:rsidR="000B514A" w:rsidRPr="000B514A" w14:paraId="7B65EAA8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A9F7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59577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3D74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07C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TTGTCGCAGACGCAGATCC </w:t>
            </w:r>
          </w:p>
        </w:tc>
      </w:tr>
      <w:tr w:rsidR="000B514A" w:rsidRPr="000B514A" w14:paraId="2D5BCBB8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2F2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HPRT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02B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44D6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518B5A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TGAAGGAGATGGGAGGCCA</w:t>
            </w:r>
          </w:p>
        </w:tc>
      </w:tr>
      <w:tr w:rsidR="000B514A" w:rsidRPr="000B514A" w14:paraId="2BFB0418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32B6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2AC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964B7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8D36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AATCCAGCAGGTCAGCAAAGAA</w:t>
            </w:r>
          </w:p>
        </w:tc>
      </w:tr>
      <w:tr w:rsidR="000B514A" w:rsidRPr="000B514A" w14:paraId="4B40B872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7D8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PSME4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BBB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8E1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047D1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CCAACAGGAAAAGAATGCCGA</w:t>
            </w:r>
          </w:p>
        </w:tc>
      </w:tr>
      <w:tr w:rsidR="000B514A" w:rsidRPr="000B514A" w14:paraId="3083B494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0D15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CE8D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CD326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333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CCAGGGCAGGTTTCTTTGCT</w:t>
            </w:r>
          </w:p>
        </w:tc>
      </w:tr>
      <w:tr w:rsidR="000B514A" w:rsidRPr="000B514A" w14:paraId="58720B98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708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RPL19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A27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C55B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2D1B0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TGTACCTGAAGGTGAAGGGG </w:t>
            </w:r>
          </w:p>
        </w:tc>
      </w:tr>
      <w:tr w:rsidR="000B514A" w:rsidRPr="000B514A" w14:paraId="4E319EBC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3A75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7049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6B0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778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GCGTGCTTCCTTGGTCTTAG </w:t>
            </w:r>
          </w:p>
        </w:tc>
      </w:tr>
      <w:tr w:rsidR="000B514A" w:rsidRPr="000B514A" w14:paraId="498CBDFC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80D0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TGFB1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A8B0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human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752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F9285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CGACTCGCCAGAGTGGTTAT</w:t>
            </w:r>
          </w:p>
        </w:tc>
      </w:tr>
      <w:tr w:rsidR="000B514A" w:rsidRPr="000B514A" w14:paraId="14ED1D23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1517A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F827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E1F6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518A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TAGTGAACCCGTTGATGTCCA</w:t>
            </w:r>
          </w:p>
        </w:tc>
      </w:tr>
      <w:tr w:rsidR="000B514A" w:rsidRPr="000B514A" w14:paraId="179C88C0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80E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Acta2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4EA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E30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07BAF7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GCTGGTGATGATGCTCCCA</w:t>
            </w:r>
          </w:p>
        </w:tc>
      </w:tr>
      <w:tr w:rsidR="000B514A" w:rsidRPr="000B514A" w14:paraId="76D8B19F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6DA41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EBC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4BDA8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AEB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GCCCATTCCAACCATTACTCC</w:t>
            </w:r>
          </w:p>
        </w:tc>
      </w:tr>
      <w:tr w:rsidR="000B514A" w:rsidRPr="000B514A" w14:paraId="5D0CB451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11A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Col1a1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0FD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480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AC38D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CCAAGAAGACATCCCTGAAGTCA</w:t>
            </w:r>
          </w:p>
        </w:tc>
      </w:tr>
      <w:tr w:rsidR="000B514A" w:rsidRPr="000B514A" w14:paraId="48C73CD5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E741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7BEE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3F1D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E4D3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TGCACGTCATCGCACACA</w:t>
            </w:r>
          </w:p>
        </w:tc>
      </w:tr>
      <w:tr w:rsidR="000B514A" w:rsidRPr="000B514A" w14:paraId="7A31AE34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8A7A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Fn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2EA8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AFA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09F71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GTGTAGCACAACTTCCAATTACGAA</w:t>
            </w:r>
          </w:p>
        </w:tc>
      </w:tr>
      <w:tr w:rsidR="000B514A" w:rsidRPr="000B514A" w14:paraId="69CEC1CD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50058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B08C1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DDA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48E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GGAATTTCCGCCTCGAGTCT</w:t>
            </w:r>
          </w:p>
        </w:tc>
      </w:tr>
      <w:tr w:rsidR="000B514A" w:rsidRPr="000B514A" w14:paraId="7976B52C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D2A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Hprt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24B2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7F1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6C07D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AATCCAGCAGGTCAGCAAAGAA</w:t>
            </w:r>
          </w:p>
        </w:tc>
      </w:tr>
      <w:tr w:rsidR="000B514A" w:rsidRPr="000B514A" w14:paraId="098E0F9E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15DE8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C701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5D26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0A19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TGAAGGAGATGGGAGGCCA</w:t>
            </w:r>
          </w:p>
        </w:tc>
      </w:tr>
      <w:tr w:rsidR="000B514A" w:rsidRPr="000B514A" w14:paraId="2F54F526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5BE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Psme4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66A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8FC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A5665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CATCCTTCAAATAATGGGCG</w:t>
            </w:r>
          </w:p>
        </w:tc>
      </w:tr>
      <w:tr w:rsidR="000B514A" w:rsidRPr="000B514A" w14:paraId="19640D45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73D7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1F26B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DE19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2FB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AAGCTTATGGCTTTCAGGCA</w:t>
            </w:r>
          </w:p>
        </w:tc>
      </w:tr>
      <w:tr w:rsidR="000B514A" w:rsidRPr="000B514A" w14:paraId="0B2397E3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D3BA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Rpl19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613B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0C65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BB511C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CGGGAATCCAAGAAGATTGA </w:t>
            </w:r>
          </w:p>
        </w:tc>
      </w:tr>
      <w:tr w:rsidR="000B514A" w:rsidRPr="000B514A" w14:paraId="24DC8963" w14:textId="77777777" w:rsidTr="004C6853">
        <w:trPr>
          <w:trHeight w:val="300"/>
        </w:trPr>
        <w:tc>
          <w:tcPr>
            <w:tcW w:w="12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6848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8120E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96E3D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FB1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 xml:space="preserve">TTCAGCTTGTGGATGTGCTC </w:t>
            </w:r>
          </w:p>
        </w:tc>
      </w:tr>
      <w:tr w:rsidR="000B514A" w:rsidRPr="000B514A" w14:paraId="231A4C2B" w14:textId="77777777" w:rsidTr="004C6853">
        <w:trPr>
          <w:trHeight w:val="300"/>
        </w:trPr>
        <w:tc>
          <w:tcPr>
            <w:tcW w:w="1200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25BA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  <w:lang w:val="de-DE"/>
              </w:rPr>
              <w:t>Tnc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FCC7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proofErr w:type="spellStart"/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mouse</w:t>
            </w:r>
            <w:proofErr w:type="spellEnd"/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3E9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FW</w:t>
            </w:r>
          </w:p>
        </w:tc>
        <w:tc>
          <w:tcPr>
            <w:tcW w:w="341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6C76E6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GCTTCACTGGCAAAGACTGCAA</w:t>
            </w:r>
          </w:p>
        </w:tc>
      </w:tr>
      <w:tr w:rsidR="000B514A" w:rsidRPr="000B514A" w14:paraId="131614D3" w14:textId="77777777" w:rsidTr="004C6853">
        <w:trPr>
          <w:trHeight w:val="300"/>
        </w:trPr>
        <w:tc>
          <w:tcPr>
            <w:tcW w:w="120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D5C7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i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0A0F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C854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REV</w:t>
            </w:r>
          </w:p>
        </w:tc>
        <w:tc>
          <w:tcPr>
            <w:tcW w:w="341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5D760120" w14:textId="77777777" w:rsidR="000B514A" w:rsidRPr="00A12C81" w:rsidRDefault="000B514A" w:rsidP="00C53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eastAsia="Times New Roman" w:cs="Times New Roman"/>
                <w:sz w:val="20"/>
                <w:szCs w:val="20"/>
                <w:bdr w:val="none" w:sz="0" w:space="0" w:color="auto"/>
              </w:rPr>
            </w:pPr>
            <w:r w:rsidRPr="00A12C81">
              <w:rPr>
                <w:rFonts w:eastAsia="Times New Roman" w:cs="Times New Roman"/>
                <w:sz w:val="20"/>
                <w:szCs w:val="20"/>
                <w:bdr w:val="none" w:sz="0" w:space="0" w:color="auto"/>
                <w:lang w:val="de-DE"/>
              </w:rPr>
              <w:t>CGTAAAGCCCTCATGGCAGATA</w:t>
            </w:r>
          </w:p>
        </w:tc>
      </w:tr>
    </w:tbl>
    <w:p w14:paraId="5129A137" w14:textId="168F3049" w:rsidR="000B514A" w:rsidRDefault="000B514A" w:rsidP="00E8582C">
      <w:pPr>
        <w:spacing w:after="0" w:line="360" w:lineRule="auto"/>
      </w:pPr>
    </w:p>
    <w:p w14:paraId="560BE141" w14:textId="260CC444" w:rsidR="003C34AC" w:rsidRDefault="004D1276" w:rsidP="002E4A0A">
      <w:pPr>
        <w:widowControl w:val="0"/>
        <w:autoSpaceDE w:val="0"/>
        <w:autoSpaceDN w:val="0"/>
        <w:adjustRightInd w:val="0"/>
        <w:spacing w:after="0" w:line="360" w:lineRule="auto"/>
        <w:ind w:left="640" w:hanging="640"/>
        <w:rPr>
          <w:b/>
        </w:rPr>
      </w:pPr>
      <w:r>
        <w:rPr>
          <w:b/>
        </w:rPr>
        <w:br w:type="page"/>
      </w:r>
    </w:p>
    <w:p w14:paraId="20CD7127" w14:textId="77777777" w:rsidR="003C34AC" w:rsidRDefault="003C34AC" w:rsidP="00C5388A">
      <w:pPr>
        <w:widowControl w:val="0"/>
        <w:spacing w:after="0" w:line="360" w:lineRule="auto"/>
        <w:contextualSpacing/>
        <w:rPr>
          <w:b/>
        </w:rPr>
      </w:pPr>
      <w:r>
        <w:rPr>
          <w:b/>
          <w:noProof/>
          <w:lang w:val="de-DE" w:eastAsia="de-DE"/>
        </w:rPr>
        <w:lastRenderedPageBreak/>
        <w:drawing>
          <wp:inline distT="0" distB="0" distL="0" distR="0" wp14:anchorId="05B3E23F" wp14:editId="60FB3778">
            <wp:extent cx="5943600" cy="427164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_Antibody validation-01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AA649" w14:textId="77777777" w:rsidR="00691BB5" w:rsidRDefault="00691BB5" w:rsidP="00C5388A">
      <w:pPr>
        <w:spacing w:after="0" w:line="360" w:lineRule="auto"/>
        <w:contextualSpacing/>
        <w:jc w:val="both"/>
        <w:rPr>
          <w:i/>
          <w:iCs/>
        </w:rPr>
      </w:pPr>
    </w:p>
    <w:p w14:paraId="7049EC13" w14:textId="77777777" w:rsidR="004D1276" w:rsidRPr="005272D3" w:rsidRDefault="004D1276" w:rsidP="00C5388A">
      <w:pPr>
        <w:spacing w:after="0" w:line="360" w:lineRule="auto"/>
        <w:contextualSpacing/>
        <w:jc w:val="both"/>
        <w:rPr>
          <w:i/>
          <w:iCs/>
        </w:rPr>
      </w:pPr>
      <w:r w:rsidRPr="005272D3">
        <w:rPr>
          <w:i/>
          <w:iCs/>
        </w:rPr>
        <w:t>Supplementary Figure S1</w:t>
      </w:r>
    </w:p>
    <w:p w14:paraId="5EF27F86" w14:textId="77777777" w:rsidR="005272D3" w:rsidRPr="005272D3" w:rsidRDefault="004D1276" w:rsidP="00C5388A">
      <w:pPr>
        <w:spacing w:after="0" w:line="360" w:lineRule="auto"/>
        <w:contextualSpacing/>
        <w:jc w:val="both"/>
      </w:pPr>
      <w:r w:rsidRPr="005272D3">
        <w:t>S1A) A time course of transient PA200 silencing in human A549 alveolar epithelial cells was analyzed for specific recognition of PA200 by Western blotting using antibody #1 (PA1-1961, Thermo Fisher Scientific). S1B) Total testis homogenates of wildtype (WT) and PA200</w:t>
      </w:r>
      <w:r w:rsidRPr="005272D3">
        <w:rPr>
          <w:vertAlign w:val="superscript"/>
        </w:rPr>
        <w:t>-/-</w:t>
      </w:r>
      <w:r w:rsidRPr="005272D3">
        <w:t xml:space="preserve"> (KO) mice were analyzed for specific detection of PA200 by Western blotting using antibody #1. S1C) Immunohistochemistry (IHC) staining of paraffin-embedded testis sections from wildtype (WT) and PA200</w:t>
      </w:r>
      <w:r w:rsidRPr="005272D3">
        <w:rPr>
          <w:vertAlign w:val="superscript"/>
        </w:rPr>
        <w:t>-/-</w:t>
      </w:r>
      <w:r w:rsidRPr="005272D3">
        <w:t xml:space="preserve"> (KO) mice with antibody #1. S1D) Samples used in S1A) were analyzed with the specific PA200 targeting antibody #2 (NBP1-22236, Novus Biologicals). S1E) Samples used in S1B) were analyzed with the specific PA200 targeting antibody #3 (NBP2-32575, Novus Biologicals). S1F) Tissue sections from wildtype (WT) and PA200</w:t>
      </w:r>
      <w:r w:rsidRPr="005272D3">
        <w:rPr>
          <w:vertAlign w:val="superscript"/>
        </w:rPr>
        <w:t>-/-</w:t>
      </w:r>
      <w:r w:rsidRPr="005272D3">
        <w:t xml:space="preserve"> (KO) mice were stained with antibody #4 (sc-135512, Santa Cruz) by IHC. Figures show representative results for experiments performed with </w:t>
      </w:r>
      <w:r w:rsidRPr="005272D3">
        <w:rPr>
          <w:i/>
          <w:iCs/>
        </w:rPr>
        <w:t>n</w:t>
      </w:r>
      <w:r w:rsidRPr="005272D3">
        <w:t xml:space="preserve"> = 3.</w:t>
      </w:r>
    </w:p>
    <w:p w14:paraId="181323CE" w14:textId="77777777" w:rsidR="005272D3" w:rsidRDefault="005272D3">
      <w:pPr>
        <w:spacing w:after="0" w:line="240" w:lineRule="auto"/>
        <w:rPr>
          <w:sz w:val="20"/>
        </w:rPr>
      </w:pPr>
      <w:r>
        <w:rPr>
          <w:sz w:val="20"/>
        </w:rPr>
        <w:br w:type="page"/>
      </w:r>
    </w:p>
    <w:p w14:paraId="2D76D890" w14:textId="03DF8DE3" w:rsidR="003C71D1" w:rsidRDefault="003C71D1" w:rsidP="00BB11C6">
      <w:pPr>
        <w:spacing w:after="0" w:line="360" w:lineRule="auto"/>
        <w:contextualSpacing/>
        <w:jc w:val="both"/>
        <w:rPr>
          <w:i/>
        </w:rPr>
      </w:pPr>
      <w:r w:rsidRPr="00E8582C">
        <w:rPr>
          <w:i/>
          <w:noProof/>
          <w:lang w:val="de-DE" w:eastAsia="de-DE"/>
        </w:rPr>
        <w:lastRenderedPageBreak/>
        <w:drawing>
          <wp:inline distT="0" distB="0" distL="0" distR="0" wp14:anchorId="3252ED45" wp14:editId="722A6274">
            <wp:extent cx="3594100" cy="179070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gure S2_IPF negative staining.tif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3160A" w14:textId="77777777" w:rsidR="003C71D1" w:rsidRDefault="003C71D1" w:rsidP="003C71D1">
      <w:pPr>
        <w:spacing w:after="0" w:line="360" w:lineRule="auto"/>
        <w:contextualSpacing/>
        <w:jc w:val="both"/>
        <w:rPr>
          <w:i/>
        </w:rPr>
      </w:pPr>
    </w:p>
    <w:p w14:paraId="2B7647DC" w14:textId="47CC7B4D" w:rsidR="00BB11C6" w:rsidRPr="004D1276" w:rsidRDefault="00BB11C6" w:rsidP="003C71D1">
      <w:pPr>
        <w:spacing w:after="0" w:line="360" w:lineRule="auto"/>
        <w:contextualSpacing/>
        <w:jc w:val="both"/>
        <w:rPr>
          <w:i/>
        </w:rPr>
      </w:pPr>
      <w:r w:rsidRPr="004D1276">
        <w:rPr>
          <w:i/>
        </w:rPr>
        <w:t>Supplementary Figure S</w:t>
      </w:r>
      <w:r>
        <w:rPr>
          <w:i/>
        </w:rPr>
        <w:t>2</w:t>
      </w:r>
    </w:p>
    <w:p w14:paraId="61EBBDB7" w14:textId="52D22537" w:rsidR="00BB11C6" w:rsidRDefault="00BB11C6" w:rsidP="00E8582C">
      <w:pPr>
        <w:spacing w:after="0" w:line="360" w:lineRule="auto"/>
        <w:jc w:val="both"/>
      </w:pPr>
      <w:r>
        <w:t xml:space="preserve">Negative staining of IPF lung tissue sections without primary antibody was performed together with immunohistochemistry analysis shown in Figure </w:t>
      </w:r>
      <w:r w:rsidR="003C71D1">
        <w:t>1</w:t>
      </w:r>
      <w:r>
        <w:t>B in order to control for unspecific staining</w:t>
      </w:r>
    </w:p>
    <w:p w14:paraId="66C9BFE7" w14:textId="77777777" w:rsidR="00BB11C6" w:rsidRDefault="00BB11C6">
      <w:pPr>
        <w:spacing w:after="0" w:line="240" w:lineRule="auto"/>
      </w:pPr>
      <w:r>
        <w:br w:type="page"/>
      </w:r>
    </w:p>
    <w:p w14:paraId="76541192" w14:textId="17FB3C43" w:rsidR="003C71D1" w:rsidRDefault="003C71D1" w:rsidP="00BB11C6">
      <w:pPr>
        <w:spacing w:after="0" w:line="360" w:lineRule="auto"/>
        <w:contextualSpacing/>
        <w:jc w:val="both"/>
        <w:rPr>
          <w:i/>
        </w:rPr>
      </w:pPr>
      <w:r>
        <w:rPr>
          <w:i/>
          <w:noProof/>
          <w:lang w:val="de-DE" w:eastAsia="de-DE"/>
        </w:rPr>
        <w:lastRenderedPageBreak/>
        <w:drawing>
          <wp:inline distT="0" distB="0" distL="0" distR="0" wp14:anchorId="1C43967B" wp14:editId="7AB916AF">
            <wp:extent cx="5943600" cy="1724660"/>
            <wp:effectExtent l="0" t="0" r="0" b="254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ary Figure S3_Bleo oxalate.tif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8CCF" w14:textId="77777777" w:rsidR="003C71D1" w:rsidRDefault="003C71D1" w:rsidP="00BB11C6">
      <w:pPr>
        <w:spacing w:after="0" w:line="360" w:lineRule="auto"/>
        <w:contextualSpacing/>
        <w:jc w:val="both"/>
        <w:rPr>
          <w:i/>
        </w:rPr>
      </w:pPr>
    </w:p>
    <w:p w14:paraId="64D3E6E5" w14:textId="1C9D8A54" w:rsidR="00BB11C6" w:rsidRPr="004D1276" w:rsidRDefault="00BB11C6" w:rsidP="00BB11C6">
      <w:pPr>
        <w:spacing w:after="0" w:line="360" w:lineRule="auto"/>
        <w:contextualSpacing/>
        <w:jc w:val="both"/>
        <w:rPr>
          <w:i/>
        </w:rPr>
      </w:pPr>
      <w:r w:rsidRPr="004D1276">
        <w:rPr>
          <w:i/>
        </w:rPr>
        <w:t>Supplementary Figure S</w:t>
      </w:r>
      <w:r>
        <w:rPr>
          <w:i/>
        </w:rPr>
        <w:t>3</w:t>
      </w:r>
    </w:p>
    <w:p w14:paraId="304DC133" w14:textId="77777777" w:rsidR="00BB11C6" w:rsidRDefault="00BB11C6" w:rsidP="00BB11C6">
      <w:pPr>
        <w:spacing w:after="0" w:line="360" w:lineRule="auto"/>
        <w:contextualSpacing/>
        <w:jc w:val="both"/>
      </w:pPr>
      <w:r>
        <w:t>S3A) Representative Masson-Trichrome staining of control- and oxalate-treated mice (50 µ</w:t>
      </w:r>
      <w:proofErr w:type="spellStart"/>
      <w:r>
        <w:t>mol</w:t>
      </w:r>
      <w:proofErr w:type="spellEnd"/>
      <w:r>
        <w:t>/g sodium oxalate in a standard diet for 21 days) showing collagen deposition (blue) in fibrotic kidney. S3BC) Chymotrypsin-like (CT-L) and caspase-like (C</w:t>
      </w:r>
      <w:r>
        <w:noBreakHyphen/>
        <w:t xml:space="preserve">L) activities of the proteasome were </w:t>
      </w:r>
      <w:r w:rsidRPr="000B514A">
        <w:t xml:space="preserve">analyzed </w:t>
      </w:r>
      <w:r>
        <w:t xml:space="preserve">in </w:t>
      </w:r>
      <w:r w:rsidRPr="000B514A">
        <w:t xml:space="preserve">the same </w:t>
      </w:r>
      <w:r>
        <w:t xml:space="preserve">native total kidney extracts </w:t>
      </w:r>
      <w:r w:rsidRPr="000B514A">
        <w:t>as used for</w:t>
      </w:r>
      <w:r>
        <w:t xml:space="preserve"> native gel electrophoresis in Figure 2D. Diagrams show activities normalized to the mean of controls (Mann</w:t>
      </w:r>
      <w:r>
        <w:noBreakHyphen/>
        <w:t xml:space="preserve">Whitney test, </w:t>
      </w:r>
      <w:r>
        <w:rPr>
          <w:i/>
          <w:iCs/>
        </w:rPr>
        <w:t>n =</w:t>
      </w:r>
      <w:r>
        <w:t xml:space="preserve"> 5 per group). </w:t>
      </w:r>
    </w:p>
    <w:p w14:paraId="579D5FDF" w14:textId="77777777" w:rsidR="003C71D1" w:rsidRDefault="003C71D1" w:rsidP="00E8582C">
      <w:pPr>
        <w:spacing w:after="0" w:line="360" w:lineRule="auto"/>
        <w:rPr>
          <w:i/>
        </w:rPr>
      </w:pPr>
    </w:p>
    <w:p w14:paraId="4A62A23F" w14:textId="77777777" w:rsidR="003C71D1" w:rsidRDefault="003C71D1">
      <w:pPr>
        <w:spacing w:after="0" w:line="240" w:lineRule="auto"/>
        <w:rPr>
          <w:i/>
          <w:noProof/>
        </w:rPr>
      </w:pPr>
      <w:r>
        <w:rPr>
          <w:i/>
          <w:noProof/>
        </w:rPr>
        <w:br w:type="page"/>
      </w:r>
    </w:p>
    <w:p w14:paraId="260B735C" w14:textId="5CD177F7" w:rsidR="003C71D1" w:rsidRDefault="003C71D1" w:rsidP="000E1546">
      <w:pPr>
        <w:spacing w:line="360" w:lineRule="auto"/>
        <w:contextualSpacing/>
        <w:jc w:val="both"/>
        <w:rPr>
          <w:i/>
        </w:rPr>
      </w:pPr>
      <w:r w:rsidRPr="00E8582C">
        <w:rPr>
          <w:i/>
          <w:noProof/>
          <w:lang w:val="de-DE" w:eastAsia="de-DE"/>
        </w:rPr>
        <w:lastRenderedPageBreak/>
        <w:drawing>
          <wp:inline distT="0" distB="0" distL="0" distR="0" wp14:anchorId="224013FE" wp14:editId="64F398A5">
            <wp:extent cx="5346700" cy="22606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Figure S4_Additive effect PA200 silencing TGFbeta_neu.tif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E7C43" w14:textId="6AF427C7" w:rsidR="000E1546" w:rsidRPr="004D1276" w:rsidRDefault="000E1546" w:rsidP="00E8582C">
      <w:pPr>
        <w:spacing w:after="0" w:line="360" w:lineRule="auto"/>
        <w:contextualSpacing/>
        <w:jc w:val="both"/>
        <w:rPr>
          <w:i/>
        </w:rPr>
      </w:pPr>
      <w:r w:rsidRPr="004D1276">
        <w:rPr>
          <w:i/>
        </w:rPr>
        <w:t>Supplementary Figure S</w:t>
      </w:r>
      <w:r w:rsidR="00BB11C6">
        <w:rPr>
          <w:i/>
        </w:rPr>
        <w:t>4</w:t>
      </w:r>
    </w:p>
    <w:p w14:paraId="454217B9" w14:textId="594ADE45" w:rsidR="0089549C" w:rsidRPr="00671466" w:rsidRDefault="00BB11C6" w:rsidP="00671466">
      <w:pPr>
        <w:spacing w:line="360" w:lineRule="auto"/>
        <w:contextualSpacing/>
        <w:jc w:val="both"/>
        <w:rPr>
          <w:b/>
          <w:sz w:val="28"/>
          <w:szCs w:val="28"/>
        </w:rPr>
      </w:pPr>
      <w:r>
        <w:t>S4A</w:t>
      </w:r>
      <w:r w:rsidR="000E1546">
        <w:t xml:space="preserve">) </w:t>
      </w:r>
      <w:proofErr w:type="spellStart"/>
      <w:r w:rsidR="000E1546">
        <w:t>Densitometric</w:t>
      </w:r>
      <w:proofErr w:type="spellEnd"/>
      <w:r w:rsidR="000E1546">
        <w:t xml:space="preserve"> analysis of Western blots as shown in Figure </w:t>
      </w:r>
      <w:r>
        <w:t xml:space="preserve">6A </w:t>
      </w:r>
      <w:r w:rsidR="000E1546">
        <w:t xml:space="preserve">(Bonferroni’s multiple comparison test, </w:t>
      </w:r>
      <w:proofErr w:type="spellStart"/>
      <w:r w:rsidR="000E1546">
        <w:t>phLF</w:t>
      </w:r>
      <w:proofErr w:type="spellEnd"/>
      <w:r w:rsidR="000E1546">
        <w:t xml:space="preserve"> from </w:t>
      </w:r>
      <w:r w:rsidR="000E1546">
        <w:rPr>
          <w:i/>
          <w:iCs/>
        </w:rPr>
        <w:t>n</w:t>
      </w:r>
      <w:r w:rsidR="000E1546">
        <w:t xml:space="preserve"> = 4 different organ donors). </w:t>
      </w:r>
      <w:r>
        <w:t>S4B</w:t>
      </w:r>
      <w:r w:rsidR="000E1546">
        <w:t xml:space="preserve">) Representative images taken of </w:t>
      </w:r>
      <w:proofErr w:type="spellStart"/>
      <w:r w:rsidR="000E1546">
        <w:t>phLF</w:t>
      </w:r>
      <w:proofErr w:type="spellEnd"/>
      <w:r w:rsidR="000E1546">
        <w:t xml:space="preserve"> as analyzed in Figure </w:t>
      </w:r>
      <w:r>
        <w:t xml:space="preserve">6B </w:t>
      </w:r>
      <w:r w:rsidR="000E1546">
        <w:t>at time point of harvest.</w:t>
      </w:r>
    </w:p>
    <w:p w14:paraId="58D99503" w14:textId="77C84481" w:rsidR="00A86FD2" w:rsidRDefault="00A86FD2" w:rsidP="00E8582C">
      <w:pPr>
        <w:spacing w:line="360" w:lineRule="auto"/>
        <w:contextualSpacing/>
        <w:jc w:val="both"/>
      </w:pPr>
      <w:r>
        <w:rPr>
          <w:noProof/>
          <w:lang w:val="de-DE" w:eastAsia="de-DE"/>
        </w:rPr>
        <w:lastRenderedPageBreak/>
        <w:drawing>
          <wp:inline distT="0" distB="0" distL="0" distR="0" wp14:anchorId="58F8F249" wp14:editId="6AC9DD2E">
            <wp:extent cx="5702300" cy="82296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S5_original immunoblots 2.tif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DE" w:eastAsia="de-DE"/>
        </w:rPr>
        <w:lastRenderedPageBreak/>
        <w:drawing>
          <wp:inline distT="0" distB="0" distL="0" distR="0" wp14:anchorId="72F92645" wp14:editId="702AA433">
            <wp:extent cx="5702300" cy="6654018"/>
            <wp:effectExtent l="0" t="0" r="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ure S5_original immunoblots 1.tiff"/>
                    <pic:cNvPicPr/>
                  </pic:nvPicPr>
                  <pic:blipFill rotWithShape="1">
                    <a:blip r:embed="rId13"/>
                    <a:srcRect b="19145"/>
                    <a:stretch/>
                  </pic:blipFill>
                  <pic:spPr bwMode="auto">
                    <a:xfrm>
                      <a:off x="0" y="0"/>
                      <a:ext cx="5702300" cy="6654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55545" w14:textId="2B753619" w:rsidR="00A86FD2" w:rsidRDefault="00A86FD2" w:rsidP="00E8582C">
      <w:pPr>
        <w:spacing w:line="360" w:lineRule="auto"/>
        <w:contextualSpacing/>
        <w:jc w:val="both"/>
      </w:pPr>
    </w:p>
    <w:p w14:paraId="4AA924A3" w14:textId="12AD940F" w:rsidR="00A86FD2" w:rsidRDefault="00A86FD2" w:rsidP="00E8582C">
      <w:pPr>
        <w:spacing w:line="360" w:lineRule="auto"/>
        <w:contextualSpacing/>
        <w:jc w:val="both"/>
        <w:rPr>
          <w:i/>
        </w:rPr>
      </w:pPr>
      <w:r>
        <w:rPr>
          <w:i/>
        </w:rPr>
        <w:t>Supplementary Figure S5</w:t>
      </w:r>
    </w:p>
    <w:p w14:paraId="2815C2C4" w14:textId="10A047F6" w:rsidR="00A86FD2" w:rsidRDefault="00A86FD2" w:rsidP="00E8582C">
      <w:pPr>
        <w:spacing w:line="360" w:lineRule="auto"/>
        <w:contextualSpacing/>
        <w:jc w:val="both"/>
        <w:rPr>
          <w:i/>
        </w:rPr>
      </w:pPr>
      <w:r>
        <w:rPr>
          <w:i/>
        </w:rPr>
        <w:t xml:space="preserve">Uncropped immunoblots </w:t>
      </w:r>
      <w:r w:rsidR="004D2AB8">
        <w:rPr>
          <w:i/>
        </w:rPr>
        <w:t>for the</w:t>
      </w:r>
      <w:r>
        <w:rPr>
          <w:i/>
        </w:rPr>
        <w:t xml:space="preserve"> respective figure</w:t>
      </w:r>
      <w:r w:rsidR="00671466">
        <w:rPr>
          <w:i/>
        </w:rPr>
        <w:t>s</w:t>
      </w:r>
      <w:r>
        <w:rPr>
          <w:i/>
        </w:rPr>
        <w:t xml:space="preserve"> </w:t>
      </w:r>
      <w:r w:rsidR="004D2AB8">
        <w:rPr>
          <w:i/>
        </w:rPr>
        <w:t>with indicated</w:t>
      </w:r>
      <w:r>
        <w:rPr>
          <w:i/>
        </w:rPr>
        <w:t xml:space="preserve"> protein</w:t>
      </w:r>
      <w:r w:rsidR="004D2AB8">
        <w:rPr>
          <w:i/>
        </w:rPr>
        <w:t xml:space="preserve"> bands</w:t>
      </w:r>
      <w:r>
        <w:rPr>
          <w:i/>
        </w:rPr>
        <w:t xml:space="preserve">. Bands used for quantification are marked with blue boxes in case several bands are visible. </w:t>
      </w:r>
    </w:p>
    <w:p w14:paraId="78498A56" w14:textId="77777777" w:rsidR="0089549C" w:rsidRDefault="0089549C" w:rsidP="00E8582C">
      <w:pPr>
        <w:spacing w:line="360" w:lineRule="auto"/>
        <w:contextualSpacing/>
        <w:jc w:val="both"/>
        <w:rPr>
          <w:i/>
        </w:rPr>
      </w:pPr>
    </w:p>
    <w:p w14:paraId="7E13155E" w14:textId="70C7C76D" w:rsidR="0089549C" w:rsidRDefault="0089549C" w:rsidP="0089549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Supplementary Figure </w:t>
      </w:r>
      <w:r w:rsidR="00B67813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6</w:t>
      </w:r>
    </w:p>
    <w:p w14:paraId="3D27AD16" w14:textId="77777777" w:rsidR="0089549C" w:rsidRDefault="0089549C" w:rsidP="0089549C">
      <w:pPr>
        <w:spacing w:after="0" w:line="240" w:lineRule="auto"/>
        <w:rPr>
          <w:b/>
          <w:sz w:val="28"/>
          <w:szCs w:val="28"/>
        </w:rPr>
      </w:pPr>
    </w:p>
    <w:p w14:paraId="3627FB16" w14:textId="53C00863" w:rsidR="0089549C" w:rsidRDefault="00B804A1" w:rsidP="0089549C">
      <w:pPr>
        <w:spacing w:after="0" w:line="240" w:lineRule="auto"/>
        <w:rPr>
          <w:b/>
          <w:sz w:val="28"/>
          <w:szCs w:val="28"/>
        </w:rPr>
      </w:pPr>
      <w:r>
        <w:object w:dxaOrig="6984" w:dyaOrig="4464" w14:anchorId="51B2CF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pt;height:223pt" o:ole="">
            <v:imagedata r:id="rId14" o:title=""/>
          </v:shape>
          <o:OLEObject Type="Embed" ProgID="Prism7.Document" ShapeID="_x0000_i1025" DrawAspect="Content" ObjectID="_1502863500" r:id="rId15"/>
        </w:object>
      </w:r>
    </w:p>
    <w:p w14:paraId="2EEA38CE" w14:textId="77777777" w:rsidR="00671466" w:rsidRDefault="00671466" w:rsidP="00671466">
      <w:pPr>
        <w:spacing w:line="360" w:lineRule="auto"/>
        <w:jc w:val="both"/>
        <w:rPr>
          <w:i/>
        </w:rPr>
      </w:pPr>
    </w:p>
    <w:p w14:paraId="36D84985" w14:textId="735FA85B" w:rsidR="0089549C" w:rsidRDefault="0089549C" w:rsidP="007C6F23">
      <w:pPr>
        <w:spacing w:after="0" w:line="360" w:lineRule="auto"/>
        <w:jc w:val="both"/>
        <w:rPr>
          <w:i/>
        </w:rPr>
      </w:pPr>
      <w:r w:rsidRPr="00F72452">
        <w:rPr>
          <w:i/>
        </w:rPr>
        <w:t>Supplementary Figure</w:t>
      </w:r>
      <w:r>
        <w:rPr>
          <w:i/>
        </w:rPr>
        <w:t xml:space="preserve"> S6</w:t>
      </w:r>
    </w:p>
    <w:p w14:paraId="22893495" w14:textId="1F98F779" w:rsidR="0089549C" w:rsidRPr="00F72452" w:rsidRDefault="0089549C" w:rsidP="00671466">
      <w:pPr>
        <w:spacing w:line="360" w:lineRule="auto"/>
        <w:jc w:val="both"/>
        <w:rPr>
          <w:i/>
        </w:rPr>
      </w:pPr>
      <w:proofErr w:type="gramStart"/>
      <w:r w:rsidRPr="00F72452">
        <w:t>mRNA</w:t>
      </w:r>
      <w:proofErr w:type="gramEnd"/>
      <w:r w:rsidRPr="00F72452">
        <w:t xml:space="preserve"> exp</w:t>
      </w:r>
      <w:r w:rsidR="00B804A1">
        <w:t>ression analysis of PA200 (Psme4), TGF-β1 (Tgfb</w:t>
      </w:r>
      <w:r w:rsidRPr="00F72452">
        <w:t>1) and αSMA (A</w:t>
      </w:r>
      <w:r w:rsidR="007C6F23">
        <w:t>cta</w:t>
      </w:r>
      <w:r w:rsidRPr="00F72452">
        <w:t xml:space="preserve">2) in </w:t>
      </w:r>
      <w:proofErr w:type="spellStart"/>
      <w:r w:rsidRPr="00F72452">
        <w:t>pmLF</w:t>
      </w:r>
      <w:proofErr w:type="spellEnd"/>
      <w:r w:rsidRPr="00F72452">
        <w:t xml:space="preserve"> after 24, 48 </w:t>
      </w:r>
      <w:r w:rsidR="00671466">
        <w:t>or</w:t>
      </w:r>
      <w:r w:rsidRPr="00F72452">
        <w:t xml:space="preserve"> 72 h of PA200 silencing. H</w:t>
      </w:r>
      <w:r w:rsidR="007C6F23">
        <w:t>prt</w:t>
      </w:r>
      <w:bookmarkStart w:id="0" w:name="_GoBack"/>
      <w:bookmarkEnd w:id="0"/>
      <w:r w:rsidRPr="0089549C">
        <w:t xml:space="preserve"> served as housekeeping gene </w:t>
      </w:r>
      <w:r w:rsidRPr="00F72452">
        <w:t>and expression was normal</w:t>
      </w:r>
      <w:r w:rsidRPr="0089549C">
        <w:t xml:space="preserve">ized to time-matching controls </w:t>
      </w:r>
      <w:r w:rsidRPr="00F72452">
        <w:t xml:space="preserve">(one-sample t-test, </w:t>
      </w:r>
      <w:proofErr w:type="spellStart"/>
      <w:r w:rsidRPr="00F72452">
        <w:t>pmLF</w:t>
      </w:r>
      <w:proofErr w:type="spellEnd"/>
      <w:r w:rsidRPr="00F72452">
        <w:t xml:space="preserve"> from four different wildtype mice)</w:t>
      </w:r>
      <w:r w:rsidR="004D2AB8">
        <w:t>.</w:t>
      </w:r>
    </w:p>
    <w:p w14:paraId="384D0705" w14:textId="77777777" w:rsidR="0089549C" w:rsidRPr="00671466" w:rsidRDefault="0089549C" w:rsidP="00671466">
      <w:pPr>
        <w:spacing w:line="360" w:lineRule="auto"/>
        <w:contextualSpacing/>
        <w:jc w:val="both"/>
        <w:rPr>
          <w:i/>
        </w:rPr>
      </w:pPr>
    </w:p>
    <w:sectPr w:rsidR="0089549C" w:rsidRPr="0067146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5FD77" w14:textId="77777777" w:rsidR="00B67813" w:rsidRDefault="00B67813">
      <w:pPr>
        <w:spacing w:after="0" w:line="240" w:lineRule="auto"/>
      </w:pPr>
      <w:r>
        <w:separator/>
      </w:r>
    </w:p>
  </w:endnote>
  <w:endnote w:type="continuationSeparator" w:id="0">
    <w:p w14:paraId="6201FE7B" w14:textId="77777777" w:rsidR="00B67813" w:rsidRDefault="00B67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66B44" w14:textId="77777777" w:rsidR="00B67813" w:rsidRDefault="00B67813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F7C93" w14:textId="77777777" w:rsidR="00B67813" w:rsidRDefault="00B67813">
    <w:pPr>
      <w:pStyle w:val="Fuzeile"/>
      <w:tabs>
        <w:tab w:val="clear" w:pos="9360"/>
        <w:tab w:val="right" w:pos="934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C6F23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2F153" w14:textId="77777777" w:rsidR="00B67813" w:rsidRDefault="00B67813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801E4" w14:textId="77777777" w:rsidR="00B67813" w:rsidRDefault="00B67813">
      <w:pPr>
        <w:spacing w:after="0" w:line="240" w:lineRule="auto"/>
      </w:pPr>
      <w:r>
        <w:separator/>
      </w:r>
    </w:p>
  </w:footnote>
  <w:footnote w:type="continuationSeparator" w:id="0">
    <w:p w14:paraId="0808A292" w14:textId="77777777" w:rsidR="00B67813" w:rsidRDefault="00B67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94BD" w14:textId="77777777" w:rsidR="00B67813" w:rsidRDefault="00B67813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3ABB9" w14:textId="77777777" w:rsidR="00B67813" w:rsidRDefault="00B67813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540C4" w14:textId="77777777" w:rsidR="00B67813" w:rsidRDefault="00B67813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trick Neiens">
    <w15:presenceInfo w15:providerId="Windows Live" w15:userId="d9f67e91239a9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3F"/>
    <w:rsid w:val="00075D0E"/>
    <w:rsid w:val="00091343"/>
    <w:rsid w:val="000A6446"/>
    <w:rsid w:val="000B493E"/>
    <w:rsid w:val="000B514A"/>
    <w:rsid w:val="000E1546"/>
    <w:rsid w:val="001A2425"/>
    <w:rsid w:val="001C2E40"/>
    <w:rsid w:val="001E19C2"/>
    <w:rsid w:val="001F1BB7"/>
    <w:rsid w:val="002D2B3F"/>
    <w:rsid w:val="002E4A0A"/>
    <w:rsid w:val="003C34AC"/>
    <w:rsid w:val="003C5955"/>
    <w:rsid w:val="003C71D1"/>
    <w:rsid w:val="003E7990"/>
    <w:rsid w:val="0047469E"/>
    <w:rsid w:val="004B7134"/>
    <w:rsid w:val="004C6853"/>
    <w:rsid w:val="004D1276"/>
    <w:rsid w:val="004D2AB8"/>
    <w:rsid w:val="004D6797"/>
    <w:rsid w:val="004F3CE9"/>
    <w:rsid w:val="005272D3"/>
    <w:rsid w:val="00671466"/>
    <w:rsid w:val="00691BB5"/>
    <w:rsid w:val="006C3849"/>
    <w:rsid w:val="007372C2"/>
    <w:rsid w:val="00737926"/>
    <w:rsid w:val="007C6D07"/>
    <w:rsid w:val="007C6F23"/>
    <w:rsid w:val="00853486"/>
    <w:rsid w:val="0086427E"/>
    <w:rsid w:val="0089549C"/>
    <w:rsid w:val="008E0FE3"/>
    <w:rsid w:val="008E3D78"/>
    <w:rsid w:val="00953B9C"/>
    <w:rsid w:val="00A12C81"/>
    <w:rsid w:val="00A86FD2"/>
    <w:rsid w:val="00AD37EE"/>
    <w:rsid w:val="00B372AF"/>
    <w:rsid w:val="00B43512"/>
    <w:rsid w:val="00B67813"/>
    <w:rsid w:val="00B804A1"/>
    <w:rsid w:val="00B85191"/>
    <w:rsid w:val="00BB11C6"/>
    <w:rsid w:val="00BC0622"/>
    <w:rsid w:val="00BF4D04"/>
    <w:rsid w:val="00C30C81"/>
    <w:rsid w:val="00C5388A"/>
    <w:rsid w:val="00CC2A4B"/>
    <w:rsid w:val="00D011DC"/>
    <w:rsid w:val="00D42F0F"/>
    <w:rsid w:val="00D45E36"/>
    <w:rsid w:val="00DA6720"/>
    <w:rsid w:val="00DC1504"/>
    <w:rsid w:val="00DD3808"/>
    <w:rsid w:val="00E254A8"/>
    <w:rsid w:val="00E8582C"/>
    <w:rsid w:val="00E93DD8"/>
    <w:rsid w:val="00EA6C54"/>
    <w:rsid w:val="00ED5E40"/>
    <w:rsid w:val="00F567CC"/>
    <w:rsid w:val="00F570D5"/>
    <w:rsid w:val="00F82EEA"/>
    <w:rsid w:val="00FB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C887A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uzeile">
    <w:name w:val="footer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abelleSupplement">
    <w:name w:val="Tabelle Supplement"/>
    <w:pPr>
      <w:widowControl w:val="0"/>
    </w:pPr>
    <w:rPr>
      <w:rFonts w:ascii="Calibri" w:eastAsia="Calibri" w:hAnsi="Calibri" w:cs="Calibri"/>
      <w:color w:val="000000"/>
      <w:sz w:val="16"/>
      <w:szCs w:val="16"/>
      <w:u w:color="000000"/>
    </w:rPr>
  </w:style>
  <w:style w:type="paragraph" w:customStyle="1" w:styleId="MMberschriftTabelle">
    <w:name w:val="MM Überschrift Tabelle"/>
    <w:pPr>
      <w:spacing w:before="20" w:after="20" w:line="276" w:lineRule="auto"/>
    </w:pPr>
    <w:rPr>
      <w:rFonts w:ascii="Segoe UI" w:eastAsia="Segoe UI" w:hAnsi="Segoe UI" w:cs="Segoe UI"/>
      <w:b/>
      <w:bCs/>
      <w:color w:val="000000"/>
      <w:sz w:val="18"/>
      <w:szCs w:val="18"/>
      <w:u w:color="000000"/>
      <w:lang w:val="de-DE"/>
    </w:rPr>
  </w:style>
  <w:style w:type="paragraph" w:customStyle="1" w:styleId="Tabelle">
    <w:name w:val="Tabelle"/>
    <w:next w:val="Standard"/>
    <w:pPr>
      <w:spacing w:after="200" w:line="276" w:lineRule="auto"/>
    </w:pPr>
    <w:rPr>
      <w:rFonts w:ascii="Segoe UI" w:eastAsia="Segoe UI" w:hAnsi="Segoe UI" w:cs="Segoe UI"/>
      <w:color w:val="000000"/>
      <w:sz w:val="18"/>
      <w:szCs w:val="18"/>
      <w:u w:color="00000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B514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0B493E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0B493E"/>
    <w:rPr>
      <w:rFonts w:ascii="Calibri" w:eastAsia="Calibri" w:hAnsi="Calibri" w:cs="Calibri"/>
      <w:color w:val="000000"/>
      <w:u w:color="00000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0B493E"/>
    <w:rPr>
      <w:sz w:val="16"/>
      <w:szCs w:val="16"/>
    </w:rPr>
  </w:style>
  <w:style w:type="paragraph" w:customStyle="1" w:styleId="StandardText">
    <w:name w:val="Standard_Text"/>
    <w:basedOn w:val="Standard"/>
    <w:link w:val="StandardTextZchn"/>
    <w:qFormat/>
    <w:rsid w:val="003C5955"/>
    <w:pPr>
      <w:spacing w:after="0" w:line="480" w:lineRule="auto"/>
    </w:pPr>
  </w:style>
  <w:style w:type="character" w:customStyle="1" w:styleId="StandardTextZchn">
    <w:name w:val="Standard_Text Zchn"/>
    <w:basedOn w:val="Absatzstandardschriftart"/>
    <w:link w:val="StandardText"/>
    <w:rsid w:val="003C595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D3808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D3808"/>
    <w:rPr>
      <w:rFonts w:ascii="Calibri" w:eastAsia="Calibri" w:hAnsi="Calibri" w:cs="Calibri"/>
      <w:b/>
      <w:bCs/>
      <w:color w:val="000000"/>
      <w:u w:color="000000"/>
    </w:rPr>
  </w:style>
  <w:style w:type="paragraph" w:styleId="Bearbeitung">
    <w:name w:val="Revision"/>
    <w:hidden/>
    <w:uiPriority w:val="99"/>
    <w:semiHidden/>
    <w:rsid w:val="002E4A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Kopfzeile">
    <w:name w:val="header"/>
    <w:basedOn w:val="Standard"/>
    <w:link w:val="KopfzeileZeichen"/>
    <w:uiPriority w:val="99"/>
    <w:unhideWhenUsed/>
    <w:rsid w:val="003C7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3C71D1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uzeile">
    <w:name w:val="footer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TabelleSupplement">
    <w:name w:val="Tabelle Supplement"/>
    <w:pPr>
      <w:widowControl w:val="0"/>
    </w:pPr>
    <w:rPr>
      <w:rFonts w:ascii="Calibri" w:eastAsia="Calibri" w:hAnsi="Calibri" w:cs="Calibri"/>
      <w:color w:val="000000"/>
      <w:sz w:val="16"/>
      <w:szCs w:val="16"/>
      <w:u w:color="000000"/>
    </w:rPr>
  </w:style>
  <w:style w:type="paragraph" w:customStyle="1" w:styleId="MMberschriftTabelle">
    <w:name w:val="MM Überschrift Tabelle"/>
    <w:pPr>
      <w:spacing w:before="20" w:after="20" w:line="276" w:lineRule="auto"/>
    </w:pPr>
    <w:rPr>
      <w:rFonts w:ascii="Segoe UI" w:eastAsia="Segoe UI" w:hAnsi="Segoe UI" w:cs="Segoe UI"/>
      <w:b/>
      <w:bCs/>
      <w:color w:val="000000"/>
      <w:sz w:val="18"/>
      <w:szCs w:val="18"/>
      <w:u w:color="000000"/>
      <w:lang w:val="de-DE"/>
    </w:rPr>
  </w:style>
  <w:style w:type="paragraph" w:customStyle="1" w:styleId="Tabelle">
    <w:name w:val="Tabelle"/>
    <w:next w:val="Standard"/>
    <w:pPr>
      <w:spacing w:after="200" w:line="276" w:lineRule="auto"/>
    </w:pPr>
    <w:rPr>
      <w:rFonts w:ascii="Segoe UI" w:eastAsia="Segoe UI" w:hAnsi="Segoe UI" w:cs="Segoe UI"/>
      <w:color w:val="000000"/>
      <w:sz w:val="18"/>
      <w:szCs w:val="18"/>
      <w:u w:color="00000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B514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0B493E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0B493E"/>
    <w:rPr>
      <w:rFonts w:ascii="Calibri" w:eastAsia="Calibri" w:hAnsi="Calibri" w:cs="Calibri"/>
      <w:color w:val="000000"/>
      <w:u w:color="00000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0B493E"/>
    <w:rPr>
      <w:sz w:val="16"/>
      <w:szCs w:val="16"/>
    </w:rPr>
  </w:style>
  <w:style w:type="paragraph" w:customStyle="1" w:styleId="StandardText">
    <w:name w:val="Standard_Text"/>
    <w:basedOn w:val="Standard"/>
    <w:link w:val="StandardTextZchn"/>
    <w:qFormat/>
    <w:rsid w:val="003C5955"/>
    <w:pPr>
      <w:spacing w:after="0" w:line="480" w:lineRule="auto"/>
    </w:pPr>
  </w:style>
  <w:style w:type="character" w:customStyle="1" w:styleId="StandardTextZchn">
    <w:name w:val="Standard_Text Zchn"/>
    <w:basedOn w:val="Absatzstandardschriftart"/>
    <w:link w:val="StandardText"/>
    <w:rsid w:val="003C595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D3808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D3808"/>
    <w:rPr>
      <w:rFonts w:ascii="Calibri" w:eastAsia="Calibri" w:hAnsi="Calibri" w:cs="Calibri"/>
      <w:b/>
      <w:bCs/>
      <w:color w:val="000000"/>
      <w:u w:color="000000"/>
    </w:rPr>
  </w:style>
  <w:style w:type="paragraph" w:styleId="Bearbeitung">
    <w:name w:val="Revision"/>
    <w:hidden/>
    <w:uiPriority w:val="99"/>
    <w:semiHidden/>
    <w:rsid w:val="002E4A0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Kopfzeile">
    <w:name w:val="header"/>
    <w:basedOn w:val="Standard"/>
    <w:link w:val="KopfzeileZeichen"/>
    <w:uiPriority w:val="99"/>
    <w:unhideWhenUsed/>
    <w:rsid w:val="003C7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3C71D1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tiff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24" Type="http://schemas.microsoft.com/office/2011/relationships/people" Target="people.xml"/><Relationship Id="rId10" Type="http://schemas.openxmlformats.org/officeDocument/2006/relationships/image" Target="media/image3.tiff"/><Relationship Id="rId11" Type="http://schemas.openxmlformats.org/officeDocument/2006/relationships/image" Target="media/image4.tiff"/><Relationship Id="rId12" Type="http://schemas.openxmlformats.org/officeDocument/2006/relationships/image" Target="media/image5.tiff"/><Relationship Id="rId13" Type="http://schemas.openxmlformats.org/officeDocument/2006/relationships/image" Target="media/image6.tiff"/><Relationship Id="rId14" Type="http://schemas.openxmlformats.org/officeDocument/2006/relationships/image" Target="media/image7.emf"/><Relationship Id="rId15" Type="http://schemas.openxmlformats.org/officeDocument/2006/relationships/oleObject" Target="embeddings/oleObject1.bin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28EA0-01DB-2B4A-9A54-8BD062C4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920</Words>
  <Characters>5798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Welk, Vanessa</dc:creator>
  <cp:lastModifiedBy>silke Meiners</cp:lastModifiedBy>
  <cp:revision>3</cp:revision>
  <cp:lastPrinted>2018-10-23T12:28:00Z</cp:lastPrinted>
  <dcterms:created xsi:type="dcterms:W3CDTF">2019-09-02T10:19:00Z</dcterms:created>
  <dcterms:modified xsi:type="dcterms:W3CDTF">2019-09-03T07:19:00Z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http://www.zotero.org/styles/cell-death-and-differentiation</vt:lpwstr>
  </property>
  <property fmtid="{D5CDD505-2E9C-101B-9397-08002B2CF9AE}" pid="4" name="Mendeley Unique User Id_1">
    <vt:lpwstr>becdada3-dce2-3304-bd4a-80da3fde004f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http://www.zotero.org/styles/cell</vt:lpwstr>
  </property>
  <property fmtid="{D5CDD505-2E9C-101B-9397-08002B2CF9AE}" pid="8" name="Mendeley Recent Style Name 1_1">
    <vt:lpwstr>Cell</vt:lpwstr>
  </property>
  <property fmtid="{D5CDD505-2E9C-101B-9397-08002B2CF9AE}" pid="9" name="Mendeley Recent Style Id 2_1">
    <vt:lpwstr>http://csl.mendeley.com/styles/25385501/cell-Vanessa</vt:lpwstr>
  </property>
  <property fmtid="{D5CDD505-2E9C-101B-9397-08002B2CF9AE}" pid="10" name="Mendeley Recent Style Name 2_1">
    <vt:lpwstr>Cell - Vanessa Welk</vt:lpwstr>
  </property>
  <property fmtid="{D5CDD505-2E9C-101B-9397-08002B2CF9AE}" pid="11" name="Mendeley Recent Style Id 3_1">
    <vt:lpwstr>http://www.zotero.org/styles/cell-death-and-differentiation</vt:lpwstr>
  </property>
  <property fmtid="{D5CDD505-2E9C-101B-9397-08002B2CF9AE}" pid="12" name="Mendeley Recent Style Name 3_1">
    <vt:lpwstr>Cell Death &amp; Differentiation</vt:lpwstr>
  </property>
  <property fmtid="{D5CDD505-2E9C-101B-9397-08002B2CF9AE}" pid="13" name="Mendeley Recent Style Id 4_1">
    <vt:lpwstr>http://www.zotero.org/styles/chicago-fullnote-bibliography</vt:lpwstr>
  </property>
  <property fmtid="{D5CDD505-2E9C-101B-9397-08002B2CF9AE}" pid="14" name="Mendeley Recent Style Name 4_1">
    <vt:lpwstr>Chicago Manual of Style 16th edition (full note)</vt:lpwstr>
  </property>
  <property fmtid="{D5CDD505-2E9C-101B-9397-08002B2CF9AE}" pid="15" name="Mendeley Recent Style Id 5_1">
    <vt:lpwstr>http://csl.mendeley.com/styles/25385501/harvard-cite-them-right-2</vt:lpwstr>
  </property>
  <property fmtid="{D5CDD505-2E9C-101B-9397-08002B2CF9AE}" pid="16" name="Mendeley Recent Style Name 5_1">
    <vt:lpwstr>Cite Them Right 10th edition - Harvard - Vanessa Welk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http://www.zotero.org/styles/national-library-of-medicine</vt:lpwstr>
  </property>
  <property fmtid="{D5CDD505-2E9C-101B-9397-08002B2CF9AE}" pid="20" name="Mendeley Recent Style Name 7_1">
    <vt:lpwstr>National Library of Medicine</vt:lpwstr>
  </property>
  <property fmtid="{D5CDD505-2E9C-101B-9397-08002B2CF9AE}" pid="21" name="Mendeley Recent Style Id 8_1">
    <vt:lpwstr>http://www.zotero.org/styles/oxford-university-press-scimed-author-date</vt:lpwstr>
  </property>
  <property fmtid="{D5CDD505-2E9C-101B-9397-08002B2CF9AE}" pid="22" name="Mendeley Recent Style Name 8_1">
    <vt:lpwstr>Oxford University Press SciMed (author-date)</vt:lpwstr>
  </property>
  <property fmtid="{D5CDD505-2E9C-101B-9397-08002B2CF9AE}" pid="23" name="Mendeley Recent Style Id 9_1">
    <vt:lpwstr>http://www.zotero.org/styles/pnas</vt:lpwstr>
  </property>
  <property fmtid="{D5CDD505-2E9C-101B-9397-08002B2CF9AE}" pid="24" name="Mendeley Recent Style Name 9_1">
    <vt:lpwstr>Proceedings of the National Academy of Sciences of the United States of America</vt:lpwstr>
  </property>
</Properties>
</file>