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Cambria" w:hAnsi="Cambria"/>
          <w:b/>
          <w:sz w:val="24"/>
        </w:rPr>
      </w:pPr>
      <w:bookmarkStart w:id="0" w:name="_GoBack"/>
      <w:bookmarkEnd w:id="0"/>
      <w:r>
        <w:rPr>
          <w:rFonts w:ascii="Cambria" w:hAnsi="Cambria"/>
          <w:b/>
          <w:sz w:val="24"/>
        </w:rPr>
        <w:t>Supplementary material</w:t>
      </w:r>
    </w:p>
    <w:p>
      <w:pPr>
        <w:pStyle w:val="Listenabsatz"/>
        <w:numPr>
          <w:ilvl w:val="0"/>
          <w:numId w:val="2"/>
        </w:numPr>
        <w:rPr>
          <w:rFonts w:ascii="Cambria" w:eastAsiaTheme="minorEastAsia" w:hAnsi="Cambria" w:cs="Times New Roman"/>
          <w:b/>
          <w:sz w:val="24"/>
          <w:szCs w:val="24"/>
        </w:rPr>
      </w:pPr>
      <w:r>
        <w:rPr>
          <w:rFonts w:ascii="Cambria" w:hAnsi="Cambria"/>
          <w:b/>
        </w:rPr>
        <w:t>Chemicals</w:t>
      </w:r>
    </w:p>
    <w:tbl>
      <w:tblPr>
        <w:tblStyle w:val="Tabellenraster"/>
        <w:tblW w:w="9356" w:type="dxa"/>
        <w:tblInd w:w="108" w:type="dxa"/>
        <w:tblLook w:val="04A0" w:firstRow="1" w:lastRow="0" w:firstColumn="1" w:lastColumn="0" w:noHBand="0" w:noVBand="1"/>
      </w:tblPr>
      <w:tblGrid>
        <w:gridCol w:w="2796"/>
        <w:gridCol w:w="3618"/>
        <w:gridCol w:w="1470"/>
        <w:gridCol w:w="1472"/>
      </w:tblGrid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3618" w:type="dxa"/>
            <w:vAlign w:val="center"/>
          </w:tcPr>
          <w:p>
            <w:pPr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Grade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t>, assay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CAS Number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Supplier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Antipyrine</w:t>
            </w:r>
          </w:p>
        </w:tc>
        <w:tc>
          <w:tcPr>
            <w:tcW w:w="3618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analytical standard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60-80-0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Atenolol</w:t>
            </w:r>
          </w:p>
        </w:tc>
        <w:tc>
          <w:tcPr>
            <w:tcW w:w="3618" w:type="dxa"/>
            <w:vAlign w:val="center"/>
          </w:tcPr>
          <w:p>
            <w:pPr>
              <w:rPr>
                <w:rStyle w:val="info"/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≥98% (TLC)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info"/>
                <w:rFonts w:ascii="Cambria" w:hAnsi="Cambria"/>
                <w:sz w:val="20"/>
                <w:szCs w:val="20"/>
              </w:rPr>
              <w:t>29122-68-7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Caffeine</w:t>
            </w:r>
          </w:p>
        </w:tc>
        <w:tc>
          <w:tcPr>
            <w:tcW w:w="3618" w:type="dxa"/>
            <w:vAlign w:val="center"/>
          </w:tcPr>
          <w:p>
            <w:pPr>
              <w:rPr>
                <w:rStyle w:val="info"/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≥</w:t>
            </w:r>
            <w:r>
              <w:rPr>
                <w:rFonts w:ascii="Cambria" w:eastAsia="Times New Roman" w:hAnsi="Cambria" w:cs="Arial"/>
                <w:sz w:val="20"/>
                <w:szCs w:val="20"/>
              </w:rPr>
              <w:t xml:space="preserve">98 %, </w:t>
            </w:r>
            <w:r>
              <w:rPr>
                <w:rFonts w:ascii="Cambria" w:hAnsi="Cambria"/>
                <w:sz w:val="20"/>
                <w:szCs w:val="20"/>
              </w:rPr>
              <w:t xml:space="preserve">ReagentPlus®, for </w:t>
            </w:r>
            <w:r>
              <w:rPr>
                <w:rFonts w:ascii="Cambria" w:hAnsi="Cambria"/>
                <w:sz w:val="20"/>
                <w:szCs w:val="20"/>
              </w:rPr>
              <w:t>HPLC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info"/>
                <w:rFonts w:ascii="Cambria" w:hAnsi="Cambria"/>
                <w:sz w:val="20"/>
                <w:szCs w:val="20"/>
              </w:rPr>
              <w:t>58-08-2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Carbamazepine</w:t>
            </w:r>
          </w:p>
        </w:tc>
        <w:tc>
          <w:tcPr>
            <w:tcW w:w="3618" w:type="dxa"/>
            <w:vAlign w:val="center"/>
          </w:tcPr>
          <w:p>
            <w:pPr>
              <w:rPr>
                <w:rStyle w:val="info"/>
                <w:rFonts w:ascii="Cambria" w:eastAsia="Times New Roman" w:hAnsi="Cambria" w:cs="Arial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≥</w:t>
            </w:r>
            <w:r>
              <w:rPr>
                <w:rFonts w:ascii="Cambria" w:eastAsia="Times New Roman" w:hAnsi="Cambria" w:cs="Arial"/>
                <w:sz w:val="20"/>
                <w:szCs w:val="20"/>
              </w:rPr>
              <w:t>98 %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info"/>
                <w:rFonts w:ascii="Cambria" w:hAnsi="Cambria"/>
                <w:sz w:val="20"/>
                <w:szCs w:val="20"/>
              </w:rPr>
              <w:t>298-46-4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Ciprofloxacin</w:t>
            </w:r>
          </w:p>
        </w:tc>
        <w:tc>
          <w:tcPr>
            <w:tcW w:w="3618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≥98.0% (HPLC)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85721-33-1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Diclofenac</w:t>
            </w:r>
          </w:p>
        </w:tc>
        <w:tc>
          <w:tcPr>
            <w:tcW w:w="3618" w:type="dxa"/>
            <w:vAlign w:val="center"/>
          </w:tcPr>
          <w:p>
            <w:pPr>
              <w:rPr>
                <w:rStyle w:val="xbe"/>
                <w:rFonts w:ascii="Cambria" w:hAnsi="Cambria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xbe"/>
                <w:rFonts w:ascii="Cambria" w:hAnsi="Cambria"/>
                <w:sz w:val="20"/>
                <w:szCs w:val="20"/>
              </w:rPr>
              <w:t>15307-79-6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Ketoprofen</w:t>
            </w:r>
          </w:p>
        </w:tc>
        <w:tc>
          <w:tcPr>
            <w:tcW w:w="3618" w:type="dxa"/>
            <w:vAlign w:val="center"/>
          </w:tcPr>
          <w:p>
            <w:pPr>
              <w:rPr>
                <w:rStyle w:val="xbe"/>
                <w:rFonts w:ascii="Cambria" w:hAnsi="Cambria"/>
                <w:sz w:val="20"/>
                <w:szCs w:val="20"/>
              </w:rPr>
            </w:pPr>
            <w:r>
              <w:rPr>
                <w:rStyle w:val="xbe"/>
                <w:rFonts w:ascii="Cambria" w:hAnsi="Cambria"/>
                <w:sz w:val="20"/>
                <w:szCs w:val="20"/>
              </w:rPr>
              <w:t>≥98% (TLC)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xbe"/>
                <w:rFonts w:ascii="Cambria" w:hAnsi="Cambria"/>
                <w:sz w:val="20"/>
                <w:szCs w:val="20"/>
              </w:rPr>
              <w:t>22071-15-4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Ofloxacin</w:t>
            </w:r>
          </w:p>
        </w:tc>
        <w:tc>
          <w:tcPr>
            <w:tcW w:w="3618" w:type="dxa"/>
            <w:vAlign w:val="center"/>
          </w:tcPr>
          <w:p>
            <w:pPr>
              <w:rPr>
                <w:rStyle w:val="xbe"/>
                <w:rFonts w:ascii="Cambria" w:hAnsi="Cambria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xbe"/>
                <w:rFonts w:ascii="Cambria" w:hAnsi="Cambria"/>
                <w:sz w:val="20"/>
                <w:szCs w:val="20"/>
              </w:rPr>
              <w:t>82419-36-1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Sulfamethoxazole</w:t>
            </w:r>
          </w:p>
        </w:tc>
        <w:tc>
          <w:tcPr>
            <w:tcW w:w="3618" w:type="dxa"/>
            <w:vAlign w:val="center"/>
          </w:tcPr>
          <w:p>
            <w:pPr>
              <w:rPr>
                <w:rStyle w:val="xbe"/>
                <w:rFonts w:ascii="Cambria" w:hAnsi="Cambria"/>
                <w:sz w:val="20"/>
                <w:szCs w:val="20"/>
              </w:rPr>
            </w:pPr>
            <w:r>
              <w:rPr>
                <w:rStyle w:val="xbe"/>
                <w:rFonts w:ascii="Cambria" w:hAnsi="Cambria"/>
                <w:sz w:val="20"/>
                <w:szCs w:val="20"/>
              </w:rPr>
              <w:t>analytical standard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Style w:val="xbe"/>
                <w:rFonts w:ascii="Cambria" w:hAnsi="Cambria"/>
                <w:sz w:val="20"/>
                <w:szCs w:val="20"/>
              </w:rPr>
              <w:t>723-46-6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Methanol</w:t>
            </w:r>
          </w:p>
        </w:tc>
        <w:tc>
          <w:tcPr>
            <w:tcW w:w="3618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≥</w:t>
            </w:r>
            <w:r>
              <w:rPr>
                <w:rFonts w:ascii="Cambria" w:hAnsi="Cambria" w:cs="Times New Roman"/>
                <w:sz w:val="20"/>
                <w:szCs w:val="20"/>
              </w:rPr>
              <w:t>99.9%, CHROMASOLV(R)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67-56-1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Acetonitrile </w:t>
            </w:r>
          </w:p>
        </w:tc>
        <w:tc>
          <w:tcPr>
            <w:tcW w:w="3618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≥99.9%, </w:t>
            </w:r>
            <w:r>
              <w:rPr>
                <w:rFonts w:ascii="Cambria" w:hAnsi="Cambria" w:cs="Times New Roman"/>
                <w:sz w:val="20"/>
                <w:szCs w:val="20"/>
              </w:rPr>
              <w:t>LC-MS CHROMASOLV®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75-05-8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Ammonium acetate</w:t>
            </w:r>
          </w:p>
        </w:tc>
        <w:tc>
          <w:tcPr>
            <w:tcW w:w="3618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≥99.0%, for HPLC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631-61-8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Ammonium hydroxide solution</w:t>
            </w:r>
          </w:p>
        </w:tc>
        <w:tc>
          <w:tcPr>
            <w:tcW w:w="3618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≥25% in H</w:t>
            </w:r>
            <w:r>
              <w:rPr>
                <w:rFonts w:ascii="Cambria" w:hAnsi="Cambria"/>
                <w:sz w:val="20"/>
                <w:szCs w:val="20"/>
                <w:vertAlign w:val="subscript"/>
              </w:rPr>
              <w:t>2</w:t>
            </w:r>
            <w:r>
              <w:rPr>
                <w:rFonts w:ascii="Cambria" w:hAnsi="Cambria"/>
                <w:sz w:val="20"/>
                <w:szCs w:val="20"/>
              </w:rPr>
              <w:t xml:space="preserve">O, </w:t>
            </w:r>
            <w:r>
              <w:rPr>
                <w:rFonts w:ascii="Cambria" w:hAnsi="Cambria"/>
                <w:sz w:val="20"/>
                <w:szCs w:val="20"/>
              </w:rPr>
              <w:t>eluent additive for LC-MS</w:t>
            </w:r>
          </w:p>
        </w:tc>
        <w:tc>
          <w:tcPr>
            <w:tcW w:w="1470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1336-21-6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Formic acid</w:t>
            </w:r>
          </w:p>
        </w:tc>
        <w:tc>
          <w:tcPr>
            <w:tcW w:w="3618" w:type="dxa"/>
            <w:vAlign w:val="center"/>
          </w:tcPr>
          <w:p>
            <w:pPr>
              <w:rPr>
                <w:rStyle w:val="xbe"/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~98%</w:t>
            </w:r>
          </w:p>
        </w:tc>
        <w:tc>
          <w:tcPr>
            <w:tcW w:w="1470" w:type="dxa"/>
            <w:vAlign w:val="center"/>
          </w:tcPr>
          <w:p>
            <w:pPr>
              <w:rPr>
                <w:rStyle w:val="xbe"/>
                <w:rFonts w:ascii="Cambria" w:hAnsi="Cambria"/>
                <w:sz w:val="20"/>
                <w:szCs w:val="20"/>
              </w:rPr>
            </w:pPr>
            <w:r>
              <w:rPr>
                <w:rStyle w:val="xbe"/>
                <w:rFonts w:ascii="Cambria" w:hAnsi="Cambria"/>
                <w:sz w:val="20"/>
                <w:szCs w:val="20"/>
              </w:rPr>
              <w:t>64-18-6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  <w:tr>
        <w:trPr>
          <w:divId w:val="263073786"/>
          <w:trHeight w:val="469"/>
        </w:trPr>
        <w:tc>
          <w:tcPr>
            <w:tcW w:w="2796" w:type="dxa"/>
            <w:vAlign w:val="center"/>
          </w:tcPr>
          <w:p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Ammonium formate</w:t>
            </w:r>
          </w:p>
        </w:tc>
        <w:tc>
          <w:tcPr>
            <w:tcW w:w="3618" w:type="dxa"/>
            <w:vAlign w:val="center"/>
          </w:tcPr>
          <w:p>
            <w:pPr>
              <w:rPr>
                <w:rStyle w:val="xbe"/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≥99.0%</w:t>
            </w:r>
          </w:p>
        </w:tc>
        <w:tc>
          <w:tcPr>
            <w:tcW w:w="1470" w:type="dxa"/>
            <w:vAlign w:val="center"/>
          </w:tcPr>
          <w:p>
            <w:pPr>
              <w:rPr>
                <w:rStyle w:val="xbe"/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540-69-2</w:t>
            </w:r>
          </w:p>
        </w:tc>
        <w:tc>
          <w:tcPr>
            <w:tcW w:w="1472" w:type="dxa"/>
            <w:vAlign w:val="center"/>
          </w:tcPr>
          <w:p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Sigma Aldrich</w:t>
            </w:r>
          </w:p>
        </w:tc>
      </w:tr>
    </w:tbl>
    <w:p>
      <w:pPr>
        <w:pStyle w:val="StandardWeb"/>
        <w:jc w:val="both"/>
        <w:rPr>
          <w:rFonts w:ascii="Cambria" w:hAnsi="Cambria"/>
        </w:rPr>
      </w:pPr>
      <w:r>
        <w:rPr>
          <w:rFonts w:ascii="Cambria" w:hAnsi="Cambria"/>
          <w:sz w:val="22"/>
          <w:szCs w:val="22"/>
        </w:rPr>
        <w:t>Milli-Q water</w:t>
      </w:r>
      <w:r>
        <w:rPr>
          <w:rFonts w:ascii="Cambria" w:hAnsi="Cambria"/>
          <w:sz w:val="22"/>
          <w:szCs w:val="22"/>
        </w:rPr>
        <w:t xml:space="preserve"> was generated by Milli-Q Advantage A10 Water Purification System (Millipore, Schwalbach, Germany).</w:t>
      </w:r>
      <w:r>
        <w:rPr>
          <w:rFonts w:ascii="Cambria" w:hAnsi="Cambria"/>
        </w:rPr>
        <w:br w:type="page"/>
      </w:r>
    </w:p>
    <w:p>
      <w:pPr>
        <w:pStyle w:val="Listenabsatz"/>
        <w:numPr>
          <w:ilvl w:val="0"/>
          <w:numId w:val="2"/>
        </w:numPr>
        <w:divId w:val="263073786"/>
        <w:rPr>
          <w:rFonts w:ascii="Cambria" w:eastAsiaTheme="minorEastAsia" w:hAnsi="Cambria" w:cs="Times New Roman"/>
          <w:b/>
        </w:rPr>
      </w:pPr>
      <w:r>
        <w:rPr>
          <w:rFonts w:ascii="Cambria" w:eastAsiaTheme="minorEastAsia" w:hAnsi="Cambria" w:cs="Times New Roman"/>
          <w:b/>
        </w:rPr>
        <w:lastRenderedPageBreak/>
        <w:t>Quantification with LC-MS/MS</w:t>
      </w:r>
      <w:r>
        <w:rPr>
          <w:rFonts w:ascii="Cambria" w:eastAsiaTheme="minorEastAsia" w:hAnsi="Cambria" w:cs="Times New Roman"/>
          <w:b/>
        </w:rPr>
        <w:t xml:space="preserve"> – Positive mode</w:t>
      </w:r>
    </w:p>
    <w:p>
      <w:pPr>
        <w:spacing w:after="0" w:line="36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 xml:space="preserve">Column: Kinetex 2.6 µm C18 100 </w:t>
      </w:r>
      <m:oMath>
        <m:r>
          <w:rPr>
            <w:rFonts w:ascii="Cambria Math" w:hAnsi="Cambria Math"/>
          </w:rPr>
          <m:t>Å</m:t>
        </m:r>
      </m:oMath>
      <w:r>
        <w:rPr>
          <w:rFonts w:ascii="Cambria" w:hAnsi="Cambria"/>
        </w:rPr>
        <w:t>, 150 x 3 mm, Phenomenex, Aschaffenburg, Germany</w:t>
      </w:r>
    </w:p>
    <w:p>
      <w:pPr>
        <w:spacing w:after="0" w:line="36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>Flow rate: 250 µl/min</w:t>
      </w:r>
    </w:p>
    <w:p>
      <w:pPr>
        <w:spacing w:after="0" w:line="36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>Injection volume: 25 µl</w:t>
      </w:r>
    </w:p>
    <w:p>
      <w:pPr>
        <w:spacing w:after="0" w:line="36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 xml:space="preserve">Solvents: </w:t>
      </w:r>
      <w:r>
        <w:rPr>
          <w:rFonts w:ascii="Cambria" w:hAnsi="Cambria"/>
        </w:rPr>
        <w:t>(A)</w:t>
      </w:r>
      <w:r>
        <w:rPr>
          <w:rFonts w:ascii="Cambria" w:hAnsi="Cambria"/>
        </w:rPr>
        <w:t xml:space="preserve"> m</w:t>
      </w:r>
      <w:r>
        <w:rPr>
          <w:rFonts w:ascii="Cambria" w:hAnsi="Cambria"/>
        </w:rPr>
        <w:t>ethanol</w:t>
      </w:r>
      <w:r>
        <w:rPr>
          <w:rFonts w:ascii="Cambria" w:hAnsi="Cambria"/>
        </w:rPr>
        <w:t xml:space="preserve">, (B) </w:t>
      </w:r>
      <w:r>
        <w:rPr>
          <w:rFonts w:ascii="Cambria" w:hAnsi="Cambria"/>
        </w:rPr>
        <w:t>10 mM formic acid / ammonium formate (pH 3.2)</w:t>
      </w:r>
    </w:p>
    <w:p>
      <w:pPr>
        <w:spacing w:after="0" w:line="24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 xml:space="preserve">Gradient: 0-1 min A:B = 10:90; 1-28 min A:B = </w:t>
      </w:r>
      <w:r>
        <w:rPr>
          <w:rFonts w:ascii="Cambria" w:hAnsi="Cambria"/>
        </w:rPr>
        <w:t>100:0</w:t>
      </w:r>
      <w:r>
        <w:rPr>
          <w:rFonts w:ascii="Cambria" w:hAnsi="Cambria"/>
        </w:rPr>
        <w:t xml:space="preserve">; 28-29 min A:B = </w:t>
      </w:r>
      <w:r>
        <w:rPr>
          <w:rFonts w:ascii="Cambria" w:hAnsi="Cambria"/>
        </w:rPr>
        <w:t>100:0</w:t>
      </w:r>
      <w:r>
        <w:rPr>
          <w:rFonts w:ascii="Cambria" w:hAnsi="Cambria"/>
        </w:rPr>
        <w:t>; 29-31 min A:B = 10:90; 31-34 = 10:90</w:t>
      </w:r>
    </w:p>
    <w:p>
      <w:pPr>
        <w:spacing w:after="0" w:line="240" w:lineRule="auto"/>
        <w:divId w:val="263073786"/>
        <w:rPr>
          <w:rFonts w:ascii="Cambria" w:hAnsi="Cambria"/>
        </w:rPr>
      </w:pPr>
    </w:p>
    <w:tbl>
      <w:tblPr>
        <w:tblStyle w:val="Tabellenraster"/>
        <w:tblW w:w="9498" w:type="dxa"/>
        <w:tblLayout w:type="fixed"/>
        <w:tblLook w:val="04A0" w:firstRow="1" w:lastRow="0" w:firstColumn="1" w:lastColumn="0" w:noHBand="0" w:noVBand="1"/>
      </w:tblPr>
      <w:tblGrid>
        <w:gridCol w:w="2127"/>
        <w:gridCol w:w="988"/>
        <w:gridCol w:w="914"/>
        <w:gridCol w:w="914"/>
        <w:gridCol w:w="914"/>
        <w:gridCol w:w="914"/>
        <w:gridCol w:w="914"/>
        <w:gridCol w:w="914"/>
        <w:gridCol w:w="899"/>
      </w:tblGrid>
      <w:tr>
        <w:trPr>
          <w:divId w:val="263073786"/>
          <w:trHeight w:val="471"/>
        </w:trPr>
        <w:tc>
          <w:tcPr>
            <w:tcW w:w="2127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Compound</w:t>
            </w:r>
          </w:p>
        </w:tc>
        <w:tc>
          <w:tcPr>
            <w:tcW w:w="988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MW</w:t>
            </w:r>
          </w:p>
        </w:tc>
        <w:tc>
          <w:tcPr>
            <w:tcW w:w="914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DP</w:t>
            </w:r>
          </w:p>
        </w:tc>
        <w:tc>
          <w:tcPr>
            <w:tcW w:w="914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EP</w:t>
            </w:r>
          </w:p>
        </w:tc>
        <w:tc>
          <w:tcPr>
            <w:tcW w:w="914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CEP</w:t>
            </w:r>
          </w:p>
        </w:tc>
        <w:tc>
          <w:tcPr>
            <w:tcW w:w="914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Q1</w:t>
            </w:r>
          </w:p>
        </w:tc>
        <w:tc>
          <w:tcPr>
            <w:tcW w:w="914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Q3</w:t>
            </w:r>
          </w:p>
        </w:tc>
        <w:tc>
          <w:tcPr>
            <w:tcW w:w="914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CE</w:t>
            </w:r>
          </w:p>
        </w:tc>
        <w:tc>
          <w:tcPr>
            <w:tcW w:w="899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CXP</w:t>
            </w:r>
          </w:p>
        </w:tc>
      </w:tr>
      <w:tr>
        <w:trPr>
          <w:divId w:val="263073786"/>
          <w:trHeight w:val="471"/>
        </w:trPr>
        <w:tc>
          <w:tcPr>
            <w:tcW w:w="2127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Antipirine</w:t>
            </w:r>
          </w:p>
        </w:tc>
        <w:tc>
          <w:tcPr>
            <w:tcW w:w="988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188.20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41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11.5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14.5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189.2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104.2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31</w:t>
            </w:r>
          </w:p>
        </w:tc>
        <w:tc>
          <w:tcPr>
            <w:tcW w:w="899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>
        <w:trPr>
          <w:divId w:val="263073786"/>
          <w:trHeight w:val="471"/>
        </w:trPr>
        <w:tc>
          <w:tcPr>
            <w:tcW w:w="2127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Atenolol</w:t>
            </w:r>
          </w:p>
        </w:tc>
        <w:tc>
          <w:tcPr>
            <w:tcW w:w="988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266.34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267.2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145.0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39</w:t>
            </w:r>
          </w:p>
        </w:tc>
        <w:tc>
          <w:tcPr>
            <w:tcW w:w="899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>
        <w:trPr>
          <w:divId w:val="263073786"/>
          <w:trHeight w:val="471"/>
        </w:trPr>
        <w:tc>
          <w:tcPr>
            <w:tcW w:w="2127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Caffeine</w:t>
            </w:r>
          </w:p>
        </w:tc>
        <w:tc>
          <w:tcPr>
            <w:tcW w:w="988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194.19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81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16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194.1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179.1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33</w:t>
            </w:r>
          </w:p>
        </w:tc>
        <w:tc>
          <w:tcPr>
            <w:tcW w:w="899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>
        <w:trPr>
          <w:divId w:val="263073786"/>
          <w:trHeight w:val="471"/>
        </w:trPr>
        <w:tc>
          <w:tcPr>
            <w:tcW w:w="2127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Carbamazepine</w:t>
            </w:r>
          </w:p>
        </w:tc>
        <w:tc>
          <w:tcPr>
            <w:tcW w:w="988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236.27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16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237.2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194.2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27</w:t>
            </w:r>
          </w:p>
        </w:tc>
        <w:tc>
          <w:tcPr>
            <w:tcW w:w="899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>
        <w:trPr>
          <w:divId w:val="263073786"/>
          <w:trHeight w:val="471"/>
        </w:trPr>
        <w:tc>
          <w:tcPr>
            <w:tcW w:w="2127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Ciprofloxacin</w:t>
            </w:r>
          </w:p>
        </w:tc>
        <w:tc>
          <w:tcPr>
            <w:tcW w:w="988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331.35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46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332.2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231.0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43</w:t>
            </w:r>
          </w:p>
        </w:tc>
        <w:tc>
          <w:tcPr>
            <w:tcW w:w="899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>
        <w:trPr>
          <w:divId w:val="263073786"/>
          <w:trHeight w:val="471"/>
        </w:trPr>
        <w:tc>
          <w:tcPr>
            <w:tcW w:w="2127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Clofibrate</w:t>
            </w:r>
          </w:p>
        </w:tc>
        <w:tc>
          <w:tcPr>
            <w:tcW w:w="988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242.70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26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14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243.1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115.1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13</w:t>
            </w:r>
          </w:p>
        </w:tc>
        <w:tc>
          <w:tcPr>
            <w:tcW w:w="899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>
        <w:trPr>
          <w:divId w:val="263073786"/>
          <w:trHeight w:val="471"/>
        </w:trPr>
        <w:tc>
          <w:tcPr>
            <w:tcW w:w="2127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Ofloxacin</w:t>
            </w:r>
          </w:p>
        </w:tc>
        <w:tc>
          <w:tcPr>
            <w:tcW w:w="988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361.37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362.2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261.1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31</w:t>
            </w:r>
          </w:p>
        </w:tc>
        <w:tc>
          <w:tcPr>
            <w:tcW w:w="899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>
        <w:trPr>
          <w:divId w:val="263073786"/>
          <w:trHeight w:val="471"/>
        </w:trPr>
        <w:tc>
          <w:tcPr>
            <w:tcW w:w="2127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Sulfamethaxazole</w:t>
            </w:r>
          </w:p>
        </w:tc>
        <w:tc>
          <w:tcPr>
            <w:tcW w:w="988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253.30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31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4.5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16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254.1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156.2</w:t>
            </w:r>
          </w:p>
        </w:tc>
        <w:tc>
          <w:tcPr>
            <w:tcW w:w="91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  <w:tc>
          <w:tcPr>
            <w:tcW w:w="899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</w:tbl>
    <w:p>
      <w:pPr>
        <w:spacing w:after="0" w:line="240" w:lineRule="auto"/>
        <w:jc w:val="right"/>
        <w:divId w:val="263073786"/>
        <w:rPr>
          <w:rFonts w:ascii="Cambria" w:hAnsi="Cambria"/>
        </w:rPr>
      </w:pPr>
    </w:p>
    <w:p>
      <w:pPr>
        <w:spacing w:after="0" w:line="24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>Source/Gas Parameters</w:t>
      </w:r>
    </w:p>
    <w:p>
      <w:pPr>
        <w:spacing w:after="0" w:line="240" w:lineRule="auto"/>
        <w:divId w:val="263073786"/>
        <w:rPr>
          <w:rFonts w:ascii="Cambria" w:hAnsi="Cambria"/>
        </w:rPr>
      </w:pPr>
    </w:p>
    <w:tbl>
      <w:tblPr>
        <w:tblStyle w:val="Tabellenraster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921"/>
        <w:gridCol w:w="921"/>
        <w:gridCol w:w="922"/>
        <w:gridCol w:w="921"/>
        <w:gridCol w:w="921"/>
        <w:gridCol w:w="922"/>
      </w:tblGrid>
      <w:tr>
        <w:trPr>
          <w:divId w:val="263073786"/>
          <w:trHeight w:val="471"/>
        </w:trPr>
        <w:tc>
          <w:tcPr>
            <w:tcW w:w="198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Parameter</w:t>
            </w:r>
          </w:p>
        </w:tc>
        <w:tc>
          <w:tcPr>
            <w:tcW w:w="921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TEM</w:t>
            </w:r>
          </w:p>
        </w:tc>
        <w:tc>
          <w:tcPr>
            <w:tcW w:w="921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CUR</w:t>
            </w:r>
          </w:p>
        </w:tc>
        <w:tc>
          <w:tcPr>
            <w:tcW w:w="922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IS</w:t>
            </w:r>
          </w:p>
        </w:tc>
        <w:tc>
          <w:tcPr>
            <w:tcW w:w="921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GS1</w:t>
            </w:r>
          </w:p>
        </w:tc>
        <w:tc>
          <w:tcPr>
            <w:tcW w:w="921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GS2</w:t>
            </w:r>
          </w:p>
        </w:tc>
        <w:tc>
          <w:tcPr>
            <w:tcW w:w="922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CAD</w:t>
            </w:r>
          </w:p>
        </w:tc>
      </w:tr>
      <w:tr>
        <w:trPr>
          <w:divId w:val="263073786"/>
          <w:trHeight w:val="471"/>
        </w:trPr>
        <w:tc>
          <w:tcPr>
            <w:tcW w:w="198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Value</w:t>
            </w:r>
          </w:p>
        </w:tc>
        <w:tc>
          <w:tcPr>
            <w:tcW w:w="921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350</w:t>
            </w:r>
          </w:p>
        </w:tc>
        <w:tc>
          <w:tcPr>
            <w:tcW w:w="921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</w:t>
            </w:r>
          </w:p>
        </w:tc>
        <w:tc>
          <w:tcPr>
            <w:tcW w:w="922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1500</w:t>
            </w:r>
          </w:p>
        </w:tc>
        <w:tc>
          <w:tcPr>
            <w:tcW w:w="921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</w:t>
            </w:r>
          </w:p>
        </w:tc>
        <w:tc>
          <w:tcPr>
            <w:tcW w:w="921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</w:t>
            </w:r>
          </w:p>
        </w:tc>
        <w:tc>
          <w:tcPr>
            <w:tcW w:w="922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</w:tr>
    </w:tbl>
    <w:p>
      <w:pPr>
        <w:divId w:val="263073786"/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>
      <w:pPr>
        <w:pStyle w:val="Listenabsatz"/>
        <w:numPr>
          <w:ilvl w:val="0"/>
          <w:numId w:val="2"/>
        </w:numPr>
        <w:divId w:val="263073786"/>
        <w:rPr>
          <w:rFonts w:ascii="Cambria" w:eastAsiaTheme="minorEastAsia" w:hAnsi="Cambria" w:cs="Times New Roman"/>
          <w:b/>
        </w:rPr>
      </w:pPr>
      <w:r>
        <w:rPr>
          <w:rFonts w:ascii="Cambria" w:eastAsiaTheme="minorEastAsia" w:hAnsi="Cambria" w:cs="Times New Roman"/>
          <w:b/>
        </w:rPr>
        <w:t>Quantification with LC-MS/MS</w:t>
      </w:r>
      <w:r>
        <w:rPr>
          <w:rFonts w:ascii="Cambria" w:eastAsiaTheme="minorEastAsia" w:hAnsi="Cambria" w:cs="Times New Roman"/>
          <w:b/>
        </w:rPr>
        <w:t xml:space="preserve"> – Negative mode</w:t>
      </w:r>
    </w:p>
    <w:p>
      <w:pPr>
        <w:spacing w:after="0" w:line="36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 xml:space="preserve">Column: Kinetex 2.6 µm C18 100 </w:t>
      </w:r>
      <m:oMath>
        <m:r>
          <w:rPr>
            <w:rFonts w:ascii="Cambria Math" w:hAnsi="Cambria Math"/>
          </w:rPr>
          <m:t>Å</m:t>
        </m:r>
      </m:oMath>
      <w:r>
        <w:rPr>
          <w:rFonts w:ascii="Cambria" w:hAnsi="Cambria"/>
        </w:rPr>
        <w:t>, 150 x 3 mm, Phenomenex, Aschaffenburg, Germany</w:t>
      </w:r>
    </w:p>
    <w:p>
      <w:pPr>
        <w:spacing w:after="0" w:line="36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>Flow rate: 250 µl/min</w:t>
      </w:r>
    </w:p>
    <w:p>
      <w:pPr>
        <w:spacing w:after="0" w:line="36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>Injection volume: 25 µl</w:t>
      </w:r>
    </w:p>
    <w:p>
      <w:pPr>
        <w:spacing w:after="0" w:line="36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>Solvents:</w:t>
      </w:r>
      <w:r>
        <w:rPr>
          <w:rFonts w:ascii="Cambria" w:hAnsi="Cambria"/>
        </w:rPr>
        <w:t xml:space="preserve"> (A) </w:t>
      </w:r>
      <w:r>
        <w:rPr>
          <w:rFonts w:ascii="Cambria" w:hAnsi="Cambria"/>
        </w:rPr>
        <w:t>a</w:t>
      </w:r>
      <w:r>
        <w:rPr>
          <w:rFonts w:ascii="Cambria" w:hAnsi="Cambria"/>
        </w:rPr>
        <w:t>cetonitrile, (B) 5 mM ammonium acetate / ammonim hydroxide (pH 8)</w:t>
      </w:r>
    </w:p>
    <w:p>
      <w:pPr>
        <w:spacing w:after="0" w:line="36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>Gradient: 0-15 min A:B = 0:100; 15-20 min A:B = 60:40; 20-25 min A:B = 100:0; 25-28 min A:B = 0:100</w:t>
      </w:r>
    </w:p>
    <w:tbl>
      <w:tblPr>
        <w:tblStyle w:val="Tabellenraster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894"/>
        <w:gridCol w:w="925"/>
        <w:gridCol w:w="925"/>
        <w:gridCol w:w="926"/>
        <w:gridCol w:w="925"/>
        <w:gridCol w:w="925"/>
        <w:gridCol w:w="925"/>
        <w:gridCol w:w="926"/>
      </w:tblGrid>
      <w:tr>
        <w:trPr>
          <w:divId w:val="263073786"/>
          <w:trHeight w:val="471"/>
        </w:trPr>
        <w:tc>
          <w:tcPr>
            <w:tcW w:w="198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Compound</w:t>
            </w:r>
          </w:p>
        </w:tc>
        <w:tc>
          <w:tcPr>
            <w:tcW w:w="894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MW</w:t>
            </w:r>
          </w:p>
        </w:tc>
        <w:tc>
          <w:tcPr>
            <w:tcW w:w="92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DP</w:t>
            </w:r>
          </w:p>
        </w:tc>
        <w:tc>
          <w:tcPr>
            <w:tcW w:w="92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EP</w:t>
            </w:r>
          </w:p>
        </w:tc>
        <w:tc>
          <w:tcPr>
            <w:tcW w:w="926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CEP</w:t>
            </w:r>
          </w:p>
        </w:tc>
        <w:tc>
          <w:tcPr>
            <w:tcW w:w="92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Q1</w:t>
            </w:r>
          </w:p>
        </w:tc>
        <w:tc>
          <w:tcPr>
            <w:tcW w:w="92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Q3</w:t>
            </w:r>
          </w:p>
        </w:tc>
        <w:tc>
          <w:tcPr>
            <w:tcW w:w="92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CE</w:t>
            </w:r>
          </w:p>
        </w:tc>
        <w:tc>
          <w:tcPr>
            <w:tcW w:w="926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CXP</w:t>
            </w:r>
          </w:p>
        </w:tc>
      </w:tr>
      <w:tr>
        <w:trPr>
          <w:divId w:val="263073786"/>
          <w:trHeight w:val="471"/>
        </w:trPr>
        <w:tc>
          <w:tcPr>
            <w:tcW w:w="198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Clofibric acid</w:t>
            </w:r>
          </w:p>
        </w:tc>
        <w:tc>
          <w:tcPr>
            <w:tcW w:w="89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214.65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-21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-11.5</w:t>
            </w:r>
          </w:p>
        </w:tc>
        <w:tc>
          <w:tcPr>
            <w:tcW w:w="92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127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150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-20</w:t>
            </w:r>
          </w:p>
        </w:tc>
        <w:tc>
          <w:tcPr>
            <w:tcW w:w="92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-2</w:t>
            </w:r>
          </w:p>
        </w:tc>
      </w:tr>
      <w:tr>
        <w:trPr>
          <w:divId w:val="263073786"/>
          <w:trHeight w:val="471"/>
        </w:trPr>
        <w:tc>
          <w:tcPr>
            <w:tcW w:w="198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Diclofnac</w:t>
            </w:r>
          </w:p>
        </w:tc>
        <w:tc>
          <w:tcPr>
            <w:tcW w:w="89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296.15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-16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-8</w:t>
            </w:r>
          </w:p>
        </w:tc>
        <w:tc>
          <w:tcPr>
            <w:tcW w:w="92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293.9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250.1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-12</w:t>
            </w:r>
          </w:p>
        </w:tc>
        <w:tc>
          <w:tcPr>
            <w:tcW w:w="92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-4</w:t>
            </w:r>
          </w:p>
        </w:tc>
      </w:tr>
      <w:tr>
        <w:trPr>
          <w:divId w:val="263073786"/>
          <w:trHeight w:val="471"/>
        </w:trPr>
        <w:tc>
          <w:tcPr>
            <w:tcW w:w="198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Ketoprofen</w:t>
            </w:r>
          </w:p>
        </w:tc>
        <w:tc>
          <w:tcPr>
            <w:tcW w:w="894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257.31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-31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-9.5</w:t>
            </w:r>
          </w:p>
        </w:tc>
        <w:tc>
          <w:tcPr>
            <w:tcW w:w="92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252.9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209.2</w:t>
            </w:r>
          </w:p>
        </w:tc>
        <w:tc>
          <w:tcPr>
            <w:tcW w:w="925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-8</w:t>
            </w:r>
          </w:p>
        </w:tc>
        <w:tc>
          <w:tcPr>
            <w:tcW w:w="92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-4</w:t>
            </w:r>
          </w:p>
        </w:tc>
      </w:tr>
    </w:tbl>
    <w:p>
      <w:pPr>
        <w:spacing w:after="0" w:line="240" w:lineRule="auto"/>
        <w:divId w:val="263073786"/>
        <w:rPr>
          <w:rFonts w:ascii="Cambria" w:hAnsi="Cambria"/>
        </w:rPr>
      </w:pPr>
    </w:p>
    <w:p>
      <w:pPr>
        <w:spacing w:after="0" w:line="240" w:lineRule="auto"/>
        <w:divId w:val="263073786"/>
        <w:rPr>
          <w:rFonts w:ascii="Cambria" w:hAnsi="Cambria"/>
        </w:rPr>
      </w:pPr>
      <w:r>
        <w:rPr>
          <w:rFonts w:ascii="Cambria" w:hAnsi="Cambria"/>
        </w:rPr>
        <w:t>Source/Gas Parameters</w:t>
      </w:r>
    </w:p>
    <w:p>
      <w:pPr>
        <w:spacing w:after="0" w:line="240" w:lineRule="auto"/>
        <w:divId w:val="263073786"/>
        <w:rPr>
          <w:rFonts w:ascii="Cambria" w:hAnsi="Cambria"/>
        </w:rPr>
      </w:pPr>
    </w:p>
    <w:tbl>
      <w:tblPr>
        <w:tblStyle w:val="Tabellenraster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921"/>
        <w:gridCol w:w="921"/>
        <w:gridCol w:w="922"/>
        <w:gridCol w:w="921"/>
        <w:gridCol w:w="921"/>
        <w:gridCol w:w="922"/>
      </w:tblGrid>
      <w:tr>
        <w:trPr>
          <w:divId w:val="263073786"/>
          <w:trHeight w:val="471"/>
        </w:trPr>
        <w:tc>
          <w:tcPr>
            <w:tcW w:w="198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Parameter</w:t>
            </w:r>
          </w:p>
        </w:tc>
        <w:tc>
          <w:tcPr>
            <w:tcW w:w="921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TEM</w:t>
            </w:r>
          </w:p>
        </w:tc>
        <w:tc>
          <w:tcPr>
            <w:tcW w:w="921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CUR</w:t>
            </w:r>
          </w:p>
        </w:tc>
        <w:tc>
          <w:tcPr>
            <w:tcW w:w="922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IS</w:t>
            </w:r>
          </w:p>
        </w:tc>
        <w:tc>
          <w:tcPr>
            <w:tcW w:w="921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GS1</w:t>
            </w:r>
          </w:p>
        </w:tc>
        <w:tc>
          <w:tcPr>
            <w:tcW w:w="921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GS2</w:t>
            </w:r>
          </w:p>
        </w:tc>
        <w:tc>
          <w:tcPr>
            <w:tcW w:w="922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CAD</w:t>
            </w:r>
          </w:p>
        </w:tc>
      </w:tr>
      <w:tr>
        <w:trPr>
          <w:divId w:val="263073786"/>
          <w:trHeight w:val="471"/>
        </w:trPr>
        <w:tc>
          <w:tcPr>
            <w:tcW w:w="198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Value</w:t>
            </w:r>
          </w:p>
        </w:tc>
        <w:tc>
          <w:tcPr>
            <w:tcW w:w="921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350</w:t>
            </w:r>
          </w:p>
        </w:tc>
        <w:tc>
          <w:tcPr>
            <w:tcW w:w="921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</w:t>
            </w:r>
          </w:p>
        </w:tc>
        <w:tc>
          <w:tcPr>
            <w:tcW w:w="922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-4500</w:t>
            </w:r>
          </w:p>
        </w:tc>
        <w:tc>
          <w:tcPr>
            <w:tcW w:w="921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</w:t>
            </w:r>
          </w:p>
        </w:tc>
        <w:tc>
          <w:tcPr>
            <w:tcW w:w="921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</w:t>
            </w:r>
          </w:p>
        </w:tc>
        <w:tc>
          <w:tcPr>
            <w:tcW w:w="922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</w:tr>
    </w:tbl>
    <w:p>
      <w:pPr>
        <w:divId w:val="263073786"/>
        <w:rPr>
          <w:rFonts w:ascii="Cambria" w:eastAsiaTheme="minorEastAsia" w:hAnsi="Cambria" w:cs="Times New Roman"/>
        </w:rPr>
      </w:pPr>
    </w:p>
    <w:p>
      <w:pPr>
        <w:pStyle w:val="Listenabsatz"/>
        <w:numPr>
          <w:ilvl w:val="0"/>
          <w:numId w:val="2"/>
        </w:numPr>
        <w:rPr>
          <w:rFonts w:ascii="Cambria" w:eastAsiaTheme="minorEastAsia" w:hAnsi="Cambria" w:cs="Times New Roman"/>
          <w:b/>
        </w:rPr>
      </w:pPr>
      <w:r>
        <w:rPr>
          <w:rFonts w:ascii="Cambria" w:hAnsi="Cambria"/>
        </w:rPr>
        <w:br w:type="page"/>
      </w:r>
      <w:r>
        <w:rPr>
          <w:rFonts w:ascii="Cambria" w:eastAsiaTheme="minorEastAsia" w:hAnsi="Cambria" w:cs="Times New Roman"/>
          <w:b/>
        </w:rPr>
        <w:t>Limits of qualification of pharmaceuticals</w:t>
      </w:r>
    </w:p>
    <w:tbl>
      <w:tblPr>
        <w:tblStyle w:val="Tabellenraster"/>
        <w:tblW w:w="5211" w:type="dxa"/>
        <w:tblLayout w:type="fixed"/>
        <w:tblLook w:val="04A0" w:firstRow="1" w:lastRow="0" w:firstColumn="1" w:lastColumn="0" w:noHBand="0" w:noVBand="1"/>
      </w:tblPr>
      <w:tblGrid>
        <w:gridCol w:w="2605"/>
        <w:gridCol w:w="2606"/>
      </w:tblGrid>
      <w:tr>
        <w:trPr>
          <w:trHeight w:val="698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Compound</w:t>
            </w:r>
          </w:p>
        </w:tc>
        <w:tc>
          <w:tcPr>
            <w:tcW w:w="2606" w:type="dxa"/>
            <w:vAlign w:val="center"/>
          </w:tcPr>
          <w:p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Limit of qualification [µg/L]</w:t>
            </w:r>
          </w:p>
        </w:tc>
      </w:tr>
      <w:tr>
        <w:trPr>
          <w:trHeight w:val="471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Antipirine</w:t>
            </w:r>
          </w:p>
        </w:tc>
        <w:tc>
          <w:tcPr>
            <w:tcW w:w="260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</w:tr>
      <w:tr>
        <w:trPr>
          <w:trHeight w:val="471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Atenolol</w:t>
            </w:r>
          </w:p>
        </w:tc>
        <w:tc>
          <w:tcPr>
            <w:tcW w:w="260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</w:tr>
      <w:tr>
        <w:trPr>
          <w:trHeight w:val="471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Caffeine</w:t>
            </w:r>
          </w:p>
        </w:tc>
        <w:tc>
          <w:tcPr>
            <w:tcW w:w="260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</w:tr>
      <w:tr>
        <w:trPr>
          <w:trHeight w:val="471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Carbamazepine</w:t>
            </w:r>
          </w:p>
        </w:tc>
        <w:tc>
          <w:tcPr>
            <w:tcW w:w="260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</w:tr>
      <w:tr>
        <w:trPr>
          <w:trHeight w:val="471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Ciprofloxacin</w:t>
            </w:r>
          </w:p>
        </w:tc>
        <w:tc>
          <w:tcPr>
            <w:tcW w:w="260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</w:tr>
      <w:tr>
        <w:trPr>
          <w:trHeight w:val="471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Diclofnac</w:t>
            </w:r>
          </w:p>
        </w:tc>
        <w:tc>
          <w:tcPr>
            <w:tcW w:w="260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</w:tr>
      <w:tr>
        <w:trPr>
          <w:trHeight w:val="471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Ketoprofen</w:t>
            </w:r>
          </w:p>
        </w:tc>
        <w:tc>
          <w:tcPr>
            <w:tcW w:w="260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</w:tr>
      <w:tr>
        <w:trPr>
          <w:trHeight w:val="471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Ofloxacin</w:t>
            </w:r>
          </w:p>
        </w:tc>
        <w:tc>
          <w:tcPr>
            <w:tcW w:w="260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</w:tr>
      <w:tr>
        <w:trPr>
          <w:trHeight w:val="471"/>
        </w:trPr>
        <w:tc>
          <w:tcPr>
            <w:tcW w:w="2605" w:type="dxa"/>
            <w:vAlign w:val="center"/>
          </w:tcPr>
          <w:p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Sulfamethaxazole</w:t>
            </w:r>
          </w:p>
        </w:tc>
        <w:tc>
          <w:tcPr>
            <w:tcW w:w="2606" w:type="dxa"/>
            <w:vAlign w:val="center"/>
          </w:tcPr>
          <w:p>
            <w:pPr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</w:tr>
    </w:tbl>
    <w:p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>
      <w:pPr>
        <w:pStyle w:val="StandardWeb"/>
        <w:numPr>
          <w:ilvl w:val="0"/>
          <w:numId w:val="2"/>
        </w:numPr>
        <w:divId w:val="263073786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Water properties</w:t>
      </w:r>
    </w:p>
    <w:tbl>
      <w:tblPr>
        <w:tblStyle w:val="Tabellenraster"/>
        <w:tblW w:w="8363" w:type="dxa"/>
        <w:tblInd w:w="1101" w:type="dxa"/>
        <w:tblLook w:val="04A0" w:firstRow="1" w:lastRow="0" w:firstColumn="1" w:lastColumn="0" w:noHBand="0" w:noVBand="1"/>
      </w:tblPr>
      <w:tblGrid>
        <w:gridCol w:w="1984"/>
        <w:gridCol w:w="967"/>
        <w:gridCol w:w="1804"/>
        <w:gridCol w:w="1804"/>
        <w:gridCol w:w="1804"/>
      </w:tblGrid>
      <w:tr>
        <w:trPr>
          <w:divId w:val="263073786"/>
          <w:trHeight w:val="471"/>
        </w:trPr>
        <w:tc>
          <w:tcPr>
            <w:tcW w:w="2951" w:type="dxa"/>
            <w:gridSpan w:val="2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Sediment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G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V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E</w:t>
            </w:r>
          </w:p>
        </w:tc>
      </w:tr>
      <w:tr>
        <w:trPr>
          <w:divId w:val="263073786"/>
          <w:trHeight w:val="471"/>
        </w:trPr>
        <w:tc>
          <w:tcPr>
            <w:tcW w:w="2951" w:type="dxa"/>
            <w:gridSpan w:val="2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Sampling location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Neuherberg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Caissargues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Montiró (Ventalló)</w:t>
            </w:r>
          </w:p>
        </w:tc>
      </w:tr>
      <w:tr>
        <w:trPr>
          <w:divId w:val="263073786"/>
          <w:trHeight w:val="471"/>
        </w:trPr>
        <w:tc>
          <w:tcPr>
            <w:tcW w:w="2951" w:type="dxa"/>
            <w:gridSpan w:val="2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X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692507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596897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505706</w:t>
            </w:r>
          </w:p>
        </w:tc>
      </w:tr>
      <w:tr>
        <w:trPr>
          <w:divId w:val="263073786"/>
          <w:trHeight w:val="471"/>
        </w:trPr>
        <w:tc>
          <w:tcPr>
            <w:tcW w:w="2951" w:type="dxa"/>
            <w:gridSpan w:val="2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Y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5344268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4840217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4666972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Conductivity</w:t>
            </w:r>
            <w:r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µS/cm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747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1337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Temperature</w:t>
            </w:r>
            <w:r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°C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15.2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16.6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pH</w:t>
            </w:r>
            <w:r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7.5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6.9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7.3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HCO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bscript"/>
              </w:rPr>
              <w:t>3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335.0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302.6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264</w:t>
            </w: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.0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Alk T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220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bscript"/>
              </w:rPr>
              <w:t>4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2-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7.35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77.26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269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Cl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33.47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30.89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55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bscript"/>
              </w:rPr>
              <w:t>3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6.12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35.52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37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Nd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Nd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NH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bscript"/>
              </w:rPr>
              <w:t>4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Nd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Nd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Ca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86.46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122.98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175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17.46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6.80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23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Na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19.97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17.38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33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K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1.86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3.13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F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0.09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PO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bscript"/>
              </w:rPr>
              <w:t>4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3-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0.01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Br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Nd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0.238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0.13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SiO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10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TOC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0.37</w:t>
            </w:r>
          </w:p>
        </w:tc>
      </w:tr>
      <w:tr>
        <w:trPr>
          <w:divId w:val="263073786"/>
          <w:trHeight w:val="471"/>
        </w:trPr>
        <w:tc>
          <w:tcPr>
            <w:tcW w:w="198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TN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mg/L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NA</w:t>
            </w:r>
          </w:p>
        </w:tc>
        <w:tc>
          <w:tcPr>
            <w:tcW w:w="1804" w:type="dxa"/>
            <w:vAlign w:val="center"/>
          </w:tcPr>
          <w:p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9.01</w:t>
            </w:r>
          </w:p>
        </w:tc>
      </w:tr>
    </w:tbl>
    <w:p>
      <w:pPr>
        <w:rPr>
          <w:rFonts w:ascii="Cambria" w:hAnsi="Cambria"/>
        </w:rPr>
      </w:pPr>
      <w:r>
        <w:rPr>
          <w:rFonts w:ascii="Cambria" w:hAnsi="Cambria"/>
        </w:rPr>
        <w:t>Notation: * – parameters measured in field, Nd – not detected, NA – not analysed</w:t>
      </w:r>
    </w:p>
    <w:p>
      <w:pPr>
        <w:rPr>
          <w:rFonts w:ascii="Cambria" w:eastAsiaTheme="minorEastAsia" w:hAnsi="Cambria" w:cs="Times New Roman"/>
        </w:rPr>
      </w:pPr>
      <w:r>
        <w:rPr>
          <w:rFonts w:ascii="Cambria" w:hAnsi="Cambria"/>
        </w:rPr>
        <w:br w:type="page"/>
      </w:r>
    </w:p>
    <w:p>
      <w:pPr>
        <w:pStyle w:val="StandardWeb"/>
        <w:numPr>
          <w:ilvl w:val="0"/>
          <w:numId w:val="2"/>
        </w:numPr>
        <w:divId w:val="263073786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Sorption </w:t>
      </w:r>
      <w:r>
        <w:rPr>
          <w:rFonts w:ascii="Cambria" w:hAnsi="Cambria"/>
          <w:b/>
          <w:sz w:val="22"/>
          <w:szCs w:val="22"/>
        </w:rPr>
        <w:t>isotherms</w:t>
      </w:r>
    </w:p>
    <w:p>
      <w:pPr>
        <w:spacing w:after="0" w:line="360" w:lineRule="auto"/>
        <w:jc w:val="both"/>
        <w:divId w:val="263073786"/>
        <w:rPr>
          <w:rFonts w:ascii="Cambria" w:hAnsi="Cambria" w:cs="Times New Roman"/>
          <w:lang w:val="en-GB"/>
        </w:rPr>
      </w:pPr>
      <w:r>
        <w:rPr>
          <w:rFonts w:ascii="Cambria" w:hAnsi="Cambria" w:cs="Times New Roman"/>
          <w:lang w:val="en-GB"/>
        </w:rPr>
        <w:t xml:space="preserve">Horizontal error bars indicate the standard deviation of the triplicates. Vertical error bars represent errors calculated basing on the error propagation methodology, as S was calculated from other measurements, which all have their uncertainty </w:t>
      </w:r>
      <w:r>
        <w:rPr>
          <w:rFonts w:ascii="Cambria" w:hAnsi="Cambria" w:cs="Times New Roman"/>
          <w:lang w:val="en-GB"/>
        </w:rPr>
        <w:fldChar w:fldCharType="begin" w:fldLock="1"/>
      </w:r>
      <w:r>
        <w:rPr>
          <w:rFonts w:ascii="Cambria" w:hAnsi="Cambria" w:cs="Times New Roman"/>
          <w:lang w:val="en-GB"/>
        </w:rPr>
        <w:instrText>ADDIN CSL_CITATION { "citationItems" : [ { "id" : "ITEM-1", "itemData" : { "author" : [ { "dropping-particle" : "", "family" : "JCGM 100:2008", "given" : "", "non-dropping-particle" : "", "parse-names" : false, "suffix" : "" } ], "id" : "ITEM-1", "issued" : { "date-parts" : [ [ "2008" ] ] }, "publisher" : "Joint Committee for Guides in Metrology", "title" : "Evaluation of measurement data \u2013 Guide to the expression of uncertainty in measurement", "type" : "report" }, "uris" : [ "http://www.mendeley.com/documents/?uuid=57834324-0871-4913-bc72-b1e71b3755c7" ] } ], "mendeley" : { "formattedCitation" : "(JCGM 100:2008, 2008)", "manualFormatting" : "(JCGM 100:2008)", "plainTextFormattedCitation" : "(JCGM 100:2008, 2008)", "previouslyFormattedCitation" : "(JCGM 100:2008, 2008)" }, "properties" : { "noteIndex" : 0 }, "schema" : "https://github.com/citation-style-language/schema/raw/master/csl-citation.json" }</w:instrText>
      </w:r>
      <w:r>
        <w:rPr>
          <w:rFonts w:ascii="Cambria" w:hAnsi="Cambria" w:cs="Times New Roman"/>
          <w:lang w:val="en-GB"/>
        </w:rPr>
        <w:fldChar w:fldCharType="separate"/>
      </w:r>
      <w:r>
        <w:rPr>
          <w:rFonts w:ascii="Cambria" w:hAnsi="Cambria" w:cs="Times New Roman"/>
          <w:noProof/>
          <w:lang w:val="en-GB"/>
        </w:rPr>
        <w:t>(JCGM 100:2008</w:t>
      </w:r>
      <w:r>
        <w:rPr>
          <w:rFonts w:ascii="Cambria" w:hAnsi="Cambria" w:cs="Times New Roman"/>
          <w:noProof/>
          <w:lang w:val="en-GB"/>
        </w:rPr>
        <w:t>)</w:t>
      </w:r>
      <w:r>
        <w:rPr>
          <w:rFonts w:ascii="Cambria" w:hAnsi="Cambria" w:cs="Times New Roman"/>
          <w:lang w:val="en-GB"/>
        </w:rPr>
        <w:fldChar w:fldCharType="end"/>
      </w:r>
      <w:r>
        <w:rPr>
          <w:rFonts w:ascii="Cambria" w:hAnsi="Cambria" w:cs="Times New Roman"/>
          <w:lang w:val="en-GB"/>
        </w:rPr>
        <w:t>. When error bars are not visible, they are smaller than the symbol size.</w:t>
      </w:r>
    </w:p>
    <w:p>
      <w:pPr>
        <w:pStyle w:val="StandardWeb"/>
        <w:numPr>
          <w:ilvl w:val="1"/>
          <w:numId w:val="2"/>
        </w:numPr>
        <w:divId w:val="263073786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Sediment </w:t>
      </w:r>
      <w:r>
        <w:rPr>
          <w:rFonts w:ascii="Cambria" w:hAnsi="Cambria"/>
          <w:b/>
          <w:sz w:val="22"/>
          <w:szCs w:val="22"/>
        </w:rPr>
        <w:t>G</w:t>
      </w:r>
      <w:r>
        <w:rPr>
          <w:rFonts w:ascii="Cambria" w:hAnsi="Cambria"/>
          <w:b/>
          <w:sz w:val="22"/>
          <w:szCs w:val="22"/>
        </w:rPr>
        <w:t xml:space="preserve"> (technical coarse sand)</w:t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Antipyrine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Atenolol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Caffeine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_anypir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_atenolo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_caffei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Carbamazepine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Ciprofloxacin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Diclofenac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_carbamazepi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_ciprofloxaci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_diclofena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Ketoprofen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Sulfamethoxazole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_ketoprofe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_ofloxaci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_sulfamethoxazol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mbria" w:eastAsiaTheme="minorEastAsia" w:hAnsi="Cambria" w:cs="Times New Roman"/>
        </w:rPr>
      </w:pPr>
      <w:r>
        <w:rPr>
          <w:rFonts w:ascii="Cambria" w:hAnsi="Cambria"/>
        </w:rPr>
        <w:br w:type="page"/>
      </w:r>
    </w:p>
    <w:p>
      <w:pPr>
        <w:pStyle w:val="StandardWeb"/>
        <w:numPr>
          <w:ilvl w:val="1"/>
          <w:numId w:val="2"/>
        </w:numPr>
        <w:divId w:val="263073786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Sediment V</w:t>
      </w:r>
      <w:r>
        <w:rPr>
          <w:rFonts w:ascii="Cambria" w:hAnsi="Cambria"/>
          <w:b/>
          <w:sz w:val="22"/>
          <w:szCs w:val="22"/>
        </w:rPr>
        <w:t xml:space="preserve"> (sandy loam)</w:t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Antipyrine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Atenolol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Caffeine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_antypirin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_atenolo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_caffein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Carbamazepine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Ciprofloxacin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Diclofenac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_carbamazepin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_ciprofloxacin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_diclofena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Ketoprofen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Sulfamethoxazole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</w:p>
    <w:p>
      <w:pPr>
        <w:rPr>
          <w:rFonts w:ascii="Cambria" w:eastAsiaTheme="minorEastAsia" w:hAnsi="Cambria" w:cs="Times New Roman"/>
        </w:rPr>
      </w:pPr>
      <w:r>
        <w:rPr>
          <w:rFonts w:ascii="Cambria" w:hAnsi="Cambria"/>
        </w:rPr>
        <w:br w:type="page"/>
      </w:r>
    </w:p>
    <w:p>
      <w:pPr>
        <w:pStyle w:val="StandardWeb"/>
        <w:numPr>
          <w:ilvl w:val="1"/>
          <w:numId w:val="2"/>
        </w:numPr>
        <w:divId w:val="263073786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Sediment E1</w:t>
      </w:r>
      <w:r>
        <w:rPr>
          <w:rFonts w:ascii="Cambria" w:hAnsi="Cambria"/>
          <w:b/>
          <w:sz w:val="22"/>
          <w:szCs w:val="22"/>
        </w:rPr>
        <w:t xml:space="preserve"> (sandy clay loam)</w:t>
      </w:r>
    </w:p>
    <w:p>
      <w:pPr>
        <w:pStyle w:val="StandardWeb"/>
        <w:spacing w:before="0" w:beforeAutospacing="0" w:after="0" w:afterAutospacing="0"/>
        <w:ind w:left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Antipyrine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Atenolol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Caffeine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1_antypirin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1_atenolo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1_caffein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Carbamazepine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Ciprofloxacin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Diclofenac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1_carbamazepin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1_ciprofloxaci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1_diclofenac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Ketoprofen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Sulfamethoxazole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1_ketoprofe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1_ofloxaci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1_sulfamethoxazol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</w:p>
    <w:p>
      <w:pPr>
        <w:rPr>
          <w:rFonts w:ascii="Cambria" w:eastAsiaTheme="minorEastAsia" w:hAnsi="Cambria" w:cs="Times New Roman"/>
        </w:rPr>
      </w:pPr>
      <w:r>
        <w:rPr>
          <w:rFonts w:ascii="Cambria" w:hAnsi="Cambria"/>
        </w:rPr>
        <w:br w:type="page"/>
      </w:r>
    </w:p>
    <w:p>
      <w:pPr>
        <w:pStyle w:val="StandardWeb"/>
        <w:numPr>
          <w:ilvl w:val="1"/>
          <w:numId w:val="2"/>
        </w:numPr>
        <w:divId w:val="263073786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Sediment E2</w:t>
      </w:r>
      <w:r>
        <w:rPr>
          <w:rFonts w:ascii="Cambria" w:hAnsi="Cambria"/>
          <w:b/>
          <w:sz w:val="22"/>
          <w:szCs w:val="22"/>
        </w:rPr>
        <w:t xml:space="preserve"> (clay)</w:t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Antipyrine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Atenolol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Caffeine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2_antypirin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2_atenolol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2_caffein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Carbamazepine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Ciprofloxacin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Diclofenac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2_carbamazepin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2_ciprofloxaci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2_diclofenac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Ketoprofen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Sulfamethoxazole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2_ketoprofe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2_ofloxacin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2_sulfamethoxazol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mbria" w:eastAsiaTheme="minorEastAsia" w:hAnsi="Cambria" w:cs="Times New Roman"/>
        </w:rPr>
      </w:pPr>
      <w:r>
        <w:rPr>
          <w:rFonts w:ascii="Cambria" w:hAnsi="Cambria"/>
        </w:rPr>
        <w:br w:type="page"/>
      </w:r>
    </w:p>
    <w:p>
      <w:pPr>
        <w:pStyle w:val="StandardWeb"/>
        <w:numPr>
          <w:ilvl w:val="1"/>
          <w:numId w:val="2"/>
        </w:numPr>
        <w:divId w:val="263073786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Sediment E3</w:t>
      </w:r>
      <w:r>
        <w:rPr>
          <w:rFonts w:ascii="Cambria" w:hAnsi="Cambria"/>
          <w:b/>
          <w:sz w:val="22"/>
          <w:szCs w:val="22"/>
        </w:rPr>
        <w:t xml:space="preserve"> (medium sand)</w:t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Antipyrine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Atenolol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Caffeine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3_Antypirin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3_Atenolo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3_caffein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Carbamazepine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Ciprofloxacin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Diclofenac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3_carbamazepin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3_ciprofloxacin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3_diclofenac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ind w:firstLine="72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Ketoprofen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Ofloxacin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Sulfamethoxazole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3_Ketoprofen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3_ofloxacin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2"/>
          <w:szCs w:val="22"/>
          <w:lang w:val="de-DE" w:eastAsia="de-DE"/>
        </w:rPr>
        <w:drawing>
          <wp:inline distT="0" distB="0" distL="0" distR="0">
            <wp:extent cx="1980000" cy="1980000"/>
            <wp:effectExtent l="0" t="0" r="1270" b="12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3_Sulfamethoxazole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</w:p>
    <w:p>
      <w:pPr>
        <w:rPr>
          <w:rFonts w:ascii="Cambria" w:eastAsiaTheme="minorEastAsia" w:hAnsi="Cambria" w:cs="Times New Roman"/>
        </w:rPr>
        <w:sectPr>
          <w:pgSz w:w="12240" w:h="15840" w:code="1"/>
          <w:pgMar w:top="1134" w:right="1134" w:bottom="1134" w:left="1134" w:header="720" w:footer="720" w:gutter="0"/>
          <w:cols w:space="720"/>
          <w:docGrid w:linePitch="360"/>
        </w:sectPr>
      </w:pPr>
    </w:p>
    <w:p>
      <w:pPr>
        <w:pStyle w:val="StandardWeb"/>
        <w:numPr>
          <w:ilvl w:val="0"/>
          <w:numId w:val="2"/>
        </w:numPr>
        <w:divId w:val="263073786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Correlation graphs between Freundlich sorption coefficient KF and logK</w:t>
      </w:r>
      <w:r>
        <w:rPr>
          <w:rFonts w:ascii="Cambria" w:hAnsi="Cambria"/>
          <w:b/>
          <w:sz w:val="22"/>
          <w:szCs w:val="22"/>
          <w:vertAlign w:val="subscript"/>
        </w:rPr>
        <w:t>OW</w:t>
      </w:r>
      <w:r>
        <w:rPr>
          <w:rFonts w:ascii="Cambria" w:hAnsi="Cambria"/>
          <w:b/>
          <w:sz w:val="22"/>
          <w:szCs w:val="22"/>
        </w:rPr>
        <w:t xml:space="preserve"> of selected compounds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noProof/>
          <w:sz w:val="22"/>
          <w:szCs w:val="22"/>
          <w:lang w:val="de-DE" w:eastAsia="de-DE"/>
        </w:rPr>
        <w:drawing>
          <wp:inline distT="0" distB="0" distL="0" distR="0">
            <wp:extent cx="6332220" cy="1583055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plot1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Web"/>
        <w:numPr>
          <w:ilvl w:val="0"/>
          <w:numId w:val="2"/>
        </w:num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</w:rPr>
        <w:br w:type="page"/>
      </w:r>
      <w:r>
        <w:rPr>
          <w:rFonts w:ascii="Cambria" w:hAnsi="Cambria"/>
          <w:b/>
          <w:lang w:val="en-GB"/>
        </w:rPr>
        <w:t xml:space="preserve"> Sorption partition coefficients K</w:t>
      </w:r>
      <w:r>
        <w:rPr>
          <w:rFonts w:ascii="Cambria" w:hAnsi="Cambria"/>
          <w:b/>
          <w:vertAlign w:val="subscript"/>
          <w:lang w:val="en-GB"/>
        </w:rPr>
        <w:t>d</w:t>
      </w:r>
      <w:r>
        <w:rPr>
          <w:rFonts w:ascii="Cambria" w:hAnsi="Cambria"/>
          <w:b/>
          <w:lang w:val="en-GB"/>
        </w:rPr>
        <w:t xml:space="preserve"> and K</w:t>
      </w:r>
      <w:r>
        <w:rPr>
          <w:rFonts w:ascii="Cambria" w:hAnsi="Cambria"/>
          <w:b/>
          <w:vertAlign w:val="subscript"/>
          <w:lang w:val="en-GB"/>
        </w:rPr>
        <w:t>F</w:t>
      </w:r>
    </w:p>
    <w:tbl>
      <w:tblPr>
        <w:tblW w:w="11170" w:type="dxa"/>
        <w:tblInd w:w="-5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9"/>
        <w:gridCol w:w="1572"/>
        <w:gridCol w:w="897"/>
        <w:gridCol w:w="898"/>
        <w:gridCol w:w="898"/>
        <w:gridCol w:w="3127"/>
        <w:gridCol w:w="984"/>
        <w:gridCol w:w="1105"/>
      </w:tblGrid>
      <w:tr>
        <w:trPr>
          <w:divId w:val="263073786"/>
          <w:trHeight w:val="300"/>
          <w:tblHeader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val="pl-PL" w:eastAsia="pl-PL"/>
              </w:rPr>
              <w:t>Compound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val="pl-PL" w:eastAsia="pl-PL"/>
              </w:rPr>
              <w:t>Sediment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val="pl-PL" w:eastAsia="pl-PL"/>
              </w:rPr>
              <w:t>K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vertAlign w:val="subscript"/>
                <w:lang w:val="pl-PL" w:eastAsia="pl-PL"/>
              </w:rPr>
              <w:t>d</w:t>
            </w:r>
          </w:p>
          <w:p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en-GB"/>
              </w:rPr>
              <w:t>[L/kg]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t>K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vertAlign w:val="subscript"/>
                <w:lang w:eastAsia="pl-PL"/>
              </w:rPr>
              <w:t>F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asciiTheme="majorHAnsi" w:hAnsiTheme="majorHAnsi" w:cs="Times New Roman"/>
                <w:sz w:val="20"/>
                <w:szCs w:val="20"/>
                <w:lang w:val="en-GB"/>
              </w:rPr>
              <w:t>[(L/kg)</w:t>
            </w:r>
            <w:r>
              <w:rPr>
                <w:rFonts w:asciiTheme="majorHAnsi" w:hAnsiTheme="majorHAnsi" w:cs="Times New Roman"/>
                <w:sz w:val="20"/>
                <w:szCs w:val="20"/>
                <w:vertAlign w:val="superscript"/>
                <w:lang w:val="en-GB"/>
              </w:rPr>
              <w:t>η</w:t>
            </w:r>
            <w:r>
              <w:rPr>
                <w:rFonts w:asciiTheme="majorHAnsi" w:hAnsiTheme="majorHAnsi" w:cs="Times New Roman"/>
                <w:sz w:val="20"/>
                <w:szCs w:val="20"/>
                <w:lang w:val="en-GB"/>
              </w:rPr>
              <w:t>]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pl-PL"/>
              </w:rPr>
              <w:t>η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t>Solution type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t>Exper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t>im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t>. type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t>Reference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Atenolol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coarse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Antipyrine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coarse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coarse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Caffeine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coarse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Ciprofloxacin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coarse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coarse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Ketoprofen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coarse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coarse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coarse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Atenolol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Antipyrine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Caffeine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Ciprofloxacin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Ketoprofen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Atenolol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clay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Antipyrine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clay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clay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Caffeine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clay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Ciprofloxacin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clay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clay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Ketoprofen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clay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clay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clay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Atenolol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Antipyrine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Caffeine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Ciprofloxacin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Ketoprofen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Atenolol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Antipyrine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Caffeine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Ciprofloxacin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Ketoprofen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this study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Atenolol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1.54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tap 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column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Antipyrine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tap 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column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agricultural soil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1.79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3.35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4.80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l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oamy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ine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12.63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0.87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secondary-treated wastewater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l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oamy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ine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11.46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1.21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freshwater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l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oamy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ine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11.90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0.27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secondary-treated wastewater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l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oamy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ine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8.81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0.49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freshwater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0.91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secondary-treated wastewater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1.21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0.73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freshwater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0.27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1.13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secondary-treated wastewater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andy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0.92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freshwater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 (low TOC)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0.51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0.95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 (high TOC)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37.00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57.00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0.67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 (low TOC)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0.23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0.28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0.66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 (high TOC)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37.60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36.20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0.94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 (low TOC)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1192.00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832.00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0.61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 (high TOC)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3554.00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3224.00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0.94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0.01 M 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 (low TOC)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1.00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sandy loam (high TOC)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164.50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172.00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0.92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silty 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5.81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silty 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9.11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untreated wastewater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11.40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clay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9.19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untreated wastewater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topsoil/loam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4.61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12.40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0.87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agricultural soil/sand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1.72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3.80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0.89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Atenolol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0.67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0.85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0.26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0.88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0.11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0.61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Atenolol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loess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5.08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0.85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loess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0.67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0.88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loess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0.07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0.61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ciprofloxacin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soil (loamy sand)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427.00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soil (loamy sand)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309.00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5.30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5.34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0.99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artificially synthetised 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fine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0.21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0.13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1.08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artificially synthetised 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4.66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0.57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1.43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artificially synthetised 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1.43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3.89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0.78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artificially synthetised 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medium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1.87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1.18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artificially synthetised 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fine 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0.55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7.31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0.57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artificially synthetised groundwater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0.13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synthesized treated sewage 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column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Diclofenac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sand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0.57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synthesized treated sewage water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column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silt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3.28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3.26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0.96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0.005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silt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3.36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6.10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0.79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0.005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Sulfamethoxazole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sit loam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1.31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2.28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0.82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0.005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river sediment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1.70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0.90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river sediment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12.30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14.10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0.82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Ciprofloxacin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150-45000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river sediment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1.30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river sediment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8.10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river sediment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5.30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Atnolol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loam silt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1.10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river sediment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8.50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river sediment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1.40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river sediment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1.80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Carbamazepine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loam silt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1.20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0.01 M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natural soil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75.80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1778.28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0.46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soil (paddy field)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46.60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1380.38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0.42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soil (dry farmland)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67.80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1698.24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0.45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soil (pseudo-ginseng)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250.00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3981.07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0.52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soil (pseudo-ginseng)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158.00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3630.78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0.46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natural soil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234.00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2041.74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0.63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natural soil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239.00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3715.35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0.53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natural soil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409.00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257.04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1.08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soil (paddy field)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264.00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1621.81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0.69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agricultural soil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156.00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467.74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0.81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peat soil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530.00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9332.54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0.51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natural soil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384.00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18620.87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0.34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quartz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1.30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26.30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0.48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muscovite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2.20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70.79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0.40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kaolinite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60.50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2238.72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0.38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>
        <w:trPr>
          <w:divId w:val="263073786"/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O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floxacin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montmorillonite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1510.00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95499.26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0.29</w:t>
            </w:r>
          </w:p>
        </w:tc>
        <w:tc>
          <w:tcPr>
            <w:tcW w:w="3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CaCl₂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soultion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batch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</w:tbl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References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  <w:lang w:val="de-DE"/>
        </w:rPr>
        <w:t>1.</w:t>
      </w:r>
      <w:r>
        <w:rPr>
          <w:rFonts w:ascii="Cambria" w:hAnsi="Cambria"/>
          <w:sz w:val="22"/>
          <w:szCs w:val="22"/>
          <w:lang w:val="de-DE"/>
        </w:rPr>
        <w:tab/>
        <w:t xml:space="preserve">Burke, V., Treumann, S., Duennbier, U., Greskowiak, J., Massmann, G., 2013. </w:t>
      </w:r>
      <w:r>
        <w:rPr>
          <w:rFonts w:ascii="Cambria" w:hAnsi="Cambria"/>
          <w:sz w:val="22"/>
          <w:szCs w:val="22"/>
        </w:rPr>
        <w:t>Sorption behavior of 20 wastewater originated micropollutants in groundwater - Column experiments with pharmaceutical residues and industrial agents. J. Contam. Hydrol. 154, 29–41. doi:10.1016/j.jconhyd.2013.08.001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2.</w:t>
      </w:r>
      <w:r>
        <w:rPr>
          <w:rFonts w:ascii="Cambria" w:hAnsi="Cambria"/>
          <w:sz w:val="22"/>
          <w:szCs w:val="22"/>
        </w:rPr>
        <w:tab/>
        <w:t>Calisto, V., Esteves, V.I., 2012. Adsorption of the antiepileptic carbamazepine onto agricultural soils. J. Environ. Monit. 14, 1597–1603. doi:10.1039/c2em10895j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  <w:lang w:val="en-GB"/>
        </w:rPr>
        <w:t>3.</w:t>
      </w:r>
      <w:r>
        <w:rPr>
          <w:rFonts w:ascii="Cambria" w:hAnsi="Cambria"/>
          <w:sz w:val="22"/>
          <w:szCs w:val="22"/>
          <w:lang w:val="en-GB"/>
        </w:rPr>
        <w:tab/>
        <w:t xml:space="preserve">Chefetz, B., Mualem, T., Ben-Ari, J., 2008. </w:t>
      </w:r>
      <w:r>
        <w:rPr>
          <w:rFonts w:ascii="Cambria" w:hAnsi="Cambria"/>
          <w:sz w:val="22"/>
          <w:szCs w:val="22"/>
        </w:rPr>
        <w:t>Sorption and mobility of pharmaceutical compounds in soil irrigated with reclaimed wastewater. Chemosphere 73, 1335–1343. doi:10.1016/j.chemosphere.2008.06.070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4.</w:t>
      </w:r>
      <w:r>
        <w:rPr>
          <w:rFonts w:ascii="Cambria" w:hAnsi="Cambria"/>
          <w:sz w:val="22"/>
          <w:szCs w:val="22"/>
        </w:rPr>
        <w:tab/>
        <w:t>Durán-Álvarez, J.C., Prado-Pano, B., Jiménez-Cisneros, B., 2012. Sorption and desorption of carbamazepine, naproxen and triclosan in a soil irrigated with raw wastewater: Estimation of the sorption parameters by considering the initial mass of the compounds in the soil. Chemosphere 88, 84–90. doi:10.1016/j.chemosphere.2012.02.067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5.</w:t>
      </w:r>
      <w:r>
        <w:rPr>
          <w:rFonts w:ascii="Cambria" w:hAnsi="Cambria"/>
          <w:sz w:val="22"/>
          <w:szCs w:val="22"/>
        </w:rPr>
        <w:tab/>
        <w:t>Fenet, H., Mathieu, O., Mahjoub, O., Li, Z., Hillaire-Buys, D., Casellas, C., Gomez, E., 2012. Carbamazepine, carbamazepine epoxide and dihydroxycarbamazepine sorption to soil and occurrence in a wastewater reuse site in Tunisia. Chemosphere 88, 49–54. doi:10.1016/j.chemosphere.2012.02.050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6.</w:t>
      </w:r>
      <w:r>
        <w:rPr>
          <w:rFonts w:ascii="Cambria" w:hAnsi="Cambria"/>
          <w:sz w:val="22"/>
          <w:szCs w:val="22"/>
        </w:rPr>
        <w:tab/>
        <w:t>JCGM 100:2008, 2008. Evaluation of measurement data – Guide to the expression of uncertainty in measurement. Joint Committee for Guides in Metrology.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7.</w:t>
      </w:r>
      <w:r>
        <w:rPr>
          <w:rFonts w:ascii="Cambria" w:hAnsi="Cambria"/>
          <w:sz w:val="22"/>
          <w:szCs w:val="22"/>
        </w:rPr>
        <w:tab/>
        <w:t>Kodešová, R., Grabic, R., Kočárek, M., Klement, A., Golovko, O., Fér, M., Nikodem, A., Jakšík, O., 2015. Pharmaceuticals’ sorptions relative to properties of thirteen different soils. Sci. Total Environ. 511, 435–443. doi:10.1016/j.scitotenv.2014.12.088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8.</w:t>
      </w:r>
      <w:r>
        <w:rPr>
          <w:rFonts w:ascii="Cambria" w:hAnsi="Cambria"/>
          <w:sz w:val="22"/>
          <w:szCs w:val="22"/>
        </w:rPr>
        <w:tab/>
        <w:t>Nowara, A., Spiteller, M., 1997. Binding of Fluoroquinolone Carboxylic Acid Derivatives to Clay Minerals. J. Agric. Food Chem. 45, 1459–1463. doi:10.1021/jf960215l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  <w:lang w:val="de-DE"/>
        </w:rPr>
      </w:pPr>
      <w:r>
        <w:rPr>
          <w:rFonts w:ascii="Cambria" w:hAnsi="Cambria"/>
          <w:sz w:val="22"/>
          <w:szCs w:val="22"/>
        </w:rPr>
        <w:t>9.</w:t>
      </w:r>
      <w:r>
        <w:rPr>
          <w:rFonts w:ascii="Cambria" w:hAnsi="Cambria"/>
          <w:sz w:val="22"/>
          <w:szCs w:val="22"/>
        </w:rPr>
        <w:tab/>
        <w:t xml:space="preserve">Scheytt, T., Mersmann, P., Lindstädt, R., Heberer, T., 2005. Determination of sorption coefficients of pharmaceutically active substances carbamazepine, diclofenac, and ibuprofen, in sandy sediments. </w:t>
      </w:r>
      <w:r>
        <w:rPr>
          <w:rFonts w:ascii="Cambria" w:hAnsi="Cambria"/>
          <w:sz w:val="22"/>
          <w:szCs w:val="22"/>
          <w:lang w:val="de-DE"/>
        </w:rPr>
        <w:t>Chemosphere 60, 245–253. doi:10.1016/j.chemosphere.2004.12.042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  <w:lang w:val="de-DE"/>
        </w:rPr>
        <w:t>10.</w:t>
      </w:r>
      <w:r>
        <w:rPr>
          <w:rFonts w:ascii="Cambria" w:hAnsi="Cambria"/>
          <w:sz w:val="22"/>
          <w:szCs w:val="22"/>
          <w:lang w:val="de-DE"/>
        </w:rPr>
        <w:tab/>
        <w:t xml:space="preserve">Scheytt, T.J., Mersmann, P., Heberer, T., 2006. </w:t>
      </w:r>
      <w:r>
        <w:rPr>
          <w:rFonts w:ascii="Cambria" w:hAnsi="Cambria"/>
          <w:sz w:val="22"/>
          <w:szCs w:val="22"/>
        </w:rPr>
        <w:t>Mobility of pharmaceuticals carbamazepine, diclofenac, ibuprofen, and propyphenazone in miscible-displacement experiments. J. Contam. Hydrol. 83, 53–69. doi:10.1016/j.jconhyd.2005.11.002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11.</w:t>
      </w:r>
      <w:r>
        <w:rPr>
          <w:rFonts w:ascii="Cambria" w:hAnsi="Cambria"/>
          <w:sz w:val="22"/>
          <w:szCs w:val="22"/>
        </w:rPr>
        <w:tab/>
        <w:t>Srinivasan, P., Sarmah, A.K., Manley-</w:t>
      </w:r>
      <w:r>
        <w:rPr>
          <w:rFonts w:ascii="Cambria" w:hAnsi="Cambria"/>
          <w:sz w:val="22"/>
          <w:szCs w:val="22"/>
        </w:rPr>
        <w:t>H</w:t>
      </w:r>
      <w:r>
        <w:rPr>
          <w:rFonts w:ascii="Cambria" w:hAnsi="Cambria"/>
          <w:sz w:val="22"/>
          <w:szCs w:val="22"/>
        </w:rPr>
        <w:t>arris, M., 2013. Co-contaminants and factors affecting the sorption behaviour of two sulfonamides in pasture soils. Environ. Pollut. 180, 165–172. doi:10.1016/j.envpol.2013.05.022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  <w:lang w:val="en-GB"/>
        </w:rPr>
        <w:t>12.</w:t>
      </w:r>
      <w:r>
        <w:rPr>
          <w:rFonts w:ascii="Cambria" w:hAnsi="Cambria"/>
          <w:sz w:val="22"/>
          <w:szCs w:val="22"/>
          <w:lang w:val="en-GB"/>
        </w:rPr>
        <w:tab/>
        <w:t xml:space="preserve">Stein, K., Ramil, M., Fink, G., Sander, M., 2008. </w:t>
      </w:r>
      <w:r>
        <w:rPr>
          <w:rFonts w:ascii="Cambria" w:hAnsi="Cambria"/>
          <w:sz w:val="22"/>
          <w:szCs w:val="22"/>
        </w:rPr>
        <w:t>Analysis and Sorption of Psychoactive Drugs onto Sediment. Environ. Sci. Technol. 42, 6415–6423. doi:10.1021/es702959a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13.</w:t>
      </w:r>
      <w:r>
        <w:rPr>
          <w:rFonts w:ascii="Cambria" w:hAnsi="Cambria"/>
          <w:sz w:val="22"/>
          <w:szCs w:val="22"/>
        </w:rPr>
        <w:tab/>
        <w:t>Vasudevan, D., Bruland, G.L., Torrance, B.S., Upchurch, V.G., MacKay, A. a., 2009. pH-dependent ciprofloxacin sorption to soils: Interaction mechanisms and soil factors influencing sorption. Geoderma 151, 68–76. doi:10.1016/j.geoderma.2009.03.007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14.</w:t>
      </w:r>
      <w:r>
        <w:rPr>
          <w:rFonts w:ascii="Cambria" w:hAnsi="Cambria"/>
          <w:sz w:val="22"/>
          <w:szCs w:val="22"/>
        </w:rPr>
        <w:tab/>
        <w:t>Yamamoto, H., Nakamura, Y., Moriguchi, S., Nakamura, Y., Honda, Y., Tamura, I., Hirata, Y., Hayashi, A., Sekizawa, J., 2009. Persistence and partitioning of eight selected pharmaceuticals in the aquatic environment: Laboratory photolysis, biodegradation, and sorption experiments. Water Res. 43, 351–362. doi:10.1016/j.watres.2008.10.039</w:t>
      </w:r>
    </w:p>
    <w:p>
      <w:pPr>
        <w:pStyle w:val="StandardWeb"/>
        <w:spacing w:before="0" w:beforeAutospacing="0" w:after="0" w:afterAutospacing="0"/>
        <w:divId w:val="26307378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15.</w:t>
      </w:r>
      <w:r>
        <w:rPr>
          <w:rFonts w:ascii="Cambria" w:hAnsi="Cambria"/>
          <w:sz w:val="22"/>
          <w:szCs w:val="22"/>
        </w:rPr>
        <w:tab/>
        <w:t>Zhou, D., Chen, B., Wu, M., Liang, N., Zhang, D., Li, H., Pan, B., 2014. Ofloxacin sorption in soils after long-term tillage: The contribution of organic and mineral compositions. Sci. Total Environ. 497–498, 665–670. doi:10.1016/j.scitotenv.2014.07.130</w:t>
      </w:r>
    </w:p>
    <w:sectPr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771C1"/>
    <w:multiLevelType w:val="hybridMultilevel"/>
    <w:tmpl w:val="97B6B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2257D"/>
    <w:multiLevelType w:val="hybridMultilevel"/>
    <w:tmpl w:val="79949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B2C46"/>
    <w:multiLevelType w:val="multilevel"/>
    <w:tmpl w:val="C31C841E"/>
    <w:lvl w:ilvl="0">
      <w:start w:val="1"/>
      <w:numFmt w:val="decimal"/>
      <w:lvlText w:val="SM.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SM.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508139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81155F0"/>
    <w:multiLevelType w:val="hybridMultilevel"/>
    <w:tmpl w:val="F72E2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5:docId w15:val="{07E927D2-7092-4602-95FF-BD3F7343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info">
    <w:name w:val="info"/>
    <w:basedOn w:val="Absatz-Standardschriftart"/>
  </w:style>
  <w:style w:type="character" w:customStyle="1" w:styleId="xbe">
    <w:name w:val="_xbe"/>
    <w:basedOn w:val="Absatz-Standardschriftart"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/>
      <w:u w:val="single"/>
    </w:rPr>
  </w:style>
  <w:style w:type="paragraph" w:customStyle="1" w:styleId="font5">
    <w:name w:val="font5"/>
    <w:basedOn w:val="Standard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pl-PL" w:eastAsia="pl-PL"/>
    </w:rPr>
  </w:style>
  <w:style w:type="paragraph" w:customStyle="1" w:styleId="font6">
    <w:name w:val="font6"/>
    <w:basedOn w:val="Standard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pl-PL" w:eastAsia="pl-PL"/>
    </w:rPr>
  </w:style>
  <w:style w:type="paragraph" w:customStyle="1" w:styleId="xl66">
    <w:name w:val="xl66"/>
    <w:basedOn w:val="Standar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l67">
    <w:name w:val="xl67"/>
    <w:basedOn w:val="Standar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1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95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73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0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2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0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59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359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203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213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073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05A46-269A-49D6-8601-D2BCE5AB8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2275</Words>
  <Characters>14335</Characters>
  <Application>Microsoft Office Word</Application>
  <DocSecurity>4</DocSecurity>
  <Lines>119</Lines>
  <Paragraphs>33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Helmholtz Zentrum München</Company>
  <LinksUpToDate>false</LinksUpToDate>
  <CharactersWithSpaces>16577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aleksandra.kiecak</dc:creator>
  <cp:keywords/>
  <dc:description/>
  <cp:lastModifiedBy>katrin.rauner</cp:lastModifiedBy>
  <cp:revision>2</cp:revision>
  <cp:lastPrinted>2017-03-27T12:56:00Z</cp:lastPrinted>
  <dcterms:created xsi:type="dcterms:W3CDTF">2019-11-25T07:42:00Z</dcterms:created>
  <dcterms:modified xsi:type="dcterms:W3CDTF">2019-11-25T07:42:00Z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http://www.zotero.org/styles/journal-of-contaminant-hydrology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16th edition (author-date)</vt:lpwstr>
  </property>
  <property fmtid="{D5CDD505-2E9C-101B-9397-08002B2CF9AE}" pid="12" name="Mendeley Recent Style Id 4_1">
    <vt:lpwstr>http://www.zotero.org/styles/harvard1</vt:lpwstr>
  </property>
  <property fmtid="{D5CDD505-2E9C-101B-9397-08002B2CF9AE}" pid="13" name="Mendeley Recent Style Name 4_1">
    <vt:lpwstr>Harvard Reference format 1 (author-date)</vt:lpwstr>
  </property>
  <property fmtid="{D5CDD505-2E9C-101B-9397-08002B2CF9AE}" pid="14" name="Mendeley Recent Style Id 5_1">
    <vt:lpwstr>http://www.zotero.org/styles/ieee</vt:lpwstr>
  </property>
  <property fmtid="{D5CDD505-2E9C-101B-9397-08002B2CF9AE}" pid="15" name="Mendeley Recent Style Name 5_1">
    <vt:lpwstr>IEEE</vt:lpwstr>
  </property>
  <property fmtid="{D5CDD505-2E9C-101B-9397-08002B2CF9AE}" pid="16" name="Mendeley Recent Style Id 6_1">
    <vt:lpwstr>http://www.zotero.org/styles/journal-of-contaminant-hydrology</vt:lpwstr>
  </property>
  <property fmtid="{D5CDD505-2E9C-101B-9397-08002B2CF9AE}" pid="17" name="Mendeley Recent Style Name 6_1">
    <vt:lpwstr>Journal of Contaminant Hydrology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7th edition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http://www.zotero.org/styles/science-of-the-total-environment</vt:lpwstr>
  </property>
  <property fmtid="{D5CDD505-2E9C-101B-9397-08002B2CF9AE}" pid="23" name="Mendeley Recent Style Name 9_1">
    <vt:lpwstr>Science of the Total Environment</vt:lpwstr>
  </property>
  <property fmtid="{D5CDD505-2E9C-101B-9397-08002B2CF9AE}" pid="24" name="Mendeley Unique User Id_1">
    <vt:lpwstr>ed31838e-45ec-3852-b114-ba47304a670c</vt:lpwstr>
  </property>
</Properties>
</file>