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rPr>
          <w:rFonts w:ascii="Cambria" w:hAnsi="Cambria"/>
          <w:b/>
          <w:sz w:val="24"/>
        </w:rPr>
      </w:pPr>
      <w:bookmarkStart w:id="0" w:name="_GoBack"/>
      <w:bookmarkEnd w:id="0"/>
      <w:r>
        <w:rPr>
          <w:rFonts w:ascii="Cambria" w:hAnsi="Cambria"/>
          <w:b/>
          <w:sz w:val="24"/>
        </w:rPr>
        <w:t>Supplementary material</w:t>
      </w:r>
    </w:p>
    <w:p>
      <w:pPr>
        <w:pStyle w:val="Listenabsatz"/>
        <w:numPr>
          <w:ilvl w:val="0"/>
          <w:numId w:val="2"/>
        </w:numPr>
        <w:rPr>
          <w:rFonts w:ascii="Cambria" w:eastAsiaTheme="minorEastAsia" w:hAnsi="Cambria" w:cs="Times New Roman"/>
          <w:b/>
          <w:sz w:val="24"/>
          <w:szCs w:val="24"/>
        </w:rPr>
      </w:pPr>
      <w:r>
        <w:rPr>
          <w:rFonts w:ascii="Cambria" w:hAnsi="Cambria"/>
          <w:b/>
        </w:rPr>
        <w:t>Chemicals</w:t>
      </w:r>
    </w:p>
    <w:tbl>
      <w:tblPr>
        <w:tblStyle w:val="Tabellenraster"/>
        <w:tblW w:w="9356" w:type="dxa"/>
        <w:tblInd w:w="108" w:type="dxa"/>
        <w:tblLook w:val="04A0" w:firstRow="1" w:lastRow="0" w:firstColumn="1" w:lastColumn="0" w:noHBand="0" w:noVBand="1"/>
      </w:tblPr>
      <w:tblGrid>
        <w:gridCol w:w="2796"/>
        <w:gridCol w:w="3618"/>
        <w:gridCol w:w="1470"/>
        <w:gridCol w:w="1472"/>
      </w:tblGrid>
      <w:tr>
        <w:trPr>
          <w:divId w:val="263073786"/>
          <w:trHeight w:val="469"/>
        </w:trPr>
        <w:tc>
          <w:tcPr>
            <w:tcW w:w="2796" w:type="dxa"/>
            <w:vAlign w:val="center"/>
          </w:tcPr>
          <w:p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3618" w:type="dxa"/>
            <w:vAlign w:val="center"/>
          </w:tcPr>
          <w:p>
            <w:pPr>
              <w:rPr>
                <w:rFonts w:ascii="Cambria" w:hAnsi="Cambria" w:cs="Times New Roman"/>
                <w:b/>
                <w:sz w:val="20"/>
                <w:szCs w:val="20"/>
              </w:rPr>
            </w:pPr>
            <w:r>
              <w:rPr>
                <w:rFonts w:ascii="Cambria" w:hAnsi="Cambria" w:cs="Times New Roman"/>
                <w:b/>
                <w:sz w:val="20"/>
                <w:szCs w:val="20"/>
              </w:rPr>
              <w:t>Grade</w:t>
            </w:r>
            <w:r>
              <w:rPr>
                <w:rFonts w:ascii="Cambria" w:hAnsi="Cambria" w:cs="Times New Roman"/>
                <w:b/>
                <w:sz w:val="20"/>
                <w:szCs w:val="20"/>
              </w:rPr>
              <w:t>, assay</w:t>
            </w:r>
          </w:p>
        </w:tc>
        <w:tc>
          <w:tcPr>
            <w:tcW w:w="1470" w:type="dxa"/>
            <w:vAlign w:val="center"/>
          </w:tcPr>
          <w:p>
            <w:pPr>
              <w:rPr>
                <w:rFonts w:ascii="Cambria" w:hAnsi="Cambria" w:cs="Times New Roman"/>
                <w:b/>
                <w:sz w:val="20"/>
                <w:szCs w:val="20"/>
              </w:rPr>
            </w:pPr>
            <w:r>
              <w:rPr>
                <w:rFonts w:ascii="Cambria" w:hAnsi="Cambria" w:cs="Times New Roman"/>
                <w:b/>
                <w:sz w:val="20"/>
                <w:szCs w:val="20"/>
              </w:rPr>
              <w:t>CAS Number</w:t>
            </w:r>
          </w:p>
        </w:tc>
        <w:tc>
          <w:tcPr>
            <w:tcW w:w="1472" w:type="dxa"/>
            <w:vAlign w:val="center"/>
          </w:tcPr>
          <w:p>
            <w:pPr>
              <w:rPr>
                <w:rFonts w:ascii="Cambria" w:hAnsi="Cambria" w:cs="Times New Roman"/>
                <w:b/>
                <w:sz w:val="20"/>
                <w:szCs w:val="20"/>
              </w:rPr>
            </w:pPr>
            <w:r>
              <w:rPr>
                <w:rFonts w:ascii="Cambria" w:hAnsi="Cambria" w:cs="Times New Roman"/>
                <w:b/>
                <w:sz w:val="20"/>
                <w:szCs w:val="20"/>
              </w:rPr>
              <w:t>Supplier</w:t>
            </w:r>
          </w:p>
        </w:tc>
      </w:tr>
      <w:tr>
        <w:trPr>
          <w:divId w:val="263073786"/>
          <w:trHeight w:val="469"/>
        </w:trPr>
        <w:tc>
          <w:tcPr>
            <w:tcW w:w="2796" w:type="dxa"/>
            <w:vAlign w:val="center"/>
          </w:tcPr>
          <w:p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Antipyrine</w:t>
            </w:r>
          </w:p>
        </w:tc>
        <w:tc>
          <w:tcPr>
            <w:tcW w:w="3618" w:type="dxa"/>
            <w:vAlign w:val="center"/>
          </w:tcPr>
          <w:p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analytical standard</w:t>
            </w:r>
          </w:p>
        </w:tc>
        <w:tc>
          <w:tcPr>
            <w:tcW w:w="1470" w:type="dxa"/>
            <w:vAlign w:val="center"/>
          </w:tcPr>
          <w:p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60-80-0</w:t>
            </w:r>
          </w:p>
        </w:tc>
        <w:tc>
          <w:tcPr>
            <w:tcW w:w="1472" w:type="dxa"/>
            <w:vAlign w:val="center"/>
          </w:tcPr>
          <w:p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Sigma Aldrich</w:t>
            </w:r>
          </w:p>
        </w:tc>
      </w:tr>
      <w:tr>
        <w:trPr>
          <w:divId w:val="263073786"/>
          <w:trHeight w:val="469"/>
        </w:trPr>
        <w:tc>
          <w:tcPr>
            <w:tcW w:w="2796" w:type="dxa"/>
            <w:vAlign w:val="center"/>
          </w:tcPr>
          <w:p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Atenolol</w:t>
            </w:r>
          </w:p>
        </w:tc>
        <w:tc>
          <w:tcPr>
            <w:tcW w:w="3618" w:type="dxa"/>
            <w:vAlign w:val="center"/>
          </w:tcPr>
          <w:p>
            <w:pPr>
              <w:rPr>
                <w:rStyle w:val="info"/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≥98% (TLC)</w:t>
            </w:r>
          </w:p>
        </w:tc>
        <w:tc>
          <w:tcPr>
            <w:tcW w:w="1470" w:type="dxa"/>
            <w:vAlign w:val="center"/>
          </w:tcPr>
          <w:p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Style w:val="info"/>
                <w:rFonts w:ascii="Cambria" w:hAnsi="Cambria"/>
                <w:sz w:val="20"/>
                <w:szCs w:val="20"/>
              </w:rPr>
              <w:t>29122-68-7</w:t>
            </w:r>
          </w:p>
        </w:tc>
        <w:tc>
          <w:tcPr>
            <w:tcW w:w="1472" w:type="dxa"/>
            <w:vAlign w:val="center"/>
          </w:tcPr>
          <w:p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Sigma Aldrich</w:t>
            </w:r>
          </w:p>
        </w:tc>
      </w:tr>
      <w:tr>
        <w:trPr>
          <w:divId w:val="263073786"/>
          <w:trHeight w:val="469"/>
        </w:trPr>
        <w:tc>
          <w:tcPr>
            <w:tcW w:w="2796" w:type="dxa"/>
            <w:vAlign w:val="center"/>
          </w:tcPr>
          <w:p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Caffeine</w:t>
            </w:r>
          </w:p>
        </w:tc>
        <w:tc>
          <w:tcPr>
            <w:tcW w:w="3618" w:type="dxa"/>
            <w:vAlign w:val="center"/>
          </w:tcPr>
          <w:p>
            <w:pPr>
              <w:rPr>
                <w:rStyle w:val="info"/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≥</w:t>
            </w:r>
            <w:r>
              <w:rPr>
                <w:rFonts w:ascii="Cambria" w:eastAsia="Times New Roman" w:hAnsi="Cambria" w:cs="Arial"/>
                <w:sz w:val="20"/>
                <w:szCs w:val="20"/>
              </w:rPr>
              <w:t xml:space="preserve">98 %, </w:t>
            </w:r>
            <w:r>
              <w:rPr>
                <w:rFonts w:ascii="Cambria" w:hAnsi="Cambria"/>
                <w:sz w:val="20"/>
                <w:szCs w:val="20"/>
              </w:rPr>
              <w:t xml:space="preserve">ReagentPlus®, for </w:t>
            </w:r>
            <w:r>
              <w:rPr>
                <w:rFonts w:ascii="Cambria" w:hAnsi="Cambria"/>
                <w:sz w:val="20"/>
                <w:szCs w:val="20"/>
              </w:rPr>
              <w:t>HPLC</w:t>
            </w:r>
          </w:p>
        </w:tc>
        <w:tc>
          <w:tcPr>
            <w:tcW w:w="1470" w:type="dxa"/>
            <w:vAlign w:val="center"/>
          </w:tcPr>
          <w:p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Style w:val="info"/>
                <w:rFonts w:ascii="Cambria" w:hAnsi="Cambria"/>
                <w:sz w:val="20"/>
                <w:szCs w:val="20"/>
              </w:rPr>
              <w:t>58-08-2</w:t>
            </w:r>
          </w:p>
        </w:tc>
        <w:tc>
          <w:tcPr>
            <w:tcW w:w="1472" w:type="dxa"/>
            <w:vAlign w:val="center"/>
          </w:tcPr>
          <w:p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Sigma Aldrich</w:t>
            </w:r>
          </w:p>
        </w:tc>
      </w:tr>
      <w:tr>
        <w:trPr>
          <w:divId w:val="263073786"/>
          <w:trHeight w:val="469"/>
        </w:trPr>
        <w:tc>
          <w:tcPr>
            <w:tcW w:w="2796" w:type="dxa"/>
            <w:vAlign w:val="center"/>
          </w:tcPr>
          <w:p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Carbamazepine</w:t>
            </w:r>
          </w:p>
        </w:tc>
        <w:tc>
          <w:tcPr>
            <w:tcW w:w="3618" w:type="dxa"/>
            <w:vAlign w:val="center"/>
          </w:tcPr>
          <w:p>
            <w:pPr>
              <w:rPr>
                <w:rStyle w:val="info"/>
                <w:rFonts w:ascii="Cambria" w:eastAsia="Times New Roman" w:hAnsi="Cambria" w:cs="Arial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≥</w:t>
            </w:r>
            <w:r>
              <w:rPr>
                <w:rFonts w:ascii="Cambria" w:eastAsia="Times New Roman" w:hAnsi="Cambria" w:cs="Arial"/>
                <w:sz w:val="20"/>
                <w:szCs w:val="20"/>
              </w:rPr>
              <w:t>98 %</w:t>
            </w:r>
          </w:p>
        </w:tc>
        <w:tc>
          <w:tcPr>
            <w:tcW w:w="1470" w:type="dxa"/>
            <w:vAlign w:val="center"/>
          </w:tcPr>
          <w:p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Style w:val="info"/>
                <w:rFonts w:ascii="Cambria" w:hAnsi="Cambria"/>
                <w:sz w:val="20"/>
                <w:szCs w:val="20"/>
              </w:rPr>
              <w:t>298-46-4</w:t>
            </w:r>
          </w:p>
        </w:tc>
        <w:tc>
          <w:tcPr>
            <w:tcW w:w="1472" w:type="dxa"/>
            <w:vAlign w:val="center"/>
          </w:tcPr>
          <w:p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Sigma Aldrich</w:t>
            </w:r>
          </w:p>
        </w:tc>
      </w:tr>
      <w:tr>
        <w:trPr>
          <w:divId w:val="263073786"/>
          <w:trHeight w:val="469"/>
        </w:trPr>
        <w:tc>
          <w:tcPr>
            <w:tcW w:w="2796" w:type="dxa"/>
            <w:vAlign w:val="center"/>
          </w:tcPr>
          <w:p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Ciprofloxacin</w:t>
            </w:r>
          </w:p>
        </w:tc>
        <w:tc>
          <w:tcPr>
            <w:tcW w:w="3618" w:type="dxa"/>
            <w:vAlign w:val="center"/>
          </w:tcPr>
          <w:p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≥98.0% (HPLC)</w:t>
            </w:r>
          </w:p>
        </w:tc>
        <w:tc>
          <w:tcPr>
            <w:tcW w:w="1470" w:type="dxa"/>
            <w:vAlign w:val="center"/>
          </w:tcPr>
          <w:p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85721-33-1</w:t>
            </w:r>
          </w:p>
        </w:tc>
        <w:tc>
          <w:tcPr>
            <w:tcW w:w="1472" w:type="dxa"/>
            <w:vAlign w:val="center"/>
          </w:tcPr>
          <w:p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Sigma Aldrich</w:t>
            </w:r>
          </w:p>
        </w:tc>
      </w:tr>
      <w:tr>
        <w:trPr>
          <w:divId w:val="263073786"/>
          <w:trHeight w:val="469"/>
        </w:trPr>
        <w:tc>
          <w:tcPr>
            <w:tcW w:w="2796" w:type="dxa"/>
            <w:vAlign w:val="center"/>
          </w:tcPr>
          <w:p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Diclofenac</w:t>
            </w:r>
          </w:p>
        </w:tc>
        <w:tc>
          <w:tcPr>
            <w:tcW w:w="3618" w:type="dxa"/>
            <w:vAlign w:val="center"/>
          </w:tcPr>
          <w:p>
            <w:pPr>
              <w:rPr>
                <w:rStyle w:val="xbe"/>
                <w:rFonts w:ascii="Cambria" w:hAnsi="Cambria"/>
                <w:sz w:val="20"/>
                <w:szCs w:val="20"/>
              </w:rPr>
            </w:pPr>
          </w:p>
        </w:tc>
        <w:tc>
          <w:tcPr>
            <w:tcW w:w="1470" w:type="dxa"/>
            <w:vAlign w:val="center"/>
          </w:tcPr>
          <w:p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Style w:val="xbe"/>
                <w:rFonts w:ascii="Cambria" w:hAnsi="Cambria"/>
                <w:sz w:val="20"/>
                <w:szCs w:val="20"/>
              </w:rPr>
              <w:t>15307-79-6</w:t>
            </w:r>
          </w:p>
        </w:tc>
        <w:tc>
          <w:tcPr>
            <w:tcW w:w="1472" w:type="dxa"/>
            <w:vAlign w:val="center"/>
          </w:tcPr>
          <w:p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Sigma Aldrich</w:t>
            </w:r>
          </w:p>
        </w:tc>
      </w:tr>
      <w:tr>
        <w:trPr>
          <w:divId w:val="263073786"/>
          <w:trHeight w:val="469"/>
        </w:trPr>
        <w:tc>
          <w:tcPr>
            <w:tcW w:w="2796" w:type="dxa"/>
            <w:vAlign w:val="center"/>
          </w:tcPr>
          <w:p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Ketoprofen</w:t>
            </w:r>
          </w:p>
        </w:tc>
        <w:tc>
          <w:tcPr>
            <w:tcW w:w="3618" w:type="dxa"/>
            <w:vAlign w:val="center"/>
          </w:tcPr>
          <w:p>
            <w:pPr>
              <w:rPr>
                <w:rStyle w:val="xbe"/>
                <w:rFonts w:ascii="Cambria" w:hAnsi="Cambria"/>
                <w:sz w:val="20"/>
                <w:szCs w:val="20"/>
              </w:rPr>
            </w:pPr>
            <w:r>
              <w:rPr>
                <w:rStyle w:val="xbe"/>
                <w:rFonts w:ascii="Cambria" w:hAnsi="Cambria"/>
                <w:sz w:val="20"/>
                <w:szCs w:val="20"/>
              </w:rPr>
              <w:t>≥98% (TLC)</w:t>
            </w:r>
          </w:p>
        </w:tc>
        <w:tc>
          <w:tcPr>
            <w:tcW w:w="1470" w:type="dxa"/>
            <w:vAlign w:val="center"/>
          </w:tcPr>
          <w:p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Style w:val="xbe"/>
                <w:rFonts w:ascii="Cambria" w:hAnsi="Cambria"/>
                <w:sz w:val="20"/>
                <w:szCs w:val="20"/>
              </w:rPr>
              <w:t>22071-15-4</w:t>
            </w:r>
          </w:p>
        </w:tc>
        <w:tc>
          <w:tcPr>
            <w:tcW w:w="1472" w:type="dxa"/>
            <w:vAlign w:val="center"/>
          </w:tcPr>
          <w:p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Sigma Aldrich</w:t>
            </w:r>
          </w:p>
        </w:tc>
      </w:tr>
      <w:tr>
        <w:trPr>
          <w:divId w:val="263073786"/>
          <w:trHeight w:val="469"/>
        </w:trPr>
        <w:tc>
          <w:tcPr>
            <w:tcW w:w="2796" w:type="dxa"/>
            <w:vAlign w:val="center"/>
          </w:tcPr>
          <w:p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Ofloxacin</w:t>
            </w:r>
          </w:p>
        </w:tc>
        <w:tc>
          <w:tcPr>
            <w:tcW w:w="3618" w:type="dxa"/>
            <w:vAlign w:val="center"/>
          </w:tcPr>
          <w:p>
            <w:pPr>
              <w:rPr>
                <w:rStyle w:val="xbe"/>
                <w:rFonts w:ascii="Cambria" w:hAnsi="Cambria"/>
                <w:sz w:val="20"/>
                <w:szCs w:val="20"/>
              </w:rPr>
            </w:pPr>
          </w:p>
        </w:tc>
        <w:tc>
          <w:tcPr>
            <w:tcW w:w="1470" w:type="dxa"/>
            <w:vAlign w:val="center"/>
          </w:tcPr>
          <w:p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Style w:val="xbe"/>
                <w:rFonts w:ascii="Cambria" w:hAnsi="Cambria"/>
                <w:sz w:val="20"/>
                <w:szCs w:val="20"/>
              </w:rPr>
              <w:t>82419-36-1</w:t>
            </w:r>
          </w:p>
        </w:tc>
        <w:tc>
          <w:tcPr>
            <w:tcW w:w="1472" w:type="dxa"/>
            <w:vAlign w:val="center"/>
          </w:tcPr>
          <w:p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Sigma Aldrich</w:t>
            </w:r>
          </w:p>
        </w:tc>
      </w:tr>
      <w:tr>
        <w:trPr>
          <w:divId w:val="263073786"/>
          <w:trHeight w:val="469"/>
        </w:trPr>
        <w:tc>
          <w:tcPr>
            <w:tcW w:w="2796" w:type="dxa"/>
            <w:vAlign w:val="center"/>
          </w:tcPr>
          <w:p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Sulfamethoxazole</w:t>
            </w:r>
          </w:p>
        </w:tc>
        <w:tc>
          <w:tcPr>
            <w:tcW w:w="3618" w:type="dxa"/>
            <w:vAlign w:val="center"/>
          </w:tcPr>
          <w:p>
            <w:pPr>
              <w:rPr>
                <w:rStyle w:val="xbe"/>
                <w:rFonts w:ascii="Cambria" w:hAnsi="Cambria"/>
                <w:sz w:val="20"/>
                <w:szCs w:val="20"/>
              </w:rPr>
            </w:pPr>
            <w:r>
              <w:rPr>
                <w:rStyle w:val="xbe"/>
                <w:rFonts w:ascii="Cambria" w:hAnsi="Cambria"/>
                <w:sz w:val="20"/>
                <w:szCs w:val="20"/>
              </w:rPr>
              <w:t>analytical standard</w:t>
            </w:r>
          </w:p>
        </w:tc>
        <w:tc>
          <w:tcPr>
            <w:tcW w:w="1470" w:type="dxa"/>
            <w:vAlign w:val="center"/>
          </w:tcPr>
          <w:p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Style w:val="xbe"/>
                <w:rFonts w:ascii="Cambria" w:hAnsi="Cambria"/>
                <w:sz w:val="20"/>
                <w:szCs w:val="20"/>
              </w:rPr>
              <w:t>723-46-6</w:t>
            </w:r>
          </w:p>
        </w:tc>
        <w:tc>
          <w:tcPr>
            <w:tcW w:w="1472" w:type="dxa"/>
            <w:vAlign w:val="center"/>
          </w:tcPr>
          <w:p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Sigma Aldrich</w:t>
            </w:r>
          </w:p>
        </w:tc>
      </w:tr>
      <w:tr>
        <w:trPr>
          <w:divId w:val="263073786"/>
          <w:trHeight w:val="469"/>
        </w:trPr>
        <w:tc>
          <w:tcPr>
            <w:tcW w:w="2796" w:type="dxa"/>
            <w:vAlign w:val="center"/>
          </w:tcPr>
          <w:p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Methanol</w:t>
            </w:r>
          </w:p>
        </w:tc>
        <w:tc>
          <w:tcPr>
            <w:tcW w:w="3618" w:type="dxa"/>
            <w:vAlign w:val="center"/>
          </w:tcPr>
          <w:p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≥</w:t>
            </w:r>
            <w:r>
              <w:rPr>
                <w:rFonts w:ascii="Cambria" w:hAnsi="Cambria" w:cs="Times New Roman"/>
                <w:sz w:val="20"/>
                <w:szCs w:val="20"/>
              </w:rPr>
              <w:t>99.9%, CHROMASOLV(R)</w:t>
            </w:r>
          </w:p>
        </w:tc>
        <w:tc>
          <w:tcPr>
            <w:tcW w:w="1470" w:type="dxa"/>
            <w:vAlign w:val="center"/>
          </w:tcPr>
          <w:p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67-56-1</w:t>
            </w:r>
          </w:p>
        </w:tc>
        <w:tc>
          <w:tcPr>
            <w:tcW w:w="1472" w:type="dxa"/>
            <w:vAlign w:val="center"/>
          </w:tcPr>
          <w:p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Sigma Aldrich</w:t>
            </w:r>
          </w:p>
        </w:tc>
      </w:tr>
      <w:tr>
        <w:trPr>
          <w:divId w:val="263073786"/>
          <w:trHeight w:val="469"/>
        </w:trPr>
        <w:tc>
          <w:tcPr>
            <w:tcW w:w="2796" w:type="dxa"/>
            <w:vAlign w:val="center"/>
          </w:tcPr>
          <w:p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Acetonitrile </w:t>
            </w:r>
          </w:p>
        </w:tc>
        <w:tc>
          <w:tcPr>
            <w:tcW w:w="3618" w:type="dxa"/>
            <w:vAlign w:val="center"/>
          </w:tcPr>
          <w:p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≥99.9%, </w:t>
            </w:r>
            <w:r>
              <w:rPr>
                <w:rFonts w:ascii="Cambria" w:hAnsi="Cambria" w:cs="Times New Roman"/>
                <w:sz w:val="20"/>
                <w:szCs w:val="20"/>
              </w:rPr>
              <w:t>LC-MS CHROMASOLV®</w:t>
            </w:r>
          </w:p>
        </w:tc>
        <w:tc>
          <w:tcPr>
            <w:tcW w:w="1470" w:type="dxa"/>
            <w:vAlign w:val="center"/>
          </w:tcPr>
          <w:p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75-05-8</w:t>
            </w:r>
          </w:p>
        </w:tc>
        <w:tc>
          <w:tcPr>
            <w:tcW w:w="1472" w:type="dxa"/>
            <w:vAlign w:val="center"/>
          </w:tcPr>
          <w:p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Sigma Aldrich</w:t>
            </w:r>
          </w:p>
        </w:tc>
      </w:tr>
      <w:tr>
        <w:trPr>
          <w:divId w:val="263073786"/>
          <w:trHeight w:val="469"/>
        </w:trPr>
        <w:tc>
          <w:tcPr>
            <w:tcW w:w="2796" w:type="dxa"/>
            <w:vAlign w:val="center"/>
          </w:tcPr>
          <w:p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Ammonium acetate</w:t>
            </w:r>
          </w:p>
        </w:tc>
        <w:tc>
          <w:tcPr>
            <w:tcW w:w="3618" w:type="dxa"/>
            <w:vAlign w:val="center"/>
          </w:tcPr>
          <w:p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≥99.0%, for HPLC</w:t>
            </w:r>
          </w:p>
        </w:tc>
        <w:tc>
          <w:tcPr>
            <w:tcW w:w="1470" w:type="dxa"/>
            <w:vAlign w:val="center"/>
          </w:tcPr>
          <w:p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631-61-8</w:t>
            </w:r>
          </w:p>
        </w:tc>
        <w:tc>
          <w:tcPr>
            <w:tcW w:w="1472" w:type="dxa"/>
            <w:vAlign w:val="center"/>
          </w:tcPr>
          <w:p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Sigma Aldrich</w:t>
            </w:r>
          </w:p>
        </w:tc>
      </w:tr>
      <w:tr>
        <w:trPr>
          <w:divId w:val="263073786"/>
          <w:trHeight w:val="469"/>
        </w:trPr>
        <w:tc>
          <w:tcPr>
            <w:tcW w:w="2796" w:type="dxa"/>
            <w:vAlign w:val="center"/>
          </w:tcPr>
          <w:p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Ammonium hydroxide solution</w:t>
            </w:r>
          </w:p>
        </w:tc>
        <w:tc>
          <w:tcPr>
            <w:tcW w:w="3618" w:type="dxa"/>
            <w:vAlign w:val="center"/>
          </w:tcPr>
          <w:p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≥25% in H</w:t>
            </w:r>
            <w:r>
              <w:rPr>
                <w:rFonts w:ascii="Cambria" w:hAnsi="Cambria"/>
                <w:sz w:val="20"/>
                <w:szCs w:val="20"/>
                <w:vertAlign w:val="subscript"/>
              </w:rPr>
              <w:t>2</w:t>
            </w:r>
            <w:r>
              <w:rPr>
                <w:rFonts w:ascii="Cambria" w:hAnsi="Cambria"/>
                <w:sz w:val="20"/>
                <w:szCs w:val="20"/>
              </w:rPr>
              <w:t xml:space="preserve">O, </w:t>
            </w:r>
            <w:r>
              <w:rPr>
                <w:rFonts w:ascii="Cambria" w:hAnsi="Cambria"/>
                <w:sz w:val="20"/>
                <w:szCs w:val="20"/>
              </w:rPr>
              <w:t>eluent additive for LC-MS</w:t>
            </w:r>
          </w:p>
        </w:tc>
        <w:tc>
          <w:tcPr>
            <w:tcW w:w="1470" w:type="dxa"/>
            <w:vAlign w:val="center"/>
          </w:tcPr>
          <w:p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1336-21-6</w:t>
            </w:r>
          </w:p>
        </w:tc>
        <w:tc>
          <w:tcPr>
            <w:tcW w:w="1472" w:type="dxa"/>
            <w:vAlign w:val="center"/>
          </w:tcPr>
          <w:p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Sigma Aldrich</w:t>
            </w:r>
          </w:p>
        </w:tc>
      </w:tr>
      <w:tr>
        <w:trPr>
          <w:divId w:val="263073786"/>
          <w:trHeight w:val="469"/>
        </w:trPr>
        <w:tc>
          <w:tcPr>
            <w:tcW w:w="2796" w:type="dxa"/>
            <w:vAlign w:val="center"/>
          </w:tcPr>
          <w:p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Formic acid</w:t>
            </w:r>
          </w:p>
        </w:tc>
        <w:tc>
          <w:tcPr>
            <w:tcW w:w="3618" w:type="dxa"/>
            <w:vAlign w:val="center"/>
          </w:tcPr>
          <w:p>
            <w:pPr>
              <w:rPr>
                <w:rStyle w:val="xbe"/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~98%</w:t>
            </w:r>
          </w:p>
        </w:tc>
        <w:tc>
          <w:tcPr>
            <w:tcW w:w="1470" w:type="dxa"/>
            <w:vAlign w:val="center"/>
          </w:tcPr>
          <w:p>
            <w:pPr>
              <w:rPr>
                <w:rStyle w:val="xbe"/>
                <w:rFonts w:ascii="Cambria" w:hAnsi="Cambria"/>
                <w:sz w:val="20"/>
                <w:szCs w:val="20"/>
              </w:rPr>
            </w:pPr>
            <w:r>
              <w:rPr>
                <w:rStyle w:val="xbe"/>
                <w:rFonts w:ascii="Cambria" w:hAnsi="Cambria"/>
                <w:sz w:val="20"/>
                <w:szCs w:val="20"/>
              </w:rPr>
              <w:t>64-18-6</w:t>
            </w:r>
          </w:p>
        </w:tc>
        <w:tc>
          <w:tcPr>
            <w:tcW w:w="1472" w:type="dxa"/>
            <w:vAlign w:val="center"/>
          </w:tcPr>
          <w:p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Sigma Aldrich</w:t>
            </w:r>
          </w:p>
        </w:tc>
      </w:tr>
      <w:tr>
        <w:trPr>
          <w:divId w:val="263073786"/>
          <w:trHeight w:val="469"/>
        </w:trPr>
        <w:tc>
          <w:tcPr>
            <w:tcW w:w="2796" w:type="dxa"/>
            <w:vAlign w:val="center"/>
          </w:tcPr>
          <w:p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Ammonium formate</w:t>
            </w:r>
          </w:p>
        </w:tc>
        <w:tc>
          <w:tcPr>
            <w:tcW w:w="3618" w:type="dxa"/>
            <w:vAlign w:val="center"/>
          </w:tcPr>
          <w:p>
            <w:pPr>
              <w:rPr>
                <w:rStyle w:val="xbe"/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≥99.0%</w:t>
            </w:r>
          </w:p>
        </w:tc>
        <w:tc>
          <w:tcPr>
            <w:tcW w:w="1470" w:type="dxa"/>
            <w:vAlign w:val="center"/>
          </w:tcPr>
          <w:p>
            <w:pPr>
              <w:rPr>
                <w:rStyle w:val="xbe"/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540-69-2</w:t>
            </w:r>
          </w:p>
        </w:tc>
        <w:tc>
          <w:tcPr>
            <w:tcW w:w="1472" w:type="dxa"/>
            <w:vAlign w:val="center"/>
          </w:tcPr>
          <w:p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Sigma Aldrich</w:t>
            </w:r>
          </w:p>
        </w:tc>
      </w:tr>
    </w:tbl>
    <w:p>
      <w:pPr>
        <w:pStyle w:val="StandardWeb"/>
        <w:jc w:val="both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Milli-Q water</w:t>
      </w:r>
      <w:r>
        <w:rPr>
          <w:rFonts w:ascii="Cambria" w:hAnsi="Cambria"/>
          <w:sz w:val="22"/>
          <w:szCs w:val="22"/>
        </w:rPr>
        <w:t xml:space="preserve"> was generated by Milli-Q Advantage A10 Water Purification System (Millipore, Schwalbach, Germany).</w:t>
      </w:r>
      <w:r>
        <w:rPr>
          <w:rFonts w:ascii="Cambria" w:hAnsi="Cambria"/>
        </w:rPr>
        <w:br w:type="page"/>
      </w:r>
    </w:p>
    <w:p>
      <w:pPr>
        <w:pStyle w:val="Listenabsatz"/>
        <w:numPr>
          <w:ilvl w:val="0"/>
          <w:numId w:val="2"/>
        </w:numPr>
        <w:divId w:val="263073786"/>
        <w:rPr>
          <w:rFonts w:ascii="Cambria" w:eastAsiaTheme="minorEastAsia" w:hAnsi="Cambria" w:cs="Times New Roman"/>
          <w:b/>
        </w:rPr>
      </w:pPr>
      <w:r>
        <w:rPr>
          <w:rFonts w:ascii="Cambria" w:eastAsiaTheme="minorEastAsia" w:hAnsi="Cambria" w:cs="Times New Roman"/>
          <w:b/>
        </w:rPr>
        <w:lastRenderedPageBreak/>
        <w:t>Quantification with LC-MS/MS</w:t>
      </w:r>
      <w:r>
        <w:rPr>
          <w:rFonts w:ascii="Cambria" w:eastAsiaTheme="minorEastAsia" w:hAnsi="Cambria" w:cs="Times New Roman"/>
          <w:b/>
        </w:rPr>
        <w:t xml:space="preserve"> – Positive mode</w:t>
      </w:r>
    </w:p>
    <w:p>
      <w:pPr>
        <w:spacing w:after="0" w:line="360" w:lineRule="auto"/>
        <w:divId w:val="263073786"/>
        <w:rPr>
          <w:rFonts w:ascii="Cambria" w:hAnsi="Cambria"/>
        </w:rPr>
      </w:pPr>
      <w:r>
        <w:rPr>
          <w:rFonts w:ascii="Cambria" w:hAnsi="Cambria"/>
        </w:rPr>
        <w:t xml:space="preserve">Column: Kinetex 2.6 µm C18 100 </w:t>
      </w:r>
      <m:oMath>
        <m:r>
          <w:rPr>
            <w:rFonts w:ascii="Cambria Math" w:hAnsi="Cambria Math"/>
          </w:rPr>
          <m:t>Å</m:t>
        </m:r>
      </m:oMath>
      <w:r>
        <w:rPr>
          <w:rFonts w:ascii="Cambria" w:hAnsi="Cambria"/>
        </w:rPr>
        <w:t>, 150 x 3 mm, Phenomenex, Aschaffenburg, Germany</w:t>
      </w:r>
    </w:p>
    <w:p>
      <w:pPr>
        <w:spacing w:after="0" w:line="360" w:lineRule="auto"/>
        <w:divId w:val="263073786"/>
        <w:rPr>
          <w:rFonts w:ascii="Cambria" w:hAnsi="Cambria"/>
        </w:rPr>
      </w:pPr>
      <w:r>
        <w:rPr>
          <w:rFonts w:ascii="Cambria" w:hAnsi="Cambria"/>
        </w:rPr>
        <w:t>Flow rate: 250 µl/min</w:t>
      </w:r>
    </w:p>
    <w:p>
      <w:pPr>
        <w:spacing w:after="0" w:line="360" w:lineRule="auto"/>
        <w:divId w:val="263073786"/>
        <w:rPr>
          <w:rFonts w:ascii="Cambria" w:hAnsi="Cambria"/>
        </w:rPr>
      </w:pPr>
      <w:r>
        <w:rPr>
          <w:rFonts w:ascii="Cambria" w:hAnsi="Cambria"/>
        </w:rPr>
        <w:t>Injection volume: 25 µl</w:t>
      </w:r>
    </w:p>
    <w:p>
      <w:pPr>
        <w:spacing w:after="0" w:line="360" w:lineRule="auto"/>
        <w:divId w:val="263073786"/>
        <w:rPr>
          <w:rFonts w:ascii="Cambria" w:hAnsi="Cambria"/>
        </w:rPr>
      </w:pPr>
      <w:r>
        <w:rPr>
          <w:rFonts w:ascii="Cambria" w:hAnsi="Cambria"/>
        </w:rPr>
        <w:t xml:space="preserve">Solvents: </w:t>
      </w:r>
      <w:r>
        <w:rPr>
          <w:rFonts w:ascii="Cambria" w:hAnsi="Cambria"/>
        </w:rPr>
        <w:t>(A)</w:t>
      </w:r>
      <w:r>
        <w:rPr>
          <w:rFonts w:ascii="Cambria" w:hAnsi="Cambria"/>
        </w:rPr>
        <w:t xml:space="preserve"> m</w:t>
      </w:r>
      <w:r>
        <w:rPr>
          <w:rFonts w:ascii="Cambria" w:hAnsi="Cambria"/>
        </w:rPr>
        <w:t>ethanol</w:t>
      </w:r>
      <w:r>
        <w:rPr>
          <w:rFonts w:ascii="Cambria" w:hAnsi="Cambria"/>
        </w:rPr>
        <w:t xml:space="preserve">, (B) </w:t>
      </w:r>
      <w:r>
        <w:rPr>
          <w:rFonts w:ascii="Cambria" w:hAnsi="Cambria"/>
        </w:rPr>
        <w:t>10 mM formic acid / ammonium formate (pH 3.2)</w:t>
      </w:r>
    </w:p>
    <w:p>
      <w:pPr>
        <w:spacing w:after="0" w:line="240" w:lineRule="auto"/>
        <w:divId w:val="263073786"/>
        <w:rPr>
          <w:rFonts w:ascii="Cambria" w:hAnsi="Cambria"/>
        </w:rPr>
      </w:pPr>
      <w:r>
        <w:rPr>
          <w:rFonts w:ascii="Cambria" w:hAnsi="Cambria"/>
        </w:rPr>
        <w:t xml:space="preserve">Gradient: 0-1 min A:B = 10:90; 1-28 min A:B = </w:t>
      </w:r>
      <w:r>
        <w:rPr>
          <w:rFonts w:ascii="Cambria" w:hAnsi="Cambria"/>
        </w:rPr>
        <w:t>100:0</w:t>
      </w:r>
      <w:r>
        <w:rPr>
          <w:rFonts w:ascii="Cambria" w:hAnsi="Cambria"/>
        </w:rPr>
        <w:t xml:space="preserve">; 28-29 min A:B = </w:t>
      </w:r>
      <w:r>
        <w:rPr>
          <w:rFonts w:ascii="Cambria" w:hAnsi="Cambria"/>
        </w:rPr>
        <w:t>100:0</w:t>
      </w:r>
      <w:r>
        <w:rPr>
          <w:rFonts w:ascii="Cambria" w:hAnsi="Cambria"/>
        </w:rPr>
        <w:t>; 29-31 min A:B = 10:90; 31-34 = 10:90</w:t>
      </w:r>
    </w:p>
    <w:p>
      <w:pPr>
        <w:spacing w:after="0" w:line="240" w:lineRule="auto"/>
        <w:divId w:val="263073786"/>
        <w:rPr>
          <w:rFonts w:ascii="Cambria" w:hAnsi="Cambria"/>
        </w:rPr>
      </w:pPr>
    </w:p>
    <w:tbl>
      <w:tblPr>
        <w:tblStyle w:val="Tabellenraster"/>
        <w:tblW w:w="9498" w:type="dxa"/>
        <w:tblLayout w:type="fixed"/>
        <w:tblLook w:val="04A0" w:firstRow="1" w:lastRow="0" w:firstColumn="1" w:lastColumn="0" w:noHBand="0" w:noVBand="1"/>
      </w:tblPr>
      <w:tblGrid>
        <w:gridCol w:w="2127"/>
        <w:gridCol w:w="988"/>
        <w:gridCol w:w="914"/>
        <w:gridCol w:w="914"/>
        <w:gridCol w:w="914"/>
        <w:gridCol w:w="914"/>
        <w:gridCol w:w="914"/>
        <w:gridCol w:w="914"/>
        <w:gridCol w:w="899"/>
      </w:tblGrid>
      <w:tr>
        <w:trPr>
          <w:divId w:val="263073786"/>
          <w:trHeight w:val="471"/>
        </w:trPr>
        <w:tc>
          <w:tcPr>
            <w:tcW w:w="2127" w:type="dxa"/>
            <w:vAlign w:val="center"/>
          </w:tcPr>
          <w:p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Compound</w:t>
            </w:r>
          </w:p>
        </w:tc>
        <w:tc>
          <w:tcPr>
            <w:tcW w:w="988" w:type="dxa"/>
            <w:vAlign w:val="center"/>
          </w:tcPr>
          <w:p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MW</w:t>
            </w:r>
          </w:p>
        </w:tc>
        <w:tc>
          <w:tcPr>
            <w:tcW w:w="914" w:type="dxa"/>
            <w:vAlign w:val="center"/>
          </w:tcPr>
          <w:p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DP</w:t>
            </w:r>
          </w:p>
        </w:tc>
        <w:tc>
          <w:tcPr>
            <w:tcW w:w="914" w:type="dxa"/>
            <w:vAlign w:val="center"/>
          </w:tcPr>
          <w:p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EP</w:t>
            </w:r>
          </w:p>
        </w:tc>
        <w:tc>
          <w:tcPr>
            <w:tcW w:w="914" w:type="dxa"/>
            <w:vAlign w:val="center"/>
          </w:tcPr>
          <w:p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CEP</w:t>
            </w:r>
          </w:p>
        </w:tc>
        <w:tc>
          <w:tcPr>
            <w:tcW w:w="914" w:type="dxa"/>
            <w:vAlign w:val="center"/>
          </w:tcPr>
          <w:p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Q1</w:t>
            </w:r>
          </w:p>
        </w:tc>
        <w:tc>
          <w:tcPr>
            <w:tcW w:w="914" w:type="dxa"/>
            <w:vAlign w:val="center"/>
          </w:tcPr>
          <w:p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Q3</w:t>
            </w:r>
          </w:p>
        </w:tc>
        <w:tc>
          <w:tcPr>
            <w:tcW w:w="914" w:type="dxa"/>
            <w:vAlign w:val="center"/>
          </w:tcPr>
          <w:p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CE</w:t>
            </w:r>
          </w:p>
        </w:tc>
        <w:tc>
          <w:tcPr>
            <w:tcW w:w="899" w:type="dxa"/>
            <w:vAlign w:val="center"/>
          </w:tcPr>
          <w:p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CXP</w:t>
            </w:r>
          </w:p>
        </w:tc>
      </w:tr>
      <w:tr>
        <w:trPr>
          <w:divId w:val="263073786"/>
          <w:trHeight w:val="471"/>
        </w:trPr>
        <w:tc>
          <w:tcPr>
            <w:tcW w:w="2127" w:type="dxa"/>
            <w:vAlign w:val="center"/>
          </w:tcPr>
          <w:p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Antipirine</w:t>
            </w:r>
          </w:p>
        </w:tc>
        <w:tc>
          <w:tcPr>
            <w:tcW w:w="988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188.20</w:t>
            </w:r>
          </w:p>
        </w:tc>
        <w:tc>
          <w:tcPr>
            <w:tcW w:w="914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41</w:t>
            </w:r>
          </w:p>
        </w:tc>
        <w:tc>
          <w:tcPr>
            <w:tcW w:w="914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11.5</w:t>
            </w:r>
          </w:p>
        </w:tc>
        <w:tc>
          <w:tcPr>
            <w:tcW w:w="914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14.5</w:t>
            </w:r>
          </w:p>
        </w:tc>
        <w:tc>
          <w:tcPr>
            <w:tcW w:w="914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189.2</w:t>
            </w:r>
          </w:p>
        </w:tc>
        <w:tc>
          <w:tcPr>
            <w:tcW w:w="914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104.2</w:t>
            </w:r>
          </w:p>
        </w:tc>
        <w:tc>
          <w:tcPr>
            <w:tcW w:w="914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31</w:t>
            </w:r>
          </w:p>
        </w:tc>
        <w:tc>
          <w:tcPr>
            <w:tcW w:w="899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</w:t>
            </w:r>
          </w:p>
        </w:tc>
      </w:tr>
      <w:tr>
        <w:trPr>
          <w:divId w:val="263073786"/>
          <w:trHeight w:val="471"/>
        </w:trPr>
        <w:tc>
          <w:tcPr>
            <w:tcW w:w="2127" w:type="dxa"/>
            <w:vAlign w:val="center"/>
          </w:tcPr>
          <w:p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Atenolol</w:t>
            </w:r>
          </w:p>
        </w:tc>
        <w:tc>
          <w:tcPr>
            <w:tcW w:w="988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266.34</w:t>
            </w:r>
          </w:p>
        </w:tc>
        <w:tc>
          <w:tcPr>
            <w:tcW w:w="914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36</w:t>
            </w:r>
          </w:p>
        </w:tc>
        <w:tc>
          <w:tcPr>
            <w:tcW w:w="914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12</w:t>
            </w:r>
          </w:p>
        </w:tc>
        <w:tc>
          <w:tcPr>
            <w:tcW w:w="914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20</w:t>
            </w:r>
          </w:p>
        </w:tc>
        <w:tc>
          <w:tcPr>
            <w:tcW w:w="914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267.2</w:t>
            </w:r>
          </w:p>
        </w:tc>
        <w:tc>
          <w:tcPr>
            <w:tcW w:w="914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145.0</w:t>
            </w:r>
          </w:p>
        </w:tc>
        <w:tc>
          <w:tcPr>
            <w:tcW w:w="914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39</w:t>
            </w:r>
          </w:p>
        </w:tc>
        <w:tc>
          <w:tcPr>
            <w:tcW w:w="899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</w:t>
            </w:r>
          </w:p>
        </w:tc>
      </w:tr>
      <w:tr>
        <w:trPr>
          <w:divId w:val="263073786"/>
          <w:trHeight w:val="471"/>
        </w:trPr>
        <w:tc>
          <w:tcPr>
            <w:tcW w:w="2127" w:type="dxa"/>
            <w:vAlign w:val="center"/>
          </w:tcPr>
          <w:p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Caffeine</w:t>
            </w:r>
          </w:p>
        </w:tc>
        <w:tc>
          <w:tcPr>
            <w:tcW w:w="988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194.19</w:t>
            </w:r>
          </w:p>
        </w:tc>
        <w:tc>
          <w:tcPr>
            <w:tcW w:w="914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81</w:t>
            </w:r>
          </w:p>
        </w:tc>
        <w:tc>
          <w:tcPr>
            <w:tcW w:w="914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12</w:t>
            </w:r>
          </w:p>
        </w:tc>
        <w:tc>
          <w:tcPr>
            <w:tcW w:w="914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16</w:t>
            </w:r>
          </w:p>
        </w:tc>
        <w:tc>
          <w:tcPr>
            <w:tcW w:w="914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194.1</w:t>
            </w:r>
          </w:p>
        </w:tc>
        <w:tc>
          <w:tcPr>
            <w:tcW w:w="914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179.1</w:t>
            </w:r>
          </w:p>
        </w:tc>
        <w:tc>
          <w:tcPr>
            <w:tcW w:w="914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33</w:t>
            </w:r>
          </w:p>
        </w:tc>
        <w:tc>
          <w:tcPr>
            <w:tcW w:w="899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</w:t>
            </w:r>
          </w:p>
        </w:tc>
      </w:tr>
      <w:tr>
        <w:trPr>
          <w:divId w:val="263073786"/>
          <w:trHeight w:val="471"/>
        </w:trPr>
        <w:tc>
          <w:tcPr>
            <w:tcW w:w="2127" w:type="dxa"/>
            <w:vAlign w:val="center"/>
          </w:tcPr>
          <w:p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Carbamazepine</w:t>
            </w:r>
          </w:p>
        </w:tc>
        <w:tc>
          <w:tcPr>
            <w:tcW w:w="988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236.27</w:t>
            </w:r>
          </w:p>
        </w:tc>
        <w:tc>
          <w:tcPr>
            <w:tcW w:w="914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36</w:t>
            </w:r>
          </w:p>
        </w:tc>
        <w:tc>
          <w:tcPr>
            <w:tcW w:w="914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6</w:t>
            </w:r>
          </w:p>
        </w:tc>
        <w:tc>
          <w:tcPr>
            <w:tcW w:w="914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16</w:t>
            </w:r>
          </w:p>
        </w:tc>
        <w:tc>
          <w:tcPr>
            <w:tcW w:w="914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237.2</w:t>
            </w:r>
          </w:p>
        </w:tc>
        <w:tc>
          <w:tcPr>
            <w:tcW w:w="914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194.2</w:t>
            </w:r>
          </w:p>
        </w:tc>
        <w:tc>
          <w:tcPr>
            <w:tcW w:w="914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27</w:t>
            </w:r>
          </w:p>
        </w:tc>
        <w:tc>
          <w:tcPr>
            <w:tcW w:w="899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</w:t>
            </w:r>
          </w:p>
        </w:tc>
      </w:tr>
      <w:tr>
        <w:trPr>
          <w:divId w:val="263073786"/>
          <w:trHeight w:val="471"/>
        </w:trPr>
        <w:tc>
          <w:tcPr>
            <w:tcW w:w="2127" w:type="dxa"/>
            <w:vAlign w:val="center"/>
          </w:tcPr>
          <w:p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Ciprofloxacin</w:t>
            </w:r>
          </w:p>
        </w:tc>
        <w:tc>
          <w:tcPr>
            <w:tcW w:w="988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331.35</w:t>
            </w:r>
          </w:p>
        </w:tc>
        <w:tc>
          <w:tcPr>
            <w:tcW w:w="914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46</w:t>
            </w:r>
          </w:p>
        </w:tc>
        <w:tc>
          <w:tcPr>
            <w:tcW w:w="914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12</w:t>
            </w:r>
          </w:p>
        </w:tc>
        <w:tc>
          <w:tcPr>
            <w:tcW w:w="914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22</w:t>
            </w:r>
          </w:p>
        </w:tc>
        <w:tc>
          <w:tcPr>
            <w:tcW w:w="914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332.2</w:t>
            </w:r>
          </w:p>
        </w:tc>
        <w:tc>
          <w:tcPr>
            <w:tcW w:w="914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231.0</w:t>
            </w:r>
          </w:p>
        </w:tc>
        <w:tc>
          <w:tcPr>
            <w:tcW w:w="914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43</w:t>
            </w:r>
          </w:p>
        </w:tc>
        <w:tc>
          <w:tcPr>
            <w:tcW w:w="899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</w:t>
            </w:r>
          </w:p>
        </w:tc>
      </w:tr>
      <w:tr>
        <w:trPr>
          <w:divId w:val="263073786"/>
          <w:trHeight w:val="471"/>
        </w:trPr>
        <w:tc>
          <w:tcPr>
            <w:tcW w:w="2127" w:type="dxa"/>
            <w:vAlign w:val="center"/>
          </w:tcPr>
          <w:p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Clofibrate</w:t>
            </w:r>
          </w:p>
        </w:tc>
        <w:tc>
          <w:tcPr>
            <w:tcW w:w="988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242.70</w:t>
            </w:r>
          </w:p>
        </w:tc>
        <w:tc>
          <w:tcPr>
            <w:tcW w:w="914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26</w:t>
            </w:r>
          </w:p>
        </w:tc>
        <w:tc>
          <w:tcPr>
            <w:tcW w:w="914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12</w:t>
            </w:r>
          </w:p>
        </w:tc>
        <w:tc>
          <w:tcPr>
            <w:tcW w:w="914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</w:t>
            </w:r>
          </w:p>
        </w:tc>
        <w:tc>
          <w:tcPr>
            <w:tcW w:w="914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243.1</w:t>
            </w:r>
          </w:p>
        </w:tc>
        <w:tc>
          <w:tcPr>
            <w:tcW w:w="914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115.1</w:t>
            </w:r>
          </w:p>
        </w:tc>
        <w:tc>
          <w:tcPr>
            <w:tcW w:w="914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13</w:t>
            </w:r>
          </w:p>
        </w:tc>
        <w:tc>
          <w:tcPr>
            <w:tcW w:w="899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</w:t>
            </w:r>
          </w:p>
        </w:tc>
      </w:tr>
      <w:tr>
        <w:trPr>
          <w:divId w:val="263073786"/>
          <w:trHeight w:val="471"/>
        </w:trPr>
        <w:tc>
          <w:tcPr>
            <w:tcW w:w="2127" w:type="dxa"/>
            <w:vAlign w:val="center"/>
          </w:tcPr>
          <w:p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Ofloxacin</w:t>
            </w:r>
          </w:p>
        </w:tc>
        <w:tc>
          <w:tcPr>
            <w:tcW w:w="988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361.37</w:t>
            </w:r>
          </w:p>
        </w:tc>
        <w:tc>
          <w:tcPr>
            <w:tcW w:w="914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36</w:t>
            </w:r>
          </w:p>
        </w:tc>
        <w:tc>
          <w:tcPr>
            <w:tcW w:w="914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12</w:t>
            </w:r>
          </w:p>
        </w:tc>
        <w:tc>
          <w:tcPr>
            <w:tcW w:w="914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20</w:t>
            </w:r>
          </w:p>
        </w:tc>
        <w:tc>
          <w:tcPr>
            <w:tcW w:w="914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362.2</w:t>
            </w:r>
          </w:p>
        </w:tc>
        <w:tc>
          <w:tcPr>
            <w:tcW w:w="914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261.1</w:t>
            </w:r>
          </w:p>
        </w:tc>
        <w:tc>
          <w:tcPr>
            <w:tcW w:w="914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31</w:t>
            </w:r>
          </w:p>
        </w:tc>
        <w:tc>
          <w:tcPr>
            <w:tcW w:w="899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</w:t>
            </w:r>
          </w:p>
        </w:tc>
      </w:tr>
      <w:tr>
        <w:trPr>
          <w:divId w:val="263073786"/>
          <w:trHeight w:val="471"/>
        </w:trPr>
        <w:tc>
          <w:tcPr>
            <w:tcW w:w="2127" w:type="dxa"/>
            <w:vAlign w:val="center"/>
          </w:tcPr>
          <w:p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Sulfamethaxazole</w:t>
            </w:r>
          </w:p>
        </w:tc>
        <w:tc>
          <w:tcPr>
            <w:tcW w:w="988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253.30</w:t>
            </w:r>
          </w:p>
        </w:tc>
        <w:tc>
          <w:tcPr>
            <w:tcW w:w="914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31</w:t>
            </w:r>
          </w:p>
        </w:tc>
        <w:tc>
          <w:tcPr>
            <w:tcW w:w="914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4.5</w:t>
            </w:r>
          </w:p>
        </w:tc>
        <w:tc>
          <w:tcPr>
            <w:tcW w:w="914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16</w:t>
            </w:r>
          </w:p>
        </w:tc>
        <w:tc>
          <w:tcPr>
            <w:tcW w:w="914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254.1</w:t>
            </w:r>
          </w:p>
        </w:tc>
        <w:tc>
          <w:tcPr>
            <w:tcW w:w="914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156.2</w:t>
            </w:r>
          </w:p>
        </w:tc>
        <w:tc>
          <w:tcPr>
            <w:tcW w:w="914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19</w:t>
            </w:r>
          </w:p>
        </w:tc>
        <w:tc>
          <w:tcPr>
            <w:tcW w:w="899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</w:t>
            </w:r>
          </w:p>
        </w:tc>
      </w:tr>
    </w:tbl>
    <w:p>
      <w:pPr>
        <w:spacing w:after="0" w:line="240" w:lineRule="auto"/>
        <w:jc w:val="right"/>
        <w:divId w:val="263073786"/>
        <w:rPr>
          <w:rFonts w:ascii="Cambria" w:hAnsi="Cambria"/>
        </w:rPr>
      </w:pPr>
    </w:p>
    <w:p>
      <w:pPr>
        <w:spacing w:after="0" w:line="240" w:lineRule="auto"/>
        <w:divId w:val="263073786"/>
        <w:rPr>
          <w:rFonts w:ascii="Cambria" w:hAnsi="Cambria"/>
        </w:rPr>
      </w:pPr>
      <w:r>
        <w:rPr>
          <w:rFonts w:ascii="Cambria" w:hAnsi="Cambria"/>
        </w:rPr>
        <w:t>Source/Gas Parameters</w:t>
      </w:r>
    </w:p>
    <w:p>
      <w:pPr>
        <w:spacing w:after="0" w:line="240" w:lineRule="auto"/>
        <w:divId w:val="263073786"/>
        <w:rPr>
          <w:rFonts w:ascii="Cambria" w:hAnsi="Cambria"/>
        </w:rPr>
      </w:pPr>
    </w:p>
    <w:tbl>
      <w:tblPr>
        <w:tblStyle w:val="Tabellenraster"/>
        <w:tblW w:w="751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921"/>
        <w:gridCol w:w="921"/>
        <w:gridCol w:w="922"/>
        <w:gridCol w:w="921"/>
        <w:gridCol w:w="921"/>
        <w:gridCol w:w="922"/>
      </w:tblGrid>
      <w:tr>
        <w:trPr>
          <w:divId w:val="263073786"/>
          <w:trHeight w:val="471"/>
        </w:trPr>
        <w:tc>
          <w:tcPr>
            <w:tcW w:w="1985" w:type="dxa"/>
            <w:vAlign w:val="center"/>
          </w:tcPr>
          <w:p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Parameter</w:t>
            </w:r>
          </w:p>
        </w:tc>
        <w:tc>
          <w:tcPr>
            <w:tcW w:w="921" w:type="dxa"/>
            <w:vAlign w:val="center"/>
          </w:tcPr>
          <w:p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TEM</w:t>
            </w:r>
          </w:p>
        </w:tc>
        <w:tc>
          <w:tcPr>
            <w:tcW w:w="921" w:type="dxa"/>
            <w:vAlign w:val="center"/>
          </w:tcPr>
          <w:p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CUR</w:t>
            </w:r>
          </w:p>
        </w:tc>
        <w:tc>
          <w:tcPr>
            <w:tcW w:w="922" w:type="dxa"/>
            <w:vAlign w:val="center"/>
          </w:tcPr>
          <w:p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IS</w:t>
            </w:r>
          </w:p>
        </w:tc>
        <w:tc>
          <w:tcPr>
            <w:tcW w:w="921" w:type="dxa"/>
            <w:vAlign w:val="center"/>
          </w:tcPr>
          <w:p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GS1</w:t>
            </w:r>
          </w:p>
        </w:tc>
        <w:tc>
          <w:tcPr>
            <w:tcW w:w="921" w:type="dxa"/>
            <w:vAlign w:val="center"/>
          </w:tcPr>
          <w:p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GS2</w:t>
            </w:r>
          </w:p>
        </w:tc>
        <w:tc>
          <w:tcPr>
            <w:tcW w:w="922" w:type="dxa"/>
            <w:vAlign w:val="center"/>
          </w:tcPr>
          <w:p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CAD</w:t>
            </w:r>
          </w:p>
        </w:tc>
      </w:tr>
      <w:tr>
        <w:trPr>
          <w:divId w:val="263073786"/>
          <w:trHeight w:val="471"/>
        </w:trPr>
        <w:tc>
          <w:tcPr>
            <w:tcW w:w="1985" w:type="dxa"/>
            <w:vAlign w:val="center"/>
          </w:tcPr>
          <w:p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Value</w:t>
            </w:r>
          </w:p>
        </w:tc>
        <w:tc>
          <w:tcPr>
            <w:tcW w:w="921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350</w:t>
            </w:r>
          </w:p>
        </w:tc>
        <w:tc>
          <w:tcPr>
            <w:tcW w:w="921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25</w:t>
            </w:r>
          </w:p>
        </w:tc>
        <w:tc>
          <w:tcPr>
            <w:tcW w:w="922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1500</w:t>
            </w:r>
          </w:p>
        </w:tc>
        <w:tc>
          <w:tcPr>
            <w:tcW w:w="921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40</w:t>
            </w:r>
          </w:p>
        </w:tc>
        <w:tc>
          <w:tcPr>
            <w:tcW w:w="921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40</w:t>
            </w:r>
          </w:p>
        </w:tc>
        <w:tc>
          <w:tcPr>
            <w:tcW w:w="922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5</w:t>
            </w:r>
          </w:p>
        </w:tc>
      </w:tr>
    </w:tbl>
    <w:p>
      <w:pPr>
        <w:divId w:val="263073786"/>
        <w:rPr>
          <w:rFonts w:ascii="Cambria" w:hAnsi="Cambria"/>
          <w:b/>
        </w:rPr>
      </w:pPr>
      <w:r>
        <w:rPr>
          <w:rFonts w:ascii="Cambria" w:hAnsi="Cambria"/>
          <w:b/>
        </w:rPr>
        <w:br w:type="page"/>
      </w:r>
    </w:p>
    <w:p>
      <w:pPr>
        <w:pStyle w:val="Listenabsatz"/>
        <w:numPr>
          <w:ilvl w:val="0"/>
          <w:numId w:val="2"/>
        </w:numPr>
        <w:divId w:val="263073786"/>
        <w:rPr>
          <w:rFonts w:ascii="Cambria" w:eastAsiaTheme="minorEastAsia" w:hAnsi="Cambria" w:cs="Times New Roman"/>
          <w:b/>
        </w:rPr>
      </w:pPr>
      <w:r>
        <w:rPr>
          <w:rFonts w:ascii="Cambria" w:eastAsiaTheme="minorEastAsia" w:hAnsi="Cambria" w:cs="Times New Roman"/>
          <w:b/>
        </w:rPr>
        <w:t>Quantification with LC-MS/MS</w:t>
      </w:r>
      <w:r>
        <w:rPr>
          <w:rFonts w:ascii="Cambria" w:eastAsiaTheme="minorEastAsia" w:hAnsi="Cambria" w:cs="Times New Roman"/>
          <w:b/>
        </w:rPr>
        <w:t xml:space="preserve"> – Negative mode</w:t>
      </w:r>
    </w:p>
    <w:p>
      <w:pPr>
        <w:spacing w:after="0" w:line="360" w:lineRule="auto"/>
        <w:divId w:val="263073786"/>
        <w:rPr>
          <w:rFonts w:ascii="Cambria" w:hAnsi="Cambria"/>
        </w:rPr>
      </w:pPr>
      <w:r>
        <w:rPr>
          <w:rFonts w:ascii="Cambria" w:hAnsi="Cambria"/>
        </w:rPr>
        <w:t xml:space="preserve">Column: Kinetex 2.6 µm C18 100 </w:t>
      </w:r>
      <m:oMath>
        <m:r>
          <w:rPr>
            <w:rFonts w:ascii="Cambria Math" w:hAnsi="Cambria Math"/>
          </w:rPr>
          <m:t>Å</m:t>
        </m:r>
      </m:oMath>
      <w:r>
        <w:rPr>
          <w:rFonts w:ascii="Cambria" w:hAnsi="Cambria"/>
        </w:rPr>
        <w:t>, 150 x 3 mm, Phenomenex, Aschaffenburg, Germany</w:t>
      </w:r>
    </w:p>
    <w:p>
      <w:pPr>
        <w:spacing w:after="0" w:line="360" w:lineRule="auto"/>
        <w:divId w:val="263073786"/>
        <w:rPr>
          <w:rFonts w:ascii="Cambria" w:hAnsi="Cambria"/>
        </w:rPr>
      </w:pPr>
      <w:r>
        <w:rPr>
          <w:rFonts w:ascii="Cambria" w:hAnsi="Cambria"/>
        </w:rPr>
        <w:t>Flow rate: 250 µl/min</w:t>
      </w:r>
    </w:p>
    <w:p>
      <w:pPr>
        <w:spacing w:after="0" w:line="360" w:lineRule="auto"/>
        <w:divId w:val="263073786"/>
        <w:rPr>
          <w:rFonts w:ascii="Cambria" w:hAnsi="Cambria"/>
        </w:rPr>
      </w:pPr>
      <w:r>
        <w:rPr>
          <w:rFonts w:ascii="Cambria" w:hAnsi="Cambria"/>
        </w:rPr>
        <w:t>Injection volume: 25 µl</w:t>
      </w:r>
    </w:p>
    <w:p>
      <w:pPr>
        <w:spacing w:after="0" w:line="360" w:lineRule="auto"/>
        <w:divId w:val="263073786"/>
        <w:rPr>
          <w:rFonts w:ascii="Cambria" w:hAnsi="Cambria"/>
        </w:rPr>
      </w:pPr>
      <w:r>
        <w:rPr>
          <w:rFonts w:ascii="Cambria" w:hAnsi="Cambria"/>
        </w:rPr>
        <w:t>Solvents:</w:t>
      </w:r>
      <w:r>
        <w:rPr>
          <w:rFonts w:ascii="Cambria" w:hAnsi="Cambria"/>
        </w:rPr>
        <w:t xml:space="preserve"> (A) </w:t>
      </w:r>
      <w:r>
        <w:rPr>
          <w:rFonts w:ascii="Cambria" w:hAnsi="Cambria"/>
        </w:rPr>
        <w:t>a</w:t>
      </w:r>
      <w:r>
        <w:rPr>
          <w:rFonts w:ascii="Cambria" w:hAnsi="Cambria"/>
        </w:rPr>
        <w:t>cetonitrile, (B) 5 mM ammonium acetate / ammonim hydroxide (pH 8)</w:t>
      </w:r>
    </w:p>
    <w:p>
      <w:pPr>
        <w:spacing w:after="0" w:line="360" w:lineRule="auto"/>
        <w:divId w:val="263073786"/>
        <w:rPr>
          <w:rFonts w:ascii="Cambria" w:hAnsi="Cambria"/>
        </w:rPr>
      </w:pPr>
      <w:r>
        <w:rPr>
          <w:rFonts w:ascii="Cambria" w:hAnsi="Cambria"/>
        </w:rPr>
        <w:t>Gradient: 0-15 min A:B = 0:100; 15-20 min A:B = 60:40; 20-25 min A:B = 100:0; 25-28 min A:B = 0:100</w:t>
      </w:r>
    </w:p>
    <w:tbl>
      <w:tblPr>
        <w:tblStyle w:val="Tabellenraster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894"/>
        <w:gridCol w:w="925"/>
        <w:gridCol w:w="925"/>
        <w:gridCol w:w="926"/>
        <w:gridCol w:w="925"/>
        <w:gridCol w:w="925"/>
        <w:gridCol w:w="925"/>
        <w:gridCol w:w="926"/>
      </w:tblGrid>
      <w:tr>
        <w:trPr>
          <w:divId w:val="263073786"/>
          <w:trHeight w:val="471"/>
        </w:trPr>
        <w:tc>
          <w:tcPr>
            <w:tcW w:w="1985" w:type="dxa"/>
            <w:vAlign w:val="center"/>
          </w:tcPr>
          <w:p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Compound</w:t>
            </w:r>
          </w:p>
        </w:tc>
        <w:tc>
          <w:tcPr>
            <w:tcW w:w="894" w:type="dxa"/>
            <w:vAlign w:val="center"/>
          </w:tcPr>
          <w:p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MW</w:t>
            </w:r>
          </w:p>
        </w:tc>
        <w:tc>
          <w:tcPr>
            <w:tcW w:w="925" w:type="dxa"/>
            <w:vAlign w:val="center"/>
          </w:tcPr>
          <w:p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DP</w:t>
            </w:r>
          </w:p>
        </w:tc>
        <w:tc>
          <w:tcPr>
            <w:tcW w:w="925" w:type="dxa"/>
            <w:vAlign w:val="center"/>
          </w:tcPr>
          <w:p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EP</w:t>
            </w:r>
          </w:p>
        </w:tc>
        <w:tc>
          <w:tcPr>
            <w:tcW w:w="926" w:type="dxa"/>
            <w:vAlign w:val="center"/>
          </w:tcPr>
          <w:p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CEP</w:t>
            </w:r>
          </w:p>
        </w:tc>
        <w:tc>
          <w:tcPr>
            <w:tcW w:w="925" w:type="dxa"/>
            <w:vAlign w:val="center"/>
          </w:tcPr>
          <w:p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Q1</w:t>
            </w:r>
          </w:p>
        </w:tc>
        <w:tc>
          <w:tcPr>
            <w:tcW w:w="925" w:type="dxa"/>
            <w:vAlign w:val="center"/>
          </w:tcPr>
          <w:p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Q3</w:t>
            </w:r>
          </w:p>
        </w:tc>
        <w:tc>
          <w:tcPr>
            <w:tcW w:w="925" w:type="dxa"/>
            <w:vAlign w:val="center"/>
          </w:tcPr>
          <w:p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CE</w:t>
            </w:r>
          </w:p>
        </w:tc>
        <w:tc>
          <w:tcPr>
            <w:tcW w:w="926" w:type="dxa"/>
            <w:vAlign w:val="center"/>
          </w:tcPr>
          <w:p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CXP</w:t>
            </w:r>
          </w:p>
        </w:tc>
      </w:tr>
      <w:tr>
        <w:trPr>
          <w:divId w:val="263073786"/>
          <w:trHeight w:val="471"/>
        </w:trPr>
        <w:tc>
          <w:tcPr>
            <w:tcW w:w="1985" w:type="dxa"/>
            <w:vAlign w:val="center"/>
          </w:tcPr>
          <w:p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Clofibric acid</w:t>
            </w:r>
          </w:p>
        </w:tc>
        <w:tc>
          <w:tcPr>
            <w:tcW w:w="894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214.65</w:t>
            </w:r>
          </w:p>
        </w:tc>
        <w:tc>
          <w:tcPr>
            <w:tcW w:w="925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-21</w:t>
            </w:r>
          </w:p>
        </w:tc>
        <w:tc>
          <w:tcPr>
            <w:tcW w:w="925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-11.5</w:t>
            </w:r>
          </w:p>
        </w:tc>
        <w:tc>
          <w:tcPr>
            <w:tcW w:w="926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</w:p>
        </w:tc>
        <w:tc>
          <w:tcPr>
            <w:tcW w:w="925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127</w:t>
            </w:r>
          </w:p>
        </w:tc>
        <w:tc>
          <w:tcPr>
            <w:tcW w:w="925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150</w:t>
            </w:r>
          </w:p>
        </w:tc>
        <w:tc>
          <w:tcPr>
            <w:tcW w:w="925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-20</w:t>
            </w:r>
          </w:p>
        </w:tc>
        <w:tc>
          <w:tcPr>
            <w:tcW w:w="926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-2</w:t>
            </w:r>
          </w:p>
        </w:tc>
      </w:tr>
      <w:tr>
        <w:trPr>
          <w:divId w:val="263073786"/>
          <w:trHeight w:val="471"/>
        </w:trPr>
        <w:tc>
          <w:tcPr>
            <w:tcW w:w="1985" w:type="dxa"/>
            <w:vAlign w:val="center"/>
          </w:tcPr>
          <w:p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Diclofnac</w:t>
            </w:r>
          </w:p>
        </w:tc>
        <w:tc>
          <w:tcPr>
            <w:tcW w:w="894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296.15</w:t>
            </w:r>
          </w:p>
        </w:tc>
        <w:tc>
          <w:tcPr>
            <w:tcW w:w="925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-16</w:t>
            </w:r>
          </w:p>
        </w:tc>
        <w:tc>
          <w:tcPr>
            <w:tcW w:w="925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-8</w:t>
            </w:r>
          </w:p>
        </w:tc>
        <w:tc>
          <w:tcPr>
            <w:tcW w:w="926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</w:p>
        </w:tc>
        <w:tc>
          <w:tcPr>
            <w:tcW w:w="925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293.9</w:t>
            </w:r>
          </w:p>
        </w:tc>
        <w:tc>
          <w:tcPr>
            <w:tcW w:w="925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250.1</w:t>
            </w:r>
          </w:p>
        </w:tc>
        <w:tc>
          <w:tcPr>
            <w:tcW w:w="925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-12</w:t>
            </w:r>
          </w:p>
        </w:tc>
        <w:tc>
          <w:tcPr>
            <w:tcW w:w="926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-4</w:t>
            </w:r>
          </w:p>
        </w:tc>
      </w:tr>
      <w:tr>
        <w:trPr>
          <w:divId w:val="263073786"/>
          <w:trHeight w:val="471"/>
        </w:trPr>
        <w:tc>
          <w:tcPr>
            <w:tcW w:w="1985" w:type="dxa"/>
            <w:vAlign w:val="center"/>
          </w:tcPr>
          <w:p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Ketoprofen</w:t>
            </w:r>
          </w:p>
        </w:tc>
        <w:tc>
          <w:tcPr>
            <w:tcW w:w="894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257.31</w:t>
            </w:r>
          </w:p>
        </w:tc>
        <w:tc>
          <w:tcPr>
            <w:tcW w:w="925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-31</w:t>
            </w:r>
          </w:p>
        </w:tc>
        <w:tc>
          <w:tcPr>
            <w:tcW w:w="925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-9.5</w:t>
            </w:r>
          </w:p>
        </w:tc>
        <w:tc>
          <w:tcPr>
            <w:tcW w:w="926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</w:p>
        </w:tc>
        <w:tc>
          <w:tcPr>
            <w:tcW w:w="925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252.9</w:t>
            </w:r>
          </w:p>
        </w:tc>
        <w:tc>
          <w:tcPr>
            <w:tcW w:w="925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209.2</w:t>
            </w:r>
          </w:p>
        </w:tc>
        <w:tc>
          <w:tcPr>
            <w:tcW w:w="925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-8</w:t>
            </w:r>
          </w:p>
        </w:tc>
        <w:tc>
          <w:tcPr>
            <w:tcW w:w="926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-4</w:t>
            </w:r>
          </w:p>
        </w:tc>
      </w:tr>
    </w:tbl>
    <w:p>
      <w:pPr>
        <w:spacing w:after="0" w:line="240" w:lineRule="auto"/>
        <w:divId w:val="263073786"/>
        <w:rPr>
          <w:rFonts w:ascii="Cambria" w:hAnsi="Cambria"/>
        </w:rPr>
      </w:pPr>
    </w:p>
    <w:p>
      <w:pPr>
        <w:spacing w:after="0" w:line="240" w:lineRule="auto"/>
        <w:divId w:val="263073786"/>
        <w:rPr>
          <w:rFonts w:ascii="Cambria" w:hAnsi="Cambria"/>
        </w:rPr>
      </w:pPr>
      <w:r>
        <w:rPr>
          <w:rFonts w:ascii="Cambria" w:hAnsi="Cambria"/>
        </w:rPr>
        <w:t>Source/Gas Parameters</w:t>
      </w:r>
    </w:p>
    <w:p>
      <w:pPr>
        <w:spacing w:after="0" w:line="240" w:lineRule="auto"/>
        <w:divId w:val="263073786"/>
        <w:rPr>
          <w:rFonts w:ascii="Cambria" w:hAnsi="Cambria"/>
        </w:rPr>
      </w:pPr>
    </w:p>
    <w:tbl>
      <w:tblPr>
        <w:tblStyle w:val="Tabellenraster"/>
        <w:tblW w:w="751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921"/>
        <w:gridCol w:w="921"/>
        <w:gridCol w:w="922"/>
        <w:gridCol w:w="921"/>
        <w:gridCol w:w="921"/>
        <w:gridCol w:w="922"/>
      </w:tblGrid>
      <w:tr>
        <w:trPr>
          <w:divId w:val="263073786"/>
          <w:trHeight w:val="471"/>
        </w:trPr>
        <w:tc>
          <w:tcPr>
            <w:tcW w:w="1985" w:type="dxa"/>
            <w:vAlign w:val="center"/>
          </w:tcPr>
          <w:p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Parameter</w:t>
            </w:r>
          </w:p>
        </w:tc>
        <w:tc>
          <w:tcPr>
            <w:tcW w:w="921" w:type="dxa"/>
            <w:vAlign w:val="center"/>
          </w:tcPr>
          <w:p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TEM</w:t>
            </w:r>
          </w:p>
        </w:tc>
        <w:tc>
          <w:tcPr>
            <w:tcW w:w="921" w:type="dxa"/>
            <w:vAlign w:val="center"/>
          </w:tcPr>
          <w:p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CUR</w:t>
            </w:r>
          </w:p>
        </w:tc>
        <w:tc>
          <w:tcPr>
            <w:tcW w:w="922" w:type="dxa"/>
            <w:vAlign w:val="center"/>
          </w:tcPr>
          <w:p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IS</w:t>
            </w:r>
          </w:p>
        </w:tc>
        <w:tc>
          <w:tcPr>
            <w:tcW w:w="921" w:type="dxa"/>
            <w:vAlign w:val="center"/>
          </w:tcPr>
          <w:p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GS1</w:t>
            </w:r>
          </w:p>
        </w:tc>
        <w:tc>
          <w:tcPr>
            <w:tcW w:w="921" w:type="dxa"/>
            <w:vAlign w:val="center"/>
          </w:tcPr>
          <w:p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GS2</w:t>
            </w:r>
          </w:p>
        </w:tc>
        <w:tc>
          <w:tcPr>
            <w:tcW w:w="922" w:type="dxa"/>
            <w:vAlign w:val="center"/>
          </w:tcPr>
          <w:p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CAD</w:t>
            </w:r>
          </w:p>
        </w:tc>
      </w:tr>
      <w:tr>
        <w:trPr>
          <w:divId w:val="263073786"/>
          <w:trHeight w:val="471"/>
        </w:trPr>
        <w:tc>
          <w:tcPr>
            <w:tcW w:w="1985" w:type="dxa"/>
            <w:vAlign w:val="center"/>
          </w:tcPr>
          <w:p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Value</w:t>
            </w:r>
          </w:p>
        </w:tc>
        <w:tc>
          <w:tcPr>
            <w:tcW w:w="921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350</w:t>
            </w:r>
          </w:p>
        </w:tc>
        <w:tc>
          <w:tcPr>
            <w:tcW w:w="921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40</w:t>
            </w:r>
          </w:p>
        </w:tc>
        <w:tc>
          <w:tcPr>
            <w:tcW w:w="922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-4500</w:t>
            </w:r>
          </w:p>
        </w:tc>
        <w:tc>
          <w:tcPr>
            <w:tcW w:w="921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40</w:t>
            </w:r>
          </w:p>
        </w:tc>
        <w:tc>
          <w:tcPr>
            <w:tcW w:w="921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40</w:t>
            </w:r>
          </w:p>
        </w:tc>
        <w:tc>
          <w:tcPr>
            <w:tcW w:w="922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</w:t>
            </w:r>
          </w:p>
        </w:tc>
      </w:tr>
    </w:tbl>
    <w:p>
      <w:pPr>
        <w:divId w:val="263073786"/>
        <w:rPr>
          <w:rFonts w:ascii="Cambria" w:eastAsiaTheme="minorEastAsia" w:hAnsi="Cambria" w:cs="Times New Roman"/>
        </w:rPr>
      </w:pPr>
    </w:p>
    <w:p>
      <w:pPr>
        <w:pStyle w:val="Listenabsatz"/>
        <w:numPr>
          <w:ilvl w:val="0"/>
          <w:numId w:val="2"/>
        </w:numPr>
        <w:rPr>
          <w:rFonts w:ascii="Cambria" w:eastAsiaTheme="minorEastAsia" w:hAnsi="Cambria" w:cs="Times New Roman"/>
          <w:b/>
        </w:rPr>
      </w:pPr>
      <w:r>
        <w:rPr>
          <w:rFonts w:ascii="Cambria" w:hAnsi="Cambria"/>
        </w:rPr>
        <w:br w:type="page"/>
      </w:r>
      <w:r>
        <w:rPr>
          <w:rFonts w:ascii="Cambria" w:eastAsiaTheme="minorEastAsia" w:hAnsi="Cambria" w:cs="Times New Roman"/>
          <w:b/>
        </w:rPr>
        <w:t>Limits of qualification of pharmaceuticals</w:t>
      </w:r>
    </w:p>
    <w:tbl>
      <w:tblPr>
        <w:tblStyle w:val="Tabellenraster"/>
        <w:tblW w:w="5211" w:type="dxa"/>
        <w:tblLayout w:type="fixed"/>
        <w:tblLook w:val="04A0" w:firstRow="1" w:lastRow="0" w:firstColumn="1" w:lastColumn="0" w:noHBand="0" w:noVBand="1"/>
      </w:tblPr>
      <w:tblGrid>
        <w:gridCol w:w="2605"/>
        <w:gridCol w:w="2606"/>
      </w:tblGrid>
      <w:tr>
        <w:trPr>
          <w:trHeight w:val="698"/>
        </w:trPr>
        <w:tc>
          <w:tcPr>
            <w:tcW w:w="2605" w:type="dxa"/>
            <w:vAlign w:val="center"/>
          </w:tcPr>
          <w:p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Compound</w:t>
            </w:r>
          </w:p>
        </w:tc>
        <w:tc>
          <w:tcPr>
            <w:tcW w:w="2606" w:type="dxa"/>
            <w:vAlign w:val="center"/>
          </w:tcPr>
          <w:p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Limit of qualification [µg/L]</w:t>
            </w:r>
          </w:p>
        </w:tc>
      </w:tr>
      <w:tr>
        <w:trPr>
          <w:trHeight w:val="471"/>
        </w:trPr>
        <w:tc>
          <w:tcPr>
            <w:tcW w:w="2605" w:type="dxa"/>
            <w:vAlign w:val="center"/>
          </w:tcPr>
          <w:p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Antipirine</w:t>
            </w:r>
          </w:p>
        </w:tc>
        <w:tc>
          <w:tcPr>
            <w:tcW w:w="2606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</w:tc>
      </w:tr>
      <w:tr>
        <w:trPr>
          <w:trHeight w:val="471"/>
        </w:trPr>
        <w:tc>
          <w:tcPr>
            <w:tcW w:w="2605" w:type="dxa"/>
            <w:vAlign w:val="center"/>
          </w:tcPr>
          <w:p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Atenolol</w:t>
            </w:r>
          </w:p>
        </w:tc>
        <w:tc>
          <w:tcPr>
            <w:tcW w:w="2606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</w:tc>
      </w:tr>
      <w:tr>
        <w:trPr>
          <w:trHeight w:val="471"/>
        </w:trPr>
        <w:tc>
          <w:tcPr>
            <w:tcW w:w="2605" w:type="dxa"/>
            <w:vAlign w:val="center"/>
          </w:tcPr>
          <w:p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Caffeine</w:t>
            </w:r>
          </w:p>
        </w:tc>
        <w:tc>
          <w:tcPr>
            <w:tcW w:w="2606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</w:p>
        </w:tc>
      </w:tr>
      <w:tr>
        <w:trPr>
          <w:trHeight w:val="471"/>
        </w:trPr>
        <w:tc>
          <w:tcPr>
            <w:tcW w:w="2605" w:type="dxa"/>
            <w:vAlign w:val="center"/>
          </w:tcPr>
          <w:p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Carbamazepine</w:t>
            </w:r>
          </w:p>
        </w:tc>
        <w:tc>
          <w:tcPr>
            <w:tcW w:w="2606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</w:tc>
      </w:tr>
      <w:tr>
        <w:trPr>
          <w:trHeight w:val="471"/>
        </w:trPr>
        <w:tc>
          <w:tcPr>
            <w:tcW w:w="2605" w:type="dxa"/>
            <w:vAlign w:val="center"/>
          </w:tcPr>
          <w:p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Ciprofloxacin</w:t>
            </w:r>
          </w:p>
        </w:tc>
        <w:tc>
          <w:tcPr>
            <w:tcW w:w="2606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</w:tc>
      </w:tr>
      <w:tr>
        <w:trPr>
          <w:trHeight w:val="471"/>
        </w:trPr>
        <w:tc>
          <w:tcPr>
            <w:tcW w:w="2605" w:type="dxa"/>
            <w:vAlign w:val="center"/>
          </w:tcPr>
          <w:p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Diclofnac</w:t>
            </w:r>
          </w:p>
        </w:tc>
        <w:tc>
          <w:tcPr>
            <w:tcW w:w="2606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</w:p>
        </w:tc>
      </w:tr>
      <w:tr>
        <w:trPr>
          <w:trHeight w:val="471"/>
        </w:trPr>
        <w:tc>
          <w:tcPr>
            <w:tcW w:w="2605" w:type="dxa"/>
            <w:vAlign w:val="center"/>
          </w:tcPr>
          <w:p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Ketoprofen</w:t>
            </w:r>
          </w:p>
        </w:tc>
        <w:tc>
          <w:tcPr>
            <w:tcW w:w="2606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</w:p>
        </w:tc>
      </w:tr>
      <w:tr>
        <w:trPr>
          <w:trHeight w:val="471"/>
        </w:trPr>
        <w:tc>
          <w:tcPr>
            <w:tcW w:w="2605" w:type="dxa"/>
            <w:vAlign w:val="center"/>
          </w:tcPr>
          <w:p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Ofloxacin</w:t>
            </w:r>
          </w:p>
        </w:tc>
        <w:tc>
          <w:tcPr>
            <w:tcW w:w="2606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</w:tc>
      </w:tr>
      <w:tr>
        <w:trPr>
          <w:trHeight w:val="471"/>
        </w:trPr>
        <w:tc>
          <w:tcPr>
            <w:tcW w:w="2605" w:type="dxa"/>
            <w:vAlign w:val="center"/>
          </w:tcPr>
          <w:p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Sulfamethaxazole</w:t>
            </w:r>
          </w:p>
        </w:tc>
        <w:tc>
          <w:tcPr>
            <w:tcW w:w="2606" w:type="dxa"/>
            <w:vAlign w:val="center"/>
          </w:tcPr>
          <w:p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</w:p>
        </w:tc>
      </w:tr>
    </w:tbl>
    <w:p>
      <w:pPr>
        <w:rPr>
          <w:rFonts w:ascii="Cambria" w:hAnsi="Cambria"/>
        </w:rPr>
      </w:pPr>
      <w:r>
        <w:rPr>
          <w:rFonts w:ascii="Cambria" w:hAnsi="Cambria"/>
        </w:rPr>
        <w:br w:type="page"/>
      </w:r>
    </w:p>
    <w:p>
      <w:pPr>
        <w:pStyle w:val="StandardWeb"/>
        <w:numPr>
          <w:ilvl w:val="0"/>
          <w:numId w:val="2"/>
        </w:numPr>
        <w:divId w:val="263073786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Water properties</w:t>
      </w:r>
    </w:p>
    <w:tbl>
      <w:tblPr>
        <w:tblStyle w:val="Tabellenraster"/>
        <w:tblW w:w="8363" w:type="dxa"/>
        <w:tblInd w:w="1101" w:type="dxa"/>
        <w:tblLook w:val="04A0" w:firstRow="1" w:lastRow="0" w:firstColumn="1" w:lastColumn="0" w:noHBand="0" w:noVBand="1"/>
      </w:tblPr>
      <w:tblGrid>
        <w:gridCol w:w="1984"/>
        <w:gridCol w:w="967"/>
        <w:gridCol w:w="1804"/>
        <w:gridCol w:w="1804"/>
        <w:gridCol w:w="1804"/>
      </w:tblGrid>
      <w:tr>
        <w:trPr>
          <w:divId w:val="263073786"/>
          <w:trHeight w:val="471"/>
        </w:trPr>
        <w:tc>
          <w:tcPr>
            <w:tcW w:w="2951" w:type="dxa"/>
            <w:gridSpan w:val="2"/>
            <w:vAlign w:val="center"/>
          </w:tcPr>
          <w:p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sz w:val="20"/>
                <w:szCs w:val="20"/>
              </w:rPr>
              <w:t>Sediment</w:t>
            </w:r>
          </w:p>
        </w:tc>
        <w:tc>
          <w:tcPr>
            <w:tcW w:w="1804" w:type="dxa"/>
            <w:vAlign w:val="center"/>
          </w:tcPr>
          <w:p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sz w:val="20"/>
                <w:szCs w:val="20"/>
              </w:rPr>
              <w:t>G</w:t>
            </w:r>
          </w:p>
        </w:tc>
        <w:tc>
          <w:tcPr>
            <w:tcW w:w="1804" w:type="dxa"/>
            <w:vAlign w:val="center"/>
          </w:tcPr>
          <w:p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sz w:val="20"/>
                <w:szCs w:val="20"/>
              </w:rPr>
              <w:t>V</w:t>
            </w:r>
          </w:p>
        </w:tc>
        <w:tc>
          <w:tcPr>
            <w:tcW w:w="1804" w:type="dxa"/>
            <w:vAlign w:val="center"/>
          </w:tcPr>
          <w:p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sz w:val="20"/>
                <w:szCs w:val="20"/>
              </w:rPr>
              <w:t>E</w:t>
            </w:r>
          </w:p>
        </w:tc>
      </w:tr>
      <w:tr>
        <w:trPr>
          <w:divId w:val="263073786"/>
          <w:trHeight w:val="471"/>
        </w:trPr>
        <w:tc>
          <w:tcPr>
            <w:tcW w:w="2951" w:type="dxa"/>
            <w:gridSpan w:val="2"/>
            <w:vAlign w:val="center"/>
          </w:tcPr>
          <w:p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Sampling location</w:t>
            </w:r>
          </w:p>
        </w:tc>
        <w:tc>
          <w:tcPr>
            <w:tcW w:w="1804" w:type="dxa"/>
            <w:vAlign w:val="center"/>
          </w:tcPr>
          <w:p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Neuherberg</w:t>
            </w:r>
          </w:p>
        </w:tc>
        <w:tc>
          <w:tcPr>
            <w:tcW w:w="1804" w:type="dxa"/>
            <w:vAlign w:val="center"/>
          </w:tcPr>
          <w:p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Caissargues</w:t>
            </w:r>
          </w:p>
        </w:tc>
        <w:tc>
          <w:tcPr>
            <w:tcW w:w="1804" w:type="dxa"/>
            <w:vAlign w:val="center"/>
          </w:tcPr>
          <w:p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color w:val="000000"/>
                <w:sz w:val="20"/>
                <w:szCs w:val="20"/>
              </w:rPr>
              <w:t>Montiró (Ventalló)</w:t>
            </w:r>
          </w:p>
        </w:tc>
      </w:tr>
      <w:tr>
        <w:trPr>
          <w:divId w:val="263073786"/>
          <w:trHeight w:val="471"/>
        </w:trPr>
        <w:tc>
          <w:tcPr>
            <w:tcW w:w="2951" w:type="dxa"/>
            <w:gridSpan w:val="2"/>
            <w:vAlign w:val="center"/>
          </w:tcPr>
          <w:p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X</w:t>
            </w:r>
          </w:p>
        </w:tc>
        <w:tc>
          <w:tcPr>
            <w:tcW w:w="1804" w:type="dxa"/>
            <w:vAlign w:val="center"/>
          </w:tcPr>
          <w:p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692507</w:t>
            </w:r>
          </w:p>
        </w:tc>
        <w:tc>
          <w:tcPr>
            <w:tcW w:w="1804" w:type="dxa"/>
            <w:vAlign w:val="center"/>
          </w:tcPr>
          <w:p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596897</w:t>
            </w:r>
          </w:p>
        </w:tc>
        <w:tc>
          <w:tcPr>
            <w:tcW w:w="1804" w:type="dxa"/>
            <w:vAlign w:val="center"/>
          </w:tcPr>
          <w:p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color w:val="000000"/>
                <w:sz w:val="20"/>
                <w:szCs w:val="20"/>
              </w:rPr>
              <w:t>505706</w:t>
            </w:r>
          </w:p>
        </w:tc>
      </w:tr>
      <w:tr>
        <w:trPr>
          <w:divId w:val="263073786"/>
          <w:trHeight w:val="471"/>
        </w:trPr>
        <w:tc>
          <w:tcPr>
            <w:tcW w:w="2951" w:type="dxa"/>
            <w:gridSpan w:val="2"/>
            <w:vAlign w:val="center"/>
          </w:tcPr>
          <w:p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Y</w:t>
            </w:r>
          </w:p>
        </w:tc>
        <w:tc>
          <w:tcPr>
            <w:tcW w:w="1804" w:type="dxa"/>
            <w:vAlign w:val="center"/>
          </w:tcPr>
          <w:p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5344268</w:t>
            </w:r>
          </w:p>
        </w:tc>
        <w:tc>
          <w:tcPr>
            <w:tcW w:w="1804" w:type="dxa"/>
            <w:vAlign w:val="center"/>
          </w:tcPr>
          <w:p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4840217</w:t>
            </w:r>
          </w:p>
        </w:tc>
        <w:tc>
          <w:tcPr>
            <w:tcW w:w="1804" w:type="dxa"/>
            <w:vAlign w:val="center"/>
          </w:tcPr>
          <w:p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color w:val="000000"/>
                <w:sz w:val="20"/>
                <w:szCs w:val="20"/>
              </w:rPr>
              <w:t>4666972</w:t>
            </w:r>
          </w:p>
        </w:tc>
      </w:tr>
      <w:tr>
        <w:trPr>
          <w:divId w:val="263073786"/>
          <w:trHeight w:val="471"/>
        </w:trPr>
        <w:tc>
          <w:tcPr>
            <w:tcW w:w="1984" w:type="dxa"/>
            <w:vAlign w:val="center"/>
          </w:tcPr>
          <w:p>
            <w:pPr>
              <w:jc w:val="center"/>
              <w:rPr>
                <w:rFonts w:asciiTheme="majorHAnsi" w:hAnsi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bCs/>
                <w:color w:val="000000"/>
                <w:sz w:val="20"/>
                <w:szCs w:val="20"/>
              </w:rPr>
              <w:t>Conductivity</w:t>
            </w:r>
            <w:r>
              <w:rPr>
                <w:rFonts w:asciiTheme="majorHAnsi" w:hAnsiTheme="majorHAnsi"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/>
                <w:bCs/>
                <w:color w:val="000000"/>
                <w:sz w:val="20"/>
                <w:szCs w:val="20"/>
              </w:rPr>
              <w:t>µS/cm</w:t>
            </w:r>
          </w:p>
        </w:tc>
        <w:tc>
          <w:tcPr>
            <w:tcW w:w="1804" w:type="dxa"/>
            <w:vAlign w:val="center"/>
          </w:tcPr>
          <w:p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NA</w:t>
            </w:r>
          </w:p>
        </w:tc>
        <w:tc>
          <w:tcPr>
            <w:tcW w:w="1804" w:type="dxa"/>
            <w:vAlign w:val="center"/>
          </w:tcPr>
          <w:p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747</w:t>
            </w:r>
          </w:p>
        </w:tc>
        <w:tc>
          <w:tcPr>
            <w:tcW w:w="1804" w:type="dxa"/>
            <w:vAlign w:val="center"/>
          </w:tcPr>
          <w:p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color w:val="000000"/>
                <w:sz w:val="20"/>
                <w:szCs w:val="20"/>
              </w:rPr>
              <w:t>1337</w:t>
            </w:r>
          </w:p>
        </w:tc>
      </w:tr>
      <w:tr>
        <w:trPr>
          <w:divId w:val="263073786"/>
          <w:trHeight w:val="471"/>
        </w:trPr>
        <w:tc>
          <w:tcPr>
            <w:tcW w:w="1984" w:type="dxa"/>
            <w:vAlign w:val="center"/>
          </w:tcPr>
          <w:p>
            <w:pPr>
              <w:jc w:val="center"/>
              <w:rPr>
                <w:rFonts w:asciiTheme="majorHAnsi" w:hAnsi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bCs/>
                <w:color w:val="000000"/>
                <w:sz w:val="20"/>
                <w:szCs w:val="20"/>
              </w:rPr>
              <w:t>Temperature</w:t>
            </w:r>
            <w:r>
              <w:rPr>
                <w:rFonts w:asciiTheme="majorHAnsi" w:hAnsiTheme="majorHAnsi"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/>
                <w:bCs/>
                <w:color w:val="000000"/>
                <w:sz w:val="20"/>
                <w:szCs w:val="20"/>
              </w:rPr>
              <w:t>°C</w:t>
            </w:r>
          </w:p>
        </w:tc>
        <w:tc>
          <w:tcPr>
            <w:tcW w:w="1804" w:type="dxa"/>
            <w:vAlign w:val="center"/>
          </w:tcPr>
          <w:p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NA</w:t>
            </w:r>
          </w:p>
        </w:tc>
        <w:tc>
          <w:tcPr>
            <w:tcW w:w="1804" w:type="dxa"/>
            <w:vAlign w:val="center"/>
          </w:tcPr>
          <w:p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15.2</w:t>
            </w:r>
          </w:p>
        </w:tc>
        <w:tc>
          <w:tcPr>
            <w:tcW w:w="1804" w:type="dxa"/>
            <w:vAlign w:val="center"/>
          </w:tcPr>
          <w:p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color w:val="000000"/>
                <w:sz w:val="20"/>
                <w:szCs w:val="20"/>
              </w:rPr>
              <w:t>16.6</w:t>
            </w:r>
          </w:p>
        </w:tc>
      </w:tr>
      <w:tr>
        <w:trPr>
          <w:divId w:val="263073786"/>
          <w:trHeight w:val="471"/>
        </w:trPr>
        <w:tc>
          <w:tcPr>
            <w:tcW w:w="1984" w:type="dxa"/>
            <w:vAlign w:val="center"/>
          </w:tcPr>
          <w:p>
            <w:pPr>
              <w:jc w:val="center"/>
              <w:rPr>
                <w:rFonts w:asciiTheme="majorHAnsi" w:hAnsi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bCs/>
                <w:color w:val="000000"/>
                <w:sz w:val="20"/>
                <w:szCs w:val="20"/>
              </w:rPr>
              <w:t>pH</w:t>
            </w:r>
            <w:r>
              <w:rPr>
                <w:rFonts w:asciiTheme="majorHAnsi" w:hAnsiTheme="majorHAnsi"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04" w:type="dxa"/>
            <w:vAlign w:val="center"/>
          </w:tcPr>
          <w:p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7.5</w:t>
            </w:r>
          </w:p>
        </w:tc>
        <w:tc>
          <w:tcPr>
            <w:tcW w:w="1804" w:type="dxa"/>
            <w:vAlign w:val="center"/>
          </w:tcPr>
          <w:p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6.9</w:t>
            </w:r>
          </w:p>
        </w:tc>
        <w:tc>
          <w:tcPr>
            <w:tcW w:w="1804" w:type="dxa"/>
            <w:vAlign w:val="center"/>
          </w:tcPr>
          <w:p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color w:val="000000"/>
                <w:sz w:val="20"/>
                <w:szCs w:val="20"/>
              </w:rPr>
              <w:t>7.3</w:t>
            </w:r>
          </w:p>
        </w:tc>
      </w:tr>
      <w:tr>
        <w:trPr>
          <w:divId w:val="263073786"/>
          <w:trHeight w:val="471"/>
        </w:trPr>
        <w:tc>
          <w:tcPr>
            <w:tcW w:w="1984" w:type="dxa"/>
            <w:vAlign w:val="center"/>
          </w:tcPr>
          <w:p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HCO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vertAlign w:val="subscript"/>
              </w:rPr>
              <w:t>3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mg/L</w:t>
            </w:r>
          </w:p>
        </w:tc>
        <w:tc>
          <w:tcPr>
            <w:tcW w:w="1804" w:type="dxa"/>
            <w:vAlign w:val="center"/>
          </w:tcPr>
          <w:p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335.0</w:t>
            </w:r>
          </w:p>
        </w:tc>
        <w:tc>
          <w:tcPr>
            <w:tcW w:w="1804" w:type="dxa"/>
            <w:vAlign w:val="center"/>
          </w:tcPr>
          <w:p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302.6</w:t>
            </w:r>
          </w:p>
        </w:tc>
        <w:tc>
          <w:tcPr>
            <w:tcW w:w="1804" w:type="dxa"/>
            <w:vAlign w:val="center"/>
          </w:tcPr>
          <w:p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>264</w:t>
            </w: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>.0</w:t>
            </w:r>
          </w:p>
        </w:tc>
      </w:tr>
      <w:tr>
        <w:trPr>
          <w:divId w:val="263073786"/>
          <w:trHeight w:val="471"/>
        </w:trPr>
        <w:tc>
          <w:tcPr>
            <w:tcW w:w="1984" w:type="dxa"/>
            <w:vAlign w:val="center"/>
          </w:tcPr>
          <w:p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Alk T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mg/L</w:t>
            </w:r>
          </w:p>
        </w:tc>
        <w:tc>
          <w:tcPr>
            <w:tcW w:w="1804" w:type="dxa"/>
            <w:vAlign w:val="center"/>
          </w:tcPr>
          <w:p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804" w:type="dxa"/>
            <w:vAlign w:val="center"/>
          </w:tcPr>
          <w:p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NA</w:t>
            </w:r>
          </w:p>
        </w:tc>
        <w:tc>
          <w:tcPr>
            <w:tcW w:w="1804" w:type="dxa"/>
            <w:vAlign w:val="center"/>
          </w:tcPr>
          <w:p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>220</w:t>
            </w:r>
          </w:p>
        </w:tc>
      </w:tr>
      <w:tr>
        <w:trPr>
          <w:divId w:val="263073786"/>
          <w:trHeight w:val="471"/>
        </w:trPr>
        <w:tc>
          <w:tcPr>
            <w:tcW w:w="1984" w:type="dxa"/>
            <w:vAlign w:val="center"/>
          </w:tcPr>
          <w:p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SO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vertAlign w:val="subscript"/>
              </w:rPr>
              <w:t>4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vertAlign w:val="superscript"/>
              </w:rPr>
              <w:t>2-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mg/L</w:t>
            </w:r>
          </w:p>
        </w:tc>
        <w:tc>
          <w:tcPr>
            <w:tcW w:w="1804" w:type="dxa"/>
            <w:vAlign w:val="center"/>
          </w:tcPr>
          <w:p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7.35</w:t>
            </w:r>
          </w:p>
        </w:tc>
        <w:tc>
          <w:tcPr>
            <w:tcW w:w="1804" w:type="dxa"/>
            <w:vAlign w:val="center"/>
          </w:tcPr>
          <w:p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77.26</w:t>
            </w:r>
          </w:p>
        </w:tc>
        <w:tc>
          <w:tcPr>
            <w:tcW w:w="1804" w:type="dxa"/>
            <w:vAlign w:val="center"/>
          </w:tcPr>
          <w:p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>269</w:t>
            </w:r>
          </w:p>
        </w:tc>
      </w:tr>
      <w:tr>
        <w:trPr>
          <w:divId w:val="263073786"/>
          <w:trHeight w:val="471"/>
        </w:trPr>
        <w:tc>
          <w:tcPr>
            <w:tcW w:w="1984" w:type="dxa"/>
            <w:vAlign w:val="center"/>
          </w:tcPr>
          <w:p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Cl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mg/L</w:t>
            </w:r>
          </w:p>
        </w:tc>
        <w:tc>
          <w:tcPr>
            <w:tcW w:w="1804" w:type="dxa"/>
            <w:vAlign w:val="center"/>
          </w:tcPr>
          <w:p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33.47</w:t>
            </w:r>
          </w:p>
        </w:tc>
        <w:tc>
          <w:tcPr>
            <w:tcW w:w="1804" w:type="dxa"/>
            <w:vAlign w:val="center"/>
          </w:tcPr>
          <w:p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30.89</w:t>
            </w:r>
          </w:p>
        </w:tc>
        <w:tc>
          <w:tcPr>
            <w:tcW w:w="1804" w:type="dxa"/>
            <w:vAlign w:val="center"/>
          </w:tcPr>
          <w:p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>55</w:t>
            </w:r>
          </w:p>
        </w:tc>
      </w:tr>
      <w:tr>
        <w:trPr>
          <w:divId w:val="263073786"/>
          <w:trHeight w:val="471"/>
        </w:trPr>
        <w:tc>
          <w:tcPr>
            <w:tcW w:w="1984" w:type="dxa"/>
            <w:vAlign w:val="center"/>
          </w:tcPr>
          <w:p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NO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vertAlign w:val="subscript"/>
              </w:rPr>
              <w:t>3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mg/L</w:t>
            </w:r>
          </w:p>
        </w:tc>
        <w:tc>
          <w:tcPr>
            <w:tcW w:w="1804" w:type="dxa"/>
            <w:vAlign w:val="center"/>
          </w:tcPr>
          <w:p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6.12</w:t>
            </w:r>
          </w:p>
        </w:tc>
        <w:tc>
          <w:tcPr>
            <w:tcW w:w="1804" w:type="dxa"/>
            <w:vAlign w:val="center"/>
          </w:tcPr>
          <w:p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35.52</w:t>
            </w:r>
          </w:p>
        </w:tc>
        <w:tc>
          <w:tcPr>
            <w:tcW w:w="1804" w:type="dxa"/>
            <w:vAlign w:val="center"/>
          </w:tcPr>
          <w:p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>37</w:t>
            </w:r>
          </w:p>
        </w:tc>
      </w:tr>
      <w:tr>
        <w:trPr>
          <w:divId w:val="263073786"/>
          <w:trHeight w:val="471"/>
        </w:trPr>
        <w:tc>
          <w:tcPr>
            <w:tcW w:w="1984" w:type="dxa"/>
            <w:vAlign w:val="center"/>
          </w:tcPr>
          <w:p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NO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mg/L</w:t>
            </w:r>
          </w:p>
        </w:tc>
        <w:tc>
          <w:tcPr>
            <w:tcW w:w="1804" w:type="dxa"/>
            <w:vAlign w:val="center"/>
          </w:tcPr>
          <w:p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Nd</w:t>
            </w:r>
          </w:p>
        </w:tc>
        <w:tc>
          <w:tcPr>
            <w:tcW w:w="1804" w:type="dxa"/>
            <w:vAlign w:val="center"/>
          </w:tcPr>
          <w:p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Nd</w:t>
            </w:r>
          </w:p>
        </w:tc>
        <w:tc>
          <w:tcPr>
            <w:tcW w:w="1804" w:type="dxa"/>
            <w:vAlign w:val="center"/>
          </w:tcPr>
          <w:p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>Nd</w:t>
            </w:r>
          </w:p>
        </w:tc>
      </w:tr>
      <w:tr>
        <w:trPr>
          <w:divId w:val="263073786"/>
          <w:trHeight w:val="471"/>
        </w:trPr>
        <w:tc>
          <w:tcPr>
            <w:tcW w:w="1984" w:type="dxa"/>
            <w:vAlign w:val="center"/>
          </w:tcPr>
          <w:p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NH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vertAlign w:val="subscript"/>
              </w:rPr>
              <w:t>4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mg/L</w:t>
            </w:r>
          </w:p>
        </w:tc>
        <w:tc>
          <w:tcPr>
            <w:tcW w:w="1804" w:type="dxa"/>
            <w:vAlign w:val="center"/>
          </w:tcPr>
          <w:p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Nd</w:t>
            </w:r>
          </w:p>
        </w:tc>
        <w:tc>
          <w:tcPr>
            <w:tcW w:w="1804" w:type="dxa"/>
            <w:vAlign w:val="center"/>
          </w:tcPr>
          <w:p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Nd</w:t>
            </w:r>
          </w:p>
        </w:tc>
        <w:tc>
          <w:tcPr>
            <w:tcW w:w="1804" w:type="dxa"/>
            <w:vAlign w:val="center"/>
          </w:tcPr>
          <w:p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>Nd</w:t>
            </w:r>
          </w:p>
        </w:tc>
      </w:tr>
      <w:tr>
        <w:trPr>
          <w:divId w:val="263073786"/>
          <w:trHeight w:val="471"/>
        </w:trPr>
        <w:tc>
          <w:tcPr>
            <w:tcW w:w="1984" w:type="dxa"/>
            <w:vAlign w:val="center"/>
          </w:tcPr>
          <w:p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Ca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vertAlign w:val="superscript"/>
              </w:rPr>
              <w:t>2+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mg/L</w:t>
            </w:r>
          </w:p>
        </w:tc>
        <w:tc>
          <w:tcPr>
            <w:tcW w:w="1804" w:type="dxa"/>
            <w:vAlign w:val="center"/>
          </w:tcPr>
          <w:p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86.46</w:t>
            </w:r>
          </w:p>
        </w:tc>
        <w:tc>
          <w:tcPr>
            <w:tcW w:w="1804" w:type="dxa"/>
            <w:vAlign w:val="center"/>
          </w:tcPr>
          <w:p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122.98</w:t>
            </w:r>
          </w:p>
        </w:tc>
        <w:tc>
          <w:tcPr>
            <w:tcW w:w="1804" w:type="dxa"/>
            <w:vAlign w:val="center"/>
          </w:tcPr>
          <w:p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>175</w:t>
            </w:r>
          </w:p>
        </w:tc>
      </w:tr>
      <w:tr>
        <w:trPr>
          <w:divId w:val="263073786"/>
          <w:trHeight w:val="471"/>
        </w:trPr>
        <w:tc>
          <w:tcPr>
            <w:tcW w:w="1984" w:type="dxa"/>
            <w:vAlign w:val="center"/>
          </w:tcPr>
          <w:p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Mg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vertAlign w:val="superscript"/>
              </w:rPr>
              <w:t>2+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mg/L</w:t>
            </w:r>
          </w:p>
        </w:tc>
        <w:tc>
          <w:tcPr>
            <w:tcW w:w="1804" w:type="dxa"/>
            <w:vAlign w:val="center"/>
          </w:tcPr>
          <w:p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17.46</w:t>
            </w:r>
          </w:p>
        </w:tc>
        <w:tc>
          <w:tcPr>
            <w:tcW w:w="1804" w:type="dxa"/>
            <w:vAlign w:val="center"/>
          </w:tcPr>
          <w:p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6.80</w:t>
            </w:r>
          </w:p>
        </w:tc>
        <w:tc>
          <w:tcPr>
            <w:tcW w:w="1804" w:type="dxa"/>
            <w:vAlign w:val="center"/>
          </w:tcPr>
          <w:p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23</w:t>
            </w:r>
          </w:p>
        </w:tc>
      </w:tr>
      <w:tr>
        <w:trPr>
          <w:divId w:val="263073786"/>
          <w:trHeight w:val="471"/>
        </w:trPr>
        <w:tc>
          <w:tcPr>
            <w:tcW w:w="1984" w:type="dxa"/>
            <w:vAlign w:val="center"/>
          </w:tcPr>
          <w:p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Na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mg/L</w:t>
            </w:r>
          </w:p>
        </w:tc>
        <w:tc>
          <w:tcPr>
            <w:tcW w:w="1804" w:type="dxa"/>
            <w:vAlign w:val="center"/>
          </w:tcPr>
          <w:p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19.97</w:t>
            </w:r>
          </w:p>
        </w:tc>
        <w:tc>
          <w:tcPr>
            <w:tcW w:w="1804" w:type="dxa"/>
            <w:vAlign w:val="center"/>
          </w:tcPr>
          <w:p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17.38</w:t>
            </w:r>
          </w:p>
        </w:tc>
        <w:tc>
          <w:tcPr>
            <w:tcW w:w="1804" w:type="dxa"/>
            <w:vAlign w:val="center"/>
          </w:tcPr>
          <w:p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33</w:t>
            </w:r>
          </w:p>
        </w:tc>
      </w:tr>
      <w:tr>
        <w:trPr>
          <w:divId w:val="263073786"/>
          <w:trHeight w:val="471"/>
        </w:trPr>
        <w:tc>
          <w:tcPr>
            <w:tcW w:w="1984" w:type="dxa"/>
            <w:vAlign w:val="center"/>
          </w:tcPr>
          <w:p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K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mg/L</w:t>
            </w:r>
          </w:p>
        </w:tc>
        <w:tc>
          <w:tcPr>
            <w:tcW w:w="1804" w:type="dxa"/>
            <w:vAlign w:val="center"/>
          </w:tcPr>
          <w:p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1804" w:type="dxa"/>
            <w:vAlign w:val="center"/>
          </w:tcPr>
          <w:p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1.86</w:t>
            </w:r>
          </w:p>
        </w:tc>
        <w:tc>
          <w:tcPr>
            <w:tcW w:w="1804" w:type="dxa"/>
            <w:vAlign w:val="center"/>
          </w:tcPr>
          <w:p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3.13</w:t>
            </w:r>
          </w:p>
        </w:tc>
      </w:tr>
      <w:tr>
        <w:trPr>
          <w:divId w:val="263073786"/>
          <w:trHeight w:val="471"/>
        </w:trPr>
        <w:tc>
          <w:tcPr>
            <w:tcW w:w="1984" w:type="dxa"/>
            <w:vAlign w:val="center"/>
          </w:tcPr>
          <w:p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F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mg/L</w:t>
            </w:r>
          </w:p>
        </w:tc>
        <w:tc>
          <w:tcPr>
            <w:tcW w:w="1804" w:type="dxa"/>
            <w:vAlign w:val="center"/>
          </w:tcPr>
          <w:p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804" w:type="dxa"/>
            <w:vAlign w:val="center"/>
          </w:tcPr>
          <w:p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NA</w:t>
            </w:r>
          </w:p>
        </w:tc>
        <w:tc>
          <w:tcPr>
            <w:tcW w:w="1804" w:type="dxa"/>
            <w:vAlign w:val="center"/>
          </w:tcPr>
          <w:p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0.09</w:t>
            </w:r>
          </w:p>
        </w:tc>
      </w:tr>
      <w:tr>
        <w:trPr>
          <w:divId w:val="263073786"/>
          <w:trHeight w:val="471"/>
        </w:trPr>
        <w:tc>
          <w:tcPr>
            <w:tcW w:w="1984" w:type="dxa"/>
            <w:vAlign w:val="center"/>
          </w:tcPr>
          <w:p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PO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vertAlign w:val="subscript"/>
              </w:rPr>
              <w:t>4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vertAlign w:val="superscript"/>
              </w:rPr>
              <w:t>3-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mg/L</w:t>
            </w:r>
          </w:p>
        </w:tc>
        <w:tc>
          <w:tcPr>
            <w:tcW w:w="1804" w:type="dxa"/>
            <w:vAlign w:val="center"/>
          </w:tcPr>
          <w:p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Nd</w:t>
            </w:r>
          </w:p>
        </w:tc>
        <w:tc>
          <w:tcPr>
            <w:tcW w:w="1804" w:type="dxa"/>
            <w:vAlign w:val="center"/>
          </w:tcPr>
          <w:p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NA</w:t>
            </w:r>
          </w:p>
        </w:tc>
        <w:tc>
          <w:tcPr>
            <w:tcW w:w="1804" w:type="dxa"/>
            <w:vAlign w:val="center"/>
          </w:tcPr>
          <w:p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0.01</w:t>
            </w:r>
          </w:p>
        </w:tc>
      </w:tr>
      <w:tr>
        <w:trPr>
          <w:divId w:val="263073786"/>
          <w:trHeight w:val="471"/>
        </w:trPr>
        <w:tc>
          <w:tcPr>
            <w:tcW w:w="1984" w:type="dxa"/>
            <w:vAlign w:val="center"/>
          </w:tcPr>
          <w:p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Br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mg/L</w:t>
            </w:r>
          </w:p>
        </w:tc>
        <w:tc>
          <w:tcPr>
            <w:tcW w:w="1804" w:type="dxa"/>
            <w:vAlign w:val="center"/>
          </w:tcPr>
          <w:p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Nd</w:t>
            </w:r>
          </w:p>
        </w:tc>
        <w:tc>
          <w:tcPr>
            <w:tcW w:w="1804" w:type="dxa"/>
            <w:vAlign w:val="center"/>
          </w:tcPr>
          <w:p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0.238</w:t>
            </w:r>
          </w:p>
        </w:tc>
        <w:tc>
          <w:tcPr>
            <w:tcW w:w="1804" w:type="dxa"/>
            <w:vAlign w:val="center"/>
          </w:tcPr>
          <w:p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0.13</w:t>
            </w:r>
          </w:p>
        </w:tc>
      </w:tr>
      <w:tr>
        <w:trPr>
          <w:divId w:val="263073786"/>
          <w:trHeight w:val="471"/>
        </w:trPr>
        <w:tc>
          <w:tcPr>
            <w:tcW w:w="1984" w:type="dxa"/>
            <w:vAlign w:val="center"/>
          </w:tcPr>
          <w:p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SiO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mg/L</w:t>
            </w:r>
          </w:p>
        </w:tc>
        <w:tc>
          <w:tcPr>
            <w:tcW w:w="1804" w:type="dxa"/>
            <w:vAlign w:val="center"/>
          </w:tcPr>
          <w:p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804" w:type="dxa"/>
            <w:vAlign w:val="center"/>
          </w:tcPr>
          <w:p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NA</w:t>
            </w:r>
          </w:p>
        </w:tc>
        <w:tc>
          <w:tcPr>
            <w:tcW w:w="1804" w:type="dxa"/>
            <w:vAlign w:val="center"/>
          </w:tcPr>
          <w:p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10</w:t>
            </w:r>
          </w:p>
        </w:tc>
      </w:tr>
      <w:tr>
        <w:trPr>
          <w:divId w:val="263073786"/>
          <w:trHeight w:val="471"/>
        </w:trPr>
        <w:tc>
          <w:tcPr>
            <w:tcW w:w="1984" w:type="dxa"/>
            <w:vAlign w:val="center"/>
          </w:tcPr>
          <w:p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TOC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mg/L</w:t>
            </w:r>
          </w:p>
        </w:tc>
        <w:tc>
          <w:tcPr>
            <w:tcW w:w="1804" w:type="dxa"/>
            <w:vAlign w:val="center"/>
          </w:tcPr>
          <w:p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1804" w:type="dxa"/>
            <w:vAlign w:val="center"/>
          </w:tcPr>
          <w:p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NA</w:t>
            </w:r>
          </w:p>
        </w:tc>
        <w:tc>
          <w:tcPr>
            <w:tcW w:w="1804" w:type="dxa"/>
            <w:vAlign w:val="center"/>
          </w:tcPr>
          <w:p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0.37</w:t>
            </w:r>
          </w:p>
        </w:tc>
      </w:tr>
      <w:tr>
        <w:trPr>
          <w:divId w:val="263073786"/>
          <w:trHeight w:val="471"/>
        </w:trPr>
        <w:tc>
          <w:tcPr>
            <w:tcW w:w="1984" w:type="dxa"/>
            <w:vAlign w:val="center"/>
          </w:tcPr>
          <w:p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TN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mg/L</w:t>
            </w:r>
          </w:p>
        </w:tc>
        <w:tc>
          <w:tcPr>
            <w:tcW w:w="1804" w:type="dxa"/>
            <w:vAlign w:val="center"/>
          </w:tcPr>
          <w:p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804" w:type="dxa"/>
            <w:vAlign w:val="center"/>
          </w:tcPr>
          <w:p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NA</w:t>
            </w:r>
          </w:p>
        </w:tc>
        <w:tc>
          <w:tcPr>
            <w:tcW w:w="1804" w:type="dxa"/>
            <w:vAlign w:val="center"/>
          </w:tcPr>
          <w:p>
            <w:pPr>
              <w:jc w:val="center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9.01</w:t>
            </w:r>
          </w:p>
        </w:tc>
      </w:tr>
    </w:tbl>
    <w:p>
      <w:pPr>
        <w:rPr>
          <w:rFonts w:ascii="Cambria" w:hAnsi="Cambria"/>
        </w:rPr>
      </w:pPr>
      <w:r>
        <w:rPr>
          <w:rFonts w:ascii="Cambria" w:hAnsi="Cambria"/>
        </w:rPr>
        <w:t>Notation: * – parameters measured in field, Nd – not detected, NA – not analysed</w:t>
      </w:r>
    </w:p>
    <w:p>
      <w:pPr>
        <w:rPr>
          <w:rFonts w:ascii="Cambria" w:eastAsiaTheme="minorEastAsia" w:hAnsi="Cambria" w:cs="Times New Roman"/>
        </w:rPr>
      </w:pPr>
      <w:r>
        <w:rPr>
          <w:rFonts w:ascii="Cambria" w:hAnsi="Cambria"/>
        </w:rPr>
        <w:br w:type="page"/>
      </w:r>
    </w:p>
    <w:p>
      <w:pPr>
        <w:pStyle w:val="StandardWeb"/>
        <w:numPr>
          <w:ilvl w:val="0"/>
          <w:numId w:val="2"/>
        </w:numPr>
        <w:divId w:val="263073786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Sorption </w:t>
      </w:r>
      <w:r>
        <w:rPr>
          <w:rFonts w:ascii="Cambria" w:hAnsi="Cambria"/>
          <w:b/>
          <w:sz w:val="22"/>
          <w:szCs w:val="22"/>
        </w:rPr>
        <w:t>isotherms</w:t>
      </w:r>
    </w:p>
    <w:p>
      <w:pPr>
        <w:spacing w:after="0" w:line="360" w:lineRule="auto"/>
        <w:jc w:val="both"/>
        <w:divId w:val="263073786"/>
        <w:rPr>
          <w:rFonts w:ascii="Cambria" w:hAnsi="Cambria" w:cs="Times New Roman"/>
          <w:lang w:val="en-GB"/>
        </w:rPr>
      </w:pPr>
      <w:r>
        <w:rPr>
          <w:rFonts w:ascii="Cambria" w:hAnsi="Cambria" w:cs="Times New Roman"/>
          <w:lang w:val="en-GB"/>
        </w:rPr>
        <w:t xml:space="preserve">Horizontal error bars indicate the standard deviation of the triplicates. Vertical error bars represent errors calculated basing on the error propagation methodology, as S was calculated from other measurements, which all have their uncertainty </w:t>
      </w:r>
      <w:r>
        <w:rPr>
          <w:rFonts w:ascii="Cambria" w:hAnsi="Cambria" w:cs="Times New Roman"/>
          <w:lang w:val="en-GB"/>
        </w:rPr>
        <w:fldChar w:fldCharType="begin" w:fldLock="1"/>
      </w:r>
      <w:r>
        <w:rPr>
          <w:rFonts w:ascii="Cambria" w:hAnsi="Cambria" w:cs="Times New Roman"/>
          <w:lang w:val="en-GB"/>
        </w:rPr>
        <w:instrText>ADDIN CSL_CITATION { "citationItems" : [ { "id" : "ITEM-1", "itemData" : { "author" : [ { "dropping-particle" : "", "family" : "JCGM 100:2008", "given" : "", "non-dropping-particle" : "", "parse-names" : false, "suffix" : "" } ], "id" : "ITEM-1", "issued" : { "date-parts" : [ [ "2008" ] ] }, "publisher" : "Joint Committee for Guides in Metrology", "title" : "Evaluation of measurement data \u2013 Guide to the expression of uncertainty in measurement", "type" : "report" }, "uris" : [ "http://www.mendeley.com/documents/?uuid=57834324-0871-4913-bc72-b1e71b3755c7" ] } ], "mendeley" : { "formattedCitation" : "(JCGM 100:2008, 2008)", "manualFormatting" : "(JCGM 100:2008)", "plainTextFormattedCitation" : "(JCGM 100:2008, 2008)", "previouslyFormattedCitation" : "(JCGM 100:2008, 2008)" }, "properties" : { "noteIndex" : 0 }, "schema" : "https://github.com/citation-style-language/schema/raw/master/csl-citation.json" }</w:instrText>
      </w:r>
      <w:r>
        <w:rPr>
          <w:rFonts w:ascii="Cambria" w:hAnsi="Cambria" w:cs="Times New Roman"/>
          <w:lang w:val="en-GB"/>
        </w:rPr>
        <w:fldChar w:fldCharType="separate"/>
      </w:r>
      <w:r>
        <w:rPr>
          <w:rFonts w:ascii="Cambria" w:hAnsi="Cambria" w:cs="Times New Roman"/>
          <w:noProof/>
          <w:lang w:val="en-GB"/>
        </w:rPr>
        <w:t>(JCGM 100:2008</w:t>
      </w:r>
      <w:r>
        <w:rPr>
          <w:rFonts w:ascii="Cambria" w:hAnsi="Cambria" w:cs="Times New Roman"/>
          <w:noProof/>
          <w:lang w:val="en-GB"/>
        </w:rPr>
        <w:t>)</w:t>
      </w:r>
      <w:r>
        <w:rPr>
          <w:rFonts w:ascii="Cambria" w:hAnsi="Cambria" w:cs="Times New Roman"/>
          <w:lang w:val="en-GB"/>
        </w:rPr>
        <w:fldChar w:fldCharType="end"/>
      </w:r>
      <w:r>
        <w:rPr>
          <w:rFonts w:ascii="Cambria" w:hAnsi="Cambria" w:cs="Times New Roman"/>
          <w:lang w:val="en-GB"/>
        </w:rPr>
        <w:t>. When error bars are not visible, they are smaller than the symbol size.</w:t>
      </w:r>
    </w:p>
    <w:p>
      <w:pPr>
        <w:pStyle w:val="StandardWeb"/>
        <w:numPr>
          <w:ilvl w:val="1"/>
          <w:numId w:val="2"/>
        </w:numPr>
        <w:divId w:val="263073786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Sediment </w:t>
      </w:r>
      <w:r>
        <w:rPr>
          <w:rFonts w:ascii="Cambria" w:hAnsi="Cambria"/>
          <w:b/>
          <w:sz w:val="22"/>
          <w:szCs w:val="22"/>
        </w:rPr>
        <w:t>G</w:t>
      </w:r>
      <w:r>
        <w:rPr>
          <w:rFonts w:ascii="Cambria" w:hAnsi="Cambria"/>
          <w:b/>
          <w:sz w:val="22"/>
          <w:szCs w:val="22"/>
        </w:rPr>
        <w:t xml:space="preserve"> (technical coarse sand)</w:t>
      </w:r>
    </w:p>
    <w:p>
      <w:pPr>
        <w:pStyle w:val="StandardWeb"/>
        <w:spacing w:before="0" w:beforeAutospacing="0" w:after="0" w:afterAutospacing="0"/>
        <w:ind w:firstLine="720"/>
        <w:divId w:val="263073786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Antipyrine</w:t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  <w:t>Atenolol</w:t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  <w:t>Caffeine</w:t>
      </w:r>
    </w:p>
    <w:p>
      <w:pPr>
        <w:pStyle w:val="StandardWeb"/>
        <w:spacing w:before="0" w:beforeAutospacing="0" w:after="0" w:afterAutospacing="0"/>
        <w:divId w:val="263073786"/>
        <w:rPr>
          <w:rFonts w:ascii="Cambria" w:hAnsi="Cambria"/>
          <w:sz w:val="22"/>
          <w:szCs w:val="22"/>
        </w:rPr>
      </w:pPr>
      <w:r>
        <w:rPr>
          <w:rFonts w:ascii="Cambria" w:hAnsi="Cambria"/>
          <w:noProof/>
          <w:sz w:val="22"/>
          <w:szCs w:val="22"/>
          <w:lang w:val="de-DE" w:eastAsia="de-DE"/>
        </w:rPr>
        <w:drawing>
          <wp:inline distT="0" distB="0" distL="0" distR="0">
            <wp:extent cx="1980000" cy="1980000"/>
            <wp:effectExtent l="0" t="0" r="1270" b="1270"/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_anypirin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hAnsi="Cambria"/>
          <w:noProof/>
          <w:sz w:val="22"/>
          <w:szCs w:val="22"/>
          <w:lang w:val="de-DE" w:eastAsia="de-DE"/>
        </w:rPr>
        <w:drawing>
          <wp:inline distT="0" distB="0" distL="0" distR="0">
            <wp:extent cx="1980000" cy="1980000"/>
            <wp:effectExtent l="0" t="0" r="1270" b="1270"/>
            <wp:docPr id="43" name="Grafik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G_atenolol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hAnsi="Cambria"/>
          <w:noProof/>
          <w:sz w:val="22"/>
          <w:szCs w:val="22"/>
          <w:lang w:val="de-DE" w:eastAsia="de-DE"/>
        </w:rPr>
        <w:drawing>
          <wp:inline distT="0" distB="0" distL="0" distR="0">
            <wp:extent cx="1980000" cy="1980000"/>
            <wp:effectExtent l="0" t="0" r="1270" b="1270"/>
            <wp:docPr id="48" name="Grafik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G_caffeine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andardWeb"/>
        <w:spacing w:before="0" w:beforeAutospacing="0" w:after="0" w:afterAutospacing="0"/>
        <w:ind w:firstLine="720"/>
        <w:divId w:val="263073786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Carbamazepine</w:t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  <w:t>Ciprofloxacin</w:t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  <w:t>Diclofenac</w:t>
      </w:r>
    </w:p>
    <w:p>
      <w:pPr>
        <w:pStyle w:val="StandardWeb"/>
        <w:spacing w:before="0" w:beforeAutospacing="0" w:after="0" w:afterAutospacing="0"/>
        <w:divId w:val="263073786"/>
        <w:rPr>
          <w:rFonts w:ascii="Cambria" w:hAnsi="Cambria"/>
          <w:sz w:val="22"/>
          <w:szCs w:val="22"/>
        </w:rPr>
      </w:pPr>
      <w:r>
        <w:rPr>
          <w:rFonts w:ascii="Cambria" w:hAnsi="Cambria"/>
          <w:noProof/>
          <w:sz w:val="22"/>
          <w:szCs w:val="22"/>
          <w:lang w:val="de-DE" w:eastAsia="de-DE"/>
        </w:rPr>
        <w:drawing>
          <wp:inline distT="0" distB="0" distL="0" distR="0">
            <wp:extent cx="1980000" cy="1980000"/>
            <wp:effectExtent l="0" t="0" r="1270" b="127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G_carbamazepine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hAnsi="Cambria"/>
          <w:noProof/>
          <w:sz w:val="22"/>
          <w:szCs w:val="22"/>
          <w:lang w:val="de-DE" w:eastAsia="de-DE"/>
        </w:rPr>
        <w:drawing>
          <wp:inline distT="0" distB="0" distL="0" distR="0">
            <wp:extent cx="1980000" cy="1980000"/>
            <wp:effectExtent l="0" t="0" r="1270" b="127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G_ciprofloxacin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hAnsi="Cambria"/>
          <w:noProof/>
          <w:sz w:val="22"/>
          <w:szCs w:val="22"/>
          <w:lang w:val="de-DE" w:eastAsia="de-DE"/>
        </w:rPr>
        <w:drawing>
          <wp:inline distT="0" distB="0" distL="0" distR="0">
            <wp:extent cx="1980000" cy="1980000"/>
            <wp:effectExtent l="0" t="0" r="1270" b="1270"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G_diclofenac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andardWeb"/>
        <w:spacing w:before="0" w:beforeAutospacing="0" w:after="0" w:afterAutospacing="0"/>
        <w:ind w:firstLine="720"/>
        <w:divId w:val="263073786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Ketoprofen</w:t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  <w:t>Ofloxacin</w:t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  <w:t>Sulfamethoxazole</w:t>
      </w:r>
    </w:p>
    <w:p>
      <w:pPr>
        <w:pStyle w:val="StandardWeb"/>
        <w:spacing w:before="0" w:beforeAutospacing="0" w:after="0" w:afterAutospacing="0"/>
        <w:divId w:val="263073786"/>
        <w:rPr>
          <w:rFonts w:ascii="Cambria" w:hAnsi="Cambria"/>
          <w:sz w:val="22"/>
          <w:szCs w:val="22"/>
        </w:rPr>
      </w:pPr>
      <w:r>
        <w:rPr>
          <w:rFonts w:ascii="Cambria" w:hAnsi="Cambria"/>
          <w:noProof/>
          <w:sz w:val="22"/>
          <w:szCs w:val="22"/>
          <w:lang w:val="de-DE" w:eastAsia="de-DE"/>
        </w:rPr>
        <w:drawing>
          <wp:inline distT="0" distB="0" distL="0" distR="0">
            <wp:extent cx="1980000" cy="1980000"/>
            <wp:effectExtent l="0" t="0" r="1270" b="127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G_ketoprofen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hAnsi="Cambria"/>
          <w:noProof/>
          <w:sz w:val="22"/>
          <w:szCs w:val="22"/>
          <w:lang w:val="de-DE" w:eastAsia="de-DE"/>
        </w:rPr>
        <w:drawing>
          <wp:inline distT="0" distB="0" distL="0" distR="0">
            <wp:extent cx="1980000" cy="1980000"/>
            <wp:effectExtent l="0" t="0" r="1270" b="1270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G_ofloxacin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hAnsi="Cambria"/>
          <w:noProof/>
          <w:sz w:val="22"/>
          <w:szCs w:val="22"/>
          <w:lang w:val="de-DE" w:eastAsia="de-DE"/>
        </w:rPr>
        <w:drawing>
          <wp:inline distT="0" distB="0" distL="0" distR="0">
            <wp:extent cx="1980000" cy="1980000"/>
            <wp:effectExtent l="0" t="0" r="1270" b="1270"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G_sulfamethoxazole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Cambria" w:eastAsiaTheme="minorEastAsia" w:hAnsi="Cambria" w:cs="Times New Roman"/>
        </w:rPr>
      </w:pPr>
      <w:r>
        <w:rPr>
          <w:rFonts w:ascii="Cambria" w:hAnsi="Cambria"/>
        </w:rPr>
        <w:br w:type="page"/>
      </w:r>
    </w:p>
    <w:p>
      <w:pPr>
        <w:pStyle w:val="StandardWeb"/>
        <w:numPr>
          <w:ilvl w:val="1"/>
          <w:numId w:val="2"/>
        </w:numPr>
        <w:divId w:val="263073786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Sediment V</w:t>
      </w:r>
      <w:r>
        <w:rPr>
          <w:rFonts w:ascii="Cambria" w:hAnsi="Cambria"/>
          <w:b/>
          <w:sz w:val="22"/>
          <w:szCs w:val="22"/>
        </w:rPr>
        <w:t xml:space="preserve"> (sandy loam)</w:t>
      </w:r>
    </w:p>
    <w:p>
      <w:pPr>
        <w:pStyle w:val="StandardWeb"/>
        <w:spacing w:before="0" w:beforeAutospacing="0" w:after="0" w:afterAutospacing="0"/>
        <w:ind w:firstLine="720"/>
        <w:divId w:val="263073786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Antipyrine</w:t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  <w:t>Atenolol</w:t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  <w:t>Caffeine</w:t>
      </w:r>
    </w:p>
    <w:p>
      <w:pPr>
        <w:pStyle w:val="StandardWeb"/>
        <w:spacing w:before="0" w:beforeAutospacing="0" w:after="0" w:afterAutospacing="0"/>
        <w:divId w:val="263073786"/>
        <w:rPr>
          <w:rFonts w:ascii="Cambria" w:hAnsi="Cambria"/>
          <w:sz w:val="22"/>
          <w:szCs w:val="22"/>
        </w:rPr>
      </w:pPr>
      <w:r>
        <w:rPr>
          <w:rFonts w:ascii="Cambria" w:hAnsi="Cambria"/>
          <w:noProof/>
          <w:sz w:val="22"/>
          <w:szCs w:val="22"/>
          <w:lang w:val="de-DE" w:eastAsia="de-DE"/>
        </w:rPr>
        <w:drawing>
          <wp:inline distT="0" distB="0" distL="0" distR="0">
            <wp:extent cx="1980000" cy="1980000"/>
            <wp:effectExtent l="0" t="0" r="1270" b="127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V_antypirine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hAnsi="Cambria"/>
          <w:noProof/>
          <w:sz w:val="22"/>
          <w:szCs w:val="22"/>
          <w:lang w:val="de-DE" w:eastAsia="de-DE"/>
        </w:rPr>
        <w:drawing>
          <wp:inline distT="0" distB="0" distL="0" distR="0">
            <wp:extent cx="1980000" cy="1980000"/>
            <wp:effectExtent l="0" t="0" r="1270" b="127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V_atenolol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hAnsi="Cambria"/>
          <w:noProof/>
          <w:sz w:val="22"/>
          <w:szCs w:val="22"/>
          <w:lang w:val="de-DE" w:eastAsia="de-DE"/>
        </w:rPr>
        <w:drawing>
          <wp:inline distT="0" distB="0" distL="0" distR="0">
            <wp:extent cx="1980000" cy="1980000"/>
            <wp:effectExtent l="0" t="0" r="1270" b="127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V_caffein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andardWeb"/>
        <w:spacing w:before="0" w:beforeAutospacing="0" w:after="0" w:afterAutospacing="0"/>
        <w:ind w:firstLine="720"/>
        <w:divId w:val="263073786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Carbamazepine</w:t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  <w:t>Ciprofloxacin</w:t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  <w:t>Diclofenac</w:t>
      </w:r>
    </w:p>
    <w:p>
      <w:pPr>
        <w:pStyle w:val="StandardWeb"/>
        <w:spacing w:before="0" w:beforeAutospacing="0" w:after="0" w:afterAutospacing="0"/>
        <w:divId w:val="263073786"/>
        <w:rPr>
          <w:rFonts w:ascii="Cambria" w:hAnsi="Cambria"/>
          <w:sz w:val="22"/>
          <w:szCs w:val="22"/>
        </w:rPr>
      </w:pPr>
      <w:r>
        <w:rPr>
          <w:rFonts w:ascii="Cambria" w:hAnsi="Cambria"/>
          <w:noProof/>
          <w:sz w:val="22"/>
          <w:szCs w:val="22"/>
          <w:lang w:val="de-DE" w:eastAsia="de-DE"/>
        </w:rPr>
        <w:drawing>
          <wp:inline distT="0" distB="0" distL="0" distR="0">
            <wp:extent cx="1980000" cy="1980000"/>
            <wp:effectExtent l="0" t="0" r="1270" b="127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V_carbamazepine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hAnsi="Cambria"/>
          <w:noProof/>
          <w:sz w:val="22"/>
          <w:szCs w:val="22"/>
          <w:lang w:val="de-DE" w:eastAsia="de-DE"/>
        </w:rPr>
        <w:drawing>
          <wp:inline distT="0" distB="0" distL="0" distR="0">
            <wp:extent cx="1980000" cy="1980000"/>
            <wp:effectExtent l="0" t="0" r="1270" b="127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V_ciprofloxacine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hAnsi="Cambria"/>
          <w:noProof/>
          <w:sz w:val="22"/>
          <w:szCs w:val="22"/>
          <w:lang w:val="de-DE" w:eastAsia="de-DE"/>
        </w:rPr>
        <w:drawing>
          <wp:inline distT="0" distB="0" distL="0" distR="0">
            <wp:extent cx="1980000" cy="1980000"/>
            <wp:effectExtent l="0" t="0" r="1270" b="127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V_diclofenac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andardWeb"/>
        <w:spacing w:before="0" w:beforeAutospacing="0" w:after="0" w:afterAutospacing="0"/>
        <w:ind w:firstLine="720"/>
        <w:divId w:val="263073786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Ketoprofen</w:t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  <w:t>Ofloxacin</w:t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  <w:t>Sulfamethoxazole</w:t>
      </w:r>
    </w:p>
    <w:p>
      <w:pPr>
        <w:pStyle w:val="StandardWeb"/>
        <w:spacing w:before="0" w:beforeAutospacing="0" w:after="0" w:afterAutospacing="0"/>
        <w:divId w:val="263073786"/>
        <w:rPr>
          <w:rFonts w:ascii="Cambria" w:hAnsi="Cambria"/>
          <w:sz w:val="22"/>
          <w:szCs w:val="22"/>
        </w:rPr>
      </w:pPr>
    </w:p>
    <w:p>
      <w:pPr>
        <w:rPr>
          <w:rFonts w:ascii="Cambria" w:eastAsiaTheme="minorEastAsia" w:hAnsi="Cambria" w:cs="Times New Roman"/>
        </w:rPr>
      </w:pPr>
      <w:r>
        <w:rPr>
          <w:rFonts w:ascii="Cambria" w:hAnsi="Cambria"/>
        </w:rPr>
        <w:br w:type="page"/>
      </w:r>
    </w:p>
    <w:p>
      <w:pPr>
        <w:pStyle w:val="StandardWeb"/>
        <w:numPr>
          <w:ilvl w:val="1"/>
          <w:numId w:val="2"/>
        </w:numPr>
        <w:divId w:val="263073786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Sediment E1</w:t>
      </w:r>
      <w:r>
        <w:rPr>
          <w:rFonts w:ascii="Cambria" w:hAnsi="Cambria"/>
          <w:b/>
          <w:sz w:val="22"/>
          <w:szCs w:val="22"/>
        </w:rPr>
        <w:t xml:space="preserve"> (sandy clay loam)</w:t>
      </w:r>
    </w:p>
    <w:p>
      <w:pPr>
        <w:pStyle w:val="StandardWeb"/>
        <w:spacing w:before="0" w:beforeAutospacing="0" w:after="0" w:afterAutospacing="0"/>
        <w:ind w:left="720"/>
        <w:divId w:val="263073786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Antipyrine</w:t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  <w:t>Atenolol</w:t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  <w:t>Caffeine</w:t>
      </w:r>
    </w:p>
    <w:p>
      <w:pPr>
        <w:pStyle w:val="StandardWeb"/>
        <w:spacing w:before="0" w:beforeAutospacing="0" w:after="0" w:afterAutospacing="0"/>
        <w:divId w:val="263073786"/>
        <w:rPr>
          <w:rFonts w:ascii="Cambria" w:hAnsi="Cambria"/>
          <w:sz w:val="22"/>
          <w:szCs w:val="22"/>
        </w:rPr>
      </w:pPr>
      <w:r>
        <w:rPr>
          <w:rFonts w:ascii="Cambria" w:hAnsi="Cambria"/>
          <w:noProof/>
          <w:sz w:val="22"/>
          <w:szCs w:val="22"/>
          <w:lang w:val="de-DE" w:eastAsia="de-DE"/>
        </w:rPr>
        <w:drawing>
          <wp:inline distT="0" distB="0" distL="0" distR="0">
            <wp:extent cx="1980000" cy="1980000"/>
            <wp:effectExtent l="0" t="0" r="1270" b="127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E1_antypirine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hAnsi="Cambria"/>
          <w:noProof/>
          <w:sz w:val="22"/>
          <w:szCs w:val="22"/>
          <w:lang w:val="de-DE" w:eastAsia="de-DE"/>
        </w:rPr>
        <w:drawing>
          <wp:inline distT="0" distB="0" distL="0" distR="0">
            <wp:extent cx="1980000" cy="1980000"/>
            <wp:effectExtent l="0" t="0" r="1270" b="127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E1_atenolol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hAnsi="Cambria"/>
          <w:noProof/>
          <w:sz w:val="22"/>
          <w:szCs w:val="22"/>
          <w:lang w:val="de-DE" w:eastAsia="de-DE"/>
        </w:rPr>
        <w:drawing>
          <wp:inline distT="0" distB="0" distL="0" distR="0">
            <wp:extent cx="1980000" cy="1980000"/>
            <wp:effectExtent l="0" t="0" r="1270" b="127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E1_caffeine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andardWeb"/>
        <w:spacing w:before="0" w:beforeAutospacing="0" w:after="0" w:afterAutospacing="0"/>
        <w:ind w:firstLine="720"/>
        <w:divId w:val="263073786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Carbamazepine</w:t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  <w:t>Ciprofloxacin</w:t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  <w:t>Diclofenac</w:t>
      </w:r>
    </w:p>
    <w:p>
      <w:pPr>
        <w:pStyle w:val="StandardWeb"/>
        <w:spacing w:before="0" w:beforeAutospacing="0" w:after="0" w:afterAutospacing="0"/>
        <w:divId w:val="263073786"/>
        <w:rPr>
          <w:rFonts w:ascii="Cambria" w:hAnsi="Cambria"/>
          <w:sz w:val="22"/>
          <w:szCs w:val="22"/>
        </w:rPr>
      </w:pPr>
      <w:r>
        <w:rPr>
          <w:rFonts w:ascii="Cambria" w:hAnsi="Cambria"/>
          <w:noProof/>
          <w:sz w:val="22"/>
          <w:szCs w:val="22"/>
          <w:lang w:val="de-DE" w:eastAsia="de-DE"/>
        </w:rPr>
        <w:drawing>
          <wp:inline distT="0" distB="0" distL="0" distR="0">
            <wp:extent cx="1980000" cy="1980000"/>
            <wp:effectExtent l="0" t="0" r="1270" b="127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E1_carbamazepine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hAnsi="Cambria"/>
          <w:noProof/>
          <w:sz w:val="22"/>
          <w:szCs w:val="22"/>
          <w:lang w:val="de-DE" w:eastAsia="de-DE"/>
        </w:rPr>
        <w:drawing>
          <wp:inline distT="0" distB="0" distL="0" distR="0">
            <wp:extent cx="1980000" cy="1980000"/>
            <wp:effectExtent l="0" t="0" r="1270" b="127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E1_ciprofloxacin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hAnsi="Cambria"/>
          <w:noProof/>
          <w:sz w:val="22"/>
          <w:szCs w:val="22"/>
          <w:lang w:val="de-DE" w:eastAsia="de-DE"/>
        </w:rPr>
        <w:drawing>
          <wp:inline distT="0" distB="0" distL="0" distR="0">
            <wp:extent cx="1980000" cy="1980000"/>
            <wp:effectExtent l="0" t="0" r="1270" b="127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E1_diclofenac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andardWeb"/>
        <w:spacing w:before="0" w:beforeAutospacing="0" w:after="0" w:afterAutospacing="0"/>
        <w:ind w:firstLine="720"/>
        <w:divId w:val="263073786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Ketoprofen</w:t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  <w:t>Ofloxacin</w:t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  <w:t>Sulfamethoxazole</w:t>
      </w:r>
    </w:p>
    <w:p>
      <w:pPr>
        <w:pStyle w:val="StandardWeb"/>
        <w:spacing w:before="0" w:beforeAutospacing="0" w:after="0" w:afterAutospacing="0"/>
        <w:divId w:val="263073786"/>
        <w:rPr>
          <w:rFonts w:ascii="Cambria" w:hAnsi="Cambria"/>
          <w:sz w:val="22"/>
          <w:szCs w:val="22"/>
        </w:rPr>
      </w:pPr>
      <w:r>
        <w:rPr>
          <w:rFonts w:ascii="Cambria" w:hAnsi="Cambria"/>
          <w:noProof/>
          <w:sz w:val="22"/>
          <w:szCs w:val="22"/>
          <w:lang w:val="de-DE" w:eastAsia="de-DE"/>
        </w:rPr>
        <w:drawing>
          <wp:inline distT="0" distB="0" distL="0" distR="0">
            <wp:extent cx="1980000" cy="1980000"/>
            <wp:effectExtent l="0" t="0" r="1270" b="127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E1_ketoprofen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hAnsi="Cambria"/>
          <w:noProof/>
          <w:sz w:val="22"/>
          <w:szCs w:val="22"/>
          <w:lang w:val="de-DE" w:eastAsia="de-DE"/>
        </w:rPr>
        <w:drawing>
          <wp:inline distT="0" distB="0" distL="0" distR="0">
            <wp:extent cx="1980000" cy="1980000"/>
            <wp:effectExtent l="0" t="0" r="1270" b="127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E1_ofloxacin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hAnsi="Cambria"/>
          <w:noProof/>
          <w:sz w:val="22"/>
          <w:szCs w:val="22"/>
          <w:lang w:val="de-DE" w:eastAsia="de-DE"/>
        </w:rPr>
        <w:drawing>
          <wp:inline distT="0" distB="0" distL="0" distR="0">
            <wp:extent cx="1980000" cy="1980000"/>
            <wp:effectExtent l="0" t="0" r="1270" b="127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E1_sulfamethoxazole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andardWeb"/>
        <w:spacing w:before="0" w:beforeAutospacing="0" w:after="0" w:afterAutospacing="0"/>
        <w:divId w:val="263073786"/>
        <w:rPr>
          <w:rFonts w:ascii="Cambria" w:hAnsi="Cambria"/>
          <w:sz w:val="22"/>
          <w:szCs w:val="22"/>
        </w:rPr>
      </w:pPr>
    </w:p>
    <w:p>
      <w:pPr>
        <w:rPr>
          <w:rFonts w:ascii="Cambria" w:eastAsiaTheme="minorEastAsia" w:hAnsi="Cambria" w:cs="Times New Roman"/>
        </w:rPr>
      </w:pPr>
      <w:r>
        <w:rPr>
          <w:rFonts w:ascii="Cambria" w:hAnsi="Cambria"/>
        </w:rPr>
        <w:br w:type="page"/>
      </w:r>
    </w:p>
    <w:p>
      <w:pPr>
        <w:pStyle w:val="StandardWeb"/>
        <w:numPr>
          <w:ilvl w:val="1"/>
          <w:numId w:val="2"/>
        </w:numPr>
        <w:divId w:val="263073786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Sediment E2</w:t>
      </w:r>
      <w:r>
        <w:rPr>
          <w:rFonts w:ascii="Cambria" w:hAnsi="Cambria"/>
          <w:b/>
          <w:sz w:val="22"/>
          <w:szCs w:val="22"/>
        </w:rPr>
        <w:t xml:space="preserve"> (clay)</w:t>
      </w:r>
    </w:p>
    <w:p>
      <w:pPr>
        <w:pStyle w:val="StandardWeb"/>
        <w:spacing w:before="0" w:beforeAutospacing="0" w:after="0" w:afterAutospacing="0"/>
        <w:ind w:firstLine="720"/>
        <w:divId w:val="263073786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Antipyrine</w:t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  <w:t>Atenolol</w:t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  <w:t>Caffeine</w:t>
      </w:r>
    </w:p>
    <w:p>
      <w:pPr>
        <w:pStyle w:val="StandardWeb"/>
        <w:spacing w:before="0" w:beforeAutospacing="0" w:after="0" w:afterAutospacing="0"/>
        <w:divId w:val="263073786"/>
        <w:rPr>
          <w:rFonts w:ascii="Cambria" w:hAnsi="Cambria"/>
          <w:sz w:val="22"/>
          <w:szCs w:val="22"/>
        </w:rPr>
      </w:pPr>
      <w:r>
        <w:rPr>
          <w:rFonts w:ascii="Cambria" w:hAnsi="Cambria"/>
          <w:noProof/>
          <w:sz w:val="22"/>
          <w:szCs w:val="22"/>
          <w:lang w:val="de-DE" w:eastAsia="de-DE"/>
        </w:rPr>
        <w:drawing>
          <wp:inline distT="0" distB="0" distL="0" distR="0">
            <wp:extent cx="1980000" cy="1980000"/>
            <wp:effectExtent l="0" t="0" r="1270" b="127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E2_antypirine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hAnsi="Cambria"/>
          <w:noProof/>
          <w:sz w:val="22"/>
          <w:szCs w:val="22"/>
          <w:lang w:val="de-DE" w:eastAsia="de-DE"/>
        </w:rPr>
        <w:drawing>
          <wp:inline distT="0" distB="0" distL="0" distR="0">
            <wp:extent cx="1980000" cy="1980000"/>
            <wp:effectExtent l="0" t="0" r="1270" b="127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E2_atenolol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hAnsi="Cambria"/>
          <w:noProof/>
          <w:sz w:val="22"/>
          <w:szCs w:val="22"/>
          <w:lang w:val="de-DE" w:eastAsia="de-DE"/>
        </w:rPr>
        <w:drawing>
          <wp:inline distT="0" distB="0" distL="0" distR="0">
            <wp:extent cx="1980000" cy="1980000"/>
            <wp:effectExtent l="0" t="0" r="1270" b="1270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E2_caffeine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andardWeb"/>
        <w:spacing w:before="0" w:beforeAutospacing="0" w:after="0" w:afterAutospacing="0"/>
        <w:ind w:firstLine="720"/>
        <w:divId w:val="263073786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Carbamazepine</w:t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  <w:t>Ciprofloxacin</w:t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  <w:t>Diclofenac</w:t>
      </w:r>
    </w:p>
    <w:p>
      <w:pPr>
        <w:pStyle w:val="StandardWeb"/>
        <w:spacing w:before="0" w:beforeAutospacing="0" w:after="0" w:afterAutospacing="0"/>
        <w:divId w:val="263073786"/>
        <w:rPr>
          <w:rFonts w:ascii="Cambria" w:hAnsi="Cambria"/>
          <w:sz w:val="22"/>
          <w:szCs w:val="22"/>
        </w:rPr>
      </w:pPr>
      <w:r>
        <w:rPr>
          <w:rFonts w:ascii="Cambria" w:hAnsi="Cambria"/>
          <w:noProof/>
          <w:sz w:val="22"/>
          <w:szCs w:val="22"/>
          <w:lang w:val="de-DE" w:eastAsia="de-DE"/>
        </w:rPr>
        <w:drawing>
          <wp:inline distT="0" distB="0" distL="0" distR="0">
            <wp:extent cx="1980000" cy="1980000"/>
            <wp:effectExtent l="0" t="0" r="1270" b="1270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E2_carbamazepine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hAnsi="Cambria"/>
          <w:noProof/>
          <w:sz w:val="22"/>
          <w:szCs w:val="22"/>
          <w:lang w:val="de-DE" w:eastAsia="de-DE"/>
        </w:rPr>
        <w:drawing>
          <wp:inline distT="0" distB="0" distL="0" distR="0">
            <wp:extent cx="1980000" cy="1980000"/>
            <wp:effectExtent l="0" t="0" r="1270" b="1270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E2_ciprofloxacin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hAnsi="Cambria"/>
          <w:noProof/>
          <w:sz w:val="22"/>
          <w:szCs w:val="22"/>
          <w:lang w:val="de-DE" w:eastAsia="de-DE"/>
        </w:rPr>
        <w:drawing>
          <wp:inline distT="0" distB="0" distL="0" distR="0">
            <wp:extent cx="1980000" cy="1980000"/>
            <wp:effectExtent l="0" t="0" r="1270" b="1270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E2_diclofenac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andardWeb"/>
        <w:spacing w:before="0" w:beforeAutospacing="0" w:after="0" w:afterAutospacing="0"/>
        <w:ind w:firstLine="720"/>
        <w:divId w:val="263073786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Ketoprofen</w:t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  <w:t>Ofloxacin</w:t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  <w:t>Sulfamethoxazole</w:t>
      </w:r>
    </w:p>
    <w:p>
      <w:pPr>
        <w:pStyle w:val="StandardWeb"/>
        <w:spacing w:before="0" w:beforeAutospacing="0" w:after="0" w:afterAutospacing="0"/>
        <w:divId w:val="263073786"/>
        <w:rPr>
          <w:rFonts w:ascii="Cambria" w:hAnsi="Cambria"/>
          <w:sz w:val="22"/>
          <w:szCs w:val="22"/>
        </w:rPr>
      </w:pPr>
      <w:r>
        <w:rPr>
          <w:rFonts w:ascii="Cambria" w:hAnsi="Cambria"/>
          <w:noProof/>
          <w:sz w:val="22"/>
          <w:szCs w:val="22"/>
          <w:lang w:val="de-DE" w:eastAsia="de-DE"/>
        </w:rPr>
        <w:drawing>
          <wp:inline distT="0" distB="0" distL="0" distR="0">
            <wp:extent cx="1980000" cy="1980000"/>
            <wp:effectExtent l="0" t="0" r="1270" b="1270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E2_ketoprofen.JP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hAnsi="Cambria"/>
          <w:noProof/>
          <w:sz w:val="22"/>
          <w:szCs w:val="22"/>
          <w:lang w:val="de-DE" w:eastAsia="de-DE"/>
        </w:rPr>
        <w:drawing>
          <wp:inline distT="0" distB="0" distL="0" distR="0">
            <wp:extent cx="1980000" cy="1980000"/>
            <wp:effectExtent l="0" t="0" r="1270" b="1270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E2_ofloxacine.JP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hAnsi="Cambria"/>
          <w:noProof/>
          <w:sz w:val="22"/>
          <w:szCs w:val="22"/>
          <w:lang w:val="de-DE" w:eastAsia="de-DE"/>
        </w:rPr>
        <w:drawing>
          <wp:inline distT="0" distB="0" distL="0" distR="0">
            <wp:extent cx="1980000" cy="1980000"/>
            <wp:effectExtent l="0" t="0" r="1270" b="1270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E2_sulfamethoxazole.JP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Cambria" w:eastAsiaTheme="minorEastAsia" w:hAnsi="Cambria" w:cs="Times New Roman"/>
        </w:rPr>
      </w:pPr>
      <w:r>
        <w:rPr>
          <w:rFonts w:ascii="Cambria" w:hAnsi="Cambria"/>
        </w:rPr>
        <w:br w:type="page"/>
      </w:r>
    </w:p>
    <w:p>
      <w:pPr>
        <w:pStyle w:val="StandardWeb"/>
        <w:numPr>
          <w:ilvl w:val="1"/>
          <w:numId w:val="2"/>
        </w:numPr>
        <w:divId w:val="263073786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Sediment E3</w:t>
      </w:r>
      <w:r>
        <w:rPr>
          <w:rFonts w:ascii="Cambria" w:hAnsi="Cambria"/>
          <w:b/>
          <w:sz w:val="22"/>
          <w:szCs w:val="22"/>
        </w:rPr>
        <w:t xml:space="preserve"> (medium sand)</w:t>
      </w:r>
    </w:p>
    <w:p>
      <w:pPr>
        <w:pStyle w:val="StandardWeb"/>
        <w:spacing w:before="0" w:beforeAutospacing="0" w:after="0" w:afterAutospacing="0"/>
        <w:ind w:firstLine="720"/>
        <w:divId w:val="263073786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Antipyrine</w:t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  <w:t>Atenolol</w:t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  <w:t>Caffeine</w:t>
      </w:r>
    </w:p>
    <w:p>
      <w:pPr>
        <w:pStyle w:val="StandardWeb"/>
        <w:spacing w:before="0" w:beforeAutospacing="0" w:after="0" w:afterAutospacing="0"/>
        <w:divId w:val="263073786"/>
        <w:rPr>
          <w:rFonts w:ascii="Cambria" w:hAnsi="Cambria"/>
          <w:sz w:val="22"/>
          <w:szCs w:val="22"/>
        </w:rPr>
      </w:pPr>
      <w:r>
        <w:rPr>
          <w:rFonts w:ascii="Cambria" w:hAnsi="Cambria"/>
          <w:noProof/>
          <w:sz w:val="22"/>
          <w:szCs w:val="22"/>
          <w:lang w:val="de-DE" w:eastAsia="de-DE"/>
        </w:rPr>
        <w:drawing>
          <wp:inline distT="0" distB="0" distL="0" distR="0">
            <wp:extent cx="1980000" cy="1980000"/>
            <wp:effectExtent l="0" t="0" r="1270" b="1270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E3_Antypirine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hAnsi="Cambria"/>
          <w:noProof/>
          <w:sz w:val="22"/>
          <w:szCs w:val="22"/>
          <w:lang w:val="de-DE" w:eastAsia="de-DE"/>
        </w:rPr>
        <w:drawing>
          <wp:inline distT="0" distB="0" distL="0" distR="0">
            <wp:extent cx="1980000" cy="1980000"/>
            <wp:effectExtent l="0" t="0" r="1270" b="1270"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E3_Atenolol.JP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hAnsi="Cambria"/>
          <w:noProof/>
          <w:sz w:val="22"/>
          <w:szCs w:val="22"/>
          <w:lang w:val="de-DE" w:eastAsia="de-DE"/>
        </w:rPr>
        <w:drawing>
          <wp:inline distT="0" distB="0" distL="0" distR="0">
            <wp:extent cx="1980000" cy="1980000"/>
            <wp:effectExtent l="0" t="0" r="1270" b="1270"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E3_caffeine.JP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andardWeb"/>
        <w:spacing w:before="0" w:beforeAutospacing="0" w:after="0" w:afterAutospacing="0"/>
        <w:ind w:firstLine="720"/>
        <w:divId w:val="263073786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Carbamazepine</w:t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  <w:t>Ciprofloxacin</w:t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  <w:t>Diclofenac</w:t>
      </w:r>
    </w:p>
    <w:p>
      <w:pPr>
        <w:pStyle w:val="StandardWeb"/>
        <w:spacing w:before="0" w:beforeAutospacing="0" w:after="0" w:afterAutospacing="0"/>
        <w:divId w:val="263073786"/>
        <w:rPr>
          <w:rFonts w:ascii="Cambria" w:hAnsi="Cambria"/>
          <w:sz w:val="22"/>
          <w:szCs w:val="22"/>
        </w:rPr>
      </w:pPr>
      <w:r>
        <w:rPr>
          <w:rFonts w:ascii="Cambria" w:hAnsi="Cambria"/>
          <w:noProof/>
          <w:sz w:val="22"/>
          <w:szCs w:val="22"/>
          <w:lang w:val="de-DE" w:eastAsia="de-DE"/>
        </w:rPr>
        <w:drawing>
          <wp:inline distT="0" distB="0" distL="0" distR="0">
            <wp:extent cx="1980000" cy="1980000"/>
            <wp:effectExtent l="0" t="0" r="1270" b="1270"/>
            <wp:docPr id="37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E3_carbamazepine.JP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hAnsi="Cambria"/>
          <w:noProof/>
          <w:sz w:val="22"/>
          <w:szCs w:val="22"/>
          <w:lang w:val="de-DE" w:eastAsia="de-DE"/>
        </w:rPr>
        <w:drawing>
          <wp:inline distT="0" distB="0" distL="0" distR="0">
            <wp:extent cx="1980000" cy="1980000"/>
            <wp:effectExtent l="0" t="0" r="1270" b="1270"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E3_ciprofloxacine.JPG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hAnsi="Cambria"/>
          <w:noProof/>
          <w:sz w:val="22"/>
          <w:szCs w:val="22"/>
          <w:lang w:val="de-DE" w:eastAsia="de-DE"/>
        </w:rPr>
        <w:drawing>
          <wp:inline distT="0" distB="0" distL="0" distR="0">
            <wp:extent cx="1980000" cy="1980000"/>
            <wp:effectExtent l="0" t="0" r="1270" b="1270"/>
            <wp:docPr id="39" name="Obraz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E3_diclofenac.JPG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andardWeb"/>
        <w:spacing w:before="0" w:beforeAutospacing="0" w:after="0" w:afterAutospacing="0"/>
        <w:ind w:firstLine="720"/>
        <w:divId w:val="263073786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Ketoprofen</w:t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  <w:t>Ofloxacin</w:t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  <w:t>Sulfamethoxazole</w:t>
      </w:r>
    </w:p>
    <w:p>
      <w:pPr>
        <w:pStyle w:val="StandardWeb"/>
        <w:spacing w:before="0" w:beforeAutospacing="0" w:after="0" w:afterAutospacing="0"/>
        <w:divId w:val="263073786"/>
        <w:rPr>
          <w:rFonts w:ascii="Cambria" w:hAnsi="Cambria"/>
          <w:sz w:val="22"/>
          <w:szCs w:val="22"/>
        </w:rPr>
      </w:pPr>
      <w:r>
        <w:rPr>
          <w:rFonts w:ascii="Cambria" w:hAnsi="Cambria"/>
          <w:noProof/>
          <w:sz w:val="22"/>
          <w:szCs w:val="22"/>
          <w:lang w:val="de-DE" w:eastAsia="de-DE"/>
        </w:rPr>
        <w:drawing>
          <wp:inline distT="0" distB="0" distL="0" distR="0">
            <wp:extent cx="1980000" cy="1980000"/>
            <wp:effectExtent l="0" t="0" r="1270" b="1270"/>
            <wp:docPr id="40" name="Obraz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E3_Ketoprofen.JPG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hAnsi="Cambria"/>
          <w:noProof/>
          <w:sz w:val="22"/>
          <w:szCs w:val="22"/>
          <w:lang w:val="de-DE" w:eastAsia="de-DE"/>
        </w:rPr>
        <w:drawing>
          <wp:inline distT="0" distB="0" distL="0" distR="0">
            <wp:extent cx="1980000" cy="1980000"/>
            <wp:effectExtent l="0" t="0" r="1270" b="1270"/>
            <wp:docPr id="41" name="Obraz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E3_ofloxacine.JPG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hAnsi="Cambria"/>
          <w:noProof/>
          <w:sz w:val="22"/>
          <w:szCs w:val="22"/>
          <w:lang w:val="de-DE" w:eastAsia="de-DE"/>
        </w:rPr>
        <w:drawing>
          <wp:inline distT="0" distB="0" distL="0" distR="0">
            <wp:extent cx="1980000" cy="1980000"/>
            <wp:effectExtent l="0" t="0" r="1270" b="1270"/>
            <wp:docPr id="42" name="Obraz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E3_Sulfamethoxazole.JPG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andardWeb"/>
        <w:spacing w:before="0" w:beforeAutospacing="0" w:after="0" w:afterAutospacing="0"/>
        <w:divId w:val="263073786"/>
        <w:rPr>
          <w:rFonts w:ascii="Cambria" w:hAnsi="Cambria"/>
          <w:sz w:val="22"/>
          <w:szCs w:val="22"/>
        </w:rPr>
      </w:pPr>
    </w:p>
    <w:p>
      <w:pPr>
        <w:rPr>
          <w:rFonts w:ascii="Cambria" w:eastAsiaTheme="minorEastAsia" w:hAnsi="Cambria" w:cs="Times New Roman"/>
        </w:rPr>
        <w:sectPr>
          <w:pgSz w:w="12240" w:h="15840" w:code="1"/>
          <w:pgMar w:top="1134" w:right="1134" w:bottom="1134" w:left="1134" w:header="720" w:footer="720" w:gutter="0"/>
          <w:cols w:space="720"/>
          <w:docGrid w:linePitch="360"/>
        </w:sectPr>
      </w:pPr>
    </w:p>
    <w:p>
      <w:pPr>
        <w:pStyle w:val="StandardWeb"/>
        <w:numPr>
          <w:ilvl w:val="0"/>
          <w:numId w:val="2"/>
        </w:numPr>
        <w:divId w:val="263073786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Correlation graphs between Freundlich sorption coefficient KF and logK</w:t>
      </w:r>
      <w:r>
        <w:rPr>
          <w:rFonts w:ascii="Cambria" w:hAnsi="Cambria"/>
          <w:b/>
          <w:sz w:val="22"/>
          <w:szCs w:val="22"/>
          <w:vertAlign w:val="subscript"/>
        </w:rPr>
        <w:t>OW</w:t>
      </w:r>
      <w:r>
        <w:rPr>
          <w:rFonts w:ascii="Cambria" w:hAnsi="Cambria"/>
          <w:b/>
          <w:sz w:val="22"/>
          <w:szCs w:val="22"/>
        </w:rPr>
        <w:t xml:space="preserve"> of selected compounds</w:t>
      </w:r>
    </w:p>
    <w:p>
      <w:pPr>
        <w:pStyle w:val="StandardWeb"/>
        <w:spacing w:before="0" w:beforeAutospacing="0" w:after="0" w:afterAutospacing="0"/>
        <w:divId w:val="263073786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noProof/>
          <w:sz w:val="22"/>
          <w:szCs w:val="22"/>
          <w:lang w:val="de-DE" w:eastAsia="de-DE"/>
        </w:rPr>
        <w:drawing>
          <wp:inline distT="0" distB="0" distL="0" distR="0">
            <wp:extent cx="6332220" cy="1583055"/>
            <wp:effectExtent l="0" t="0" r="0" b="0"/>
            <wp:docPr id="44" name="Grafi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Rplot19.png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158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andardWeb"/>
        <w:numPr>
          <w:ilvl w:val="0"/>
          <w:numId w:val="2"/>
        </w:numPr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</w:rPr>
        <w:br w:type="page"/>
      </w:r>
      <w:r>
        <w:rPr>
          <w:rFonts w:ascii="Cambria" w:hAnsi="Cambria"/>
          <w:b/>
          <w:lang w:val="en-GB"/>
        </w:rPr>
        <w:t xml:space="preserve"> Sorption partition coefficients K</w:t>
      </w:r>
      <w:r>
        <w:rPr>
          <w:rFonts w:ascii="Cambria" w:hAnsi="Cambria"/>
          <w:b/>
          <w:vertAlign w:val="subscript"/>
          <w:lang w:val="en-GB"/>
        </w:rPr>
        <w:t>d</w:t>
      </w:r>
      <w:r>
        <w:rPr>
          <w:rFonts w:ascii="Cambria" w:hAnsi="Cambria"/>
          <w:b/>
          <w:lang w:val="en-GB"/>
        </w:rPr>
        <w:t xml:space="preserve"> and K</w:t>
      </w:r>
      <w:r>
        <w:rPr>
          <w:rFonts w:ascii="Cambria" w:hAnsi="Cambria"/>
          <w:b/>
          <w:vertAlign w:val="subscript"/>
          <w:lang w:val="en-GB"/>
        </w:rPr>
        <w:t>F</w:t>
      </w:r>
    </w:p>
    <w:tbl>
      <w:tblPr>
        <w:tblW w:w="11170" w:type="dxa"/>
        <w:tblInd w:w="-5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9"/>
        <w:gridCol w:w="1572"/>
        <w:gridCol w:w="897"/>
        <w:gridCol w:w="898"/>
        <w:gridCol w:w="898"/>
        <w:gridCol w:w="3127"/>
        <w:gridCol w:w="984"/>
        <w:gridCol w:w="1105"/>
      </w:tblGrid>
      <w:tr>
        <w:trPr>
          <w:divId w:val="263073786"/>
          <w:trHeight w:val="300"/>
          <w:tblHeader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  <w:lang w:val="pl-PL" w:eastAsia="pl-PL"/>
              </w:rPr>
            </w:pPr>
            <w:r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  <w:lang w:val="pl-PL" w:eastAsia="pl-PL"/>
              </w:rPr>
              <w:t>Compound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  <w:lang w:val="pl-PL" w:eastAsia="pl-PL"/>
              </w:rPr>
            </w:pPr>
            <w:r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  <w:lang w:val="pl-PL" w:eastAsia="pl-PL"/>
              </w:rPr>
              <w:t>Sediment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  <w:lang w:val="pl-PL" w:eastAsia="pl-PL"/>
              </w:rPr>
            </w:pPr>
            <w:r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  <w:lang w:val="pl-PL" w:eastAsia="pl-PL"/>
              </w:rPr>
              <w:t>K</w:t>
            </w:r>
            <w:r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  <w:vertAlign w:val="subscript"/>
                <w:lang w:val="pl-PL" w:eastAsia="pl-PL"/>
              </w:rPr>
              <w:t>d</w:t>
            </w:r>
          </w:p>
          <w:p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  <w:lang w:val="pl-PL" w:eastAsia="pl-PL"/>
              </w:rPr>
            </w:pPr>
            <w:r>
              <w:rPr>
                <w:rFonts w:asciiTheme="majorHAnsi" w:hAnsiTheme="majorHAnsi" w:cs="Times New Roman"/>
                <w:sz w:val="20"/>
                <w:szCs w:val="20"/>
                <w:lang w:val="en-GB"/>
              </w:rPr>
              <w:t>[L/kg]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  <w:lang w:eastAsia="pl-PL"/>
              </w:rPr>
              <w:t>K</w:t>
            </w:r>
            <w:r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  <w:vertAlign w:val="subscript"/>
                <w:lang w:eastAsia="pl-PL"/>
              </w:rPr>
              <w:t>F</w:t>
            </w:r>
            <w:r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asciiTheme="majorHAnsi" w:hAnsiTheme="majorHAnsi" w:cs="Times New Roman"/>
                <w:sz w:val="20"/>
                <w:szCs w:val="20"/>
                <w:lang w:val="en-GB"/>
              </w:rPr>
              <w:t>[(L/kg)</w:t>
            </w:r>
            <w:r>
              <w:rPr>
                <w:rFonts w:asciiTheme="majorHAnsi" w:hAnsiTheme="majorHAnsi" w:cs="Times New Roman"/>
                <w:sz w:val="20"/>
                <w:szCs w:val="20"/>
                <w:vertAlign w:val="superscript"/>
                <w:lang w:val="en-GB"/>
              </w:rPr>
              <w:t>η</w:t>
            </w:r>
            <w:r>
              <w:rPr>
                <w:rFonts w:asciiTheme="majorHAnsi" w:hAnsiTheme="majorHAnsi" w:cs="Times New Roman"/>
                <w:sz w:val="20"/>
                <w:szCs w:val="20"/>
                <w:lang w:val="en-GB"/>
              </w:rPr>
              <w:t>]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  <w:t>η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  <w:lang w:eastAsia="pl-PL"/>
              </w:rPr>
              <w:t>Solution type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  <w:lang w:eastAsia="pl-PL"/>
              </w:rPr>
              <w:t>Exper</w:t>
            </w:r>
            <w:r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  <w:lang w:eastAsia="pl-PL"/>
              </w:rPr>
              <w:t>im</w:t>
            </w:r>
            <w:r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  <w:lang w:eastAsia="pl-PL"/>
              </w:rPr>
              <w:t>. type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  <w:lang w:eastAsia="pl-PL"/>
              </w:rPr>
              <w:t>Reference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Atenolol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coarse sand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groundwater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this study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Antipyrine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coarse sand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groundwater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this study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Carbamazepine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coarse sand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groundwater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this study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Caffeine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coarse sand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groundwater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this study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Ciprofloxacin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coarse sand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groundwater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this study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Diclofenac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coarse sand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groundwater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this study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Ketoprofen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coarse sand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groundwater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this study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Ofloxacin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coarse sand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groundwater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this study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Sulfamethoxazole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coarse sand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groundwater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this study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Atenolol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sandy loam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groundwater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this study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Antipyrine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sandy loam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groundwater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this study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Carbamazepine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sandy loam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groundwater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this study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Caffeine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sandy loam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groundwater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this study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Ciprofloxacin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sandy loam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groundwater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this study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Diclofenac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sandy loam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groundwater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this study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Ketoprofen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sandy loam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groundwater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this study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Ofloxacin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sandy loam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groundwater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this study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Sulfamethoxazole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sandy loam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groundwater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this study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Atenolol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sandy clay loam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groundwater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this study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Antipyrine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sandy clay loam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groundwater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this study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Carbamazepine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sandy clay loam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groundwater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this study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Caffeine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sandy clay loam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groundwater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this study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Ciprofloxacin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sandy clay loam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groundwater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this study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Diclofenac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sandy clay loam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groundwater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this study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Ketoprofen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sandy clay loam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groundwater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this study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Ofloxacin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sandy clay loam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groundwater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this study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Sulfamethoxazole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sandy clay loam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groundwater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this study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Atenolol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clay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groundwater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this study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Antipyrine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clay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groundwater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this study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Carbamazepine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clay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groundwater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this study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Caffeine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clay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groundwater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this study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Ciprofloxacin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clay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groundwater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this study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Diclofenac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clay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groundwater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this study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Ketoprofen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clay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groundwater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this study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Ofloxacin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clay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groundwater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this study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Sulfamethoxazole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clay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groundwater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this study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Atenolol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medium sand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groundwater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this study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Antipyrine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medium sand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groundwater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this study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Carbamazepine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medium sand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groundwater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this study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Caffeine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medium sand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groundwater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this study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Ciprofloxacin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medium sand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groundwater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this study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Diclofenac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medium sand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groundwater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this study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Ketoprofen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medium sand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groundwater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this study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Ofloxacin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medium sand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groundwater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this study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Sulfamethoxazole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medium sand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groundwater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this study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Atenolol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sand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1.54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tap water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column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Antipyrine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sand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0.00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tap water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column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Carbamazepine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agricultural soil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1.79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3.35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4.80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 xml:space="preserve">0.01 M 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CaCl₂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Carbamazepine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l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 xml:space="preserve">oamy 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f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 xml:space="preserve">ine 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s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and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12.63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0.87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secondary-treated wastewater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Carbamazepine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l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 xml:space="preserve">oamy 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f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 xml:space="preserve">ine 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s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and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11.46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1.21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freshwater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Diclofenac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l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 xml:space="preserve">oamy 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f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 xml:space="preserve">ine 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s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and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11.90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0.27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secondary-treated wastewater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Diclofenac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l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 xml:space="preserve">oamy 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f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 xml:space="preserve">ine 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s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and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8.81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0.49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freshwater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Carbamazepine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s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andy loam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0.87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0.91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secondary-treated wastewater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Carbamazepine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s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andy loam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1.21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0.73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freshwater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Diclofenac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s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andy loam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0.27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1.13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secondary-treated wastewater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Diclofenac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s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andy loam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0.49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0.92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freshwater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Carbamazepine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clay (low TOC)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0.49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0.51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0.95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 xml:space="preserve">0.01 M 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CaCl₂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Carbamazepine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sandy loam (high TOC)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37.00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57.00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0.67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 xml:space="preserve">0.01 M 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CaCl₂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Sulfamethoxazole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clay (low TOC)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0.23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0.28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0.66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 xml:space="preserve">0.01 M 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CaCl₂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Sulfamethoxazole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sandy loam (high TOC)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37.60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36.20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0.94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 xml:space="preserve">0.01 M 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CaCl₂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O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floxacin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clay (low TOC)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1192.00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832.00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0.61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 xml:space="preserve">0.01 M 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CaCl₂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O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floxacin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sandy loam (high TOC)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3554.00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3224.00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0.94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0.01 M CaCl₂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Diclofenac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clay (low TOC)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0.45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0.44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1.00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 xml:space="preserve">0.01 M 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CaCl₂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Diclofenac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sandy loam (high TOC)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164.50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172.00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0.92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 xml:space="preserve">0.01 M 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CaCl₂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carbamazepine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silty clay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5.81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 xml:space="preserve">0.01 M 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CaCl₂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carbamazepine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silty clay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9.11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untreated wastewater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carbamazepine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clay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11.40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 xml:space="preserve">0.01 M 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CaCl₂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Carbamazepine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clay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9.19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untreated wastewater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Carbamazepine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topsoil/loam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4.61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12.40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0.87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 xml:space="preserve">0.01 M 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CaCl₂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Carbamazepine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agricultural soil/sand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1.72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3.80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0.89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 xml:space="preserve">0.01 M 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CaCl₂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Atenolol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sand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0.67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0.85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 xml:space="preserve">0.01 M 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CaCl₂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Carbamazepine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sand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0.26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0.88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 xml:space="preserve">0.01 M 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CaCl₂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Sulfamethoxazole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sand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0.11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0.61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 xml:space="preserve">0.01 M 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CaCl₂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Atenolol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loess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5.08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0.85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 xml:space="preserve">0.01 M 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CaCl₂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Carbamazepine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loess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0.67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0.88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 xml:space="preserve">0.01 M 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CaCl₂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Sulfamethoxazole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loess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0.07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0.61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 xml:space="preserve">0.01 M 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CaCl₂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ciprofloxacin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soil (loamy sand)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427.00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 xml:space="preserve">0.01 M 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CaCl₂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O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floxacin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soil (loamy sand)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309.00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 xml:space="preserve">0.01 M 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CaCl₂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Carbamazepine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medium sand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5.30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5.34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0.99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artificially synthetised groundwater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Carbamazepine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fine sand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0.21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0.13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1.08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artificially synthetised groundwater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Diclofenac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medium sand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4.66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0.57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1.43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artificially synthetised groundwater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Carbamazepine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medium sand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1.43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3.89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0.78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artificially synthetised groundwater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Diclofenac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medium sand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1.87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0.81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1.18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artificially synthetised groundwater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Diclofenac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fine sand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0.55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7.31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0.57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artificially synthetised groundwater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Carbamazepine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sand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0.13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synthesized treated sewage water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column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Diclofenac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sand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0.57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synthesized treated sewage water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column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Sulfamethoxazole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silt loam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3.28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3.26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0.96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 xml:space="preserve">0.005 M 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CaCl₂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Sulfamethoxazole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silt loam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3.36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6.10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0.79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 xml:space="preserve">0.005 M 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CaCl₂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Sulfamethoxazole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sit loam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1.31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2.28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0.82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 xml:space="preserve">0.005 M 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CaCl₂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Carbamazepine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river sediment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1.70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2.00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0.90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 xml:space="preserve">0.01 M 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CaCl₂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Carbamazepine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river sediment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12.30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14.10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0.82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 xml:space="preserve">0.01 M 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CaCl₂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Ciprofloxacin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150-45000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13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Atnolol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river sediment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1.30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 xml:space="preserve">0.01 M 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CaCl₂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14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Atnolol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river sediment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8.10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 xml:space="preserve">0.01 M 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CaCl₂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14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Atnolol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river sediment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5.30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 xml:space="preserve">0.01 M 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CaCl₂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14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Atnolol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loam silt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1.10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 xml:space="preserve">0.01 M 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CaCl₂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14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Carbamazepine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river sediment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8.50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 xml:space="preserve">0.01 M 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CaCl₂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14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Carbamazepine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river sediment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1.40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 xml:space="preserve">0.01 M 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CaCl₂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14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Carbamazepine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river sediment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1.80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 xml:space="preserve">0.01 M 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CaCl₂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14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Carbamazepine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loam silt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1.20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 xml:space="preserve">0.01 M 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CaCl₂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14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O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floxacin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natural soil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75.80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1778.28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0.46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CaCl₂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 xml:space="preserve"> soultion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15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O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floxacin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soil (paddy field)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46.60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1380.38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0.42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CaCl₂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 xml:space="preserve"> soultion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15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O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floxacin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soil (dry farmland)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67.80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1698.24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0.45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CaCl₂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 xml:space="preserve"> soultion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15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O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floxacin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soil (pseudo-ginseng)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250.00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3981.07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0.52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CaCl₂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 xml:space="preserve"> soultion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15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O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floxacin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soil (pseudo-ginseng)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158.00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3630.78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0.46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CaCl₂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 xml:space="preserve"> soultion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15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O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floxacin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natural soil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234.00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2041.74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0.63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CaCl₂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 xml:space="preserve"> soultion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15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O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floxacin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natural soil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239.00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3715.35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0.53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CaCl₂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 xml:space="preserve"> soultion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15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O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floxacin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natural soil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409.00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257.04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1.08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CaCl₂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 xml:space="preserve"> soultion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15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O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floxacin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soil (paddy field)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264.00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1621.81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0.69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CaCl₂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 xml:space="preserve"> soultion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15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O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floxacin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agricultural soil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156.00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467.74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0.81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CaCl₂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 xml:space="preserve"> soultion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15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O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floxacin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peat soil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530.00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9332.54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0.51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CaCl₂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 xml:space="preserve"> soultion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15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O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floxacin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natural soil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384.00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18620.87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0.34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CaCl₂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 xml:space="preserve"> soultion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15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O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floxacin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quartz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1.30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26.30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0.48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CaCl₂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 xml:space="preserve"> soultion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15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O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floxacin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muscovite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2.20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70.79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0.40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CaCl₂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 xml:space="preserve"> soultion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15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O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floxacin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kaolinite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60.50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2238.72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0.38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CaCl₂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 xml:space="preserve"> soultion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15</w:t>
            </w:r>
          </w:p>
        </w:tc>
      </w:tr>
      <w:tr>
        <w:trPr>
          <w:divId w:val="263073786"/>
          <w:trHeight w:val="300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O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floxacin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montmorillonite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1510.00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95499.26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0.29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CaCl₂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 xml:space="preserve"> soultion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batch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pl-PL"/>
              </w:rPr>
              <w:t>15</w:t>
            </w:r>
          </w:p>
        </w:tc>
      </w:tr>
    </w:tbl>
    <w:p>
      <w:pPr>
        <w:pStyle w:val="StandardWeb"/>
        <w:spacing w:before="0" w:beforeAutospacing="0" w:after="0" w:afterAutospacing="0"/>
        <w:divId w:val="263073786"/>
        <w:rPr>
          <w:rFonts w:ascii="Cambria" w:hAnsi="Cambria"/>
          <w:sz w:val="22"/>
          <w:szCs w:val="22"/>
        </w:rPr>
      </w:pPr>
    </w:p>
    <w:p>
      <w:pPr>
        <w:pStyle w:val="StandardWeb"/>
        <w:spacing w:before="0" w:beforeAutospacing="0" w:after="0" w:afterAutospacing="0"/>
        <w:divId w:val="263073786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References</w:t>
      </w:r>
    </w:p>
    <w:p>
      <w:pPr>
        <w:pStyle w:val="StandardWeb"/>
        <w:spacing w:before="0" w:beforeAutospacing="0" w:after="0" w:afterAutospacing="0"/>
        <w:divId w:val="263073786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  <w:lang w:val="de-DE"/>
        </w:rPr>
        <w:t>1.</w:t>
      </w:r>
      <w:r>
        <w:rPr>
          <w:rFonts w:ascii="Cambria" w:hAnsi="Cambria"/>
          <w:sz w:val="22"/>
          <w:szCs w:val="22"/>
          <w:lang w:val="de-DE"/>
        </w:rPr>
        <w:tab/>
        <w:t xml:space="preserve">Burke, V., Treumann, S., Duennbier, U., Greskowiak, J., Massmann, G., 2013. </w:t>
      </w:r>
      <w:r>
        <w:rPr>
          <w:rFonts w:ascii="Cambria" w:hAnsi="Cambria"/>
          <w:sz w:val="22"/>
          <w:szCs w:val="22"/>
        </w:rPr>
        <w:t>Sorption behavior of 20 wastewater originated micropollutants in groundwater - Column experiments with pharmaceutical residues and industrial agents. J. Contam. Hydrol. 154, 29–41. doi:10.1016/j.jconhyd.2013.08.001</w:t>
      </w:r>
    </w:p>
    <w:p>
      <w:pPr>
        <w:pStyle w:val="StandardWeb"/>
        <w:spacing w:before="0" w:beforeAutospacing="0" w:after="0" w:afterAutospacing="0"/>
        <w:divId w:val="263073786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2.</w:t>
      </w:r>
      <w:r>
        <w:rPr>
          <w:rFonts w:ascii="Cambria" w:hAnsi="Cambria"/>
          <w:sz w:val="22"/>
          <w:szCs w:val="22"/>
        </w:rPr>
        <w:tab/>
        <w:t>Calisto, V., Esteves, V.I., 2012. Adsorption of the antiepileptic carbamazepine onto agricultural soils. J. Environ. Monit. 14, 1597–1603. doi:10.1039/c2em10895j</w:t>
      </w:r>
    </w:p>
    <w:p>
      <w:pPr>
        <w:pStyle w:val="StandardWeb"/>
        <w:spacing w:before="0" w:beforeAutospacing="0" w:after="0" w:afterAutospacing="0"/>
        <w:divId w:val="263073786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  <w:lang w:val="en-GB"/>
        </w:rPr>
        <w:t>3.</w:t>
      </w:r>
      <w:r>
        <w:rPr>
          <w:rFonts w:ascii="Cambria" w:hAnsi="Cambria"/>
          <w:sz w:val="22"/>
          <w:szCs w:val="22"/>
          <w:lang w:val="en-GB"/>
        </w:rPr>
        <w:tab/>
        <w:t xml:space="preserve">Chefetz, B., Mualem, T., Ben-Ari, J., 2008. </w:t>
      </w:r>
      <w:r>
        <w:rPr>
          <w:rFonts w:ascii="Cambria" w:hAnsi="Cambria"/>
          <w:sz w:val="22"/>
          <w:szCs w:val="22"/>
        </w:rPr>
        <w:t>Sorption and mobility of pharmaceutical compounds in soil irrigated with reclaimed wastewater. Chemosphere 73, 1335–1343. doi:10.1016/j.chemosphere.2008.06.070</w:t>
      </w:r>
    </w:p>
    <w:p>
      <w:pPr>
        <w:pStyle w:val="StandardWeb"/>
        <w:spacing w:before="0" w:beforeAutospacing="0" w:after="0" w:afterAutospacing="0"/>
        <w:divId w:val="263073786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4.</w:t>
      </w:r>
      <w:r>
        <w:rPr>
          <w:rFonts w:ascii="Cambria" w:hAnsi="Cambria"/>
          <w:sz w:val="22"/>
          <w:szCs w:val="22"/>
        </w:rPr>
        <w:tab/>
        <w:t>Durán-Álvarez, J.C., Prado-Pano, B., Jiménez-Cisneros, B., 2012. Sorption and desorption of carbamazepine, naproxen and triclosan in a soil irrigated with raw wastewater: Estimation of the sorption parameters by considering the initial mass of the compounds in the soil. Chemosphere 88, 84–90. doi:10.1016/j.chemosphere.2012.02.067</w:t>
      </w:r>
    </w:p>
    <w:p>
      <w:pPr>
        <w:pStyle w:val="StandardWeb"/>
        <w:spacing w:before="0" w:beforeAutospacing="0" w:after="0" w:afterAutospacing="0"/>
        <w:divId w:val="263073786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5.</w:t>
      </w:r>
      <w:r>
        <w:rPr>
          <w:rFonts w:ascii="Cambria" w:hAnsi="Cambria"/>
          <w:sz w:val="22"/>
          <w:szCs w:val="22"/>
        </w:rPr>
        <w:tab/>
        <w:t>Fenet, H., Mathieu, O., Mahjoub, O., Li, Z., Hillaire-Buys, D., Casellas, C., Gomez, E., 2012. Carbamazepine, carbamazepine epoxide and dihydroxycarbamazepine sorption to soil and occurrence in a wastewater reuse site in Tunisia. Chemosphere 88, 49–54. doi:10.1016/j.chemosphere.2012.02.050</w:t>
      </w:r>
    </w:p>
    <w:p>
      <w:pPr>
        <w:pStyle w:val="StandardWeb"/>
        <w:spacing w:before="0" w:beforeAutospacing="0" w:after="0" w:afterAutospacing="0"/>
        <w:divId w:val="263073786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6.</w:t>
      </w:r>
      <w:r>
        <w:rPr>
          <w:rFonts w:ascii="Cambria" w:hAnsi="Cambria"/>
          <w:sz w:val="22"/>
          <w:szCs w:val="22"/>
        </w:rPr>
        <w:tab/>
        <w:t>JCGM 100:2008, 2008. Evaluation of measurement data – Guide to the expression of uncertainty in measurement. Joint Committee for Guides in Metrology.</w:t>
      </w:r>
    </w:p>
    <w:p>
      <w:pPr>
        <w:pStyle w:val="StandardWeb"/>
        <w:spacing w:before="0" w:beforeAutospacing="0" w:after="0" w:afterAutospacing="0"/>
        <w:divId w:val="263073786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7.</w:t>
      </w:r>
      <w:r>
        <w:rPr>
          <w:rFonts w:ascii="Cambria" w:hAnsi="Cambria"/>
          <w:sz w:val="22"/>
          <w:szCs w:val="22"/>
        </w:rPr>
        <w:tab/>
        <w:t>Kodešová, R., Grabic, R., Kočárek, M., Klement, A., Golovko, O., Fér, M., Nikodem, A., Jakšík, O., 2015. Pharmaceuticals’ sorptions relative to properties of thirteen different soils. Sci. Total Environ. 511, 435–443. doi:10.1016/j.scitotenv.2014.12.088</w:t>
      </w:r>
    </w:p>
    <w:p>
      <w:pPr>
        <w:pStyle w:val="StandardWeb"/>
        <w:spacing w:before="0" w:beforeAutospacing="0" w:after="0" w:afterAutospacing="0"/>
        <w:divId w:val="263073786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8.</w:t>
      </w:r>
      <w:r>
        <w:rPr>
          <w:rFonts w:ascii="Cambria" w:hAnsi="Cambria"/>
          <w:sz w:val="22"/>
          <w:szCs w:val="22"/>
        </w:rPr>
        <w:tab/>
        <w:t>Nowara, A., Spiteller, M., 1997. Binding of Fluoroquinolone Carboxylic Acid Derivatives to Clay Minerals. J. Agric. Food Chem. 45, 1459–1463. doi:10.1021/jf960215l</w:t>
      </w:r>
    </w:p>
    <w:p>
      <w:pPr>
        <w:pStyle w:val="StandardWeb"/>
        <w:spacing w:before="0" w:beforeAutospacing="0" w:after="0" w:afterAutospacing="0"/>
        <w:divId w:val="263073786"/>
        <w:rPr>
          <w:rFonts w:ascii="Cambria" w:hAnsi="Cambria"/>
          <w:sz w:val="22"/>
          <w:szCs w:val="22"/>
          <w:lang w:val="de-DE"/>
        </w:rPr>
      </w:pPr>
      <w:r>
        <w:rPr>
          <w:rFonts w:ascii="Cambria" w:hAnsi="Cambria"/>
          <w:sz w:val="22"/>
          <w:szCs w:val="22"/>
        </w:rPr>
        <w:t>9.</w:t>
      </w:r>
      <w:r>
        <w:rPr>
          <w:rFonts w:ascii="Cambria" w:hAnsi="Cambria"/>
          <w:sz w:val="22"/>
          <w:szCs w:val="22"/>
        </w:rPr>
        <w:tab/>
        <w:t xml:space="preserve">Scheytt, T., Mersmann, P., Lindstädt, R., Heberer, T., 2005. Determination of sorption coefficients of pharmaceutically active substances carbamazepine, diclofenac, and ibuprofen, in sandy sediments. </w:t>
      </w:r>
      <w:r>
        <w:rPr>
          <w:rFonts w:ascii="Cambria" w:hAnsi="Cambria"/>
          <w:sz w:val="22"/>
          <w:szCs w:val="22"/>
          <w:lang w:val="de-DE"/>
        </w:rPr>
        <w:t>Chemosphere 60, 245–253. doi:10.1016/j.chemosphere.2004.12.042</w:t>
      </w:r>
    </w:p>
    <w:p>
      <w:pPr>
        <w:pStyle w:val="StandardWeb"/>
        <w:spacing w:before="0" w:beforeAutospacing="0" w:after="0" w:afterAutospacing="0"/>
        <w:divId w:val="263073786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  <w:lang w:val="de-DE"/>
        </w:rPr>
        <w:t>10.</w:t>
      </w:r>
      <w:r>
        <w:rPr>
          <w:rFonts w:ascii="Cambria" w:hAnsi="Cambria"/>
          <w:sz w:val="22"/>
          <w:szCs w:val="22"/>
          <w:lang w:val="de-DE"/>
        </w:rPr>
        <w:tab/>
        <w:t xml:space="preserve">Scheytt, T.J., Mersmann, P., Heberer, T., 2006. </w:t>
      </w:r>
      <w:r>
        <w:rPr>
          <w:rFonts w:ascii="Cambria" w:hAnsi="Cambria"/>
          <w:sz w:val="22"/>
          <w:szCs w:val="22"/>
        </w:rPr>
        <w:t>Mobility of pharmaceuticals carbamazepine, diclofenac, ibuprofen, and propyphenazone in miscible-displacement experiments. J. Contam. Hydrol. 83, 53–69. doi:10.1016/j.jconhyd.2005.11.002</w:t>
      </w:r>
    </w:p>
    <w:p>
      <w:pPr>
        <w:pStyle w:val="StandardWeb"/>
        <w:spacing w:before="0" w:beforeAutospacing="0" w:after="0" w:afterAutospacing="0"/>
        <w:divId w:val="263073786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11.</w:t>
      </w:r>
      <w:r>
        <w:rPr>
          <w:rFonts w:ascii="Cambria" w:hAnsi="Cambria"/>
          <w:sz w:val="22"/>
          <w:szCs w:val="22"/>
        </w:rPr>
        <w:tab/>
        <w:t>Srinivasan, P., Sarmah, A.K., Manley-</w:t>
      </w:r>
      <w:r>
        <w:rPr>
          <w:rFonts w:ascii="Cambria" w:hAnsi="Cambria"/>
          <w:sz w:val="22"/>
          <w:szCs w:val="22"/>
        </w:rPr>
        <w:t>H</w:t>
      </w:r>
      <w:r>
        <w:rPr>
          <w:rFonts w:ascii="Cambria" w:hAnsi="Cambria"/>
          <w:sz w:val="22"/>
          <w:szCs w:val="22"/>
        </w:rPr>
        <w:t>arris, M., 2013. Co-contaminants and factors affecting the sorption behaviour of two sulfonamides in pasture soils. Environ. Pollut. 180, 165–172. doi:10.1016/j.envpol.2013.05.022</w:t>
      </w:r>
    </w:p>
    <w:p>
      <w:pPr>
        <w:pStyle w:val="StandardWeb"/>
        <w:spacing w:before="0" w:beforeAutospacing="0" w:after="0" w:afterAutospacing="0"/>
        <w:divId w:val="263073786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  <w:lang w:val="en-GB"/>
        </w:rPr>
        <w:t>12.</w:t>
      </w:r>
      <w:r>
        <w:rPr>
          <w:rFonts w:ascii="Cambria" w:hAnsi="Cambria"/>
          <w:sz w:val="22"/>
          <w:szCs w:val="22"/>
          <w:lang w:val="en-GB"/>
        </w:rPr>
        <w:tab/>
        <w:t xml:space="preserve">Stein, K., Ramil, M., Fink, G., Sander, M., 2008. </w:t>
      </w:r>
      <w:r>
        <w:rPr>
          <w:rFonts w:ascii="Cambria" w:hAnsi="Cambria"/>
          <w:sz w:val="22"/>
          <w:szCs w:val="22"/>
        </w:rPr>
        <w:t>Analysis and Sorption of Psychoactive Drugs onto Sediment. Environ. Sci. Technol. 42, 6415–6423. doi:10.1021/es702959a</w:t>
      </w:r>
    </w:p>
    <w:p>
      <w:pPr>
        <w:pStyle w:val="StandardWeb"/>
        <w:spacing w:before="0" w:beforeAutospacing="0" w:after="0" w:afterAutospacing="0"/>
        <w:divId w:val="263073786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13.</w:t>
      </w:r>
      <w:r>
        <w:rPr>
          <w:rFonts w:ascii="Cambria" w:hAnsi="Cambria"/>
          <w:sz w:val="22"/>
          <w:szCs w:val="22"/>
        </w:rPr>
        <w:tab/>
        <w:t>Vasudevan, D., Bruland, G.L., Torrance, B.S., Upchurch, V.G., MacKay, A. a., 2009. pH-dependent ciprofloxacin sorption to soils: Interaction mechanisms and soil factors influencing sorption. Geoderma 151, 68–76. doi:10.1016/j.geoderma.2009.03.007</w:t>
      </w:r>
    </w:p>
    <w:p>
      <w:pPr>
        <w:pStyle w:val="StandardWeb"/>
        <w:spacing w:before="0" w:beforeAutospacing="0" w:after="0" w:afterAutospacing="0"/>
        <w:divId w:val="263073786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14.</w:t>
      </w:r>
      <w:r>
        <w:rPr>
          <w:rFonts w:ascii="Cambria" w:hAnsi="Cambria"/>
          <w:sz w:val="22"/>
          <w:szCs w:val="22"/>
        </w:rPr>
        <w:tab/>
        <w:t>Yamamoto, H., Nakamura, Y., Moriguchi, S., Nakamura, Y., Honda, Y., Tamura, I., Hirata, Y., Hayashi, A., Sekizawa, J., 2009. Persistence and partitioning of eight selected pharmaceuticals in the aquatic environment: Laboratory photolysis, biodegradation, and sorption experiments. Water Res. 43, 351–362. doi:10.1016/j.watres.2008.10.039</w:t>
      </w:r>
    </w:p>
    <w:p>
      <w:pPr>
        <w:pStyle w:val="StandardWeb"/>
        <w:spacing w:before="0" w:beforeAutospacing="0" w:after="0" w:afterAutospacing="0"/>
        <w:divId w:val="263073786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15.</w:t>
      </w:r>
      <w:r>
        <w:rPr>
          <w:rFonts w:ascii="Cambria" w:hAnsi="Cambria"/>
          <w:sz w:val="22"/>
          <w:szCs w:val="22"/>
        </w:rPr>
        <w:tab/>
        <w:t>Zhou, D., Chen, B., Wu, M., Liang, N., Zhang, D., Li, H., Pan, B., 2014. Ofloxacin sorption in soils after long-term tillage: The contribution of organic and mineral compositions. Sci. Total Environ. 497–498, 665–670. doi:10.1016/j.scitotenv.2014.07.130</w:t>
      </w:r>
    </w:p>
    <w:sectPr>
      <w:pgSz w:w="12240" w:h="15840" w:code="1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771C1"/>
    <w:multiLevelType w:val="hybridMultilevel"/>
    <w:tmpl w:val="97B6B4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B2257D"/>
    <w:multiLevelType w:val="hybridMultilevel"/>
    <w:tmpl w:val="79949E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CB2C46"/>
    <w:multiLevelType w:val="multilevel"/>
    <w:tmpl w:val="C31C841E"/>
    <w:lvl w:ilvl="0">
      <w:start w:val="1"/>
      <w:numFmt w:val="decimal"/>
      <w:lvlText w:val="SM.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SM.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4508139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81155F0"/>
    <w:multiLevelType w:val="hybridMultilevel"/>
    <w:tmpl w:val="F72E2A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5:docId w15:val="{07E927D2-7092-4602-95FF-BD3F7343E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character" w:customStyle="1" w:styleId="info">
    <w:name w:val="info"/>
    <w:basedOn w:val="Absatz-Standardschriftart"/>
  </w:style>
  <w:style w:type="character" w:customStyle="1" w:styleId="xbe">
    <w:name w:val="_xbe"/>
    <w:basedOn w:val="Absatz-Standardschriftart"/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800080"/>
      <w:u w:val="single"/>
    </w:rPr>
  </w:style>
  <w:style w:type="paragraph" w:customStyle="1" w:styleId="font5">
    <w:name w:val="font5"/>
    <w:basedOn w:val="Standard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val="pl-PL" w:eastAsia="pl-PL"/>
    </w:rPr>
  </w:style>
  <w:style w:type="paragraph" w:customStyle="1" w:styleId="font6">
    <w:name w:val="font6"/>
    <w:basedOn w:val="Standard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val="pl-PL" w:eastAsia="pl-PL"/>
    </w:rPr>
  </w:style>
  <w:style w:type="paragraph" w:customStyle="1" w:styleId="xl66">
    <w:name w:val="xl66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xl67">
    <w:name w:val="xl67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4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99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69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63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96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94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11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950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289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735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194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8207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8325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4506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591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6359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42036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72131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30737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28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35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7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3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8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8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4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0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6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4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9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image" Target="media/image19.JPG"/><Relationship Id="rId39" Type="http://schemas.openxmlformats.org/officeDocument/2006/relationships/image" Target="media/image32.JPG"/><Relationship Id="rId3" Type="http://schemas.openxmlformats.org/officeDocument/2006/relationships/styles" Target="styles.xml"/><Relationship Id="rId21" Type="http://schemas.openxmlformats.org/officeDocument/2006/relationships/image" Target="media/image14.JPG"/><Relationship Id="rId34" Type="http://schemas.openxmlformats.org/officeDocument/2006/relationships/image" Target="media/image27.JPG"/><Relationship Id="rId42" Type="http://schemas.openxmlformats.org/officeDocument/2006/relationships/image" Target="media/image35.JPG"/><Relationship Id="rId47" Type="http://schemas.openxmlformats.org/officeDocument/2006/relationships/image" Target="media/image40.JPG"/><Relationship Id="rId50" Type="http://schemas.openxmlformats.org/officeDocument/2006/relationships/image" Target="media/image43.pn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image" Target="media/image18.JPG"/><Relationship Id="rId33" Type="http://schemas.openxmlformats.org/officeDocument/2006/relationships/image" Target="media/image26.JPG"/><Relationship Id="rId38" Type="http://schemas.openxmlformats.org/officeDocument/2006/relationships/image" Target="media/image31.JPG"/><Relationship Id="rId46" Type="http://schemas.openxmlformats.org/officeDocument/2006/relationships/image" Target="media/image39.JPG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29" Type="http://schemas.openxmlformats.org/officeDocument/2006/relationships/image" Target="media/image22.JPG"/><Relationship Id="rId41" Type="http://schemas.openxmlformats.org/officeDocument/2006/relationships/image" Target="media/image34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JPG"/><Relationship Id="rId32" Type="http://schemas.openxmlformats.org/officeDocument/2006/relationships/image" Target="media/image25.JPG"/><Relationship Id="rId37" Type="http://schemas.openxmlformats.org/officeDocument/2006/relationships/image" Target="media/image30.JPG"/><Relationship Id="rId40" Type="http://schemas.openxmlformats.org/officeDocument/2006/relationships/image" Target="media/image33.JPG"/><Relationship Id="rId45" Type="http://schemas.openxmlformats.org/officeDocument/2006/relationships/image" Target="media/image38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28" Type="http://schemas.openxmlformats.org/officeDocument/2006/relationships/image" Target="media/image21.JPG"/><Relationship Id="rId36" Type="http://schemas.openxmlformats.org/officeDocument/2006/relationships/image" Target="media/image29.JPG"/><Relationship Id="rId49" Type="http://schemas.openxmlformats.org/officeDocument/2006/relationships/image" Target="media/image42.JPG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31" Type="http://schemas.openxmlformats.org/officeDocument/2006/relationships/image" Target="media/image24.JPG"/><Relationship Id="rId44" Type="http://schemas.openxmlformats.org/officeDocument/2006/relationships/image" Target="media/image37.JP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image" Target="media/image15.JPG"/><Relationship Id="rId27" Type="http://schemas.openxmlformats.org/officeDocument/2006/relationships/image" Target="media/image20.JPG"/><Relationship Id="rId30" Type="http://schemas.openxmlformats.org/officeDocument/2006/relationships/image" Target="media/image23.JPG"/><Relationship Id="rId35" Type="http://schemas.openxmlformats.org/officeDocument/2006/relationships/image" Target="media/image28.JPG"/><Relationship Id="rId43" Type="http://schemas.openxmlformats.org/officeDocument/2006/relationships/image" Target="media/image36.JPG"/><Relationship Id="rId48" Type="http://schemas.openxmlformats.org/officeDocument/2006/relationships/image" Target="media/image41.JPG"/><Relationship Id="rId8" Type="http://schemas.openxmlformats.org/officeDocument/2006/relationships/image" Target="media/image1.JPG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305A46-269A-49D6-8601-D2BCE5AB8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2275</Words>
  <Characters>14335</Characters>
  <Application>Microsoft Office Word</Application>
  <DocSecurity>4</DocSecurity>
  <Lines>119</Lines>
  <Paragraphs>33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Helmholtz Zentrum München</Company>
  <LinksUpToDate>false</LinksUpToDate>
  <CharactersWithSpaces>16577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aleksandra.kiecak</dc:creator>
  <cp:keywords/>
  <dc:description/>
  <cp:lastModifiedBy>katrin.rauner</cp:lastModifiedBy>
  <cp:revision>2</cp:revision>
  <cp:lastPrinted>2017-03-27T12:56:00Z</cp:lastPrinted>
  <dcterms:created xsi:type="dcterms:W3CDTF">2019-11-25T07:42:00Z</dcterms:created>
  <dcterms:modified xsi:type="dcterms:W3CDTF">2019-11-25T07:42:00Z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http://www.zotero.org/styles/journal-of-contaminant-hydrology</vt:lpwstr>
  </property>
  <property fmtid="{D5CDD505-2E9C-101B-9397-08002B2CF9AE}" pid="4" name="Mendeley Recent Style Id 0_1">
    <vt:lpwstr>http://www.zotero.org/styles/american-political-science-association</vt:lpwstr>
  </property>
  <property fmtid="{D5CDD505-2E9C-101B-9397-08002B2CF9AE}" pid="5" name="Mendeley Recent Style Name 0_1">
    <vt:lpwstr>American Political Science Association</vt:lpwstr>
  </property>
  <property fmtid="{D5CDD505-2E9C-101B-9397-08002B2CF9AE}" pid="6" name="Mendeley Recent Style Id 1_1">
    <vt:lpwstr>http://www.zotero.org/styles/apa</vt:lpwstr>
  </property>
  <property fmtid="{D5CDD505-2E9C-101B-9397-08002B2CF9AE}" pid="7" name="Mendeley Recent Style Name 1_1">
    <vt:lpwstr>American Psychological Association 6th edition</vt:lpwstr>
  </property>
  <property fmtid="{D5CDD505-2E9C-101B-9397-08002B2CF9AE}" pid="8" name="Mendeley Recent Style Id 2_1">
    <vt:lpwstr>http://www.zotero.org/styles/american-sociological-association</vt:lpwstr>
  </property>
  <property fmtid="{D5CDD505-2E9C-101B-9397-08002B2CF9AE}" pid="9" name="Mendeley Recent Style Name 2_1">
    <vt:lpwstr>American Sociological Association</vt:lpwstr>
  </property>
  <property fmtid="{D5CDD505-2E9C-101B-9397-08002B2CF9AE}" pid="10" name="Mendeley Recent Style Id 3_1">
    <vt:lpwstr>http://www.zotero.org/styles/chicago-author-date</vt:lpwstr>
  </property>
  <property fmtid="{D5CDD505-2E9C-101B-9397-08002B2CF9AE}" pid="11" name="Mendeley Recent Style Name 3_1">
    <vt:lpwstr>Chicago Manual of Style 16th edition (author-date)</vt:lpwstr>
  </property>
  <property fmtid="{D5CDD505-2E9C-101B-9397-08002B2CF9AE}" pid="12" name="Mendeley Recent Style Id 4_1">
    <vt:lpwstr>http://www.zotero.org/styles/harvard1</vt:lpwstr>
  </property>
  <property fmtid="{D5CDD505-2E9C-101B-9397-08002B2CF9AE}" pid="13" name="Mendeley Recent Style Name 4_1">
    <vt:lpwstr>Harvard Reference format 1 (author-date)</vt:lpwstr>
  </property>
  <property fmtid="{D5CDD505-2E9C-101B-9397-08002B2CF9AE}" pid="14" name="Mendeley Recent Style Id 5_1">
    <vt:lpwstr>http://www.zotero.org/styles/ieee</vt:lpwstr>
  </property>
  <property fmtid="{D5CDD505-2E9C-101B-9397-08002B2CF9AE}" pid="15" name="Mendeley Recent Style Name 5_1">
    <vt:lpwstr>IEEE</vt:lpwstr>
  </property>
  <property fmtid="{D5CDD505-2E9C-101B-9397-08002B2CF9AE}" pid="16" name="Mendeley Recent Style Id 6_1">
    <vt:lpwstr>http://www.zotero.org/styles/journal-of-contaminant-hydrology</vt:lpwstr>
  </property>
  <property fmtid="{D5CDD505-2E9C-101B-9397-08002B2CF9AE}" pid="17" name="Mendeley Recent Style Name 6_1">
    <vt:lpwstr>Journal of Contaminant Hydrology</vt:lpwstr>
  </property>
  <property fmtid="{D5CDD505-2E9C-101B-9397-08002B2CF9AE}" pid="18" name="Mendeley Recent Style Id 7_1">
    <vt:lpwstr>http://www.zotero.org/styles/modern-language-association</vt:lpwstr>
  </property>
  <property fmtid="{D5CDD505-2E9C-101B-9397-08002B2CF9AE}" pid="19" name="Mendeley Recent Style Name 7_1">
    <vt:lpwstr>Modern Language Association 7th edition</vt:lpwstr>
  </property>
  <property fmtid="{D5CDD505-2E9C-101B-9397-08002B2CF9AE}" pid="20" name="Mendeley Recent Style Id 8_1">
    <vt:lpwstr>http://www.zotero.org/styles/nature</vt:lpwstr>
  </property>
  <property fmtid="{D5CDD505-2E9C-101B-9397-08002B2CF9AE}" pid="21" name="Mendeley Recent Style Name 8_1">
    <vt:lpwstr>Nature</vt:lpwstr>
  </property>
  <property fmtid="{D5CDD505-2E9C-101B-9397-08002B2CF9AE}" pid="22" name="Mendeley Recent Style Id 9_1">
    <vt:lpwstr>http://www.zotero.org/styles/science-of-the-total-environment</vt:lpwstr>
  </property>
  <property fmtid="{D5CDD505-2E9C-101B-9397-08002B2CF9AE}" pid="23" name="Mendeley Recent Style Name 9_1">
    <vt:lpwstr>Science of the Total Environment</vt:lpwstr>
  </property>
  <property fmtid="{D5CDD505-2E9C-101B-9397-08002B2CF9AE}" pid="24" name="Mendeley Unique User Id_1">
    <vt:lpwstr>ed31838e-45ec-3852-b114-ba47304a670c</vt:lpwstr>
  </property>
</Properties>
</file>