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r>
        <w:t>Supplement 1: Volume scan of the Crybb20377/0377 example.</w:t>
      </w:r>
      <w:r>
        <w:br/>
        <w:t>Supplement 2: Volume scan of the Crybb2Aey2 example.</w:t>
      </w:r>
      <w:r>
        <w:br/>
        <w:t>Supplement 3: Comparison of differently aged control C3HeB/</w:t>
      </w:r>
      <w:proofErr w:type="spellStart"/>
      <w:r>
        <w:t>FeJ</w:t>
      </w:r>
      <w:proofErr w:type="spellEnd"/>
      <w:r>
        <w:t xml:space="preserve"> (A-D) and C57BL/6JG mice (E-H). Anterior lens of C3HeB/</w:t>
      </w:r>
      <w:proofErr w:type="spellStart"/>
      <w:r>
        <w:t>FeJ</w:t>
      </w:r>
      <w:proofErr w:type="spellEnd"/>
      <w:r>
        <w:t xml:space="preserve"> control, 73 d (A) and 556 d old (B). Posterior lens of C3HeB/</w:t>
      </w:r>
      <w:proofErr w:type="spellStart"/>
      <w:r>
        <w:t>FeJ</w:t>
      </w:r>
      <w:proofErr w:type="spellEnd"/>
      <w:r>
        <w:t xml:space="preserve"> control, 73 d (C) and 556 d old (D). Anterior lens of C57BL/6JG control, 35 d (E) and 97 d old (F). Posterior lens of C57BL/6JG control, 35 d (G) and 97 d old (H).</w:t>
      </w:r>
      <w:bookmarkStart w:id="0" w:name="_GoBack"/>
      <w:bookmarkEnd w:id="0"/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DE0B4-9603-41BF-BC18-FD21A648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openxmlformats.org/officeDocument/2006/relationships/settings" Target="settings.xml"/>
   <Relationship Id="rId3" Type="http://schemas.openxmlformats.org/officeDocument/2006/relationships/webSettings" Target="webSettings.xml"/>
   <Relationship Id="rId4" Type="http://schemas.openxmlformats.org/officeDocument/2006/relationships/fontTable" Target="fontTable.xml"/>
   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