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508" w:rsidRDefault="00F51B05">
      <w:pPr>
        <w:spacing w:line="480" w:lineRule="auto"/>
        <w:rPr>
          <w:rFonts w:ascii="Arial" w:hAnsi="Arial" w:cs="Arial"/>
          <w:lang w:val="en-US"/>
        </w:rPr>
      </w:pPr>
      <w:r>
        <w:rPr>
          <w:rFonts w:ascii="Arial" w:hAnsi="Arial" w:cs="Arial"/>
          <w:b/>
          <w:sz w:val="24"/>
          <w:lang w:val="en-US"/>
        </w:rPr>
        <w:t xml:space="preserve">Supplementary Information </w:t>
      </w:r>
      <w:proofErr w:type="gramStart"/>
      <w:r>
        <w:rPr>
          <w:rFonts w:ascii="Arial" w:hAnsi="Arial" w:cs="Arial"/>
          <w:b/>
          <w:sz w:val="24"/>
          <w:lang w:val="en-US"/>
        </w:rPr>
        <w:t>-  Defining</w:t>
      </w:r>
      <w:proofErr w:type="gramEnd"/>
      <w:r>
        <w:rPr>
          <w:rFonts w:ascii="Arial" w:hAnsi="Arial" w:cs="Arial"/>
          <w:b/>
          <w:sz w:val="24"/>
          <w:lang w:val="en-US"/>
        </w:rPr>
        <w:t xml:space="preserve"> clinical subgroups and genotype-phenotype correlations in NBAS-associated disease across 110 patients </w:t>
      </w:r>
    </w:p>
    <w:p w:rsidR="00960508" w:rsidRDefault="00960508">
      <w:pPr>
        <w:spacing w:line="480" w:lineRule="auto"/>
        <w:rPr>
          <w:rFonts w:ascii="Arial" w:hAnsi="Arial" w:cs="Arial"/>
          <w:b/>
          <w:lang w:val="en-US"/>
        </w:rPr>
      </w:pPr>
    </w:p>
    <w:p w:rsidR="007F4794" w:rsidRDefault="007F4794">
      <w:pPr>
        <w:spacing w:line="480" w:lineRule="auto"/>
        <w:rPr>
          <w:rFonts w:ascii="Arial" w:hAnsi="Arial" w:cs="Arial"/>
          <w:b/>
          <w:lang w:val="en-US"/>
        </w:rPr>
      </w:pPr>
    </w:p>
    <w:p w:rsidR="00960508" w:rsidRDefault="00F51B05">
      <w:pPr>
        <w:spacing w:line="480" w:lineRule="auto"/>
        <w:rPr>
          <w:rFonts w:ascii="Arial" w:hAnsi="Arial" w:cs="Arial"/>
          <w:b/>
          <w:lang w:val="en-US"/>
        </w:rPr>
      </w:pPr>
      <w:r>
        <w:rPr>
          <w:rFonts w:ascii="Arial" w:hAnsi="Arial" w:cs="Arial"/>
          <w:b/>
          <w:lang w:val="en-US"/>
        </w:rPr>
        <w:t>Literature search for the identification of previously published patients</w:t>
      </w:r>
    </w:p>
    <w:p w:rsidR="00960508" w:rsidRDefault="00F51B05">
      <w:pPr>
        <w:spacing w:line="480" w:lineRule="auto"/>
        <w:jc w:val="both"/>
        <w:rPr>
          <w:rFonts w:ascii="Arial" w:hAnsi="Arial" w:cs="Arial"/>
          <w:lang w:val="en-US"/>
        </w:rPr>
      </w:pPr>
      <w:r>
        <w:rPr>
          <w:rFonts w:ascii="Arial" w:hAnsi="Arial" w:cs="Arial"/>
          <w:lang w:val="en-US"/>
        </w:rPr>
        <w:t xml:space="preserve">For the identification of previously published patients, a comprehensive literature search was performed using PubMed and Google Scholar search engines and the abstract books 2015-2018 of genetic, metabolic and endocrinological scientific societies, using the search terms “NBAS”, “NBAS deficiency”, “SOPH syndrome”, “Infantile liver failure syndrome type 2”, “NBAS-associated disease”, and “RALF-syndrome”. Furthermore, the abstract books 2015-2018 of the following societies have been looked through with the same search terms: European Society of Human Genetics (ESHG), American Society of Human Genetics (ASHG), American College of Medical Genetics and Genomics (ACMG), European Society for Paediatric Gastroenterology Hepatology and Nutrition (ESPGHAN), North American Society for Pediatric Gastroenterology Hepatology and Nutrition (NASPGHAN), Society for the Study of Inborn Errors of Metabolism (SSIEM), International Congress of Inborn Errors of Metabolism (ICIEM), European Society for Paediatric Endocrinology (ESPE), German Association for pediatric metabolic disorders (APS). </w:t>
      </w:r>
    </w:p>
    <w:p w:rsidR="00960508" w:rsidRDefault="00F51B05">
      <w:pPr>
        <w:spacing w:line="480" w:lineRule="auto"/>
        <w:rPr>
          <w:rFonts w:ascii="Arial" w:hAnsi="Arial" w:cs="Arial"/>
          <w:lang w:val="en-US"/>
        </w:rPr>
      </w:pPr>
      <w:r>
        <w:rPr>
          <w:rFonts w:ascii="Arial" w:hAnsi="Arial" w:cs="Arial"/>
          <w:lang w:val="en-US"/>
        </w:rPr>
        <w:br w:type="page"/>
      </w:r>
      <w:bookmarkStart w:id="0" w:name="_GoBack"/>
      <w:bookmarkEnd w:id="0"/>
    </w:p>
    <w:p w:rsidR="00960508" w:rsidRDefault="00F51B05">
      <w:pPr>
        <w:spacing w:line="480" w:lineRule="auto"/>
        <w:rPr>
          <w:rFonts w:ascii="Arial" w:hAnsi="Arial" w:cs="Arial"/>
          <w:b/>
          <w:lang w:val="en-US"/>
        </w:rPr>
      </w:pPr>
      <w:r>
        <w:rPr>
          <w:rFonts w:ascii="Arial" w:hAnsi="Arial" w:cs="Arial"/>
          <w:b/>
          <w:lang w:val="en-US"/>
        </w:rPr>
        <w:lastRenderedPageBreak/>
        <w:t>HPO terms of clinical parameters used for quantitative analysis of the clinical phenotype</w:t>
      </w:r>
    </w:p>
    <w:p w:rsidR="00960508" w:rsidRPr="007F4794" w:rsidRDefault="00F51B05" w:rsidP="007F4794">
      <w:pPr>
        <w:pStyle w:val="Listenabsatz"/>
        <w:numPr>
          <w:ilvl w:val="0"/>
          <w:numId w:val="1"/>
        </w:numPr>
        <w:spacing w:line="480" w:lineRule="auto"/>
        <w:jc w:val="both"/>
        <w:rPr>
          <w:rFonts w:ascii="Arial" w:hAnsi="Arial" w:cs="Arial"/>
          <w:lang w:val="en-US"/>
        </w:rPr>
      </w:pPr>
      <w:r w:rsidRPr="007F4794">
        <w:rPr>
          <w:rFonts w:ascii="Arial" w:hAnsi="Arial" w:cs="Arial"/>
          <w:lang w:val="en-US"/>
        </w:rPr>
        <w:t xml:space="preserve">Abnormality of the liver: HP:0001392 (Acute liver failure: HP:0006554, Continuously elevated transaminases: HP:0002910); </w:t>
      </w:r>
    </w:p>
    <w:p w:rsidR="00960508" w:rsidRPr="007F4794" w:rsidRDefault="00F51B05" w:rsidP="007F4794">
      <w:pPr>
        <w:pStyle w:val="Listenabsatz"/>
        <w:numPr>
          <w:ilvl w:val="0"/>
          <w:numId w:val="1"/>
        </w:numPr>
        <w:spacing w:line="480" w:lineRule="auto"/>
        <w:jc w:val="both"/>
        <w:rPr>
          <w:rFonts w:ascii="Arial" w:hAnsi="Arial" w:cs="Arial"/>
          <w:lang w:val="en-US"/>
        </w:rPr>
      </w:pPr>
      <w:r w:rsidRPr="007F4794">
        <w:rPr>
          <w:rFonts w:ascii="Arial" w:hAnsi="Arial" w:cs="Arial"/>
          <w:lang w:val="en-US"/>
        </w:rPr>
        <w:t xml:space="preserve">Abnormality of the nervous system: HP:0000707 (Motor delay: HP:0001270, Intellectual disability: HP:0001249, Optic atrophy: HP:0000648); </w:t>
      </w:r>
    </w:p>
    <w:p w:rsidR="00960508" w:rsidRPr="007F4794" w:rsidRDefault="00F51B05" w:rsidP="007F4794">
      <w:pPr>
        <w:pStyle w:val="Listenabsatz"/>
        <w:numPr>
          <w:ilvl w:val="0"/>
          <w:numId w:val="1"/>
        </w:numPr>
        <w:spacing w:line="480" w:lineRule="auto"/>
        <w:jc w:val="both"/>
        <w:rPr>
          <w:rFonts w:ascii="Arial" w:hAnsi="Arial" w:cs="Arial"/>
          <w:lang w:val="en-US"/>
        </w:rPr>
      </w:pPr>
      <w:r w:rsidRPr="007F4794">
        <w:rPr>
          <w:rFonts w:ascii="Arial" w:hAnsi="Arial" w:cs="Arial"/>
          <w:lang w:val="en-US"/>
        </w:rPr>
        <w:t xml:space="preserve">Abnormality of the immune system: HP:0002715 (Decreased circulating IgG level: HP:0004315, Reduced natural killer cell count: HP:040218, Pelger-Huët anomaly: HP:0011447); </w:t>
      </w:r>
    </w:p>
    <w:p w:rsidR="00960508" w:rsidRPr="007F4794" w:rsidRDefault="00F51B05" w:rsidP="007F4794">
      <w:pPr>
        <w:pStyle w:val="Listenabsatz"/>
        <w:numPr>
          <w:ilvl w:val="0"/>
          <w:numId w:val="1"/>
        </w:numPr>
        <w:spacing w:line="480" w:lineRule="auto"/>
        <w:jc w:val="both"/>
        <w:rPr>
          <w:rFonts w:ascii="Arial" w:hAnsi="Arial" w:cs="Arial"/>
          <w:lang w:val="en-US"/>
        </w:rPr>
      </w:pPr>
      <w:r w:rsidRPr="007F4794">
        <w:rPr>
          <w:rFonts w:ascii="Arial" w:hAnsi="Arial" w:cs="Arial"/>
          <w:lang w:val="en-US"/>
        </w:rPr>
        <w:t xml:space="preserve">Abnormality of Growth: HP:0001507 (Short stature: HP:0004322); </w:t>
      </w:r>
    </w:p>
    <w:p w:rsidR="00960508" w:rsidRPr="007F4794" w:rsidRDefault="00F51B05" w:rsidP="007F4794">
      <w:pPr>
        <w:pStyle w:val="Listenabsatz"/>
        <w:numPr>
          <w:ilvl w:val="0"/>
          <w:numId w:val="1"/>
        </w:numPr>
        <w:spacing w:line="480" w:lineRule="auto"/>
        <w:jc w:val="both"/>
        <w:rPr>
          <w:rFonts w:ascii="Arial" w:hAnsi="Arial" w:cs="Arial"/>
          <w:lang w:val="en-US"/>
        </w:rPr>
      </w:pPr>
      <w:r w:rsidRPr="007F4794">
        <w:rPr>
          <w:rFonts w:ascii="Arial" w:hAnsi="Arial" w:cs="Arial"/>
          <w:lang w:val="en-US"/>
        </w:rPr>
        <w:t xml:space="preserve">Abnormality of the skeletal system: HP:0000924 (reduced bone mineral intensity: HP:0004349, delayed closure of fontanelles: HP:0001476, abnormality of the vertebral column: HP:0000925 or cervical instability: HP:0008462); </w:t>
      </w:r>
    </w:p>
    <w:p w:rsidR="00960508" w:rsidRPr="007F4794" w:rsidRDefault="00F51B05" w:rsidP="007F4794">
      <w:pPr>
        <w:pStyle w:val="Listenabsatz"/>
        <w:numPr>
          <w:ilvl w:val="0"/>
          <w:numId w:val="1"/>
        </w:numPr>
        <w:spacing w:line="480" w:lineRule="auto"/>
        <w:jc w:val="both"/>
        <w:rPr>
          <w:rFonts w:ascii="Arial" w:hAnsi="Arial" w:cs="Arial"/>
          <w:lang w:val="en-US"/>
        </w:rPr>
      </w:pPr>
      <w:r w:rsidRPr="007F4794">
        <w:rPr>
          <w:rFonts w:ascii="Arial" w:hAnsi="Arial" w:cs="Arial"/>
          <w:lang w:val="en-US"/>
        </w:rPr>
        <w:t xml:space="preserve">Abnormality of the musculature: HP:0003011 (Muscular hypotonia: HP:0001252, Skeletal muscle atrophy: HP:0003202); </w:t>
      </w:r>
    </w:p>
    <w:p w:rsidR="00960508" w:rsidRPr="007F4794" w:rsidRDefault="00F51B05" w:rsidP="007F4794">
      <w:pPr>
        <w:pStyle w:val="Listenabsatz"/>
        <w:numPr>
          <w:ilvl w:val="0"/>
          <w:numId w:val="1"/>
        </w:numPr>
        <w:spacing w:line="480" w:lineRule="auto"/>
        <w:jc w:val="both"/>
        <w:rPr>
          <w:rFonts w:ascii="Arial" w:hAnsi="Arial" w:cs="Arial"/>
          <w:lang w:val="en-US"/>
        </w:rPr>
      </w:pPr>
      <w:r w:rsidRPr="007F4794">
        <w:rPr>
          <w:rFonts w:ascii="Arial" w:hAnsi="Arial" w:cs="Arial"/>
          <w:lang w:val="en-US"/>
        </w:rPr>
        <w:t xml:space="preserve">Abnormality of the integument: HP:0001574 (Cutis </w:t>
      </w:r>
      <w:proofErr w:type="spellStart"/>
      <w:r w:rsidRPr="007F4794">
        <w:rPr>
          <w:rFonts w:ascii="Arial" w:hAnsi="Arial" w:cs="Arial"/>
          <w:lang w:val="en-US"/>
        </w:rPr>
        <w:t>laxa</w:t>
      </w:r>
      <w:proofErr w:type="spellEnd"/>
      <w:r w:rsidRPr="007F4794">
        <w:rPr>
          <w:rFonts w:ascii="Arial" w:hAnsi="Arial" w:cs="Arial"/>
          <w:lang w:val="en-US"/>
        </w:rPr>
        <w:t xml:space="preserve">: HP:0000973); </w:t>
      </w:r>
    </w:p>
    <w:p w:rsidR="00960508" w:rsidRPr="007F4794" w:rsidRDefault="00F51B05" w:rsidP="007F4794">
      <w:pPr>
        <w:pStyle w:val="Listenabsatz"/>
        <w:numPr>
          <w:ilvl w:val="0"/>
          <w:numId w:val="1"/>
        </w:numPr>
        <w:spacing w:line="480" w:lineRule="auto"/>
        <w:jc w:val="both"/>
        <w:rPr>
          <w:rFonts w:ascii="Arial" w:hAnsi="Arial" w:cs="Arial"/>
          <w:lang w:val="en-US"/>
        </w:rPr>
      </w:pPr>
      <w:r w:rsidRPr="007F4794">
        <w:rPr>
          <w:rFonts w:ascii="Arial" w:hAnsi="Arial" w:cs="Arial"/>
          <w:lang w:val="en-US"/>
        </w:rPr>
        <w:t>Facial dysmorphism: HP:0001999.</w:t>
      </w:r>
    </w:p>
    <w:p w:rsidR="00F51B05" w:rsidRDefault="00F51B05">
      <w:pPr>
        <w:spacing w:line="480" w:lineRule="auto"/>
        <w:jc w:val="both"/>
        <w:rPr>
          <w:rFonts w:ascii="Arial" w:hAnsi="Arial" w:cs="Arial"/>
          <w:lang w:val="en-US"/>
        </w:rPr>
      </w:pPr>
    </w:p>
    <w:p w:rsidR="00F51B05" w:rsidRDefault="00F51B05" w:rsidP="00F51B05">
      <w:pPr>
        <w:spacing w:line="480" w:lineRule="auto"/>
        <w:rPr>
          <w:rFonts w:ascii="Arial" w:hAnsi="Arial" w:cs="Arial"/>
          <w:b/>
          <w:lang w:val="en-US"/>
        </w:rPr>
      </w:pPr>
      <w:r>
        <w:rPr>
          <w:rFonts w:ascii="Arial" w:hAnsi="Arial" w:cs="Arial"/>
          <w:b/>
          <w:lang w:val="en-US"/>
        </w:rPr>
        <w:t>Supplemental figure legend</w:t>
      </w:r>
    </w:p>
    <w:p w:rsidR="00F51B05" w:rsidRPr="005779A8" w:rsidRDefault="00F51B05" w:rsidP="00F51B05">
      <w:pPr>
        <w:pStyle w:val="Titel"/>
        <w:spacing w:before="0" w:after="0" w:line="480" w:lineRule="auto"/>
        <w:jc w:val="both"/>
        <w:rPr>
          <w:rFonts w:ascii="Arial" w:hAnsi="Arial" w:cs="Arial"/>
          <w:sz w:val="22"/>
          <w:szCs w:val="24"/>
          <w:u w:val="single"/>
          <w:lang w:val="en-US"/>
        </w:rPr>
      </w:pPr>
      <w:r w:rsidRPr="005779A8">
        <w:rPr>
          <w:rFonts w:ascii="Arial" w:hAnsi="Arial" w:cs="Arial"/>
          <w:sz w:val="22"/>
          <w:szCs w:val="24"/>
          <w:u w:val="single"/>
          <w:lang w:val="en-US"/>
        </w:rPr>
        <w:t xml:space="preserve">Figure S1: Further key clinical features comparison between the subgroups </w:t>
      </w:r>
    </w:p>
    <w:p w:rsidR="00F51B05" w:rsidRDefault="00F51B05" w:rsidP="00F51B05">
      <w:pPr>
        <w:spacing w:line="480" w:lineRule="auto"/>
        <w:jc w:val="both"/>
        <w:rPr>
          <w:rFonts w:ascii="Arial" w:hAnsi="Arial" w:cs="Arial"/>
          <w:lang w:val="en-US"/>
        </w:rPr>
      </w:pPr>
      <w:r>
        <w:rPr>
          <w:rFonts w:ascii="Arial" w:hAnsi="Arial" w:cs="Arial"/>
          <w:lang w:val="en-US"/>
        </w:rPr>
        <w:t xml:space="preserve">Further clinical features compared between the three groups: </w:t>
      </w:r>
      <w:r>
        <w:rPr>
          <w:rFonts w:ascii="Arial" w:hAnsi="Arial" w:cs="Arial"/>
          <w:lang w:val="en"/>
        </w:rPr>
        <w:t>β-propeller</w:t>
      </w:r>
      <w:r>
        <w:rPr>
          <w:rFonts w:ascii="Arial" w:hAnsi="Arial" w:cs="Arial"/>
          <w:lang w:val="en-US"/>
        </w:rPr>
        <w:t xml:space="preserve">, Sec39 and C-terminal; see also Figure 3. </w:t>
      </w:r>
    </w:p>
    <w:p w:rsidR="00F51B05" w:rsidRDefault="00F51B05">
      <w:pPr>
        <w:spacing w:line="480" w:lineRule="auto"/>
        <w:jc w:val="both"/>
        <w:rPr>
          <w:rFonts w:ascii="Arial" w:hAnsi="Arial" w:cs="Arial"/>
          <w:lang w:val="en-US"/>
        </w:rPr>
      </w:pPr>
    </w:p>
    <w:sectPr w:rsidR="00F51B0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7248C0"/>
    <w:multiLevelType w:val="hybridMultilevel"/>
    <w:tmpl w:val="5CFE0D2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508"/>
    <w:rsid w:val="005779A8"/>
    <w:rsid w:val="007F4794"/>
    <w:rsid w:val="00960508"/>
    <w:rsid w:val="00F51B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8E3B9"/>
  <w15:docId w15:val="{06FDCCEB-E1FE-4936-BE0B-F0E3D9C72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99"/>
    <w:qFormat/>
    <w:rsid w:val="00F51B05"/>
    <w:pPr>
      <w:spacing w:before="240" w:after="60"/>
      <w:jc w:val="center"/>
      <w:outlineLvl w:val="0"/>
    </w:pPr>
    <w:rPr>
      <w:rFonts w:ascii="Cambria" w:eastAsia="Times New Roman" w:hAnsi="Cambria" w:cs="Times New Roman"/>
      <w:b/>
      <w:bCs/>
      <w:kern w:val="28"/>
      <w:sz w:val="32"/>
      <w:szCs w:val="32"/>
    </w:rPr>
  </w:style>
  <w:style w:type="character" w:customStyle="1" w:styleId="TitelZchn">
    <w:name w:val="Titel Zchn"/>
    <w:basedOn w:val="Absatz-Standardschriftart"/>
    <w:link w:val="Titel"/>
    <w:uiPriority w:val="99"/>
    <w:rsid w:val="00F51B05"/>
    <w:rPr>
      <w:rFonts w:ascii="Cambria" w:eastAsia="Times New Roman" w:hAnsi="Cambria" w:cs="Times New Roman"/>
      <w:b/>
      <w:bCs/>
      <w:kern w:val="28"/>
      <w:sz w:val="32"/>
      <w:szCs w:val="32"/>
    </w:rPr>
  </w:style>
  <w:style w:type="paragraph" w:styleId="Listenabsatz">
    <w:name w:val="List Paragraph"/>
    <w:basedOn w:val="Standard"/>
    <w:uiPriority w:val="34"/>
    <w:qFormat/>
    <w:rsid w:val="007F47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2205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Universitätsklinikum Heidelberg</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Staufner, Christian</dc:creator>
  <cp:keywords/>
  <dc:description/>
  <cp:lastModifiedBy>Lenz, Dominic</cp:lastModifiedBy>
  <cp:revision>4</cp:revision>
  <dcterms:created xsi:type="dcterms:W3CDTF">2019-10-28T11:38:00Z</dcterms:created>
  <dcterms:modified xsi:type="dcterms:W3CDTF">2019-10-30T12:38:00Z</dcterms:modified>
</cp:coreProperties>
</file>