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496" w:rsidRPr="00A65097" w:rsidRDefault="00541496" w:rsidP="00541496">
      <w:pPr>
        <w:spacing w:line="360" w:lineRule="auto"/>
        <w:jc w:val="both"/>
        <w:rPr>
          <w:rFonts w:ascii="Arial" w:hAnsi="Arial" w:cs="Arial"/>
          <w:b/>
          <w:bCs/>
          <w:iCs/>
          <w:color w:val="000000" w:themeColor="text1"/>
          <w:lang w:val="en-US"/>
        </w:rPr>
      </w:pPr>
      <w:r w:rsidRPr="00A65097">
        <w:rPr>
          <w:rFonts w:ascii="Arial" w:hAnsi="Arial" w:cs="Arial"/>
          <w:b/>
          <w:bCs/>
          <w:iCs/>
          <w:color w:val="000000" w:themeColor="text1"/>
          <w:lang w:val="en-US"/>
        </w:rPr>
        <w:t xml:space="preserve">Table EV1. </w:t>
      </w:r>
      <w:r w:rsidRPr="00A65097">
        <w:rPr>
          <w:rFonts w:ascii="Arial" w:hAnsi="Arial" w:cs="Arial"/>
          <w:b/>
          <w:color w:val="000000" w:themeColor="text1"/>
          <w:lang w:val="en-US"/>
        </w:rPr>
        <w:t xml:space="preserve">RO7019009 key physicochemical and pharmacokinetic </w:t>
      </w:r>
      <w:r w:rsidRPr="00A65097">
        <w:rPr>
          <w:rFonts w:ascii="Arial" w:hAnsi="Arial" w:cs="Arial"/>
          <w:b/>
          <w:bCs/>
          <w:iCs/>
          <w:color w:val="000000" w:themeColor="text1"/>
          <w:lang w:val="en-US"/>
        </w:rPr>
        <w:t>properties predicting CNS drug-likeness</w:t>
      </w:r>
    </w:p>
    <w:p w:rsidR="00541496" w:rsidRPr="00A65097" w:rsidRDefault="00541496" w:rsidP="00541496">
      <w:pPr>
        <w:spacing w:line="360" w:lineRule="auto"/>
        <w:jc w:val="both"/>
        <w:rPr>
          <w:rFonts w:ascii="Arial" w:hAnsi="Arial" w:cs="Arial"/>
          <w:iCs/>
          <w:color w:val="FF000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1252"/>
        <w:gridCol w:w="1808"/>
        <w:gridCol w:w="4434"/>
      </w:tblGrid>
      <w:tr w:rsidR="00541496" w:rsidRPr="005A7FC8" w:rsidTr="00C21752">
        <w:trPr>
          <w:trHeight w:val="408"/>
        </w:trPr>
        <w:tc>
          <w:tcPr>
            <w:tcW w:w="780" w:type="pct"/>
          </w:tcPr>
          <w:p w:rsidR="00541496" w:rsidRPr="00A65097" w:rsidRDefault="00541496" w:rsidP="00C21752">
            <w:pPr>
              <w:spacing w:line="360" w:lineRule="auto"/>
              <w:rPr>
                <w:rFonts w:ascii="Arial" w:hAnsi="Arial" w:cs="Arial"/>
                <w:iCs/>
                <w:color w:val="000000" w:themeColor="text1"/>
                <w:lang w:val="en-GB"/>
              </w:rPr>
            </w:pPr>
            <w:r w:rsidRPr="00A65097">
              <w:rPr>
                <w:rFonts w:ascii="Arial" w:hAnsi="Arial" w:cs="Arial"/>
                <w:iCs/>
                <w:color w:val="000000" w:themeColor="text1"/>
                <w:lang w:val="en-GB"/>
              </w:rPr>
              <w:t>Solubility</w:t>
            </w:r>
            <w:r w:rsidRPr="00A65097">
              <w:rPr>
                <w:rFonts w:ascii="Arial" w:hAnsi="Arial" w:cs="Arial"/>
                <w:iCs/>
                <w:color w:val="000000" w:themeColor="text1"/>
                <w:lang w:val="en-US"/>
              </w:rPr>
              <w:t xml:space="preserve"> (</w:t>
            </w:r>
            <w:r w:rsidRPr="00A65097">
              <w:rPr>
                <w:rFonts w:ascii="Symbol" w:hAnsi="Symbol" w:cs="Arial"/>
                <w:iCs/>
                <w:color w:val="000000" w:themeColor="text1"/>
                <w:lang w:val="en-GB"/>
              </w:rPr>
              <w:t></w:t>
            </w:r>
            <w:r w:rsidRPr="00A65097">
              <w:rPr>
                <w:rFonts w:ascii="Arial" w:hAnsi="Arial" w:cs="Arial"/>
                <w:iCs/>
                <w:color w:val="000000" w:themeColor="text1"/>
                <w:lang w:val="en-GB"/>
              </w:rPr>
              <w:t>g/ml)</w:t>
            </w:r>
          </w:p>
        </w:tc>
        <w:tc>
          <w:tcPr>
            <w:tcW w:w="705" w:type="pct"/>
          </w:tcPr>
          <w:p w:rsidR="00541496" w:rsidRPr="00A65097" w:rsidRDefault="00541496" w:rsidP="00C21752">
            <w:pPr>
              <w:spacing w:line="360" w:lineRule="auto"/>
              <w:jc w:val="both"/>
              <w:rPr>
                <w:rFonts w:ascii="Arial" w:hAnsi="Arial" w:cs="Arial"/>
                <w:iCs/>
                <w:color w:val="000000" w:themeColor="text1"/>
                <w:lang w:val="en-GB"/>
              </w:rPr>
            </w:pPr>
            <w:r w:rsidRPr="00A65097">
              <w:rPr>
                <w:rFonts w:ascii="Arial" w:hAnsi="Arial" w:cs="Arial"/>
                <w:iCs/>
                <w:color w:val="000000" w:themeColor="text1"/>
                <w:lang w:val="en-GB"/>
              </w:rPr>
              <w:t>LogD</w:t>
            </w:r>
            <w:r w:rsidRPr="00A65097">
              <w:rPr>
                <w:rFonts w:ascii="Arial" w:hAnsi="Arial" w:cs="Arial"/>
                <w:iCs/>
                <w:color w:val="000000" w:themeColor="text1"/>
                <w:vertAlign w:val="superscript"/>
                <w:lang w:val="en-GB"/>
              </w:rPr>
              <w:t>a</w:t>
            </w:r>
            <w:r w:rsidRPr="00A65097">
              <w:rPr>
                <w:rFonts w:ascii="Arial" w:hAnsi="Arial" w:cs="Arial"/>
                <w:iCs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018" w:type="pct"/>
          </w:tcPr>
          <w:p w:rsidR="00541496" w:rsidRPr="00A65097" w:rsidRDefault="00541496" w:rsidP="00C21752">
            <w:pPr>
              <w:spacing w:line="360" w:lineRule="auto"/>
              <w:jc w:val="both"/>
              <w:rPr>
                <w:rFonts w:ascii="Arial" w:hAnsi="Arial" w:cs="Arial"/>
                <w:iCs/>
                <w:color w:val="000000" w:themeColor="text1"/>
                <w:lang w:val="pt-BR"/>
              </w:rPr>
            </w:pPr>
            <w:r w:rsidRPr="00A65097">
              <w:rPr>
                <w:rFonts w:ascii="Arial" w:hAnsi="Arial" w:cs="Arial"/>
                <w:iCs/>
                <w:color w:val="000000" w:themeColor="text1"/>
                <w:lang w:val="pt-BR"/>
              </w:rPr>
              <w:t>PAMPA</w:t>
            </w:r>
            <w:r w:rsidRPr="00A65097">
              <w:rPr>
                <w:rFonts w:ascii="Arial" w:hAnsi="Arial" w:cs="Arial"/>
                <w:iCs/>
                <w:color w:val="000000" w:themeColor="text1"/>
                <w:vertAlign w:val="superscript"/>
                <w:lang w:val="pt-BR"/>
              </w:rPr>
              <w:t>b</w:t>
            </w:r>
            <w:r w:rsidRPr="00A65097">
              <w:rPr>
                <w:rFonts w:ascii="Arial" w:hAnsi="Arial" w:cs="Arial"/>
                <w:iCs/>
                <w:color w:val="000000" w:themeColor="text1"/>
                <w:lang w:val="pt-BR"/>
              </w:rPr>
              <w:t xml:space="preserve"> (permeability)</w:t>
            </w:r>
          </w:p>
        </w:tc>
        <w:tc>
          <w:tcPr>
            <w:tcW w:w="2497" w:type="pct"/>
          </w:tcPr>
          <w:p w:rsidR="00541496" w:rsidRPr="00A65097" w:rsidRDefault="00541496" w:rsidP="00C21752">
            <w:pPr>
              <w:spacing w:line="360" w:lineRule="auto"/>
              <w:rPr>
                <w:rFonts w:ascii="Arial" w:hAnsi="Arial" w:cs="Arial"/>
                <w:iCs/>
                <w:color w:val="000000" w:themeColor="text1"/>
                <w:vertAlign w:val="superscript"/>
                <w:lang w:val="sv-SE"/>
              </w:rPr>
            </w:pPr>
            <w:r w:rsidRPr="00A65097">
              <w:rPr>
                <w:rFonts w:ascii="Arial" w:hAnsi="Arial" w:cs="Arial"/>
                <w:iCs/>
                <w:color w:val="000000" w:themeColor="text1"/>
                <w:lang w:val="sv-SE"/>
              </w:rPr>
              <w:t>CLmicr (h/m)</w:t>
            </w:r>
            <w:r w:rsidRPr="00A65097">
              <w:rPr>
                <w:rFonts w:ascii="Arial" w:hAnsi="Arial" w:cs="Arial"/>
                <w:iCs/>
                <w:color w:val="000000" w:themeColor="text1"/>
                <w:vertAlign w:val="superscript"/>
                <w:lang w:val="sv-SE"/>
              </w:rPr>
              <w:t>c</w:t>
            </w:r>
          </w:p>
          <w:p w:rsidR="00541496" w:rsidRPr="00A65097" w:rsidRDefault="00541496" w:rsidP="00C21752">
            <w:pPr>
              <w:spacing w:line="360" w:lineRule="auto"/>
              <w:rPr>
                <w:rFonts w:ascii="Arial" w:hAnsi="Arial" w:cs="Arial"/>
                <w:iCs/>
                <w:color w:val="000000" w:themeColor="text1"/>
                <w:lang w:val="sv-SE"/>
              </w:rPr>
            </w:pPr>
            <w:r w:rsidRPr="00A65097">
              <w:rPr>
                <w:rFonts w:ascii="Arial" w:hAnsi="Arial" w:cs="Arial"/>
                <w:iCs/>
                <w:color w:val="000000" w:themeColor="text1"/>
                <w:lang w:val="sv-SE"/>
              </w:rPr>
              <w:t>(</w:t>
            </w:r>
            <w:r w:rsidRPr="00A65097">
              <w:rPr>
                <w:rFonts w:ascii="Symbol" w:hAnsi="Symbol" w:cs="Arial"/>
                <w:iCs/>
                <w:color w:val="000000" w:themeColor="text1"/>
                <w:lang w:val="en-GB"/>
              </w:rPr>
              <w:t></w:t>
            </w:r>
            <w:r w:rsidRPr="00A65097">
              <w:rPr>
                <w:rFonts w:asciiTheme="minorBidi" w:hAnsiTheme="minorBidi" w:cstheme="minorBidi"/>
                <w:iCs/>
                <w:color w:val="000000" w:themeColor="text1"/>
                <w:lang w:val="sv-SE"/>
              </w:rPr>
              <w:t>l</w:t>
            </w:r>
            <w:r w:rsidRPr="00A65097">
              <w:rPr>
                <w:rFonts w:ascii="Arial" w:hAnsi="Arial" w:cs="Arial"/>
                <w:iCs/>
                <w:color w:val="000000" w:themeColor="text1"/>
                <w:lang w:val="sv-SE"/>
              </w:rPr>
              <w:t>/min/mg)</w:t>
            </w:r>
          </w:p>
        </w:tc>
      </w:tr>
      <w:tr w:rsidR="00541496" w:rsidRPr="00A65097" w:rsidTr="00C21752">
        <w:trPr>
          <w:trHeight w:val="381"/>
        </w:trPr>
        <w:tc>
          <w:tcPr>
            <w:tcW w:w="780" w:type="pct"/>
          </w:tcPr>
          <w:p w:rsidR="00541496" w:rsidRPr="00A65097" w:rsidRDefault="00541496" w:rsidP="00C21752">
            <w:pPr>
              <w:spacing w:line="360" w:lineRule="auto"/>
              <w:jc w:val="both"/>
              <w:rPr>
                <w:rFonts w:ascii="Arial" w:hAnsi="Arial" w:cs="Arial"/>
                <w:iCs/>
                <w:color w:val="000000" w:themeColor="text1"/>
                <w:lang w:val="en-GB"/>
              </w:rPr>
            </w:pPr>
            <w:r w:rsidRPr="00A65097">
              <w:rPr>
                <w:rFonts w:ascii="Arial" w:hAnsi="Arial" w:cs="Arial"/>
                <w:iCs/>
                <w:color w:val="000000" w:themeColor="text1"/>
                <w:lang w:val="en-GB"/>
              </w:rPr>
              <w:t>3</w:t>
            </w:r>
          </w:p>
        </w:tc>
        <w:tc>
          <w:tcPr>
            <w:tcW w:w="705" w:type="pct"/>
          </w:tcPr>
          <w:p w:rsidR="00541496" w:rsidRPr="00A65097" w:rsidRDefault="00541496" w:rsidP="00C21752">
            <w:pPr>
              <w:spacing w:line="360" w:lineRule="auto"/>
              <w:jc w:val="both"/>
              <w:rPr>
                <w:rFonts w:ascii="Arial" w:hAnsi="Arial" w:cs="Arial"/>
                <w:iCs/>
                <w:color w:val="000000" w:themeColor="text1"/>
                <w:lang w:val="en-GB"/>
              </w:rPr>
            </w:pPr>
            <w:r w:rsidRPr="00A65097">
              <w:rPr>
                <w:rFonts w:ascii="Arial" w:hAnsi="Arial" w:cs="Arial"/>
                <w:iCs/>
                <w:color w:val="000000" w:themeColor="text1"/>
                <w:lang w:val="en-GB"/>
              </w:rPr>
              <w:t xml:space="preserve">4 </w:t>
            </w:r>
          </w:p>
        </w:tc>
        <w:tc>
          <w:tcPr>
            <w:tcW w:w="1018" w:type="pct"/>
          </w:tcPr>
          <w:p w:rsidR="00541496" w:rsidRPr="00A65097" w:rsidRDefault="00541496" w:rsidP="00C21752">
            <w:pPr>
              <w:spacing w:line="360" w:lineRule="auto"/>
              <w:jc w:val="both"/>
              <w:rPr>
                <w:rFonts w:ascii="Arial" w:hAnsi="Arial" w:cs="Arial"/>
                <w:iCs/>
                <w:color w:val="000000" w:themeColor="text1"/>
                <w:lang w:val="en-GB"/>
              </w:rPr>
            </w:pPr>
            <w:r w:rsidRPr="00A65097">
              <w:rPr>
                <w:rFonts w:ascii="Arial" w:hAnsi="Arial" w:cs="Arial"/>
                <w:iCs/>
                <w:color w:val="000000" w:themeColor="text1"/>
                <w:lang w:val="en-GB"/>
              </w:rPr>
              <w:t>High</w:t>
            </w:r>
          </w:p>
        </w:tc>
        <w:tc>
          <w:tcPr>
            <w:tcW w:w="2497" w:type="pct"/>
          </w:tcPr>
          <w:p w:rsidR="00541496" w:rsidRPr="00A65097" w:rsidRDefault="00541496" w:rsidP="00C21752">
            <w:pPr>
              <w:spacing w:line="360" w:lineRule="auto"/>
              <w:jc w:val="both"/>
              <w:rPr>
                <w:rFonts w:ascii="Arial" w:hAnsi="Arial" w:cs="Arial"/>
                <w:iCs/>
                <w:color w:val="000000" w:themeColor="text1"/>
                <w:lang w:val="en-GB"/>
              </w:rPr>
            </w:pPr>
            <w:r w:rsidRPr="00A65097">
              <w:rPr>
                <w:rFonts w:ascii="Arial" w:hAnsi="Arial" w:cs="Arial"/>
                <w:iCs/>
                <w:color w:val="000000" w:themeColor="text1"/>
                <w:lang w:val="en-GB"/>
              </w:rPr>
              <w:t>&lt;10/&lt;10 (low/low)</w:t>
            </w:r>
          </w:p>
        </w:tc>
      </w:tr>
    </w:tbl>
    <w:p w:rsidR="00541496" w:rsidRPr="005A7FC8" w:rsidRDefault="00541496" w:rsidP="00541496">
      <w:pPr>
        <w:spacing w:line="360" w:lineRule="auto"/>
        <w:jc w:val="both"/>
        <w:rPr>
          <w:rFonts w:ascii="Arial" w:hAnsi="Arial" w:cs="Arial"/>
          <w:i/>
          <w:iCs/>
          <w:color w:val="000000" w:themeColor="text1"/>
        </w:rPr>
      </w:pPr>
      <w:r w:rsidRPr="005A7FC8">
        <w:rPr>
          <w:rFonts w:ascii="Arial" w:hAnsi="Arial" w:cs="Arial"/>
          <w:i/>
          <w:iCs/>
          <w:color w:val="000000" w:themeColor="text1"/>
          <w:vertAlign w:val="superscript"/>
        </w:rPr>
        <w:t>a</w:t>
      </w:r>
      <w:r w:rsidRPr="005A7FC8">
        <w:rPr>
          <w:rFonts w:ascii="Arial" w:hAnsi="Arial" w:cs="Arial"/>
          <w:i/>
          <w:iCs/>
          <w:color w:val="000000" w:themeColor="text1"/>
        </w:rPr>
        <w:t xml:space="preserve">LogD= logarithm of the octanol-water distribution coefficient at pH 7.4; </w:t>
      </w:r>
      <w:r w:rsidRPr="005A7FC8">
        <w:rPr>
          <w:rFonts w:ascii="Arial" w:hAnsi="Arial" w:cs="Arial"/>
          <w:i/>
          <w:iCs/>
          <w:color w:val="000000" w:themeColor="text1"/>
          <w:vertAlign w:val="superscript"/>
        </w:rPr>
        <w:t>b</w:t>
      </w:r>
      <w:r w:rsidRPr="005A7FC8">
        <w:rPr>
          <w:rFonts w:ascii="Arial" w:hAnsi="Arial" w:cs="Arial"/>
          <w:i/>
          <w:iCs/>
          <w:color w:val="000000" w:themeColor="text1"/>
        </w:rPr>
        <w:t xml:space="preserve">PAMPA: Parallel artificial membrane parallel assay; </w:t>
      </w:r>
      <w:r w:rsidRPr="005A7FC8">
        <w:rPr>
          <w:rFonts w:ascii="Arial" w:hAnsi="Arial" w:cs="Arial"/>
          <w:i/>
          <w:iCs/>
          <w:color w:val="000000" w:themeColor="text1"/>
          <w:vertAlign w:val="superscript"/>
        </w:rPr>
        <w:t>c</w:t>
      </w:r>
      <w:r w:rsidRPr="005A7FC8">
        <w:rPr>
          <w:rFonts w:ascii="Arial" w:hAnsi="Arial" w:cs="Arial"/>
          <w:i/>
          <w:iCs/>
          <w:color w:val="000000" w:themeColor="text1"/>
        </w:rPr>
        <w:t>CLmicr (h/m): human/mouse microsomal clearance</w:t>
      </w:r>
    </w:p>
    <w:p w:rsidR="0001261A" w:rsidRDefault="0001261A">
      <w:bookmarkStart w:id="0" w:name="_GoBack"/>
      <w:bookmarkEnd w:id="0"/>
    </w:p>
    <w:sectPr w:rsidR="0001261A" w:rsidSect="0002254D">
      <w:type w:val="continuous"/>
      <w:pgSz w:w="11900" w:h="16840"/>
      <w:pgMar w:top="851" w:right="1440" w:bottom="1440" w:left="1797" w:header="272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96"/>
    <w:rsid w:val="0001261A"/>
    <w:rsid w:val="0002254D"/>
    <w:rsid w:val="00541496"/>
    <w:rsid w:val="00547248"/>
    <w:rsid w:val="00613B34"/>
    <w:rsid w:val="00D05E2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31587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496"/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5FAC"/>
    <w:rPr>
      <w:rFonts w:ascii="Lucida Grande" w:eastAsiaTheme="minorEastAsia" w:hAnsi="Lucida Grande" w:cstheme="minorBidi"/>
      <w:sz w:val="18"/>
      <w:szCs w:val="18"/>
      <w:lang w:val="en-US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496"/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5FAC"/>
    <w:rPr>
      <w:rFonts w:ascii="Lucida Grande" w:eastAsiaTheme="minorEastAsia" w:hAnsi="Lucida Grande" w:cstheme="minorBidi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Macintosh Word</Application>
  <DocSecurity>0</DocSecurity>
  <Lines>2</Lines>
  <Paragraphs>1</Paragraphs>
  <ScaleCrop>false</ScaleCrop>
  <Company>EMBO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Panayi</dc:creator>
  <cp:keywords/>
  <dc:description/>
  <cp:lastModifiedBy>Fiona Panayi</cp:lastModifiedBy>
  <cp:revision>1</cp:revision>
  <dcterms:created xsi:type="dcterms:W3CDTF">2019-10-04T06:33:00Z</dcterms:created>
  <dcterms:modified xsi:type="dcterms:W3CDTF">2019-10-04T06:33:00Z</dcterms:modified>
</cp:coreProperties>
</file>