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 captions: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Beschriftung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Fig.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Fonts w:ascii="Times New Roman" w:hAnsi="Times New Roman"/>
          <w:sz w:val="22"/>
          <w:szCs w:val="22"/>
        </w:rPr>
        <w:instrText xml:space="preserve"> SEQ Figure \* ARABIC </w:instrText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Fonts w:ascii="Times New Roman" w:hAnsi="Times New Roman"/>
          <w:noProof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(a)</w:t>
      </w:r>
      <w:r>
        <w:rPr>
          <w:rFonts w:ascii="Times New Roman" w:hAnsi="Times New Roman"/>
          <w:b w:val="0"/>
          <w:sz w:val="22"/>
          <w:szCs w:val="22"/>
        </w:rPr>
        <w:t xml:space="preserve"> Content of nitrate-N and </w:t>
      </w:r>
      <w:r>
        <w:rPr>
          <w:rFonts w:ascii="Times New Roman" w:hAnsi="Times New Roman"/>
          <w:sz w:val="22"/>
          <w:szCs w:val="22"/>
        </w:rPr>
        <w:t>(b)</w:t>
      </w:r>
      <w:r>
        <w:rPr>
          <w:rFonts w:ascii="Times New Roman" w:hAnsi="Times New Roman"/>
          <w:b w:val="0"/>
          <w:sz w:val="22"/>
          <w:szCs w:val="22"/>
        </w:rPr>
        <w:t xml:space="preserve"> ammonium-N in bulk soil expressed in µg N g</w:t>
      </w:r>
      <w:r>
        <w:rPr>
          <w:rFonts w:ascii="Times New Roman" w:hAnsi="Times New Roman"/>
          <w:b w:val="0"/>
          <w:sz w:val="22"/>
          <w:szCs w:val="22"/>
          <w:vertAlign w:val="superscript"/>
        </w:rPr>
        <w:t>-1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 w:val="0"/>
          <w:i/>
          <w:sz w:val="22"/>
          <w:szCs w:val="22"/>
        </w:rPr>
        <w:t>dw</w:t>
      </w:r>
      <w:proofErr w:type="spellEnd"/>
      <w:r>
        <w:rPr>
          <w:rFonts w:ascii="Times New Roman" w:hAnsi="Times New Roman"/>
          <w:b w:val="0"/>
          <w:sz w:val="22"/>
          <w:szCs w:val="22"/>
        </w:rPr>
        <w:t xml:space="preserve"> for four sampling dates (IG – initial grassland, TP -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</w:rPr>
        <w:t>transitional phase, FS – final state and CG – control grassland). Data shown representing four biological replicates per plot and six plots per field (</w:t>
      </w:r>
      <w:r>
        <w:rPr>
          <w:rFonts w:ascii="Times New Roman" w:hAnsi="Times New Roman"/>
          <w:b w:val="0"/>
          <w:i/>
          <w:sz w:val="22"/>
          <w:szCs w:val="22"/>
        </w:rPr>
        <w:t>n</w:t>
      </w:r>
      <w:r>
        <w:rPr>
          <w:rFonts w:ascii="Times New Roman" w:hAnsi="Times New Roman"/>
          <w:b w:val="0"/>
          <w:sz w:val="22"/>
          <w:szCs w:val="22"/>
        </w:rPr>
        <w:t xml:space="preserve"> = 24). Different letters (a, b, c) indicate significant differences (</w:t>
      </w:r>
      <w:r>
        <w:rPr>
          <w:rFonts w:ascii="Times New Roman" w:hAnsi="Times New Roman"/>
          <w:b w:val="0"/>
          <w:i/>
          <w:sz w:val="22"/>
          <w:szCs w:val="22"/>
        </w:rPr>
        <w:t>p</w:t>
      </w:r>
      <w:r>
        <w:rPr>
          <w:rFonts w:ascii="Times New Roman" w:hAnsi="Times New Roman"/>
          <w:b w:val="0"/>
          <w:sz w:val="22"/>
          <w:szCs w:val="22"/>
        </w:rPr>
        <w:t xml:space="preserve"> &lt; 0.05) calculated with multivariate ANOVA (Tukey’s post-hoc test).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pStyle w:val="Beschriftung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Fig. 2 </w:t>
      </w:r>
      <w:r>
        <w:rPr>
          <w:rFonts w:ascii="Times New Roman" w:hAnsi="Times New Roman"/>
          <w:b w:val="0"/>
          <w:sz w:val="22"/>
          <w:szCs w:val="22"/>
        </w:rPr>
        <w:t>Simpson’s index of diversity for the four sampling dates (IG – initial grassland (</w:t>
      </w:r>
      <w:r>
        <w:rPr>
          <w:rFonts w:ascii="Times New Roman" w:hAnsi="Times New Roman"/>
          <w:b w:val="0"/>
          <w:i/>
          <w:sz w:val="22"/>
          <w:szCs w:val="22"/>
        </w:rPr>
        <w:t>n</w:t>
      </w:r>
      <w:r>
        <w:rPr>
          <w:rFonts w:ascii="Times New Roman" w:hAnsi="Times New Roman"/>
          <w:b w:val="0"/>
          <w:sz w:val="22"/>
          <w:szCs w:val="22"/>
        </w:rPr>
        <w:t xml:space="preserve"> = 6), TP – transitional phase (</w:t>
      </w:r>
      <w:r>
        <w:rPr>
          <w:rFonts w:ascii="Times New Roman" w:hAnsi="Times New Roman"/>
          <w:b w:val="0"/>
          <w:i/>
          <w:sz w:val="22"/>
          <w:szCs w:val="22"/>
        </w:rPr>
        <w:t>n</w:t>
      </w:r>
      <w:r>
        <w:rPr>
          <w:rFonts w:ascii="Times New Roman" w:hAnsi="Times New Roman"/>
          <w:b w:val="0"/>
          <w:sz w:val="22"/>
          <w:szCs w:val="22"/>
        </w:rPr>
        <w:t xml:space="preserve"> = 6), FS – final state (</w:t>
      </w:r>
      <w:r>
        <w:rPr>
          <w:rFonts w:ascii="Times New Roman" w:hAnsi="Times New Roman"/>
          <w:b w:val="0"/>
          <w:i/>
          <w:sz w:val="22"/>
          <w:szCs w:val="22"/>
        </w:rPr>
        <w:t>n</w:t>
      </w:r>
      <w:r>
        <w:rPr>
          <w:rFonts w:ascii="Times New Roman" w:hAnsi="Times New Roman"/>
          <w:b w:val="0"/>
          <w:sz w:val="22"/>
          <w:szCs w:val="22"/>
        </w:rPr>
        <w:t xml:space="preserve"> = 4) and CG – control grassland (</w:t>
      </w:r>
      <w:r>
        <w:rPr>
          <w:rFonts w:ascii="Times New Roman" w:hAnsi="Times New Roman"/>
          <w:b w:val="0"/>
          <w:i/>
          <w:sz w:val="22"/>
          <w:szCs w:val="22"/>
        </w:rPr>
        <w:t>n</w:t>
      </w:r>
      <w:r>
        <w:rPr>
          <w:rFonts w:ascii="Times New Roman" w:hAnsi="Times New Roman"/>
          <w:b w:val="0"/>
          <w:sz w:val="22"/>
          <w:szCs w:val="22"/>
        </w:rPr>
        <w:t xml:space="preserve"> = 4)). Different letters (a, b) indicate significant differences (p &lt; 0.05) calculated with multivariate ANOVA (Tukey’s post-hoc test).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pStyle w:val="Beschriftung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Fig. 3 </w:t>
      </w:r>
      <w:r>
        <w:rPr>
          <w:rFonts w:ascii="Times New Roman" w:hAnsi="Times New Roman"/>
          <w:b w:val="0"/>
          <w:sz w:val="22"/>
          <w:szCs w:val="22"/>
        </w:rPr>
        <w:t>Non-metric multidimensional scaling (NMDS) based on Bray-Curtis dissimilarities and ellipses on 95 % confidence level for separation of bacterial community structure. Data shown on genus level according to the four different sampling dates (IG – initial grassland (</w:t>
      </w:r>
      <w:r>
        <w:rPr>
          <w:rFonts w:ascii="Times New Roman" w:hAnsi="Times New Roman"/>
          <w:b w:val="0"/>
          <w:i/>
          <w:sz w:val="22"/>
          <w:szCs w:val="22"/>
        </w:rPr>
        <w:t>n</w:t>
      </w:r>
      <w:r>
        <w:rPr>
          <w:rFonts w:ascii="Times New Roman" w:hAnsi="Times New Roman"/>
          <w:b w:val="0"/>
          <w:sz w:val="22"/>
          <w:szCs w:val="22"/>
        </w:rPr>
        <w:t xml:space="preserve"> = 6), TP – transitional phase (</w:t>
      </w:r>
      <w:r>
        <w:rPr>
          <w:rFonts w:ascii="Times New Roman" w:hAnsi="Times New Roman"/>
          <w:b w:val="0"/>
          <w:i/>
          <w:sz w:val="22"/>
          <w:szCs w:val="22"/>
        </w:rPr>
        <w:t>n</w:t>
      </w:r>
      <w:r>
        <w:rPr>
          <w:rFonts w:ascii="Times New Roman" w:hAnsi="Times New Roman"/>
          <w:b w:val="0"/>
          <w:sz w:val="22"/>
          <w:szCs w:val="22"/>
        </w:rPr>
        <w:t xml:space="preserve"> = 6), FS – final state (</w:t>
      </w:r>
      <w:r>
        <w:rPr>
          <w:rFonts w:ascii="Times New Roman" w:hAnsi="Times New Roman"/>
          <w:b w:val="0"/>
          <w:i/>
          <w:sz w:val="22"/>
          <w:szCs w:val="22"/>
        </w:rPr>
        <w:t>n</w:t>
      </w:r>
      <w:r>
        <w:rPr>
          <w:rFonts w:ascii="Times New Roman" w:hAnsi="Times New Roman"/>
          <w:b w:val="0"/>
          <w:sz w:val="22"/>
          <w:szCs w:val="22"/>
        </w:rPr>
        <w:t xml:space="preserve"> = 4) and CG – control grassland (</w:t>
      </w:r>
      <w:r>
        <w:rPr>
          <w:rFonts w:ascii="Times New Roman" w:hAnsi="Times New Roman"/>
          <w:b w:val="0"/>
          <w:i/>
          <w:sz w:val="22"/>
          <w:szCs w:val="22"/>
        </w:rPr>
        <w:t>n</w:t>
      </w:r>
      <w:r>
        <w:rPr>
          <w:rFonts w:ascii="Times New Roman" w:hAnsi="Times New Roman"/>
          <w:b w:val="0"/>
          <w:sz w:val="22"/>
          <w:szCs w:val="22"/>
        </w:rPr>
        <w:t xml:space="preserve"> = 4)). With 0.108 the stress value of the NMDS analysis revealed a good (&lt; 0.15) representation of the sampling dates within reduced dimensions (k = 2).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pStyle w:val="MDPI31text"/>
        <w:spacing w:after="240" w:line="240" w:lineRule="auto"/>
        <w:ind w:firstLine="0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Fig. 4 </w:t>
      </w:r>
      <w:r>
        <w:rPr>
          <w:rFonts w:ascii="Times New Roman" w:hAnsi="Times New Roman"/>
          <w:sz w:val="22"/>
        </w:rPr>
        <w:t xml:space="preserve">Mean relative abundance (16S-Amplicon sequences) for the five most abundant phyla </w:t>
      </w:r>
      <w:proofErr w:type="spellStart"/>
      <w:r>
        <w:rPr>
          <w:rFonts w:ascii="Times New Roman" w:hAnsi="Times New Roman"/>
          <w:i/>
          <w:sz w:val="22"/>
        </w:rPr>
        <w:t>Proteobacteria</w:t>
      </w:r>
      <w:proofErr w:type="spellEnd"/>
      <w:r>
        <w:rPr>
          <w:rFonts w:ascii="Times New Roman" w:hAnsi="Times New Roman"/>
          <w:i/>
          <w:sz w:val="22"/>
        </w:rPr>
        <w:t xml:space="preserve">, </w:t>
      </w:r>
      <w:proofErr w:type="spellStart"/>
      <w:r>
        <w:rPr>
          <w:rFonts w:ascii="Times New Roman" w:hAnsi="Times New Roman"/>
          <w:i/>
          <w:sz w:val="22"/>
        </w:rPr>
        <w:t>Actinobacteria</w:t>
      </w:r>
      <w:proofErr w:type="spellEnd"/>
      <w:r>
        <w:rPr>
          <w:rFonts w:ascii="Times New Roman" w:hAnsi="Times New Roman"/>
          <w:i/>
          <w:sz w:val="22"/>
        </w:rPr>
        <w:t xml:space="preserve">, </w:t>
      </w:r>
      <w:proofErr w:type="spellStart"/>
      <w:r>
        <w:rPr>
          <w:rFonts w:ascii="Times New Roman" w:hAnsi="Times New Roman"/>
          <w:i/>
          <w:sz w:val="22"/>
        </w:rPr>
        <w:t>Acidobacteria</w:t>
      </w:r>
      <w:proofErr w:type="spellEnd"/>
      <w:r>
        <w:rPr>
          <w:rFonts w:ascii="Times New Roman" w:hAnsi="Times New Roman"/>
          <w:sz w:val="22"/>
        </w:rPr>
        <w:t xml:space="preserve">, </w:t>
      </w:r>
      <w:proofErr w:type="spellStart"/>
      <w:r>
        <w:rPr>
          <w:rFonts w:ascii="Times New Roman" w:hAnsi="Times New Roman"/>
          <w:i/>
          <w:sz w:val="22"/>
        </w:rPr>
        <w:t>Chloroflexi</w:t>
      </w:r>
      <w:proofErr w:type="spellEnd"/>
      <w:r>
        <w:rPr>
          <w:rFonts w:ascii="Times New Roman" w:hAnsi="Times New Roman"/>
          <w:sz w:val="22"/>
        </w:rPr>
        <w:t xml:space="preserve"> and</w:t>
      </w:r>
      <w:r>
        <w:rPr>
          <w:rFonts w:ascii="Times New Roman" w:hAnsi="Times New Roman"/>
          <w:i/>
          <w:sz w:val="22"/>
        </w:rPr>
        <w:t xml:space="preserve"> </w:t>
      </w:r>
      <w:proofErr w:type="spellStart"/>
      <w:r>
        <w:rPr>
          <w:rFonts w:ascii="Times New Roman" w:hAnsi="Times New Roman"/>
          <w:i/>
          <w:sz w:val="22"/>
        </w:rPr>
        <w:t>Bacteroidetes</w:t>
      </w:r>
      <w:proofErr w:type="spellEnd"/>
      <w:r>
        <w:rPr>
          <w:rFonts w:ascii="Times New Roman" w:hAnsi="Times New Roman"/>
          <w:sz w:val="22"/>
        </w:rPr>
        <w:t xml:space="preserve"> observed for four sampling dates (IG – initial grassland (</w:t>
      </w:r>
      <w:r>
        <w:rPr>
          <w:rFonts w:ascii="Times New Roman" w:hAnsi="Times New Roman"/>
          <w:i/>
          <w:sz w:val="22"/>
        </w:rPr>
        <w:t>n</w:t>
      </w:r>
      <w:r>
        <w:rPr>
          <w:rFonts w:ascii="Times New Roman" w:hAnsi="Times New Roman"/>
          <w:sz w:val="22"/>
        </w:rPr>
        <w:t xml:space="preserve"> = 6), TP – transitional phase (</w:t>
      </w:r>
      <w:r>
        <w:rPr>
          <w:rFonts w:ascii="Times New Roman" w:hAnsi="Times New Roman"/>
          <w:i/>
          <w:sz w:val="22"/>
        </w:rPr>
        <w:t>n</w:t>
      </w:r>
      <w:r>
        <w:rPr>
          <w:rFonts w:ascii="Times New Roman" w:hAnsi="Times New Roman"/>
          <w:sz w:val="22"/>
        </w:rPr>
        <w:t xml:space="preserve"> = 6), FS – final state (</w:t>
      </w:r>
      <w:r>
        <w:rPr>
          <w:rFonts w:ascii="Times New Roman" w:hAnsi="Times New Roman"/>
          <w:i/>
          <w:sz w:val="22"/>
        </w:rPr>
        <w:t xml:space="preserve">n </w:t>
      </w:r>
      <w:r>
        <w:rPr>
          <w:rFonts w:ascii="Times New Roman" w:hAnsi="Times New Roman"/>
          <w:sz w:val="22"/>
        </w:rPr>
        <w:t>= 4) and CG – control grassland (</w:t>
      </w:r>
      <w:r>
        <w:rPr>
          <w:rFonts w:ascii="Times New Roman" w:hAnsi="Times New Roman"/>
          <w:i/>
          <w:sz w:val="22"/>
        </w:rPr>
        <w:t xml:space="preserve">n </w:t>
      </w:r>
      <w:r>
        <w:rPr>
          <w:rFonts w:ascii="Times New Roman" w:hAnsi="Times New Roman"/>
          <w:sz w:val="22"/>
        </w:rPr>
        <w:t>= 4)) in descending order. Different letters (</w:t>
      </w:r>
      <w:proofErr w:type="gramStart"/>
      <w:r>
        <w:rPr>
          <w:rFonts w:ascii="Times New Roman" w:hAnsi="Times New Roman"/>
          <w:sz w:val="22"/>
        </w:rPr>
        <w:t>a and</w:t>
      </w:r>
      <w:proofErr w:type="gramEnd"/>
      <w:r>
        <w:rPr>
          <w:rFonts w:ascii="Times New Roman" w:hAnsi="Times New Roman"/>
          <w:sz w:val="22"/>
        </w:rPr>
        <w:t xml:space="preserve"> b) indicate significant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sz w:val="22"/>
        </w:rPr>
        <w:t>differences (</w:t>
      </w:r>
      <w:r>
        <w:rPr>
          <w:rFonts w:ascii="Times New Roman" w:hAnsi="Times New Roman"/>
          <w:i/>
          <w:sz w:val="22"/>
        </w:rPr>
        <w:t>p</w:t>
      </w:r>
      <w:r>
        <w:rPr>
          <w:rFonts w:ascii="Times New Roman" w:hAnsi="Times New Roman"/>
          <w:sz w:val="22"/>
        </w:rPr>
        <w:t xml:space="preserve"> &lt; 0.05) calculated with multivariate ANOVA (Tukey’s post-hoc test).</w:t>
      </w:r>
    </w:p>
    <w:p>
      <w:pPr>
        <w:rPr>
          <w:rFonts w:ascii="Times New Roman" w:hAnsi="Times New Roman" w:cs="Times New Roman"/>
          <w:b/>
        </w:rPr>
      </w:pPr>
    </w:p>
    <w:p>
      <w:pPr>
        <w:rPr>
          <w:rFonts w:ascii="Times New Roman" w:hAnsi="Times New Roman" w:cs="Times New Roman"/>
          <w:b/>
        </w:rPr>
      </w:pPr>
    </w:p>
    <w:p>
      <w:pPr>
        <w:pStyle w:val="MDPI31text"/>
        <w:spacing w:line="240" w:lineRule="auto"/>
        <w:ind w:firstLine="0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Fig. 5</w:t>
      </w:r>
      <w:r>
        <w:rPr>
          <w:rFonts w:ascii="Times New Roman" w:hAnsi="Times New Roman"/>
          <w:sz w:val="22"/>
        </w:rPr>
        <w:t xml:space="preserve"> Mean relative abundance (16S-Amplicon sequences) for the 18 most abundant families observed for four sampling dates (IG – initial grassland (</w:t>
      </w:r>
      <w:r>
        <w:rPr>
          <w:rFonts w:ascii="Times New Roman" w:hAnsi="Times New Roman"/>
          <w:i/>
          <w:sz w:val="22"/>
        </w:rPr>
        <w:t>n</w:t>
      </w:r>
      <w:r>
        <w:rPr>
          <w:rFonts w:ascii="Times New Roman" w:hAnsi="Times New Roman"/>
          <w:sz w:val="22"/>
        </w:rPr>
        <w:t xml:space="preserve"> = 6), TP – transitional phase (</w:t>
      </w:r>
      <w:r>
        <w:rPr>
          <w:rFonts w:ascii="Times New Roman" w:hAnsi="Times New Roman"/>
          <w:i/>
          <w:sz w:val="22"/>
        </w:rPr>
        <w:t>n</w:t>
      </w:r>
      <w:r>
        <w:rPr>
          <w:rFonts w:ascii="Times New Roman" w:hAnsi="Times New Roman"/>
          <w:sz w:val="22"/>
        </w:rPr>
        <w:t xml:space="preserve"> = 6), FS – final state (</w:t>
      </w:r>
      <w:r>
        <w:rPr>
          <w:rFonts w:ascii="Times New Roman" w:hAnsi="Times New Roman"/>
          <w:i/>
          <w:sz w:val="22"/>
        </w:rPr>
        <w:t>n</w:t>
      </w:r>
      <w:r>
        <w:rPr>
          <w:rFonts w:ascii="Times New Roman" w:hAnsi="Times New Roman"/>
          <w:sz w:val="22"/>
        </w:rPr>
        <w:t xml:space="preserve"> = 4) and CG – control grassland (</w:t>
      </w:r>
      <w:r>
        <w:rPr>
          <w:rFonts w:ascii="Times New Roman" w:hAnsi="Times New Roman"/>
          <w:i/>
          <w:sz w:val="22"/>
        </w:rPr>
        <w:t>n</w:t>
      </w:r>
      <w:r>
        <w:rPr>
          <w:rFonts w:ascii="Times New Roman" w:hAnsi="Times New Roman"/>
          <w:sz w:val="22"/>
        </w:rPr>
        <w:t xml:space="preserve"> = 4)) in descending order. Different letters (a, b, and c) indicate significant differences (</w:t>
      </w:r>
      <w:r>
        <w:rPr>
          <w:rFonts w:ascii="Times New Roman" w:hAnsi="Times New Roman"/>
          <w:i/>
          <w:sz w:val="22"/>
        </w:rPr>
        <w:t>p</w:t>
      </w:r>
      <w:r>
        <w:rPr>
          <w:rFonts w:ascii="Times New Roman" w:hAnsi="Times New Roman"/>
          <w:sz w:val="22"/>
        </w:rPr>
        <w:t xml:space="preserve"> &lt; 0.05) calculated with multivariate ANOVA (Tukey’s post-hoc test).</w:t>
      </w:r>
      <w:bookmarkStart w:id="0" w:name="_GoBack"/>
      <w:bookmarkEnd w:id="0"/>
    </w:p>
    <w:p>
      <w:pPr>
        <w:rPr>
          <w:rFonts w:ascii="Times New Roman" w:hAnsi="Times New Roman" w:cs="Times New Roman"/>
          <w:b/>
          <w:sz w:val="24"/>
          <w:szCs w:val="24"/>
        </w:rPr>
      </w:pP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BFEE35-4BDC-4537-A1ED-8E1BCA25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Pr>
      <w:rFonts w:ascii="Calibri" w:eastAsia="Calibri" w:hAnsi="Calibri" w:cs="Times New Roman"/>
      <w:b/>
      <w:bCs/>
      <w:sz w:val="20"/>
      <w:szCs w:val="20"/>
    </w:rPr>
  </w:style>
  <w:style w:type="paragraph" w:customStyle="1" w:styleId="MDPI31text">
    <w:name w:val="MDPI_3.1_text"/>
    <w:qFormat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michael.obermeier</dc:creator>
  <cp:keywords/>
  <dc:description/>
  <cp:lastModifiedBy>michael.obermeier</cp:lastModifiedBy>
  <cp:revision>7</cp:revision>
  <dcterms:created xsi:type="dcterms:W3CDTF">2019-11-04T13:20:00Z</dcterms:created>
  <dcterms:modified xsi:type="dcterms:W3CDTF">2020-01-07T10:34:00Z</dcterms:modified>
</cp:coreProperties>
</file>