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spacing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Tables</w:t>
      </w:r>
    </w:p>
    <w:p>
      <w:pPr>
        <w:pStyle w:val="Beschriftung"/>
        <w:keepNext/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Table </w:t>
      </w:r>
      <w:proofErr w:type="gramStart"/>
      <w:r>
        <w:rPr>
          <w:rFonts w:ascii="Times New Roman" w:hAnsi="Times New Roman"/>
          <w:sz w:val="24"/>
          <w:szCs w:val="24"/>
        </w:rPr>
        <w:t>1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 w:val="0"/>
          <w:sz w:val="24"/>
          <w:szCs w:val="24"/>
        </w:rPr>
        <w:t xml:space="preserve">Soil properties at the four sampling dates </w:t>
      </w:r>
    </w:p>
    <w:tbl>
      <w:tblPr>
        <w:tblpPr w:leftFromText="180" w:rightFromText="180" w:vertAnchor="text" w:horzAnchor="page" w:tblpX="1795" w:tblpY="348"/>
        <w:tblOverlap w:val="never"/>
        <w:tblW w:w="0" w:type="auto"/>
        <w:tblLook w:val="04A0" w:firstRow="1" w:lastRow="0" w:firstColumn="1" w:lastColumn="0" w:noHBand="0" w:noVBand="1"/>
      </w:tblPr>
      <w:tblGrid>
        <w:gridCol w:w="1190"/>
        <w:gridCol w:w="1296"/>
        <w:gridCol w:w="1943"/>
        <w:gridCol w:w="1570"/>
        <w:gridCol w:w="1308"/>
        <w:gridCol w:w="1070"/>
      </w:tblGrid>
      <w:tr>
        <w:trPr>
          <w:trHeight w:val="563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>
            <w:pPr>
              <w:pStyle w:val="MDPI42tablebody"/>
              <w:spacing w:before="240" w:after="24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Sampling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>
            <w:pPr>
              <w:pStyle w:val="MDPI42tablebody"/>
              <w:spacing w:before="240" w:after="24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Date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>
            <w:pPr>
              <w:pStyle w:val="MDPI42tablebody"/>
              <w:spacing w:before="240" w:after="24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Soil temperature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>
            <w:pPr>
              <w:pStyle w:val="MDPI42tablebody"/>
              <w:spacing w:before="240" w:after="24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Soil moisture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>
            <w:pPr>
              <w:pStyle w:val="MDPI42tablebody"/>
              <w:spacing w:before="240" w:after="24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Soil pH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>
            <w:pPr>
              <w:pStyle w:val="MDPI42tablebody"/>
              <w:spacing w:before="240" w:after="24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Samples</w:t>
            </w:r>
          </w:p>
        </w:tc>
      </w:tr>
      <w:tr>
        <w:trPr>
          <w:trHeight w:val="314"/>
        </w:trPr>
        <w:tc>
          <w:tcPr>
            <w:tcW w:w="0" w:type="auto"/>
            <w:tcBorders>
              <w:top w:val="single" w:sz="4" w:space="0" w:color="auto"/>
            </w:tcBorders>
          </w:tcPr>
          <w:p>
            <w:pPr>
              <w:pStyle w:val="MDPI42tablebody"/>
              <w:spacing w:before="240" w:after="24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IG</w: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</w:tcPr>
          <w:p>
            <w:pPr>
              <w:pStyle w:val="MDPI42tablebody"/>
              <w:spacing w:before="240" w:after="24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08.07.2016</w: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</w:tcPr>
          <w:p>
            <w:pPr>
              <w:pStyle w:val="MDPI42tablebody"/>
              <w:spacing w:before="240" w:after="24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26.1 ± 0.6 °C</w: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</w:tcPr>
          <w:p>
            <w:pPr>
              <w:pStyle w:val="MDPI42tablebody"/>
              <w:spacing w:before="240" w:after="24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43.6 ± 2.6 %</w: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</w:tcPr>
          <w:p>
            <w:pPr>
              <w:pStyle w:val="MDPI42tablebody"/>
              <w:spacing w:before="240" w:after="24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5.45 ± 0.18</w: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</w:tcPr>
          <w:p>
            <w:pPr>
              <w:pStyle w:val="MDPI42tablebody"/>
              <w:spacing w:before="240" w:after="24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n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= 24</w:t>
            </w:r>
          </w:p>
        </w:tc>
      </w:tr>
      <w:tr>
        <w:trPr>
          <w:trHeight w:val="328"/>
        </w:trPr>
        <w:tc>
          <w:tcPr>
            <w:tcW w:w="0" w:type="auto"/>
          </w:tcPr>
          <w:p>
            <w:pPr>
              <w:pStyle w:val="MDPI42tablebody"/>
              <w:spacing w:before="240" w:after="24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TP</w:t>
            </w:r>
          </w:p>
        </w:tc>
        <w:tc>
          <w:tcPr>
            <w:tcW w:w="0" w:type="auto"/>
            <w:shd w:val="clear" w:color="auto" w:fill="auto"/>
          </w:tcPr>
          <w:p>
            <w:pPr>
              <w:pStyle w:val="MDPI42tablebody"/>
              <w:spacing w:before="240" w:after="24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04.11.2016</w:t>
            </w:r>
          </w:p>
        </w:tc>
        <w:tc>
          <w:tcPr>
            <w:tcW w:w="0" w:type="auto"/>
            <w:shd w:val="clear" w:color="auto" w:fill="auto"/>
          </w:tcPr>
          <w:p>
            <w:pPr>
              <w:pStyle w:val="MDPI42tablebody"/>
              <w:spacing w:before="240" w:after="24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11.2 ± 0.9 °C</w:t>
            </w:r>
          </w:p>
        </w:tc>
        <w:tc>
          <w:tcPr>
            <w:tcW w:w="0" w:type="auto"/>
            <w:shd w:val="clear" w:color="auto" w:fill="auto"/>
          </w:tcPr>
          <w:p>
            <w:pPr>
              <w:pStyle w:val="MDPI42tablebody"/>
              <w:spacing w:before="240" w:after="24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47.7 ± 3.4 %</w:t>
            </w:r>
          </w:p>
        </w:tc>
        <w:tc>
          <w:tcPr>
            <w:tcW w:w="0" w:type="auto"/>
            <w:shd w:val="clear" w:color="auto" w:fill="auto"/>
          </w:tcPr>
          <w:p>
            <w:pPr>
              <w:pStyle w:val="MDPI42tablebody"/>
              <w:spacing w:before="240" w:after="24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5.50 ± 0.13</w:t>
            </w:r>
          </w:p>
        </w:tc>
        <w:tc>
          <w:tcPr>
            <w:tcW w:w="0" w:type="auto"/>
            <w:shd w:val="clear" w:color="auto" w:fill="auto"/>
          </w:tcPr>
          <w:p>
            <w:pPr>
              <w:pStyle w:val="MDPI42tablebody"/>
              <w:spacing w:before="240" w:after="24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n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= 24</w:t>
            </w:r>
          </w:p>
        </w:tc>
      </w:tr>
      <w:tr>
        <w:trPr>
          <w:trHeight w:val="314"/>
        </w:trPr>
        <w:tc>
          <w:tcPr>
            <w:tcW w:w="0" w:type="auto"/>
          </w:tcPr>
          <w:p>
            <w:pPr>
              <w:pStyle w:val="MDPI42tablebody"/>
              <w:spacing w:before="240" w:after="24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FS</w:t>
            </w:r>
          </w:p>
        </w:tc>
        <w:tc>
          <w:tcPr>
            <w:tcW w:w="0" w:type="auto"/>
            <w:shd w:val="clear" w:color="auto" w:fill="auto"/>
          </w:tcPr>
          <w:p>
            <w:pPr>
              <w:pStyle w:val="MDPI42tablebody"/>
              <w:spacing w:before="240" w:after="24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08.06.2017</w:t>
            </w:r>
          </w:p>
        </w:tc>
        <w:tc>
          <w:tcPr>
            <w:tcW w:w="0" w:type="auto"/>
            <w:shd w:val="clear" w:color="auto" w:fill="auto"/>
          </w:tcPr>
          <w:p>
            <w:pPr>
              <w:pStyle w:val="MDPI42tablebody"/>
              <w:spacing w:before="240" w:after="24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26.5 ± 0.2 °C</w:t>
            </w:r>
          </w:p>
        </w:tc>
        <w:tc>
          <w:tcPr>
            <w:tcW w:w="0" w:type="auto"/>
            <w:shd w:val="clear" w:color="auto" w:fill="auto"/>
          </w:tcPr>
          <w:p>
            <w:pPr>
              <w:pStyle w:val="MDPI42tablebody"/>
              <w:spacing w:before="240" w:after="24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37.7 ± 2.0 %</w:t>
            </w:r>
          </w:p>
        </w:tc>
        <w:tc>
          <w:tcPr>
            <w:tcW w:w="0" w:type="auto"/>
            <w:shd w:val="clear" w:color="auto" w:fill="auto"/>
          </w:tcPr>
          <w:p>
            <w:pPr>
              <w:pStyle w:val="MDPI42tablebody"/>
              <w:spacing w:before="240" w:after="24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5.35 ± 0.08</w:t>
            </w:r>
          </w:p>
        </w:tc>
        <w:tc>
          <w:tcPr>
            <w:tcW w:w="0" w:type="auto"/>
            <w:shd w:val="clear" w:color="auto" w:fill="auto"/>
          </w:tcPr>
          <w:p>
            <w:pPr>
              <w:pStyle w:val="MDPI42tablebody"/>
              <w:spacing w:before="240" w:after="24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n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= 16</w:t>
            </w:r>
          </w:p>
        </w:tc>
      </w:tr>
      <w:tr>
        <w:trPr>
          <w:trHeight w:val="328"/>
        </w:trPr>
        <w:tc>
          <w:tcPr>
            <w:tcW w:w="0" w:type="auto"/>
            <w:tcBorders>
              <w:bottom w:val="single" w:sz="4" w:space="0" w:color="auto"/>
            </w:tcBorders>
          </w:tcPr>
          <w:p>
            <w:pPr>
              <w:pStyle w:val="MDPI42tablebody"/>
              <w:spacing w:before="240" w:after="24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CG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>
            <w:pPr>
              <w:pStyle w:val="MDPI42tablebody"/>
              <w:spacing w:before="240" w:after="24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01.08.2017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>
            <w:pPr>
              <w:pStyle w:val="MDPI42tablebody"/>
              <w:spacing w:before="240" w:after="24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23.5 ± 1.2 °C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>
            <w:pPr>
              <w:pStyle w:val="MDPI42tablebody"/>
              <w:spacing w:before="240" w:after="24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44.8 ± 2.1 %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>
            <w:pPr>
              <w:pStyle w:val="MDPI42tablebody"/>
              <w:spacing w:before="240" w:after="24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5.45 ± 0.20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>
            <w:pPr>
              <w:pStyle w:val="MDPI42tablebody"/>
              <w:spacing w:before="240" w:after="24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n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= 16</w:t>
            </w:r>
          </w:p>
        </w:tc>
      </w:tr>
    </w:tbl>
    <w:p>
      <w:pPr>
        <w:spacing w:line="240" w:lineRule="auto"/>
        <w:rPr>
          <w:rFonts w:ascii="Times New Roman" w:hAnsi="Times New Roman"/>
          <w:sz w:val="24"/>
          <w:szCs w:val="24"/>
        </w:rPr>
      </w:pPr>
    </w:p>
    <w:p>
      <w:pPr>
        <w:spacing w:line="240" w:lineRule="auto"/>
        <w:rPr>
          <w:rFonts w:ascii="Times New Roman" w:hAnsi="Times New Roman"/>
          <w:b/>
          <w:sz w:val="24"/>
          <w:szCs w:val="24"/>
        </w:rPr>
      </w:pPr>
    </w:p>
    <w:p>
      <w:pPr>
        <w:spacing w:line="240" w:lineRule="auto"/>
        <w:rPr>
          <w:rFonts w:ascii="Times New Roman" w:hAnsi="Times New Roman"/>
          <w:b/>
          <w:sz w:val="24"/>
          <w:szCs w:val="24"/>
        </w:rPr>
      </w:pPr>
    </w:p>
    <w:p>
      <w:pPr>
        <w:spacing w:line="240" w:lineRule="auto"/>
        <w:rPr>
          <w:rFonts w:ascii="Times New Roman" w:hAnsi="Times New Roman"/>
          <w:b/>
          <w:sz w:val="24"/>
          <w:szCs w:val="24"/>
        </w:rPr>
      </w:pPr>
    </w:p>
    <w:p>
      <w:pPr>
        <w:spacing w:line="240" w:lineRule="auto"/>
        <w:rPr>
          <w:rFonts w:ascii="Times New Roman" w:hAnsi="Times New Roman"/>
          <w:b/>
          <w:sz w:val="24"/>
          <w:szCs w:val="24"/>
        </w:rPr>
      </w:pPr>
    </w:p>
    <w:p>
      <w:pPr>
        <w:spacing w:line="240" w:lineRule="auto"/>
        <w:rPr>
          <w:rFonts w:ascii="Times New Roman" w:hAnsi="Times New Roman"/>
          <w:sz w:val="24"/>
          <w:szCs w:val="24"/>
        </w:rPr>
      </w:pPr>
    </w:p>
    <w:p>
      <w:pPr>
        <w:pStyle w:val="Beschriftung"/>
        <w:keepNext/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>
      <w:pPr>
        <w:pStyle w:val="Beschriftung"/>
        <w:keepNext/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>
      <w:pPr>
        <w:pStyle w:val="Beschriftung"/>
        <w:keepNext/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>
      <w:pPr>
        <w:pStyle w:val="Beschriftung"/>
        <w:keepNext/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>
      <w:pPr>
        <w:pStyle w:val="Beschriftung"/>
        <w:keepNext/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>
      <w:pPr>
        <w:pStyle w:val="Beschriftung"/>
        <w:keepNext/>
        <w:spacing w:line="240" w:lineRule="auto"/>
        <w:jc w:val="both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>Soil properties at the four sampling dates (IG – initial grassland, TP – transitional phase, FS – final state and CG – control grassland). Table shows means and standard deviation for soil temperature, soil moisture, soil pH and the amount of samples taken.</w:t>
      </w:r>
    </w:p>
    <w:p>
      <w:pPr>
        <w:pStyle w:val="Beschriftung"/>
        <w:keepNext/>
        <w:spacing w:line="240" w:lineRule="auto"/>
        <w:jc w:val="both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  <w:r>
        <w:rPr>
          <w:rFonts w:ascii="Times New Roman" w:hAnsi="Times New Roman"/>
          <w:sz w:val="24"/>
          <w:szCs w:val="24"/>
        </w:rPr>
        <w:lastRenderedPageBreak/>
        <w:t>Table 2</w:t>
      </w:r>
      <w:r>
        <w:rPr>
          <w:rFonts w:ascii="Times New Roman" w:hAnsi="Times New Roman"/>
          <w:b w:val="0"/>
          <w:sz w:val="24"/>
          <w:szCs w:val="24"/>
        </w:rPr>
        <w:t xml:space="preserve"> Dissolved organic carbon (DOC)</w:t>
      </w:r>
      <w:proofErr w:type="gramStart"/>
      <w:r>
        <w:rPr>
          <w:rFonts w:ascii="Times New Roman" w:hAnsi="Times New Roman"/>
          <w:b w:val="0"/>
          <w:sz w:val="24"/>
          <w:szCs w:val="24"/>
        </w:rPr>
        <w:t>,</w:t>
      </w:r>
      <w:proofErr w:type="gramEnd"/>
      <w:r>
        <w:rPr>
          <w:rFonts w:ascii="Times New Roman" w:hAnsi="Times New Roman"/>
          <w:b w:val="0"/>
          <w:sz w:val="24"/>
          <w:szCs w:val="24"/>
        </w:rPr>
        <w:t xml:space="preserve"> total nitrogen bound (</w:t>
      </w:r>
      <w:proofErr w:type="spellStart"/>
      <w:r>
        <w:rPr>
          <w:rFonts w:ascii="Times New Roman" w:hAnsi="Times New Roman"/>
          <w:b w:val="0"/>
          <w:sz w:val="24"/>
          <w:szCs w:val="24"/>
        </w:rPr>
        <w:t>TNb</w:t>
      </w:r>
      <w:proofErr w:type="spellEnd"/>
      <w:r>
        <w:rPr>
          <w:rFonts w:ascii="Times New Roman" w:hAnsi="Times New Roman"/>
          <w:b w:val="0"/>
          <w:sz w:val="24"/>
          <w:szCs w:val="24"/>
        </w:rPr>
        <w:t>) and the ratio DOC/</w:t>
      </w:r>
      <w:proofErr w:type="spellStart"/>
      <w:r>
        <w:rPr>
          <w:rFonts w:ascii="Times New Roman" w:hAnsi="Times New Roman"/>
          <w:b w:val="0"/>
          <w:sz w:val="24"/>
          <w:szCs w:val="24"/>
        </w:rPr>
        <w:t>TNb</w:t>
      </w:r>
      <w:proofErr w:type="spellEnd"/>
      <w:r>
        <w:rPr>
          <w:rFonts w:ascii="Times New Roman" w:hAnsi="Times New Roman"/>
          <w:b w:val="0"/>
          <w:sz w:val="24"/>
          <w:szCs w:val="24"/>
        </w:rPr>
        <w:t xml:space="preserve"> in bulk soil </w:t>
      </w:r>
    </w:p>
    <w:tbl>
      <w:tblPr>
        <w:tblpPr w:leftFromText="180" w:rightFromText="180" w:vertAnchor="page" w:horzAnchor="margin" w:tblpY="2494"/>
        <w:tblOverlap w:val="never"/>
        <w:tblW w:w="0" w:type="auto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230"/>
        <w:gridCol w:w="1090"/>
        <w:gridCol w:w="1763"/>
        <w:gridCol w:w="2075"/>
        <w:gridCol w:w="1355"/>
        <w:gridCol w:w="1847"/>
      </w:tblGrid>
      <w:t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>
            <w:pPr>
              <w:pStyle w:val="MDPI42tablebody"/>
              <w:spacing w:before="240" w:after="24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>
            <w:pPr>
              <w:pStyle w:val="MDPI42tablebody"/>
              <w:spacing w:before="240" w:after="24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Unit</w:t>
            </w:r>
          </w:p>
        </w:tc>
        <w:tc>
          <w:tcPr>
            <w:tcW w:w="17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>
            <w:pPr>
              <w:pStyle w:val="MDPI42tablebody"/>
              <w:spacing w:before="240" w:after="24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IG – Initial grassland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>
            <w:pPr>
              <w:pStyle w:val="MDPI42tablebody"/>
              <w:spacing w:before="240" w:after="24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TP – Transitional phase</w:t>
            </w: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>
            <w:pPr>
              <w:pStyle w:val="MDPI42tablebody"/>
              <w:spacing w:before="240" w:after="24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FS – Final state</w:t>
            </w:r>
          </w:p>
        </w:tc>
        <w:tc>
          <w:tcPr>
            <w:tcW w:w="184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>
            <w:pPr>
              <w:pStyle w:val="MDPI42tablebody"/>
              <w:spacing w:before="240" w:after="24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CG – Control grassland</w:t>
            </w:r>
          </w:p>
        </w:tc>
      </w:tr>
      <w:tr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  <w:vAlign w:val="center"/>
          </w:tcPr>
          <w:p>
            <w:pPr>
              <w:pStyle w:val="MDPI42tablebody"/>
              <w:spacing w:before="240" w:after="24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DOC</w:t>
            </w:r>
          </w:p>
        </w:tc>
        <w:tc>
          <w:tcPr>
            <w:tcW w:w="1090" w:type="dxa"/>
            <w:tcBorders>
              <w:top w:val="single" w:sz="4" w:space="0" w:color="auto"/>
            </w:tcBorders>
            <w:vAlign w:val="center"/>
          </w:tcPr>
          <w:p>
            <w:pPr>
              <w:pStyle w:val="MDPI42tablebody"/>
              <w:spacing w:before="240" w:after="240" w:line="240" w:lineRule="auto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>µg g</w:t>
            </w:r>
            <w:r>
              <w:rPr>
                <w:rFonts w:ascii="Times New Roman" w:hAnsi="Times New Roman"/>
                <w:sz w:val="24"/>
                <w:szCs w:val="24"/>
                <w:vertAlign w:val="superscript"/>
                <w:lang w:eastAsia="zh-CN"/>
              </w:rPr>
              <w:t>-1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dw</w:t>
            </w:r>
            <w:proofErr w:type="spellEnd"/>
          </w:p>
        </w:tc>
        <w:tc>
          <w:tcPr>
            <w:tcW w:w="176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>
            <w:pPr>
              <w:pStyle w:val="MDPI42tablebody"/>
              <w:spacing w:before="240" w:after="24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15.3 ± 7.7 </w:t>
            </w:r>
            <w:r>
              <w:rPr>
                <w:rFonts w:ascii="Times New Roman" w:hAnsi="Times New Roman"/>
                <w:sz w:val="24"/>
                <w:szCs w:val="24"/>
                <w:vertAlign w:val="superscript"/>
              </w:rPr>
              <w:t>b</w: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  <w:vAlign w:val="center"/>
          </w:tcPr>
          <w:p>
            <w:pPr>
              <w:pStyle w:val="MDPI42tablebody"/>
              <w:spacing w:before="240" w:after="24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30.9 ± 12.1 </w:t>
            </w:r>
            <w:r>
              <w:rPr>
                <w:rFonts w:ascii="Times New Roman" w:hAnsi="Times New Roman"/>
                <w:sz w:val="24"/>
                <w:szCs w:val="24"/>
                <w:vertAlign w:val="superscript"/>
              </w:rPr>
              <w:t>a</w:t>
            </w: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>
            <w:pPr>
              <w:pStyle w:val="MDPI42tablebody"/>
              <w:spacing w:before="240" w:after="24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12.5 ± 3.4 </w:t>
            </w:r>
            <w:r>
              <w:rPr>
                <w:rFonts w:ascii="Times New Roman" w:hAnsi="Times New Roman"/>
                <w:sz w:val="24"/>
                <w:szCs w:val="24"/>
                <w:vertAlign w:val="superscript"/>
              </w:rPr>
              <w:t>b</w:t>
            </w:r>
          </w:p>
        </w:tc>
        <w:tc>
          <w:tcPr>
            <w:tcW w:w="1847" w:type="dxa"/>
            <w:tcBorders>
              <w:top w:val="single" w:sz="4" w:space="0" w:color="auto"/>
            </w:tcBorders>
            <w:vAlign w:val="center"/>
          </w:tcPr>
          <w:p>
            <w:pPr>
              <w:pStyle w:val="MDPI42tablebody"/>
              <w:spacing w:before="240" w:after="24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20.5 ± 5.8 </w:t>
            </w:r>
            <w:r>
              <w:rPr>
                <w:rFonts w:ascii="Times New Roman" w:hAnsi="Times New Roman"/>
                <w:sz w:val="24"/>
                <w:szCs w:val="24"/>
                <w:vertAlign w:val="superscript"/>
              </w:rPr>
              <w:t>ab</w:t>
            </w:r>
          </w:p>
        </w:tc>
      </w:tr>
      <w:tr>
        <w:trPr>
          <w:trHeight w:val="217"/>
        </w:trPr>
        <w:tc>
          <w:tcPr>
            <w:tcW w:w="0" w:type="auto"/>
            <w:shd w:val="clear" w:color="auto" w:fill="auto"/>
            <w:vAlign w:val="center"/>
          </w:tcPr>
          <w:p>
            <w:pPr>
              <w:pStyle w:val="MDPI42tablebody"/>
              <w:spacing w:after="24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TNb</w:t>
            </w:r>
            <w:proofErr w:type="spellEnd"/>
          </w:p>
        </w:tc>
        <w:tc>
          <w:tcPr>
            <w:tcW w:w="1090" w:type="dxa"/>
            <w:vAlign w:val="center"/>
          </w:tcPr>
          <w:p>
            <w:pPr>
              <w:pStyle w:val="MDPI42tablebody"/>
              <w:spacing w:after="24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>µg g</w:t>
            </w:r>
            <w:r>
              <w:rPr>
                <w:rFonts w:ascii="Times New Roman" w:hAnsi="Times New Roman"/>
                <w:sz w:val="24"/>
                <w:szCs w:val="24"/>
                <w:vertAlign w:val="superscript"/>
                <w:lang w:eastAsia="zh-CN"/>
              </w:rPr>
              <w:t>-1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dw</w:t>
            </w:r>
            <w:proofErr w:type="spellEnd"/>
          </w:p>
        </w:tc>
        <w:tc>
          <w:tcPr>
            <w:tcW w:w="1763" w:type="dxa"/>
            <w:shd w:val="clear" w:color="auto" w:fill="auto"/>
            <w:vAlign w:val="center"/>
          </w:tcPr>
          <w:p>
            <w:pPr>
              <w:pStyle w:val="MDPI42tablebody"/>
              <w:spacing w:after="24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5.2 ± 1.6 </w:t>
            </w:r>
            <w:r>
              <w:rPr>
                <w:rFonts w:ascii="Times New Roman" w:hAnsi="Times New Roman"/>
                <w:sz w:val="24"/>
                <w:szCs w:val="24"/>
                <w:vertAlign w:val="superscript"/>
              </w:rPr>
              <w:t>c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MDPI42tablebody"/>
              <w:spacing w:after="24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15.2 ± 5.4 </w:t>
            </w:r>
            <w:r>
              <w:rPr>
                <w:rFonts w:ascii="Times New Roman" w:hAnsi="Times New Roman"/>
                <w:sz w:val="24"/>
                <w:szCs w:val="24"/>
                <w:vertAlign w:val="superscript"/>
              </w:rPr>
              <w:t>b</w:t>
            </w:r>
          </w:p>
        </w:tc>
        <w:tc>
          <w:tcPr>
            <w:tcW w:w="1355" w:type="dxa"/>
            <w:shd w:val="clear" w:color="auto" w:fill="auto"/>
            <w:vAlign w:val="center"/>
          </w:tcPr>
          <w:p>
            <w:pPr>
              <w:pStyle w:val="MDPI42tablebody"/>
              <w:spacing w:after="24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45.3 ± 5.0 </w:t>
            </w:r>
            <w:r>
              <w:rPr>
                <w:rFonts w:ascii="Times New Roman" w:hAnsi="Times New Roman"/>
                <w:sz w:val="24"/>
                <w:szCs w:val="24"/>
                <w:vertAlign w:val="superscript"/>
              </w:rPr>
              <w:t>a</w:t>
            </w:r>
          </w:p>
        </w:tc>
        <w:tc>
          <w:tcPr>
            <w:tcW w:w="1847" w:type="dxa"/>
            <w:vAlign w:val="center"/>
          </w:tcPr>
          <w:p>
            <w:pPr>
              <w:pStyle w:val="MDPI42tablebody"/>
              <w:spacing w:after="24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8.1 ± 1.2 </w:t>
            </w:r>
            <w:r>
              <w:rPr>
                <w:rFonts w:ascii="Times New Roman" w:hAnsi="Times New Roman"/>
                <w:sz w:val="24"/>
                <w:szCs w:val="24"/>
                <w:vertAlign w:val="superscript"/>
              </w:rPr>
              <w:t>c</w:t>
            </w:r>
          </w:p>
        </w:tc>
      </w:tr>
      <w:tr>
        <w:tc>
          <w:tcPr>
            <w:tcW w:w="0" w:type="auto"/>
            <w:shd w:val="clear" w:color="auto" w:fill="auto"/>
            <w:vAlign w:val="center"/>
          </w:tcPr>
          <w:p>
            <w:pPr>
              <w:pStyle w:val="MDPI42tablebody"/>
              <w:spacing w:after="24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DOC/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TNb</w:t>
            </w:r>
            <w:proofErr w:type="spellEnd"/>
          </w:p>
        </w:tc>
        <w:tc>
          <w:tcPr>
            <w:tcW w:w="1090" w:type="dxa"/>
            <w:vAlign w:val="center"/>
          </w:tcPr>
          <w:p>
            <w:pPr>
              <w:pStyle w:val="MDPI42tablebody"/>
              <w:spacing w:after="24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3" w:type="dxa"/>
            <w:shd w:val="clear" w:color="auto" w:fill="auto"/>
            <w:vAlign w:val="center"/>
          </w:tcPr>
          <w:p>
            <w:pPr>
              <w:pStyle w:val="MDPI42tablebody"/>
              <w:spacing w:after="24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3.0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MDPI42tablebody"/>
              <w:spacing w:after="24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2.0</w:t>
            </w:r>
          </w:p>
        </w:tc>
        <w:tc>
          <w:tcPr>
            <w:tcW w:w="1355" w:type="dxa"/>
            <w:shd w:val="clear" w:color="auto" w:fill="auto"/>
            <w:vAlign w:val="center"/>
          </w:tcPr>
          <w:p>
            <w:pPr>
              <w:pStyle w:val="MDPI42tablebody"/>
              <w:spacing w:after="24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0.3</w:t>
            </w:r>
          </w:p>
        </w:tc>
        <w:tc>
          <w:tcPr>
            <w:tcW w:w="1847" w:type="dxa"/>
            <w:vAlign w:val="center"/>
          </w:tcPr>
          <w:p>
            <w:pPr>
              <w:pStyle w:val="MDPI42tablebody"/>
              <w:spacing w:after="24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2.5</w:t>
            </w:r>
          </w:p>
        </w:tc>
      </w:tr>
    </w:tbl>
    <w:p>
      <w:pPr>
        <w:spacing w:line="240" w:lineRule="auto"/>
        <w:rPr>
          <w:rFonts w:ascii="Times New Roman" w:hAnsi="Times New Roman"/>
          <w:sz w:val="24"/>
          <w:szCs w:val="24"/>
        </w:rPr>
      </w:pPr>
    </w:p>
    <w:p>
      <w:pPr>
        <w:spacing w:line="240" w:lineRule="auto"/>
        <w:rPr>
          <w:rFonts w:ascii="Times New Roman" w:hAnsi="Times New Roman"/>
          <w:sz w:val="24"/>
          <w:szCs w:val="24"/>
        </w:rPr>
      </w:pPr>
    </w:p>
    <w:p>
      <w:pPr>
        <w:pStyle w:val="Beschriftung"/>
        <w:keepNext/>
        <w:spacing w:line="240" w:lineRule="auto"/>
        <w:jc w:val="both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 xml:space="preserve">DOC, </w:t>
      </w:r>
      <w:proofErr w:type="spellStart"/>
      <w:r>
        <w:rPr>
          <w:rFonts w:ascii="Times New Roman" w:hAnsi="Times New Roman"/>
          <w:b w:val="0"/>
          <w:sz w:val="24"/>
          <w:szCs w:val="24"/>
        </w:rPr>
        <w:t>TNb</w:t>
      </w:r>
      <w:proofErr w:type="spellEnd"/>
      <w:r>
        <w:rPr>
          <w:rFonts w:ascii="Times New Roman" w:hAnsi="Times New Roman"/>
          <w:b w:val="0"/>
          <w:sz w:val="24"/>
          <w:szCs w:val="24"/>
        </w:rPr>
        <w:t xml:space="preserve"> and the ratio DOC/</w:t>
      </w:r>
      <w:proofErr w:type="spellStart"/>
      <w:r>
        <w:rPr>
          <w:rFonts w:ascii="Times New Roman" w:hAnsi="Times New Roman"/>
          <w:b w:val="0"/>
          <w:sz w:val="24"/>
          <w:szCs w:val="24"/>
        </w:rPr>
        <w:t>TNb</w:t>
      </w:r>
      <w:proofErr w:type="spellEnd"/>
      <w:r>
        <w:rPr>
          <w:rFonts w:ascii="Times New Roman" w:hAnsi="Times New Roman"/>
          <w:b w:val="0"/>
          <w:sz w:val="24"/>
          <w:szCs w:val="24"/>
        </w:rPr>
        <w:t xml:space="preserve"> in bulk soil at the four sampling dates (IG, TP, FS and CG). The means and standard deviation for bulk soil expressed in µg g</w:t>
      </w:r>
      <w:r>
        <w:rPr>
          <w:rFonts w:ascii="Times New Roman" w:hAnsi="Times New Roman"/>
          <w:b w:val="0"/>
          <w:sz w:val="24"/>
          <w:szCs w:val="24"/>
          <w:vertAlign w:val="superscript"/>
        </w:rPr>
        <w:t xml:space="preserve">-1 </w:t>
      </w:r>
      <w:proofErr w:type="spellStart"/>
      <w:proofErr w:type="gramStart"/>
      <w:r>
        <w:rPr>
          <w:rFonts w:ascii="Times New Roman" w:hAnsi="Times New Roman"/>
          <w:b w:val="0"/>
          <w:i/>
          <w:sz w:val="24"/>
          <w:szCs w:val="24"/>
        </w:rPr>
        <w:t>dw</w:t>
      </w:r>
      <w:proofErr w:type="spellEnd"/>
      <w:proofErr w:type="gramEnd"/>
      <w:r>
        <w:rPr>
          <w:rFonts w:ascii="Times New Roman" w:hAnsi="Times New Roman"/>
          <w:b w:val="0"/>
          <w:sz w:val="24"/>
          <w:szCs w:val="24"/>
        </w:rPr>
        <w:t xml:space="preserve"> of four biological replicates per plot and six plots per field (</w:t>
      </w:r>
      <w:r>
        <w:rPr>
          <w:rFonts w:ascii="Times New Roman" w:hAnsi="Times New Roman"/>
          <w:b w:val="0"/>
          <w:i/>
          <w:sz w:val="24"/>
          <w:szCs w:val="24"/>
        </w:rPr>
        <w:t xml:space="preserve">n </w:t>
      </w:r>
      <w:r>
        <w:rPr>
          <w:rFonts w:ascii="Times New Roman" w:hAnsi="Times New Roman"/>
          <w:b w:val="0"/>
          <w:sz w:val="24"/>
          <w:szCs w:val="24"/>
        </w:rPr>
        <w:t>= 24) are shown. Different letters (a, b, c) indicate significant differences (</w:t>
      </w:r>
      <w:r>
        <w:rPr>
          <w:rFonts w:ascii="Times New Roman" w:hAnsi="Times New Roman"/>
          <w:b w:val="0"/>
          <w:i/>
          <w:sz w:val="24"/>
          <w:szCs w:val="24"/>
        </w:rPr>
        <w:t>p</w:t>
      </w:r>
      <w:r>
        <w:rPr>
          <w:rFonts w:ascii="Times New Roman" w:hAnsi="Times New Roman"/>
          <w:b w:val="0"/>
          <w:sz w:val="24"/>
          <w:szCs w:val="24"/>
        </w:rPr>
        <w:t xml:space="preserve"> &lt; 0.05) calculated with multivariate ANOVA (Tukey’s post-hoc test).</w:t>
      </w:r>
      <w:bookmarkStart w:id="0" w:name="_GoBack"/>
      <w:bookmarkEnd w:id="0"/>
    </w:p>
    <w:p>
      <w:pPr>
        <w:spacing w:line="240" w:lineRule="auto"/>
        <w:rPr>
          <w:rFonts w:ascii="Times New Roman" w:hAnsi="Times New Roman"/>
          <w:b/>
          <w:sz w:val="24"/>
          <w:szCs w:val="24"/>
        </w:rPr>
      </w:pPr>
    </w:p>
    <w:sectPr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A9FC04E-5424-4594-8C83-738C7F1C98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pPr>
      <w:spacing w:after="160" w:line="259" w:lineRule="auto"/>
    </w:pPr>
    <w:rPr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Beschriftung">
    <w:name w:val="caption"/>
    <w:basedOn w:val="Standard"/>
    <w:next w:val="Standard"/>
    <w:uiPriority w:val="35"/>
    <w:unhideWhenUsed/>
    <w:qFormat/>
    <w:rPr>
      <w:b/>
      <w:bCs/>
      <w:sz w:val="20"/>
      <w:szCs w:val="20"/>
    </w:rPr>
  </w:style>
  <w:style w:type="paragraph" w:customStyle="1" w:styleId="MDPI42tablebody">
    <w:name w:val="MDPI_4.2_table_body"/>
    <w:qFormat/>
    <w:pPr>
      <w:adjustRightInd w:val="0"/>
      <w:snapToGrid w:val="0"/>
      <w:spacing w:line="260" w:lineRule="atLeast"/>
      <w:jc w:val="center"/>
    </w:pPr>
    <w:rPr>
      <w:rFonts w:ascii="Palatino Linotype" w:eastAsia="Times New Roman" w:hAnsi="Palatino Linotype"/>
      <w:snapToGrid w:val="0"/>
      <w:color w:val="000000"/>
      <w:lang w:eastAsia="de-DE" w:bidi="en-US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uiPriority w:val="99"/>
    <w:semiHidden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204</Words>
  <Characters>1168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Helmholtz Zentrum München</Company>
  <LinksUpToDate>false</LinksUpToDate>
  <CharactersWithSpaces>1370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michael.obermeier</dc:creator>
  <cp:keywords/>
  <dc:description/>
  <cp:lastModifiedBy>michael.obermeier</cp:lastModifiedBy>
  <cp:revision>9</cp:revision>
  <dcterms:created xsi:type="dcterms:W3CDTF">2019-11-04T15:02:00Z</dcterms:created>
  <dcterms:modified xsi:type="dcterms:W3CDTF">2020-01-07T10:37:00Z</dcterms:modified>
</cp:coreProperties>
</file>