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center"/>
        <w:rPr>
          <w:rFonts w:cstheme="minorHAnsi"/>
          <w:b/>
          <w:sz w:val="24"/>
          <w:szCs w:val="24"/>
          <w:lang w:val="en-US"/>
        </w:rPr>
      </w:pPr>
      <w:bookmarkStart w:id="0" w:name="_GoBack"/>
      <w:bookmarkEnd w:id="0"/>
      <w:r>
        <w:rPr>
          <w:rFonts w:cstheme="minorHAnsi"/>
          <w:b/>
          <w:sz w:val="24"/>
          <w:szCs w:val="24"/>
          <w:lang w:val="en-US"/>
        </w:rPr>
        <w:t>Socioeconomic differences and lung cancer survival in Germany:</w:t>
      </w:r>
    </w:p>
    <w:p>
      <w:pPr>
        <w:spacing w:line="480" w:lineRule="auto"/>
        <w:jc w:val="center"/>
        <w:rPr>
          <w:rFonts w:cstheme="minorHAnsi"/>
          <w:b/>
          <w:sz w:val="24"/>
          <w:szCs w:val="24"/>
          <w:lang w:val="en-US"/>
        </w:rPr>
      </w:pPr>
      <w:r>
        <w:rPr>
          <w:rFonts w:cstheme="minorHAnsi"/>
          <w:b/>
          <w:sz w:val="24"/>
          <w:szCs w:val="24"/>
          <w:lang w:val="en-US"/>
        </w:rPr>
        <w:t>Investigation based on population-based clinical cancer registration</w:t>
      </w:r>
    </w:p>
    <w:p>
      <w:pPr>
        <w:spacing w:line="480" w:lineRule="auto"/>
        <w:rPr>
          <w:rFonts w:cstheme="minorHAnsi"/>
          <w:sz w:val="24"/>
          <w:szCs w:val="24"/>
          <w:lang w:val="en-US"/>
        </w:rPr>
      </w:pPr>
      <w:r>
        <w:rPr>
          <w:rFonts w:cstheme="minorHAnsi"/>
          <w:sz w:val="24"/>
          <w:szCs w:val="24"/>
          <w:lang w:val="en-US"/>
        </w:rPr>
        <w:t>Isabelle Finke</w:t>
      </w:r>
      <w:r>
        <w:rPr>
          <w:rFonts w:cstheme="minorHAnsi"/>
          <w:sz w:val="24"/>
          <w:szCs w:val="24"/>
          <w:vertAlign w:val="superscript"/>
          <w:lang w:val="en-US"/>
        </w:rPr>
        <w:t>a, b</w:t>
      </w:r>
      <w:r>
        <w:rPr>
          <w:rFonts w:cstheme="minorHAnsi"/>
          <w:sz w:val="24"/>
          <w:szCs w:val="24"/>
          <w:lang w:val="en-US"/>
        </w:rPr>
        <w:t>, Gundula Behrens</w:t>
      </w:r>
      <w:r>
        <w:rPr>
          <w:rFonts w:cstheme="minorHAnsi"/>
          <w:sz w:val="24"/>
          <w:szCs w:val="24"/>
          <w:vertAlign w:val="superscript"/>
          <w:lang w:val="en-US"/>
        </w:rPr>
        <w:t>a</w:t>
      </w:r>
      <w:r>
        <w:rPr>
          <w:rFonts w:cstheme="minorHAnsi"/>
          <w:sz w:val="24"/>
          <w:szCs w:val="24"/>
          <w:lang w:val="en-US"/>
        </w:rPr>
        <w:t>, Lars Schwettmann</w:t>
      </w:r>
      <w:r>
        <w:rPr>
          <w:rFonts w:cstheme="minorHAnsi"/>
          <w:sz w:val="24"/>
          <w:szCs w:val="24"/>
          <w:vertAlign w:val="superscript"/>
          <w:lang w:val="en-US"/>
        </w:rPr>
        <w:t>c</w:t>
      </w:r>
      <w:r>
        <w:rPr>
          <w:rFonts w:cstheme="minorHAnsi"/>
          <w:sz w:val="24"/>
          <w:szCs w:val="24"/>
          <w:vertAlign w:val="superscript"/>
          <w:lang w:val="en-US"/>
        </w:rPr>
        <w:t>,d</w:t>
      </w:r>
      <w:r>
        <w:rPr>
          <w:rFonts w:cstheme="minorHAnsi"/>
          <w:sz w:val="24"/>
          <w:szCs w:val="24"/>
          <w:lang w:val="en-US"/>
        </w:rPr>
        <w:t>, Michael Gerken</w:t>
      </w:r>
      <w:r>
        <w:rPr>
          <w:rFonts w:cstheme="minorHAnsi"/>
          <w:sz w:val="24"/>
          <w:szCs w:val="24"/>
          <w:vertAlign w:val="superscript"/>
          <w:lang w:val="en-US"/>
        </w:rPr>
        <w:t>e</w:t>
      </w:r>
      <w:r>
        <w:rPr>
          <w:rFonts w:cstheme="minorHAnsi"/>
          <w:sz w:val="24"/>
          <w:szCs w:val="24"/>
          <w:lang w:val="en-US"/>
        </w:rPr>
        <w:t>, Ron Pritzkuleit</w:t>
      </w:r>
      <w:r>
        <w:rPr>
          <w:rFonts w:cstheme="minorHAnsi"/>
          <w:sz w:val="24"/>
          <w:szCs w:val="24"/>
          <w:vertAlign w:val="superscript"/>
          <w:lang w:val="en-US"/>
        </w:rPr>
        <w:t>f</w:t>
      </w:r>
      <w:r>
        <w:rPr>
          <w:rFonts w:cstheme="minorHAnsi"/>
          <w:sz w:val="24"/>
          <w:szCs w:val="24"/>
          <w:lang w:val="en-US"/>
        </w:rPr>
        <w:t>, Bernd Holleczek</w:t>
      </w:r>
      <w:r>
        <w:rPr>
          <w:rFonts w:cstheme="minorHAnsi"/>
          <w:sz w:val="24"/>
          <w:szCs w:val="24"/>
          <w:vertAlign w:val="superscript"/>
          <w:lang w:val="en-US"/>
        </w:rPr>
        <w:t>g</w:t>
      </w:r>
      <w:r>
        <w:rPr>
          <w:rFonts w:cstheme="minorHAnsi"/>
          <w:sz w:val="24"/>
          <w:szCs w:val="24"/>
          <w:lang w:val="en-US"/>
        </w:rPr>
        <w:t>, Hermann Brenner*</w:t>
      </w:r>
      <w:r>
        <w:rPr>
          <w:rFonts w:cstheme="minorHAnsi"/>
          <w:sz w:val="24"/>
          <w:szCs w:val="24"/>
          <w:vertAlign w:val="superscript"/>
          <w:lang w:val="en-US"/>
        </w:rPr>
        <w:t>a, h, i</w:t>
      </w:r>
      <w:r>
        <w:rPr>
          <w:rFonts w:cstheme="minorHAnsi"/>
          <w:sz w:val="24"/>
          <w:szCs w:val="24"/>
          <w:lang w:val="en-US"/>
        </w:rPr>
        <w:t>, Lina Jansen*</w:t>
      </w:r>
      <w:r>
        <w:rPr>
          <w:rFonts w:cstheme="minorHAnsi"/>
          <w:sz w:val="24"/>
          <w:szCs w:val="24"/>
          <w:vertAlign w:val="superscript"/>
          <w:lang w:val="en-US"/>
        </w:rPr>
        <w:t>a</w:t>
      </w:r>
      <w:r>
        <w:rPr>
          <w:rFonts w:cstheme="minorHAnsi"/>
          <w:sz w:val="24"/>
          <w:szCs w:val="24"/>
          <w:lang w:val="en-US"/>
        </w:rPr>
        <w:t xml:space="preserve"> for the German Cancer Survival Working Group</w:t>
      </w:r>
    </w:p>
    <w:p>
      <w:pPr>
        <w:spacing w:line="480" w:lineRule="auto"/>
        <w:rPr>
          <w:rFonts w:cstheme="minorHAnsi"/>
          <w:sz w:val="24"/>
          <w:szCs w:val="24"/>
          <w:lang w:val="en-US"/>
        </w:rPr>
      </w:pPr>
      <w:r>
        <w:rPr>
          <w:rFonts w:cstheme="minorHAnsi"/>
          <w:sz w:val="24"/>
          <w:szCs w:val="24"/>
          <w:vertAlign w:val="superscript"/>
          <w:lang w:val="en-US"/>
        </w:rPr>
        <w:t>a</w:t>
      </w:r>
      <w:r>
        <w:rPr>
          <w:rFonts w:cstheme="minorHAnsi"/>
          <w:sz w:val="24"/>
          <w:szCs w:val="24"/>
          <w:lang w:val="en-US"/>
        </w:rPr>
        <w:t>Division of Clinical Epidemiology and Aging Research, German Cancer Research Center (DKFZ), Im Neuenheimer Feld 581, 69120 Heidelberg, Germany</w:t>
      </w:r>
    </w:p>
    <w:p>
      <w:pPr>
        <w:spacing w:line="480" w:lineRule="auto"/>
        <w:rPr>
          <w:rFonts w:cstheme="minorHAnsi"/>
          <w:sz w:val="24"/>
          <w:szCs w:val="24"/>
        </w:rPr>
      </w:pPr>
      <w:r>
        <w:rPr>
          <w:rFonts w:cstheme="minorHAnsi"/>
          <w:sz w:val="24"/>
          <w:szCs w:val="24"/>
          <w:vertAlign w:val="superscript"/>
        </w:rPr>
        <w:t>b</w:t>
      </w:r>
      <w:r>
        <w:rPr>
          <w:rFonts w:cstheme="minorHAnsi"/>
          <w:sz w:val="24"/>
          <w:szCs w:val="24"/>
        </w:rPr>
        <w:t>Medical Faculty Heidelberg, University of Heidelberg, Im Neuenheimer Feld 672, 69120 Heidelberg, Germany</w:t>
      </w:r>
    </w:p>
    <w:p>
      <w:pPr>
        <w:spacing w:line="480" w:lineRule="auto"/>
        <w:rPr>
          <w:rFonts w:cstheme="minorHAnsi"/>
          <w:sz w:val="24"/>
          <w:szCs w:val="24"/>
          <w:lang w:val="en-US"/>
        </w:rPr>
      </w:pPr>
      <w:r>
        <w:rPr>
          <w:rFonts w:cstheme="minorHAnsi"/>
          <w:sz w:val="24"/>
          <w:szCs w:val="24"/>
          <w:vertAlign w:val="superscript"/>
          <w:lang w:val="en-US"/>
        </w:rPr>
        <w:t>c</w:t>
      </w:r>
      <w:r>
        <w:rPr>
          <w:rFonts w:cstheme="minorHAnsi"/>
          <w:sz w:val="24"/>
          <w:szCs w:val="24"/>
          <w:lang w:val="en-US"/>
        </w:rPr>
        <w:t>Helmholtz Zentrum München - German Research Center for Environmental Health (GmbH), Institute of Health Economics and Health Care Management, Ingolstädter Landstraße 1, 85764 Neuherberg, Germany</w:t>
      </w:r>
    </w:p>
    <w:p>
      <w:pPr>
        <w:spacing w:line="480" w:lineRule="auto"/>
        <w:rPr>
          <w:rFonts w:cstheme="minorHAnsi"/>
          <w:sz w:val="24"/>
          <w:szCs w:val="24"/>
          <w:lang w:val="en-US"/>
        </w:rPr>
      </w:pPr>
      <w:r>
        <w:rPr>
          <w:rFonts w:cstheme="minorHAnsi"/>
          <w:sz w:val="24"/>
          <w:szCs w:val="24"/>
          <w:vertAlign w:val="superscript"/>
          <w:lang w:val="en-US"/>
        </w:rPr>
        <w:t>d</w:t>
      </w:r>
      <w:r>
        <w:rPr>
          <w:rFonts w:cstheme="minorHAnsi"/>
          <w:sz w:val="24"/>
          <w:szCs w:val="24"/>
          <w:lang w:val="en-US"/>
        </w:rPr>
        <w:t>Department of Economics, Martin Luther University Halle-Wittenberg, 06099 Halle (Saale), Germany</w:t>
      </w:r>
    </w:p>
    <w:p>
      <w:pPr>
        <w:spacing w:line="480" w:lineRule="auto"/>
        <w:rPr>
          <w:rFonts w:cstheme="minorHAnsi"/>
          <w:sz w:val="24"/>
          <w:szCs w:val="24"/>
          <w:lang w:val="en-US"/>
        </w:rPr>
      </w:pPr>
      <w:r>
        <w:rPr>
          <w:rFonts w:cstheme="minorHAnsi"/>
          <w:sz w:val="24"/>
          <w:szCs w:val="24"/>
          <w:vertAlign w:val="superscript"/>
          <w:lang w:val="en-US"/>
        </w:rPr>
        <w:t>e</w:t>
      </w:r>
      <w:r>
        <w:rPr>
          <w:rFonts w:cstheme="minorHAnsi"/>
          <w:sz w:val="24"/>
          <w:szCs w:val="24"/>
          <w:lang w:val="en-US"/>
        </w:rPr>
        <w:t xml:space="preserve">Tumor Center </w:t>
      </w:r>
      <w:r>
        <w:rPr>
          <w:rFonts w:ascii="Cambria Math" w:hAnsi="Cambria Math" w:cs="Cambria Math"/>
          <w:sz w:val="24"/>
          <w:szCs w:val="24"/>
          <w:lang w:val="en-US"/>
        </w:rPr>
        <w:t>‑</w:t>
      </w:r>
      <w:r>
        <w:rPr>
          <w:rFonts w:cstheme="minorHAnsi"/>
          <w:sz w:val="24"/>
          <w:szCs w:val="24"/>
          <w:lang w:val="en-US"/>
        </w:rPr>
        <w:t xml:space="preserve"> Institute for Quality Management and Health Services Research, University of Regensburg, Am BioPark 9, 93053 Regensburg, Germany</w:t>
      </w:r>
    </w:p>
    <w:p>
      <w:pPr>
        <w:spacing w:line="480" w:lineRule="auto"/>
        <w:rPr>
          <w:rFonts w:cstheme="minorHAnsi"/>
          <w:sz w:val="24"/>
          <w:szCs w:val="24"/>
          <w:lang w:val="en-US"/>
        </w:rPr>
      </w:pPr>
      <w:r>
        <w:rPr>
          <w:rFonts w:cstheme="minorHAnsi"/>
          <w:sz w:val="24"/>
          <w:szCs w:val="24"/>
          <w:vertAlign w:val="superscript"/>
          <w:lang w:val="en-US"/>
        </w:rPr>
        <w:t>f</w:t>
      </w:r>
      <w:r>
        <w:rPr>
          <w:rFonts w:cstheme="minorHAnsi"/>
          <w:sz w:val="24"/>
          <w:szCs w:val="24"/>
          <w:lang w:val="en-US"/>
        </w:rPr>
        <w:t>Institute for Cancer Epidemiology at the University of Lübeck, Cancer Registry Schleswig-Holstein, Ratzeburger Allee 160, Haus 50, 23538 Lübeck, Germany</w:t>
      </w:r>
    </w:p>
    <w:p>
      <w:pPr>
        <w:spacing w:line="480" w:lineRule="auto"/>
        <w:rPr>
          <w:rFonts w:cstheme="minorHAnsi"/>
          <w:sz w:val="24"/>
          <w:szCs w:val="24"/>
        </w:rPr>
      </w:pPr>
      <w:r>
        <w:rPr>
          <w:rFonts w:cstheme="minorHAnsi"/>
          <w:sz w:val="24"/>
          <w:szCs w:val="24"/>
          <w:vertAlign w:val="superscript"/>
        </w:rPr>
        <w:t>g</w:t>
      </w:r>
      <w:r>
        <w:rPr>
          <w:rFonts w:cstheme="minorHAnsi"/>
          <w:sz w:val="24"/>
          <w:szCs w:val="24"/>
        </w:rPr>
        <w:t>Saarland Cancer Registry, Präsident-Baltz-Straße 5, 66119 Saarbrücken, Germany</w:t>
      </w:r>
    </w:p>
    <w:p>
      <w:pPr>
        <w:spacing w:line="480" w:lineRule="auto"/>
        <w:rPr>
          <w:rFonts w:cstheme="minorHAnsi"/>
          <w:sz w:val="24"/>
          <w:szCs w:val="24"/>
          <w:lang w:val="en-US"/>
        </w:rPr>
      </w:pPr>
      <w:r>
        <w:rPr>
          <w:rFonts w:cstheme="minorHAnsi"/>
          <w:sz w:val="24"/>
          <w:szCs w:val="24"/>
          <w:vertAlign w:val="superscript"/>
          <w:lang w:val="en-US"/>
        </w:rPr>
        <w:t>h</w:t>
      </w:r>
      <w:r>
        <w:rPr>
          <w:rFonts w:cstheme="minorHAnsi"/>
          <w:sz w:val="24"/>
          <w:szCs w:val="24"/>
          <w:lang w:val="en-US"/>
        </w:rPr>
        <w:t>Division of Preventive Oncology, German Cancer Research Center (DKFZ) and National Center for Tumor Diseases (NCT), Im Neuenheimer Feld 460, 69120 Heidelberg, Germany</w:t>
      </w:r>
    </w:p>
    <w:p>
      <w:pPr>
        <w:spacing w:line="480" w:lineRule="auto"/>
        <w:rPr>
          <w:rFonts w:cstheme="minorHAnsi"/>
          <w:sz w:val="24"/>
          <w:szCs w:val="24"/>
          <w:lang w:val="en-US"/>
        </w:rPr>
      </w:pPr>
      <w:r>
        <w:rPr>
          <w:rFonts w:cstheme="minorHAnsi"/>
          <w:sz w:val="24"/>
          <w:szCs w:val="24"/>
          <w:vertAlign w:val="superscript"/>
          <w:lang w:val="en-US"/>
        </w:rPr>
        <w:lastRenderedPageBreak/>
        <w:t>i</w:t>
      </w:r>
      <w:r>
        <w:rPr>
          <w:rFonts w:cstheme="minorHAnsi"/>
          <w:sz w:val="24"/>
          <w:szCs w:val="24"/>
          <w:lang w:val="en-US"/>
        </w:rPr>
        <w:t>German Cancer Consortium (DKTK), German Cancer Research Center (DKFZ), Im Neuenheimer Feld 280, 69120 Heidelberg, Germany</w:t>
      </w:r>
    </w:p>
    <w:p>
      <w:pPr>
        <w:spacing w:line="480" w:lineRule="auto"/>
        <w:rPr>
          <w:rFonts w:cstheme="minorHAnsi"/>
          <w:sz w:val="24"/>
          <w:szCs w:val="24"/>
          <w:lang w:val="en-US"/>
        </w:rPr>
      </w:pPr>
      <w:r>
        <w:rPr>
          <w:rFonts w:cstheme="minorHAnsi"/>
          <w:sz w:val="24"/>
          <w:szCs w:val="24"/>
          <w:lang w:val="en-US"/>
        </w:rPr>
        <w:t>* Contributed equally</w:t>
      </w:r>
    </w:p>
    <w:p>
      <w:pPr>
        <w:spacing w:line="480" w:lineRule="auto"/>
        <w:rPr>
          <w:rFonts w:cstheme="minorHAnsi"/>
          <w:sz w:val="24"/>
          <w:szCs w:val="24"/>
          <w:lang w:val="en-US"/>
        </w:rPr>
      </w:pPr>
      <w:r>
        <w:rPr>
          <w:rFonts w:cstheme="minorHAnsi"/>
          <w:b/>
          <w:sz w:val="24"/>
          <w:szCs w:val="24"/>
          <w:lang w:val="en-US"/>
        </w:rPr>
        <w:t>Correspondence:</w:t>
      </w:r>
      <w:r>
        <w:rPr>
          <w:rFonts w:cstheme="minorHAnsi"/>
          <w:sz w:val="24"/>
          <w:szCs w:val="24"/>
          <w:lang w:val="en-US"/>
        </w:rPr>
        <w:t xml:space="preserve"> Dr. Lina Jansen, l.jansen@dkfz.de, Tel: +49 6221 42-1357 </w:t>
      </w:r>
    </w:p>
    <w:p>
      <w:pPr>
        <w:spacing w:line="480" w:lineRule="auto"/>
        <w:rPr>
          <w:rFonts w:cstheme="minorHAnsi"/>
          <w:sz w:val="24"/>
          <w:szCs w:val="24"/>
          <w:lang w:val="en-US"/>
        </w:rPr>
      </w:pPr>
      <w:r>
        <w:rPr>
          <w:rFonts w:cstheme="minorHAnsi"/>
          <w:sz w:val="24"/>
          <w:szCs w:val="24"/>
          <w:lang w:val="en-US"/>
        </w:rPr>
        <w:t>Division of Clinical Epidemiology and Aging Research, German Cancer Research Center (DKFZ), Im Neuenheimer Feld 581, 69120 Heidelberg, Germany</w:t>
      </w:r>
    </w:p>
    <w:p>
      <w:pPr>
        <w:spacing w:line="480" w:lineRule="auto"/>
        <w:rPr>
          <w:rFonts w:cstheme="minorHAnsi"/>
          <w:b/>
          <w:sz w:val="24"/>
          <w:szCs w:val="24"/>
          <w:lang w:val="en-US"/>
        </w:rPr>
      </w:pPr>
    </w:p>
    <w:p>
      <w:pPr>
        <w:spacing w:line="480" w:lineRule="auto"/>
        <w:rPr>
          <w:rFonts w:cstheme="minorHAnsi"/>
          <w:sz w:val="24"/>
          <w:szCs w:val="24"/>
          <w:lang w:val="en-US"/>
        </w:rPr>
      </w:pPr>
      <w:r>
        <w:rPr>
          <w:rFonts w:cstheme="minorHAnsi"/>
          <w:b/>
          <w:sz w:val="24"/>
          <w:szCs w:val="24"/>
          <w:lang w:val="en-US"/>
        </w:rPr>
        <w:t>Words:</w:t>
      </w:r>
      <w:r>
        <w:rPr>
          <w:rFonts w:cstheme="minorHAnsi"/>
          <w:sz w:val="24"/>
          <w:szCs w:val="24"/>
          <w:lang w:val="en-US"/>
        </w:rPr>
        <w:t xml:space="preserve"> Main text: 3</w:t>
      </w:r>
      <w:r>
        <w:rPr>
          <w:rFonts w:cstheme="minorHAnsi"/>
          <w:sz w:val="24"/>
          <w:szCs w:val="24"/>
          <w:lang w:val="en-US"/>
        </w:rPr>
        <w:t>404</w:t>
      </w:r>
      <w:r>
        <w:rPr>
          <w:rFonts w:cstheme="minorHAnsi"/>
          <w:sz w:val="24"/>
          <w:szCs w:val="24"/>
          <w:lang w:val="en-US"/>
        </w:rPr>
        <w:t>, Abstract: 2</w:t>
      </w:r>
      <w:r>
        <w:rPr>
          <w:rFonts w:cstheme="minorHAnsi"/>
          <w:sz w:val="24"/>
          <w:szCs w:val="24"/>
          <w:lang w:val="en-US"/>
        </w:rPr>
        <w:t>36</w:t>
      </w:r>
      <w:r>
        <w:rPr>
          <w:rFonts w:cstheme="minorHAnsi"/>
          <w:sz w:val="24"/>
          <w:szCs w:val="24"/>
          <w:lang w:val="en-US"/>
        </w:rPr>
        <w:t>, Tables: 4, Figures: 1, Supplementary Material, Supplementary Tables: 7, Supplementary Figures: 3</w:t>
      </w:r>
    </w:p>
    <w:p>
      <w:pPr>
        <w:spacing w:line="480" w:lineRule="auto"/>
        <w:rPr>
          <w:rFonts w:cstheme="minorHAnsi"/>
          <w:sz w:val="24"/>
          <w:szCs w:val="24"/>
          <w:lang w:val="en-US"/>
        </w:rPr>
      </w:pPr>
      <w:r>
        <w:rPr>
          <w:rFonts w:cstheme="minorHAnsi"/>
          <w:b/>
          <w:sz w:val="24"/>
          <w:szCs w:val="24"/>
          <w:lang w:val="en-US"/>
        </w:rPr>
        <w:t>Classification:</w:t>
      </w:r>
      <w:r>
        <w:rPr>
          <w:rFonts w:cstheme="minorHAnsi"/>
          <w:sz w:val="24"/>
          <w:szCs w:val="24"/>
          <w:lang w:val="en-US"/>
        </w:rPr>
        <w:t xml:space="preserve"> Epidemiology and Prevention</w:t>
      </w:r>
    </w:p>
    <w:p>
      <w:pPr>
        <w:spacing w:line="480" w:lineRule="auto"/>
        <w:rPr>
          <w:rFonts w:cstheme="minorHAnsi"/>
          <w:sz w:val="24"/>
          <w:szCs w:val="24"/>
          <w:lang w:val="en-US"/>
        </w:rPr>
      </w:pPr>
      <w:r>
        <w:rPr>
          <w:rFonts w:cstheme="minorHAnsi"/>
          <w:sz w:val="24"/>
          <w:szCs w:val="24"/>
          <w:lang w:val="en-US"/>
        </w:rPr>
        <w:br w:type="page"/>
      </w:r>
    </w:p>
    <w:p>
      <w:pPr>
        <w:spacing w:line="480" w:lineRule="auto"/>
        <w:jc w:val="both"/>
        <w:rPr>
          <w:rFonts w:cstheme="minorHAnsi"/>
          <w:b/>
          <w:sz w:val="24"/>
          <w:szCs w:val="24"/>
          <w:u w:val="single"/>
          <w:lang w:val="en-US"/>
        </w:rPr>
      </w:pPr>
      <w:r>
        <w:rPr>
          <w:rFonts w:cstheme="minorHAnsi"/>
          <w:b/>
          <w:sz w:val="24"/>
          <w:szCs w:val="24"/>
          <w:u w:val="single"/>
          <w:lang w:val="en-US"/>
        </w:rPr>
        <w:t>Abstract</w:t>
      </w:r>
    </w:p>
    <w:p>
      <w:pPr>
        <w:spacing w:line="480" w:lineRule="auto"/>
        <w:jc w:val="both"/>
        <w:rPr>
          <w:rFonts w:cstheme="minorHAnsi"/>
          <w:sz w:val="24"/>
          <w:szCs w:val="24"/>
          <w:lang w:val="en-US"/>
        </w:rPr>
      </w:pPr>
      <w:r>
        <w:rPr>
          <w:rFonts w:cstheme="minorHAnsi"/>
          <w:b/>
          <w:sz w:val="24"/>
          <w:szCs w:val="24"/>
          <w:lang w:val="en-US"/>
        </w:rPr>
        <w:t>Objectives:</w:t>
      </w:r>
      <w:r>
        <w:rPr>
          <w:rFonts w:cstheme="minorHAnsi"/>
          <w:sz w:val="24"/>
          <w:szCs w:val="24"/>
          <w:lang w:val="en-US"/>
        </w:rPr>
        <w:t xml:space="preserve"> Studies from several countries reported socioeconomic inequalities in lung cancer survival. Hypothesized reasons are differences in cancer care or tumor characteristics. We investigated associations of small-area deprivation and lung cancer survival in Germany and the possible impact of differences in patient, tumor or treatment factors. </w:t>
      </w:r>
    </w:p>
    <w:p>
      <w:pPr>
        <w:spacing w:line="480" w:lineRule="auto"/>
        <w:jc w:val="both"/>
        <w:rPr>
          <w:rFonts w:cstheme="minorHAnsi"/>
          <w:sz w:val="24"/>
          <w:szCs w:val="24"/>
          <w:lang w:val="en-US"/>
        </w:rPr>
      </w:pPr>
      <w:r>
        <w:rPr>
          <w:rFonts w:cstheme="minorHAnsi"/>
          <w:b/>
          <w:sz w:val="24"/>
          <w:szCs w:val="24"/>
          <w:lang w:val="en-US"/>
        </w:rPr>
        <w:t>Materials and Methods:</w:t>
      </w:r>
      <w:r>
        <w:rPr>
          <w:rFonts w:cstheme="minorHAnsi"/>
          <w:sz w:val="24"/>
          <w:szCs w:val="24"/>
          <w:lang w:val="en-US"/>
        </w:rPr>
        <w:t xml:space="preserve"> Patients registered with a primary tumor of the lung between 2000-2015 in three German population-based clinical cancer registries were included. Area-based socioeconomic deprivation on municipality level was measured with the categorized German Index of Multiple Deprivation. Association of deprivation with overall survival was investigated with Cox regression models. </w:t>
      </w:r>
    </w:p>
    <w:p>
      <w:pPr>
        <w:spacing w:line="480" w:lineRule="auto"/>
        <w:jc w:val="both"/>
        <w:rPr>
          <w:rFonts w:cstheme="minorHAnsi"/>
          <w:b/>
          <w:sz w:val="24"/>
          <w:szCs w:val="24"/>
          <w:lang w:val="en-US"/>
        </w:rPr>
      </w:pPr>
      <w:r>
        <w:rPr>
          <w:rFonts w:cstheme="minorHAnsi"/>
          <w:b/>
          <w:sz w:val="24"/>
          <w:szCs w:val="24"/>
          <w:lang w:val="en-US"/>
        </w:rPr>
        <w:t>Results:</w:t>
      </w:r>
      <w:r>
        <w:rPr>
          <w:rFonts w:cstheme="minorHAnsi"/>
          <w:sz w:val="24"/>
          <w:szCs w:val="24"/>
          <w:lang w:val="en-US"/>
        </w:rPr>
        <w:t xml:space="preserve"> Overall, 22,905 patients were included. Five-year overall survival from the least to the most deprived quintile were 17.2%, 15.9%, 16.7%, 15.7%, and 14.4%. After adjustment for patient and tumor factors, the most deprived group had a lower survival compared to the least deprived group (Hazard Ratio (HR) 1.06, 95% confidence interval (CI) 1.01-1.11). Subgroup analyses revealed lower survival in the most deprived compared to the least deprived quintile in patients with stage I-III [HR: 1.14, 95% CI: 1.06-1.22]. The association persisted when restricting to patients receiving surgery but was attenuated for subgroups receiving either chemotherapy or radiotherapy.</w:t>
      </w:r>
      <w:r>
        <w:rPr>
          <w:rFonts w:cstheme="minorHAnsi"/>
          <w:b/>
          <w:sz w:val="24"/>
          <w:szCs w:val="24"/>
          <w:lang w:val="en-US"/>
        </w:rPr>
        <w:t xml:space="preserve"> </w:t>
      </w:r>
    </w:p>
    <w:p>
      <w:pPr>
        <w:spacing w:line="480" w:lineRule="auto"/>
        <w:jc w:val="both"/>
        <w:rPr>
          <w:rFonts w:cstheme="minorHAnsi"/>
          <w:sz w:val="24"/>
          <w:szCs w:val="24"/>
          <w:lang w:val="en-US"/>
        </w:rPr>
      </w:pPr>
      <w:r>
        <w:rPr>
          <w:rFonts w:cstheme="minorHAnsi"/>
          <w:b/>
          <w:sz w:val="24"/>
          <w:szCs w:val="24"/>
          <w:lang w:val="en-US"/>
        </w:rPr>
        <w:t xml:space="preserve">Conclusion: </w:t>
      </w:r>
      <w:r>
        <w:rPr>
          <w:rFonts w:cstheme="minorHAnsi"/>
          <w:sz w:val="24"/>
          <w:szCs w:val="24"/>
          <w:lang w:val="en-US"/>
        </w:rPr>
        <w:t>Our results indicate differences in lung cancer survival according to area deprivation in Germany, which were more pronounced in patients with I-III stage cancer. Future research should address in more detail the underlying reasons for the observed inequalities and possible approaches to overcome them.</w:t>
      </w:r>
    </w:p>
    <w:p>
      <w:pPr>
        <w:spacing w:line="480" w:lineRule="auto"/>
        <w:rPr>
          <w:rFonts w:cstheme="minorHAnsi"/>
          <w:sz w:val="24"/>
          <w:szCs w:val="24"/>
          <w:lang w:val="en-US"/>
        </w:rPr>
      </w:pPr>
      <w:r>
        <w:rPr>
          <w:rFonts w:cstheme="minorHAnsi"/>
          <w:b/>
          <w:sz w:val="24"/>
          <w:szCs w:val="24"/>
          <w:lang w:val="en-US"/>
        </w:rPr>
        <w:t>Keywords:</w:t>
      </w:r>
      <w:r>
        <w:rPr>
          <w:rFonts w:cstheme="minorHAnsi"/>
          <w:sz w:val="24"/>
          <w:szCs w:val="24"/>
          <w:lang w:val="en-US"/>
        </w:rPr>
        <w:t xml:space="preserve"> Area-based socioeconomic deprivation, survival, lung cancer, stage at diagnosis, treatment, Germany</w:t>
      </w:r>
    </w:p>
    <w:p>
      <w:pPr>
        <w:spacing w:line="480" w:lineRule="auto"/>
        <w:rPr>
          <w:rFonts w:cstheme="minorHAnsi"/>
          <w:b/>
          <w:sz w:val="24"/>
          <w:szCs w:val="24"/>
          <w:lang w:val="en-US"/>
        </w:rPr>
      </w:pPr>
      <w:r>
        <w:rPr>
          <w:rFonts w:cstheme="minorHAnsi"/>
          <w:b/>
          <w:sz w:val="24"/>
          <w:szCs w:val="24"/>
          <w:lang w:val="en-US"/>
        </w:rPr>
        <w:t>List of Abbreviations:</w:t>
      </w:r>
    </w:p>
    <w:p>
      <w:pPr>
        <w:spacing w:line="480" w:lineRule="auto"/>
        <w:rPr>
          <w:sz w:val="24"/>
          <w:lang w:val="en-US"/>
        </w:rPr>
      </w:pPr>
      <w:r>
        <w:rPr>
          <w:sz w:val="24"/>
          <w:lang w:val="en-US"/>
        </w:rPr>
        <w:t>FU</w:t>
      </w:r>
      <w:r>
        <w:rPr>
          <w:sz w:val="24"/>
          <w:lang w:val="en-US"/>
        </w:rPr>
        <w:tab/>
        <w:t>Follow-up</w:t>
      </w:r>
    </w:p>
    <w:p>
      <w:pPr>
        <w:spacing w:line="480" w:lineRule="auto"/>
        <w:rPr>
          <w:sz w:val="24"/>
          <w:lang w:val="en-US"/>
        </w:rPr>
      </w:pPr>
      <w:r>
        <w:rPr>
          <w:sz w:val="24"/>
          <w:lang w:val="en-US"/>
        </w:rPr>
        <w:t>GIMD</w:t>
      </w:r>
      <w:r>
        <w:rPr>
          <w:sz w:val="24"/>
          <w:lang w:val="en-US"/>
        </w:rPr>
        <w:tab/>
        <w:t>German Index of Multiple Deprivation</w:t>
      </w:r>
    </w:p>
    <w:p>
      <w:pPr>
        <w:spacing w:line="480" w:lineRule="auto"/>
        <w:rPr>
          <w:sz w:val="24"/>
          <w:lang w:val="en-US"/>
        </w:rPr>
      </w:pPr>
      <w:r>
        <w:rPr>
          <w:sz w:val="24"/>
          <w:lang w:val="en-US"/>
        </w:rPr>
        <w:t>HR</w:t>
      </w:r>
      <w:r>
        <w:rPr>
          <w:sz w:val="24"/>
          <w:lang w:val="en-US"/>
        </w:rPr>
        <w:tab/>
        <w:t>Hazard ratio</w:t>
      </w:r>
    </w:p>
    <w:p>
      <w:pPr>
        <w:spacing w:line="480" w:lineRule="auto"/>
        <w:rPr>
          <w:sz w:val="24"/>
          <w:lang w:val="en-US"/>
        </w:rPr>
      </w:pPr>
      <w:r>
        <w:rPr>
          <w:sz w:val="24"/>
          <w:lang w:val="en-US"/>
        </w:rPr>
        <w:t>ICD</w:t>
      </w:r>
      <w:r>
        <w:rPr>
          <w:sz w:val="24"/>
          <w:lang w:val="en-US"/>
        </w:rPr>
        <w:tab/>
        <w:t>International Classification of Diseases</w:t>
      </w:r>
    </w:p>
    <w:p>
      <w:pPr>
        <w:spacing w:line="480" w:lineRule="auto"/>
        <w:rPr>
          <w:sz w:val="24"/>
          <w:lang w:val="en-US"/>
        </w:rPr>
      </w:pPr>
      <w:r>
        <w:rPr>
          <w:sz w:val="24"/>
          <w:lang w:val="en-US"/>
        </w:rPr>
        <w:t>N</w:t>
      </w:r>
      <w:r>
        <w:rPr>
          <w:sz w:val="24"/>
          <w:lang w:val="en-US"/>
        </w:rPr>
        <w:tab/>
        <w:t>Number of observations</w:t>
      </w:r>
    </w:p>
    <w:p>
      <w:pPr>
        <w:spacing w:line="480" w:lineRule="auto"/>
        <w:rPr>
          <w:sz w:val="24"/>
          <w:lang w:val="en-US"/>
        </w:rPr>
      </w:pPr>
      <w:r>
        <w:rPr>
          <w:sz w:val="24"/>
          <w:lang w:val="en-US"/>
        </w:rPr>
        <w:t>n/a</w:t>
      </w:r>
      <w:r>
        <w:rPr>
          <w:sz w:val="24"/>
          <w:lang w:val="en-US"/>
        </w:rPr>
        <w:tab/>
        <w:t>Not applicable</w:t>
      </w:r>
    </w:p>
    <w:p>
      <w:pPr>
        <w:spacing w:line="480" w:lineRule="auto"/>
        <w:rPr>
          <w:sz w:val="24"/>
          <w:lang w:val="en-US"/>
        </w:rPr>
      </w:pPr>
      <w:r>
        <w:rPr>
          <w:sz w:val="24"/>
          <w:lang w:val="en-US"/>
        </w:rPr>
        <w:t>NSCLC</w:t>
      </w:r>
      <w:r>
        <w:rPr>
          <w:sz w:val="24"/>
          <w:lang w:val="en-US"/>
        </w:rPr>
        <w:tab/>
        <w:t>Non-small cell lung cancer</w:t>
      </w:r>
    </w:p>
    <w:p>
      <w:pPr>
        <w:spacing w:line="480" w:lineRule="auto"/>
        <w:rPr>
          <w:sz w:val="24"/>
          <w:lang w:val="en-US"/>
        </w:rPr>
      </w:pPr>
      <w:r>
        <w:rPr>
          <w:sz w:val="24"/>
          <w:lang w:val="en-US"/>
        </w:rPr>
        <w:t>SCLC</w:t>
      </w:r>
      <w:r>
        <w:rPr>
          <w:sz w:val="24"/>
          <w:lang w:val="en-US"/>
        </w:rPr>
        <w:tab/>
        <w:t>Small cell lung cancer</w:t>
      </w:r>
    </w:p>
    <w:p>
      <w:pPr>
        <w:spacing w:line="480" w:lineRule="auto"/>
        <w:rPr>
          <w:sz w:val="24"/>
          <w:lang w:val="en-US"/>
        </w:rPr>
      </w:pPr>
      <w:r>
        <w:rPr>
          <w:sz w:val="24"/>
          <w:lang w:val="en-US"/>
        </w:rPr>
        <w:t>SD</w:t>
      </w:r>
      <w:r>
        <w:rPr>
          <w:sz w:val="24"/>
          <w:lang w:val="en-US"/>
        </w:rPr>
        <w:tab/>
        <w:t>Standard deviation</w:t>
      </w:r>
    </w:p>
    <w:p>
      <w:pPr>
        <w:spacing w:line="480" w:lineRule="auto"/>
        <w:rPr>
          <w:sz w:val="24"/>
          <w:lang w:val="en-US"/>
        </w:rPr>
      </w:pPr>
      <w:r>
        <w:rPr>
          <w:sz w:val="24"/>
          <w:lang w:val="en-US"/>
        </w:rPr>
        <w:t>US</w:t>
      </w:r>
      <w:r>
        <w:rPr>
          <w:sz w:val="24"/>
          <w:lang w:val="en-US"/>
        </w:rPr>
        <w:tab/>
        <w:t>United States</w:t>
      </w:r>
    </w:p>
    <w:p>
      <w:pPr>
        <w:spacing w:line="480" w:lineRule="auto"/>
        <w:jc w:val="both"/>
        <w:rPr>
          <w:rFonts w:cstheme="minorHAnsi"/>
          <w:sz w:val="24"/>
          <w:szCs w:val="24"/>
          <w:lang w:val="en-US"/>
        </w:rPr>
      </w:pPr>
    </w:p>
    <w:p>
      <w:pPr>
        <w:spacing w:line="480" w:lineRule="auto"/>
        <w:jc w:val="both"/>
        <w:rPr>
          <w:rFonts w:cstheme="minorHAnsi"/>
          <w:sz w:val="24"/>
          <w:szCs w:val="24"/>
          <w:lang w:val="en-US"/>
        </w:rPr>
      </w:pPr>
    </w:p>
    <w:p>
      <w:pPr>
        <w:spacing w:line="480" w:lineRule="auto"/>
        <w:rPr>
          <w:rFonts w:cstheme="minorHAnsi"/>
          <w:b/>
          <w:sz w:val="24"/>
          <w:szCs w:val="24"/>
          <w:lang w:val="en-US"/>
        </w:rPr>
      </w:pPr>
      <w:r>
        <w:rPr>
          <w:rFonts w:cstheme="minorHAnsi"/>
          <w:b/>
          <w:sz w:val="24"/>
          <w:szCs w:val="24"/>
          <w:lang w:val="en-US"/>
        </w:rPr>
        <w:br w:type="page"/>
      </w:r>
    </w:p>
    <w:p>
      <w:pPr>
        <w:pStyle w:val="Listenabsatz"/>
        <w:numPr>
          <w:ilvl w:val="0"/>
          <w:numId w:val="16"/>
        </w:numPr>
        <w:spacing w:line="480" w:lineRule="auto"/>
        <w:rPr>
          <w:rFonts w:cstheme="minorHAnsi"/>
          <w:b/>
          <w:sz w:val="24"/>
          <w:szCs w:val="24"/>
          <w:lang w:val="en-US"/>
        </w:rPr>
      </w:pPr>
      <w:r>
        <w:rPr>
          <w:rFonts w:cstheme="minorHAnsi"/>
          <w:b/>
          <w:sz w:val="24"/>
          <w:szCs w:val="24"/>
          <w:lang w:val="en-US"/>
        </w:rPr>
        <w:t>Introduction</w:t>
      </w:r>
    </w:p>
    <w:p>
      <w:pPr>
        <w:spacing w:line="480" w:lineRule="auto"/>
        <w:jc w:val="both"/>
        <w:rPr>
          <w:rFonts w:cstheme="minorHAnsi"/>
          <w:sz w:val="24"/>
          <w:szCs w:val="24"/>
          <w:lang w:val="en-US"/>
        </w:rPr>
      </w:pPr>
      <w:r>
        <w:rPr>
          <w:rFonts w:cstheme="minorHAnsi"/>
          <w:sz w:val="24"/>
          <w:szCs w:val="24"/>
          <w:lang w:val="en-US"/>
        </w:rPr>
        <w:t>Lung cancer is the leading cause of cancer related death globally, accounting for approximately 1.76 million deaths in 2018.</w:t>
      </w:r>
      <w:r>
        <w:rPr>
          <w:rFonts w:cstheme="minorHAnsi"/>
          <w:noProof/>
          <w:sz w:val="24"/>
          <w:szCs w:val="24"/>
          <w:vertAlign w:val="superscript"/>
          <w:lang w:val="en-US"/>
        </w:rPr>
        <w:t>1</w:t>
      </w:r>
      <w:r>
        <w:rPr>
          <w:rFonts w:cstheme="minorHAnsi"/>
          <w:sz w:val="24"/>
          <w:szCs w:val="24"/>
          <w:lang w:val="en-US"/>
        </w:rPr>
        <w:t xml:space="preserve"> Prognosis used to be generally very poor, with 5-year survival rates ranging between 10 and 20 % in different countries.</w:t>
      </w:r>
      <w:r>
        <w:rPr>
          <w:rFonts w:cstheme="minorHAnsi"/>
          <w:noProof/>
          <w:sz w:val="24"/>
          <w:szCs w:val="24"/>
          <w:vertAlign w:val="superscript"/>
          <w:lang w:val="en-US"/>
        </w:rPr>
        <w:t>2</w:t>
      </w:r>
      <w:r>
        <w:rPr>
          <w:rFonts w:cstheme="minorHAnsi"/>
          <w:sz w:val="24"/>
          <w:szCs w:val="24"/>
          <w:lang w:val="en-US"/>
        </w:rPr>
        <w:t xml:space="preserve"> Numerous prognostic factors have been investigated which include tumor-related but also patient-related factors, as well as smoking status and cancer treatment.</w:t>
      </w:r>
      <w:r>
        <w:rPr>
          <w:rFonts w:cstheme="minorHAnsi"/>
          <w:noProof/>
          <w:sz w:val="24"/>
          <w:szCs w:val="24"/>
          <w:vertAlign w:val="superscript"/>
          <w:lang w:val="en-US"/>
        </w:rPr>
        <w:t>3</w:t>
      </w:r>
      <w:r>
        <w:rPr>
          <w:rFonts w:cstheme="minorHAnsi"/>
          <w:sz w:val="24"/>
          <w:szCs w:val="24"/>
          <w:lang w:val="en-US"/>
        </w:rPr>
        <w:t xml:space="preserve"> For example, a later stage at diagnosis, male gender and current smoking at diagnosis have been shown to predict particularly poor prognosis in lung cancer patients.</w:t>
      </w:r>
      <w:r>
        <w:rPr>
          <w:rFonts w:cstheme="minorHAnsi"/>
          <w:noProof/>
          <w:sz w:val="24"/>
          <w:szCs w:val="24"/>
          <w:vertAlign w:val="superscript"/>
          <w:lang w:val="en-US"/>
        </w:rPr>
        <w:t>4,5</w:t>
      </w:r>
    </w:p>
    <w:p>
      <w:pPr>
        <w:spacing w:line="480" w:lineRule="auto"/>
        <w:jc w:val="both"/>
        <w:rPr>
          <w:rFonts w:cstheme="minorHAnsi"/>
          <w:sz w:val="24"/>
          <w:szCs w:val="24"/>
          <w:lang w:val="en-US"/>
        </w:rPr>
      </w:pPr>
      <w:r>
        <w:rPr>
          <w:rFonts w:cstheme="minorHAnsi"/>
          <w:sz w:val="24"/>
          <w:szCs w:val="24"/>
          <w:lang w:val="en-US"/>
        </w:rPr>
        <w:t>Social inequalities in lung cancer survival have been reported for countries with and without universal health care systems.</w:t>
      </w:r>
      <w:r>
        <w:rPr>
          <w:rFonts w:cstheme="minorHAnsi"/>
          <w:noProof/>
          <w:sz w:val="24"/>
          <w:szCs w:val="24"/>
          <w:vertAlign w:val="superscript"/>
          <w:lang w:val="en-US"/>
        </w:rPr>
        <w:t>6,7</w:t>
      </w:r>
      <w:r>
        <w:rPr>
          <w:rFonts w:cstheme="minorHAnsi"/>
          <w:sz w:val="24"/>
          <w:szCs w:val="24"/>
          <w:lang w:val="en-US"/>
        </w:rPr>
        <w:t xml:space="preserve"> Irrespective of the type of socioeconomic measurement, studies reported lower survival for lower socioeconomic groups.</w:t>
      </w:r>
      <w:r>
        <w:rPr>
          <w:rFonts w:cstheme="minorHAnsi"/>
          <w:noProof/>
          <w:sz w:val="24"/>
          <w:szCs w:val="24"/>
          <w:vertAlign w:val="superscript"/>
          <w:lang w:val="en-US"/>
        </w:rPr>
        <w:t>8</w:t>
      </w:r>
      <w:r>
        <w:rPr>
          <w:rFonts w:cstheme="minorHAnsi"/>
          <w:sz w:val="24"/>
          <w:szCs w:val="24"/>
          <w:lang w:val="en-US"/>
        </w:rPr>
        <w:t xml:space="preserve"> Stage at diagnosis, comorbidity, cancer therapy and smoking status have been found to at least partly explain the association between socioeconomic status and lung cancer survival.</w:t>
      </w:r>
      <w:r>
        <w:rPr>
          <w:rFonts w:cstheme="minorHAnsi"/>
          <w:noProof/>
          <w:sz w:val="24"/>
          <w:szCs w:val="24"/>
          <w:vertAlign w:val="superscript"/>
          <w:lang w:val="en-US"/>
        </w:rPr>
        <w:t>9-11</w:t>
      </w:r>
      <w:r>
        <w:rPr>
          <w:rFonts w:cstheme="minorHAnsi"/>
          <w:sz w:val="24"/>
          <w:szCs w:val="24"/>
          <w:lang w:val="en-US"/>
        </w:rPr>
        <w:t xml:space="preserve"> A study including lung cancer patients resident in Denmark reported smaller hazard ratio estimates when additionally adjusting for stage at diagnosis, first-line treatment and comorbidities.</w:t>
      </w:r>
      <w:r>
        <w:rPr>
          <w:rFonts w:cstheme="minorHAnsi"/>
          <w:noProof/>
          <w:sz w:val="24"/>
          <w:szCs w:val="24"/>
          <w:vertAlign w:val="superscript"/>
          <w:lang w:val="en-US"/>
        </w:rPr>
        <w:t>10</w:t>
      </w:r>
    </w:p>
    <w:p>
      <w:pPr>
        <w:spacing w:line="480" w:lineRule="auto"/>
        <w:jc w:val="both"/>
        <w:rPr>
          <w:rFonts w:cstheme="minorHAnsi"/>
          <w:sz w:val="24"/>
          <w:szCs w:val="24"/>
          <w:lang w:val="en-US"/>
        </w:rPr>
      </w:pPr>
      <w:r>
        <w:rPr>
          <w:rFonts w:cstheme="minorHAnsi"/>
          <w:sz w:val="24"/>
          <w:szCs w:val="24"/>
          <w:lang w:val="en-US"/>
        </w:rPr>
        <w:t xml:space="preserve">Area-based measurements such as </w:t>
      </w:r>
      <w:r>
        <w:rPr>
          <w:rFonts w:cstheme="minorHAnsi"/>
          <w:sz w:val="24"/>
          <w:szCs w:val="24"/>
          <w:lang w:val="en-US"/>
        </w:rPr>
        <w:t xml:space="preserve">indices of multiple deprivation </w:t>
      </w:r>
      <w:r>
        <w:rPr>
          <w:rFonts w:cstheme="minorHAnsi"/>
          <w:sz w:val="24"/>
          <w:szCs w:val="24"/>
          <w:lang w:val="en-US"/>
        </w:rPr>
        <w:t>can be used to investigate associations of area-specific indicators with the health of a population independent of socioeconomic status in a population subgroup such as patients with a given disease.</w:t>
      </w:r>
      <w:r>
        <w:rPr>
          <w:rFonts w:cstheme="minorHAnsi"/>
          <w:noProof/>
          <w:sz w:val="24"/>
          <w:szCs w:val="24"/>
          <w:vertAlign w:val="superscript"/>
          <w:lang w:val="en-US"/>
        </w:rPr>
        <w:t>12</w:t>
      </w:r>
      <w:r>
        <w:rPr>
          <w:rFonts w:cstheme="minorHAnsi"/>
          <w:sz w:val="24"/>
          <w:szCs w:val="24"/>
          <w:lang w:val="en-US"/>
        </w:rPr>
        <w:t xml:space="preserve"> In addition, </w:t>
      </w:r>
      <w:r>
        <w:rPr>
          <w:rFonts w:cstheme="minorHAnsi"/>
          <w:sz w:val="24"/>
          <w:szCs w:val="24"/>
          <w:lang w:val="en-US"/>
        </w:rPr>
        <w:t>such</w:t>
      </w:r>
      <w:r>
        <w:rPr>
          <w:rFonts w:cstheme="minorHAnsi"/>
          <w:sz w:val="24"/>
          <w:szCs w:val="24"/>
          <w:lang w:val="en-US"/>
        </w:rPr>
        <w:t xml:space="preserve"> indices are also used as a proxy if the individual socioeconomic status is not available.</w:t>
      </w:r>
      <w:r>
        <w:rPr>
          <w:rFonts w:cstheme="minorHAnsi"/>
          <w:noProof/>
          <w:sz w:val="24"/>
          <w:szCs w:val="24"/>
          <w:vertAlign w:val="superscript"/>
          <w:lang w:val="en-US"/>
        </w:rPr>
        <w:t>12</w:t>
      </w:r>
    </w:p>
    <w:p>
      <w:pPr>
        <w:spacing w:line="480" w:lineRule="auto"/>
        <w:jc w:val="both"/>
        <w:rPr>
          <w:rFonts w:cstheme="minorHAnsi"/>
          <w:sz w:val="24"/>
          <w:szCs w:val="24"/>
          <w:lang w:val="en-US"/>
        </w:rPr>
      </w:pPr>
      <w:r>
        <w:rPr>
          <w:rFonts w:cstheme="minorHAnsi"/>
          <w:sz w:val="24"/>
          <w:szCs w:val="24"/>
          <w:lang w:val="en-US"/>
        </w:rPr>
        <w:t>In a recent study from Germany, the associations between area-based socioeconomic deprivation and cancer survival was analyzed for 25 cancer sites using data from population-based cancer registries covering 200 of 439 districts (median population: 126,000 residents in 2006) in Germany.</w:t>
      </w:r>
      <w:r>
        <w:rPr>
          <w:rFonts w:cstheme="minorHAnsi"/>
          <w:noProof/>
          <w:sz w:val="24"/>
          <w:szCs w:val="24"/>
          <w:vertAlign w:val="superscript"/>
          <w:lang w:val="en-US"/>
        </w:rPr>
        <w:t>13</w:t>
      </w:r>
      <w:r>
        <w:rPr>
          <w:rFonts w:cstheme="minorHAnsi"/>
          <w:sz w:val="24"/>
          <w:szCs w:val="24"/>
          <w:lang w:val="en-US"/>
        </w:rPr>
        <w:t xml:space="preserve"> For cancers of the trachea, lung and bronchus, results showed lower 5-year relative survival in patients living in the most deprived districts compared to patients living in all other districts [5-year age-standardized relative survival (standard error in % units): Quintile 1 (Q1, least deprived) 18.0 % (0.5), Q2 17.8 % (0.5), Q3 16.1 % (0.4), Q4 16.5 % (0.4), Q5 (most deprived) 14.4 % (0.4)]. Effect sizes were largest in the first three months after diagnosis and even increased after adjustment for stage at diagnosis.</w:t>
      </w:r>
      <w:r>
        <w:rPr>
          <w:rFonts w:cstheme="minorHAnsi"/>
          <w:noProof/>
          <w:sz w:val="24"/>
          <w:szCs w:val="24"/>
          <w:vertAlign w:val="superscript"/>
          <w:lang w:val="en-US"/>
        </w:rPr>
        <w:t>13</w:t>
      </w:r>
      <w:r>
        <w:rPr>
          <w:rFonts w:cstheme="minorHAnsi"/>
          <w:sz w:val="24"/>
          <w:szCs w:val="24"/>
          <w:lang w:val="en-US"/>
        </w:rPr>
        <w:t xml:space="preserve"> However, measurement of socioeconomic deprivation at county level does no take potential variation of socioeconomic deprivation across municipalities within counties into account.</w:t>
      </w:r>
      <w:r>
        <w:rPr>
          <w:rFonts w:cstheme="minorHAnsi"/>
          <w:sz w:val="24"/>
          <w:szCs w:val="24"/>
          <w:lang w:val="en-US"/>
        </w:rPr>
        <w:t xml:space="preserve"> Whereas</w:t>
      </w:r>
      <w:r>
        <w:rPr>
          <w:rFonts w:cstheme="minorHAnsi"/>
          <w:sz w:val="24"/>
          <w:szCs w:val="24"/>
          <w:lang w:val="en-US"/>
        </w:rPr>
        <w:t xml:space="preserve"> possible interventions to reduce differences in lung cancer survival could be organized on municipality level.</w:t>
      </w:r>
    </w:p>
    <w:p>
      <w:pPr>
        <w:spacing w:line="480" w:lineRule="auto"/>
        <w:jc w:val="both"/>
        <w:rPr>
          <w:rFonts w:cstheme="minorHAnsi"/>
          <w:sz w:val="24"/>
          <w:szCs w:val="24"/>
          <w:lang w:val="en-US"/>
        </w:rPr>
      </w:pPr>
      <w:r>
        <w:rPr>
          <w:rFonts w:cstheme="minorHAnsi"/>
          <w:sz w:val="24"/>
          <w:szCs w:val="24"/>
          <w:lang w:val="en-US"/>
        </w:rPr>
        <w:t>The objective of the current analysis is to investigate the association between area-based socioeconomic deprivation on municipality level (median population: 2,200 residents, range 130-520,</w:t>
      </w:r>
      <w:r>
        <w:rPr>
          <w:rFonts w:cstheme="minorHAnsi"/>
          <w:sz w:val="24"/>
          <w:szCs w:val="24"/>
          <w:lang w:val="en-US"/>
        </w:rPr>
        <w:t>0</w:t>
      </w:r>
      <w:r>
        <w:rPr>
          <w:rFonts w:cstheme="minorHAnsi"/>
          <w:sz w:val="24"/>
          <w:szCs w:val="24"/>
          <w:lang w:val="en-US"/>
        </w:rPr>
        <w:t>00)</w:t>
      </w:r>
      <w:r>
        <w:rPr>
          <w:rFonts w:cstheme="minorHAnsi"/>
          <w:noProof/>
          <w:sz w:val="24"/>
          <w:szCs w:val="24"/>
          <w:vertAlign w:val="superscript"/>
          <w:lang w:val="en-US"/>
        </w:rPr>
        <w:t>14</w:t>
      </w:r>
      <w:r>
        <w:rPr>
          <w:rFonts w:cstheme="minorHAnsi"/>
          <w:sz w:val="24"/>
          <w:szCs w:val="24"/>
          <w:lang w:val="en-US"/>
        </w:rPr>
        <w:t xml:space="preserve"> and lung cancer survival by using data from German population-based clinical cancer registries. Furthermore, we examined whether the association between area deprivation and lung cancer survival depended on the age or sex of the cancer patients, clinical prognostics factors or utilization of cancer therapy.</w:t>
      </w:r>
    </w:p>
    <w:p>
      <w:pPr>
        <w:pStyle w:val="Listenabsatz"/>
        <w:numPr>
          <w:ilvl w:val="0"/>
          <w:numId w:val="16"/>
        </w:numPr>
        <w:spacing w:line="480" w:lineRule="auto"/>
        <w:jc w:val="both"/>
        <w:rPr>
          <w:rFonts w:cstheme="minorHAnsi"/>
          <w:b/>
          <w:sz w:val="24"/>
          <w:szCs w:val="24"/>
          <w:lang w:val="en-US"/>
        </w:rPr>
      </w:pPr>
      <w:r>
        <w:rPr>
          <w:rFonts w:cstheme="minorHAnsi"/>
          <w:b/>
          <w:sz w:val="24"/>
          <w:szCs w:val="24"/>
          <w:lang w:val="en-US"/>
        </w:rPr>
        <w:t>Materials and Methods</w:t>
      </w:r>
    </w:p>
    <w:p>
      <w:pPr>
        <w:pStyle w:val="Listenabsatz"/>
        <w:numPr>
          <w:ilvl w:val="1"/>
          <w:numId w:val="16"/>
        </w:numPr>
        <w:spacing w:line="480" w:lineRule="auto"/>
        <w:jc w:val="both"/>
        <w:rPr>
          <w:rFonts w:cstheme="minorHAnsi"/>
          <w:sz w:val="24"/>
          <w:szCs w:val="24"/>
          <w:lang w:val="en-US"/>
        </w:rPr>
      </w:pPr>
      <w:r>
        <w:rPr>
          <w:rFonts w:cstheme="minorHAnsi"/>
          <w:sz w:val="24"/>
          <w:szCs w:val="24"/>
          <w:lang w:val="en-US"/>
        </w:rPr>
        <w:t>Study population</w:t>
      </w:r>
    </w:p>
    <w:p>
      <w:pPr>
        <w:spacing w:line="480" w:lineRule="auto"/>
        <w:jc w:val="both"/>
        <w:rPr>
          <w:rFonts w:cstheme="minorHAnsi"/>
          <w:sz w:val="24"/>
          <w:szCs w:val="24"/>
          <w:lang w:val="en-US"/>
        </w:rPr>
      </w:pPr>
      <w:r>
        <w:rPr>
          <w:rFonts w:cstheme="minorHAnsi"/>
          <w:sz w:val="24"/>
          <w:szCs w:val="24"/>
          <w:lang w:val="en-US"/>
        </w:rPr>
        <w:t>For our retrospective cohort study, data were used from three regional population-based clinical cancer registries in Germany (located in Regensburg, Erfurt, and Dresden and covering parts of the German states Bavaria, Thuringia and Saxony, respectively, Supplementary Figure B1). These cancer registries cover regions in the south and east of Germany (Population size ≈ 4 million residents in 2015).</w:t>
      </w:r>
      <w:r>
        <w:rPr>
          <w:rFonts w:cstheme="minorHAnsi"/>
          <w:noProof/>
          <w:sz w:val="24"/>
          <w:szCs w:val="24"/>
          <w:vertAlign w:val="superscript"/>
          <w:lang w:val="en-US"/>
        </w:rPr>
        <w:t>14</w:t>
      </w:r>
      <w:r>
        <w:rPr>
          <w:rFonts w:cstheme="minorHAnsi"/>
          <w:sz w:val="24"/>
          <w:szCs w:val="24"/>
          <w:lang w:val="en-US"/>
        </w:rPr>
        <w:t xml:space="preserve"> The cities of Dresden (523,058 residents), Erfurt (204,994 residents) and Regensburg (135,520 residents) comprise 13.4 %, 5.2 % and 3.5 % of the total underlying study population, respectively.</w:t>
      </w:r>
      <w:r>
        <w:rPr>
          <w:rFonts w:cstheme="minorHAnsi"/>
          <w:noProof/>
          <w:sz w:val="24"/>
          <w:szCs w:val="24"/>
          <w:vertAlign w:val="superscript"/>
          <w:lang w:val="en-US"/>
        </w:rPr>
        <w:t>14</w:t>
      </w:r>
      <w:r>
        <w:rPr>
          <w:rFonts w:cstheme="minorHAnsi"/>
          <w:sz w:val="24"/>
          <w:szCs w:val="24"/>
          <w:lang w:val="en-US"/>
        </w:rPr>
        <w:t xml:space="preserve"> The catchment areas of the Erfurt and Regensburg registries include five other cities with a population of 42,000 to 51,000 residents. Patients at the age of 15 years or older and resident in the catchment areas of one of the above-mentioned registries with a malignant primary tumor of the lung (International Classification of Diseases 10 C34) diagnosed in 2000-2015 were eligible for the analysis. Death certificate or autopsy only cases were excluded (Supplementary Figure B2).</w:t>
      </w:r>
    </w:p>
    <w:p>
      <w:pPr>
        <w:pStyle w:val="Listenabsatz"/>
        <w:numPr>
          <w:ilvl w:val="1"/>
          <w:numId w:val="16"/>
        </w:numPr>
        <w:spacing w:line="480" w:lineRule="auto"/>
        <w:jc w:val="both"/>
        <w:rPr>
          <w:rFonts w:cstheme="minorHAnsi"/>
          <w:sz w:val="24"/>
          <w:szCs w:val="24"/>
          <w:lang w:val="en-US"/>
        </w:rPr>
      </w:pPr>
      <w:r>
        <w:rPr>
          <w:rFonts w:cstheme="minorHAnsi"/>
          <w:sz w:val="24"/>
          <w:szCs w:val="24"/>
          <w:lang w:val="en-US"/>
        </w:rPr>
        <w:t>Area-based socioeconomic deprivation</w:t>
      </w:r>
    </w:p>
    <w:p>
      <w:pPr>
        <w:spacing w:line="480" w:lineRule="auto"/>
        <w:jc w:val="both"/>
        <w:rPr>
          <w:rFonts w:cstheme="minorHAnsi"/>
          <w:sz w:val="24"/>
          <w:szCs w:val="24"/>
          <w:lang w:val="en-US"/>
        </w:rPr>
      </w:pPr>
      <w:r>
        <w:rPr>
          <w:rFonts w:cstheme="minorHAnsi"/>
          <w:sz w:val="24"/>
          <w:szCs w:val="24"/>
          <w:lang w:val="en-US"/>
        </w:rPr>
        <w:t>The area-based socioeconomic deprivation of the patients was assessed using the German Index of Multiple Deprivation (GIMD)</w:t>
      </w:r>
      <w:r>
        <w:rPr>
          <w:rFonts w:cstheme="minorHAnsi"/>
          <w:noProof/>
          <w:sz w:val="24"/>
          <w:szCs w:val="24"/>
          <w:vertAlign w:val="superscript"/>
          <w:lang w:val="en-US"/>
        </w:rPr>
        <w:t>15</w:t>
      </w:r>
      <w:r>
        <w:rPr>
          <w:rFonts w:cstheme="minorHAnsi"/>
          <w:sz w:val="24"/>
          <w:szCs w:val="24"/>
          <w:lang w:val="en-US"/>
        </w:rPr>
        <w:t xml:space="preserve"> on municipality level. The GIMD is based on data of official statistics and consists of seven single domains (income, employment, education, municipality revenue, social capital, environment, and security deprivation), and a composite index. Up to now, two editions of this deprivation index are available based on data from 2006 and from 2010 (or the next year available), respectively. All included municipalities were assigned the composite index as deprivation score. Using the population size, deprivation quintiles were then computed twice involving either all included municipalities (main analyses) or calculating registry-specific values over all municipalities within the registry. For the latter calculation, the large cities Dresden and Erfurt were assigned a separate category. All patients were assigned to a deprivation quintile according to the municipality of residence at the time of diagnosis. In the catchment areas of included registries, there were 792 municipalities with a median population of 2205 residents (range 137-504,795) in 2006 and 779 municipalities with a median population of 2189 residents (range 128-523,058) in 2010.</w:t>
      </w:r>
      <w:r>
        <w:rPr>
          <w:rFonts w:cstheme="minorHAnsi"/>
          <w:noProof/>
          <w:sz w:val="24"/>
          <w:szCs w:val="24"/>
          <w:vertAlign w:val="superscript"/>
          <w:lang w:val="en-US"/>
        </w:rPr>
        <w:t>14</w:t>
      </w:r>
      <w:r>
        <w:rPr>
          <w:rFonts w:cstheme="minorHAnsi"/>
          <w:sz w:val="24"/>
          <w:szCs w:val="24"/>
          <w:lang w:val="en-US"/>
        </w:rPr>
        <w:t xml:space="preserve"> Supplementary Table B1 and Figure B1 show cutoffs for the categorized GIMD quintiles, the original GIMD quintiles and a map of the categorized 2010 GIMD quintiles over all included municipalities.</w:t>
      </w:r>
    </w:p>
    <w:p>
      <w:pPr>
        <w:pStyle w:val="Listenabsatz"/>
        <w:numPr>
          <w:ilvl w:val="1"/>
          <w:numId w:val="16"/>
        </w:numPr>
        <w:spacing w:line="480" w:lineRule="auto"/>
        <w:jc w:val="both"/>
        <w:rPr>
          <w:rFonts w:cstheme="minorHAnsi"/>
          <w:sz w:val="24"/>
          <w:szCs w:val="24"/>
          <w:lang w:val="en-US"/>
        </w:rPr>
      </w:pPr>
      <w:r>
        <w:rPr>
          <w:rFonts w:cstheme="minorHAnsi"/>
          <w:sz w:val="24"/>
          <w:szCs w:val="24"/>
          <w:lang w:val="en-US"/>
        </w:rPr>
        <w:t>Covariates</w:t>
      </w:r>
    </w:p>
    <w:p>
      <w:pPr>
        <w:spacing w:line="480" w:lineRule="auto"/>
        <w:jc w:val="both"/>
        <w:rPr>
          <w:rFonts w:cstheme="minorHAnsi"/>
          <w:sz w:val="24"/>
          <w:szCs w:val="24"/>
          <w:lang w:val="en-US"/>
        </w:rPr>
      </w:pPr>
      <w:r>
        <w:rPr>
          <w:rFonts w:cstheme="minorHAnsi"/>
          <w:sz w:val="24"/>
          <w:szCs w:val="24"/>
          <w:lang w:val="en-US"/>
        </w:rPr>
        <w:t>Cancer registries provided i</w:t>
      </w:r>
      <w:r>
        <w:rPr>
          <w:rFonts w:cstheme="minorHAnsi"/>
          <w:sz w:val="24"/>
          <w:szCs w:val="24"/>
          <w:lang w:val="en-US"/>
        </w:rPr>
        <w:t>nformation on age, sex, place of residence, year of diagnosis, stage, histology, grade, vital status of cancer patients</w:t>
      </w:r>
      <w:r>
        <w:rPr>
          <w:rFonts w:cstheme="minorHAnsi"/>
          <w:sz w:val="24"/>
          <w:szCs w:val="24"/>
          <w:lang w:val="en-US"/>
        </w:rPr>
        <w:t>, and primary treatment, which referred to first treatment of the primary tumor and was defined as</w:t>
      </w:r>
      <w:r>
        <w:rPr>
          <w:rFonts w:cstheme="minorHAnsi"/>
          <w:sz w:val="24"/>
          <w:szCs w:val="24"/>
          <w:lang w:val="en-US"/>
        </w:rPr>
        <w:t xml:space="preserve"> either receiving surgery, chemotherapy or radiotherapy </w:t>
      </w:r>
      <w:r>
        <w:rPr>
          <w:rFonts w:cstheme="minorHAnsi"/>
          <w:sz w:val="24"/>
          <w:szCs w:val="24"/>
          <w:lang w:val="en-US"/>
        </w:rPr>
        <w:t>(</w:t>
      </w:r>
      <w:r>
        <w:rPr>
          <w:rFonts w:cstheme="minorHAnsi"/>
          <w:sz w:val="24"/>
          <w:szCs w:val="24"/>
          <w:lang w:val="en-US"/>
        </w:rPr>
        <w:t>we did not consider treatment combinations</w:t>
      </w:r>
      <w:r>
        <w:rPr>
          <w:rFonts w:cstheme="minorHAnsi"/>
          <w:sz w:val="24"/>
          <w:szCs w:val="24"/>
          <w:lang w:val="en-US"/>
        </w:rPr>
        <w:t>)</w:t>
      </w:r>
      <w:r>
        <w:rPr>
          <w:rFonts w:cstheme="minorHAnsi"/>
          <w:sz w:val="24"/>
          <w:szCs w:val="24"/>
          <w:lang w:val="en-US"/>
        </w:rPr>
        <w:t>. During data quality checks, strong differences in treatment utilization proportions across registries and calendar periods were detected which could not be excluded to be based on differences in the completeness of treatment registration and might result in biases in regional analyses. However, if the treatment variable explicitly indicated that a specific therapy was actually given, this information was expected to be reliable. We therefore used treatment factors for subgroup analyses by restricting the sample to patients receiving specific treatments. Additionally, we included cancer registry (Dresden, Erfurt, Regensburg) as adjustment or stratification variable in our models.</w:t>
      </w:r>
    </w:p>
    <w:p>
      <w:pPr>
        <w:pStyle w:val="Listenabsatz"/>
        <w:numPr>
          <w:ilvl w:val="1"/>
          <w:numId w:val="16"/>
        </w:numPr>
        <w:spacing w:line="480" w:lineRule="auto"/>
        <w:jc w:val="both"/>
        <w:rPr>
          <w:rFonts w:cstheme="minorHAnsi"/>
          <w:sz w:val="24"/>
          <w:szCs w:val="24"/>
          <w:lang w:val="en-US"/>
        </w:rPr>
      </w:pPr>
      <w:r>
        <w:rPr>
          <w:rFonts w:cstheme="minorHAnsi"/>
          <w:sz w:val="24"/>
          <w:szCs w:val="24"/>
          <w:lang w:val="en-US"/>
        </w:rPr>
        <w:t>Outcome</w:t>
      </w:r>
    </w:p>
    <w:p>
      <w:pPr>
        <w:spacing w:line="480" w:lineRule="auto"/>
        <w:jc w:val="both"/>
        <w:rPr>
          <w:rFonts w:cstheme="minorHAnsi"/>
          <w:sz w:val="24"/>
          <w:szCs w:val="24"/>
          <w:lang w:val="en-US"/>
        </w:rPr>
      </w:pPr>
      <w:r>
        <w:rPr>
          <w:rFonts w:cstheme="minorHAnsi"/>
          <w:sz w:val="24"/>
          <w:szCs w:val="24"/>
          <w:lang w:val="en-US"/>
        </w:rPr>
        <w:t>Overall survival was computed from date of cancer diagnosis to death from any cause. Vital status was ascertained using death certificates and information from the registration offices. Patients lost to follow-up before death or still alive at the last vital status assessment were right-censored at the date of the last vital status assessment or end of 2015 whichever came first.</w:t>
      </w:r>
    </w:p>
    <w:p>
      <w:pPr>
        <w:spacing w:line="480" w:lineRule="auto"/>
        <w:jc w:val="both"/>
        <w:rPr>
          <w:rFonts w:cstheme="minorHAnsi"/>
          <w:sz w:val="24"/>
          <w:szCs w:val="24"/>
          <w:lang w:val="en-US"/>
        </w:rPr>
      </w:pPr>
    </w:p>
    <w:p>
      <w:pPr>
        <w:pStyle w:val="Listenabsatz"/>
        <w:numPr>
          <w:ilvl w:val="1"/>
          <w:numId w:val="16"/>
        </w:numPr>
        <w:spacing w:line="480" w:lineRule="auto"/>
        <w:jc w:val="both"/>
        <w:rPr>
          <w:rFonts w:cstheme="minorHAnsi"/>
          <w:sz w:val="24"/>
          <w:szCs w:val="24"/>
          <w:lang w:val="en-US"/>
        </w:rPr>
      </w:pPr>
      <w:r>
        <w:rPr>
          <w:rFonts w:cstheme="minorHAnsi"/>
          <w:sz w:val="24"/>
          <w:szCs w:val="24"/>
          <w:lang w:val="en-US"/>
        </w:rPr>
        <w:t>Statistical analysis</w:t>
      </w:r>
    </w:p>
    <w:p>
      <w:pPr>
        <w:spacing w:line="480" w:lineRule="auto"/>
        <w:jc w:val="both"/>
        <w:rPr>
          <w:rFonts w:cstheme="minorHAnsi"/>
          <w:sz w:val="24"/>
          <w:szCs w:val="24"/>
          <w:lang w:val="en-US"/>
        </w:rPr>
      </w:pPr>
      <w:r>
        <w:rPr>
          <w:rFonts w:cstheme="minorHAnsi"/>
          <w:sz w:val="24"/>
          <w:szCs w:val="24"/>
          <w:lang w:val="en-US"/>
        </w:rPr>
        <w:t>Demographic and clinical characteristics by area-based deprivation quintile were described and distribution across deprivation quintiles were compared using Chi-square tests. Missing values in relevant variables were imputed using Multiple Imputation by Chained Equations (more detail in the Supplementary Material A).</w:t>
      </w:r>
      <w:r>
        <w:rPr>
          <w:rFonts w:cstheme="minorHAnsi"/>
          <w:noProof/>
          <w:sz w:val="24"/>
          <w:szCs w:val="24"/>
          <w:vertAlign w:val="superscript"/>
          <w:lang w:val="en-US"/>
        </w:rPr>
        <w:t>16</w:t>
      </w:r>
      <w:r>
        <w:rPr>
          <w:rFonts w:cstheme="minorHAnsi"/>
          <w:sz w:val="24"/>
          <w:szCs w:val="24"/>
          <w:lang w:val="en-US"/>
        </w:rPr>
        <w:t xml:space="preserve"> The distribution of these variables before and after imputation is shown in supplementary Table </w:t>
      </w:r>
      <w:r>
        <w:rPr>
          <w:rFonts w:cstheme="minorHAnsi"/>
          <w:sz w:val="24"/>
          <w:szCs w:val="24"/>
          <w:lang w:val="en-US"/>
        </w:rPr>
        <w:t>B</w:t>
      </w:r>
      <w:r>
        <w:rPr>
          <w:rFonts w:cstheme="minorHAnsi"/>
          <w:sz w:val="24"/>
          <w:szCs w:val="24"/>
          <w:lang w:val="en-US"/>
        </w:rPr>
        <w:t>2. Overall survival curves by area-based deprivation quintile were computed with the Kaplan-Meier method. The median follow-up length was estimated with reverse Kaplan-Meier method.</w:t>
      </w:r>
      <w:r>
        <w:rPr>
          <w:rFonts w:cstheme="minorHAnsi"/>
          <w:noProof/>
          <w:sz w:val="24"/>
          <w:szCs w:val="24"/>
          <w:vertAlign w:val="superscript"/>
          <w:lang w:val="en-US"/>
        </w:rPr>
        <w:t>17</w:t>
      </w:r>
    </w:p>
    <w:p>
      <w:pPr>
        <w:spacing w:after="0" w:line="480" w:lineRule="auto"/>
        <w:jc w:val="both"/>
        <w:rPr>
          <w:rFonts w:cstheme="minorHAnsi"/>
          <w:sz w:val="24"/>
          <w:szCs w:val="24"/>
          <w:lang w:val="en-US"/>
        </w:rPr>
      </w:pPr>
      <w:r>
        <w:rPr>
          <w:rFonts w:cstheme="minorHAnsi"/>
          <w:sz w:val="24"/>
          <w:szCs w:val="24"/>
          <w:lang w:val="en-US"/>
        </w:rPr>
        <w:t>Cox proportional hazards regression was used to investigate the association between area-based deprivation and survival in detail. Various models were fitted and compared: The base model included adjustment for age, sex and year of diagnosis. The second model additionally included cancer subtype and grading. In a third model, cancer stage was added. Using the third model, subgroup analyses were conducted by restricting the patient sample to patients who received specific treatments. We additionally performed subgroup analyses stratified by patient and tumor characteristics. Results were visualized by showing adjusted survival curves which are estimated using marginal survival functions.</w:t>
      </w:r>
      <w:r>
        <w:rPr>
          <w:rFonts w:cstheme="minorHAnsi"/>
          <w:noProof/>
          <w:sz w:val="24"/>
          <w:szCs w:val="24"/>
          <w:vertAlign w:val="superscript"/>
          <w:lang w:val="en-US"/>
        </w:rPr>
        <w:t>18</w:t>
      </w:r>
      <w:r>
        <w:rPr>
          <w:sz w:val="24"/>
          <w:szCs w:val="24"/>
          <w:lang w:val="en-US"/>
        </w:rPr>
        <w:t xml:space="preserve"> </w:t>
      </w:r>
      <w:r>
        <w:rPr>
          <w:rFonts w:cstheme="minorHAnsi"/>
          <w:sz w:val="24"/>
          <w:szCs w:val="24"/>
          <w:lang w:val="en-US"/>
        </w:rPr>
        <w:t>In an additional fourth model we adjusted for registry. In a sensitivity analysis, we calculated the Cox models by using a category for Dresden city additionally to area-based deprivation quintiles. To account for immortal time bias, we repeated the analysis stratified by treatment using fixed follow-up start dates at 30, 60, and 90 days after diagnosis. We additionally excluded patients who received their first treatment more than one year after diagnosis. Multiple imputation was conducted in R (Version 3.5.2)</w:t>
      </w:r>
      <w:r>
        <w:rPr>
          <w:rFonts w:cstheme="minorHAnsi"/>
          <w:noProof/>
          <w:sz w:val="24"/>
          <w:szCs w:val="24"/>
          <w:vertAlign w:val="superscript"/>
          <w:lang w:val="en-US"/>
        </w:rPr>
        <w:t>19</w:t>
      </w:r>
      <w:r>
        <w:rPr>
          <w:rFonts w:cstheme="minorHAnsi"/>
          <w:sz w:val="24"/>
          <w:szCs w:val="24"/>
          <w:lang w:val="en-US"/>
        </w:rPr>
        <w:t>, all other analyses were conducted in SAS 9.4 (SAS Institute Inc., Cary, NC, USA).</w:t>
      </w:r>
    </w:p>
    <w:p>
      <w:pPr>
        <w:spacing w:after="0" w:line="480" w:lineRule="auto"/>
        <w:jc w:val="both"/>
        <w:rPr>
          <w:rFonts w:cstheme="minorHAnsi"/>
          <w:sz w:val="24"/>
          <w:szCs w:val="24"/>
          <w:lang w:val="en-US"/>
        </w:rPr>
      </w:pPr>
    </w:p>
    <w:p>
      <w:pPr>
        <w:pStyle w:val="Listenabsatz"/>
        <w:numPr>
          <w:ilvl w:val="0"/>
          <w:numId w:val="16"/>
        </w:numPr>
        <w:spacing w:after="0" w:line="480" w:lineRule="auto"/>
        <w:jc w:val="both"/>
        <w:rPr>
          <w:rFonts w:cstheme="minorHAnsi"/>
          <w:b/>
          <w:sz w:val="24"/>
          <w:szCs w:val="24"/>
          <w:lang w:val="en-US"/>
        </w:rPr>
      </w:pPr>
      <w:r>
        <w:rPr>
          <w:rFonts w:cstheme="minorHAnsi"/>
          <w:b/>
          <w:sz w:val="24"/>
          <w:szCs w:val="24"/>
          <w:lang w:val="en-US"/>
        </w:rPr>
        <w:t>Results</w:t>
      </w:r>
    </w:p>
    <w:p>
      <w:pPr>
        <w:spacing w:line="480" w:lineRule="auto"/>
        <w:jc w:val="both"/>
        <w:rPr>
          <w:rFonts w:cstheme="minorHAnsi"/>
          <w:sz w:val="24"/>
          <w:szCs w:val="24"/>
          <w:lang w:val="en-US"/>
        </w:rPr>
      </w:pPr>
      <w:r>
        <w:rPr>
          <w:rFonts w:cstheme="minorHAnsi"/>
          <w:sz w:val="24"/>
          <w:szCs w:val="24"/>
          <w:lang w:val="en-US"/>
        </w:rPr>
        <w:t xml:space="preserve">Overall, 22,905 patients were included (Supplementary Figure B2) of whom 47.1 % were registered in the clinical cancer registry located in Regensburg, 72.9 % were male, 23.8 % were over 75 years of age, 49.5 % had stage IV cancer, 45.3 % had a lung cancer of the upper lobe and 82.7 % had a non-small cell lung cancer (NSCLC; Table 1). Chi-square test revealed significant differences for all factors except subtype, however, there were only marginal differences for most factors when comparing across area-based socioeconomic deprivation groups (Table 1). Patients resident in most deprived municipalities were more often males, less often diagnosed with an adenocarcinoma, more often diagnosed with squamous cell carcinoma or small-cell lung cancer (SCLC) and had more often undetermined grading. Within the catchment areas of registries, municipalities in the Dresden and Erfurt region </w:t>
      </w:r>
      <w:r>
        <w:rPr>
          <w:rFonts w:cstheme="minorHAnsi"/>
          <w:sz w:val="24"/>
          <w:szCs w:val="24"/>
          <w:lang w:val="en-US"/>
        </w:rPr>
        <w:t>were</w:t>
      </w:r>
      <w:r>
        <w:rPr>
          <w:rFonts w:cstheme="minorHAnsi"/>
          <w:sz w:val="24"/>
          <w:szCs w:val="24"/>
          <w:lang w:val="en-US"/>
        </w:rPr>
        <w:t xml:space="preserve"> more </w:t>
      </w:r>
      <w:r>
        <w:rPr>
          <w:rFonts w:cstheme="minorHAnsi"/>
          <w:sz w:val="24"/>
          <w:szCs w:val="24"/>
          <w:lang w:val="en-US"/>
        </w:rPr>
        <w:t xml:space="preserve">deprived on average than </w:t>
      </w:r>
      <w:r>
        <w:rPr>
          <w:rFonts w:cstheme="minorHAnsi"/>
          <w:sz w:val="24"/>
          <w:szCs w:val="24"/>
          <w:lang w:val="en-US"/>
        </w:rPr>
        <w:t>municipalities in the Regensburg region (Table 1). Median time from diagnosis to first neoadjuvant or adjuvant treatment in days was 20, 21, 26, 24, and 23 for Q1 (least deprived), Q2, Q3, Q4</w:t>
      </w:r>
      <w:r>
        <w:rPr>
          <w:rFonts w:cstheme="minorHAnsi"/>
          <w:sz w:val="24"/>
          <w:szCs w:val="24"/>
          <w:lang w:val="en-US"/>
        </w:rPr>
        <w:t>,</w:t>
      </w:r>
      <w:r>
        <w:rPr>
          <w:rFonts w:cstheme="minorHAnsi"/>
          <w:sz w:val="24"/>
          <w:szCs w:val="24"/>
          <w:lang w:val="en-US"/>
        </w:rPr>
        <w:t xml:space="preserve"> and Q5 (most deprived), respectively.</w:t>
      </w:r>
    </w:p>
    <w:p>
      <w:pPr>
        <w:spacing w:line="480" w:lineRule="auto"/>
        <w:jc w:val="both"/>
        <w:rPr>
          <w:rFonts w:cstheme="minorHAnsi"/>
          <w:sz w:val="24"/>
          <w:szCs w:val="24"/>
          <w:lang w:val="en-US"/>
        </w:rPr>
      </w:pPr>
      <w:r>
        <w:rPr>
          <w:rFonts w:cstheme="minorHAnsi"/>
          <w:sz w:val="24"/>
          <w:szCs w:val="24"/>
          <w:lang w:val="en-US"/>
        </w:rPr>
        <w:t>For the total population, the number of observed deaths was 18,277 (79.8 %) and median follow-up time in months was 72.0 (69.0-73.0). Figure 1 shows non-standardized overall survival curves for the total study population stratified by stage and area-based deprivation quintiles. The corresponding one-, three-, and five-year overall survival rates are displayed in Table 2. For the total study population, survival was at each time point lowest for most deprived areas but no gradient across deprivation groups was observed (5-year survival difference to Q1: Q2 1.3%, Q3 0.5%, Q4 1.5%, Q5 2.8%, Figure 1, Table 2). In patients with stage I/II, survival was highest in the least deprived quintiles and in patients with stage III, survival was lowest in the most deprived quintile. There was no difference for other quintiles in these subgroups and no difference in patients with stage IV patients (Figure 1, Table 2).</w:t>
      </w:r>
    </w:p>
    <w:p>
      <w:pPr>
        <w:spacing w:line="480" w:lineRule="auto"/>
        <w:jc w:val="both"/>
        <w:rPr>
          <w:rFonts w:cstheme="minorHAnsi"/>
          <w:sz w:val="24"/>
          <w:szCs w:val="24"/>
          <w:lang w:val="en-US"/>
        </w:rPr>
      </w:pPr>
      <w:r>
        <w:rPr>
          <w:rFonts w:cstheme="minorHAnsi"/>
          <w:sz w:val="24"/>
          <w:szCs w:val="24"/>
          <w:lang w:val="en-US"/>
        </w:rPr>
        <w:t>Pre-defined multivariable models for the total study population consistently showed a statistically significantly lower survival in the most deprived quintile (HR 1.06, 95% CI 1.01-1.11, Figure B3, Table 3). Additionally adjusting for cancer registry attenuated the association (Table 3). Stratified analyses showed lower survival in the most deprived municipalities for patients with stage I/II (HR 1.13, 95% CI 1.00-1.28) and stage III (1.13, 1.03-1.24) lung cancer but no gradient across area-based deprivation quintiles (Figure B3, Table 3). We observed medium-sized differences in survival between the most and least deprived municipalities for these subgroups and no difference for patients with stage IV lung cancer (stage I+II: 2.2-4.1 % units, stage III: 3.0-4.0 % units, Figure B3, Table B3). When adjusting for cancer registry, effect estimates were slightly larger in the subgroup diagnosed with stage I/II (Table 3). Stratified analyses by patient and tumor factors revealed lower survival in the most deprived municipalities for men, age group 15-69 years, low/intermediate grade, NSCLC, period of diagnosis 2011-2015, and follow-up length of 1 year and 5 years (Table B4). A</w:t>
      </w:r>
      <w:r>
        <w:rPr>
          <w:sz w:val="24"/>
          <w:szCs w:val="24"/>
          <w:lang w:val="en-US"/>
        </w:rPr>
        <w:t xml:space="preserve"> significant trend towards lower survival in the most deprived areas in subgroups with overall better prognosis was observed (Tables 3 and B4).</w:t>
      </w:r>
      <w:r>
        <w:rPr>
          <w:rFonts w:cstheme="minorHAnsi"/>
          <w:sz w:val="24"/>
          <w:szCs w:val="24"/>
          <w:lang w:val="en-US"/>
        </w:rPr>
        <w:t xml:space="preserve"> </w:t>
      </w:r>
    </w:p>
    <w:p>
      <w:pPr>
        <w:spacing w:line="480" w:lineRule="auto"/>
        <w:jc w:val="both"/>
        <w:rPr>
          <w:rFonts w:cstheme="minorHAnsi"/>
          <w:sz w:val="24"/>
          <w:szCs w:val="24"/>
          <w:lang w:val="en-US"/>
        </w:rPr>
      </w:pPr>
      <w:r>
        <w:rPr>
          <w:rFonts w:cstheme="minorHAnsi"/>
          <w:sz w:val="24"/>
          <w:szCs w:val="24"/>
          <w:lang w:val="en-US"/>
        </w:rPr>
        <w:t>Patients receiving surgery showed a lower survival when resident in the more deprived municipalities (Q4: HR 1.13. 95% CI 1.00-1.27, Table B4). This association strengthened for Q4, when further restricting to patients with stages I-III for whom surgery is indicated according to German recommendations (Q4: 1.19, 1.05-1.36, Supplementary Table B5). Further restriction to patients receiving chemotherapy or radiotherapy changed effect estimates and were not statistically significant. However, confidence intervals were large for these subgroups (Tables B4 and B5).</w:t>
      </w:r>
    </w:p>
    <w:p>
      <w:pPr>
        <w:spacing w:line="480" w:lineRule="auto"/>
        <w:jc w:val="both"/>
        <w:rPr>
          <w:rFonts w:cstheme="minorHAnsi"/>
          <w:sz w:val="24"/>
          <w:szCs w:val="24"/>
          <w:lang w:val="en-US"/>
        </w:rPr>
      </w:pPr>
      <w:r>
        <w:rPr>
          <w:rFonts w:cstheme="minorHAnsi"/>
          <w:sz w:val="24"/>
          <w:szCs w:val="24"/>
          <w:lang w:val="en-US"/>
        </w:rPr>
        <w:t xml:space="preserve">Table 4 shows the association of the area-specific socioeconomic deprivation quintiles with survival within each region. In neither region, significant differences between the least and most deprived areas were observed. Survival was significantly lower than in Q1 in Erfurt city but not in Dresden city. </w:t>
      </w:r>
    </w:p>
    <w:p>
      <w:pPr>
        <w:spacing w:line="480" w:lineRule="auto"/>
        <w:jc w:val="both"/>
        <w:rPr>
          <w:rFonts w:cstheme="minorHAnsi"/>
          <w:sz w:val="24"/>
          <w:szCs w:val="24"/>
          <w:lang w:val="en-US"/>
        </w:rPr>
      </w:pPr>
      <w:r>
        <w:rPr>
          <w:rFonts w:cstheme="minorHAnsi"/>
          <w:sz w:val="24"/>
          <w:szCs w:val="24"/>
          <w:lang w:val="en-US"/>
        </w:rPr>
        <w:t>The sensitivity analysis for the Cox models including an additional category for Dresden city revealed similar results for deprivation quintiles compared to our main analysis (Table 3 and Supplementary Tables B4 and B6). Dresden city had significantly lower survival in subgroups with high grading and SCLC and better survival in subgroups receiving chemotherapy or surgery compared to the least deprived municipalities (Table B6).</w:t>
      </w:r>
    </w:p>
    <w:p>
      <w:pPr>
        <w:spacing w:line="480" w:lineRule="auto"/>
        <w:jc w:val="both"/>
        <w:rPr>
          <w:rFonts w:cstheme="minorHAnsi"/>
          <w:sz w:val="24"/>
          <w:szCs w:val="24"/>
          <w:lang w:val="en-US"/>
        </w:rPr>
      </w:pPr>
      <w:r>
        <w:rPr>
          <w:rFonts w:cstheme="minorHAnsi"/>
          <w:sz w:val="24"/>
          <w:szCs w:val="24"/>
          <w:lang w:val="en-US"/>
        </w:rPr>
        <w:t>The sensitivity analysis for treatment groups using follow-up start 30, 60, and 90 days after diagnosis showed marginal differences to our main analysis (Supplementary Tables B4 and B7).</w:t>
      </w:r>
    </w:p>
    <w:p>
      <w:pPr>
        <w:pStyle w:val="Listenabsatz"/>
        <w:numPr>
          <w:ilvl w:val="0"/>
          <w:numId w:val="16"/>
        </w:numPr>
        <w:spacing w:line="480" w:lineRule="auto"/>
        <w:jc w:val="both"/>
        <w:rPr>
          <w:rFonts w:cstheme="minorHAnsi"/>
          <w:b/>
          <w:sz w:val="24"/>
          <w:szCs w:val="24"/>
          <w:lang w:val="en-US"/>
        </w:rPr>
      </w:pPr>
      <w:r>
        <w:rPr>
          <w:rFonts w:cstheme="minorHAnsi"/>
          <w:b/>
          <w:sz w:val="24"/>
          <w:szCs w:val="24"/>
          <w:lang w:val="en-US"/>
        </w:rPr>
        <w:t>Discussion</w:t>
      </w:r>
    </w:p>
    <w:p>
      <w:pPr>
        <w:spacing w:line="480" w:lineRule="auto"/>
        <w:jc w:val="both"/>
        <w:rPr>
          <w:rFonts w:cstheme="minorHAnsi"/>
          <w:sz w:val="24"/>
          <w:szCs w:val="24"/>
          <w:lang w:val="en-US"/>
        </w:rPr>
      </w:pPr>
      <w:r>
        <w:rPr>
          <w:rFonts w:cstheme="minorHAnsi"/>
          <w:sz w:val="24"/>
          <w:szCs w:val="24"/>
          <w:lang w:val="en-US"/>
        </w:rPr>
        <w:t xml:space="preserve">This is the first study on the association between small-area socioeconomic deprivation and survival after lung cancer in Germany considering clinical prognostic factors and cancer therapy. Most patients’ characteristics were rather similar across the </w:t>
      </w:r>
      <w:r>
        <w:rPr>
          <w:rFonts w:cstheme="minorHAnsi"/>
          <w:sz w:val="24"/>
          <w:szCs w:val="24"/>
          <w:lang w:val="en-US"/>
        </w:rPr>
        <w:t xml:space="preserve">area-based </w:t>
      </w:r>
      <w:r>
        <w:rPr>
          <w:rFonts w:cstheme="minorHAnsi"/>
          <w:sz w:val="24"/>
          <w:szCs w:val="24"/>
          <w:lang w:val="en-US"/>
        </w:rPr>
        <w:t xml:space="preserve">socioeconomic deprivation quintiles. There were small differences for sex, subtype and grading. Regarding survival, we observed no clear gradient across deprivation quintiles but lowest survival in the most deprived areas. After full adjustment, a significant association between area-based socioeconomic deprivation and lung cancer survival was found for all stages combined. There was an indication for a lower survival for the most deprived </w:t>
      </w:r>
      <w:r>
        <w:rPr>
          <w:rFonts w:cstheme="minorHAnsi"/>
          <w:sz w:val="24"/>
          <w:szCs w:val="24"/>
          <w:lang w:val="en-US"/>
        </w:rPr>
        <w:t>municipalities</w:t>
      </w:r>
      <w:r>
        <w:rPr>
          <w:rFonts w:cstheme="minorHAnsi"/>
          <w:sz w:val="24"/>
          <w:szCs w:val="24"/>
          <w:lang w:val="en-US"/>
        </w:rPr>
        <w:t xml:space="preserve"> in subgroups diagnosed in stage I-III, lower grading and with NSCLC.</w:t>
      </w:r>
    </w:p>
    <w:p>
      <w:pPr>
        <w:spacing w:line="480" w:lineRule="auto"/>
        <w:jc w:val="both"/>
        <w:rPr>
          <w:rFonts w:cstheme="minorHAnsi"/>
          <w:sz w:val="24"/>
          <w:szCs w:val="24"/>
          <w:lang w:val="en-US"/>
        </w:rPr>
      </w:pPr>
      <w:r>
        <w:rPr>
          <w:rFonts w:cstheme="minorHAnsi"/>
          <w:sz w:val="24"/>
          <w:szCs w:val="24"/>
          <w:lang w:val="en-US"/>
        </w:rPr>
        <w:t>One previous study investigated associations between socioeconomic deprivation and lung cancer survival in 200 of 439 districts in Germany using a broader assignment of deprivation on district rather than municipality level and computing relative instead of absolute survival. This study reported lower survival in lung cancer patients living in the most deprived districts compared to all other districts, only adjusting for age and stage.</w:t>
      </w:r>
      <w:r>
        <w:rPr>
          <w:rFonts w:cstheme="minorHAnsi"/>
          <w:noProof/>
          <w:sz w:val="24"/>
          <w:szCs w:val="24"/>
          <w:vertAlign w:val="superscript"/>
          <w:lang w:val="en-US"/>
        </w:rPr>
        <w:t>13</w:t>
      </w:r>
      <w:r>
        <w:rPr>
          <w:rFonts w:cstheme="minorHAnsi"/>
          <w:sz w:val="24"/>
          <w:szCs w:val="24"/>
          <w:lang w:val="en-US"/>
        </w:rPr>
        <w:t xml:space="preserve"> Our analysis revealed a significant association for all stages combined after adjusting for a wider range of factors. </w:t>
      </w:r>
    </w:p>
    <w:p>
      <w:pPr>
        <w:spacing w:line="480" w:lineRule="auto"/>
        <w:jc w:val="both"/>
        <w:rPr>
          <w:rFonts w:cstheme="minorHAnsi"/>
          <w:sz w:val="24"/>
          <w:szCs w:val="24"/>
          <w:lang w:val="en-US"/>
        </w:rPr>
      </w:pPr>
      <w:r>
        <w:rPr>
          <w:rFonts w:cstheme="minorHAnsi"/>
          <w:sz w:val="24"/>
          <w:szCs w:val="24"/>
          <w:lang w:val="en-US"/>
        </w:rPr>
        <w:t>A recent systematic review including 94 studies observed lower lung cancer survival for lower socioeconomic groups irrespective of the socioeconomic measure.</w:t>
      </w:r>
      <w:r>
        <w:rPr>
          <w:rFonts w:cstheme="minorHAnsi"/>
          <w:noProof/>
          <w:sz w:val="24"/>
          <w:szCs w:val="24"/>
          <w:vertAlign w:val="superscript"/>
          <w:lang w:val="en-US"/>
        </w:rPr>
        <w:t>8</w:t>
      </w:r>
      <w:r>
        <w:rPr>
          <w:rFonts w:cstheme="minorHAnsi"/>
          <w:sz w:val="24"/>
          <w:szCs w:val="24"/>
          <w:lang w:val="en-US"/>
        </w:rPr>
        <w:t xml:space="preserve"> When comparing our study to area-level index studies using similar levels of adjustment, effect estimates were larger in countries both with and without universal health care systems (e.g. The Netherlands: HR 1.09-1.16, </w:t>
      </w:r>
      <w:r>
        <w:rPr>
          <w:rFonts w:cstheme="minorHAnsi"/>
          <w:noProof/>
          <w:sz w:val="24"/>
          <w:szCs w:val="24"/>
          <w:vertAlign w:val="superscript"/>
          <w:lang w:val="en-US"/>
        </w:rPr>
        <w:t>20,21</w:t>
      </w:r>
      <w:r>
        <w:rPr>
          <w:rFonts w:cstheme="minorHAnsi"/>
          <w:sz w:val="24"/>
          <w:szCs w:val="24"/>
          <w:lang w:val="en-US"/>
        </w:rPr>
        <w:t xml:space="preserve">, United States (US): 1.05-1.38, </w:t>
      </w:r>
      <w:r>
        <w:rPr>
          <w:rFonts w:cstheme="minorHAnsi"/>
          <w:noProof/>
          <w:sz w:val="24"/>
          <w:szCs w:val="24"/>
          <w:vertAlign w:val="superscript"/>
          <w:lang w:val="en-US"/>
        </w:rPr>
        <w:t>22-26</w:t>
      </w:r>
      <w:r>
        <w:rPr>
          <w:rFonts w:cstheme="minorHAnsi"/>
          <w:sz w:val="24"/>
          <w:szCs w:val="24"/>
          <w:lang w:val="en-US"/>
        </w:rPr>
        <w:t xml:space="preserve">, our study: 1.06). Two US studies that were restricted to patients with a better prognosis (NSCLC stage I), observed overall stronger associations (HR 1.27-1.34). </w:t>
      </w:r>
      <w:r>
        <w:rPr>
          <w:rFonts w:cstheme="minorHAnsi"/>
          <w:noProof/>
          <w:sz w:val="24"/>
          <w:szCs w:val="24"/>
          <w:vertAlign w:val="superscript"/>
          <w:lang w:val="en-US"/>
        </w:rPr>
        <w:t>25,26</w:t>
      </w:r>
      <w:r>
        <w:rPr>
          <w:rFonts w:cstheme="minorHAnsi"/>
          <w:sz w:val="24"/>
          <w:szCs w:val="24"/>
          <w:lang w:val="en-US"/>
        </w:rPr>
        <w:t xml:space="preserve"> In contrast to one US study</w:t>
      </w:r>
      <w:r>
        <w:rPr>
          <w:rFonts w:cstheme="minorHAnsi"/>
          <w:noProof/>
          <w:sz w:val="24"/>
          <w:szCs w:val="24"/>
          <w:vertAlign w:val="superscript"/>
          <w:lang w:val="en-US"/>
        </w:rPr>
        <w:t>22</w:t>
      </w:r>
      <w:r>
        <w:rPr>
          <w:rFonts w:cstheme="minorHAnsi"/>
          <w:sz w:val="24"/>
          <w:szCs w:val="24"/>
          <w:lang w:val="en-US"/>
        </w:rPr>
        <w:t xml:space="preserve">, we observed lower survival for the most deprived compared to the least deprived </w:t>
      </w:r>
      <w:r>
        <w:rPr>
          <w:rFonts w:cstheme="minorHAnsi"/>
          <w:sz w:val="24"/>
          <w:szCs w:val="24"/>
          <w:lang w:val="en-US"/>
        </w:rPr>
        <w:t>municipalities</w:t>
      </w:r>
      <w:r>
        <w:rPr>
          <w:rFonts w:cstheme="minorHAnsi"/>
          <w:sz w:val="24"/>
          <w:szCs w:val="24"/>
          <w:lang w:val="en-US"/>
        </w:rPr>
        <w:t xml:space="preserve"> for men but not for women. A possible explanation might be the higher all-cause mortality</w:t>
      </w:r>
      <w:r>
        <w:rPr>
          <w:rFonts w:cstheme="minorHAnsi"/>
          <w:noProof/>
          <w:sz w:val="24"/>
          <w:szCs w:val="24"/>
          <w:vertAlign w:val="superscript"/>
          <w:lang w:val="en-US"/>
        </w:rPr>
        <w:t>27</w:t>
      </w:r>
      <w:r>
        <w:rPr>
          <w:rFonts w:cstheme="minorHAnsi"/>
          <w:sz w:val="24"/>
          <w:szCs w:val="24"/>
          <w:lang w:val="en-US"/>
        </w:rPr>
        <w:t xml:space="preserve"> and higher smoking prevalence</w:t>
      </w:r>
      <w:r>
        <w:rPr>
          <w:rFonts w:cstheme="minorHAnsi"/>
          <w:noProof/>
          <w:sz w:val="24"/>
          <w:szCs w:val="24"/>
          <w:vertAlign w:val="superscript"/>
          <w:lang w:val="en-US"/>
        </w:rPr>
        <w:t>28</w:t>
      </w:r>
      <w:r>
        <w:rPr>
          <w:rFonts w:cstheme="minorHAnsi"/>
          <w:sz w:val="24"/>
          <w:szCs w:val="24"/>
          <w:lang w:val="en-US"/>
        </w:rPr>
        <w:t xml:space="preserve"> in men compared to women in Germany. Due to missing life tables and information on smoking behavior, it was not possible to account for this in the current study. Adjusted 1-, 3- and 5-year survival rates were 1.7, 1.5, and 1.2 % units lower for the most compared to the least deprived regions and effect estimates were smaller than for other cancer types.</w:t>
      </w:r>
      <w:r>
        <w:rPr>
          <w:rFonts w:cstheme="minorHAnsi"/>
          <w:noProof/>
          <w:sz w:val="24"/>
          <w:szCs w:val="24"/>
          <w:vertAlign w:val="superscript"/>
          <w:lang w:val="en-US"/>
        </w:rPr>
        <w:t>29-31</w:t>
      </w:r>
      <w:r>
        <w:rPr>
          <w:rFonts w:cstheme="minorHAnsi"/>
          <w:sz w:val="24"/>
          <w:szCs w:val="24"/>
          <w:lang w:val="en-US"/>
        </w:rPr>
        <w:t xml:space="preserve"> Compared to other common cancers, such as breast or colon cancer, lung cancer has a much poorer prognosis</w:t>
      </w:r>
      <w:r>
        <w:rPr>
          <w:rFonts w:cstheme="minorHAnsi"/>
          <w:noProof/>
          <w:sz w:val="24"/>
          <w:szCs w:val="24"/>
          <w:vertAlign w:val="superscript"/>
          <w:lang w:val="en-US"/>
        </w:rPr>
        <w:t>2</w:t>
      </w:r>
      <w:r>
        <w:rPr>
          <w:rFonts w:cstheme="minorHAnsi"/>
          <w:sz w:val="24"/>
          <w:szCs w:val="24"/>
          <w:lang w:val="en-US"/>
        </w:rPr>
        <w:t>, leaving less room for the impact of socioeconomic deprivation on survival differences and resulting in smaller effect sizes for lung cancer.</w:t>
      </w:r>
      <w:r>
        <w:rPr>
          <w:rFonts w:cstheme="minorHAnsi"/>
          <w:noProof/>
          <w:sz w:val="24"/>
          <w:szCs w:val="24"/>
          <w:vertAlign w:val="superscript"/>
          <w:lang w:val="en-US"/>
        </w:rPr>
        <w:t>32</w:t>
      </w:r>
      <w:r>
        <w:rPr>
          <w:rFonts w:cstheme="minorHAnsi"/>
          <w:sz w:val="24"/>
          <w:szCs w:val="24"/>
          <w:lang w:val="en-US"/>
        </w:rPr>
        <w:t xml:space="preserve"> Supporting this hypothesis, a French study reported lower age-standardized net survival in patients resident in the most deprived areas for almost all 19 solid tumor sites with smaller differences for lung cancer patients.</w:t>
      </w:r>
      <w:r>
        <w:rPr>
          <w:rFonts w:cstheme="minorHAnsi"/>
          <w:noProof/>
          <w:sz w:val="24"/>
          <w:szCs w:val="24"/>
          <w:vertAlign w:val="superscript"/>
          <w:lang w:val="en-US"/>
        </w:rPr>
        <w:t>33</w:t>
      </w:r>
      <w:r>
        <w:rPr>
          <w:rFonts w:cstheme="minorHAnsi"/>
          <w:sz w:val="24"/>
          <w:szCs w:val="24"/>
          <w:lang w:val="en-US"/>
        </w:rPr>
        <w:t xml:space="preserve"> Future analyses should focus on lung cancer patients with better prognoses to further investigate social inequalities reported for these patients.</w:t>
      </w:r>
    </w:p>
    <w:p>
      <w:pPr>
        <w:spacing w:line="480" w:lineRule="auto"/>
        <w:jc w:val="both"/>
        <w:rPr>
          <w:rFonts w:cstheme="minorHAnsi"/>
          <w:sz w:val="24"/>
          <w:szCs w:val="24"/>
          <w:lang w:val="en-US"/>
        </w:rPr>
      </w:pPr>
      <w:r>
        <w:rPr>
          <w:rFonts w:cstheme="minorHAnsi"/>
          <w:sz w:val="24"/>
          <w:szCs w:val="24"/>
          <w:lang w:val="en-US"/>
        </w:rPr>
        <w:t>Hypothesized determinants for socioeconomic inequalities in cancer survival were age, sex, year of diagnosis, stage, subtype, grading, and treatment.</w:t>
      </w:r>
      <w:r>
        <w:rPr>
          <w:rFonts w:cstheme="minorHAnsi"/>
          <w:noProof/>
          <w:sz w:val="24"/>
          <w:szCs w:val="24"/>
          <w:vertAlign w:val="superscript"/>
          <w:lang w:val="en-US"/>
        </w:rPr>
        <w:t>8,10,11</w:t>
      </w:r>
      <w:r>
        <w:rPr>
          <w:rFonts w:cstheme="minorHAnsi"/>
          <w:sz w:val="24"/>
          <w:szCs w:val="24"/>
          <w:lang w:val="en-US"/>
        </w:rPr>
        <w:t xml:space="preserve"> Cox models consistently revealed significantly lower survival for most deprived </w:t>
      </w:r>
      <w:r>
        <w:rPr>
          <w:rFonts w:cstheme="minorHAnsi"/>
          <w:sz w:val="24"/>
          <w:szCs w:val="24"/>
          <w:lang w:val="en-US"/>
        </w:rPr>
        <w:t>municipalities</w:t>
      </w:r>
      <w:r>
        <w:rPr>
          <w:rFonts w:cstheme="minorHAnsi"/>
          <w:sz w:val="24"/>
          <w:szCs w:val="24"/>
          <w:lang w:val="en-US"/>
        </w:rPr>
        <w:t xml:space="preserve"> across all levels of adjustment unless cancer registry was added. We therefore assume that subtype, grading and stage might not have an impact on the association between socioeconomic deprivation and lung cancer survival in our study population. However, since the distribution of socioeconomic deprivation of municipalities was quite different across registries, the attenuation of associations by adjusting for regi</w:t>
      </w:r>
      <w:r>
        <w:rPr>
          <w:rFonts w:cstheme="minorHAnsi"/>
          <w:sz w:val="24"/>
          <w:szCs w:val="24"/>
          <w:lang w:val="en-US"/>
        </w:rPr>
        <w:t>stry catchment area</w:t>
      </w:r>
      <w:r>
        <w:rPr>
          <w:rFonts w:cstheme="minorHAnsi"/>
          <w:sz w:val="24"/>
          <w:szCs w:val="24"/>
          <w:lang w:val="en-US"/>
        </w:rPr>
        <w:t xml:space="preserve"> or in analyses stratified by cancer registry suggests that part of the deprivation differences might be mediated by factors acting on the “supra-municipality-level”. Such factors might include, for example, quality of hospital care, which would be assumed to act on a district rather than municipality level because most municipalities do not have their own hospital.</w:t>
      </w:r>
    </w:p>
    <w:p>
      <w:pPr>
        <w:spacing w:line="480" w:lineRule="auto"/>
        <w:jc w:val="both"/>
        <w:rPr>
          <w:rFonts w:cstheme="minorHAnsi"/>
          <w:sz w:val="24"/>
          <w:szCs w:val="24"/>
          <w:lang w:val="en-US"/>
        </w:rPr>
      </w:pPr>
      <w:r>
        <w:rPr>
          <w:rFonts w:cstheme="minorHAnsi"/>
          <w:sz w:val="24"/>
          <w:szCs w:val="24"/>
          <w:lang w:val="en-US"/>
        </w:rPr>
        <w:t xml:space="preserve">Due to data quality, we could not investigate the probability of receiving a certain therapy. Recent studies from England reported lower odds for receiving surgery </w:t>
      </w:r>
      <w:r>
        <w:rPr>
          <w:rFonts w:cstheme="minorHAnsi"/>
          <w:noProof/>
          <w:sz w:val="24"/>
          <w:szCs w:val="24"/>
          <w:vertAlign w:val="superscript"/>
          <w:lang w:val="en-US"/>
        </w:rPr>
        <w:t>34,35</w:t>
      </w:r>
      <w:r>
        <w:rPr>
          <w:rFonts w:cstheme="minorHAnsi"/>
          <w:sz w:val="24"/>
          <w:szCs w:val="24"/>
          <w:lang w:val="en-US"/>
        </w:rPr>
        <w:t xml:space="preserve"> but a higher probability of receiving radical radiotherapy </w:t>
      </w:r>
      <w:r>
        <w:rPr>
          <w:rFonts w:cstheme="minorHAnsi"/>
          <w:noProof/>
          <w:sz w:val="24"/>
          <w:szCs w:val="24"/>
          <w:vertAlign w:val="superscript"/>
          <w:lang w:val="en-US"/>
        </w:rPr>
        <w:t>35</w:t>
      </w:r>
      <w:r>
        <w:rPr>
          <w:rFonts w:cstheme="minorHAnsi"/>
          <w:sz w:val="24"/>
          <w:szCs w:val="24"/>
          <w:lang w:val="en-US"/>
        </w:rPr>
        <w:t xml:space="preserve"> in more deprived regions. Inequalities in treatment explained </w:t>
      </w:r>
      <w:r>
        <w:rPr>
          <w:rFonts w:cstheme="minorHAnsi"/>
          <w:sz w:val="24"/>
          <w:szCs w:val="24"/>
          <w:lang w:val="en-US"/>
        </w:rPr>
        <w:t xml:space="preserve">area-based </w:t>
      </w:r>
      <w:r>
        <w:rPr>
          <w:rFonts w:cstheme="minorHAnsi"/>
          <w:sz w:val="24"/>
          <w:szCs w:val="24"/>
          <w:lang w:val="en-US"/>
        </w:rPr>
        <w:t>socioeconomic differences in lung cancer survival for both universal and non-universal health care systems.</w:t>
      </w:r>
      <w:r>
        <w:rPr>
          <w:rFonts w:cstheme="minorHAnsi"/>
          <w:noProof/>
          <w:sz w:val="24"/>
          <w:szCs w:val="24"/>
          <w:vertAlign w:val="superscript"/>
          <w:lang w:val="en-US"/>
        </w:rPr>
        <w:t>11,36,37</w:t>
      </w:r>
      <w:r>
        <w:rPr>
          <w:rFonts w:cstheme="minorHAnsi"/>
          <w:sz w:val="24"/>
          <w:szCs w:val="24"/>
          <w:lang w:val="en-US"/>
        </w:rPr>
        <w:t xml:space="preserve"> Our study revealed lower survival for most deprived </w:t>
      </w:r>
      <w:r>
        <w:rPr>
          <w:rFonts w:cstheme="minorHAnsi"/>
          <w:sz w:val="24"/>
          <w:szCs w:val="24"/>
          <w:lang w:val="en-US"/>
        </w:rPr>
        <w:t>municipalities</w:t>
      </w:r>
      <w:r>
        <w:rPr>
          <w:rFonts w:cstheme="minorHAnsi"/>
          <w:sz w:val="24"/>
          <w:szCs w:val="24"/>
          <w:lang w:val="en-US"/>
        </w:rPr>
        <w:t xml:space="preserve"> in patients receiving surgery after restricting to patients with stage I-III but effects were attenuated by further restricting to chemotherapy or radiotherapy. This might indicate survival differences by receipt of treatment. In order to provide reliable evidence for all of Germany and appropriately adjust for treatment</w:t>
      </w:r>
      <w:r>
        <w:rPr>
          <w:rFonts w:cstheme="minorHAnsi"/>
          <w:sz w:val="24"/>
          <w:szCs w:val="24"/>
          <w:lang w:val="en-US"/>
        </w:rPr>
        <w:t>, a larger sample size and high-</w:t>
      </w:r>
      <w:r>
        <w:rPr>
          <w:rFonts w:cstheme="minorHAnsi"/>
          <w:sz w:val="24"/>
          <w:szCs w:val="24"/>
          <w:lang w:val="en-US"/>
        </w:rPr>
        <w:t>quality data is needed.</w:t>
      </w:r>
    </w:p>
    <w:p>
      <w:pPr>
        <w:spacing w:line="480" w:lineRule="auto"/>
        <w:jc w:val="both"/>
        <w:rPr>
          <w:rFonts w:cstheme="minorHAnsi"/>
          <w:sz w:val="24"/>
          <w:szCs w:val="24"/>
          <w:lang w:val="en-US"/>
        </w:rPr>
      </w:pPr>
      <w:r>
        <w:rPr>
          <w:rFonts w:cstheme="minorHAnsi"/>
          <w:sz w:val="24"/>
          <w:szCs w:val="24"/>
          <w:lang w:val="en-US"/>
        </w:rPr>
        <w:t xml:space="preserve">Sensitivity analyses revealed a better survival in patients receiving chemotherapy or surgery and resident in Dresden city compared to the least deprived municipalities. As there is a comprehensive cancer center in Dresden city, access to health care might be better compared to less deprived </w:t>
      </w:r>
      <w:r>
        <w:rPr>
          <w:rFonts w:cstheme="minorHAnsi"/>
          <w:sz w:val="24"/>
          <w:szCs w:val="24"/>
          <w:lang w:val="en-US"/>
        </w:rPr>
        <w:t>municipalities</w:t>
      </w:r>
      <w:r>
        <w:rPr>
          <w:rFonts w:cstheme="minorHAnsi"/>
          <w:sz w:val="24"/>
          <w:szCs w:val="24"/>
          <w:lang w:val="en-US"/>
        </w:rPr>
        <w:t>. However, it is unclear why patients residing in Dresden city and diagnosed with high grading or SCLC have a worse survival in comparison with less deprived municipalities. Further research regarding direct regional variations might provide more explanations to our findings.</w:t>
      </w:r>
    </w:p>
    <w:p>
      <w:pPr>
        <w:spacing w:line="480" w:lineRule="auto"/>
        <w:jc w:val="both"/>
        <w:rPr>
          <w:rFonts w:cstheme="minorHAnsi"/>
          <w:sz w:val="24"/>
          <w:szCs w:val="24"/>
          <w:lang w:val="en-US"/>
        </w:rPr>
      </w:pPr>
      <w:r>
        <w:rPr>
          <w:rFonts w:cstheme="minorHAnsi"/>
          <w:sz w:val="24"/>
          <w:szCs w:val="24"/>
          <w:lang w:val="en-US"/>
        </w:rPr>
        <w:t>One limitation was potential residual confounding by smoking due to the lack of data on smoking behavior which is associated with socioeconomic status.</w:t>
      </w:r>
      <w:r>
        <w:rPr>
          <w:rFonts w:cstheme="minorHAnsi"/>
          <w:noProof/>
          <w:sz w:val="24"/>
          <w:szCs w:val="24"/>
          <w:vertAlign w:val="superscript"/>
          <w:lang w:val="en-US"/>
        </w:rPr>
        <w:t>38</w:t>
      </w:r>
      <w:r>
        <w:rPr>
          <w:rFonts w:cstheme="minorHAnsi"/>
          <w:sz w:val="24"/>
          <w:szCs w:val="24"/>
          <w:lang w:val="en-US"/>
        </w:rPr>
        <w:t xml:space="preserve"> Another limitation was the data quality of therapy. However, if the treatment variable explicitly indicated that a specific therapy was actually given, this information was expected to be reliable and usable by restricting our analyses to subgroups receiving certain therapies. Analyzing both individual and area-based socioeconomic measures is preferable. However, individual information was not available. Therefore, we could not investigate if the effects in our study originated from individual socioeconomic status or to area-based deprivation. The use of two GIMD editions based on data from 2006 and 2010 might have affected our results regarding a change of the distribution of the GIMD across registries. From 2006 to 2010, the underlying population changed towards a slightly higher proportion in less deprived </w:t>
      </w:r>
      <w:r>
        <w:rPr>
          <w:rFonts w:cstheme="minorHAnsi"/>
          <w:sz w:val="24"/>
          <w:szCs w:val="24"/>
          <w:lang w:val="en-US"/>
        </w:rPr>
        <w:t>municipalities</w:t>
      </w:r>
      <w:r>
        <w:rPr>
          <w:rFonts w:cstheme="minorHAnsi"/>
          <w:sz w:val="24"/>
          <w:szCs w:val="24"/>
          <w:lang w:val="en-US"/>
        </w:rPr>
        <w:t>. Due to missing life tables or cause of death information, we reported overall survival and therefore cannot distinguish between cancer and other causes of death. However, as the prognosis of lung cancer patients is generally poor, survival might be similar to cause-specific or relative survival.</w:t>
      </w:r>
      <w:r>
        <w:rPr>
          <w:rFonts w:cstheme="minorHAnsi"/>
          <w:noProof/>
          <w:sz w:val="24"/>
          <w:szCs w:val="24"/>
          <w:vertAlign w:val="superscript"/>
          <w:lang w:val="en-US"/>
        </w:rPr>
        <w:t>39</w:t>
      </w:r>
      <w:r>
        <w:rPr>
          <w:rFonts w:cstheme="minorHAnsi"/>
          <w:sz w:val="24"/>
          <w:szCs w:val="24"/>
          <w:lang w:val="en-US"/>
        </w:rPr>
        <w:t xml:space="preserve"> If we would have used cause-specific or relative survival instead of overall survival, the effect could be smaller compared to hazard ratios reported in our study. A reason could be differences between deprivation groups in, for example, comorbidities.</w:t>
      </w:r>
      <w:r>
        <w:rPr>
          <w:rFonts w:cstheme="minorHAnsi"/>
          <w:noProof/>
          <w:sz w:val="24"/>
          <w:szCs w:val="24"/>
          <w:vertAlign w:val="superscript"/>
          <w:lang w:val="en-US"/>
        </w:rPr>
        <w:t>40</w:t>
      </w:r>
      <w:r>
        <w:rPr>
          <w:rFonts w:cstheme="minorHAnsi"/>
          <w:color w:val="FF0000"/>
          <w:sz w:val="24"/>
          <w:szCs w:val="24"/>
          <w:lang w:val="en-US"/>
        </w:rPr>
        <w:t xml:space="preserve"> </w:t>
      </w:r>
      <w:r>
        <w:rPr>
          <w:rFonts w:cstheme="minorHAnsi"/>
          <w:sz w:val="24"/>
          <w:szCs w:val="24"/>
          <w:lang w:val="en-US"/>
        </w:rPr>
        <w:t>However, as most lung cancer patients do not die from causes other than lung cancer</w:t>
      </w:r>
      <w:r>
        <w:rPr>
          <w:rFonts w:cstheme="minorHAnsi"/>
          <w:noProof/>
          <w:sz w:val="24"/>
          <w:szCs w:val="24"/>
          <w:vertAlign w:val="superscript"/>
          <w:lang w:val="en-US"/>
        </w:rPr>
        <w:t>41,42</w:t>
      </w:r>
      <w:r>
        <w:rPr>
          <w:rFonts w:cstheme="minorHAnsi"/>
          <w:sz w:val="24"/>
          <w:szCs w:val="24"/>
          <w:lang w:val="en-US"/>
        </w:rPr>
        <w:t>, this is unlikely to affect our results to a relevant degree. Furthermore, the underlying population for our study comprises only three federal states. We assume these regions as representative for most parts of Germany, as they cover both rural and urban regions as well as the eastern and western part of Germany.</w:t>
      </w:r>
    </w:p>
    <w:p>
      <w:pPr>
        <w:spacing w:line="480" w:lineRule="auto"/>
        <w:jc w:val="both"/>
        <w:rPr>
          <w:rFonts w:cstheme="minorHAnsi"/>
          <w:sz w:val="24"/>
          <w:szCs w:val="24"/>
          <w:lang w:val="en-US"/>
        </w:rPr>
      </w:pPr>
      <w:r>
        <w:rPr>
          <w:rFonts w:cstheme="minorHAnsi"/>
          <w:sz w:val="24"/>
          <w:szCs w:val="24"/>
          <w:lang w:val="en-US"/>
        </w:rPr>
        <w:t>One main strength of our study is the inclusion of data from three population-based clinical cancer registries. Compared to epidemiological registries, the completeness of variables for important prognostic factors is higher in clinical cancer registries and further variables like treatment are available with improving data quality.</w:t>
      </w:r>
      <w:r>
        <w:rPr>
          <w:rFonts w:cstheme="minorHAnsi"/>
          <w:noProof/>
          <w:sz w:val="24"/>
          <w:szCs w:val="24"/>
          <w:vertAlign w:val="superscript"/>
          <w:lang w:val="en-US"/>
        </w:rPr>
        <w:t>13,43</w:t>
      </w:r>
      <w:r>
        <w:rPr>
          <w:rFonts w:cstheme="minorHAnsi"/>
          <w:sz w:val="24"/>
          <w:szCs w:val="24"/>
          <w:lang w:val="en-US"/>
        </w:rPr>
        <w:t xml:space="preserve"> Another strength is that we were able to investigate for the first time in Germany the association between lung cancer survival and socioeconomic deprivation at the municipality level (median population ≈ 2,200 residents)</w:t>
      </w:r>
      <w:r>
        <w:rPr>
          <w:rFonts w:cstheme="minorHAnsi"/>
          <w:noProof/>
          <w:sz w:val="24"/>
          <w:szCs w:val="24"/>
          <w:vertAlign w:val="superscript"/>
          <w:lang w:val="en-US"/>
        </w:rPr>
        <w:t>14</w:t>
      </w:r>
      <w:r>
        <w:rPr>
          <w:rFonts w:cstheme="minorHAnsi"/>
          <w:sz w:val="24"/>
          <w:szCs w:val="24"/>
          <w:lang w:val="en-US"/>
        </w:rPr>
        <w:t xml:space="preserve"> which is comparable to countries routinely using small-area levels such as England (median population ≈ 1,500 residents).</w:t>
      </w:r>
      <w:r>
        <w:rPr>
          <w:rFonts w:cstheme="minorHAnsi"/>
          <w:noProof/>
          <w:sz w:val="24"/>
          <w:szCs w:val="24"/>
          <w:vertAlign w:val="superscript"/>
          <w:lang w:val="en-US"/>
        </w:rPr>
        <w:t>36</w:t>
      </w:r>
      <w:r>
        <w:rPr>
          <w:rFonts w:cstheme="minorHAnsi"/>
          <w:sz w:val="24"/>
          <w:szCs w:val="24"/>
          <w:lang w:val="en-US"/>
        </w:rPr>
        <w:t xml:space="preserve"> Although only including three registries, the analyzed cohort was still large and comparable to other studies investigating lung cancer survival.</w:t>
      </w:r>
      <w:r>
        <w:rPr>
          <w:rFonts w:cstheme="minorHAnsi"/>
          <w:noProof/>
          <w:sz w:val="24"/>
          <w:szCs w:val="24"/>
          <w:vertAlign w:val="superscript"/>
          <w:lang w:val="en-US"/>
        </w:rPr>
        <w:t>8</w:t>
      </w:r>
      <w:r>
        <w:rPr>
          <w:rFonts w:cstheme="minorHAnsi"/>
          <w:sz w:val="24"/>
          <w:szCs w:val="24"/>
          <w:lang w:val="en-US"/>
        </w:rPr>
        <w:t xml:space="preserve"> When data completeness of clinical cancer registries has improved, more detailed analyses with a more comprehensive set of variables are possible.</w:t>
      </w:r>
      <w:r>
        <w:rPr>
          <w:rFonts w:cstheme="minorHAnsi"/>
          <w:noProof/>
          <w:sz w:val="24"/>
          <w:szCs w:val="24"/>
          <w:vertAlign w:val="superscript"/>
          <w:lang w:val="en-US"/>
        </w:rPr>
        <w:t>43</w:t>
      </w:r>
    </w:p>
    <w:p>
      <w:pPr>
        <w:pStyle w:val="Listenabsatz"/>
        <w:numPr>
          <w:ilvl w:val="0"/>
          <w:numId w:val="16"/>
        </w:numPr>
        <w:spacing w:line="480" w:lineRule="auto"/>
        <w:jc w:val="both"/>
        <w:rPr>
          <w:rFonts w:cstheme="minorHAnsi"/>
          <w:b/>
          <w:sz w:val="24"/>
          <w:szCs w:val="24"/>
          <w:lang w:val="en-US"/>
        </w:rPr>
      </w:pPr>
      <w:r>
        <w:rPr>
          <w:rFonts w:cstheme="minorHAnsi"/>
          <w:b/>
          <w:sz w:val="24"/>
          <w:szCs w:val="24"/>
          <w:lang w:val="en-US"/>
        </w:rPr>
        <w:t>Conclusions</w:t>
      </w:r>
    </w:p>
    <w:p>
      <w:pPr>
        <w:spacing w:line="480" w:lineRule="auto"/>
        <w:jc w:val="both"/>
        <w:rPr>
          <w:rFonts w:cstheme="minorHAnsi"/>
          <w:sz w:val="24"/>
          <w:szCs w:val="24"/>
          <w:lang w:val="en-US"/>
        </w:rPr>
      </w:pPr>
      <w:r>
        <w:rPr>
          <w:rFonts w:cstheme="minorHAnsi"/>
          <w:sz w:val="24"/>
          <w:szCs w:val="24"/>
          <w:lang w:val="en-US"/>
        </w:rPr>
        <w:t>Our study could show lower survival in most deprived regions for the total study population after adjusting for prognostic factors. Furthermore, we observed associations between survival and area-based deprivation for patients diagnosed in earlier stages, lower grading and with NSCLC. Thus, social inequalities in cancer survival might especially be relevant for lung cancer patients with better prognoses. Future research on socioeconomic differences in lung cancer survival should focus on these patients and explore possible inequalities in the receipt of cancer treatment in detail.</w:t>
      </w:r>
    </w:p>
    <w:p>
      <w:pPr>
        <w:spacing w:line="480" w:lineRule="auto"/>
        <w:jc w:val="both"/>
        <w:rPr>
          <w:rFonts w:cstheme="minorHAnsi"/>
          <w:sz w:val="24"/>
          <w:szCs w:val="24"/>
          <w:lang w:val="en-US"/>
        </w:rPr>
      </w:pPr>
    </w:p>
    <w:p>
      <w:pPr>
        <w:spacing w:line="480" w:lineRule="auto"/>
        <w:jc w:val="both"/>
        <w:rPr>
          <w:rFonts w:cstheme="minorHAnsi"/>
          <w:b/>
          <w:sz w:val="24"/>
          <w:szCs w:val="24"/>
          <w:u w:val="single"/>
          <w:lang w:val="en-US"/>
        </w:rPr>
      </w:pPr>
      <w:r>
        <w:rPr>
          <w:rFonts w:cstheme="minorHAnsi"/>
          <w:b/>
          <w:sz w:val="24"/>
          <w:szCs w:val="24"/>
          <w:lang w:val="en-US"/>
        </w:rPr>
        <w:t>Acknowledgement</w:t>
      </w:r>
    </w:p>
    <w:p>
      <w:pPr>
        <w:spacing w:line="480" w:lineRule="auto"/>
        <w:jc w:val="both"/>
        <w:rPr>
          <w:rFonts w:cstheme="minorHAnsi"/>
          <w:sz w:val="24"/>
          <w:szCs w:val="24"/>
          <w:lang w:val="en-US"/>
        </w:rPr>
      </w:pPr>
      <w:r>
        <w:rPr>
          <w:rFonts w:cstheme="minorHAnsi"/>
          <w:sz w:val="24"/>
          <w:szCs w:val="24"/>
          <w:lang w:val="en-US"/>
        </w:rPr>
        <w:t>Members of the German Cancer Survival Working Group: Mark Möller, Karin Jäger (Cancer Registry of Bavaria, Regional Center Erlangen-Nürnberg), Carmen Werner (Clinical Cancer Registry Dresden), Paul Strecker (Clinical Cancer Registry Thuringia, Regional Center Erfurt), Michael Gerken (Cancer Registry of Bavaria, Regional Center Regensburg), Karla Geiss, Dorothee Twardella, Martin Meyer (Cancer Registry of Bavaria), Andrea Eberle, Sabine Luttmann (Cancer Registry of Bremen), Heide Wilsdorf-Köhler, Roland Stabenow (Cancer Registry of Berlin and the New Federal States), Cynthia Erb, Alice Nennecke, Stefan Hentschel (Hamburg Cancer Registry), Eunice Sirri, Joachim Kieschke (Cancer Registry of Lower Saxony), Bernd Holleczek (Saarland Cancer Registry), Katharina Emrich (Cancer Registry of Rhineland-Palatinate), Hiltraud Kajüter, Volkmar Mattauch (Cancer Registry of North Rhine-Westphalia), Alexander Katalinic, Ron Pritzkuleit, Johann Mattutat (Cancer Registry of Schleswig-Holstein), Volker Arndt (Cancer Registry of Baden-Württemberg), Werner Maier, Lars Schwettmann (Institute of Health Economics and Health Care Management, Helmholtz Zentrum München), Hermann Brenner, Gundula Behrens, Lina Jansen and Isabelle Finke (German Cancer Research Center).</w:t>
      </w:r>
      <w:r>
        <w:rPr>
          <w:rFonts w:cstheme="minorHAnsi"/>
          <w:sz w:val="24"/>
          <w:szCs w:val="24"/>
          <w:lang w:val="en-US"/>
        </w:rPr>
        <w:t xml:space="preserve"> </w:t>
      </w:r>
    </w:p>
    <w:p>
      <w:pPr>
        <w:spacing w:line="480" w:lineRule="auto"/>
        <w:jc w:val="both"/>
        <w:rPr>
          <w:rFonts w:cstheme="minorHAnsi"/>
          <w:sz w:val="24"/>
          <w:szCs w:val="24"/>
          <w:lang w:val="en-US"/>
        </w:rPr>
      </w:pPr>
      <w:r>
        <w:rPr>
          <w:rFonts w:cstheme="minorHAnsi"/>
          <w:sz w:val="24"/>
          <w:szCs w:val="24"/>
          <w:lang w:val="en-US"/>
        </w:rPr>
        <w:t>We want to thank Tobias Terzer and Axel Benner from the Division of Biostatistics at the German Cancer Research Center for their valuable input regarding our analyses.</w:t>
      </w:r>
    </w:p>
    <w:p>
      <w:pPr>
        <w:spacing w:after="0" w:line="480" w:lineRule="auto"/>
        <w:jc w:val="both"/>
        <w:rPr>
          <w:rFonts w:cstheme="minorHAnsi"/>
          <w:b/>
          <w:sz w:val="24"/>
          <w:szCs w:val="24"/>
          <w:lang w:val="en-US"/>
        </w:rPr>
      </w:pPr>
      <w:r>
        <w:rPr>
          <w:rFonts w:cstheme="minorHAnsi"/>
          <w:b/>
          <w:sz w:val="24"/>
          <w:szCs w:val="24"/>
          <w:lang w:val="en-US"/>
        </w:rPr>
        <w:t>Funding</w:t>
      </w:r>
    </w:p>
    <w:p>
      <w:pPr>
        <w:spacing w:line="480" w:lineRule="auto"/>
        <w:jc w:val="both"/>
        <w:rPr>
          <w:rFonts w:cstheme="minorHAnsi"/>
          <w:sz w:val="24"/>
          <w:szCs w:val="24"/>
          <w:lang w:val="en-US"/>
        </w:rPr>
      </w:pPr>
      <w:r>
        <w:rPr>
          <w:rFonts w:cstheme="minorHAnsi"/>
          <w:sz w:val="24"/>
          <w:szCs w:val="24"/>
          <w:lang w:val="en-US"/>
        </w:rPr>
        <w:t>This research is supported by the German Cancer Aid (</w:t>
      </w:r>
      <w:r>
        <w:rPr>
          <w:rFonts w:cstheme="minorHAnsi"/>
          <w:sz w:val="24"/>
          <w:szCs w:val="24"/>
          <w:lang w:val="en-US"/>
        </w:rPr>
        <w:t xml:space="preserve">grant number </w:t>
      </w:r>
      <w:r>
        <w:rPr>
          <w:rFonts w:cstheme="minorHAnsi"/>
          <w:sz w:val="24"/>
          <w:szCs w:val="24"/>
          <w:lang w:val="en-US"/>
        </w:rPr>
        <w:t>70112090).</w:t>
      </w:r>
    </w:p>
    <w:p>
      <w:pPr>
        <w:spacing w:line="480" w:lineRule="auto"/>
        <w:jc w:val="both"/>
        <w:rPr>
          <w:rFonts w:cstheme="minorHAnsi"/>
          <w:sz w:val="24"/>
          <w:szCs w:val="24"/>
          <w:lang w:val="en-US"/>
        </w:rPr>
      </w:pPr>
    </w:p>
    <w:p>
      <w:pPr>
        <w:spacing w:line="480" w:lineRule="auto"/>
        <w:jc w:val="both"/>
        <w:rPr>
          <w:rFonts w:cstheme="minorHAnsi"/>
          <w:sz w:val="24"/>
          <w:szCs w:val="24"/>
          <w:lang w:val="en-US"/>
        </w:rPr>
      </w:pPr>
    </w:p>
    <w:p>
      <w:pPr>
        <w:spacing w:line="480" w:lineRule="auto"/>
        <w:jc w:val="both"/>
        <w:rPr>
          <w:rFonts w:cstheme="minorHAnsi"/>
          <w:b/>
          <w:sz w:val="24"/>
          <w:szCs w:val="24"/>
          <w:lang w:val="en-US"/>
        </w:rPr>
      </w:pPr>
      <w:r>
        <w:rPr>
          <w:rFonts w:cstheme="minorHAnsi"/>
          <w:b/>
          <w:sz w:val="24"/>
          <w:szCs w:val="24"/>
          <w:lang w:val="en-US"/>
        </w:rPr>
        <w:t>Ethics approval</w:t>
      </w:r>
    </w:p>
    <w:p>
      <w:pPr>
        <w:spacing w:line="480" w:lineRule="auto"/>
        <w:jc w:val="both"/>
        <w:rPr>
          <w:rFonts w:cstheme="minorHAnsi"/>
          <w:sz w:val="24"/>
          <w:szCs w:val="24"/>
          <w:lang w:val="en-US"/>
        </w:rPr>
      </w:pPr>
      <w:r>
        <w:rPr>
          <w:rFonts w:cstheme="minorHAnsi"/>
          <w:sz w:val="24"/>
          <w:szCs w:val="24"/>
          <w:lang w:val="en-US"/>
        </w:rPr>
        <w:t>The study was approved by ethics committee of the University of Heidelberg. Data collection within the Cancer Registries has been carried out according to state cancer registry laws. The study was conducted in accordance with the recommendations of the Declaration of Helsinki by the World Medical Association.</w:t>
      </w:r>
    </w:p>
    <w:p>
      <w:pPr>
        <w:spacing w:line="480" w:lineRule="auto"/>
        <w:jc w:val="both"/>
        <w:rPr>
          <w:rFonts w:cstheme="minorHAnsi"/>
          <w:b/>
          <w:sz w:val="24"/>
          <w:szCs w:val="24"/>
          <w:lang w:val="en-US"/>
        </w:rPr>
      </w:pPr>
      <w:r>
        <w:rPr>
          <w:rFonts w:cstheme="minorHAnsi"/>
          <w:b/>
          <w:sz w:val="24"/>
          <w:szCs w:val="24"/>
          <w:lang w:val="en-US"/>
        </w:rPr>
        <w:t>Authors’ contributions</w:t>
      </w:r>
    </w:p>
    <w:p>
      <w:pPr>
        <w:spacing w:line="480" w:lineRule="auto"/>
        <w:jc w:val="both"/>
        <w:rPr>
          <w:rFonts w:cstheme="minorHAnsi"/>
          <w:sz w:val="24"/>
          <w:szCs w:val="24"/>
          <w:lang w:val="en-US"/>
        </w:rPr>
      </w:pPr>
      <w:r>
        <w:rPr>
          <w:rFonts w:cstheme="minorHAnsi"/>
          <w:sz w:val="24"/>
          <w:szCs w:val="24"/>
          <w:lang w:val="en-US"/>
        </w:rPr>
        <w:t xml:space="preserve">Designed research (project conception, development of overall research plan, and study oversight): LJ, RP, BH, HB; conducted research (hands-on conduct of the experiments and data collection): </w:t>
      </w:r>
      <w:r>
        <w:rPr>
          <w:rFonts w:cstheme="minorHAnsi"/>
          <w:sz w:val="24"/>
          <w:szCs w:val="24"/>
          <w:lang w:val="en-US"/>
        </w:rPr>
        <w:t>IF, LJ, GB, LS</w:t>
      </w:r>
      <w:r>
        <w:rPr>
          <w:rFonts w:cstheme="minorHAnsi"/>
          <w:sz w:val="24"/>
          <w:szCs w:val="24"/>
          <w:lang w:val="en-US"/>
        </w:rPr>
        <w:t xml:space="preserve">, MG; analyzed data or performed statistical analysis: </w:t>
      </w:r>
      <w:r>
        <w:rPr>
          <w:rFonts w:cstheme="minorHAnsi"/>
          <w:sz w:val="24"/>
          <w:szCs w:val="24"/>
          <w:lang w:val="en-US"/>
        </w:rPr>
        <w:t xml:space="preserve">IF, </w:t>
      </w:r>
      <w:r>
        <w:rPr>
          <w:rFonts w:cstheme="minorHAnsi"/>
          <w:sz w:val="24"/>
          <w:szCs w:val="24"/>
          <w:lang w:val="en-US"/>
        </w:rPr>
        <w:t xml:space="preserve">LJ; wrote paper: </w:t>
      </w:r>
      <w:r>
        <w:rPr>
          <w:rFonts w:cstheme="minorHAnsi"/>
          <w:sz w:val="24"/>
          <w:szCs w:val="24"/>
          <w:lang w:val="en-US"/>
        </w:rPr>
        <w:t xml:space="preserve">IF, </w:t>
      </w:r>
      <w:r>
        <w:rPr>
          <w:rFonts w:cstheme="minorHAnsi"/>
          <w:sz w:val="24"/>
          <w:szCs w:val="24"/>
          <w:lang w:val="en-US"/>
        </w:rPr>
        <w:t xml:space="preserve">LJ, HB; had primary responsibility for final content: </w:t>
      </w:r>
      <w:r>
        <w:rPr>
          <w:rFonts w:cstheme="minorHAnsi"/>
          <w:sz w:val="24"/>
          <w:szCs w:val="24"/>
          <w:lang w:val="en-US"/>
        </w:rPr>
        <w:t xml:space="preserve">IF, </w:t>
      </w:r>
      <w:r>
        <w:rPr>
          <w:rFonts w:cstheme="minorHAnsi"/>
          <w:sz w:val="24"/>
          <w:szCs w:val="24"/>
          <w:lang w:val="en-US"/>
        </w:rPr>
        <w:t>LJ, HB. All authors read and approved the final manuscript</w:t>
      </w:r>
      <w:r>
        <w:rPr>
          <w:rFonts w:cstheme="minorHAnsi"/>
          <w:sz w:val="24"/>
          <w:szCs w:val="24"/>
          <w:lang w:val="en-US"/>
        </w:rPr>
        <w:t>.</w:t>
      </w:r>
    </w:p>
    <w:p>
      <w:pPr>
        <w:spacing w:line="480" w:lineRule="auto"/>
        <w:rPr>
          <w:rFonts w:cstheme="minorHAnsi"/>
          <w:sz w:val="24"/>
          <w:szCs w:val="24"/>
          <w:lang w:val="en-US"/>
        </w:rPr>
      </w:pPr>
      <w:r>
        <w:rPr>
          <w:rFonts w:cstheme="minorHAnsi"/>
          <w:sz w:val="24"/>
          <w:szCs w:val="24"/>
          <w:lang w:val="en-US"/>
        </w:rPr>
        <w:br w:type="page"/>
      </w:r>
    </w:p>
    <w:p>
      <w:pPr>
        <w:spacing w:line="480" w:lineRule="auto"/>
        <w:jc w:val="both"/>
        <w:rPr>
          <w:rFonts w:cstheme="minorHAnsi"/>
          <w:b/>
          <w:sz w:val="24"/>
          <w:lang w:val="en-US"/>
        </w:rPr>
      </w:pPr>
      <w:r>
        <w:rPr>
          <w:rFonts w:cstheme="minorHAnsi"/>
          <w:b/>
          <w:sz w:val="24"/>
          <w:lang w:val="en-US"/>
        </w:rPr>
        <w:t>References</w:t>
      </w:r>
    </w:p>
    <w:p>
      <w:pPr>
        <w:pStyle w:val="EndNoteBibliography"/>
        <w:spacing w:after="0" w:line="480" w:lineRule="auto"/>
        <w:ind w:left="720" w:hanging="720"/>
      </w:pPr>
      <w:r>
        <w:t>1.</w:t>
      </w:r>
      <w:r>
        <w:tab/>
        <w:t xml:space="preserve">Bray F, Ferlay J, Soerjomataram I, Siegel RL, Torre LA, Jemal A. Global cancer statistics 2018: GLOBOCAN estimates of incidence and mortality worldwide for 36 cancers in 185 countries. </w:t>
      </w:r>
      <w:r>
        <w:rPr>
          <w:i/>
        </w:rPr>
        <w:t xml:space="preserve">CA Cancer J Clin </w:t>
      </w:r>
      <w:r>
        <w:t>2018;</w:t>
      </w:r>
      <w:r>
        <w:rPr>
          <w:b/>
        </w:rPr>
        <w:t>68</w:t>
      </w:r>
      <w:r>
        <w:t>(6):394-424;</w:t>
      </w:r>
      <w:r>
        <w:t>https://doi.org/10.3322/caac.21492</w:t>
      </w:r>
      <w:r>
        <w:t>.</w:t>
      </w:r>
    </w:p>
    <w:p>
      <w:pPr>
        <w:pStyle w:val="EndNoteBibliography"/>
        <w:spacing w:after="0" w:line="480" w:lineRule="auto"/>
        <w:ind w:left="720" w:hanging="720"/>
      </w:pPr>
      <w:r>
        <w:t>2.</w:t>
      </w:r>
      <w:r>
        <w:tab/>
        <w:t xml:space="preserve">Allemani C, Matsuda T, Di Carlo V, Harewood R, Matz M, Niksic M, Bonaventure A, Valkov M, Johnson CJ, Esteve J, Ogunbiyi OJ, Azevedo ESG, Chen WQ, Eser S, Engholm G, Stiller CA, Monnereau A, Woods RR, Visser O, Lim GH, Aitken J, Weir HK, Coleman MP. Global surveillance of trends in cancer survival 2000-14 (CONCORD-3): analysis of individual records for 37 513 025 patients diagnosed with one of 18 cancers from 322 population-based registries in 71 countries. </w:t>
      </w:r>
      <w:r>
        <w:rPr>
          <w:i/>
        </w:rPr>
        <w:t xml:space="preserve">Lancet </w:t>
      </w:r>
      <w:r>
        <w:t>2018;</w:t>
      </w:r>
      <w:r>
        <w:rPr>
          <w:b/>
        </w:rPr>
        <w:t>391</w:t>
      </w:r>
      <w:r>
        <w:t>(10125):1023-1075;</w:t>
      </w:r>
      <w:r>
        <w:t>https://doi.org/10.1016/s0140-6736(17)33326-3</w:t>
      </w:r>
      <w:r>
        <w:t>.</w:t>
      </w:r>
    </w:p>
    <w:p>
      <w:pPr>
        <w:pStyle w:val="EndNoteBibliography"/>
        <w:spacing w:after="0" w:line="480" w:lineRule="auto"/>
        <w:ind w:left="720" w:hanging="720"/>
      </w:pPr>
      <w:r>
        <w:t>3.</w:t>
      </w:r>
      <w:r>
        <w:tab/>
        <w:t xml:space="preserve">Solan MJ, Werner-Wasik M. Prognostic factors in non-small cell lung cancer. </w:t>
      </w:r>
      <w:r>
        <w:rPr>
          <w:i/>
        </w:rPr>
        <w:t xml:space="preserve">Semin Surg Oncol </w:t>
      </w:r>
      <w:r>
        <w:t>2003;</w:t>
      </w:r>
      <w:r>
        <w:rPr>
          <w:b/>
        </w:rPr>
        <w:t>21</w:t>
      </w:r>
      <w:r>
        <w:t>(2):64-73;</w:t>
      </w:r>
      <w:r>
        <w:t>https://doi.org/10.1002/ssu.10023</w:t>
      </w:r>
      <w:r>
        <w:t>.</w:t>
      </w:r>
    </w:p>
    <w:p>
      <w:pPr>
        <w:pStyle w:val="EndNoteBibliography"/>
        <w:spacing w:after="0" w:line="480" w:lineRule="auto"/>
        <w:ind w:left="720" w:hanging="720"/>
      </w:pPr>
      <w:r>
        <w:t>4.</w:t>
      </w:r>
      <w:r>
        <w:tab/>
        <w:t xml:space="preserve">Tammemagi CM, Neslund-Dudas C, Simoff M, Kvale P. Smoking and lung cancer survival: the role of comorbidity and treatment. </w:t>
      </w:r>
      <w:r>
        <w:rPr>
          <w:i/>
        </w:rPr>
        <w:t xml:space="preserve">Chest </w:t>
      </w:r>
      <w:r>
        <w:t>2004;</w:t>
      </w:r>
      <w:r>
        <w:rPr>
          <w:b/>
        </w:rPr>
        <w:t>125</w:t>
      </w:r>
      <w:r>
        <w:t>(1):27-37;</w:t>
      </w:r>
      <w:r>
        <w:t>https://doi.org/10.1378/chest.125.1.27</w:t>
      </w:r>
      <w:r>
        <w:t>.</w:t>
      </w:r>
    </w:p>
    <w:p>
      <w:pPr>
        <w:pStyle w:val="EndNoteBibliography"/>
        <w:spacing w:after="0" w:line="480" w:lineRule="auto"/>
        <w:ind w:left="720" w:hanging="720"/>
      </w:pPr>
      <w:r>
        <w:t>5.</w:t>
      </w:r>
      <w:r>
        <w:tab/>
        <w:t xml:space="preserve">Radkiewicz C, Dickman PW, Johansson ALV, Wagenius G, Edgren G, Lambe M. Sex and survival in non-small cell lung cancer: A nationwide cohort study. </w:t>
      </w:r>
      <w:r>
        <w:rPr>
          <w:i/>
        </w:rPr>
        <w:t xml:space="preserve">PLoS One </w:t>
      </w:r>
      <w:r>
        <w:t>2019;</w:t>
      </w:r>
      <w:r>
        <w:rPr>
          <w:b/>
        </w:rPr>
        <w:t>14</w:t>
      </w:r>
      <w:r>
        <w:t>(6):e0219206;</w:t>
      </w:r>
      <w:r>
        <w:t>https://doi.org/10.1371/journal.pone.0219206</w:t>
      </w:r>
      <w:r>
        <w:t>.</w:t>
      </w:r>
    </w:p>
    <w:p>
      <w:pPr>
        <w:pStyle w:val="EndNoteBibliography"/>
        <w:spacing w:after="0" w:line="480" w:lineRule="auto"/>
        <w:ind w:left="720" w:hanging="720"/>
      </w:pPr>
      <w:r>
        <w:t>6.</w:t>
      </w:r>
      <w:r>
        <w:tab/>
        <w:t xml:space="preserve">Chouaid C, Debieuvre D, Durand-Zaleski I, Fernandes J, Scherpereel A, Westeel V, Blein C, Gaudin AF, Ozan N, Leblanc S, Vainchtock A, Chauvin P, Cotte FE, Souquet PJ. Survival inequalities in patients with lung cancer in France: A nationwide cohort study (the TERRITOIRE Study). </w:t>
      </w:r>
      <w:r>
        <w:rPr>
          <w:i/>
        </w:rPr>
        <w:t xml:space="preserve">PLoS One </w:t>
      </w:r>
      <w:r>
        <w:t>2017;</w:t>
      </w:r>
      <w:r>
        <w:rPr>
          <w:b/>
        </w:rPr>
        <w:t>12</w:t>
      </w:r>
      <w:r>
        <w:t>(8):e0182798;</w:t>
      </w:r>
      <w:r>
        <w:t>https://doi.org/10.1371/journal.pone.0182798</w:t>
      </w:r>
      <w:r>
        <w:t>.</w:t>
      </w:r>
    </w:p>
    <w:p>
      <w:pPr>
        <w:pStyle w:val="EndNoteBibliography"/>
        <w:spacing w:after="0" w:line="480" w:lineRule="auto"/>
        <w:ind w:left="720" w:hanging="720"/>
      </w:pPr>
      <w:r>
        <w:t>7.</w:t>
      </w:r>
      <w:r>
        <w:tab/>
        <w:t xml:space="preserve">Tannenbaum SL, Koru-Sengul T, Zhao W, Miao F, Byrne MM. Survival Disparities in Non-Small Cell Lung Cancer by Race, Ethnicity, and Socioeconomic Status. </w:t>
      </w:r>
      <w:r>
        <w:rPr>
          <w:i/>
        </w:rPr>
        <w:t xml:space="preserve">Cancer J </w:t>
      </w:r>
      <w:r>
        <w:t>2014;</w:t>
      </w:r>
      <w:r>
        <w:rPr>
          <w:b/>
        </w:rPr>
        <w:t>20</w:t>
      </w:r>
      <w:r>
        <w:t>(4):237-245;</w:t>
      </w:r>
      <w:r>
        <w:t>https://doi.org/10.1097/PPO.0000000000000058</w:t>
      </w:r>
      <w:r>
        <w:t>.</w:t>
      </w:r>
    </w:p>
    <w:p>
      <w:pPr>
        <w:pStyle w:val="EndNoteBibliography"/>
        <w:spacing w:after="0" w:line="480" w:lineRule="auto"/>
        <w:ind w:left="720" w:hanging="720"/>
      </w:pPr>
      <w:r>
        <w:t>8.</w:t>
      </w:r>
      <w:r>
        <w:tab/>
        <w:t xml:space="preserve">Finke I, Behrens G, Weisser L, Brenner H, Jansen L. Socioeconomic Differences and Lung Cancer Survival-Systematic Review and Meta-Analysis. </w:t>
      </w:r>
      <w:r>
        <w:rPr>
          <w:i/>
        </w:rPr>
        <w:t xml:space="preserve">Frontiers in Oncology </w:t>
      </w:r>
      <w:r>
        <w:t>2018;</w:t>
      </w:r>
      <w:r>
        <w:rPr>
          <w:b/>
        </w:rPr>
        <w:t>8</w:t>
      </w:r>
      <w:r>
        <w:t>:536;</w:t>
      </w:r>
      <w:r>
        <w:t>https://doi.org/10.3389/fonc.2018.00536</w:t>
      </w:r>
      <w:r>
        <w:t>.</w:t>
      </w:r>
    </w:p>
    <w:p>
      <w:pPr>
        <w:pStyle w:val="EndNoteBibliography"/>
        <w:spacing w:after="0" w:line="480" w:lineRule="auto"/>
        <w:ind w:left="720" w:hanging="720"/>
      </w:pPr>
      <w:r>
        <w:t>9.</w:t>
      </w:r>
      <w:r>
        <w:tab/>
        <w:t xml:space="preserve">Gregoraci G, van Lenthe FJ, Artnik B, Bopp M, Deboosere P, Kovacs K, Looman CWN, Martikainen P, Menvielle G, Peters F, Wojtyniak B, de Gelder R, Mackenbach JP. Contribution of smoking to socioeconomic inequalities in mortality: a study of 14 European countries, 1990-2004. </w:t>
      </w:r>
      <w:r>
        <w:rPr>
          <w:i/>
        </w:rPr>
        <w:t xml:space="preserve">Tob Control </w:t>
      </w:r>
      <w:r>
        <w:t>2017;</w:t>
      </w:r>
      <w:r>
        <w:rPr>
          <w:b/>
        </w:rPr>
        <w:t>26</w:t>
      </w:r>
      <w:r>
        <w:t>(3):260-268;</w:t>
      </w:r>
      <w:r>
        <w:t>https://doi.org/10.1136/tobaccocontrol-2015-052766</w:t>
      </w:r>
      <w:r>
        <w:t>.</w:t>
      </w:r>
    </w:p>
    <w:p>
      <w:pPr>
        <w:pStyle w:val="EndNoteBibliography"/>
        <w:spacing w:after="0" w:line="480" w:lineRule="auto"/>
        <w:ind w:left="720" w:hanging="720"/>
      </w:pPr>
      <w:r>
        <w:t>10.</w:t>
      </w:r>
      <w:r>
        <w:tab/>
        <w:t xml:space="preserve">Dalton SO, Steding-Jesen M, Jakobsen E, Mellemgaard A, Osterlind K, Schuz J, Johansen C. Socioeconomic position and survival after lung cancer: influence of stage, treatment and comorbidity among Danish patients with lung cancer diagnosed in 2004-2010. </w:t>
      </w:r>
      <w:r>
        <w:rPr>
          <w:i/>
        </w:rPr>
        <w:t xml:space="preserve">Acta Oncologica </w:t>
      </w:r>
      <w:r>
        <w:t>2015;</w:t>
      </w:r>
      <w:r>
        <w:rPr>
          <w:b/>
        </w:rPr>
        <w:t>54</w:t>
      </w:r>
      <w:r>
        <w:t>(5):797-804;</w:t>
      </w:r>
      <w:r>
        <w:t>https://doi.org/10.3109/0284186x.2014.1001037</w:t>
      </w:r>
      <w:r>
        <w:t>.</w:t>
      </w:r>
    </w:p>
    <w:p>
      <w:pPr>
        <w:pStyle w:val="EndNoteBibliography"/>
        <w:spacing w:after="0" w:line="480" w:lineRule="auto"/>
        <w:ind w:left="720" w:hanging="720"/>
      </w:pPr>
      <w:r>
        <w:t>11.</w:t>
      </w:r>
      <w:r>
        <w:tab/>
        <w:t xml:space="preserve">Berglund A, Holmberg L, Tishelman C, Wagenius G, Eaker S, Lambe M. Social inequalities in non-small cell lung cancer management and survival: a population-based study in central Sweden. </w:t>
      </w:r>
      <w:r>
        <w:rPr>
          <w:i/>
        </w:rPr>
        <w:t xml:space="preserve">Thorax </w:t>
      </w:r>
      <w:r>
        <w:t>2010;</w:t>
      </w:r>
      <w:r>
        <w:rPr>
          <w:b/>
        </w:rPr>
        <w:t>65</w:t>
      </w:r>
      <w:r>
        <w:t>(4):327-33;</w:t>
      </w:r>
      <w:r>
        <w:t>https://doi.org/10.1136/thx.2009.125914</w:t>
      </w:r>
      <w:r>
        <w:t>.</w:t>
      </w:r>
    </w:p>
    <w:p>
      <w:pPr>
        <w:pStyle w:val="EndNoteBibliography"/>
        <w:spacing w:after="0" w:line="480" w:lineRule="auto"/>
        <w:ind w:left="720" w:hanging="720"/>
        <w:rPr>
          <w:lang w:val="de-DE"/>
        </w:rPr>
      </w:pPr>
      <w:r>
        <w:t>12.</w:t>
      </w:r>
      <w:r>
        <w:tab/>
        <w:t xml:space="preserve">Maier W. [Indices of Multiple Deprivation for the analysis of regional health disparities in Germany : Experiences from epidemiology and healthcare research]. </w:t>
      </w:r>
      <w:r>
        <w:rPr>
          <w:i/>
          <w:lang w:val="de-DE"/>
        </w:rPr>
        <w:t xml:space="preserve">Bundesgesundheitsblatt Gesundheitsforschung Gesundheitsschutz </w:t>
      </w:r>
      <w:r>
        <w:rPr>
          <w:lang w:val="de-DE"/>
        </w:rPr>
        <w:t>2017;</w:t>
      </w:r>
      <w:r>
        <w:rPr>
          <w:b/>
          <w:lang w:val="de-DE"/>
        </w:rPr>
        <w:t>60</w:t>
      </w:r>
      <w:r>
        <w:rPr>
          <w:lang w:val="de-DE"/>
        </w:rPr>
        <w:t>(12):1403-1412;https://doi.org/10.1007/s00103-017-2646-2.</w:t>
      </w:r>
    </w:p>
    <w:p>
      <w:pPr>
        <w:pStyle w:val="EndNoteBibliography"/>
        <w:spacing w:after="0" w:line="480" w:lineRule="auto"/>
        <w:ind w:left="720" w:hanging="720"/>
        <w:rPr>
          <w:lang w:val="de-DE"/>
        </w:rPr>
      </w:pPr>
      <w:r>
        <w:rPr>
          <w:lang w:val="de-DE"/>
        </w:rPr>
        <w:t>13.</w:t>
      </w:r>
      <w:r>
        <w:rPr>
          <w:lang w:val="de-DE"/>
        </w:rPr>
        <w:tab/>
        <w:t xml:space="preserve">Jansen L, Eberle A, Emrich K, Gondos A, Holleczek B, Kajuter H, Maier W, Nennecke A, Pritzkuleit R, Brenner H. Socioeconomic deprivation and cancer survival in Germany: an ecological analysis in 200 districts in Germany. </w:t>
      </w:r>
      <w:r>
        <w:rPr>
          <w:i/>
          <w:lang w:val="de-DE"/>
        </w:rPr>
        <w:t xml:space="preserve">Int J Cancer </w:t>
      </w:r>
      <w:r>
        <w:rPr>
          <w:lang w:val="de-DE"/>
        </w:rPr>
        <w:t>2014;</w:t>
      </w:r>
      <w:r>
        <w:rPr>
          <w:b/>
          <w:lang w:val="de-DE"/>
        </w:rPr>
        <w:t>134</w:t>
      </w:r>
      <w:r>
        <w:rPr>
          <w:lang w:val="de-DE"/>
        </w:rPr>
        <w:t>(12):2951-60;https://doi.org/10.1002/ijc.28624.</w:t>
      </w:r>
    </w:p>
    <w:p>
      <w:pPr>
        <w:pStyle w:val="EndNoteBibliography"/>
        <w:spacing w:after="0" w:line="480" w:lineRule="auto"/>
        <w:ind w:left="720" w:hanging="720"/>
      </w:pPr>
      <w:r>
        <w:rPr>
          <w:lang w:val="de-DE"/>
        </w:rPr>
        <w:t>14.</w:t>
      </w:r>
      <w:r>
        <w:rPr>
          <w:lang w:val="de-DE"/>
        </w:rPr>
        <w:tab/>
        <w:t xml:space="preserve">Statistische Ämter des Bundes und der Länder, Regionaldatenbank Deutschland, Tabelle 12411-01-01-5. </w:t>
      </w:r>
      <w:r>
        <w:t xml:space="preserve">[Available from: </w:t>
      </w:r>
      <w:r>
        <w:t>https://www.regionalstatistik.de/genesis/online/</w:t>
      </w:r>
      <w:r>
        <w:t xml:space="preserve">] (Access date: 03/04/2019). </w:t>
      </w:r>
    </w:p>
    <w:p>
      <w:pPr>
        <w:pStyle w:val="EndNoteBibliography"/>
        <w:spacing w:after="0" w:line="480" w:lineRule="auto"/>
        <w:ind w:left="720" w:hanging="720"/>
      </w:pPr>
      <w:r>
        <w:t>15.</w:t>
      </w:r>
      <w:r>
        <w:tab/>
        <w:t xml:space="preserve">Maier W, Fairburn J, Mielck A. [Regional deprivation and mortality in Bavaria. Development of a community-based index of multiple deprivation]. </w:t>
      </w:r>
      <w:r>
        <w:rPr>
          <w:i/>
        </w:rPr>
        <w:t xml:space="preserve">Gesundheitswesen </w:t>
      </w:r>
      <w:r>
        <w:t>2012;</w:t>
      </w:r>
      <w:r>
        <w:rPr>
          <w:b/>
        </w:rPr>
        <w:t>74</w:t>
      </w:r>
      <w:r>
        <w:t>(7):416-25;</w:t>
      </w:r>
      <w:r>
        <w:t>https://doi.org/10.1055/s-0031-1280846</w:t>
      </w:r>
      <w:r>
        <w:t>.</w:t>
      </w:r>
    </w:p>
    <w:p>
      <w:pPr>
        <w:pStyle w:val="EndNoteBibliography"/>
        <w:spacing w:after="0" w:line="480" w:lineRule="auto"/>
        <w:ind w:left="720" w:hanging="720"/>
      </w:pPr>
      <w:r>
        <w:t>16.</w:t>
      </w:r>
      <w:r>
        <w:tab/>
        <w:t xml:space="preserve">van Buuren S, Groothuis-Oudshoorn K. mice: Multivariate Imputation by Chained Equations in R. </w:t>
      </w:r>
      <w:r>
        <w:rPr>
          <w:i/>
        </w:rPr>
        <w:t xml:space="preserve">2011 </w:t>
      </w:r>
      <w:r>
        <w:t>2011;</w:t>
      </w:r>
      <w:r>
        <w:rPr>
          <w:b/>
        </w:rPr>
        <w:t>45</w:t>
      </w:r>
      <w:r>
        <w:t>(3):67;</w:t>
      </w:r>
      <w:r>
        <w:t>https://doi.org/10.18637/jss.v045.i03</w:t>
      </w:r>
      <w:r>
        <w:t>.</w:t>
      </w:r>
    </w:p>
    <w:p>
      <w:pPr>
        <w:pStyle w:val="EndNoteBibliography"/>
        <w:spacing w:after="0" w:line="480" w:lineRule="auto"/>
        <w:ind w:left="720" w:hanging="720"/>
      </w:pPr>
      <w:r>
        <w:t>17.</w:t>
      </w:r>
      <w:r>
        <w:tab/>
        <w:t xml:space="preserve">Shuster JJ. Median follow-up in clinical trials. </w:t>
      </w:r>
      <w:r>
        <w:rPr>
          <w:i/>
        </w:rPr>
        <w:t xml:space="preserve">J Clin Oncol </w:t>
      </w:r>
      <w:r>
        <w:t>1991;</w:t>
      </w:r>
      <w:r>
        <w:rPr>
          <w:b/>
        </w:rPr>
        <w:t>9</w:t>
      </w:r>
      <w:r>
        <w:t>(1):191-2;</w:t>
      </w:r>
      <w:r>
        <w:t>https://doi.org/10.1200/jco.1991.9.1.191</w:t>
      </w:r>
      <w:r>
        <w:t>.</w:t>
      </w:r>
    </w:p>
    <w:p>
      <w:pPr>
        <w:pStyle w:val="EndNoteBibliography"/>
        <w:spacing w:after="0" w:line="480" w:lineRule="auto"/>
        <w:ind w:left="720" w:hanging="720"/>
      </w:pPr>
      <w:r>
        <w:rPr>
          <w:lang w:val="de-DE"/>
        </w:rPr>
        <w:t>18.</w:t>
      </w:r>
      <w:r>
        <w:rPr>
          <w:lang w:val="de-DE"/>
        </w:rPr>
        <w:tab/>
        <w:t xml:space="preserve">Zhang X, Loberiza FR, Klein JP, Zhang MJ. </w:t>
      </w:r>
      <w:r>
        <w:t xml:space="preserve">A SAS macro for estimation of direct adjusted survival curves based on a stratified Cox regression model. </w:t>
      </w:r>
      <w:r>
        <w:rPr>
          <w:i/>
        </w:rPr>
        <w:t xml:space="preserve">Comput Methods Programs Biomed </w:t>
      </w:r>
      <w:r>
        <w:t>2007;</w:t>
      </w:r>
      <w:r>
        <w:rPr>
          <w:b/>
        </w:rPr>
        <w:t>88</w:t>
      </w:r>
      <w:r>
        <w:t>(2):95-101;10.1016/j.cmpb.2007.07.010.</w:t>
      </w:r>
    </w:p>
    <w:p>
      <w:pPr>
        <w:pStyle w:val="EndNoteBibliography"/>
        <w:spacing w:after="0" w:line="480" w:lineRule="auto"/>
        <w:ind w:left="720" w:hanging="720"/>
        <w:rPr>
          <w:lang w:val="de-DE"/>
        </w:rPr>
      </w:pPr>
      <w:r>
        <w:t>19.</w:t>
      </w:r>
      <w:r>
        <w:tab/>
        <w:t xml:space="preserve">R Core Team. R: A language and environment for statistical computing. R Foundation for Statistical Computing, Vienna, Austria. [Available from: </w:t>
      </w:r>
      <w:r>
        <w:t>http://www.R-project.org/</w:t>
      </w:r>
      <w:r>
        <w:t xml:space="preserve">] (Access date: 03/04/2019). </w:t>
      </w:r>
      <w:r>
        <w:rPr>
          <w:lang w:val="de-DE"/>
        </w:rPr>
        <w:t>2013</w:t>
      </w:r>
    </w:p>
    <w:p>
      <w:pPr>
        <w:pStyle w:val="EndNoteBibliography"/>
        <w:spacing w:after="0" w:line="480" w:lineRule="auto"/>
        <w:ind w:left="720" w:hanging="720"/>
      </w:pPr>
      <w:r>
        <w:rPr>
          <w:lang w:val="de-DE"/>
        </w:rPr>
        <w:t>20.</w:t>
      </w:r>
      <w:r>
        <w:rPr>
          <w:lang w:val="de-DE"/>
        </w:rPr>
        <w:tab/>
        <w:t xml:space="preserve">Aarts MJ, van den Borne BE, Biesma B, Kloover JS, Aerts JG, Lemmens VE. </w:t>
      </w:r>
      <w:r>
        <w:t xml:space="preserve">Improvement in population-based survival of stage IV NSCLC due to increased use of chemotherapy. </w:t>
      </w:r>
      <w:r>
        <w:rPr>
          <w:i/>
        </w:rPr>
        <w:t xml:space="preserve">Int J Cancer </w:t>
      </w:r>
      <w:r>
        <w:t>2015;</w:t>
      </w:r>
      <w:r>
        <w:rPr>
          <w:b/>
        </w:rPr>
        <w:t>136</w:t>
      </w:r>
      <w:r>
        <w:t>(5):e387-95;</w:t>
      </w:r>
      <w:r>
        <w:t>https://doi.org/10.1002/ijc.29216</w:t>
      </w:r>
      <w:r>
        <w:t>.</w:t>
      </w:r>
    </w:p>
    <w:p>
      <w:pPr>
        <w:pStyle w:val="EndNoteBibliography"/>
        <w:spacing w:after="0" w:line="480" w:lineRule="auto"/>
        <w:ind w:left="720" w:hanging="720"/>
      </w:pPr>
      <w:r>
        <w:t>21.</w:t>
      </w:r>
      <w:r>
        <w:tab/>
        <w:t xml:space="preserve">Schrijvers CT, Coebergh JW, van der Heijden LH, Mackenbach JP. Socioeconomic variation in cancer survival in the southeastern Netherlands, 1980-1989. </w:t>
      </w:r>
      <w:r>
        <w:rPr>
          <w:i/>
        </w:rPr>
        <w:t xml:space="preserve">Cancer </w:t>
      </w:r>
      <w:r>
        <w:t>1995;</w:t>
      </w:r>
      <w:r>
        <w:rPr>
          <w:b/>
        </w:rPr>
        <w:t>75</w:t>
      </w:r>
      <w:r>
        <w:t>(12):2946-53;</w:t>
      </w:r>
      <w:r>
        <w:t>https://doi.org/10.1002/1097-0142(19950615)75:12</w:t>
      </w:r>
      <w:r>
        <w:t>&lt;2946::aid-cncr2820751223&gt;3.0.co;2-6.</w:t>
      </w:r>
    </w:p>
    <w:p>
      <w:pPr>
        <w:pStyle w:val="EndNoteBibliography"/>
        <w:spacing w:after="0" w:line="480" w:lineRule="auto"/>
        <w:ind w:left="720" w:hanging="720"/>
      </w:pPr>
      <w:r>
        <w:t>22.</w:t>
      </w:r>
      <w:r>
        <w:tab/>
        <w:t xml:space="preserve">Gomez SL, Yang J, Lin SW, McCusker M, Sandler A, Patel M, Cheng I, Wakelee HA, Clarke CA. Lung Cancer Survival Among Chinese Americans, 2000 to 2010. </w:t>
      </w:r>
      <w:r>
        <w:rPr>
          <w:i/>
        </w:rPr>
        <w:t xml:space="preserve">J Glob Oncol </w:t>
      </w:r>
      <w:r>
        <w:t>2016;</w:t>
      </w:r>
      <w:r>
        <w:rPr>
          <w:b/>
        </w:rPr>
        <w:t>2</w:t>
      </w:r>
      <w:r>
        <w:t>(1):30-38;</w:t>
      </w:r>
      <w:r>
        <w:t>https://doi.org/10.1200/jgo.2015.000539</w:t>
      </w:r>
      <w:r>
        <w:t>.</w:t>
      </w:r>
    </w:p>
    <w:p>
      <w:pPr>
        <w:pStyle w:val="EndNoteBibliography"/>
        <w:spacing w:after="0" w:line="480" w:lineRule="auto"/>
        <w:ind w:left="720" w:hanging="720"/>
      </w:pPr>
      <w:r>
        <w:t>23.</w:t>
      </w:r>
      <w:r>
        <w:tab/>
        <w:t xml:space="preserve">Lara JD, Brunson A, Riess JW, Kelly K, Lara PN, Jr., Gandara DR. Clinical predictors of survival in young patients with small cell lung cancer: Results from the California Cancer Registry. </w:t>
      </w:r>
      <w:r>
        <w:rPr>
          <w:i/>
        </w:rPr>
        <w:t xml:space="preserve">Lung Cancer </w:t>
      </w:r>
      <w:r>
        <w:t>2017;</w:t>
      </w:r>
      <w:r>
        <w:rPr>
          <w:b/>
        </w:rPr>
        <w:t>112</w:t>
      </w:r>
      <w:r>
        <w:t>:165-168;</w:t>
      </w:r>
      <w:r>
        <w:t>https://doi.org/10.1016/j.lungcan.2017.08.015</w:t>
      </w:r>
      <w:r>
        <w:t>.</w:t>
      </w:r>
    </w:p>
    <w:p>
      <w:pPr>
        <w:pStyle w:val="EndNoteBibliography"/>
        <w:spacing w:after="0" w:line="480" w:lineRule="auto"/>
        <w:ind w:left="720" w:hanging="720"/>
      </w:pPr>
      <w:r>
        <w:t>24.</w:t>
      </w:r>
      <w:r>
        <w:tab/>
        <w:t xml:space="preserve">Lara MS, Brunson A, Wun T, Tomlinson B, Qi LH, Cress R, Gandara DR, Kelly K. Predictors of survival for younger patients less than 50 years of age with non-small cell lung cancer (NSCLC): A California Cancer Registry analysis. </w:t>
      </w:r>
      <w:r>
        <w:rPr>
          <w:i/>
        </w:rPr>
        <w:t xml:space="preserve">Lung Cancer </w:t>
      </w:r>
      <w:r>
        <w:t>2014;</w:t>
      </w:r>
      <w:r>
        <w:rPr>
          <w:b/>
        </w:rPr>
        <w:t>85</w:t>
      </w:r>
      <w:r>
        <w:t>(2):264-269;</w:t>
      </w:r>
      <w:r>
        <w:t>https://doi.org/10.1016/j.1ungcan.2014.04.007</w:t>
      </w:r>
      <w:r>
        <w:t>.</w:t>
      </w:r>
    </w:p>
    <w:p>
      <w:pPr>
        <w:pStyle w:val="EndNoteBibliography"/>
        <w:spacing w:after="0" w:line="480" w:lineRule="auto"/>
        <w:ind w:left="720" w:hanging="720"/>
      </w:pPr>
      <w:r>
        <w:t>25.</w:t>
      </w:r>
      <w:r>
        <w:tab/>
        <w:t xml:space="preserve">Ou SH, Zell JA, Ziogas A, Anton-Culver H. Prognostic factors for survival of stage I nonsmall cell lung cancer patients : a population-based analysis of 19,702 stage I patients in the California Cancer Registry from 1989 to 2003. </w:t>
      </w:r>
      <w:r>
        <w:rPr>
          <w:i/>
        </w:rPr>
        <w:t xml:space="preserve">Cancer </w:t>
      </w:r>
      <w:r>
        <w:t>2007;</w:t>
      </w:r>
      <w:r>
        <w:rPr>
          <w:b/>
        </w:rPr>
        <w:t>110</w:t>
      </w:r>
      <w:r>
        <w:t>(7):1532-41;</w:t>
      </w:r>
      <w:r>
        <w:t>https://doi.org/10.1002/cncr.22938</w:t>
      </w:r>
      <w:r>
        <w:t>.</w:t>
      </w:r>
    </w:p>
    <w:p>
      <w:pPr>
        <w:pStyle w:val="EndNoteBibliography"/>
        <w:spacing w:after="0" w:line="480" w:lineRule="auto"/>
        <w:ind w:left="720" w:hanging="720"/>
        <w:rPr>
          <w:lang w:val="de-DE"/>
        </w:rPr>
      </w:pPr>
      <w:r>
        <w:t>26.</w:t>
      </w:r>
      <w:r>
        <w:tab/>
        <w:t xml:space="preserve">Ou SH, Zell JA, Ziogas A, Anton-Culver H. Low socioeconomic status is a poor prognostic factor for survival in stage I nonsmall cell lung cancer and is independent of surgical treatment, race, and marital status. </w:t>
      </w:r>
      <w:r>
        <w:rPr>
          <w:i/>
          <w:lang w:val="de-DE"/>
        </w:rPr>
        <w:t xml:space="preserve">Cancer </w:t>
      </w:r>
      <w:r>
        <w:rPr>
          <w:lang w:val="de-DE"/>
        </w:rPr>
        <w:t>2008;</w:t>
      </w:r>
      <w:r>
        <w:rPr>
          <w:b/>
          <w:lang w:val="de-DE"/>
        </w:rPr>
        <w:t>112</w:t>
      </w:r>
      <w:r>
        <w:rPr>
          <w:lang w:val="de-DE"/>
        </w:rPr>
        <w:t>(9):2011-20;https://doi.org/10.1002/cncr.23397.</w:t>
      </w:r>
    </w:p>
    <w:p>
      <w:pPr>
        <w:pStyle w:val="EndNoteBibliography"/>
        <w:spacing w:after="0" w:line="480" w:lineRule="auto"/>
        <w:ind w:left="720" w:hanging="720"/>
        <w:rPr>
          <w:lang w:val="de-DE"/>
        </w:rPr>
      </w:pPr>
      <w:r>
        <w:rPr>
          <w:lang w:val="de-DE"/>
        </w:rPr>
        <w:t>27.</w:t>
      </w:r>
      <w:r>
        <w:rPr>
          <w:lang w:val="de-DE"/>
        </w:rPr>
        <w:tab/>
        <w:t>Robert Koch-Institut (Hrsg) Sterblichkeit, Todesursachen und regionale Unterschiede. Gesundheitsberichterstattung des Bundes. Heft 52. RKI, Berlin. 2011</w:t>
      </w:r>
    </w:p>
    <w:p>
      <w:pPr>
        <w:pStyle w:val="EndNoteBibliography"/>
        <w:spacing w:after="0" w:line="480" w:lineRule="auto"/>
        <w:ind w:left="720" w:hanging="720"/>
        <w:rPr>
          <w:lang w:val="de-DE"/>
        </w:rPr>
      </w:pPr>
      <w:r>
        <w:rPr>
          <w:lang w:val="de-DE"/>
        </w:rPr>
        <w:t>28.</w:t>
      </w:r>
      <w:r>
        <w:rPr>
          <w:lang w:val="de-DE"/>
        </w:rPr>
        <w:tab/>
        <w:t xml:space="preserve">Zeiher J, Kuntz B. Rauchen bei Erwachsenen in Deutschland. </w:t>
      </w:r>
      <w:r>
        <w:rPr>
          <w:i/>
          <w:lang w:val="de-DE"/>
        </w:rPr>
        <w:t xml:space="preserve">Robert Koch-Institut, Epidemiologie und Gesundheitsberichterstattung </w:t>
      </w:r>
      <w:r>
        <w:rPr>
          <w:lang w:val="de-DE"/>
        </w:rPr>
        <w:t>2017;</w:t>
      </w:r>
      <w:r>
        <w:rPr>
          <w:b/>
          <w:lang w:val="de-DE"/>
        </w:rPr>
        <w:t>2</w:t>
      </w:r>
      <w:r>
        <w:rPr>
          <w:lang w:val="de-DE"/>
        </w:rPr>
        <w:t>(2);https://doi.org/10.17886/rki-gbe-2017-030.</w:t>
      </w:r>
    </w:p>
    <w:p>
      <w:pPr>
        <w:pStyle w:val="EndNoteBibliography"/>
        <w:spacing w:after="0" w:line="480" w:lineRule="auto"/>
        <w:ind w:left="720" w:hanging="720"/>
      </w:pPr>
      <w:r>
        <w:t>29.</w:t>
      </w:r>
      <w:r>
        <w:tab/>
        <w:t xml:space="preserve">Lundqvist A, Andersson E, Ahlberg I, Nilbert M, Gerdtham U. Socioeconomic inequalities in breast cancer incidence and mortality in Europe-a systematic review and meta-analysis. </w:t>
      </w:r>
      <w:r>
        <w:rPr>
          <w:i/>
        </w:rPr>
        <w:t xml:space="preserve">Eur J Public Health </w:t>
      </w:r>
      <w:r>
        <w:t>2016;</w:t>
      </w:r>
      <w:r>
        <w:rPr>
          <w:b/>
        </w:rPr>
        <w:t>26</w:t>
      </w:r>
      <w:r>
        <w:t>(5):804-813;</w:t>
      </w:r>
      <w:r>
        <w:t>https://doi.org/10.1093/eurpub/ckw070</w:t>
      </w:r>
      <w:r>
        <w:t>.</w:t>
      </w:r>
    </w:p>
    <w:p>
      <w:pPr>
        <w:pStyle w:val="EndNoteBibliography"/>
        <w:spacing w:after="0" w:line="480" w:lineRule="auto"/>
        <w:ind w:left="720" w:hanging="720"/>
      </w:pPr>
      <w:r>
        <w:t>30.</w:t>
      </w:r>
      <w:r>
        <w:tab/>
        <w:t xml:space="preserve">Manser CN, Bauerfeind P. Impact of socioeconomic status on incidence, mortality, and survival of colorectal cancer patients: a systematic review. </w:t>
      </w:r>
      <w:r>
        <w:rPr>
          <w:i/>
        </w:rPr>
        <w:t xml:space="preserve">Gastrointest Endosc </w:t>
      </w:r>
      <w:r>
        <w:t>2014;</w:t>
      </w:r>
      <w:r>
        <w:rPr>
          <w:b/>
        </w:rPr>
        <w:t>80</w:t>
      </w:r>
      <w:r>
        <w:t>(1):42-60.e9;</w:t>
      </w:r>
      <w:r>
        <w:t>https://doi.org/10.1016/j.gie.2014.03.011</w:t>
      </w:r>
      <w:r>
        <w:t>.</w:t>
      </w:r>
    </w:p>
    <w:p>
      <w:pPr>
        <w:pStyle w:val="EndNoteBibliography"/>
        <w:spacing w:after="0" w:line="480" w:lineRule="auto"/>
        <w:ind w:left="720" w:hanging="720"/>
      </w:pPr>
      <w:r>
        <w:t>31.</w:t>
      </w:r>
      <w:r>
        <w:tab/>
        <w:t xml:space="preserve">Klein J, von dem Knesebeck O. Socioeconomic inequalities in prostate cancer survival: a review of the evidence and explanatory factors. </w:t>
      </w:r>
      <w:r>
        <w:rPr>
          <w:i/>
        </w:rPr>
        <w:t xml:space="preserve">Soc Sci Med </w:t>
      </w:r>
      <w:r>
        <w:t>2015;</w:t>
      </w:r>
      <w:r>
        <w:rPr>
          <w:b/>
        </w:rPr>
        <w:t>142</w:t>
      </w:r>
      <w:r>
        <w:t>:9-18;</w:t>
      </w:r>
      <w:r>
        <w:t>https://doi.org/10.1016/j.socscimed.2015.07.006</w:t>
      </w:r>
      <w:r>
        <w:t>.</w:t>
      </w:r>
    </w:p>
    <w:p>
      <w:pPr>
        <w:pStyle w:val="EndNoteBibliography"/>
        <w:spacing w:after="0" w:line="480" w:lineRule="auto"/>
        <w:ind w:left="720" w:hanging="720"/>
      </w:pPr>
      <w:r>
        <w:t>32.</w:t>
      </w:r>
      <w:r>
        <w:tab/>
        <w:t xml:space="preserve">Quaglia A, Lillini R, Mamo C, Ivaldi E, Vercelli M. Socio-economic inequalities: a review of methodological issues and the relationships with cancer survival. </w:t>
      </w:r>
      <w:r>
        <w:rPr>
          <w:i/>
        </w:rPr>
        <w:t xml:space="preserve">Crit Rev Oncol Hematol </w:t>
      </w:r>
      <w:r>
        <w:t>2013;</w:t>
      </w:r>
      <w:r>
        <w:rPr>
          <w:b/>
        </w:rPr>
        <w:t>85</w:t>
      </w:r>
      <w:r>
        <w:t>(3):266-77;</w:t>
      </w:r>
      <w:r>
        <w:t>https://doi.org/10.1016/j.critrevonc.2012.08.007</w:t>
      </w:r>
      <w:r>
        <w:t>.</w:t>
      </w:r>
    </w:p>
    <w:p>
      <w:pPr>
        <w:pStyle w:val="EndNoteBibliography"/>
        <w:spacing w:after="0" w:line="480" w:lineRule="auto"/>
        <w:ind w:left="720" w:hanging="720"/>
      </w:pPr>
      <w:r>
        <w:t>33.</w:t>
      </w:r>
      <w:r>
        <w:tab/>
        <w:t xml:space="preserve">Tron L, Belot A, Fauvernier M, Remontet L, Bossard N, Launay L, Bryere J, Monnereau A, Dejardin O, Launoy G. Socioeconomic environment and disparities in cancer survival for 19 solid tumor sites: An analysis of the French Network of Cancer Registries (FRANCIM) data. </w:t>
      </w:r>
      <w:r>
        <w:rPr>
          <w:i/>
        </w:rPr>
        <w:t xml:space="preserve">Int J Cancer </w:t>
      </w:r>
      <w:r>
        <w:t>2019;</w:t>
      </w:r>
      <w:r>
        <w:rPr>
          <w:b/>
        </w:rPr>
        <w:t>144</w:t>
      </w:r>
      <w:r>
        <w:t>(6):1262-1274;</w:t>
      </w:r>
      <w:r>
        <w:t>https://doi.org/10.1002/ijc.31951</w:t>
      </w:r>
      <w:r>
        <w:t>.</w:t>
      </w:r>
    </w:p>
    <w:p>
      <w:pPr>
        <w:pStyle w:val="EndNoteBibliography"/>
        <w:spacing w:after="0" w:line="480" w:lineRule="auto"/>
        <w:ind w:left="720" w:hanging="720"/>
      </w:pPr>
      <w:r>
        <w:t>34.</w:t>
      </w:r>
      <w:r>
        <w:tab/>
        <w:t xml:space="preserve">Belot A, Fowler H, Njagi EN, Luque-Fernandez MA, Maringe C, Magadi W, Exarchakou A, Quaresma M, Turculet A, Peake MD, Navani N, Rachet B. Association between age, deprivation and specific comorbid conditions and the receipt of major surgery in patients with non-small cell lung cancer in England: A population-based study. </w:t>
      </w:r>
      <w:r>
        <w:rPr>
          <w:i/>
        </w:rPr>
        <w:t xml:space="preserve">Thorax </w:t>
      </w:r>
      <w:r>
        <w:t>2019;</w:t>
      </w:r>
      <w:r>
        <w:rPr>
          <w:b/>
        </w:rPr>
        <w:t>74</w:t>
      </w:r>
      <w:r>
        <w:t>(1):51-59;</w:t>
      </w:r>
      <w:r>
        <w:t>https://doi.org/10.1136/thoraxjnl-2017-211395</w:t>
      </w:r>
      <w:r>
        <w:t>.</w:t>
      </w:r>
    </w:p>
    <w:p>
      <w:pPr>
        <w:pStyle w:val="EndNoteBibliography"/>
        <w:spacing w:after="0" w:line="480" w:lineRule="auto"/>
        <w:ind w:left="720" w:hanging="720"/>
      </w:pPr>
      <w:r>
        <w:t>35.</w:t>
      </w:r>
      <w:r>
        <w:tab/>
        <w:t xml:space="preserve">Tataru D, Spencer K, Bates A, Wieczorek A, Jack RH, Peake MD, Lind MJ, Luchtenborg M. Variation in geographical treatment intensity affects survival of non-small cell lung cancer patients in England. </w:t>
      </w:r>
      <w:r>
        <w:rPr>
          <w:i/>
        </w:rPr>
        <w:t xml:space="preserve">Cancer Epidemiol </w:t>
      </w:r>
      <w:r>
        <w:t>2018;</w:t>
      </w:r>
      <w:r>
        <w:rPr>
          <w:b/>
        </w:rPr>
        <w:t>57</w:t>
      </w:r>
      <w:r>
        <w:t>:13-23;</w:t>
      </w:r>
      <w:r>
        <w:t>https://doi.org/10.1016/j.canep.2018.09.001</w:t>
      </w:r>
      <w:r>
        <w:t>.</w:t>
      </w:r>
    </w:p>
    <w:p>
      <w:pPr>
        <w:pStyle w:val="EndNoteBibliography"/>
        <w:spacing w:after="0" w:line="480" w:lineRule="auto"/>
        <w:ind w:left="720" w:hanging="720"/>
      </w:pPr>
      <w:r>
        <w:t>36.</w:t>
      </w:r>
      <w:r>
        <w:tab/>
        <w:t xml:space="preserve">Forrest LF, Adams J, Rubin G, White M. The role of receipt and timeliness of treatment in socioeconomic inequalities in lung cancer survival: population-based, data-linkage study. </w:t>
      </w:r>
      <w:r>
        <w:rPr>
          <w:i/>
        </w:rPr>
        <w:t xml:space="preserve">Thorax </w:t>
      </w:r>
      <w:r>
        <w:t>2015;</w:t>
      </w:r>
      <w:r>
        <w:rPr>
          <w:b/>
        </w:rPr>
        <w:t>70</w:t>
      </w:r>
      <w:r>
        <w:t>(2):138-45;</w:t>
      </w:r>
      <w:r>
        <w:t>https://doi.org/10.1136/thoraxjnl-2014-205517</w:t>
      </w:r>
      <w:r>
        <w:t>.</w:t>
      </w:r>
    </w:p>
    <w:p>
      <w:pPr>
        <w:pStyle w:val="EndNoteBibliography"/>
        <w:spacing w:after="0" w:line="480" w:lineRule="auto"/>
        <w:ind w:left="720" w:hanging="720"/>
      </w:pPr>
      <w:r>
        <w:t>37.</w:t>
      </w:r>
      <w:r>
        <w:tab/>
        <w:t xml:space="preserve">Mahase S, Christos P, Wang X, Potters L, Wernicke AG, Parashar B. Survival Disparities in the Radiotherapeutic Management of Lung Cancer by Regional Poverty Level. </w:t>
      </w:r>
      <w:r>
        <w:rPr>
          <w:i/>
        </w:rPr>
        <w:t xml:space="preserve">Cureus </w:t>
      </w:r>
      <w:r>
        <w:t>2018;</w:t>
      </w:r>
      <w:r>
        <w:rPr>
          <w:b/>
        </w:rPr>
        <w:t>10</w:t>
      </w:r>
      <w:r>
        <w:t>(11):e3575;</w:t>
      </w:r>
      <w:r>
        <w:t>https://doi.org/10.7759/cureus.3575</w:t>
      </w:r>
      <w:r>
        <w:t>.</w:t>
      </w:r>
    </w:p>
    <w:p>
      <w:pPr>
        <w:pStyle w:val="EndNoteBibliography"/>
        <w:spacing w:after="0" w:line="480" w:lineRule="auto"/>
        <w:ind w:left="720" w:hanging="720"/>
        <w:rPr>
          <w:lang w:val="de-DE"/>
        </w:rPr>
      </w:pPr>
      <w:r>
        <w:t>38.</w:t>
      </w:r>
      <w:r>
        <w:tab/>
        <w:t xml:space="preserve">Avci N, Hayar M, Altmisdortoglu O, Tanriverdi O, Deligonul A, Ordu C, Evrensel T. Smoking habits are an independent prognostic factor in patients with lung cancer. </w:t>
      </w:r>
      <w:r>
        <w:rPr>
          <w:i/>
          <w:lang w:val="de-DE"/>
        </w:rPr>
        <w:t xml:space="preserve">Clin Respir J </w:t>
      </w:r>
      <w:r>
        <w:rPr>
          <w:lang w:val="de-DE"/>
        </w:rPr>
        <w:t>2017;</w:t>
      </w:r>
      <w:r>
        <w:rPr>
          <w:b/>
          <w:lang w:val="de-DE"/>
        </w:rPr>
        <w:t>11</w:t>
      </w:r>
      <w:r>
        <w:rPr>
          <w:lang w:val="de-DE"/>
        </w:rPr>
        <w:t>(5):579-584;https://doi.org/10.1111/crj.12386.</w:t>
      </w:r>
    </w:p>
    <w:p>
      <w:pPr>
        <w:pStyle w:val="EndNoteBibliography"/>
        <w:spacing w:after="0" w:line="480" w:lineRule="auto"/>
        <w:ind w:left="720" w:hanging="720"/>
      </w:pPr>
      <w:r>
        <w:rPr>
          <w:lang w:val="de-DE"/>
        </w:rPr>
        <w:t>39.</w:t>
      </w:r>
      <w:r>
        <w:rPr>
          <w:lang w:val="de-DE"/>
        </w:rPr>
        <w:tab/>
        <w:t xml:space="preserve">Krebs in Deutschland für 2015/2016. </w:t>
      </w:r>
      <w:r>
        <w:rPr>
          <w:lang w:val="de-DE"/>
        </w:rPr>
        <w:t xml:space="preserve">12. Ausgabe. </w:t>
      </w:r>
      <w:r>
        <w:rPr>
          <w:lang w:val="de-DE"/>
        </w:rPr>
        <w:t xml:space="preserve">Robert Koch-Institut (Hrsg) und die Gesellschaft der epidemiologischen Krebsregister in Deutschland e.V. (Hrsg). </w:t>
      </w:r>
      <w:r>
        <w:t>Berlin, 2019;.</w:t>
      </w:r>
      <w:r>
        <w:t>https://doi.org/10.25646/5977</w:t>
      </w:r>
      <w:r>
        <w:t>.</w:t>
      </w:r>
    </w:p>
    <w:p>
      <w:pPr>
        <w:pStyle w:val="EndNoteBibliography"/>
        <w:spacing w:after="0" w:line="480" w:lineRule="auto"/>
        <w:ind w:left="720" w:hanging="720"/>
      </w:pPr>
      <w:r>
        <w:t>40.</w:t>
      </w:r>
      <w:r>
        <w:tab/>
        <w:t xml:space="preserve">Maier W, Scheidt-Nave C, Holle R, Kroll LE, Lampert T, Du Y, Heidemann C, Mielck A. Area level deprivation is an independent determinant of prevalent type 2 diabetes and obesity at the national level in Germany. Results from the National Telephone Health Interview Surveys 'German Health Update' GEDA 2009 and 2010. </w:t>
      </w:r>
      <w:r>
        <w:rPr>
          <w:i/>
        </w:rPr>
        <w:t xml:space="preserve">PLoS One </w:t>
      </w:r>
      <w:r>
        <w:t>2014;</w:t>
      </w:r>
      <w:r>
        <w:rPr>
          <w:b/>
        </w:rPr>
        <w:t>9</w:t>
      </w:r>
      <w:r>
        <w:t>(2):e89661;</w:t>
      </w:r>
      <w:r>
        <w:t>https://doi.org/10.1371/journal.pone.0089661</w:t>
      </w:r>
      <w:r>
        <w:t>.</w:t>
      </w:r>
    </w:p>
    <w:p>
      <w:pPr>
        <w:pStyle w:val="EndNoteBibliography"/>
        <w:spacing w:after="0" w:line="480" w:lineRule="auto"/>
        <w:ind w:left="720" w:hanging="720"/>
      </w:pPr>
      <w:r>
        <w:t>41.</w:t>
      </w:r>
      <w:r>
        <w:tab/>
        <w:t xml:space="preserve">Abdel-Rahman O. Causes of death in long-term lung cancer survivors: a SEER database analysis. </w:t>
      </w:r>
      <w:r>
        <w:rPr>
          <w:i/>
        </w:rPr>
        <w:t xml:space="preserve">Curr Med Res Opin </w:t>
      </w:r>
      <w:r>
        <w:t>2017;</w:t>
      </w:r>
      <w:r>
        <w:rPr>
          <w:b/>
        </w:rPr>
        <w:t>33</w:t>
      </w:r>
      <w:r>
        <w:t>(7):1343-1348;</w:t>
      </w:r>
      <w:r>
        <w:t>https://doi.org/10.1080/03007995.2017.1322052</w:t>
      </w:r>
      <w:r>
        <w:t>.</w:t>
      </w:r>
    </w:p>
    <w:p>
      <w:pPr>
        <w:pStyle w:val="EndNoteBibliography"/>
        <w:spacing w:after="0" w:line="480" w:lineRule="auto"/>
        <w:ind w:left="720" w:hanging="720"/>
      </w:pPr>
      <w:r>
        <w:t>42.</w:t>
      </w:r>
      <w:r>
        <w:tab/>
        <w:t xml:space="preserve">Janssen-Heijnen ML, van Erning FN, De Ruysscher DK, Coebergh JW, Groen HJ. Variation in causes of death in patients with non-small cell lung cancer according to stage and time since diagnosis. </w:t>
      </w:r>
      <w:r>
        <w:rPr>
          <w:i/>
        </w:rPr>
        <w:t xml:space="preserve">Ann Oncol </w:t>
      </w:r>
      <w:r>
        <w:t>2015;</w:t>
      </w:r>
      <w:r>
        <w:rPr>
          <w:b/>
        </w:rPr>
        <w:t>26</w:t>
      </w:r>
      <w:r>
        <w:t>(5):902-7;</w:t>
      </w:r>
      <w:r>
        <w:t>https://doi.org/10.1093/annonc/mdv061</w:t>
      </w:r>
      <w:r>
        <w:t>.</w:t>
      </w:r>
    </w:p>
    <w:p>
      <w:pPr>
        <w:pStyle w:val="EndNoteBibliography"/>
        <w:spacing w:line="480" w:lineRule="auto"/>
        <w:ind w:left="720" w:hanging="720"/>
      </w:pPr>
      <w:r>
        <w:t>43.</w:t>
      </w:r>
      <w:r>
        <w:tab/>
        <w:t xml:space="preserve">Holleczek B, Katalinic A. Toward a comprehensive cancer registration in Germany. </w:t>
      </w:r>
      <w:r>
        <w:rPr>
          <w:i/>
        </w:rPr>
        <w:t xml:space="preserve">Eur J Cancer Prev </w:t>
      </w:r>
      <w:r>
        <w:t>2017;</w:t>
      </w:r>
      <w:r>
        <w:rPr>
          <w:b/>
        </w:rPr>
        <w:t>26 Joining forces for better cancer registration in Europe</w:t>
      </w:r>
      <w:r>
        <w:t>:S132-s138;</w:t>
      </w:r>
      <w:r>
        <w:t>https://doi.org/10.1097/cej.0000000000000388</w:t>
      </w:r>
      <w:r>
        <w:t>.</w:t>
      </w:r>
    </w:p>
    <w:p>
      <w:pPr>
        <w:spacing w:line="480" w:lineRule="auto"/>
        <w:jc w:val="both"/>
        <w:rPr>
          <w:rFonts w:ascii="Arial" w:hAnsi="Arial" w:cs="Arial"/>
          <w:b/>
          <w:lang w:val="en-US"/>
        </w:rPr>
      </w:pPr>
    </w:p>
    <w:p>
      <w:pPr>
        <w:spacing w:line="480" w:lineRule="auto"/>
        <w:jc w:val="both"/>
        <w:rPr>
          <w:rFonts w:ascii="Arial" w:hAnsi="Arial" w:cs="Arial"/>
          <w:b/>
          <w:lang w:val="en-US"/>
        </w:rPr>
      </w:pPr>
    </w:p>
    <w:p>
      <w:pPr>
        <w:spacing w:line="480" w:lineRule="auto"/>
        <w:jc w:val="both"/>
        <w:rPr>
          <w:rFonts w:ascii="Arial" w:hAnsi="Arial" w:cs="Arial"/>
          <w:b/>
          <w:lang w:val="en-US"/>
        </w:rPr>
      </w:pPr>
    </w:p>
    <w:p>
      <w:pPr>
        <w:spacing w:line="480" w:lineRule="auto"/>
        <w:jc w:val="both"/>
        <w:rPr>
          <w:rFonts w:ascii="Arial" w:hAnsi="Arial" w:cs="Arial"/>
          <w:b/>
          <w:lang w:val="en-US"/>
        </w:rPr>
      </w:pPr>
    </w:p>
    <w:p>
      <w:pPr>
        <w:spacing w:line="480" w:lineRule="auto"/>
        <w:jc w:val="both"/>
        <w:rPr>
          <w:rFonts w:ascii="Arial" w:hAnsi="Arial" w:cs="Arial"/>
          <w:b/>
          <w:lang w:val="en-US"/>
        </w:rPr>
      </w:pPr>
    </w:p>
    <w:p>
      <w:pPr>
        <w:spacing w:line="480" w:lineRule="auto"/>
        <w:jc w:val="both"/>
        <w:rPr>
          <w:lang w:val="en-US"/>
        </w:rPr>
      </w:pPr>
      <w:r>
        <w:rPr>
          <w:rFonts w:ascii="Arial" w:hAnsi="Arial" w:cs="Arial"/>
          <w:b/>
          <w:lang w:val="en-US"/>
        </w:rPr>
        <w:br w:type="page"/>
      </w:r>
      <w:r>
        <w:rPr>
          <w:b/>
          <w:lang w:val="en-US"/>
        </w:rPr>
        <w:t xml:space="preserve">Figure </w:t>
      </w:r>
      <w:r>
        <w:rPr>
          <w:b/>
          <w:i/>
        </w:rPr>
        <w:fldChar w:fldCharType="begin"/>
      </w:r>
      <w:r>
        <w:rPr>
          <w:b/>
          <w:lang w:val="en-US"/>
        </w:rPr>
        <w:instrText xml:space="preserve"> SEQ Abbildung \* ARABIC </w:instrText>
      </w:r>
      <w:r>
        <w:rPr>
          <w:b/>
          <w:i/>
        </w:rPr>
        <w:fldChar w:fldCharType="separate"/>
      </w:r>
      <w:r>
        <w:rPr>
          <w:b/>
          <w:noProof/>
          <w:lang w:val="en-US"/>
        </w:rPr>
        <w:t>1</w:t>
      </w:r>
      <w:r>
        <w:rPr>
          <w:b/>
          <w:i/>
        </w:rPr>
        <w:fldChar w:fldCharType="end"/>
      </w:r>
      <w:r>
        <w:rPr>
          <w:lang w:val="en-US"/>
        </w:rPr>
        <w:t xml:space="preserve"> K</w:t>
      </w:r>
      <w:r>
        <w:rPr>
          <w:lang w:val="en-US"/>
        </w:rPr>
        <w:t xml:space="preserve">aplan Meier curves stratified by area-based socioeconomic deprivation and by stage at diagnosis </w:t>
      </w:r>
      <w:r>
        <w:rPr>
          <w:lang w:val="en-US"/>
        </w:rPr>
        <w:t>for the total population of lung cancer patients registered in three Ge</w:t>
      </w:r>
      <w:r>
        <w:rPr>
          <w:lang w:val="en-US"/>
        </w:rPr>
        <w:t>rman clinical cancer registries.</w:t>
      </w:r>
    </w:p>
    <w:p>
      <w:pPr>
        <w:rPr>
          <w:lang w:val="en-US"/>
        </w:rPr>
      </w:pPr>
      <w:r>
        <w:rPr>
          <w:noProof/>
          <w:lang w:eastAsia="de-DE"/>
        </w:rPr>
        <w:drawing>
          <wp:inline distT="0" distB="0" distL="0" distR="0">
            <wp:extent cx="5760720" cy="4608195"/>
            <wp:effectExtent l="0" t="0" r="0" b="1905"/>
            <wp:docPr id="1" name="Grafik 1" descr="T:\Regional Variation\Analyses\ClinReg_Lung\Manuskript\Submission Lung Cancer\Figure_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gional Variation\Analyses\ClinReg_Lung\Manuskript\Submission Lung Cancer\Figure_1.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608195"/>
                    </a:xfrm>
                    <a:prstGeom prst="rect">
                      <a:avLst/>
                    </a:prstGeom>
                    <a:noFill/>
                    <a:ln>
                      <a:noFill/>
                    </a:ln>
                  </pic:spPr>
                </pic:pic>
              </a:graphicData>
            </a:graphic>
          </wp:inline>
        </w:drawing>
      </w:r>
    </w:p>
    <w:p>
      <w:pPr>
        <w:rPr>
          <w:lang w:val="en-US"/>
        </w:rPr>
      </w:pPr>
    </w:p>
    <w:p>
      <w:pPr>
        <w:rPr>
          <w:lang w:val="en-US"/>
        </w:rPr>
      </w:pPr>
    </w:p>
    <w:p>
      <w:pPr>
        <w:rPr>
          <w:lang w:val="en-US"/>
        </w:rPr>
      </w:pPr>
    </w:p>
    <w:p>
      <w:pPr>
        <w:rPr>
          <w:lang w:val="en-US"/>
        </w:rPr>
      </w:pPr>
    </w:p>
    <w:p>
      <w:pPr>
        <w:tabs>
          <w:tab w:val="left" w:pos="3555"/>
        </w:tabs>
        <w:rPr>
          <w:lang w:val="en-US"/>
        </w:rPr>
      </w:pPr>
    </w:p>
    <w:p>
      <w:pPr>
        <w:tabs>
          <w:tab w:val="left" w:pos="3555"/>
        </w:tabs>
        <w:rPr>
          <w:lang w:val="en-US"/>
        </w:rPr>
      </w:pPr>
    </w:p>
    <w:p>
      <w:pPr>
        <w:tabs>
          <w:tab w:val="left" w:pos="3555"/>
        </w:tabs>
        <w:rPr>
          <w:lang w:val="en-US"/>
        </w:rPr>
      </w:pPr>
    </w:p>
    <w:p>
      <w:pPr>
        <w:tabs>
          <w:tab w:val="left" w:pos="3555"/>
        </w:tabs>
        <w:rPr>
          <w:lang w:val="en-US"/>
        </w:rPr>
      </w:pPr>
    </w:p>
    <w:p>
      <w:pPr>
        <w:tabs>
          <w:tab w:val="left" w:pos="3555"/>
        </w:tabs>
        <w:rPr>
          <w:lang w:val="en-US"/>
        </w:rPr>
      </w:pPr>
    </w:p>
    <w:p>
      <w:pPr>
        <w:tabs>
          <w:tab w:val="left" w:pos="3555"/>
        </w:tabs>
        <w:rPr>
          <w:lang w:val="en-US"/>
        </w:rPr>
        <w:sectPr>
          <w:footerReference w:type="default" r:id="rId8"/>
          <w:pgSz w:w="11906" w:h="16838"/>
          <w:pgMar w:top="1417" w:right="1417" w:bottom="1134" w:left="1417" w:header="708" w:footer="708" w:gutter="0"/>
          <w:cols w:space="708"/>
          <w:docGrid w:linePitch="360"/>
        </w:sectPr>
      </w:pPr>
    </w:p>
    <w:p>
      <w:pPr>
        <w:pStyle w:val="Beschriftung"/>
        <w:keepNext/>
        <w:spacing w:after="0"/>
        <w:rPr>
          <w:i w:val="0"/>
          <w:color w:val="auto"/>
          <w:sz w:val="22"/>
          <w:lang w:val="en-US"/>
        </w:rPr>
      </w:pPr>
      <w:r>
        <w:rPr>
          <w:b/>
          <w:i w:val="0"/>
          <w:color w:val="auto"/>
          <w:sz w:val="22"/>
          <w:lang w:val="en-US"/>
        </w:rPr>
        <w:t xml:space="preserve">Table </w:t>
      </w:r>
      <w:r>
        <w:rPr>
          <w:b/>
          <w:i w:val="0"/>
          <w:color w:val="auto"/>
          <w:sz w:val="22"/>
        </w:rPr>
        <w:fldChar w:fldCharType="begin"/>
      </w:r>
      <w:r>
        <w:rPr>
          <w:b/>
          <w:i w:val="0"/>
          <w:color w:val="auto"/>
          <w:sz w:val="22"/>
          <w:lang w:val="en-US"/>
        </w:rPr>
        <w:instrText xml:space="preserve"> SEQ Table \* ARABIC </w:instrText>
      </w:r>
      <w:r>
        <w:rPr>
          <w:b/>
          <w:i w:val="0"/>
          <w:color w:val="auto"/>
          <w:sz w:val="22"/>
        </w:rPr>
        <w:fldChar w:fldCharType="separate"/>
      </w:r>
      <w:r>
        <w:rPr>
          <w:b/>
          <w:i w:val="0"/>
          <w:noProof/>
          <w:color w:val="auto"/>
          <w:sz w:val="22"/>
          <w:lang w:val="en-US"/>
        </w:rPr>
        <w:t>1</w:t>
      </w:r>
      <w:r>
        <w:rPr>
          <w:b/>
          <w:i w:val="0"/>
          <w:color w:val="auto"/>
          <w:sz w:val="22"/>
        </w:rPr>
        <w:fldChar w:fldCharType="end"/>
      </w:r>
      <w:r>
        <w:rPr>
          <w:i w:val="0"/>
          <w:color w:val="auto"/>
          <w:sz w:val="22"/>
          <w:lang w:val="en-US"/>
        </w:rPr>
        <w:t xml:space="preserve"> Characteristics of the total study population stratified by area-based socioeconomic deprivation quintiles</w:t>
      </w:r>
    </w:p>
    <w:tbl>
      <w:tblPr>
        <w:tblStyle w:val="Tabellenraster"/>
        <w:tblW w:w="10761"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5"/>
        <w:gridCol w:w="1304"/>
        <w:gridCol w:w="236"/>
        <w:gridCol w:w="1513"/>
        <w:gridCol w:w="1134"/>
        <w:gridCol w:w="1134"/>
        <w:gridCol w:w="1134"/>
        <w:gridCol w:w="1512"/>
        <w:gridCol w:w="889"/>
      </w:tblGrid>
      <w:tr>
        <w:tc>
          <w:tcPr>
            <w:tcW w:w="1905" w:type="dxa"/>
            <w:tcBorders>
              <w:top w:val="single" w:sz="4" w:space="0" w:color="auto"/>
            </w:tcBorders>
          </w:tcPr>
          <w:p>
            <w:pPr>
              <w:spacing w:after="0"/>
              <w:rPr>
                <w:rFonts w:ascii="Calibri" w:eastAsia="Calibri" w:hAnsi="Calibri" w:cs="Times New Roman"/>
                <w:sz w:val="18"/>
                <w:szCs w:val="18"/>
                <w:lang w:val="en-US"/>
              </w:rPr>
            </w:pPr>
          </w:p>
        </w:tc>
        <w:tc>
          <w:tcPr>
            <w:tcW w:w="1304" w:type="dxa"/>
            <w:tcBorders>
              <w:top w:val="single" w:sz="4" w:space="0" w:color="auto"/>
            </w:tcBorders>
          </w:tcPr>
          <w:p>
            <w:pPr>
              <w:spacing w:after="0"/>
              <w:jc w:val="center"/>
              <w:rPr>
                <w:rFonts w:ascii="Calibri" w:eastAsia="Calibri" w:hAnsi="Calibri" w:cs="Times New Roman"/>
                <w:b/>
                <w:sz w:val="18"/>
                <w:szCs w:val="18"/>
                <w:lang w:val="en-US"/>
              </w:rPr>
            </w:pPr>
          </w:p>
        </w:tc>
        <w:tc>
          <w:tcPr>
            <w:tcW w:w="236" w:type="dxa"/>
            <w:tcBorders>
              <w:top w:val="single" w:sz="4" w:space="0" w:color="auto"/>
            </w:tcBorders>
          </w:tcPr>
          <w:p>
            <w:pPr>
              <w:spacing w:after="0"/>
              <w:rPr>
                <w:rFonts w:ascii="Calibri" w:eastAsia="Calibri" w:hAnsi="Calibri" w:cs="Times New Roman"/>
                <w:b/>
                <w:sz w:val="18"/>
                <w:szCs w:val="18"/>
                <w:lang w:val="en-US"/>
              </w:rPr>
            </w:pPr>
          </w:p>
        </w:tc>
        <w:tc>
          <w:tcPr>
            <w:tcW w:w="6427" w:type="dxa"/>
            <w:gridSpan w:val="5"/>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Deprivation quintile</w:t>
            </w:r>
          </w:p>
        </w:tc>
        <w:tc>
          <w:tcPr>
            <w:tcW w:w="889" w:type="dxa"/>
            <w:tcBorders>
              <w:top w:val="single" w:sz="4" w:space="0" w:color="auto"/>
            </w:tcBorders>
          </w:tcPr>
          <w:p>
            <w:pPr>
              <w:spacing w:after="0"/>
              <w:jc w:val="center"/>
              <w:rPr>
                <w:rFonts w:ascii="Calibri" w:eastAsia="Calibri" w:hAnsi="Calibri" w:cs="Times New Roman"/>
                <w:b/>
                <w:sz w:val="18"/>
                <w:szCs w:val="18"/>
                <w:lang w:val="en-US"/>
              </w:rPr>
            </w:pPr>
          </w:p>
        </w:tc>
      </w:tr>
      <w:tr>
        <w:tc>
          <w:tcPr>
            <w:tcW w:w="1905" w:type="dxa"/>
          </w:tcPr>
          <w:p>
            <w:pPr>
              <w:spacing w:after="0"/>
              <w:rPr>
                <w:rFonts w:ascii="Calibri" w:eastAsia="Calibri" w:hAnsi="Calibri" w:cs="Times New Roman"/>
                <w:sz w:val="18"/>
                <w:szCs w:val="18"/>
                <w:lang w:val="en-US"/>
              </w:rPr>
            </w:pPr>
          </w:p>
        </w:tc>
        <w:tc>
          <w:tcPr>
            <w:tcW w:w="1304" w:type="dxa"/>
            <w:tcBorders>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Total</w:t>
            </w:r>
          </w:p>
        </w:tc>
        <w:tc>
          <w:tcPr>
            <w:tcW w:w="236" w:type="dxa"/>
            <w:tcBorders>
              <w:bottom w:val="single" w:sz="4" w:space="0" w:color="auto"/>
            </w:tcBorders>
          </w:tcPr>
          <w:p>
            <w:pPr>
              <w:tabs>
                <w:tab w:val="left" w:pos="801"/>
              </w:tabs>
              <w:spacing w:after="0"/>
              <w:rPr>
                <w:rFonts w:ascii="Calibri" w:eastAsia="Calibri" w:hAnsi="Calibri" w:cs="Times New Roman"/>
                <w:b/>
                <w:sz w:val="18"/>
                <w:szCs w:val="18"/>
                <w:lang w:val="en-US"/>
              </w:rPr>
            </w:pPr>
          </w:p>
        </w:tc>
        <w:tc>
          <w:tcPr>
            <w:tcW w:w="1513" w:type="dxa"/>
            <w:tcBorders>
              <w:top w:val="single" w:sz="4" w:space="0" w:color="auto"/>
              <w:bottom w:val="single" w:sz="4" w:space="0" w:color="auto"/>
            </w:tcBorders>
            <w:tcMar>
              <w:left w:w="57" w:type="dxa"/>
              <w:right w:w="57" w:type="dxa"/>
            </w:tcMar>
          </w:tcPr>
          <w:p>
            <w:pPr>
              <w:tabs>
                <w:tab w:val="left" w:pos="801"/>
              </w:tabs>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Q1</w:t>
            </w:r>
          </w:p>
          <w:p>
            <w:pPr>
              <w:tabs>
                <w:tab w:val="left" w:pos="801"/>
              </w:tabs>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w:t>
            </w:r>
            <w:r>
              <w:rPr>
                <w:rFonts w:ascii="Calibri" w:eastAsia="Calibri" w:hAnsi="Calibri" w:cs="Times New Roman"/>
                <w:b/>
                <w:sz w:val="18"/>
                <w:szCs w:val="18"/>
                <w:lang w:val="en-US"/>
              </w:rPr>
              <w:t>Least deprived</w:t>
            </w:r>
            <w:r>
              <w:rPr>
                <w:rFonts w:ascii="Calibri" w:eastAsia="Calibri" w:hAnsi="Calibri" w:cs="Times New Roman"/>
                <w:b/>
                <w:sz w:val="18"/>
                <w:szCs w:val="18"/>
                <w:lang w:val="en-US"/>
              </w:rPr>
              <w:t>)</w:t>
            </w:r>
          </w:p>
        </w:tc>
        <w:tc>
          <w:tcPr>
            <w:tcW w:w="1134"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Q2</w:t>
            </w:r>
          </w:p>
        </w:tc>
        <w:tc>
          <w:tcPr>
            <w:tcW w:w="1134"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Q3</w:t>
            </w:r>
          </w:p>
        </w:tc>
        <w:tc>
          <w:tcPr>
            <w:tcW w:w="1134"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Q4</w:t>
            </w:r>
          </w:p>
        </w:tc>
        <w:tc>
          <w:tcPr>
            <w:tcW w:w="1512"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Q5</w:t>
            </w:r>
          </w:p>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(Most deprived)</w:t>
            </w:r>
          </w:p>
        </w:tc>
        <w:tc>
          <w:tcPr>
            <w:tcW w:w="889" w:type="dxa"/>
            <w:tcBorders>
              <w:bottom w:val="single" w:sz="4" w:space="0" w:color="auto"/>
            </w:tcBorders>
            <w:vAlign w:val="bottom"/>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p-value</w:t>
            </w:r>
            <w:r>
              <w:rPr>
                <w:rFonts w:ascii="Calibri" w:eastAsia="Calibri" w:hAnsi="Calibri" w:cs="Times New Roman"/>
                <w:b/>
                <w:sz w:val="18"/>
                <w:szCs w:val="18"/>
                <w:vertAlign w:val="superscript"/>
                <w:lang w:val="en-US"/>
              </w:rPr>
              <w:t>a</w:t>
            </w:r>
          </w:p>
        </w:tc>
      </w:tr>
      <w:tr>
        <w:tc>
          <w:tcPr>
            <w:tcW w:w="1905" w:type="dxa"/>
            <w:tcBorders>
              <w:bottom w:val="single" w:sz="4" w:space="0" w:color="auto"/>
            </w:tcBorders>
          </w:tcPr>
          <w:p>
            <w:pPr>
              <w:spacing w:after="0"/>
              <w:rPr>
                <w:rFonts w:ascii="Calibri" w:eastAsia="Calibri" w:hAnsi="Calibri" w:cs="Times New Roman"/>
                <w:sz w:val="18"/>
                <w:szCs w:val="18"/>
                <w:lang w:val="en-US"/>
              </w:rPr>
            </w:pPr>
          </w:p>
        </w:tc>
        <w:tc>
          <w:tcPr>
            <w:tcW w:w="1304"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N (%)</w:t>
            </w:r>
          </w:p>
        </w:tc>
        <w:tc>
          <w:tcPr>
            <w:tcW w:w="236"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p>
        </w:tc>
        <w:tc>
          <w:tcPr>
            <w:tcW w:w="1513"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N (%)</w:t>
            </w:r>
          </w:p>
        </w:tc>
        <w:tc>
          <w:tcPr>
            <w:tcW w:w="1134"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N (%)</w:t>
            </w:r>
          </w:p>
        </w:tc>
        <w:tc>
          <w:tcPr>
            <w:tcW w:w="1134"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N (%)</w:t>
            </w:r>
          </w:p>
        </w:tc>
        <w:tc>
          <w:tcPr>
            <w:tcW w:w="1134"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N (%)</w:t>
            </w:r>
          </w:p>
        </w:tc>
        <w:tc>
          <w:tcPr>
            <w:tcW w:w="1512"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r>
              <w:rPr>
                <w:rFonts w:ascii="Calibri" w:eastAsia="Calibri" w:hAnsi="Calibri" w:cs="Times New Roman"/>
                <w:b/>
                <w:sz w:val="18"/>
                <w:szCs w:val="18"/>
                <w:lang w:val="en-US"/>
              </w:rPr>
              <w:t>N (%)</w:t>
            </w:r>
          </w:p>
        </w:tc>
        <w:tc>
          <w:tcPr>
            <w:tcW w:w="889" w:type="dxa"/>
            <w:tcBorders>
              <w:top w:val="single" w:sz="4" w:space="0" w:color="auto"/>
              <w:bottom w:val="single" w:sz="4" w:space="0" w:color="auto"/>
            </w:tcBorders>
          </w:tcPr>
          <w:p>
            <w:pPr>
              <w:spacing w:after="0"/>
              <w:jc w:val="center"/>
              <w:rPr>
                <w:rFonts w:ascii="Calibri" w:eastAsia="Calibri" w:hAnsi="Calibri" w:cs="Times New Roman"/>
                <w:b/>
                <w:sz w:val="18"/>
                <w:szCs w:val="18"/>
                <w:lang w:val="en-US"/>
              </w:rPr>
            </w:pPr>
          </w:p>
        </w:tc>
      </w:tr>
      <w:tr>
        <w:tc>
          <w:tcPr>
            <w:tcW w:w="1905" w:type="dxa"/>
            <w:tcBorders>
              <w:top w:val="single" w:sz="4" w:space="0" w:color="auto"/>
            </w:tcBorders>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Cases</w:t>
            </w:r>
          </w:p>
        </w:tc>
        <w:tc>
          <w:tcPr>
            <w:tcW w:w="1304" w:type="dxa"/>
            <w:tcBorders>
              <w:top w:val="single" w:sz="4" w:space="0" w:color="auto"/>
            </w:tcBorders>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22,905 (100.0)</w:t>
            </w:r>
          </w:p>
        </w:tc>
        <w:tc>
          <w:tcPr>
            <w:tcW w:w="236" w:type="dxa"/>
            <w:tcBorders>
              <w:top w:val="single" w:sz="4" w:space="0" w:color="auto"/>
            </w:tcBorders>
            <w:shd w:val="clear" w:color="auto" w:fill="auto"/>
          </w:tcPr>
          <w:p>
            <w:pPr>
              <w:spacing w:after="0"/>
              <w:jc w:val="right"/>
              <w:rPr>
                <w:rFonts w:ascii="Calibri" w:eastAsia="Calibri" w:hAnsi="Calibri" w:cs="Calibri"/>
                <w:sz w:val="18"/>
                <w:szCs w:val="18"/>
                <w:lang w:val="en-US"/>
              </w:rPr>
            </w:pPr>
          </w:p>
        </w:tc>
        <w:tc>
          <w:tcPr>
            <w:tcW w:w="1513" w:type="dxa"/>
            <w:tcBorders>
              <w:top w:val="single" w:sz="4" w:space="0" w:color="auto"/>
            </w:tcBorders>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3,904 (17.0)</w:t>
            </w:r>
          </w:p>
        </w:tc>
        <w:tc>
          <w:tcPr>
            <w:tcW w:w="1134" w:type="dxa"/>
            <w:tcBorders>
              <w:top w:val="single" w:sz="4" w:space="0" w:color="auto"/>
            </w:tcBorders>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4,662 (20.4)</w:t>
            </w:r>
          </w:p>
        </w:tc>
        <w:tc>
          <w:tcPr>
            <w:tcW w:w="1134" w:type="dxa"/>
            <w:tcBorders>
              <w:top w:val="single" w:sz="4" w:space="0" w:color="auto"/>
            </w:tcBorders>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4,690 (20.5)</w:t>
            </w:r>
          </w:p>
        </w:tc>
        <w:tc>
          <w:tcPr>
            <w:tcW w:w="1134" w:type="dxa"/>
            <w:tcBorders>
              <w:top w:val="single" w:sz="4" w:space="0" w:color="auto"/>
            </w:tcBorders>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4,622 (20.2)</w:t>
            </w:r>
          </w:p>
        </w:tc>
        <w:tc>
          <w:tcPr>
            <w:tcW w:w="1512" w:type="dxa"/>
            <w:tcBorders>
              <w:top w:val="single" w:sz="4" w:space="0" w:color="auto"/>
            </w:tcBorders>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5,027 (22.0)</w:t>
            </w:r>
          </w:p>
        </w:tc>
        <w:tc>
          <w:tcPr>
            <w:tcW w:w="889" w:type="dxa"/>
            <w:tcBorders>
              <w:top w:val="single" w:sz="4" w:space="0" w:color="auto"/>
            </w:tcBorders>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Cancer Registry</w:t>
            </w:r>
          </w:p>
        </w:tc>
        <w:tc>
          <w:tcPr>
            <w:tcW w:w="1304" w:type="dxa"/>
            <w:shd w:val="clear" w:color="auto" w:fill="auto"/>
          </w:tcPr>
          <w:p>
            <w:pPr>
              <w:spacing w:after="0"/>
              <w:jc w:val="right"/>
              <w:rPr>
                <w:rFonts w:ascii="Calibri" w:eastAsia="Calibri" w:hAnsi="Calibri" w:cs="Calibri"/>
                <w:sz w:val="18"/>
                <w:szCs w:val="18"/>
                <w:lang w:val="en-US"/>
              </w:rPr>
            </w:pPr>
          </w:p>
        </w:tc>
        <w:tc>
          <w:tcPr>
            <w:tcW w:w="236" w:type="dxa"/>
            <w:shd w:val="clear" w:color="auto" w:fill="auto"/>
          </w:tcPr>
          <w:p>
            <w:pPr>
              <w:spacing w:after="0"/>
              <w:jc w:val="right"/>
              <w:rPr>
                <w:rFonts w:ascii="Calibri" w:eastAsia="Calibri" w:hAnsi="Calibri" w:cs="Calibri"/>
                <w:sz w:val="18"/>
                <w:szCs w:val="18"/>
                <w:lang w:val="en-US"/>
              </w:rPr>
            </w:pPr>
          </w:p>
        </w:tc>
        <w:tc>
          <w:tcPr>
            <w:tcW w:w="1513"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512" w:type="dxa"/>
            <w:shd w:val="clear" w:color="auto" w:fill="auto"/>
          </w:tcPr>
          <w:p>
            <w:pPr>
              <w:spacing w:after="0"/>
              <w:jc w:val="right"/>
              <w:rPr>
                <w:rFonts w:ascii="Calibri" w:eastAsia="Calibri" w:hAnsi="Calibri" w:cs="Calibri"/>
                <w:sz w:val="18"/>
                <w:szCs w:val="18"/>
                <w:lang w:val="en-US"/>
              </w:rPr>
            </w:pP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sz w:val="18"/>
                <w:szCs w:val="18"/>
                <w:lang w:val="en-US"/>
              </w:rPr>
              <w:t>Dresden</w:t>
            </w:r>
          </w:p>
        </w:tc>
        <w:tc>
          <w:tcPr>
            <w:tcW w:w="130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6,752 (29.5)</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551 (14.1)</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1,730 (37.1)</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1,722 (36.7)</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794 (17.2)</w:t>
            </w:r>
          </w:p>
        </w:tc>
        <w:tc>
          <w:tcPr>
            <w:tcW w:w="1512"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1,955 (38.9)</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sz w:val="18"/>
                <w:szCs w:val="18"/>
                <w:lang w:val="en-US"/>
              </w:rPr>
              <w:t>Erfurt</w:t>
            </w:r>
          </w:p>
        </w:tc>
        <w:tc>
          <w:tcPr>
            <w:tcW w:w="130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5,373 (23.5)</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160 (4.1)</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260 (5.6)</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1,270 (27.1)</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1,893 (41.0)</w:t>
            </w:r>
          </w:p>
        </w:tc>
        <w:tc>
          <w:tcPr>
            <w:tcW w:w="1512"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1,790 (35.6)</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sz w:val="18"/>
                <w:szCs w:val="18"/>
                <w:lang w:val="en-US"/>
              </w:rPr>
              <w:t>Regensburg</w:t>
            </w:r>
          </w:p>
        </w:tc>
        <w:tc>
          <w:tcPr>
            <w:tcW w:w="130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10,780 (47.1)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3,193 (81.8)</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2,672 (57.3)</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1,698 (36.2)</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1,935 (41.9)</w:t>
            </w:r>
          </w:p>
        </w:tc>
        <w:tc>
          <w:tcPr>
            <w:tcW w:w="1512"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rPr>
              <w:t>1,282 (25.5)</w:t>
            </w:r>
          </w:p>
        </w:tc>
        <w:tc>
          <w:tcPr>
            <w:tcW w:w="889"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&lt;.0001</w:t>
            </w: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Sex</w:t>
            </w:r>
          </w:p>
        </w:tc>
        <w:tc>
          <w:tcPr>
            <w:tcW w:w="1304" w:type="dxa"/>
            <w:shd w:val="clear" w:color="auto" w:fill="auto"/>
          </w:tcPr>
          <w:p>
            <w:pPr>
              <w:spacing w:after="0"/>
              <w:jc w:val="right"/>
              <w:rPr>
                <w:rFonts w:ascii="Calibri" w:eastAsia="Calibri" w:hAnsi="Calibri" w:cs="Calibri"/>
                <w:sz w:val="18"/>
                <w:szCs w:val="18"/>
                <w:lang w:val="en-US"/>
              </w:rPr>
            </w:pPr>
          </w:p>
        </w:tc>
        <w:tc>
          <w:tcPr>
            <w:tcW w:w="236" w:type="dxa"/>
            <w:shd w:val="clear" w:color="auto" w:fill="auto"/>
          </w:tcPr>
          <w:p>
            <w:pPr>
              <w:spacing w:after="0"/>
              <w:jc w:val="right"/>
              <w:rPr>
                <w:rFonts w:ascii="Calibri" w:eastAsia="Calibri" w:hAnsi="Calibri" w:cs="Calibri"/>
                <w:sz w:val="18"/>
                <w:szCs w:val="18"/>
                <w:lang w:val="en-US"/>
              </w:rPr>
            </w:pPr>
          </w:p>
        </w:tc>
        <w:tc>
          <w:tcPr>
            <w:tcW w:w="1513"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512" w:type="dxa"/>
            <w:shd w:val="clear" w:color="auto" w:fill="auto"/>
          </w:tcPr>
          <w:p>
            <w:pPr>
              <w:spacing w:after="0"/>
              <w:jc w:val="right"/>
              <w:rPr>
                <w:rFonts w:ascii="Calibri" w:eastAsia="Calibri" w:hAnsi="Calibri" w:cs="Calibri"/>
                <w:sz w:val="18"/>
                <w:szCs w:val="18"/>
                <w:lang w:val="en-US"/>
              </w:rPr>
            </w:pP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Men</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16,690 (72.9)</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2,816 (72.1)</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3,298 (70.7)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3,391 (72.3)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3,335 (72.2)</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3,850 (76.6)</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Women</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6,215 (27.1)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1,088 (27.9)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1,364 (29.3)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1,299 (27.7)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1,287 (27.8)</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1,177 (23.4)</w:t>
            </w:r>
          </w:p>
        </w:tc>
        <w:tc>
          <w:tcPr>
            <w:tcW w:w="889"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lang w:val="en-US"/>
              </w:rPr>
              <w:t>&lt;.0001</w:t>
            </w: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Age at diagnosis</w:t>
            </w:r>
          </w:p>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(years)</w:t>
            </w:r>
          </w:p>
        </w:tc>
        <w:tc>
          <w:tcPr>
            <w:tcW w:w="1304" w:type="dxa"/>
            <w:shd w:val="clear" w:color="auto" w:fill="auto"/>
          </w:tcPr>
          <w:p>
            <w:pPr>
              <w:spacing w:after="0"/>
              <w:jc w:val="right"/>
              <w:rPr>
                <w:rFonts w:ascii="Calibri" w:eastAsia="Calibri" w:hAnsi="Calibri" w:cs="Calibri"/>
                <w:sz w:val="18"/>
                <w:szCs w:val="18"/>
                <w:lang w:val="en-US"/>
              </w:rPr>
            </w:pPr>
          </w:p>
        </w:tc>
        <w:tc>
          <w:tcPr>
            <w:tcW w:w="236" w:type="dxa"/>
            <w:shd w:val="clear" w:color="auto" w:fill="auto"/>
          </w:tcPr>
          <w:p>
            <w:pPr>
              <w:spacing w:after="0"/>
              <w:jc w:val="right"/>
              <w:rPr>
                <w:rFonts w:ascii="Calibri" w:eastAsia="Calibri" w:hAnsi="Calibri" w:cs="Calibri"/>
                <w:sz w:val="18"/>
                <w:szCs w:val="18"/>
                <w:lang w:val="en-US"/>
              </w:rPr>
            </w:pPr>
          </w:p>
        </w:tc>
        <w:tc>
          <w:tcPr>
            <w:tcW w:w="1513"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512" w:type="dxa"/>
            <w:shd w:val="clear" w:color="auto" w:fill="auto"/>
          </w:tcPr>
          <w:p>
            <w:pPr>
              <w:spacing w:after="0"/>
              <w:jc w:val="right"/>
              <w:rPr>
                <w:rFonts w:ascii="Calibri" w:eastAsia="Calibri" w:hAnsi="Calibri" w:cs="Calibri"/>
                <w:sz w:val="18"/>
                <w:szCs w:val="18"/>
                <w:lang w:val="en-US"/>
              </w:rPr>
            </w:pP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15-54</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3,007 (13.1)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581 (14.9)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584 (12.5)</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587 (12.5)</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617 (13.3)</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638 (12.7)</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55-59</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2,508 (10.9)</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467 (12.0)</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475 (10.2)</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512 (10.9)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516 (11.2)</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538 (10.7)</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60-64</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3,452 (15.1)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565 (14.5)</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720 (15.4)</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675 (14.4)</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714 (15.4)</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778 (15.5)</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65-69</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4,099 (17.9)</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710 (18.2)</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831 (17.8)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828 (17.7)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831 (18.0)</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899 (17.9)</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70-74</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4,398 (19.2)</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714 (18.3)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922 (19.8)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928 (19.8)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853 (18.5)</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981 (19.5)</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75+</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5,441 (23.8)</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867 (22.2)</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1,130 (24.2)</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1,160 (24.7)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1,091 (23.6)</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1,193 (23.7)</w:t>
            </w:r>
          </w:p>
        </w:tc>
        <w:tc>
          <w:tcPr>
            <w:tcW w:w="889"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0.022</w:t>
            </w: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Mean (years ± SD)</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lang w:val="en-US"/>
              </w:rPr>
              <w:t>67.2 ± 10.3</w:t>
            </w:r>
          </w:p>
        </w:tc>
        <w:tc>
          <w:tcPr>
            <w:tcW w:w="236" w:type="dxa"/>
            <w:shd w:val="clear" w:color="auto" w:fill="auto"/>
          </w:tcPr>
          <w:p>
            <w:pPr>
              <w:spacing w:after="0"/>
              <w:jc w:val="right"/>
              <w:rPr>
                <w:rFonts w:ascii="Calibri" w:eastAsia="Calibri" w:hAnsi="Calibri" w:cs="Calibri"/>
                <w:sz w:val="18"/>
                <w:szCs w:val="18"/>
                <w:lang w:val="en-US"/>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lang w:val="en-US"/>
              </w:rPr>
              <w:t>66.4 ± 10.4</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lang w:val="en-US"/>
              </w:rPr>
              <w:t>67.5 ± 10.3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lang w:val="en-US"/>
              </w:rPr>
              <w:t>67.5 ± 10.3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lang w:val="en-US"/>
              </w:rPr>
              <w:t>67.1 ± 10.3</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lang w:val="en-US"/>
              </w:rPr>
              <w:t>67.3 ± 10.2</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b/>
                <w:sz w:val="18"/>
                <w:szCs w:val="18"/>
                <w:lang w:val="en-US"/>
              </w:rPr>
              <w:t>Period of Diagnosis</w:t>
            </w:r>
          </w:p>
        </w:tc>
        <w:tc>
          <w:tcPr>
            <w:tcW w:w="1304" w:type="dxa"/>
            <w:shd w:val="clear" w:color="auto" w:fill="auto"/>
          </w:tcPr>
          <w:p>
            <w:pPr>
              <w:spacing w:after="0"/>
              <w:jc w:val="right"/>
              <w:rPr>
                <w:rFonts w:ascii="Calibri" w:eastAsia="Calibri" w:hAnsi="Calibri" w:cs="Calibri"/>
                <w:sz w:val="18"/>
                <w:szCs w:val="18"/>
                <w:lang w:val="en-US"/>
              </w:rPr>
            </w:pPr>
          </w:p>
        </w:tc>
        <w:tc>
          <w:tcPr>
            <w:tcW w:w="236" w:type="dxa"/>
            <w:shd w:val="clear" w:color="auto" w:fill="auto"/>
          </w:tcPr>
          <w:p>
            <w:pPr>
              <w:spacing w:after="0"/>
              <w:jc w:val="right"/>
              <w:rPr>
                <w:rFonts w:ascii="Calibri" w:eastAsia="Calibri" w:hAnsi="Calibri" w:cs="Calibri"/>
                <w:sz w:val="18"/>
                <w:szCs w:val="18"/>
                <w:lang w:val="en-US"/>
              </w:rPr>
            </w:pPr>
          </w:p>
        </w:tc>
        <w:tc>
          <w:tcPr>
            <w:tcW w:w="1513"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512" w:type="dxa"/>
            <w:shd w:val="clear" w:color="auto" w:fill="auto"/>
          </w:tcPr>
          <w:p>
            <w:pPr>
              <w:spacing w:after="0"/>
              <w:jc w:val="right"/>
              <w:rPr>
                <w:rFonts w:ascii="Calibri" w:eastAsia="Calibri" w:hAnsi="Calibri" w:cs="Calibri"/>
                <w:sz w:val="18"/>
                <w:szCs w:val="18"/>
                <w:lang w:val="en-US"/>
              </w:rPr>
            </w:pP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2000-2010</w:t>
            </w:r>
          </w:p>
        </w:tc>
        <w:tc>
          <w:tcPr>
            <w:tcW w:w="1304"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14,769 (64.5)</w:t>
            </w:r>
          </w:p>
        </w:tc>
        <w:tc>
          <w:tcPr>
            <w:tcW w:w="236" w:type="dxa"/>
            <w:shd w:val="clear" w:color="auto" w:fill="auto"/>
          </w:tcPr>
          <w:p>
            <w:pPr>
              <w:spacing w:after="0"/>
              <w:jc w:val="right"/>
              <w:rPr>
                <w:rFonts w:ascii="Calibri" w:eastAsia="Calibri" w:hAnsi="Calibri" w:cs="Times New Roman"/>
                <w:sz w:val="18"/>
                <w:szCs w:val="18"/>
              </w:rPr>
            </w:pPr>
          </w:p>
        </w:tc>
        <w:tc>
          <w:tcPr>
            <w:tcW w:w="1513"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2,383 (61</w:t>
            </w:r>
            <w:r>
              <w:rPr>
                <w:rFonts w:ascii="Calibri" w:eastAsia="Calibri" w:hAnsi="Calibri" w:cs="Times New Roman"/>
                <w:sz w:val="18"/>
                <w:szCs w:val="18"/>
              </w:rPr>
              <w:t>.0</w:t>
            </w:r>
            <w:r>
              <w:rPr>
                <w:rFonts w:ascii="Calibri" w:eastAsia="Calibri" w:hAnsi="Calibri" w:cs="Times New Roman"/>
                <w:sz w:val="18"/>
                <w:szCs w:val="18"/>
              </w:rPr>
              <w:t>)</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2,873 (61.6)</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3,107 (66.2)</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2,982 (64.5)</w:t>
            </w:r>
          </w:p>
        </w:tc>
        <w:tc>
          <w:tcPr>
            <w:tcW w:w="1512"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3,424 (68.1)</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2011-2015</w:t>
            </w:r>
          </w:p>
        </w:tc>
        <w:tc>
          <w:tcPr>
            <w:tcW w:w="1304"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8,136 (35.5)</w:t>
            </w:r>
          </w:p>
        </w:tc>
        <w:tc>
          <w:tcPr>
            <w:tcW w:w="236" w:type="dxa"/>
            <w:shd w:val="clear" w:color="auto" w:fill="auto"/>
          </w:tcPr>
          <w:p>
            <w:pPr>
              <w:spacing w:after="0"/>
              <w:jc w:val="right"/>
              <w:rPr>
                <w:rFonts w:ascii="Calibri" w:eastAsia="Calibri" w:hAnsi="Calibri" w:cs="Times New Roman"/>
                <w:sz w:val="18"/>
                <w:szCs w:val="18"/>
              </w:rPr>
            </w:pPr>
          </w:p>
        </w:tc>
        <w:tc>
          <w:tcPr>
            <w:tcW w:w="1513"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1,521 (39</w:t>
            </w:r>
            <w:r>
              <w:rPr>
                <w:rFonts w:ascii="Calibri" w:eastAsia="Calibri" w:hAnsi="Calibri" w:cs="Times New Roman"/>
                <w:sz w:val="18"/>
                <w:szCs w:val="18"/>
              </w:rPr>
              <w:t>.0</w:t>
            </w:r>
            <w:r>
              <w:rPr>
                <w:rFonts w:ascii="Calibri" w:eastAsia="Calibri" w:hAnsi="Calibri" w:cs="Times New Roman"/>
                <w:sz w:val="18"/>
                <w:szCs w:val="18"/>
              </w:rPr>
              <w:t>)</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1,789 (38.4)</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1,583 (33.8)</w:t>
            </w:r>
          </w:p>
        </w:tc>
        <w:tc>
          <w:tcPr>
            <w:tcW w:w="1134"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1,640 (35.5)</w:t>
            </w:r>
          </w:p>
        </w:tc>
        <w:tc>
          <w:tcPr>
            <w:tcW w:w="1512" w:type="dxa"/>
            <w:shd w:val="clear" w:color="auto" w:fill="auto"/>
          </w:tcPr>
          <w:p>
            <w:pPr>
              <w:spacing w:after="0"/>
              <w:jc w:val="right"/>
              <w:rPr>
                <w:rFonts w:ascii="Calibri" w:eastAsia="Calibri" w:hAnsi="Calibri" w:cs="Calibri"/>
                <w:sz w:val="18"/>
                <w:szCs w:val="18"/>
                <w:lang w:val="en-US"/>
              </w:rPr>
            </w:pPr>
            <w:r>
              <w:rPr>
                <w:rFonts w:ascii="Calibri" w:eastAsia="Calibri" w:hAnsi="Calibri" w:cs="Times New Roman"/>
                <w:sz w:val="18"/>
                <w:szCs w:val="18"/>
              </w:rPr>
              <w:t>1,603 (31.9)</w:t>
            </w:r>
          </w:p>
        </w:tc>
        <w:tc>
          <w:tcPr>
            <w:tcW w:w="889"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&lt;.0001</w:t>
            </w: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 xml:space="preserve">Diagnosis (ICD-10) </w:t>
            </w:r>
          </w:p>
        </w:tc>
        <w:tc>
          <w:tcPr>
            <w:tcW w:w="1304" w:type="dxa"/>
            <w:shd w:val="clear" w:color="auto" w:fill="auto"/>
          </w:tcPr>
          <w:p>
            <w:pPr>
              <w:spacing w:after="0"/>
              <w:jc w:val="right"/>
              <w:rPr>
                <w:rFonts w:ascii="Calibri" w:eastAsia="Calibri" w:hAnsi="Calibri" w:cs="Calibri"/>
                <w:sz w:val="18"/>
                <w:szCs w:val="18"/>
                <w:lang w:val="en-US"/>
              </w:rPr>
            </w:pPr>
          </w:p>
        </w:tc>
        <w:tc>
          <w:tcPr>
            <w:tcW w:w="236" w:type="dxa"/>
            <w:shd w:val="clear" w:color="auto" w:fill="auto"/>
          </w:tcPr>
          <w:p>
            <w:pPr>
              <w:spacing w:after="0"/>
              <w:jc w:val="right"/>
              <w:rPr>
                <w:rFonts w:ascii="Calibri" w:eastAsia="Calibri" w:hAnsi="Calibri" w:cs="Calibri"/>
                <w:sz w:val="18"/>
                <w:szCs w:val="18"/>
                <w:lang w:val="en-US"/>
              </w:rPr>
            </w:pPr>
          </w:p>
        </w:tc>
        <w:tc>
          <w:tcPr>
            <w:tcW w:w="1513"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512" w:type="dxa"/>
            <w:shd w:val="clear" w:color="auto" w:fill="auto"/>
          </w:tcPr>
          <w:p>
            <w:pPr>
              <w:spacing w:after="0"/>
              <w:jc w:val="right"/>
              <w:rPr>
                <w:rFonts w:ascii="Calibri" w:eastAsia="Calibri" w:hAnsi="Calibri" w:cs="Calibri"/>
                <w:sz w:val="18"/>
                <w:szCs w:val="18"/>
                <w:lang w:val="en-US"/>
              </w:rPr>
            </w:pP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C34.0 Main bronchus</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2,765 (12.1)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539 (13.8)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607 (13.0)</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504 (10.7)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538 (11.6)</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577 (11.5)</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C34.1 Upper lobe</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10,375 (45.3)</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1,730 (44.3)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2,155 (46.2)</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2,150 (45.8)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2,097 (45.4)</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2,243 (44.6)</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C34.2 Middle lobe</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947 (4.1)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162 (4.1)</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176 (3.8)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181 (3.9)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215 (4.7)</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213 (4.2)</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C34.3 Lower lobe</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5,591 (24.4)</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925 (23.7)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1,139 (24.4)</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1,153 (24.6)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1,125 (24.3)</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1,249 (24.8)</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C34.8 Overlapping</w:t>
            </w:r>
          </w:p>
          <w:p>
            <w:pPr>
              <w:spacing w:after="0"/>
              <w:rPr>
                <w:rFonts w:ascii="Calibri" w:eastAsia="Calibri" w:hAnsi="Calibri" w:cs="Times New Roman"/>
                <w:sz w:val="18"/>
                <w:szCs w:val="18"/>
                <w:lang w:val="en-US"/>
              </w:rPr>
            </w:pPr>
            <w:r>
              <w:rPr>
                <w:rFonts w:ascii="Calibri" w:eastAsia="Calibri" w:hAnsi="Calibri" w:cs="Times New Roman"/>
                <w:sz w:val="18"/>
                <w:szCs w:val="18"/>
                <w:lang w:val="en-US"/>
              </w:rPr>
              <w:t>lesion</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838 (3.7)</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129 (3.3)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163 (3.5)</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204 (4.3)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142 (3.1)</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200 (4.0)</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C34.9 Unspecified</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2,389 (10.4)</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419 (10.7)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422 (9.1)</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498 (10.6)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505 (10.9)</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545 (10.8)</w:t>
            </w:r>
          </w:p>
        </w:tc>
        <w:tc>
          <w:tcPr>
            <w:tcW w:w="889"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lang w:val="en-US"/>
              </w:rPr>
              <w:t>&lt;.0001</w:t>
            </w:r>
          </w:p>
        </w:tc>
      </w:tr>
      <w:tr>
        <w:tc>
          <w:tcPr>
            <w:tcW w:w="1905" w:type="dxa"/>
            <w:shd w:val="clear" w:color="auto" w:fill="auto"/>
          </w:tcPr>
          <w:p>
            <w:pPr>
              <w:tabs>
                <w:tab w:val="center" w:pos="2143"/>
              </w:tabs>
              <w:spacing w:after="0"/>
              <w:rPr>
                <w:rFonts w:ascii="Calibri" w:eastAsia="Calibri" w:hAnsi="Calibri" w:cs="Times New Roman"/>
                <w:b/>
                <w:sz w:val="18"/>
                <w:szCs w:val="18"/>
                <w:lang w:val="en-US"/>
              </w:rPr>
            </w:pPr>
            <w:r>
              <w:rPr>
                <w:rFonts w:ascii="Calibri" w:eastAsia="Calibri" w:hAnsi="Calibri" w:cs="Times New Roman"/>
                <w:b/>
                <w:sz w:val="18"/>
                <w:szCs w:val="18"/>
                <w:lang w:val="en-US"/>
              </w:rPr>
              <w:t>Stage at diagnosis</w:t>
            </w:r>
            <w:r>
              <w:rPr>
                <w:rFonts w:ascii="Calibri" w:eastAsia="Calibri" w:hAnsi="Calibri" w:cs="Times New Roman"/>
                <w:b/>
                <w:sz w:val="18"/>
                <w:szCs w:val="18"/>
                <w:lang w:val="en-US"/>
              </w:rPr>
              <w:tab/>
            </w:r>
          </w:p>
        </w:tc>
        <w:tc>
          <w:tcPr>
            <w:tcW w:w="1304" w:type="dxa"/>
            <w:shd w:val="clear" w:color="auto" w:fill="auto"/>
          </w:tcPr>
          <w:p>
            <w:pPr>
              <w:spacing w:after="0"/>
              <w:jc w:val="right"/>
              <w:rPr>
                <w:rFonts w:ascii="Calibri" w:eastAsia="Calibri" w:hAnsi="Calibri" w:cs="Calibri"/>
                <w:sz w:val="18"/>
                <w:szCs w:val="18"/>
                <w:lang w:val="en-US"/>
              </w:rPr>
            </w:pPr>
          </w:p>
        </w:tc>
        <w:tc>
          <w:tcPr>
            <w:tcW w:w="236" w:type="dxa"/>
            <w:shd w:val="clear" w:color="auto" w:fill="auto"/>
          </w:tcPr>
          <w:p>
            <w:pPr>
              <w:spacing w:after="0"/>
              <w:jc w:val="right"/>
              <w:rPr>
                <w:rFonts w:ascii="Calibri" w:eastAsia="Calibri" w:hAnsi="Calibri" w:cs="Calibri"/>
                <w:sz w:val="18"/>
                <w:szCs w:val="18"/>
                <w:lang w:val="en-US"/>
              </w:rPr>
            </w:pPr>
          </w:p>
        </w:tc>
        <w:tc>
          <w:tcPr>
            <w:tcW w:w="1513"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512" w:type="dxa"/>
            <w:shd w:val="clear" w:color="auto" w:fill="auto"/>
          </w:tcPr>
          <w:p>
            <w:pPr>
              <w:spacing w:after="0"/>
              <w:jc w:val="right"/>
              <w:rPr>
                <w:rFonts w:ascii="Calibri" w:eastAsia="Calibri" w:hAnsi="Calibri" w:cs="Calibri"/>
                <w:sz w:val="18"/>
                <w:szCs w:val="18"/>
                <w:lang w:val="en-US"/>
              </w:rPr>
            </w:pP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I</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3,321 (16.2)</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532 (15.3)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654 (15.5)</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748 (18.0)</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684 (16.9)</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703 (15.5)</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II</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1,625 (7.9)</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298 (8.6)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319 (7.6)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323 (7.8)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328 (8.1)</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357 (7.9)</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III</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5,384 (26.3)</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924 (26.6)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1,068 (25.3)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1,076 (25.9)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1,047 (25.9)</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1,269 (28.0)</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IV</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10,111 (49.5)</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1,723 (49.6)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2,184 (51.7)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2,011 (48.4)</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1,987 (49.1)</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2,206 (48.6)</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Missing</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2,464 (10.8)</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427 (10.9)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437 (9.4)</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532 (11.3)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576 (12.5)</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492 (9.8)</w:t>
            </w:r>
          </w:p>
        </w:tc>
        <w:tc>
          <w:tcPr>
            <w:tcW w:w="889"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0.003</w:t>
            </w: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Histological subtype</w:t>
            </w:r>
          </w:p>
        </w:tc>
        <w:tc>
          <w:tcPr>
            <w:tcW w:w="1304" w:type="dxa"/>
            <w:shd w:val="clear" w:color="auto" w:fill="auto"/>
          </w:tcPr>
          <w:p>
            <w:pPr>
              <w:spacing w:after="0"/>
              <w:jc w:val="right"/>
              <w:rPr>
                <w:rFonts w:ascii="Calibri" w:eastAsia="Calibri" w:hAnsi="Calibri" w:cs="Calibri"/>
                <w:sz w:val="18"/>
                <w:szCs w:val="18"/>
                <w:lang w:val="en-US"/>
              </w:rPr>
            </w:pPr>
          </w:p>
        </w:tc>
        <w:tc>
          <w:tcPr>
            <w:tcW w:w="236" w:type="dxa"/>
            <w:shd w:val="clear" w:color="auto" w:fill="auto"/>
          </w:tcPr>
          <w:p>
            <w:pPr>
              <w:spacing w:after="0"/>
              <w:jc w:val="right"/>
              <w:rPr>
                <w:rFonts w:ascii="Calibri" w:eastAsia="Calibri" w:hAnsi="Calibri" w:cs="Calibri"/>
                <w:sz w:val="18"/>
                <w:szCs w:val="18"/>
                <w:lang w:val="en-US"/>
              </w:rPr>
            </w:pPr>
          </w:p>
        </w:tc>
        <w:tc>
          <w:tcPr>
            <w:tcW w:w="1513"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134" w:type="dxa"/>
            <w:shd w:val="clear" w:color="auto" w:fill="auto"/>
          </w:tcPr>
          <w:p>
            <w:pPr>
              <w:spacing w:after="0"/>
              <w:jc w:val="right"/>
              <w:rPr>
                <w:rFonts w:ascii="Calibri" w:eastAsia="Calibri" w:hAnsi="Calibri" w:cs="Calibri"/>
                <w:sz w:val="18"/>
                <w:szCs w:val="18"/>
                <w:lang w:val="en-US"/>
              </w:rPr>
            </w:pPr>
          </w:p>
        </w:tc>
        <w:tc>
          <w:tcPr>
            <w:tcW w:w="1512" w:type="dxa"/>
            <w:shd w:val="clear" w:color="auto" w:fill="auto"/>
          </w:tcPr>
          <w:p>
            <w:pPr>
              <w:spacing w:after="0"/>
              <w:jc w:val="right"/>
              <w:rPr>
                <w:rFonts w:ascii="Calibri" w:eastAsia="Calibri" w:hAnsi="Calibri" w:cs="Calibri"/>
                <w:sz w:val="18"/>
                <w:szCs w:val="18"/>
                <w:lang w:val="en-US"/>
              </w:rPr>
            </w:pP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rPr>
            </w:pPr>
            <w:r>
              <w:rPr>
                <w:rFonts w:ascii="Calibri" w:eastAsia="Calibri" w:hAnsi="Calibri" w:cs="Times New Roman"/>
                <w:sz w:val="18"/>
                <w:szCs w:val="18"/>
              </w:rPr>
              <w:t>NSCLC</w:t>
            </w:r>
          </w:p>
        </w:tc>
        <w:tc>
          <w:tcPr>
            <w:tcW w:w="1304" w:type="dxa"/>
            <w:shd w:val="clear" w:color="auto" w:fill="auto"/>
          </w:tcPr>
          <w:p>
            <w:pPr>
              <w:spacing w:after="0"/>
              <w:jc w:val="right"/>
              <w:rPr>
                <w:rFonts w:ascii="Calibri" w:eastAsia="Calibri" w:hAnsi="Calibri" w:cs="Calibri"/>
                <w:sz w:val="18"/>
                <w:szCs w:val="18"/>
              </w:rPr>
            </w:pP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p>
        </w:tc>
        <w:tc>
          <w:tcPr>
            <w:tcW w:w="1134" w:type="dxa"/>
            <w:shd w:val="clear" w:color="auto" w:fill="auto"/>
          </w:tcPr>
          <w:p>
            <w:pPr>
              <w:spacing w:after="0"/>
              <w:jc w:val="right"/>
              <w:rPr>
                <w:rFonts w:ascii="Calibri" w:eastAsia="Calibri" w:hAnsi="Calibri" w:cs="Calibri"/>
                <w:sz w:val="18"/>
                <w:szCs w:val="18"/>
              </w:rPr>
            </w:pPr>
          </w:p>
        </w:tc>
        <w:tc>
          <w:tcPr>
            <w:tcW w:w="1134" w:type="dxa"/>
            <w:shd w:val="clear" w:color="auto" w:fill="auto"/>
          </w:tcPr>
          <w:p>
            <w:pPr>
              <w:spacing w:after="0"/>
              <w:jc w:val="right"/>
              <w:rPr>
                <w:rFonts w:ascii="Calibri" w:eastAsia="Calibri" w:hAnsi="Calibri" w:cs="Calibri"/>
                <w:sz w:val="18"/>
                <w:szCs w:val="18"/>
              </w:rPr>
            </w:pPr>
          </w:p>
        </w:tc>
        <w:tc>
          <w:tcPr>
            <w:tcW w:w="1134" w:type="dxa"/>
            <w:shd w:val="clear" w:color="auto" w:fill="auto"/>
          </w:tcPr>
          <w:p>
            <w:pPr>
              <w:spacing w:after="0"/>
              <w:jc w:val="right"/>
              <w:rPr>
                <w:rFonts w:ascii="Calibri" w:eastAsia="Calibri" w:hAnsi="Calibri" w:cs="Calibri"/>
                <w:sz w:val="18"/>
                <w:szCs w:val="18"/>
              </w:rPr>
            </w:pPr>
          </w:p>
        </w:tc>
        <w:tc>
          <w:tcPr>
            <w:tcW w:w="1512" w:type="dxa"/>
            <w:shd w:val="clear" w:color="auto" w:fill="auto"/>
          </w:tcPr>
          <w:p>
            <w:pPr>
              <w:spacing w:after="0"/>
              <w:jc w:val="right"/>
              <w:rPr>
                <w:rFonts w:ascii="Calibri" w:eastAsia="Calibri" w:hAnsi="Calibri" w:cs="Calibri"/>
                <w:sz w:val="18"/>
                <w:szCs w:val="18"/>
              </w:rPr>
            </w:pP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 xml:space="preserve">  Adenocarcinoma</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6,912 (30.2)</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1,243 (31.9)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1,566 (33.6)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1,405 (30.0)</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1,345 (29.1)</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1,353 (26.9)</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 xml:space="preserve">  Squamous cell</w:t>
            </w:r>
          </w:p>
          <w:p>
            <w:pPr>
              <w:spacing w:after="0"/>
              <w:rPr>
                <w:rFonts w:ascii="Calibri" w:eastAsia="Calibri" w:hAnsi="Calibri" w:cs="Times New Roman"/>
                <w:sz w:val="18"/>
                <w:szCs w:val="18"/>
                <w:lang w:val="en-US"/>
              </w:rPr>
            </w:pPr>
            <w:r>
              <w:rPr>
                <w:rFonts w:ascii="Calibri" w:eastAsia="Calibri" w:hAnsi="Calibri" w:cs="Times New Roman"/>
                <w:sz w:val="18"/>
                <w:szCs w:val="18"/>
                <w:lang w:val="en-US"/>
              </w:rPr>
              <w:t xml:space="preserve">  carcinoma</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7,081 (31.0)</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1,165 (29.9)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1,389 (29.8)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1,403 (30.0)</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1,419 (30.7)</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1,705 (34.0)</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rPr>
            </w:pPr>
            <w:r>
              <w:rPr>
                <w:rFonts w:ascii="Calibri" w:eastAsia="Calibri" w:hAnsi="Calibri" w:cs="Times New Roman"/>
                <w:sz w:val="18"/>
                <w:szCs w:val="18"/>
              </w:rPr>
              <w:t xml:space="preserve">  Other</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4,910 (21.5)</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803 (20.6)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897 (19.3)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1,091 (23.3)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1,063 (23.0)</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1,056 (21.0)</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rPr>
            </w:pPr>
            <w:r>
              <w:rPr>
                <w:rFonts w:ascii="Calibri" w:eastAsia="Calibri" w:hAnsi="Calibri" w:cs="Times New Roman"/>
                <w:sz w:val="18"/>
                <w:szCs w:val="18"/>
              </w:rPr>
              <w:t>SCLC</w:t>
            </w:r>
            <w:r>
              <w:rPr>
                <w:rFonts w:ascii="Calibri" w:eastAsia="Calibri" w:hAnsi="Calibri" w:cs="Times New Roman"/>
                <w:sz w:val="18"/>
                <w:szCs w:val="18"/>
                <w:vertAlign w:val="superscript"/>
              </w:rPr>
              <w:t>3</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3,975 (17.4)</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685 (17.6)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807 (17.3)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785 (16.8)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791 (17.1)</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907 (18.1)</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Missing</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27 (0.1)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 (0.2)</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 (0.1)</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 (0.1)</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4 (0.1)</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 (0.1)</w:t>
            </w:r>
          </w:p>
        </w:tc>
        <w:tc>
          <w:tcPr>
            <w:tcW w:w="889"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0.522</w:t>
            </w:r>
            <w:r>
              <w:rPr>
                <w:rFonts w:ascii="Calibri" w:eastAsia="Calibri" w:hAnsi="Calibri" w:cs="Calibri"/>
                <w:sz w:val="18"/>
                <w:szCs w:val="18"/>
                <w:vertAlign w:val="superscript"/>
              </w:rPr>
              <w:t>b</w:t>
            </w: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Grading</w:t>
            </w:r>
          </w:p>
        </w:tc>
        <w:tc>
          <w:tcPr>
            <w:tcW w:w="1304" w:type="dxa"/>
            <w:shd w:val="clear" w:color="auto" w:fill="auto"/>
          </w:tcPr>
          <w:p>
            <w:pPr>
              <w:spacing w:after="0"/>
              <w:jc w:val="right"/>
              <w:rPr>
                <w:rFonts w:ascii="Calibri" w:eastAsia="Calibri" w:hAnsi="Calibri" w:cs="Calibri"/>
                <w:sz w:val="18"/>
                <w:szCs w:val="18"/>
              </w:rPr>
            </w:pP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p>
        </w:tc>
        <w:tc>
          <w:tcPr>
            <w:tcW w:w="1134" w:type="dxa"/>
            <w:shd w:val="clear" w:color="auto" w:fill="auto"/>
          </w:tcPr>
          <w:p>
            <w:pPr>
              <w:spacing w:after="0"/>
              <w:jc w:val="right"/>
              <w:rPr>
                <w:rFonts w:ascii="Calibri" w:eastAsia="Calibri" w:hAnsi="Calibri" w:cs="Calibri"/>
                <w:sz w:val="18"/>
                <w:szCs w:val="18"/>
              </w:rPr>
            </w:pPr>
          </w:p>
        </w:tc>
        <w:tc>
          <w:tcPr>
            <w:tcW w:w="1134" w:type="dxa"/>
            <w:shd w:val="clear" w:color="auto" w:fill="auto"/>
          </w:tcPr>
          <w:p>
            <w:pPr>
              <w:spacing w:after="0"/>
              <w:jc w:val="right"/>
              <w:rPr>
                <w:rFonts w:ascii="Calibri" w:eastAsia="Calibri" w:hAnsi="Calibri" w:cs="Calibri"/>
                <w:sz w:val="18"/>
                <w:szCs w:val="18"/>
              </w:rPr>
            </w:pPr>
          </w:p>
        </w:tc>
        <w:tc>
          <w:tcPr>
            <w:tcW w:w="1134" w:type="dxa"/>
            <w:shd w:val="clear" w:color="auto" w:fill="auto"/>
          </w:tcPr>
          <w:p>
            <w:pPr>
              <w:spacing w:after="0"/>
              <w:jc w:val="right"/>
              <w:rPr>
                <w:rFonts w:ascii="Calibri" w:eastAsia="Calibri" w:hAnsi="Calibri" w:cs="Calibri"/>
                <w:sz w:val="18"/>
                <w:szCs w:val="18"/>
              </w:rPr>
            </w:pPr>
          </w:p>
        </w:tc>
        <w:tc>
          <w:tcPr>
            <w:tcW w:w="1512" w:type="dxa"/>
            <w:shd w:val="clear" w:color="auto" w:fill="auto"/>
          </w:tcPr>
          <w:p>
            <w:pPr>
              <w:spacing w:after="0"/>
              <w:jc w:val="right"/>
              <w:rPr>
                <w:rFonts w:ascii="Calibri" w:eastAsia="Calibri" w:hAnsi="Calibri" w:cs="Calibri"/>
                <w:sz w:val="18"/>
                <w:szCs w:val="18"/>
              </w:rPr>
            </w:pP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Low/intermediate</w:t>
            </w:r>
          </w:p>
          <w:p>
            <w:pPr>
              <w:spacing w:after="0"/>
              <w:rPr>
                <w:rFonts w:ascii="Calibri" w:eastAsia="Calibri" w:hAnsi="Calibri" w:cs="Times New Roman"/>
                <w:sz w:val="18"/>
                <w:szCs w:val="18"/>
                <w:lang w:val="en-US"/>
              </w:rPr>
            </w:pPr>
            <w:r>
              <w:rPr>
                <w:rFonts w:ascii="Calibri" w:eastAsia="Calibri" w:hAnsi="Calibri" w:cs="Times New Roman"/>
                <w:sz w:val="18"/>
                <w:szCs w:val="18"/>
                <w:lang w:val="en-US"/>
              </w:rPr>
              <w:t>grade</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7,168 (41.1)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1,313 (47.9)</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1,475 (45.7)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1,470 (40.3)</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1,346 (35.6)</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1,564 (38.9)</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High grade</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7,158 (41.1)</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1,319 (48.1)</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1,572 (48.7)</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1,427 (39.1)</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1,476 (39.1)</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1,364 (33.9)</w:t>
            </w:r>
          </w:p>
        </w:tc>
        <w:tc>
          <w:tcPr>
            <w:tcW w:w="889" w:type="dxa"/>
            <w:shd w:val="clear" w:color="auto" w:fill="auto"/>
          </w:tcPr>
          <w:p>
            <w:pPr>
              <w:spacing w:after="0"/>
              <w:jc w:val="right"/>
              <w:rPr>
                <w:rFonts w:ascii="Calibri" w:eastAsia="Calibri" w:hAnsi="Calibri" w:cs="Calibri"/>
                <w:sz w:val="18"/>
                <w:szCs w:val="18"/>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Undetermined</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3,094 (17.8)</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109 (4.0)</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180 (5.6)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751 (20.6)</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961 (25.4)</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1,093 (27.2)</w:t>
            </w:r>
          </w:p>
        </w:tc>
        <w:tc>
          <w:tcPr>
            <w:tcW w:w="889" w:type="dxa"/>
            <w:shd w:val="clear" w:color="auto" w:fill="auto"/>
          </w:tcPr>
          <w:p>
            <w:pPr>
              <w:spacing w:after="0"/>
              <w:jc w:val="right"/>
              <w:rPr>
                <w:rFonts w:ascii="Calibri" w:eastAsia="Calibri" w:hAnsi="Calibri" w:cs="Calibri"/>
                <w:sz w:val="18"/>
                <w:szCs w:val="18"/>
                <w:lang w:val="en-US"/>
              </w:rPr>
            </w:pPr>
          </w:p>
        </w:tc>
      </w:tr>
      <w:tr>
        <w:tc>
          <w:tcPr>
            <w:tcW w:w="1905" w:type="dxa"/>
            <w:shd w:val="clear" w:color="auto" w:fill="auto"/>
          </w:tcPr>
          <w:p>
            <w:pPr>
              <w:spacing w:after="0"/>
              <w:rPr>
                <w:rFonts w:ascii="Calibri" w:eastAsia="Calibri" w:hAnsi="Calibri" w:cs="Times New Roman"/>
                <w:sz w:val="18"/>
                <w:szCs w:val="18"/>
                <w:lang w:val="en-US"/>
              </w:rPr>
            </w:pPr>
            <w:r>
              <w:rPr>
                <w:rFonts w:ascii="Calibri" w:eastAsia="Calibri" w:hAnsi="Calibri" w:cs="Times New Roman"/>
                <w:sz w:val="18"/>
                <w:szCs w:val="18"/>
                <w:lang w:val="en-US"/>
              </w:rPr>
              <w:t>Missing</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5,485 (23.9)</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1,163 (29.8)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1,435 (30.8)</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1,042 (22.2)</w:t>
            </w:r>
          </w:p>
        </w:tc>
        <w:tc>
          <w:tcPr>
            <w:tcW w:w="113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839 (18.2)</w:t>
            </w:r>
          </w:p>
        </w:tc>
        <w:tc>
          <w:tcPr>
            <w:tcW w:w="1512"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1,006 (20.0)</w:t>
            </w:r>
          </w:p>
        </w:tc>
        <w:tc>
          <w:tcPr>
            <w:tcW w:w="889"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&lt;.0001</w:t>
            </w: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Chemotherapy</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10,819 (50.6)</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sz w:val="18"/>
              </w:rPr>
              <w:t>2</w:t>
            </w:r>
            <w:r>
              <w:rPr>
                <w:sz w:val="18"/>
              </w:rPr>
              <w:t>,</w:t>
            </w:r>
            <w:r>
              <w:rPr>
                <w:sz w:val="18"/>
              </w:rPr>
              <w:t>065 (54.5)</w:t>
            </w:r>
          </w:p>
        </w:tc>
        <w:tc>
          <w:tcPr>
            <w:tcW w:w="1134" w:type="dxa"/>
            <w:shd w:val="clear" w:color="auto" w:fill="auto"/>
          </w:tcPr>
          <w:p>
            <w:pPr>
              <w:spacing w:after="0"/>
              <w:jc w:val="right"/>
              <w:rPr>
                <w:rFonts w:ascii="Calibri" w:eastAsia="Calibri" w:hAnsi="Calibri" w:cs="Calibri"/>
                <w:sz w:val="18"/>
                <w:szCs w:val="18"/>
              </w:rPr>
            </w:pPr>
            <w:r>
              <w:rPr>
                <w:sz w:val="18"/>
              </w:rPr>
              <w:t>2</w:t>
            </w:r>
            <w:r>
              <w:rPr>
                <w:sz w:val="18"/>
              </w:rPr>
              <w:t>,</w:t>
            </w:r>
            <w:r>
              <w:rPr>
                <w:sz w:val="18"/>
              </w:rPr>
              <w:t>123 (48.7)</w:t>
            </w:r>
          </w:p>
        </w:tc>
        <w:tc>
          <w:tcPr>
            <w:tcW w:w="1134" w:type="dxa"/>
            <w:shd w:val="clear" w:color="auto" w:fill="auto"/>
          </w:tcPr>
          <w:p>
            <w:pPr>
              <w:spacing w:after="0"/>
              <w:jc w:val="right"/>
              <w:rPr>
                <w:rFonts w:ascii="Calibri" w:eastAsia="Calibri" w:hAnsi="Calibri" w:cs="Calibri"/>
                <w:sz w:val="18"/>
                <w:szCs w:val="18"/>
              </w:rPr>
            </w:pPr>
            <w:r>
              <w:rPr>
                <w:sz w:val="18"/>
              </w:rPr>
              <w:t>2</w:t>
            </w:r>
            <w:r>
              <w:rPr>
                <w:sz w:val="18"/>
              </w:rPr>
              <w:t>,</w:t>
            </w:r>
            <w:r>
              <w:rPr>
                <w:sz w:val="18"/>
              </w:rPr>
              <w:t>141 (49.8)</w:t>
            </w:r>
          </w:p>
        </w:tc>
        <w:tc>
          <w:tcPr>
            <w:tcW w:w="1134" w:type="dxa"/>
            <w:shd w:val="clear" w:color="auto" w:fill="auto"/>
          </w:tcPr>
          <w:p>
            <w:pPr>
              <w:spacing w:after="0"/>
              <w:jc w:val="right"/>
              <w:rPr>
                <w:rFonts w:ascii="Calibri" w:eastAsia="Calibri" w:hAnsi="Calibri" w:cs="Calibri"/>
                <w:sz w:val="18"/>
                <w:szCs w:val="18"/>
              </w:rPr>
            </w:pPr>
            <w:r>
              <w:rPr>
                <w:sz w:val="18"/>
              </w:rPr>
              <w:t>2</w:t>
            </w:r>
            <w:r>
              <w:rPr>
                <w:sz w:val="18"/>
              </w:rPr>
              <w:t>,</w:t>
            </w:r>
            <w:r>
              <w:rPr>
                <w:sz w:val="18"/>
              </w:rPr>
              <w:t>083 (48.2)</w:t>
            </w:r>
          </w:p>
        </w:tc>
        <w:tc>
          <w:tcPr>
            <w:tcW w:w="1512" w:type="dxa"/>
            <w:shd w:val="clear" w:color="auto" w:fill="auto"/>
          </w:tcPr>
          <w:p>
            <w:pPr>
              <w:spacing w:after="0"/>
              <w:jc w:val="right"/>
              <w:rPr>
                <w:rFonts w:ascii="Calibri" w:eastAsia="Calibri" w:hAnsi="Calibri" w:cs="Calibri"/>
                <w:sz w:val="18"/>
                <w:szCs w:val="18"/>
              </w:rPr>
            </w:pPr>
            <w:r>
              <w:rPr>
                <w:sz w:val="18"/>
              </w:rPr>
              <w:t>2</w:t>
            </w:r>
            <w:r>
              <w:rPr>
                <w:sz w:val="18"/>
              </w:rPr>
              <w:t>,</w:t>
            </w:r>
            <w:r>
              <w:rPr>
                <w:sz w:val="18"/>
              </w:rPr>
              <w:t>407 (52.3)</w:t>
            </w:r>
          </w:p>
        </w:tc>
        <w:tc>
          <w:tcPr>
            <w:tcW w:w="889"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NA</w:t>
            </w:r>
          </w:p>
        </w:tc>
      </w:tr>
      <w:tr>
        <w:tc>
          <w:tcPr>
            <w:tcW w:w="1905" w:type="dxa"/>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Radiotherapy</w:t>
            </w:r>
          </w:p>
        </w:tc>
        <w:tc>
          <w:tcPr>
            <w:tcW w:w="1304" w:type="dxa"/>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6,928 (30.2)</w:t>
            </w:r>
          </w:p>
        </w:tc>
        <w:tc>
          <w:tcPr>
            <w:tcW w:w="236" w:type="dxa"/>
            <w:shd w:val="clear" w:color="auto" w:fill="auto"/>
          </w:tcPr>
          <w:p>
            <w:pPr>
              <w:spacing w:after="0"/>
              <w:jc w:val="right"/>
              <w:rPr>
                <w:rFonts w:ascii="Calibri" w:eastAsia="Calibri" w:hAnsi="Calibri" w:cs="Calibri"/>
                <w:sz w:val="18"/>
                <w:szCs w:val="18"/>
              </w:rPr>
            </w:pPr>
          </w:p>
        </w:tc>
        <w:tc>
          <w:tcPr>
            <w:tcW w:w="1513" w:type="dxa"/>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060 (27.2)</w:t>
            </w:r>
          </w:p>
        </w:tc>
        <w:tc>
          <w:tcPr>
            <w:tcW w:w="1134" w:type="dxa"/>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396 (29.9)</w:t>
            </w:r>
          </w:p>
        </w:tc>
        <w:tc>
          <w:tcPr>
            <w:tcW w:w="1134" w:type="dxa"/>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450 (30.9)</w:t>
            </w:r>
          </w:p>
        </w:tc>
        <w:tc>
          <w:tcPr>
            <w:tcW w:w="1134" w:type="dxa"/>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376 (29.8)</w:t>
            </w:r>
          </w:p>
        </w:tc>
        <w:tc>
          <w:tcPr>
            <w:tcW w:w="1512" w:type="dxa"/>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646 (32.7)</w:t>
            </w:r>
          </w:p>
        </w:tc>
        <w:tc>
          <w:tcPr>
            <w:tcW w:w="889" w:type="dxa"/>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NA</w:t>
            </w:r>
          </w:p>
        </w:tc>
      </w:tr>
      <w:tr>
        <w:tc>
          <w:tcPr>
            <w:tcW w:w="1905" w:type="dxa"/>
            <w:tcBorders>
              <w:bottom w:val="single" w:sz="4" w:space="0" w:color="auto"/>
            </w:tcBorders>
            <w:shd w:val="clear" w:color="auto" w:fill="auto"/>
          </w:tcPr>
          <w:p>
            <w:pPr>
              <w:spacing w:after="0"/>
              <w:rPr>
                <w:rFonts w:ascii="Calibri" w:eastAsia="Calibri" w:hAnsi="Calibri" w:cs="Times New Roman"/>
                <w:b/>
                <w:sz w:val="18"/>
                <w:szCs w:val="18"/>
                <w:lang w:val="en-US"/>
              </w:rPr>
            </w:pPr>
            <w:r>
              <w:rPr>
                <w:rFonts w:ascii="Calibri" w:eastAsia="Calibri" w:hAnsi="Calibri" w:cs="Times New Roman"/>
                <w:b/>
                <w:sz w:val="18"/>
                <w:szCs w:val="18"/>
                <w:lang w:val="en-US"/>
              </w:rPr>
              <w:t>Surgery</w:t>
            </w:r>
          </w:p>
        </w:tc>
        <w:tc>
          <w:tcPr>
            <w:tcW w:w="1304" w:type="dxa"/>
            <w:tcBorders>
              <w:bottom w:val="single" w:sz="4" w:space="0" w:color="auto"/>
            </w:tcBorders>
            <w:shd w:val="clear" w:color="auto" w:fill="auto"/>
          </w:tcPr>
          <w:p>
            <w:pPr>
              <w:spacing w:after="0"/>
              <w:jc w:val="right"/>
              <w:rPr>
                <w:rFonts w:ascii="Calibri" w:eastAsia="Calibri" w:hAnsi="Calibri" w:cs="Calibri"/>
                <w:sz w:val="18"/>
                <w:szCs w:val="18"/>
              </w:rPr>
            </w:pPr>
            <w:r>
              <w:rPr>
                <w:rFonts w:ascii="Calibri" w:eastAsia="Calibri" w:hAnsi="Calibri" w:cs="Calibri"/>
                <w:sz w:val="18"/>
                <w:szCs w:val="18"/>
              </w:rPr>
              <w:t>5,752 (25.1)</w:t>
            </w:r>
          </w:p>
        </w:tc>
        <w:tc>
          <w:tcPr>
            <w:tcW w:w="236" w:type="dxa"/>
            <w:tcBorders>
              <w:bottom w:val="single" w:sz="4" w:space="0" w:color="auto"/>
            </w:tcBorders>
            <w:shd w:val="clear" w:color="auto" w:fill="auto"/>
          </w:tcPr>
          <w:p>
            <w:pPr>
              <w:spacing w:after="0"/>
              <w:jc w:val="right"/>
              <w:rPr>
                <w:rFonts w:ascii="Calibri" w:eastAsia="Calibri" w:hAnsi="Calibri" w:cs="Calibri"/>
                <w:sz w:val="18"/>
                <w:szCs w:val="18"/>
              </w:rPr>
            </w:pPr>
          </w:p>
        </w:tc>
        <w:tc>
          <w:tcPr>
            <w:tcW w:w="1513" w:type="dxa"/>
            <w:tcBorders>
              <w:bottom w:val="single" w:sz="4" w:space="0" w:color="auto"/>
            </w:tcBorders>
            <w:shd w:val="clear" w:color="auto" w:fill="auto"/>
          </w:tcPr>
          <w:p>
            <w:pPr>
              <w:spacing w:after="0"/>
              <w:jc w:val="right"/>
              <w:rPr>
                <w:rFonts w:ascii="Calibri" w:eastAsia="Calibri" w:hAnsi="Calibri" w:cs="Calibri"/>
                <w:sz w:val="18"/>
                <w:szCs w:val="18"/>
              </w:rPr>
            </w:pPr>
            <w:r>
              <w:rPr>
                <w:rFonts w:cstheme="minorHAnsi"/>
                <w:sz w:val="18"/>
                <w:szCs w:val="20"/>
              </w:rPr>
              <w:t>990 (25.4)</w:t>
            </w:r>
          </w:p>
        </w:tc>
        <w:tc>
          <w:tcPr>
            <w:tcW w:w="1134" w:type="dxa"/>
            <w:tcBorders>
              <w:bottom w:val="single" w:sz="4" w:space="0" w:color="auto"/>
            </w:tcBorders>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100 (23.6)</w:t>
            </w:r>
          </w:p>
        </w:tc>
        <w:tc>
          <w:tcPr>
            <w:tcW w:w="1134" w:type="dxa"/>
            <w:tcBorders>
              <w:bottom w:val="single" w:sz="4" w:space="0" w:color="auto"/>
            </w:tcBorders>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227 (26.2)</w:t>
            </w:r>
          </w:p>
        </w:tc>
        <w:tc>
          <w:tcPr>
            <w:tcW w:w="1134" w:type="dxa"/>
            <w:tcBorders>
              <w:bottom w:val="single" w:sz="4" w:space="0" w:color="auto"/>
            </w:tcBorders>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207 (26.1)</w:t>
            </w:r>
          </w:p>
        </w:tc>
        <w:tc>
          <w:tcPr>
            <w:tcW w:w="1512" w:type="dxa"/>
            <w:tcBorders>
              <w:bottom w:val="single" w:sz="4" w:space="0" w:color="auto"/>
            </w:tcBorders>
            <w:shd w:val="clear" w:color="auto" w:fill="auto"/>
          </w:tcPr>
          <w:p>
            <w:pPr>
              <w:spacing w:after="0"/>
              <w:jc w:val="right"/>
              <w:rPr>
                <w:rFonts w:ascii="Calibri" w:eastAsia="Calibri" w:hAnsi="Calibri" w:cs="Calibri"/>
                <w:sz w:val="18"/>
                <w:szCs w:val="18"/>
              </w:rPr>
            </w:pPr>
            <w:r>
              <w:rPr>
                <w:rFonts w:cstheme="minorHAnsi"/>
                <w:sz w:val="18"/>
                <w:szCs w:val="20"/>
              </w:rPr>
              <w:t>1</w:t>
            </w:r>
            <w:r>
              <w:rPr>
                <w:rFonts w:cstheme="minorHAnsi"/>
                <w:sz w:val="18"/>
                <w:szCs w:val="20"/>
              </w:rPr>
              <w:t>,</w:t>
            </w:r>
            <w:r>
              <w:rPr>
                <w:rFonts w:cstheme="minorHAnsi"/>
                <w:sz w:val="18"/>
                <w:szCs w:val="20"/>
              </w:rPr>
              <w:t>228 (24.4)</w:t>
            </w:r>
          </w:p>
        </w:tc>
        <w:tc>
          <w:tcPr>
            <w:tcW w:w="889" w:type="dxa"/>
            <w:tcBorders>
              <w:bottom w:val="single" w:sz="4" w:space="0" w:color="auto"/>
            </w:tcBorders>
            <w:shd w:val="clear" w:color="auto" w:fill="auto"/>
          </w:tcPr>
          <w:p>
            <w:pPr>
              <w:spacing w:after="0"/>
              <w:jc w:val="right"/>
              <w:rPr>
                <w:rFonts w:ascii="Calibri" w:eastAsia="Calibri" w:hAnsi="Calibri" w:cs="Calibri"/>
                <w:sz w:val="18"/>
                <w:szCs w:val="18"/>
                <w:lang w:val="en-US"/>
              </w:rPr>
            </w:pPr>
            <w:r>
              <w:rPr>
                <w:rFonts w:ascii="Calibri" w:eastAsia="Calibri" w:hAnsi="Calibri" w:cs="Calibri"/>
                <w:sz w:val="18"/>
                <w:szCs w:val="18"/>
                <w:lang w:val="en-US"/>
              </w:rPr>
              <w:t>NA</w:t>
            </w:r>
          </w:p>
        </w:tc>
      </w:tr>
    </w:tbl>
    <w:p>
      <w:pPr>
        <w:spacing w:after="0"/>
        <w:rPr>
          <w:lang w:val="en-US"/>
        </w:rPr>
      </w:pPr>
      <w:r>
        <w:rPr>
          <w:lang w:val="en-US"/>
        </w:rPr>
        <w:t>Abbreviations: ICD, International Classification of Diseases; N, number of observations; NA, not applicable; NSCLC, non-small-cell lung cancer; SCLC, small-cell lung cancer; SD, standard deviation;</w:t>
      </w:r>
      <w:r>
        <w:rPr>
          <w:lang w:val="en-US"/>
        </w:rPr>
        <w:t xml:space="preserve"> </w:t>
      </w:r>
      <w:r>
        <w:rPr>
          <w:vertAlign w:val="superscript"/>
          <w:lang w:val="en-US"/>
        </w:rPr>
        <w:t>3</w:t>
      </w:r>
      <w:r>
        <w:rPr>
          <w:lang w:val="en-US"/>
        </w:rPr>
        <w:t>N=12 patients had an additional diagnosis of NSCLC</w:t>
      </w:r>
      <w:r>
        <w:rPr>
          <w:lang w:val="en-US"/>
        </w:rPr>
        <w:t xml:space="preserve">; </w:t>
      </w:r>
      <w:r>
        <w:rPr>
          <w:vertAlign w:val="superscript"/>
          <w:lang w:val="en-US"/>
        </w:rPr>
        <w:t>a</w:t>
      </w:r>
      <w:r>
        <w:rPr>
          <w:lang w:val="en-US"/>
        </w:rPr>
        <w:t>P-value from Chi-square test comparing the distribution of the factors and de</w:t>
      </w:r>
      <w:r>
        <w:rPr>
          <w:lang w:val="en-US"/>
        </w:rPr>
        <w:t xml:space="preserve">privation quintiles; </w:t>
      </w:r>
      <w:r>
        <w:rPr>
          <w:vertAlign w:val="superscript"/>
          <w:lang w:val="en-US"/>
        </w:rPr>
        <w:t>b</w:t>
      </w:r>
      <w:r>
        <w:rPr>
          <w:lang w:val="en-US"/>
        </w:rPr>
        <w:t>Comparing NSCLC and SCLC.</w:t>
      </w:r>
    </w:p>
    <w:p>
      <w:pPr>
        <w:spacing w:line="360" w:lineRule="auto"/>
        <w:jc w:val="both"/>
        <w:rPr>
          <w:rFonts w:ascii="Arial" w:hAnsi="Arial" w:cs="Arial"/>
          <w:b/>
          <w:lang w:val="en-US"/>
        </w:rPr>
      </w:pPr>
    </w:p>
    <w:p>
      <w:pPr>
        <w:spacing w:line="360" w:lineRule="auto"/>
        <w:jc w:val="both"/>
        <w:rPr>
          <w:rFonts w:ascii="Arial" w:hAnsi="Arial" w:cs="Arial"/>
          <w:b/>
          <w:lang w:val="en-US"/>
        </w:rPr>
        <w:sectPr>
          <w:footerReference w:type="default" r:id="rId9"/>
          <w:pgSz w:w="11906" w:h="16838"/>
          <w:pgMar w:top="1417" w:right="1417" w:bottom="1134" w:left="1417" w:header="708" w:footer="708" w:gutter="0"/>
          <w:cols w:space="708"/>
          <w:docGrid w:linePitch="360"/>
        </w:sectPr>
      </w:pPr>
    </w:p>
    <w:p>
      <w:pPr>
        <w:pStyle w:val="Beschriftung"/>
        <w:keepNext/>
        <w:spacing w:after="0"/>
        <w:rPr>
          <w:i w:val="0"/>
          <w:color w:val="auto"/>
          <w:sz w:val="22"/>
          <w:lang w:val="en-US"/>
        </w:rPr>
      </w:pPr>
      <w:r>
        <w:rPr>
          <w:b/>
          <w:i w:val="0"/>
          <w:color w:val="auto"/>
          <w:sz w:val="22"/>
          <w:lang w:val="en-US"/>
        </w:rPr>
        <w:t xml:space="preserve">Table </w:t>
      </w:r>
      <w:r>
        <w:rPr>
          <w:b/>
          <w:i w:val="0"/>
          <w:color w:val="auto"/>
          <w:sz w:val="22"/>
          <w:lang w:val="en-US"/>
        </w:rPr>
        <w:t>2</w:t>
      </w:r>
      <w:r>
        <w:rPr>
          <w:i w:val="0"/>
          <w:color w:val="auto"/>
          <w:sz w:val="22"/>
          <w:lang w:val="en-US"/>
        </w:rPr>
        <w:t xml:space="preserve"> Kaplan-Meier estimates </w:t>
      </w:r>
      <w:r>
        <w:rPr>
          <w:i w:val="0"/>
          <w:color w:val="auto"/>
          <w:sz w:val="22"/>
          <w:lang w:val="en-US"/>
        </w:rPr>
        <w:t xml:space="preserve">stratified by area-based socioeconomic deprivation and by stage at diagnosis </w:t>
      </w:r>
      <w:r>
        <w:rPr>
          <w:i w:val="0"/>
          <w:color w:val="auto"/>
          <w:sz w:val="22"/>
          <w:lang w:val="en-US"/>
        </w:rPr>
        <w:t>for the total population of lung cancer patients registered in three German clinical cancer registries.</w:t>
      </w:r>
    </w:p>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1760"/>
        <w:gridCol w:w="1760"/>
        <w:gridCol w:w="1760"/>
      </w:tblGrid>
      <w:tr>
        <w:tc>
          <w:tcPr>
            <w:tcW w:w="3900" w:type="dxa"/>
            <w:vMerge w:val="restart"/>
            <w:tcBorders>
              <w:top w:val="single" w:sz="4" w:space="0" w:color="auto"/>
              <w:bottom w:val="single" w:sz="4" w:space="0" w:color="auto"/>
            </w:tcBorders>
          </w:tcPr>
          <w:p>
            <w:pPr>
              <w:spacing w:after="0"/>
              <w:rPr>
                <w:b/>
                <w:bCs/>
                <w:color w:val="000000"/>
                <w:lang w:val="en-US"/>
              </w:rPr>
            </w:pPr>
            <w:r>
              <w:rPr>
                <w:b/>
                <w:bCs/>
                <w:color w:val="000000"/>
                <w:lang w:val="en-US"/>
              </w:rPr>
              <w:t>Area-based</w:t>
            </w:r>
          </w:p>
          <w:p>
            <w:pPr>
              <w:spacing w:after="0"/>
              <w:rPr>
                <w:lang w:val="en-US"/>
              </w:rPr>
            </w:pPr>
            <w:r>
              <w:rPr>
                <w:b/>
                <w:bCs/>
                <w:color w:val="000000"/>
                <w:lang w:val="en-US"/>
              </w:rPr>
              <w:t>socio</w:t>
            </w:r>
            <w:r>
              <w:rPr>
                <w:b/>
                <w:bCs/>
                <w:color w:val="000000"/>
                <w:lang w:val="en-US"/>
              </w:rPr>
              <w:t>econom</w:t>
            </w:r>
            <w:r>
              <w:rPr>
                <w:b/>
                <w:bCs/>
                <w:color w:val="000000"/>
                <w:lang w:val="en-US"/>
              </w:rPr>
              <w:t>ic deprivation quintile</w:t>
            </w:r>
          </w:p>
        </w:tc>
        <w:tc>
          <w:tcPr>
            <w:tcW w:w="5280" w:type="dxa"/>
            <w:gridSpan w:val="3"/>
            <w:tcBorders>
              <w:top w:val="single" w:sz="4" w:space="0" w:color="auto"/>
              <w:bottom w:val="single" w:sz="4" w:space="0" w:color="auto"/>
            </w:tcBorders>
          </w:tcPr>
          <w:p>
            <w:pPr>
              <w:spacing w:after="0"/>
              <w:jc w:val="center"/>
              <w:rPr>
                <w:b/>
                <w:lang w:val="en-US"/>
              </w:rPr>
            </w:pPr>
            <w:r>
              <w:rPr>
                <w:b/>
                <w:lang w:val="en-US"/>
              </w:rPr>
              <w:t>Overall Survival in % (95 % Confidence Interval)</w:t>
            </w:r>
          </w:p>
        </w:tc>
      </w:tr>
      <w:tr>
        <w:tc>
          <w:tcPr>
            <w:tcW w:w="3900" w:type="dxa"/>
            <w:vMerge/>
            <w:tcBorders>
              <w:top w:val="single" w:sz="4" w:space="0" w:color="auto"/>
              <w:bottom w:val="single" w:sz="4" w:space="0" w:color="auto"/>
            </w:tcBorders>
          </w:tcPr>
          <w:p>
            <w:pPr>
              <w:spacing w:after="0"/>
              <w:rPr>
                <w:lang w:val="en-US"/>
              </w:rPr>
            </w:pPr>
          </w:p>
        </w:tc>
        <w:tc>
          <w:tcPr>
            <w:tcW w:w="1760" w:type="dxa"/>
            <w:tcBorders>
              <w:top w:val="single" w:sz="4" w:space="0" w:color="auto"/>
              <w:bottom w:val="single" w:sz="4" w:space="0" w:color="auto"/>
            </w:tcBorders>
            <w:vAlign w:val="bottom"/>
          </w:tcPr>
          <w:p>
            <w:pPr>
              <w:spacing w:after="0"/>
              <w:jc w:val="center"/>
              <w:rPr>
                <w:b/>
              </w:rPr>
            </w:pPr>
            <w:r>
              <w:rPr>
                <w:b/>
              </w:rPr>
              <w:t>1 year</w:t>
            </w:r>
          </w:p>
        </w:tc>
        <w:tc>
          <w:tcPr>
            <w:tcW w:w="1760" w:type="dxa"/>
            <w:tcBorders>
              <w:top w:val="single" w:sz="4" w:space="0" w:color="auto"/>
              <w:bottom w:val="single" w:sz="4" w:space="0" w:color="auto"/>
            </w:tcBorders>
            <w:vAlign w:val="bottom"/>
          </w:tcPr>
          <w:p>
            <w:pPr>
              <w:spacing w:after="0"/>
              <w:jc w:val="center"/>
              <w:rPr>
                <w:b/>
              </w:rPr>
            </w:pPr>
            <w:r>
              <w:rPr>
                <w:b/>
              </w:rPr>
              <w:t>3 years</w:t>
            </w:r>
          </w:p>
        </w:tc>
        <w:tc>
          <w:tcPr>
            <w:tcW w:w="1760" w:type="dxa"/>
            <w:tcBorders>
              <w:top w:val="single" w:sz="4" w:space="0" w:color="auto"/>
              <w:bottom w:val="single" w:sz="4" w:space="0" w:color="auto"/>
            </w:tcBorders>
            <w:vAlign w:val="bottom"/>
          </w:tcPr>
          <w:p>
            <w:pPr>
              <w:spacing w:after="0"/>
              <w:jc w:val="center"/>
              <w:rPr>
                <w:b/>
              </w:rPr>
            </w:pPr>
            <w:r>
              <w:rPr>
                <w:b/>
              </w:rPr>
              <w:t>5 years</w:t>
            </w:r>
          </w:p>
        </w:tc>
      </w:tr>
      <w:tr>
        <w:tc>
          <w:tcPr>
            <w:tcW w:w="3900" w:type="dxa"/>
            <w:tcBorders>
              <w:top w:val="single" w:sz="4" w:space="0" w:color="auto"/>
            </w:tcBorders>
            <w:shd w:val="clear" w:color="auto" w:fill="auto"/>
            <w:vAlign w:val="bottom"/>
          </w:tcPr>
          <w:p>
            <w:pPr>
              <w:spacing w:after="0"/>
              <w:rPr>
                <w:color w:val="000000"/>
                <w:lang w:val="en-US"/>
              </w:rPr>
            </w:pPr>
            <w:r>
              <w:rPr>
                <w:color w:val="000000"/>
                <w:lang w:val="en-US"/>
              </w:rPr>
              <w:t>Total population</w:t>
            </w:r>
          </w:p>
        </w:tc>
        <w:tc>
          <w:tcPr>
            <w:tcW w:w="1760" w:type="dxa"/>
            <w:tcBorders>
              <w:top w:val="single" w:sz="4" w:space="0" w:color="auto"/>
            </w:tcBorders>
            <w:shd w:val="clear" w:color="auto" w:fill="auto"/>
          </w:tcPr>
          <w:p>
            <w:pPr>
              <w:adjustRightInd w:val="0"/>
              <w:spacing w:after="0"/>
              <w:jc w:val="right"/>
              <w:rPr>
                <w:color w:val="000000"/>
              </w:rPr>
            </w:pPr>
          </w:p>
        </w:tc>
        <w:tc>
          <w:tcPr>
            <w:tcW w:w="1760" w:type="dxa"/>
            <w:tcBorders>
              <w:top w:val="single" w:sz="4" w:space="0" w:color="auto"/>
            </w:tcBorders>
            <w:shd w:val="clear" w:color="auto" w:fill="auto"/>
          </w:tcPr>
          <w:p>
            <w:pPr>
              <w:adjustRightInd w:val="0"/>
              <w:spacing w:after="0"/>
              <w:jc w:val="right"/>
              <w:rPr>
                <w:color w:val="000000"/>
              </w:rPr>
            </w:pPr>
          </w:p>
        </w:tc>
        <w:tc>
          <w:tcPr>
            <w:tcW w:w="1760" w:type="dxa"/>
            <w:tcBorders>
              <w:top w:val="single" w:sz="4" w:space="0" w:color="auto"/>
            </w:tcBorders>
            <w:shd w:val="clear" w:color="auto" w:fill="auto"/>
          </w:tcPr>
          <w:p>
            <w:pPr>
              <w:adjustRightInd w:val="0"/>
              <w:spacing w:after="0"/>
              <w:jc w:val="right"/>
              <w:rPr>
                <w:color w:val="000000"/>
              </w:rPr>
            </w:pPr>
          </w:p>
        </w:tc>
      </w:tr>
      <w:tr>
        <w:tc>
          <w:tcPr>
            <w:tcW w:w="3900" w:type="dxa"/>
            <w:shd w:val="clear" w:color="auto" w:fill="auto"/>
            <w:vAlign w:val="bottom"/>
          </w:tcPr>
          <w:p>
            <w:pPr>
              <w:spacing w:after="0"/>
              <w:rPr>
                <w:color w:val="000000"/>
                <w:lang w:val="en-US"/>
              </w:rPr>
            </w:pPr>
            <w:r>
              <w:rPr>
                <w:color w:val="000000"/>
                <w:lang w:val="en-US"/>
              </w:rPr>
              <w:t xml:space="preserve"> Q1 (=</w:t>
            </w:r>
            <w:r>
              <w:rPr>
                <w:color w:val="000000"/>
                <w:lang w:val="en-US"/>
              </w:rPr>
              <w:t>least deprived</w:t>
            </w:r>
            <w:r>
              <w:rPr>
                <w:color w:val="000000"/>
                <w:lang w:val="en-US"/>
              </w:rPr>
              <w:t xml:space="preserve">) </w:t>
            </w:r>
          </w:p>
        </w:tc>
        <w:tc>
          <w:tcPr>
            <w:tcW w:w="1760" w:type="dxa"/>
            <w:shd w:val="clear" w:color="auto" w:fill="auto"/>
          </w:tcPr>
          <w:p>
            <w:pPr>
              <w:adjustRightInd w:val="0"/>
              <w:spacing w:after="0"/>
              <w:jc w:val="right"/>
              <w:rPr>
                <w:color w:val="000000"/>
              </w:rPr>
            </w:pPr>
            <w:r>
              <w:rPr>
                <w:color w:val="000000"/>
              </w:rPr>
              <w:t>48.8 (47.2-50.4)</w:t>
            </w:r>
          </w:p>
        </w:tc>
        <w:tc>
          <w:tcPr>
            <w:tcW w:w="1760" w:type="dxa"/>
            <w:shd w:val="clear" w:color="auto" w:fill="auto"/>
          </w:tcPr>
          <w:p>
            <w:pPr>
              <w:adjustRightInd w:val="0"/>
              <w:spacing w:after="0"/>
              <w:jc w:val="right"/>
              <w:rPr>
                <w:color w:val="000000"/>
              </w:rPr>
            </w:pPr>
            <w:r>
              <w:rPr>
                <w:color w:val="000000"/>
              </w:rPr>
              <w:t>22.6 (21.1-24.0)</w:t>
            </w:r>
          </w:p>
        </w:tc>
        <w:tc>
          <w:tcPr>
            <w:tcW w:w="1760" w:type="dxa"/>
            <w:shd w:val="clear" w:color="auto" w:fill="auto"/>
          </w:tcPr>
          <w:p>
            <w:pPr>
              <w:adjustRightInd w:val="0"/>
              <w:spacing w:after="0"/>
              <w:jc w:val="right"/>
              <w:rPr>
                <w:color w:val="000000"/>
              </w:rPr>
            </w:pPr>
            <w:r>
              <w:rPr>
                <w:color w:val="000000"/>
              </w:rPr>
              <w:t>17.2 (15.8-18.5)</w:t>
            </w:r>
          </w:p>
        </w:tc>
      </w:tr>
      <w:tr>
        <w:tc>
          <w:tcPr>
            <w:tcW w:w="3900" w:type="dxa"/>
            <w:shd w:val="clear" w:color="auto" w:fill="auto"/>
            <w:vAlign w:val="bottom"/>
          </w:tcPr>
          <w:p>
            <w:pPr>
              <w:spacing w:after="0"/>
              <w:rPr>
                <w:color w:val="000000"/>
                <w:lang w:val="en-US"/>
              </w:rPr>
            </w:pPr>
            <w:r>
              <w:rPr>
                <w:color w:val="000000"/>
                <w:lang w:val="en-US"/>
              </w:rPr>
              <w:t xml:space="preserve"> Q2 </w:t>
            </w:r>
          </w:p>
        </w:tc>
        <w:tc>
          <w:tcPr>
            <w:tcW w:w="1760" w:type="dxa"/>
            <w:shd w:val="clear" w:color="auto" w:fill="auto"/>
          </w:tcPr>
          <w:p>
            <w:pPr>
              <w:adjustRightInd w:val="0"/>
              <w:spacing w:after="0"/>
              <w:jc w:val="right"/>
              <w:rPr>
                <w:color w:val="000000"/>
              </w:rPr>
            </w:pPr>
            <w:r>
              <w:rPr>
                <w:color w:val="000000"/>
              </w:rPr>
              <w:t>47.7 (46.2-49.2)</w:t>
            </w:r>
          </w:p>
        </w:tc>
        <w:tc>
          <w:tcPr>
            <w:tcW w:w="1760" w:type="dxa"/>
            <w:shd w:val="clear" w:color="auto" w:fill="auto"/>
          </w:tcPr>
          <w:p>
            <w:pPr>
              <w:adjustRightInd w:val="0"/>
              <w:spacing w:after="0"/>
              <w:jc w:val="right"/>
              <w:rPr>
                <w:color w:val="000000"/>
              </w:rPr>
            </w:pPr>
            <w:r>
              <w:rPr>
                <w:color w:val="000000"/>
              </w:rPr>
              <w:t>22.0 (20.7-23.3)</w:t>
            </w:r>
          </w:p>
        </w:tc>
        <w:tc>
          <w:tcPr>
            <w:tcW w:w="1760" w:type="dxa"/>
            <w:shd w:val="clear" w:color="auto" w:fill="auto"/>
          </w:tcPr>
          <w:p>
            <w:pPr>
              <w:adjustRightInd w:val="0"/>
              <w:spacing w:after="0"/>
              <w:jc w:val="right"/>
              <w:rPr>
                <w:color w:val="000000"/>
              </w:rPr>
            </w:pPr>
            <w:r>
              <w:rPr>
                <w:color w:val="000000"/>
              </w:rPr>
              <w:t>15.9 (14.8-17.2)</w:t>
            </w:r>
          </w:p>
        </w:tc>
      </w:tr>
      <w:tr>
        <w:tc>
          <w:tcPr>
            <w:tcW w:w="3900" w:type="dxa"/>
            <w:shd w:val="clear" w:color="auto" w:fill="auto"/>
            <w:vAlign w:val="bottom"/>
          </w:tcPr>
          <w:p>
            <w:pPr>
              <w:spacing w:after="0"/>
              <w:rPr>
                <w:color w:val="000000"/>
                <w:lang w:val="en-US"/>
              </w:rPr>
            </w:pPr>
            <w:r>
              <w:rPr>
                <w:color w:val="000000"/>
                <w:lang w:val="en-US"/>
              </w:rPr>
              <w:t xml:space="preserve"> Q3 </w:t>
            </w:r>
          </w:p>
        </w:tc>
        <w:tc>
          <w:tcPr>
            <w:tcW w:w="1760" w:type="dxa"/>
            <w:shd w:val="clear" w:color="auto" w:fill="auto"/>
          </w:tcPr>
          <w:p>
            <w:pPr>
              <w:adjustRightInd w:val="0"/>
              <w:spacing w:after="0"/>
              <w:jc w:val="right"/>
              <w:rPr>
                <w:color w:val="000000"/>
              </w:rPr>
            </w:pPr>
            <w:r>
              <w:rPr>
                <w:color w:val="000000"/>
              </w:rPr>
              <w:t>47.9 (46.5-49.4)</w:t>
            </w:r>
          </w:p>
        </w:tc>
        <w:tc>
          <w:tcPr>
            <w:tcW w:w="1760" w:type="dxa"/>
            <w:shd w:val="clear" w:color="auto" w:fill="auto"/>
          </w:tcPr>
          <w:p>
            <w:pPr>
              <w:adjustRightInd w:val="0"/>
              <w:spacing w:after="0"/>
              <w:jc w:val="right"/>
              <w:rPr>
                <w:color w:val="000000"/>
              </w:rPr>
            </w:pPr>
            <w:r>
              <w:rPr>
                <w:color w:val="000000"/>
              </w:rPr>
              <w:t>23.5 (22.2-24.8)</w:t>
            </w:r>
          </w:p>
        </w:tc>
        <w:tc>
          <w:tcPr>
            <w:tcW w:w="1760" w:type="dxa"/>
            <w:shd w:val="clear" w:color="auto" w:fill="auto"/>
          </w:tcPr>
          <w:p>
            <w:pPr>
              <w:adjustRightInd w:val="0"/>
              <w:spacing w:after="0"/>
              <w:jc w:val="right"/>
              <w:rPr>
                <w:color w:val="000000"/>
              </w:rPr>
            </w:pPr>
            <w:r>
              <w:rPr>
                <w:color w:val="000000"/>
              </w:rPr>
              <w:t>16.7 (15.5-17.9)</w:t>
            </w:r>
          </w:p>
        </w:tc>
      </w:tr>
      <w:tr>
        <w:tc>
          <w:tcPr>
            <w:tcW w:w="3900" w:type="dxa"/>
            <w:shd w:val="clear" w:color="auto" w:fill="auto"/>
            <w:vAlign w:val="bottom"/>
          </w:tcPr>
          <w:p>
            <w:pPr>
              <w:spacing w:after="0"/>
              <w:rPr>
                <w:color w:val="000000"/>
                <w:lang w:val="en-US"/>
              </w:rPr>
            </w:pPr>
            <w:r>
              <w:rPr>
                <w:color w:val="000000"/>
                <w:lang w:val="en-US"/>
              </w:rPr>
              <w:t xml:space="preserve"> Q4 </w:t>
            </w:r>
          </w:p>
        </w:tc>
        <w:tc>
          <w:tcPr>
            <w:tcW w:w="1760" w:type="dxa"/>
            <w:shd w:val="clear" w:color="auto" w:fill="auto"/>
          </w:tcPr>
          <w:p>
            <w:pPr>
              <w:keepNext/>
              <w:adjustRightInd w:val="0"/>
              <w:spacing w:after="0"/>
              <w:jc w:val="right"/>
              <w:rPr>
                <w:color w:val="000000"/>
              </w:rPr>
            </w:pPr>
            <w:r>
              <w:rPr>
                <w:color w:val="000000"/>
              </w:rPr>
              <w:t>47.7 (46.2-49.1)</w:t>
            </w:r>
          </w:p>
        </w:tc>
        <w:tc>
          <w:tcPr>
            <w:tcW w:w="1760" w:type="dxa"/>
            <w:shd w:val="clear" w:color="auto" w:fill="auto"/>
          </w:tcPr>
          <w:p>
            <w:pPr>
              <w:keepNext/>
              <w:adjustRightInd w:val="0"/>
              <w:spacing w:after="0"/>
              <w:jc w:val="right"/>
              <w:rPr>
                <w:color w:val="000000"/>
              </w:rPr>
            </w:pPr>
            <w:r>
              <w:rPr>
                <w:color w:val="000000"/>
              </w:rPr>
              <w:t>22.6 (21.3-23.9)</w:t>
            </w:r>
          </w:p>
        </w:tc>
        <w:tc>
          <w:tcPr>
            <w:tcW w:w="1760" w:type="dxa"/>
            <w:shd w:val="clear" w:color="auto" w:fill="auto"/>
          </w:tcPr>
          <w:p>
            <w:pPr>
              <w:keepNext/>
              <w:adjustRightInd w:val="0"/>
              <w:spacing w:after="0"/>
              <w:jc w:val="right"/>
              <w:rPr>
                <w:color w:val="000000"/>
              </w:rPr>
            </w:pPr>
            <w:r>
              <w:rPr>
                <w:color w:val="000000"/>
              </w:rPr>
              <w:t>15.7 (14.5-16.9)</w:t>
            </w:r>
          </w:p>
        </w:tc>
      </w:tr>
      <w:tr>
        <w:tc>
          <w:tcPr>
            <w:tcW w:w="3900" w:type="dxa"/>
            <w:shd w:val="clear" w:color="auto" w:fill="auto"/>
            <w:vAlign w:val="bottom"/>
          </w:tcPr>
          <w:p>
            <w:pPr>
              <w:spacing w:after="0"/>
              <w:rPr>
                <w:color w:val="000000"/>
                <w:lang w:val="en-US"/>
              </w:rPr>
            </w:pPr>
            <w:r>
              <w:rPr>
                <w:color w:val="000000"/>
                <w:lang w:val="en-US"/>
              </w:rPr>
              <w:t xml:space="preserve"> Q5 (=most deprived) </w:t>
            </w:r>
          </w:p>
        </w:tc>
        <w:tc>
          <w:tcPr>
            <w:tcW w:w="1760" w:type="dxa"/>
            <w:shd w:val="clear" w:color="auto" w:fill="auto"/>
          </w:tcPr>
          <w:p>
            <w:pPr>
              <w:adjustRightInd w:val="0"/>
              <w:spacing w:after="0"/>
              <w:jc w:val="right"/>
              <w:rPr>
                <w:b/>
                <w:color w:val="000000"/>
              </w:rPr>
            </w:pPr>
            <w:r>
              <w:rPr>
                <w:b/>
                <w:color w:val="000000"/>
              </w:rPr>
              <w:t>46.6 (45.2-48.0)</w:t>
            </w:r>
          </w:p>
        </w:tc>
        <w:tc>
          <w:tcPr>
            <w:tcW w:w="1760" w:type="dxa"/>
            <w:shd w:val="clear" w:color="auto" w:fill="auto"/>
          </w:tcPr>
          <w:p>
            <w:pPr>
              <w:adjustRightInd w:val="0"/>
              <w:spacing w:after="0"/>
              <w:jc w:val="right"/>
              <w:rPr>
                <w:b/>
                <w:color w:val="000000"/>
              </w:rPr>
            </w:pPr>
            <w:r>
              <w:rPr>
                <w:b/>
                <w:color w:val="000000"/>
              </w:rPr>
              <w:t>20.7 (19.6-22.0)</w:t>
            </w:r>
          </w:p>
        </w:tc>
        <w:tc>
          <w:tcPr>
            <w:tcW w:w="1760" w:type="dxa"/>
            <w:shd w:val="clear" w:color="auto" w:fill="auto"/>
          </w:tcPr>
          <w:p>
            <w:pPr>
              <w:adjustRightInd w:val="0"/>
              <w:spacing w:after="0"/>
              <w:jc w:val="right"/>
              <w:rPr>
                <w:b/>
                <w:color w:val="000000"/>
              </w:rPr>
            </w:pPr>
            <w:r>
              <w:rPr>
                <w:b/>
                <w:color w:val="000000"/>
              </w:rPr>
              <w:t>14.4 (13.3-15.5)</w:t>
            </w:r>
          </w:p>
        </w:tc>
      </w:tr>
      <w:tr>
        <w:tc>
          <w:tcPr>
            <w:tcW w:w="3900" w:type="dxa"/>
            <w:shd w:val="clear" w:color="auto" w:fill="auto"/>
            <w:vAlign w:val="bottom"/>
          </w:tcPr>
          <w:p>
            <w:pPr>
              <w:spacing w:after="0"/>
              <w:rPr>
                <w:color w:val="000000"/>
                <w:lang w:val="en-US"/>
              </w:rPr>
            </w:pPr>
            <w:r>
              <w:rPr>
                <w:color w:val="000000"/>
                <w:lang w:val="en-US"/>
              </w:rPr>
              <w:t>Stage I + II</w:t>
            </w:r>
          </w:p>
        </w:tc>
        <w:tc>
          <w:tcPr>
            <w:tcW w:w="1760" w:type="dxa"/>
            <w:shd w:val="clear" w:color="auto" w:fill="auto"/>
          </w:tcPr>
          <w:p>
            <w:pPr>
              <w:adjustRightInd w:val="0"/>
              <w:spacing w:after="0"/>
              <w:jc w:val="right"/>
              <w:rPr>
                <w:b/>
                <w:color w:val="000000"/>
              </w:rPr>
            </w:pPr>
          </w:p>
        </w:tc>
        <w:tc>
          <w:tcPr>
            <w:tcW w:w="1760" w:type="dxa"/>
            <w:shd w:val="clear" w:color="auto" w:fill="auto"/>
          </w:tcPr>
          <w:p>
            <w:pPr>
              <w:adjustRightInd w:val="0"/>
              <w:spacing w:after="0"/>
              <w:jc w:val="right"/>
              <w:rPr>
                <w:b/>
                <w:color w:val="000000"/>
              </w:rPr>
            </w:pPr>
          </w:p>
        </w:tc>
        <w:tc>
          <w:tcPr>
            <w:tcW w:w="1760" w:type="dxa"/>
            <w:shd w:val="clear" w:color="auto" w:fill="auto"/>
          </w:tcPr>
          <w:p>
            <w:pPr>
              <w:adjustRightInd w:val="0"/>
              <w:spacing w:after="0"/>
              <w:jc w:val="right"/>
              <w:rPr>
                <w:b/>
                <w:color w:val="000000"/>
              </w:rPr>
            </w:pPr>
          </w:p>
        </w:tc>
      </w:tr>
      <w:tr>
        <w:tc>
          <w:tcPr>
            <w:tcW w:w="3900" w:type="dxa"/>
            <w:shd w:val="clear" w:color="auto" w:fill="auto"/>
            <w:vAlign w:val="bottom"/>
          </w:tcPr>
          <w:p>
            <w:pPr>
              <w:spacing w:after="0"/>
              <w:rPr>
                <w:color w:val="000000"/>
                <w:lang w:val="en-US"/>
              </w:rPr>
            </w:pPr>
            <w:r>
              <w:rPr>
                <w:color w:val="000000"/>
                <w:lang w:val="en-US"/>
              </w:rPr>
              <w:t xml:space="preserve"> Q1 (=</w:t>
            </w:r>
            <w:r>
              <w:rPr>
                <w:color w:val="000000"/>
                <w:lang w:val="en-US"/>
              </w:rPr>
              <w:t>least deprived</w:t>
            </w:r>
            <w:r>
              <w:rPr>
                <w:color w:val="000000"/>
                <w:lang w:val="en-US"/>
              </w:rPr>
              <w:t xml:space="preserve">) </w:t>
            </w:r>
          </w:p>
        </w:tc>
        <w:tc>
          <w:tcPr>
            <w:tcW w:w="1760" w:type="dxa"/>
            <w:shd w:val="clear" w:color="auto" w:fill="auto"/>
          </w:tcPr>
          <w:p>
            <w:pPr>
              <w:adjustRightInd w:val="0"/>
              <w:spacing w:after="0"/>
              <w:jc w:val="right"/>
              <w:rPr>
                <w:b/>
                <w:color w:val="000000"/>
              </w:rPr>
            </w:pPr>
            <w:r>
              <w:rPr>
                <w:color w:val="000000"/>
              </w:rPr>
              <w:t>81.3 (78.4-83.9)</w:t>
            </w:r>
          </w:p>
        </w:tc>
        <w:tc>
          <w:tcPr>
            <w:tcW w:w="1760" w:type="dxa"/>
            <w:shd w:val="clear" w:color="auto" w:fill="auto"/>
          </w:tcPr>
          <w:p>
            <w:pPr>
              <w:adjustRightInd w:val="0"/>
              <w:spacing w:after="0"/>
              <w:jc w:val="right"/>
              <w:rPr>
                <w:b/>
                <w:color w:val="000000"/>
              </w:rPr>
            </w:pPr>
            <w:r>
              <w:rPr>
                <w:color w:val="000000"/>
              </w:rPr>
              <w:t>59.0 (55.3-62.5)</w:t>
            </w:r>
          </w:p>
        </w:tc>
        <w:tc>
          <w:tcPr>
            <w:tcW w:w="1760" w:type="dxa"/>
            <w:shd w:val="clear" w:color="auto" w:fill="auto"/>
          </w:tcPr>
          <w:p>
            <w:pPr>
              <w:adjustRightInd w:val="0"/>
              <w:spacing w:after="0"/>
              <w:jc w:val="right"/>
              <w:rPr>
                <w:b/>
                <w:color w:val="000000"/>
              </w:rPr>
            </w:pPr>
            <w:r>
              <w:rPr>
                <w:color w:val="000000"/>
              </w:rPr>
              <w:t>48.1 (44.2-51.9)</w:t>
            </w:r>
          </w:p>
        </w:tc>
      </w:tr>
      <w:tr>
        <w:tc>
          <w:tcPr>
            <w:tcW w:w="3900" w:type="dxa"/>
            <w:shd w:val="clear" w:color="auto" w:fill="auto"/>
            <w:vAlign w:val="bottom"/>
          </w:tcPr>
          <w:p>
            <w:pPr>
              <w:spacing w:after="0"/>
              <w:rPr>
                <w:color w:val="000000"/>
                <w:lang w:val="en-US"/>
              </w:rPr>
            </w:pPr>
            <w:r>
              <w:rPr>
                <w:color w:val="000000"/>
                <w:lang w:val="en-US"/>
              </w:rPr>
              <w:t xml:space="preserve"> Q2 </w:t>
            </w:r>
          </w:p>
        </w:tc>
        <w:tc>
          <w:tcPr>
            <w:tcW w:w="1760" w:type="dxa"/>
            <w:shd w:val="clear" w:color="auto" w:fill="auto"/>
          </w:tcPr>
          <w:p>
            <w:pPr>
              <w:adjustRightInd w:val="0"/>
              <w:spacing w:after="0"/>
              <w:jc w:val="right"/>
              <w:rPr>
                <w:b/>
                <w:color w:val="000000"/>
              </w:rPr>
            </w:pPr>
            <w:r>
              <w:rPr>
                <w:color w:val="000000"/>
              </w:rPr>
              <w:t>80.2 (77.4-82.7)</w:t>
            </w:r>
          </w:p>
        </w:tc>
        <w:tc>
          <w:tcPr>
            <w:tcW w:w="1760" w:type="dxa"/>
            <w:shd w:val="clear" w:color="auto" w:fill="auto"/>
          </w:tcPr>
          <w:p>
            <w:pPr>
              <w:adjustRightInd w:val="0"/>
              <w:spacing w:after="0"/>
              <w:jc w:val="right"/>
              <w:rPr>
                <w:b/>
                <w:color w:val="000000"/>
              </w:rPr>
            </w:pPr>
            <w:r>
              <w:rPr>
                <w:color w:val="000000"/>
              </w:rPr>
              <w:t>58.3 (54.9-61.5)</w:t>
            </w:r>
          </w:p>
        </w:tc>
        <w:tc>
          <w:tcPr>
            <w:tcW w:w="1760" w:type="dxa"/>
            <w:shd w:val="clear" w:color="auto" w:fill="auto"/>
          </w:tcPr>
          <w:p>
            <w:pPr>
              <w:adjustRightInd w:val="0"/>
              <w:spacing w:after="0"/>
              <w:jc w:val="right"/>
              <w:rPr>
                <w:b/>
                <w:color w:val="000000"/>
              </w:rPr>
            </w:pPr>
            <w:r>
              <w:rPr>
                <w:color w:val="000000"/>
              </w:rPr>
              <w:t>46.9 (43.4-50.4)</w:t>
            </w:r>
          </w:p>
        </w:tc>
      </w:tr>
      <w:tr>
        <w:tc>
          <w:tcPr>
            <w:tcW w:w="3900" w:type="dxa"/>
            <w:shd w:val="clear" w:color="auto" w:fill="auto"/>
            <w:vAlign w:val="bottom"/>
          </w:tcPr>
          <w:p>
            <w:pPr>
              <w:spacing w:after="0"/>
              <w:rPr>
                <w:color w:val="000000"/>
                <w:lang w:val="en-US"/>
              </w:rPr>
            </w:pPr>
            <w:r>
              <w:rPr>
                <w:color w:val="000000"/>
                <w:lang w:val="en-US"/>
              </w:rPr>
              <w:t xml:space="preserve"> Q3 </w:t>
            </w:r>
          </w:p>
        </w:tc>
        <w:tc>
          <w:tcPr>
            <w:tcW w:w="1760" w:type="dxa"/>
            <w:shd w:val="clear" w:color="auto" w:fill="auto"/>
          </w:tcPr>
          <w:p>
            <w:pPr>
              <w:adjustRightInd w:val="0"/>
              <w:spacing w:after="0"/>
              <w:jc w:val="right"/>
              <w:rPr>
                <w:b/>
                <w:color w:val="000000"/>
              </w:rPr>
            </w:pPr>
            <w:r>
              <w:rPr>
                <w:color w:val="000000"/>
              </w:rPr>
              <w:t>79.3 (76.7-81.7)</w:t>
            </w:r>
          </w:p>
        </w:tc>
        <w:tc>
          <w:tcPr>
            <w:tcW w:w="1760" w:type="dxa"/>
            <w:shd w:val="clear" w:color="auto" w:fill="auto"/>
          </w:tcPr>
          <w:p>
            <w:pPr>
              <w:adjustRightInd w:val="0"/>
              <w:spacing w:after="0"/>
              <w:jc w:val="right"/>
              <w:rPr>
                <w:b/>
                <w:color w:val="000000"/>
              </w:rPr>
            </w:pPr>
            <w:r>
              <w:rPr>
                <w:color w:val="000000"/>
              </w:rPr>
              <w:t>55.3 (52.2-58.4)</w:t>
            </w:r>
          </w:p>
        </w:tc>
        <w:tc>
          <w:tcPr>
            <w:tcW w:w="1760" w:type="dxa"/>
            <w:shd w:val="clear" w:color="auto" w:fill="auto"/>
          </w:tcPr>
          <w:p>
            <w:pPr>
              <w:adjustRightInd w:val="0"/>
              <w:spacing w:after="0"/>
              <w:jc w:val="right"/>
              <w:rPr>
                <w:b/>
                <w:color w:val="000000"/>
              </w:rPr>
            </w:pPr>
            <w:r>
              <w:rPr>
                <w:color w:val="000000"/>
              </w:rPr>
              <w:t>42.9 (39.7-46.2)</w:t>
            </w:r>
          </w:p>
        </w:tc>
      </w:tr>
      <w:tr>
        <w:tc>
          <w:tcPr>
            <w:tcW w:w="3900" w:type="dxa"/>
            <w:shd w:val="clear" w:color="auto" w:fill="auto"/>
            <w:vAlign w:val="bottom"/>
          </w:tcPr>
          <w:p>
            <w:pPr>
              <w:spacing w:after="0"/>
              <w:rPr>
                <w:color w:val="000000"/>
                <w:lang w:val="en-US"/>
              </w:rPr>
            </w:pPr>
            <w:r>
              <w:rPr>
                <w:color w:val="000000"/>
                <w:lang w:val="en-US"/>
              </w:rPr>
              <w:t xml:space="preserve"> Q4 </w:t>
            </w:r>
          </w:p>
        </w:tc>
        <w:tc>
          <w:tcPr>
            <w:tcW w:w="1760" w:type="dxa"/>
            <w:shd w:val="clear" w:color="auto" w:fill="auto"/>
          </w:tcPr>
          <w:p>
            <w:pPr>
              <w:adjustRightInd w:val="0"/>
              <w:spacing w:after="0"/>
              <w:jc w:val="right"/>
              <w:rPr>
                <w:b/>
                <w:color w:val="000000"/>
              </w:rPr>
            </w:pPr>
            <w:r>
              <w:rPr>
                <w:b/>
                <w:color w:val="000000"/>
              </w:rPr>
              <w:t>76.8 (74.0-79.3)</w:t>
            </w:r>
          </w:p>
        </w:tc>
        <w:tc>
          <w:tcPr>
            <w:tcW w:w="1760" w:type="dxa"/>
            <w:shd w:val="clear" w:color="auto" w:fill="auto"/>
          </w:tcPr>
          <w:p>
            <w:pPr>
              <w:adjustRightInd w:val="0"/>
              <w:spacing w:after="0"/>
              <w:jc w:val="right"/>
              <w:rPr>
                <w:b/>
                <w:color w:val="000000"/>
              </w:rPr>
            </w:pPr>
            <w:r>
              <w:rPr>
                <w:color w:val="000000"/>
              </w:rPr>
              <w:t>52.8 (49.5-55.9)</w:t>
            </w:r>
          </w:p>
        </w:tc>
        <w:tc>
          <w:tcPr>
            <w:tcW w:w="1760" w:type="dxa"/>
            <w:shd w:val="clear" w:color="auto" w:fill="auto"/>
          </w:tcPr>
          <w:p>
            <w:pPr>
              <w:adjustRightInd w:val="0"/>
              <w:spacing w:after="0"/>
              <w:jc w:val="right"/>
              <w:rPr>
                <w:b/>
                <w:color w:val="000000"/>
              </w:rPr>
            </w:pPr>
            <w:r>
              <w:rPr>
                <w:b/>
                <w:color w:val="000000"/>
              </w:rPr>
              <w:t>40.1 (36.8-43.4)</w:t>
            </w:r>
          </w:p>
        </w:tc>
      </w:tr>
      <w:tr>
        <w:tc>
          <w:tcPr>
            <w:tcW w:w="3900" w:type="dxa"/>
            <w:shd w:val="clear" w:color="auto" w:fill="auto"/>
            <w:vAlign w:val="bottom"/>
          </w:tcPr>
          <w:p>
            <w:pPr>
              <w:spacing w:after="0"/>
              <w:rPr>
                <w:color w:val="000000"/>
                <w:lang w:val="en-US"/>
              </w:rPr>
            </w:pPr>
            <w:r>
              <w:rPr>
                <w:color w:val="000000"/>
                <w:lang w:val="en-US"/>
              </w:rPr>
              <w:t xml:space="preserve"> Q5 (=most deprived) </w:t>
            </w:r>
          </w:p>
        </w:tc>
        <w:tc>
          <w:tcPr>
            <w:tcW w:w="1760" w:type="dxa"/>
            <w:shd w:val="clear" w:color="auto" w:fill="auto"/>
          </w:tcPr>
          <w:p>
            <w:pPr>
              <w:adjustRightInd w:val="0"/>
              <w:spacing w:after="0"/>
              <w:jc w:val="right"/>
              <w:rPr>
                <w:b/>
                <w:color w:val="000000"/>
              </w:rPr>
            </w:pPr>
            <w:r>
              <w:rPr>
                <w:color w:val="000000"/>
              </w:rPr>
              <w:t>78.3 (75.6-80.7)</w:t>
            </w:r>
          </w:p>
        </w:tc>
        <w:tc>
          <w:tcPr>
            <w:tcW w:w="1760" w:type="dxa"/>
            <w:shd w:val="clear" w:color="auto" w:fill="auto"/>
          </w:tcPr>
          <w:p>
            <w:pPr>
              <w:adjustRightInd w:val="0"/>
              <w:spacing w:after="0"/>
              <w:jc w:val="right"/>
              <w:rPr>
                <w:b/>
                <w:color w:val="000000"/>
              </w:rPr>
            </w:pPr>
            <w:r>
              <w:rPr>
                <w:b/>
                <w:color w:val="000000"/>
              </w:rPr>
              <w:t>52.5 (49.3-55.6)</w:t>
            </w:r>
          </w:p>
        </w:tc>
        <w:tc>
          <w:tcPr>
            <w:tcW w:w="1760" w:type="dxa"/>
            <w:shd w:val="clear" w:color="auto" w:fill="auto"/>
          </w:tcPr>
          <w:p>
            <w:pPr>
              <w:adjustRightInd w:val="0"/>
              <w:spacing w:after="0"/>
              <w:jc w:val="right"/>
              <w:rPr>
                <w:b/>
                <w:color w:val="000000"/>
                <w:lang w:val="en-US"/>
              </w:rPr>
            </w:pPr>
            <w:r>
              <w:rPr>
                <w:color w:val="000000"/>
              </w:rPr>
              <w:t>40.7 (37.5-43.9)</w:t>
            </w:r>
          </w:p>
        </w:tc>
      </w:tr>
      <w:tr>
        <w:tc>
          <w:tcPr>
            <w:tcW w:w="3900" w:type="dxa"/>
            <w:shd w:val="clear" w:color="auto" w:fill="auto"/>
            <w:vAlign w:val="bottom"/>
          </w:tcPr>
          <w:p>
            <w:pPr>
              <w:spacing w:after="0"/>
              <w:rPr>
                <w:color w:val="000000"/>
                <w:lang w:val="en-US"/>
              </w:rPr>
            </w:pPr>
            <w:r>
              <w:rPr>
                <w:color w:val="000000"/>
                <w:lang w:val="en-US"/>
              </w:rPr>
              <w:t>Stage III</w:t>
            </w:r>
          </w:p>
        </w:tc>
        <w:tc>
          <w:tcPr>
            <w:tcW w:w="1760" w:type="dxa"/>
            <w:shd w:val="clear" w:color="auto" w:fill="auto"/>
          </w:tcPr>
          <w:p>
            <w:pPr>
              <w:adjustRightInd w:val="0"/>
              <w:spacing w:after="0"/>
              <w:jc w:val="right"/>
              <w:rPr>
                <w:b/>
                <w:color w:val="000000"/>
              </w:rPr>
            </w:pPr>
          </w:p>
        </w:tc>
        <w:tc>
          <w:tcPr>
            <w:tcW w:w="1760" w:type="dxa"/>
            <w:shd w:val="clear" w:color="auto" w:fill="auto"/>
          </w:tcPr>
          <w:p>
            <w:pPr>
              <w:adjustRightInd w:val="0"/>
              <w:spacing w:after="0"/>
              <w:jc w:val="right"/>
              <w:rPr>
                <w:b/>
                <w:color w:val="000000"/>
              </w:rPr>
            </w:pPr>
          </w:p>
        </w:tc>
        <w:tc>
          <w:tcPr>
            <w:tcW w:w="1760" w:type="dxa"/>
            <w:shd w:val="clear" w:color="auto" w:fill="auto"/>
          </w:tcPr>
          <w:p>
            <w:pPr>
              <w:adjustRightInd w:val="0"/>
              <w:spacing w:after="0"/>
              <w:jc w:val="right"/>
              <w:rPr>
                <w:b/>
                <w:color w:val="000000"/>
              </w:rPr>
            </w:pPr>
          </w:p>
        </w:tc>
      </w:tr>
      <w:tr>
        <w:tc>
          <w:tcPr>
            <w:tcW w:w="3900" w:type="dxa"/>
            <w:shd w:val="clear" w:color="auto" w:fill="auto"/>
            <w:vAlign w:val="bottom"/>
          </w:tcPr>
          <w:p>
            <w:pPr>
              <w:spacing w:after="0"/>
              <w:rPr>
                <w:color w:val="000000"/>
                <w:lang w:val="en-US"/>
              </w:rPr>
            </w:pPr>
            <w:r>
              <w:rPr>
                <w:color w:val="000000"/>
                <w:lang w:val="en-US"/>
              </w:rPr>
              <w:t xml:space="preserve"> Q1 (=</w:t>
            </w:r>
            <w:r>
              <w:rPr>
                <w:color w:val="000000"/>
                <w:lang w:val="en-US"/>
              </w:rPr>
              <w:t>least deprived</w:t>
            </w:r>
            <w:r>
              <w:rPr>
                <w:color w:val="000000"/>
                <w:lang w:val="en-US"/>
              </w:rPr>
              <w:t xml:space="preserve">) </w:t>
            </w:r>
          </w:p>
        </w:tc>
        <w:tc>
          <w:tcPr>
            <w:tcW w:w="1760" w:type="dxa"/>
            <w:shd w:val="clear" w:color="auto" w:fill="auto"/>
          </w:tcPr>
          <w:p>
            <w:pPr>
              <w:adjustRightInd w:val="0"/>
              <w:spacing w:after="0"/>
              <w:jc w:val="right"/>
              <w:rPr>
                <w:b/>
                <w:color w:val="000000"/>
              </w:rPr>
            </w:pPr>
            <w:r>
              <w:rPr>
                <w:color w:val="000000"/>
              </w:rPr>
              <w:t>53.7 (50.3-56.9)</w:t>
            </w:r>
          </w:p>
        </w:tc>
        <w:tc>
          <w:tcPr>
            <w:tcW w:w="1760" w:type="dxa"/>
            <w:shd w:val="clear" w:color="auto" w:fill="auto"/>
          </w:tcPr>
          <w:p>
            <w:pPr>
              <w:adjustRightInd w:val="0"/>
              <w:spacing w:after="0"/>
              <w:jc w:val="right"/>
              <w:rPr>
                <w:b/>
                <w:color w:val="000000"/>
              </w:rPr>
            </w:pPr>
            <w:r>
              <w:rPr>
                <w:color w:val="000000"/>
              </w:rPr>
              <w:t>21.1 (18.4-23.9)</w:t>
            </w:r>
          </w:p>
        </w:tc>
        <w:tc>
          <w:tcPr>
            <w:tcW w:w="1760" w:type="dxa"/>
            <w:shd w:val="clear" w:color="auto" w:fill="auto"/>
          </w:tcPr>
          <w:p>
            <w:pPr>
              <w:adjustRightInd w:val="0"/>
              <w:spacing w:after="0"/>
              <w:jc w:val="right"/>
              <w:rPr>
                <w:b/>
                <w:color w:val="000000"/>
              </w:rPr>
            </w:pPr>
            <w:r>
              <w:rPr>
                <w:color w:val="000000"/>
              </w:rPr>
              <w:t>15.2 (12.8-17.8)</w:t>
            </w:r>
          </w:p>
        </w:tc>
      </w:tr>
      <w:tr>
        <w:tc>
          <w:tcPr>
            <w:tcW w:w="3900" w:type="dxa"/>
            <w:shd w:val="clear" w:color="auto" w:fill="auto"/>
            <w:vAlign w:val="bottom"/>
          </w:tcPr>
          <w:p>
            <w:pPr>
              <w:spacing w:after="0"/>
              <w:rPr>
                <w:color w:val="000000"/>
                <w:lang w:val="en-US"/>
              </w:rPr>
            </w:pPr>
            <w:r>
              <w:rPr>
                <w:color w:val="000000"/>
                <w:lang w:val="en-US"/>
              </w:rPr>
              <w:t xml:space="preserve"> Q2 </w:t>
            </w:r>
          </w:p>
        </w:tc>
        <w:tc>
          <w:tcPr>
            <w:tcW w:w="1760" w:type="dxa"/>
            <w:shd w:val="clear" w:color="auto" w:fill="auto"/>
          </w:tcPr>
          <w:p>
            <w:pPr>
              <w:adjustRightInd w:val="0"/>
              <w:spacing w:after="0"/>
              <w:jc w:val="right"/>
              <w:rPr>
                <w:b/>
                <w:color w:val="000000"/>
              </w:rPr>
            </w:pPr>
            <w:r>
              <w:rPr>
                <w:color w:val="000000"/>
              </w:rPr>
              <w:t>54.2 (51.2-57.2)</w:t>
            </w:r>
          </w:p>
        </w:tc>
        <w:tc>
          <w:tcPr>
            <w:tcW w:w="1760" w:type="dxa"/>
            <w:shd w:val="clear" w:color="auto" w:fill="auto"/>
          </w:tcPr>
          <w:p>
            <w:pPr>
              <w:adjustRightInd w:val="0"/>
              <w:spacing w:after="0"/>
              <w:jc w:val="right"/>
              <w:rPr>
                <w:b/>
                <w:color w:val="000000"/>
              </w:rPr>
            </w:pPr>
            <w:r>
              <w:rPr>
                <w:color w:val="000000"/>
              </w:rPr>
              <w:t>18.8 (16.4-21.3)</w:t>
            </w:r>
          </w:p>
        </w:tc>
        <w:tc>
          <w:tcPr>
            <w:tcW w:w="1760" w:type="dxa"/>
            <w:shd w:val="clear" w:color="auto" w:fill="auto"/>
          </w:tcPr>
          <w:p>
            <w:pPr>
              <w:adjustRightInd w:val="0"/>
              <w:spacing w:after="0"/>
              <w:jc w:val="right"/>
              <w:rPr>
                <w:b/>
                <w:color w:val="000000"/>
              </w:rPr>
            </w:pPr>
            <w:r>
              <w:rPr>
                <w:color w:val="000000"/>
              </w:rPr>
              <w:t>12.0 (10.0-14.2)</w:t>
            </w:r>
          </w:p>
        </w:tc>
      </w:tr>
      <w:tr>
        <w:tc>
          <w:tcPr>
            <w:tcW w:w="3900" w:type="dxa"/>
            <w:shd w:val="clear" w:color="auto" w:fill="auto"/>
            <w:vAlign w:val="bottom"/>
          </w:tcPr>
          <w:p>
            <w:pPr>
              <w:spacing w:after="0"/>
              <w:rPr>
                <w:color w:val="000000"/>
                <w:lang w:val="en-US"/>
              </w:rPr>
            </w:pPr>
            <w:r>
              <w:rPr>
                <w:color w:val="000000"/>
                <w:lang w:val="en-US"/>
              </w:rPr>
              <w:t xml:space="preserve"> Q3 </w:t>
            </w:r>
          </w:p>
        </w:tc>
        <w:tc>
          <w:tcPr>
            <w:tcW w:w="1760" w:type="dxa"/>
            <w:shd w:val="clear" w:color="auto" w:fill="auto"/>
          </w:tcPr>
          <w:p>
            <w:pPr>
              <w:adjustRightInd w:val="0"/>
              <w:spacing w:after="0"/>
              <w:jc w:val="right"/>
              <w:rPr>
                <w:b/>
                <w:color w:val="000000"/>
              </w:rPr>
            </w:pPr>
            <w:r>
              <w:rPr>
                <w:color w:val="000000"/>
              </w:rPr>
              <w:t>52.5 (49.4-55.4)</w:t>
            </w:r>
          </w:p>
        </w:tc>
        <w:tc>
          <w:tcPr>
            <w:tcW w:w="1760" w:type="dxa"/>
            <w:shd w:val="clear" w:color="auto" w:fill="auto"/>
          </w:tcPr>
          <w:p>
            <w:pPr>
              <w:adjustRightInd w:val="0"/>
              <w:spacing w:after="0"/>
              <w:jc w:val="right"/>
              <w:rPr>
                <w:b/>
                <w:color w:val="000000"/>
              </w:rPr>
            </w:pPr>
            <w:r>
              <w:rPr>
                <w:color w:val="000000"/>
              </w:rPr>
              <w:t>20.9 (18.4-23.4)</w:t>
            </w:r>
          </w:p>
        </w:tc>
        <w:tc>
          <w:tcPr>
            <w:tcW w:w="1760" w:type="dxa"/>
            <w:shd w:val="clear" w:color="auto" w:fill="auto"/>
          </w:tcPr>
          <w:p>
            <w:pPr>
              <w:adjustRightInd w:val="0"/>
              <w:spacing w:after="0"/>
              <w:jc w:val="right"/>
              <w:rPr>
                <w:b/>
                <w:color w:val="000000"/>
              </w:rPr>
            </w:pPr>
            <w:r>
              <w:rPr>
                <w:color w:val="000000"/>
              </w:rPr>
              <w:t>14.2 (12.0-16.6)</w:t>
            </w:r>
          </w:p>
        </w:tc>
      </w:tr>
      <w:tr>
        <w:tc>
          <w:tcPr>
            <w:tcW w:w="3900" w:type="dxa"/>
            <w:shd w:val="clear" w:color="auto" w:fill="auto"/>
            <w:vAlign w:val="bottom"/>
          </w:tcPr>
          <w:p>
            <w:pPr>
              <w:spacing w:after="0"/>
              <w:rPr>
                <w:color w:val="000000"/>
                <w:lang w:val="en-US"/>
              </w:rPr>
            </w:pPr>
            <w:r>
              <w:rPr>
                <w:color w:val="000000"/>
                <w:lang w:val="en-US"/>
              </w:rPr>
              <w:t xml:space="preserve"> Q4 </w:t>
            </w:r>
          </w:p>
        </w:tc>
        <w:tc>
          <w:tcPr>
            <w:tcW w:w="1760" w:type="dxa"/>
            <w:shd w:val="clear" w:color="auto" w:fill="auto"/>
          </w:tcPr>
          <w:p>
            <w:pPr>
              <w:adjustRightInd w:val="0"/>
              <w:spacing w:after="0"/>
              <w:jc w:val="right"/>
              <w:rPr>
                <w:b/>
                <w:color w:val="000000"/>
              </w:rPr>
            </w:pPr>
            <w:r>
              <w:rPr>
                <w:color w:val="000000"/>
              </w:rPr>
              <w:t>53.6 (50.5-56.5)</w:t>
            </w:r>
          </w:p>
        </w:tc>
        <w:tc>
          <w:tcPr>
            <w:tcW w:w="1760" w:type="dxa"/>
            <w:shd w:val="clear" w:color="auto" w:fill="auto"/>
          </w:tcPr>
          <w:p>
            <w:pPr>
              <w:adjustRightInd w:val="0"/>
              <w:spacing w:after="0"/>
              <w:jc w:val="right"/>
              <w:rPr>
                <w:b/>
                <w:color w:val="000000"/>
              </w:rPr>
            </w:pPr>
            <w:r>
              <w:rPr>
                <w:color w:val="000000"/>
              </w:rPr>
              <w:t>20.7 (18.3-23.2)</w:t>
            </w:r>
          </w:p>
        </w:tc>
        <w:tc>
          <w:tcPr>
            <w:tcW w:w="1760" w:type="dxa"/>
            <w:shd w:val="clear" w:color="auto" w:fill="auto"/>
          </w:tcPr>
          <w:p>
            <w:pPr>
              <w:adjustRightInd w:val="0"/>
              <w:spacing w:after="0"/>
              <w:jc w:val="right"/>
              <w:rPr>
                <w:b/>
                <w:color w:val="000000"/>
              </w:rPr>
            </w:pPr>
            <w:r>
              <w:rPr>
                <w:color w:val="000000"/>
              </w:rPr>
              <w:t>13.5 (11.4-15.8)</w:t>
            </w:r>
          </w:p>
        </w:tc>
      </w:tr>
      <w:tr>
        <w:tc>
          <w:tcPr>
            <w:tcW w:w="3900" w:type="dxa"/>
            <w:shd w:val="clear" w:color="auto" w:fill="auto"/>
            <w:vAlign w:val="bottom"/>
          </w:tcPr>
          <w:p>
            <w:pPr>
              <w:spacing w:after="0"/>
              <w:rPr>
                <w:color w:val="000000"/>
                <w:lang w:val="en-US"/>
              </w:rPr>
            </w:pPr>
            <w:r>
              <w:rPr>
                <w:color w:val="000000"/>
                <w:lang w:val="en-US"/>
              </w:rPr>
              <w:t xml:space="preserve"> Q5 (=most deprived) </w:t>
            </w:r>
          </w:p>
        </w:tc>
        <w:tc>
          <w:tcPr>
            <w:tcW w:w="1760" w:type="dxa"/>
            <w:shd w:val="clear" w:color="auto" w:fill="auto"/>
          </w:tcPr>
          <w:p>
            <w:pPr>
              <w:adjustRightInd w:val="0"/>
              <w:spacing w:after="0"/>
              <w:jc w:val="right"/>
              <w:rPr>
                <w:b/>
                <w:color w:val="000000"/>
              </w:rPr>
            </w:pPr>
            <w:r>
              <w:rPr>
                <w:b/>
                <w:color w:val="000000"/>
              </w:rPr>
              <w:t>47.9 (45.1-50.7)</w:t>
            </w:r>
          </w:p>
        </w:tc>
        <w:tc>
          <w:tcPr>
            <w:tcW w:w="1760" w:type="dxa"/>
            <w:shd w:val="clear" w:color="auto" w:fill="auto"/>
          </w:tcPr>
          <w:p>
            <w:pPr>
              <w:adjustRightInd w:val="0"/>
              <w:spacing w:after="0"/>
              <w:jc w:val="right"/>
              <w:rPr>
                <w:b/>
                <w:color w:val="000000"/>
              </w:rPr>
            </w:pPr>
            <w:r>
              <w:rPr>
                <w:b/>
                <w:color w:val="000000"/>
              </w:rPr>
              <w:t>17.7 (15.6-19.9)</w:t>
            </w:r>
          </w:p>
        </w:tc>
        <w:tc>
          <w:tcPr>
            <w:tcW w:w="1760" w:type="dxa"/>
            <w:shd w:val="clear" w:color="auto" w:fill="auto"/>
          </w:tcPr>
          <w:p>
            <w:pPr>
              <w:adjustRightInd w:val="0"/>
              <w:spacing w:after="0"/>
              <w:jc w:val="right"/>
              <w:rPr>
                <w:b/>
                <w:color w:val="000000"/>
              </w:rPr>
            </w:pPr>
            <w:r>
              <w:rPr>
                <w:b/>
                <w:color w:val="000000"/>
              </w:rPr>
              <w:t>10.9 (9.2-12.8)</w:t>
            </w:r>
          </w:p>
        </w:tc>
      </w:tr>
      <w:tr>
        <w:tc>
          <w:tcPr>
            <w:tcW w:w="3900" w:type="dxa"/>
            <w:shd w:val="clear" w:color="auto" w:fill="auto"/>
            <w:vAlign w:val="bottom"/>
          </w:tcPr>
          <w:p>
            <w:pPr>
              <w:spacing w:after="0"/>
              <w:rPr>
                <w:color w:val="000000"/>
                <w:lang w:val="en-US"/>
              </w:rPr>
            </w:pPr>
            <w:r>
              <w:rPr>
                <w:color w:val="000000"/>
                <w:lang w:val="en-US"/>
              </w:rPr>
              <w:t>Stage IV</w:t>
            </w:r>
          </w:p>
        </w:tc>
        <w:tc>
          <w:tcPr>
            <w:tcW w:w="1760" w:type="dxa"/>
            <w:shd w:val="clear" w:color="auto" w:fill="auto"/>
          </w:tcPr>
          <w:p>
            <w:pPr>
              <w:adjustRightInd w:val="0"/>
              <w:spacing w:after="0"/>
              <w:jc w:val="right"/>
              <w:rPr>
                <w:b/>
                <w:color w:val="000000"/>
              </w:rPr>
            </w:pPr>
          </w:p>
        </w:tc>
        <w:tc>
          <w:tcPr>
            <w:tcW w:w="1760" w:type="dxa"/>
            <w:shd w:val="clear" w:color="auto" w:fill="auto"/>
          </w:tcPr>
          <w:p>
            <w:pPr>
              <w:adjustRightInd w:val="0"/>
              <w:spacing w:after="0"/>
              <w:jc w:val="right"/>
              <w:rPr>
                <w:b/>
                <w:color w:val="000000"/>
              </w:rPr>
            </w:pPr>
          </w:p>
        </w:tc>
        <w:tc>
          <w:tcPr>
            <w:tcW w:w="1760" w:type="dxa"/>
            <w:shd w:val="clear" w:color="auto" w:fill="auto"/>
          </w:tcPr>
          <w:p>
            <w:pPr>
              <w:adjustRightInd w:val="0"/>
              <w:spacing w:after="0"/>
              <w:jc w:val="right"/>
              <w:rPr>
                <w:b/>
                <w:color w:val="000000"/>
              </w:rPr>
            </w:pPr>
          </w:p>
        </w:tc>
      </w:tr>
      <w:tr>
        <w:tc>
          <w:tcPr>
            <w:tcW w:w="3900" w:type="dxa"/>
            <w:shd w:val="clear" w:color="auto" w:fill="auto"/>
            <w:vAlign w:val="bottom"/>
          </w:tcPr>
          <w:p>
            <w:pPr>
              <w:spacing w:after="0"/>
              <w:rPr>
                <w:color w:val="000000"/>
                <w:lang w:val="en-US"/>
              </w:rPr>
            </w:pPr>
            <w:r>
              <w:rPr>
                <w:color w:val="000000"/>
                <w:lang w:val="en-US"/>
              </w:rPr>
              <w:t xml:space="preserve"> Q1 (=</w:t>
            </w:r>
            <w:r>
              <w:rPr>
                <w:color w:val="000000"/>
                <w:lang w:val="en-US"/>
              </w:rPr>
              <w:t>least deprived</w:t>
            </w:r>
            <w:r>
              <w:rPr>
                <w:color w:val="000000"/>
                <w:lang w:val="en-US"/>
              </w:rPr>
              <w:t xml:space="preserve">) </w:t>
            </w:r>
          </w:p>
        </w:tc>
        <w:tc>
          <w:tcPr>
            <w:tcW w:w="1760" w:type="dxa"/>
            <w:shd w:val="clear" w:color="auto" w:fill="auto"/>
          </w:tcPr>
          <w:p>
            <w:pPr>
              <w:adjustRightInd w:val="0"/>
              <w:spacing w:after="0"/>
              <w:jc w:val="right"/>
              <w:rPr>
                <w:b/>
                <w:color w:val="000000"/>
              </w:rPr>
            </w:pPr>
            <w:r>
              <w:rPr>
                <w:color w:val="000000"/>
              </w:rPr>
              <w:t>30.6 (28.4-32.8)</w:t>
            </w:r>
          </w:p>
        </w:tc>
        <w:tc>
          <w:tcPr>
            <w:tcW w:w="1760" w:type="dxa"/>
            <w:shd w:val="clear" w:color="auto" w:fill="auto"/>
          </w:tcPr>
          <w:p>
            <w:pPr>
              <w:adjustRightInd w:val="0"/>
              <w:spacing w:after="0"/>
              <w:jc w:val="right"/>
              <w:rPr>
                <w:b/>
                <w:color w:val="000000"/>
              </w:rPr>
            </w:pPr>
            <w:r>
              <w:rPr>
                <w:b/>
                <w:color w:val="000000"/>
              </w:rPr>
              <w:t>6.2 (5.0-7.5)</w:t>
            </w:r>
          </w:p>
        </w:tc>
        <w:tc>
          <w:tcPr>
            <w:tcW w:w="1760" w:type="dxa"/>
            <w:shd w:val="clear" w:color="auto" w:fill="auto"/>
          </w:tcPr>
          <w:p>
            <w:pPr>
              <w:adjustRightInd w:val="0"/>
              <w:spacing w:after="0"/>
              <w:jc w:val="right"/>
              <w:rPr>
                <w:b/>
                <w:color w:val="000000"/>
              </w:rPr>
            </w:pPr>
            <w:r>
              <w:rPr>
                <w:color w:val="000000"/>
              </w:rPr>
              <w:t>3.7 (2.8-4.9)</w:t>
            </w:r>
          </w:p>
        </w:tc>
      </w:tr>
      <w:tr>
        <w:tc>
          <w:tcPr>
            <w:tcW w:w="3900" w:type="dxa"/>
            <w:shd w:val="clear" w:color="auto" w:fill="auto"/>
            <w:vAlign w:val="bottom"/>
          </w:tcPr>
          <w:p>
            <w:pPr>
              <w:spacing w:after="0"/>
              <w:rPr>
                <w:color w:val="000000"/>
                <w:lang w:val="en-US"/>
              </w:rPr>
            </w:pPr>
            <w:r>
              <w:rPr>
                <w:color w:val="000000"/>
                <w:lang w:val="en-US"/>
              </w:rPr>
              <w:t xml:space="preserve"> Q2 </w:t>
            </w:r>
          </w:p>
        </w:tc>
        <w:tc>
          <w:tcPr>
            <w:tcW w:w="1760" w:type="dxa"/>
            <w:shd w:val="clear" w:color="auto" w:fill="auto"/>
          </w:tcPr>
          <w:p>
            <w:pPr>
              <w:adjustRightInd w:val="0"/>
              <w:spacing w:after="0"/>
              <w:jc w:val="right"/>
              <w:rPr>
                <w:b/>
                <w:color w:val="000000"/>
              </w:rPr>
            </w:pPr>
            <w:r>
              <w:rPr>
                <w:color w:val="000000"/>
              </w:rPr>
              <w:t>29.4 (27.5-31.4)</w:t>
            </w:r>
          </w:p>
        </w:tc>
        <w:tc>
          <w:tcPr>
            <w:tcW w:w="1760" w:type="dxa"/>
            <w:shd w:val="clear" w:color="auto" w:fill="auto"/>
          </w:tcPr>
          <w:p>
            <w:pPr>
              <w:adjustRightInd w:val="0"/>
              <w:spacing w:after="0"/>
              <w:jc w:val="right"/>
              <w:rPr>
                <w:b/>
                <w:color w:val="000000"/>
              </w:rPr>
            </w:pPr>
            <w:r>
              <w:rPr>
                <w:color w:val="000000"/>
              </w:rPr>
              <w:t>7.1 (6.0-8.4)</w:t>
            </w:r>
          </w:p>
        </w:tc>
        <w:tc>
          <w:tcPr>
            <w:tcW w:w="1760" w:type="dxa"/>
            <w:shd w:val="clear" w:color="auto" w:fill="auto"/>
          </w:tcPr>
          <w:p>
            <w:pPr>
              <w:adjustRightInd w:val="0"/>
              <w:spacing w:after="0"/>
              <w:jc w:val="right"/>
              <w:rPr>
                <w:b/>
                <w:color w:val="000000"/>
              </w:rPr>
            </w:pPr>
            <w:r>
              <w:rPr>
                <w:color w:val="000000"/>
              </w:rPr>
              <w:t>3.9 (3.0-5.0)</w:t>
            </w:r>
          </w:p>
        </w:tc>
      </w:tr>
      <w:tr>
        <w:tc>
          <w:tcPr>
            <w:tcW w:w="3900" w:type="dxa"/>
            <w:shd w:val="clear" w:color="auto" w:fill="auto"/>
            <w:vAlign w:val="bottom"/>
          </w:tcPr>
          <w:p>
            <w:pPr>
              <w:spacing w:after="0"/>
              <w:rPr>
                <w:color w:val="000000"/>
                <w:lang w:val="en-US"/>
              </w:rPr>
            </w:pPr>
            <w:r>
              <w:rPr>
                <w:color w:val="000000"/>
                <w:lang w:val="en-US"/>
              </w:rPr>
              <w:t xml:space="preserve"> Q3 </w:t>
            </w:r>
          </w:p>
        </w:tc>
        <w:tc>
          <w:tcPr>
            <w:tcW w:w="1760" w:type="dxa"/>
            <w:shd w:val="clear" w:color="auto" w:fill="auto"/>
          </w:tcPr>
          <w:p>
            <w:pPr>
              <w:adjustRightInd w:val="0"/>
              <w:spacing w:after="0"/>
              <w:jc w:val="right"/>
              <w:rPr>
                <w:b/>
                <w:color w:val="000000"/>
              </w:rPr>
            </w:pPr>
            <w:r>
              <w:rPr>
                <w:b/>
                <w:color w:val="000000"/>
              </w:rPr>
              <w:t>28.9 (26.9-30.9)</w:t>
            </w:r>
          </w:p>
        </w:tc>
        <w:tc>
          <w:tcPr>
            <w:tcW w:w="1760" w:type="dxa"/>
            <w:shd w:val="clear" w:color="auto" w:fill="auto"/>
          </w:tcPr>
          <w:p>
            <w:pPr>
              <w:adjustRightInd w:val="0"/>
              <w:spacing w:after="0"/>
              <w:jc w:val="right"/>
              <w:rPr>
                <w:b/>
                <w:color w:val="000000"/>
              </w:rPr>
            </w:pPr>
            <w:r>
              <w:rPr>
                <w:color w:val="000000"/>
              </w:rPr>
              <w:t>8.1 (6.9-9.4)</w:t>
            </w:r>
          </w:p>
        </w:tc>
        <w:tc>
          <w:tcPr>
            <w:tcW w:w="1760" w:type="dxa"/>
            <w:shd w:val="clear" w:color="auto" w:fill="auto"/>
          </w:tcPr>
          <w:p>
            <w:pPr>
              <w:adjustRightInd w:val="0"/>
              <w:spacing w:after="0"/>
              <w:jc w:val="right"/>
              <w:rPr>
                <w:b/>
                <w:color w:val="000000"/>
              </w:rPr>
            </w:pPr>
            <w:r>
              <w:rPr>
                <w:color w:val="000000"/>
              </w:rPr>
              <w:t>4.3 (3.4-5.4)</w:t>
            </w:r>
          </w:p>
        </w:tc>
      </w:tr>
      <w:tr>
        <w:tc>
          <w:tcPr>
            <w:tcW w:w="3900" w:type="dxa"/>
            <w:shd w:val="clear" w:color="auto" w:fill="auto"/>
            <w:vAlign w:val="bottom"/>
          </w:tcPr>
          <w:p>
            <w:pPr>
              <w:spacing w:after="0"/>
              <w:rPr>
                <w:color w:val="000000"/>
                <w:lang w:val="en-US"/>
              </w:rPr>
            </w:pPr>
            <w:r>
              <w:rPr>
                <w:color w:val="000000"/>
                <w:lang w:val="en-US"/>
              </w:rPr>
              <w:t xml:space="preserve"> Q4 </w:t>
            </w:r>
          </w:p>
        </w:tc>
        <w:tc>
          <w:tcPr>
            <w:tcW w:w="1760" w:type="dxa"/>
            <w:shd w:val="clear" w:color="auto" w:fill="auto"/>
          </w:tcPr>
          <w:p>
            <w:pPr>
              <w:adjustRightInd w:val="0"/>
              <w:spacing w:after="0"/>
              <w:jc w:val="right"/>
              <w:rPr>
                <w:b/>
                <w:color w:val="000000"/>
              </w:rPr>
            </w:pPr>
            <w:r>
              <w:rPr>
                <w:color w:val="000000"/>
              </w:rPr>
              <w:t>29.3 (27.3-31.3)</w:t>
            </w:r>
          </w:p>
        </w:tc>
        <w:tc>
          <w:tcPr>
            <w:tcW w:w="1760" w:type="dxa"/>
            <w:shd w:val="clear" w:color="auto" w:fill="auto"/>
          </w:tcPr>
          <w:p>
            <w:pPr>
              <w:adjustRightInd w:val="0"/>
              <w:spacing w:after="0"/>
              <w:jc w:val="right"/>
              <w:rPr>
                <w:b/>
                <w:color w:val="000000"/>
              </w:rPr>
            </w:pPr>
            <w:r>
              <w:rPr>
                <w:color w:val="000000"/>
              </w:rPr>
              <w:t>7.8 (6.6-9.2)</w:t>
            </w:r>
          </w:p>
        </w:tc>
        <w:tc>
          <w:tcPr>
            <w:tcW w:w="1760" w:type="dxa"/>
            <w:shd w:val="clear" w:color="auto" w:fill="auto"/>
          </w:tcPr>
          <w:p>
            <w:pPr>
              <w:adjustRightInd w:val="0"/>
              <w:spacing w:after="0"/>
              <w:jc w:val="right"/>
              <w:rPr>
                <w:b/>
                <w:color w:val="000000"/>
              </w:rPr>
            </w:pPr>
            <w:r>
              <w:rPr>
                <w:color w:val="000000"/>
              </w:rPr>
              <w:t>4.0 (3.0-5.2)</w:t>
            </w:r>
          </w:p>
        </w:tc>
      </w:tr>
      <w:tr>
        <w:tc>
          <w:tcPr>
            <w:tcW w:w="3900" w:type="dxa"/>
            <w:tcBorders>
              <w:bottom w:val="single" w:sz="4" w:space="0" w:color="auto"/>
            </w:tcBorders>
            <w:shd w:val="clear" w:color="auto" w:fill="auto"/>
            <w:vAlign w:val="bottom"/>
          </w:tcPr>
          <w:p>
            <w:pPr>
              <w:spacing w:after="0"/>
              <w:rPr>
                <w:color w:val="000000"/>
                <w:lang w:val="en-US"/>
              </w:rPr>
            </w:pPr>
            <w:r>
              <w:rPr>
                <w:color w:val="000000"/>
                <w:lang w:val="en-US"/>
              </w:rPr>
              <w:t xml:space="preserve"> Q5 (=most deprived) </w:t>
            </w:r>
          </w:p>
        </w:tc>
        <w:tc>
          <w:tcPr>
            <w:tcW w:w="1760" w:type="dxa"/>
            <w:tcBorders>
              <w:bottom w:val="single" w:sz="4" w:space="0" w:color="auto"/>
            </w:tcBorders>
            <w:shd w:val="clear" w:color="auto" w:fill="auto"/>
          </w:tcPr>
          <w:p>
            <w:pPr>
              <w:adjustRightInd w:val="0"/>
              <w:spacing w:after="0"/>
              <w:jc w:val="right"/>
              <w:rPr>
                <w:b/>
                <w:color w:val="000000"/>
              </w:rPr>
            </w:pPr>
            <w:r>
              <w:rPr>
                <w:color w:val="000000"/>
              </w:rPr>
              <w:t>30.3 (28.4-32.3)</w:t>
            </w:r>
          </w:p>
        </w:tc>
        <w:tc>
          <w:tcPr>
            <w:tcW w:w="1760" w:type="dxa"/>
            <w:tcBorders>
              <w:bottom w:val="single" w:sz="4" w:space="0" w:color="auto"/>
            </w:tcBorders>
            <w:shd w:val="clear" w:color="auto" w:fill="auto"/>
          </w:tcPr>
          <w:p>
            <w:pPr>
              <w:adjustRightInd w:val="0"/>
              <w:spacing w:after="0"/>
              <w:jc w:val="right"/>
              <w:rPr>
                <w:b/>
                <w:color w:val="000000"/>
              </w:rPr>
            </w:pPr>
            <w:r>
              <w:rPr>
                <w:color w:val="000000"/>
              </w:rPr>
              <w:t>7.0 (5.9-8.2)</w:t>
            </w:r>
          </w:p>
        </w:tc>
        <w:tc>
          <w:tcPr>
            <w:tcW w:w="1760" w:type="dxa"/>
            <w:tcBorders>
              <w:bottom w:val="single" w:sz="4" w:space="0" w:color="auto"/>
            </w:tcBorders>
            <w:shd w:val="clear" w:color="auto" w:fill="auto"/>
          </w:tcPr>
          <w:p>
            <w:pPr>
              <w:adjustRightInd w:val="0"/>
              <w:spacing w:after="0"/>
              <w:jc w:val="right"/>
              <w:rPr>
                <w:b/>
                <w:color w:val="000000"/>
              </w:rPr>
            </w:pPr>
            <w:r>
              <w:rPr>
                <w:b/>
                <w:color w:val="000000"/>
              </w:rPr>
              <w:t>3.6 (2.8-4.6)</w:t>
            </w:r>
          </w:p>
        </w:tc>
      </w:tr>
    </w:tbl>
    <w:p>
      <w:pPr>
        <w:spacing w:line="360" w:lineRule="auto"/>
        <w:jc w:val="both"/>
        <w:rPr>
          <w:rFonts w:cstheme="minorHAnsi"/>
          <w:lang w:val="en-US"/>
        </w:rPr>
      </w:pPr>
      <w:r>
        <w:rPr>
          <w:rFonts w:cstheme="minorHAnsi"/>
          <w:lang w:val="en-US"/>
        </w:rPr>
        <w:t>Lowest overall survival among the quintiles is printed in bold.</w:t>
      </w:r>
    </w:p>
    <w:p>
      <w:pPr>
        <w:spacing w:line="360" w:lineRule="auto"/>
        <w:jc w:val="both"/>
        <w:rPr>
          <w:lang w:val="en-US"/>
        </w:rPr>
        <w:sectPr>
          <w:pgSz w:w="11906" w:h="16838"/>
          <w:pgMar w:top="1417" w:right="1417" w:bottom="1134" w:left="1417" w:header="708" w:footer="708" w:gutter="0"/>
          <w:cols w:space="708"/>
          <w:docGrid w:linePitch="360"/>
        </w:sectPr>
      </w:pPr>
    </w:p>
    <w:p>
      <w:pPr>
        <w:pStyle w:val="Beschriftung"/>
        <w:keepNext/>
        <w:spacing w:after="0"/>
        <w:rPr>
          <w:i w:val="0"/>
          <w:color w:val="auto"/>
          <w:sz w:val="22"/>
          <w:lang w:val="en-US"/>
        </w:rPr>
      </w:pPr>
      <w:r>
        <w:rPr>
          <w:b/>
          <w:i w:val="0"/>
          <w:color w:val="auto"/>
          <w:sz w:val="22"/>
          <w:lang w:val="en-US"/>
        </w:rPr>
        <w:t>Table 3</w:t>
      </w:r>
      <w:r>
        <w:rPr>
          <w:i w:val="0"/>
          <w:color w:val="auto"/>
          <w:sz w:val="22"/>
          <w:lang w:val="en-US"/>
        </w:rPr>
        <w:t xml:space="preserve"> Association between</w:t>
      </w:r>
      <w:r>
        <w:rPr>
          <w:i w:val="0"/>
          <w:color w:val="auto"/>
          <w:sz w:val="22"/>
          <w:lang w:val="en-US"/>
        </w:rPr>
        <w:t xml:space="preserve"> </w:t>
      </w:r>
      <w:r>
        <w:rPr>
          <w:i w:val="0"/>
          <w:color w:val="auto"/>
          <w:sz w:val="22"/>
          <w:lang w:val="en-US"/>
        </w:rPr>
        <w:t>area-based</w:t>
      </w:r>
      <w:r>
        <w:rPr>
          <w:i w:val="0"/>
          <w:color w:val="auto"/>
          <w:sz w:val="22"/>
          <w:lang w:val="en-US"/>
        </w:rPr>
        <w:t xml:space="preserve"> socioecono</w:t>
      </w:r>
      <w:r>
        <w:rPr>
          <w:i w:val="0"/>
          <w:color w:val="auto"/>
          <w:sz w:val="22"/>
          <w:lang w:val="en-US"/>
        </w:rPr>
        <w:t xml:space="preserve">mic deprivation and lung cancer </w:t>
      </w:r>
      <w:r>
        <w:rPr>
          <w:i w:val="0"/>
          <w:color w:val="auto"/>
          <w:sz w:val="22"/>
          <w:lang w:val="en-US"/>
        </w:rPr>
        <w:t xml:space="preserve">survival </w:t>
      </w:r>
      <w:r>
        <w:rPr>
          <w:i w:val="0"/>
          <w:color w:val="auto"/>
          <w:sz w:val="22"/>
          <w:lang w:val="en-US"/>
        </w:rPr>
        <w:t xml:space="preserve">overall </w:t>
      </w:r>
      <w:r>
        <w:rPr>
          <w:i w:val="0"/>
          <w:color w:val="auto"/>
          <w:sz w:val="22"/>
          <w:lang w:val="en-US"/>
        </w:rPr>
        <w:t>in a Ger</w:t>
      </w:r>
      <w:r>
        <w:rPr>
          <w:i w:val="0"/>
          <w:color w:val="auto"/>
          <w:sz w:val="22"/>
          <w:lang w:val="en-US"/>
        </w:rPr>
        <w:t>man population and</w:t>
      </w:r>
      <w:r>
        <w:rPr>
          <w:i w:val="0"/>
          <w:color w:val="auto"/>
          <w:sz w:val="22"/>
          <w:lang w:val="en-US"/>
        </w:rPr>
        <w:t xml:space="preserve"> stratified by </w:t>
      </w:r>
      <w:r>
        <w:rPr>
          <w:i w:val="0"/>
          <w:color w:val="auto"/>
          <w:sz w:val="22"/>
          <w:lang w:val="en-US"/>
        </w:rPr>
        <w:t>stage at diagnosis with different levels of adjustment.</w:t>
      </w:r>
    </w:p>
    <w:tbl>
      <w:tblPr>
        <w:tblpPr w:leftFromText="141" w:rightFromText="141" w:vertAnchor="text" w:tblpY="1"/>
        <w:tblOverlap w:val="never"/>
        <w:tblW w:w="4374" w:type="pct"/>
        <w:tblLayout w:type="fixed"/>
        <w:tblCellMar>
          <w:left w:w="70" w:type="dxa"/>
          <w:right w:w="70" w:type="dxa"/>
        </w:tblCellMar>
        <w:tblLook w:val="04A0" w:firstRow="1" w:lastRow="0" w:firstColumn="1" w:lastColumn="0" w:noHBand="0" w:noVBand="1"/>
      </w:tblPr>
      <w:tblGrid>
        <w:gridCol w:w="1983"/>
        <w:gridCol w:w="162"/>
        <w:gridCol w:w="1257"/>
        <w:gridCol w:w="162"/>
        <w:gridCol w:w="1545"/>
        <w:gridCol w:w="1535"/>
        <w:gridCol w:w="1532"/>
        <w:gridCol w:w="162"/>
        <w:gridCol w:w="1530"/>
        <w:gridCol w:w="2630"/>
      </w:tblGrid>
      <w:tr>
        <w:trPr>
          <w:trHeight w:val="255"/>
          <w:tblHeader/>
        </w:trPr>
        <w:tc>
          <w:tcPr>
            <w:tcW w:w="793" w:type="pct"/>
            <w:tcBorders>
              <w:top w:val="single" w:sz="4" w:space="0" w:color="auto"/>
              <w:left w:val="nil"/>
              <w:bottom w:val="single" w:sz="4" w:space="0" w:color="auto"/>
              <w:right w:val="nil"/>
            </w:tcBorders>
            <w:shd w:val="clear" w:color="auto" w:fill="auto"/>
            <w:noWrap/>
            <w:vAlign w:val="bottom"/>
            <w:hideMark/>
          </w:tcPr>
          <w:p>
            <w:pPr>
              <w:spacing w:after="0"/>
              <w:rPr>
                <w:b/>
                <w:bCs/>
                <w:color w:val="000000"/>
                <w:sz w:val="20"/>
                <w:lang w:val="en-US"/>
              </w:rPr>
            </w:pPr>
            <w:r>
              <w:rPr>
                <w:b/>
                <w:bCs/>
                <w:color w:val="000000"/>
                <w:sz w:val="20"/>
                <w:lang w:val="en-US"/>
              </w:rPr>
              <w:t>Subgroup</w:t>
            </w:r>
          </w:p>
          <w:p>
            <w:pPr>
              <w:spacing w:after="0"/>
              <w:rPr>
                <w:b/>
                <w:bCs/>
                <w:color w:val="000000"/>
                <w:sz w:val="20"/>
                <w:lang w:val="en-US"/>
              </w:rPr>
            </w:pPr>
            <w:r>
              <w:rPr>
                <w:b/>
                <w:bCs/>
                <w:color w:val="000000"/>
                <w:sz w:val="20"/>
                <w:lang w:val="en-US"/>
              </w:rPr>
              <w:t>(deprivation quintile)</w:t>
            </w:r>
          </w:p>
        </w:tc>
        <w:tc>
          <w:tcPr>
            <w:tcW w:w="65" w:type="pct"/>
            <w:tcBorders>
              <w:top w:val="single" w:sz="4" w:space="0" w:color="auto"/>
              <w:left w:val="nil"/>
              <w:right w:val="nil"/>
            </w:tcBorders>
          </w:tcPr>
          <w:p>
            <w:pPr>
              <w:spacing w:after="0"/>
              <w:jc w:val="center"/>
              <w:rPr>
                <w:b/>
                <w:bCs/>
                <w:color w:val="000000"/>
                <w:sz w:val="20"/>
                <w:lang w:val="en-US"/>
              </w:rPr>
            </w:pPr>
          </w:p>
        </w:tc>
        <w:tc>
          <w:tcPr>
            <w:tcW w:w="503" w:type="pct"/>
            <w:tcBorders>
              <w:top w:val="single" w:sz="4" w:space="0" w:color="auto"/>
              <w:left w:val="nil"/>
              <w:bottom w:val="single" w:sz="4" w:space="0" w:color="auto"/>
              <w:right w:val="nil"/>
            </w:tcBorders>
          </w:tcPr>
          <w:p>
            <w:pPr>
              <w:spacing w:after="0"/>
              <w:jc w:val="center"/>
              <w:rPr>
                <w:b/>
                <w:bCs/>
                <w:color w:val="000000"/>
                <w:sz w:val="20"/>
                <w:lang w:val="en-US"/>
              </w:rPr>
            </w:pPr>
            <w:r>
              <w:rPr>
                <w:b/>
                <w:bCs/>
                <w:color w:val="000000"/>
                <w:sz w:val="20"/>
                <w:lang w:val="en-US"/>
              </w:rPr>
              <w:t>Events</w:t>
            </w:r>
          </w:p>
          <w:p>
            <w:pPr>
              <w:spacing w:after="0"/>
              <w:jc w:val="center"/>
              <w:rPr>
                <w:b/>
                <w:bCs/>
                <w:color w:val="000000"/>
                <w:sz w:val="20"/>
                <w:lang w:val="en-US"/>
              </w:rPr>
            </w:pPr>
            <w:r>
              <w:rPr>
                <w:b/>
                <w:bCs/>
                <w:color w:val="000000"/>
                <w:sz w:val="20"/>
                <w:lang w:val="en-US"/>
              </w:rPr>
              <w:t>N (%)</w:t>
            </w:r>
          </w:p>
        </w:tc>
        <w:tc>
          <w:tcPr>
            <w:tcW w:w="65" w:type="pct"/>
            <w:tcBorders>
              <w:top w:val="single" w:sz="4" w:space="0" w:color="auto"/>
              <w:left w:val="nil"/>
              <w:right w:val="nil"/>
            </w:tcBorders>
          </w:tcPr>
          <w:p>
            <w:pPr>
              <w:spacing w:after="0"/>
              <w:jc w:val="center"/>
              <w:rPr>
                <w:b/>
                <w:bCs/>
                <w:color w:val="000000"/>
                <w:sz w:val="20"/>
                <w:lang w:val="en-US"/>
              </w:rPr>
            </w:pPr>
          </w:p>
        </w:tc>
        <w:tc>
          <w:tcPr>
            <w:tcW w:w="1845" w:type="pct"/>
            <w:gridSpan w:val="3"/>
            <w:tcBorders>
              <w:top w:val="single" w:sz="4" w:space="0" w:color="auto"/>
              <w:left w:val="nil"/>
              <w:bottom w:val="single" w:sz="4" w:space="0" w:color="auto"/>
              <w:right w:val="nil"/>
            </w:tcBorders>
            <w:shd w:val="clear" w:color="auto" w:fill="auto"/>
            <w:noWrap/>
            <w:vAlign w:val="bottom"/>
            <w:hideMark/>
          </w:tcPr>
          <w:p>
            <w:pPr>
              <w:spacing w:after="0"/>
              <w:jc w:val="center"/>
              <w:rPr>
                <w:b/>
                <w:bCs/>
                <w:color w:val="000000"/>
                <w:sz w:val="20"/>
                <w:lang w:val="en-US"/>
              </w:rPr>
            </w:pPr>
            <w:r>
              <w:rPr>
                <w:b/>
                <w:bCs/>
                <w:color w:val="000000"/>
                <w:sz w:val="20"/>
                <w:lang w:val="en-US"/>
              </w:rPr>
              <w:t>Model</w:t>
            </w:r>
          </w:p>
          <w:p>
            <w:pPr>
              <w:spacing w:after="0"/>
              <w:jc w:val="center"/>
              <w:rPr>
                <w:b/>
                <w:bCs/>
                <w:color w:val="000000"/>
                <w:sz w:val="20"/>
                <w:lang w:val="en-US"/>
              </w:rPr>
            </w:pPr>
            <w:r>
              <w:rPr>
                <w:b/>
                <w:bCs/>
                <w:color w:val="000000"/>
                <w:sz w:val="20"/>
                <w:lang w:val="en-US"/>
              </w:rPr>
              <w:t>Hazard ratio (95% confidence interval)</w:t>
            </w:r>
            <w:r>
              <w:rPr>
                <w:b/>
                <w:bCs/>
                <w:color w:val="000000"/>
                <w:sz w:val="20"/>
                <w:lang w:val="en-US"/>
              </w:rPr>
              <w:t>*</w:t>
            </w:r>
          </w:p>
        </w:tc>
        <w:tc>
          <w:tcPr>
            <w:tcW w:w="65" w:type="pct"/>
            <w:tcBorders>
              <w:top w:val="single" w:sz="4" w:space="0" w:color="auto"/>
              <w:left w:val="nil"/>
              <w:right w:val="nil"/>
            </w:tcBorders>
          </w:tcPr>
          <w:p>
            <w:pPr>
              <w:spacing w:after="0"/>
              <w:jc w:val="center"/>
              <w:rPr>
                <w:b/>
                <w:bCs/>
                <w:color w:val="000000"/>
                <w:sz w:val="20"/>
                <w:lang w:val="en-US"/>
              </w:rPr>
            </w:pPr>
          </w:p>
        </w:tc>
        <w:tc>
          <w:tcPr>
            <w:tcW w:w="612" w:type="pct"/>
            <w:tcBorders>
              <w:top w:val="single" w:sz="4" w:space="0" w:color="auto"/>
              <w:left w:val="nil"/>
              <w:bottom w:val="single" w:sz="4" w:space="0" w:color="auto"/>
              <w:right w:val="nil"/>
            </w:tcBorders>
            <w:shd w:val="clear" w:color="auto" w:fill="auto"/>
            <w:vAlign w:val="bottom"/>
          </w:tcPr>
          <w:p>
            <w:pPr>
              <w:spacing w:after="0"/>
              <w:jc w:val="center"/>
              <w:rPr>
                <w:b/>
                <w:bCs/>
                <w:color w:val="000000"/>
                <w:sz w:val="20"/>
                <w:lang w:val="en-US"/>
              </w:rPr>
            </w:pPr>
            <w:r>
              <w:rPr>
                <w:b/>
                <w:bCs/>
                <w:color w:val="000000"/>
                <w:sz w:val="20"/>
                <w:lang w:val="en-US"/>
              </w:rPr>
              <w:t>Adjusted 5-year survival rate %</w:t>
            </w:r>
            <w:r>
              <w:rPr>
                <w:b/>
                <w:bCs/>
                <w:color w:val="000000"/>
                <w:sz w:val="20"/>
                <w:vertAlign w:val="superscript"/>
                <w:lang w:val="en-US"/>
              </w:rPr>
              <w:t>c</w:t>
            </w:r>
          </w:p>
        </w:tc>
        <w:tc>
          <w:tcPr>
            <w:tcW w:w="1052" w:type="pct"/>
            <w:vMerge w:val="restart"/>
            <w:tcBorders>
              <w:top w:val="single" w:sz="4" w:space="0" w:color="auto"/>
              <w:left w:val="nil"/>
              <w:right w:val="nil"/>
            </w:tcBorders>
          </w:tcPr>
          <w:p>
            <w:pPr>
              <w:spacing w:after="0"/>
              <w:jc w:val="center"/>
              <w:rPr>
                <w:b/>
                <w:bCs/>
                <w:color w:val="000000"/>
                <w:sz w:val="20"/>
                <w:vertAlign w:val="superscript"/>
                <w:lang w:val="en-US"/>
              </w:rPr>
            </w:pPr>
            <w:r>
              <w:rPr>
                <w:b/>
                <w:bCs/>
                <w:color w:val="000000"/>
                <w:sz w:val="20"/>
                <w:lang w:val="en-US"/>
              </w:rPr>
              <w:t>Model 3 plus cancer registry</w:t>
            </w:r>
            <w:r>
              <w:rPr>
                <w:b/>
                <w:bCs/>
                <w:color w:val="000000"/>
                <w:sz w:val="20"/>
                <w:vertAlign w:val="superscript"/>
                <w:lang w:val="en-US"/>
              </w:rPr>
              <w:t>d</w:t>
            </w:r>
          </w:p>
          <w:p>
            <w:pPr>
              <w:spacing w:after="0"/>
              <w:jc w:val="center"/>
              <w:rPr>
                <w:b/>
                <w:bCs/>
                <w:color w:val="000000"/>
                <w:sz w:val="20"/>
                <w:lang w:val="en-US"/>
              </w:rPr>
            </w:pPr>
            <w:r>
              <w:rPr>
                <w:b/>
                <w:bCs/>
                <w:color w:val="000000"/>
                <w:sz w:val="20"/>
                <w:lang w:val="en-US"/>
              </w:rPr>
              <w:t>Hazard ratio</w:t>
            </w:r>
          </w:p>
          <w:p>
            <w:pPr>
              <w:spacing w:after="0"/>
              <w:jc w:val="center"/>
              <w:rPr>
                <w:b/>
                <w:bCs/>
                <w:color w:val="000000"/>
                <w:sz w:val="20"/>
                <w:lang w:val="en-US"/>
              </w:rPr>
            </w:pPr>
            <w:r>
              <w:rPr>
                <w:b/>
                <w:bCs/>
                <w:color w:val="000000"/>
                <w:sz w:val="20"/>
                <w:lang w:val="en-US"/>
              </w:rPr>
              <w:t>(95% confidence interval)</w:t>
            </w:r>
            <w:r>
              <w:rPr>
                <w:b/>
                <w:bCs/>
                <w:color w:val="000000"/>
                <w:sz w:val="20"/>
                <w:lang w:val="en-US"/>
              </w:rPr>
              <w:t>*</w:t>
            </w:r>
          </w:p>
        </w:tc>
      </w:tr>
      <w:tr>
        <w:trPr>
          <w:trHeight w:val="315"/>
          <w:tblHeader/>
        </w:trPr>
        <w:tc>
          <w:tcPr>
            <w:tcW w:w="793" w:type="pct"/>
            <w:tcBorders>
              <w:top w:val="single" w:sz="4" w:space="0" w:color="auto"/>
              <w:left w:val="nil"/>
              <w:bottom w:val="single" w:sz="4" w:space="0" w:color="auto"/>
              <w:right w:val="nil"/>
            </w:tcBorders>
            <w:shd w:val="clear" w:color="auto" w:fill="auto"/>
            <w:noWrap/>
            <w:vAlign w:val="bottom"/>
            <w:hideMark/>
          </w:tcPr>
          <w:p>
            <w:pPr>
              <w:spacing w:after="0"/>
              <w:rPr>
                <w:b/>
                <w:bCs/>
                <w:color w:val="000000"/>
                <w:sz w:val="20"/>
                <w:lang w:val="en-US"/>
              </w:rPr>
            </w:pPr>
          </w:p>
        </w:tc>
        <w:tc>
          <w:tcPr>
            <w:tcW w:w="65" w:type="pct"/>
            <w:tcBorders>
              <w:left w:val="nil"/>
              <w:bottom w:val="single" w:sz="4" w:space="0" w:color="auto"/>
              <w:right w:val="nil"/>
            </w:tcBorders>
          </w:tcPr>
          <w:p>
            <w:pPr>
              <w:spacing w:after="0"/>
              <w:jc w:val="center"/>
              <w:rPr>
                <w:b/>
                <w:bCs/>
                <w:color w:val="000000"/>
                <w:sz w:val="20"/>
                <w:lang w:val="en-US"/>
              </w:rPr>
            </w:pPr>
          </w:p>
        </w:tc>
        <w:tc>
          <w:tcPr>
            <w:tcW w:w="503" w:type="pct"/>
            <w:tcBorders>
              <w:top w:val="nil"/>
              <w:left w:val="nil"/>
              <w:bottom w:val="single" w:sz="4" w:space="0" w:color="auto"/>
              <w:right w:val="nil"/>
            </w:tcBorders>
          </w:tcPr>
          <w:p>
            <w:pPr>
              <w:spacing w:after="0"/>
              <w:jc w:val="center"/>
              <w:rPr>
                <w:b/>
                <w:bCs/>
                <w:color w:val="000000"/>
                <w:sz w:val="20"/>
                <w:lang w:val="en-US"/>
              </w:rPr>
            </w:pPr>
          </w:p>
        </w:tc>
        <w:tc>
          <w:tcPr>
            <w:tcW w:w="65" w:type="pct"/>
            <w:tcBorders>
              <w:left w:val="nil"/>
              <w:bottom w:val="single" w:sz="4" w:space="0" w:color="auto"/>
              <w:right w:val="nil"/>
            </w:tcBorders>
          </w:tcPr>
          <w:p>
            <w:pPr>
              <w:spacing w:after="0"/>
              <w:jc w:val="center"/>
              <w:rPr>
                <w:b/>
                <w:bCs/>
                <w:color w:val="000000"/>
                <w:sz w:val="20"/>
                <w:lang w:val="en-US"/>
              </w:rPr>
            </w:pPr>
          </w:p>
        </w:tc>
        <w:tc>
          <w:tcPr>
            <w:tcW w:w="618" w:type="pct"/>
            <w:tcBorders>
              <w:top w:val="nil"/>
              <w:left w:val="nil"/>
              <w:bottom w:val="single" w:sz="4" w:space="0" w:color="auto"/>
              <w:right w:val="nil"/>
            </w:tcBorders>
            <w:shd w:val="clear" w:color="auto" w:fill="auto"/>
            <w:noWrap/>
            <w:vAlign w:val="center"/>
            <w:hideMark/>
          </w:tcPr>
          <w:p>
            <w:pPr>
              <w:spacing w:after="0"/>
              <w:jc w:val="center"/>
              <w:rPr>
                <w:b/>
                <w:bCs/>
                <w:color w:val="000000"/>
                <w:sz w:val="20"/>
                <w:lang w:val="en-US"/>
              </w:rPr>
            </w:pPr>
            <w:r>
              <w:rPr>
                <w:b/>
                <w:bCs/>
                <w:color w:val="000000"/>
                <w:sz w:val="20"/>
                <w:lang w:val="en-US"/>
              </w:rPr>
              <w:t>Model 1</w:t>
            </w:r>
            <w:r>
              <w:rPr>
                <w:b/>
                <w:bCs/>
                <w:color w:val="000000"/>
                <w:sz w:val="20"/>
                <w:vertAlign w:val="superscript"/>
                <w:lang w:val="en-US"/>
              </w:rPr>
              <w:t>a</w:t>
            </w:r>
          </w:p>
        </w:tc>
        <w:tc>
          <w:tcPr>
            <w:tcW w:w="614" w:type="pct"/>
            <w:tcBorders>
              <w:top w:val="nil"/>
              <w:left w:val="nil"/>
              <w:bottom w:val="single" w:sz="4" w:space="0" w:color="auto"/>
              <w:right w:val="nil"/>
            </w:tcBorders>
            <w:shd w:val="clear" w:color="auto" w:fill="auto"/>
            <w:noWrap/>
            <w:vAlign w:val="center"/>
            <w:hideMark/>
          </w:tcPr>
          <w:p>
            <w:pPr>
              <w:spacing w:after="0"/>
              <w:jc w:val="center"/>
              <w:rPr>
                <w:b/>
                <w:bCs/>
                <w:color w:val="000000"/>
                <w:sz w:val="20"/>
                <w:vertAlign w:val="superscript"/>
                <w:lang w:val="en-US"/>
              </w:rPr>
            </w:pPr>
            <w:r>
              <w:rPr>
                <w:b/>
                <w:bCs/>
                <w:color w:val="000000"/>
                <w:sz w:val="20"/>
                <w:lang w:val="en-US"/>
              </w:rPr>
              <w:t>Model 2</w:t>
            </w:r>
            <w:r>
              <w:rPr>
                <w:b/>
                <w:bCs/>
                <w:color w:val="000000"/>
                <w:sz w:val="20"/>
                <w:vertAlign w:val="superscript"/>
                <w:lang w:val="en-US"/>
              </w:rPr>
              <w:t>b</w:t>
            </w:r>
          </w:p>
        </w:tc>
        <w:tc>
          <w:tcPr>
            <w:tcW w:w="613" w:type="pct"/>
            <w:tcBorders>
              <w:top w:val="nil"/>
              <w:left w:val="nil"/>
              <w:bottom w:val="single" w:sz="4" w:space="0" w:color="auto"/>
              <w:right w:val="nil"/>
            </w:tcBorders>
            <w:shd w:val="clear" w:color="auto" w:fill="auto"/>
            <w:noWrap/>
            <w:vAlign w:val="center"/>
            <w:hideMark/>
          </w:tcPr>
          <w:p>
            <w:pPr>
              <w:spacing w:after="0"/>
              <w:jc w:val="center"/>
              <w:rPr>
                <w:b/>
                <w:bCs/>
                <w:color w:val="000000"/>
                <w:sz w:val="20"/>
                <w:lang w:val="en-US"/>
              </w:rPr>
            </w:pPr>
            <w:r>
              <w:rPr>
                <w:b/>
                <w:bCs/>
                <w:color w:val="000000"/>
                <w:sz w:val="20"/>
                <w:lang w:val="en-US"/>
              </w:rPr>
              <w:t>Model 3</w:t>
            </w:r>
            <w:r>
              <w:rPr>
                <w:b/>
                <w:bCs/>
                <w:color w:val="000000"/>
                <w:sz w:val="20"/>
                <w:vertAlign w:val="superscript"/>
                <w:lang w:val="en-US"/>
              </w:rPr>
              <w:t>c</w:t>
            </w:r>
          </w:p>
        </w:tc>
        <w:tc>
          <w:tcPr>
            <w:tcW w:w="65" w:type="pct"/>
            <w:tcBorders>
              <w:left w:val="nil"/>
              <w:bottom w:val="single" w:sz="4" w:space="0" w:color="auto"/>
              <w:right w:val="nil"/>
            </w:tcBorders>
          </w:tcPr>
          <w:p>
            <w:pPr>
              <w:spacing w:after="0"/>
              <w:jc w:val="center"/>
              <w:rPr>
                <w:b/>
                <w:bCs/>
                <w:color w:val="000000"/>
                <w:sz w:val="20"/>
                <w:lang w:val="en-US"/>
              </w:rPr>
            </w:pPr>
          </w:p>
        </w:tc>
        <w:tc>
          <w:tcPr>
            <w:tcW w:w="612" w:type="pct"/>
            <w:tcBorders>
              <w:top w:val="single" w:sz="4" w:space="0" w:color="auto"/>
              <w:left w:val="nil"/>
              <w:bottom w:val="single" w:sz="4" w:space="0" w:color="auto"/>
              <w:right w:val="nil"/>
            </w:tcBorders>
            <w:vAlign w:val="center"/>
          </w:tcPr>
          <w:p>
            <w:pPr>
              <w:spacing w:after="0"/>
              <w:jc w:val="center"/>
              <w:rPr>
                <w:b/>
                <w:bCs/>
                <w:color w:val="000000"/>
                <w:sz w:val="20"/>
                <w:lang w:val="en-US"/>
              </w:rPr>
            </w:pPr>
          </w:p>
        </w:tc>
        <w:tc>
          <w:tcPr>
            <w:tcW w:w="1052" w:type="pct"/>
            <w:vMerge/>
            <w:tcBorders>
              <w:left w:val="nil"/>
              <w:bottom w:val="single" w:sz="4" w:space="0" w:color="auto"/>
              <w:right w:val="nil"/>
            </w:tcBorders>
            <w:vAlign w:val="center"/>
          </w:tcPr>
          <w:p>
            <w:pPr>
              <w:spacing w:after="0"/>
              <w:jc w:val="center"/>
              <w:rPr>
                <w:b/>
                <w:bCs/>
                <w:color w:val="000000"/>
                <w:sz w:val="20"/>
                <w:lang w:val="en-US"/>
              </w:rPr>
            </w:pP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Total population</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r>
              <w:rPr>
                <w:sz w:val="20"/>
                <w:lang w:val="en-US"/>
              </w:rPr>
              <w:t>18,277 (79.8)</w:t>
            </w: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p>
        </w:tc>
        <w:tc>
          <w:tcPr>
            <w:tcW w:w="614" w:type="pct"/>
            <w:tcBorders>
              <w:left w:val="nil"/>
              <w:bottom w:val="nil"/>
              <w:right w:val="nil"/>
            </w:tcBorders>
            <w:shd w:val="clear" w:color="auto" w:fill="auto"/>
            <w:noWrap/>
          </w:tcPr>
          <w:p>
            <w:pPr>
              <w:spacing w:after="0"/>
              <w:jc w:val="right"/>
              <w:rPr>
                <w:sz w:val="20"/>
              </w:rPr>
            </w:pPr>
          </w:p>
        </w:tc>
        <w:tc>
          <w:tcPr>
            <w:tcW w:w="613" w:type="pct"/>
            <w:tcBorders>
              <w:left w:val="nil"/>
              <w:bottom w:val="nil"/>
              <w:right w:val="nil"/>
            </w:tcBorders>
            <w:shd w:val="clear" w:color="auto" w:fill="auto"/>
            <w:noWrap/>
          </w:tcPr>
          <w:p>
            <w:pPr>
              <w:spacing w:after="0"/>
              <w:jc w:val="right"/>
              <w:rPr>
                <w:sz w:val="20"/>
              </w:rPr>
            </w:pPr>
          </w:p>
        </w:tc>
        <w:tc>
          <w:tcPr>
            <w:tcW w:w="65" w:type="pct"/>
            <w:tcBorders>
              <w:top w:val="single" w:sz="4" w:space="0" w:color="auto"/>
              <w:left w:val="nil"/>
              <w:bottom w:val="nil"/>
              <w:right w:val="nil"/>
            </w:tcBorders>
          </w:tcPr>
          <w:p>
            <w:pPr>
              <w:spacing w:after="0"/>
              <w:jc w:val="right"/>
              <w:rPr>
                <w:b/>
                <w:sz w:val="20"/>
              </w:rPr>
            </w:pPr>
          </w:p>
        </w:tc>
        <w:tc>
          <w:tcPr>
            <w:tcW w:w="612" w:type="pct"/>
            <w:tcBorders>
              <w:top w:val="single" w:sz="4" w:space="0" w:color="auto"/>
              <w:left w:val="nil"/>
              <w:bottom w:val="nil"/>
              <w:right w:val="nil"/>
            </w:tcBorders>
            <w:shd w:val="clear" w:color="auto" w:fill="auto"/>
          </w:tcPr>
          <w:p>
            <w:pPr>
              <w:spacing w:after="0"/>
              <w:jc w:val="right"/>
              <w:rPr>
                <w:b/>
                <w:sz w:val="20"/>
              </w:rPr>
            </w:pPr>
          </w:p>
        </w:tc>
        <w:tc>
          <w:tcPr>
            <w:tcW w:w="1052" w:type="pct"/>
            <w:tcBorders>
              <w:top w:val="single" w:sz="4" w:space="0" w:color="auto"/>
              <w:left w:val="nil"/>
              <w:bottom w:val="nil"/>
              <w:right w:val="nil"/>
            </w:tcBorders>
          </w:tcPr>
          <w:p>
            <w:pPr>
              <w:spacing w:after="0"/>
              <w:jc w:val="right"/>
              <w:rPr>
                <w:b/>
                <w:sz w:val="20"/>
              </w:rPr>
            </w:pP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Q1 (</w:t>
            </w:r>
            <w:r>
              <w:t>L</w:t>
            </w:r>
            <w:r>
              <w:rPr>
                <w:color w:val="000000"/>
                <w:sz w:val="20"/>
                <w:lang w:val="en-US"/>
              </w:rPr>
              <w:t>east deprived</w:t>
            </w:r>
            <w:r>
              <w:rPr>
                <w:color w:val="000000"/>
                <w:sz w:val="20"/>
                <w:lang w:val="en-US"/>
              </w:rPr>
              <w:t>)</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sz w:val="20"/>
                <w:lang w:val="en-US"/>
              </w:rPr>
              <w:t>1.00 (ref.)</w:t>
            </w:r>
          </w:p>
        </w:tc>
        <w:tc>
          <w:tcPr>
            <w:tcW w:w="614" w:type="pct"/>
            <w:tcBorders>
              <w:top w:val="nil"/>
              <w:left w:val="nil"/>
              <w:bottom w:val="nil"/>
              <w:right w:val="nil"/>
            </w:tcBorders>
            <w:shd w:val="clear" w:color="auto" w:fill="auto"/>
            <w:noWrap/>
          </w:tcPr>
          <w:p>
            <w:pPr>
              <w:spacing w:after="0"/>
              <w:jc w:val="right"/>
              <w:rPr>
                <w:sz w:val="20"/>
              </w:rPr>
            </w:pPr>
            <w:r>
              <w:rPr>
                <w:sz w:val="20"/>
                <w:lang w:val="en-US"/>
              </w:rPr>
              <w:t>1.00 (ref.)</w:t>
            </w:r>
          </w:p>
        </w:tc>
        <w:tc>
          <w:tcPr>
            <w:tcW w:w="613" w:type="pct"/>
            <w:tcBorders>
              <w:top w:val="nil"/>
              <w:left w:val="nil"/>
              <w:bottom w:val="nil"/>
              <w:right w:val="nil"/>
            </w:tcBorders>
            <w:shd w:val="clear" w:color="auto" w:fill="auto"/>
            <w:noWrap/>
          </w:tcPr>
          <w:p>
            <w:pPr>
              <w:spacing w:after="0"/>
              <w:jc w:val="right"/>
              <w:rPr>
                <w:sz w:val="20"/>
              </w:rPr>
            </w:pPr>
            <w:r>
              <w:rPr>
                <w:sz w:val="20"/>
                <w:lang w:val="en-US"/>
              </w:rPr>
              <w:t>1.00 (ref.)</w:t>
            </w:r>
          </w:p>
        </w:tc>
        <w:tc>
          <w:tcPr>
            <w:tcW w:w="65" w:type="pct"/>
            <w:tcBorders>
              <w:top w:val="nil"/>
              <w:left w:val="nil"/>
              <w:bottom w:val="nil"/>
              <w:right w:val="nil"/>
            </w:tcBorders>
            <w:shd w:val="clear" w:color="auto" w:fill="auto"/>
          </w:tcPr>
          <w:p>
            <w:pPr>
              <w:spacing w:after="0"/>
              <w:jc w:val="right"/>
              <w:rPr>
                <w:sz w:val="20"/>
                <w:lang w:val="en-US"/>
              </w:rPr>
            </w:pPr>
          </w:p>
        </w:tc>
        <w:tc>
          <w:tcPr>
            <w:tcW w:w="612" w:type="pct"/>
            <w:tcBorders>
              <w:top w:val="nil"/>
              <w:left w:val="nil"/>
              <w:bottom w:val="nil"/>
              <w:right w:val="nil"/>
            </w:tcBorders>
            <w:shd w:val="clear" w:color="auto" w:fill="auto"/>
          </w:tcPr>
          <w:p>
            <w:pPr>
              <w:spacing w:after="0"/>
              <w:jc w:val="right"/>
              <w:rPr>
                <w:b/>
                <w:sz w:val="20"/>
                <w:highlight w:val="yellow"/>
              </w:rPr>
            </w:pPr>
            <w:r>
              <w:rPr>
                <w:sz w:val="20"/>
              </w:rPr>
              <w:t>17.1 (16.2-18</w:t>
            </w:r>
            <w:r>
              <w:rPr>
                <w:sz w:val="20"/>
              </w:rPr>
              <w:t>.0</w:t>
            </w:r>
            <w:r>
              <w:rPr>
                <w:sz w:val="20"/>
              </w:rPr>
              <w:t>)</w:t>
            </w:r>
          </w:p>
        </w:tc>
        <w:tc>
          <w:tcPr>
            <w:tcW w:w="1052" w:type="pct"/>
            <w:tcBorders>
              <w:top w:val="nil"/>
              <w:left w:val="nil"/>
              <w:bottom w:val="nil"/>
              <w:right w:val="nil"/>
            </w:tcBorders>
            <w:shd w:val="clear" w:color="auto" w:fill="auto"/>
          </w:tcPr>
          <w:p>
            <w:pPr>
              <w:spacing w:after="0"/>
              <w:jc w:val="right"/>
              <w:rPr>
                <w:sz w:val="20"/>
              </w:rPr>
            </w:pPr>
            <w:r>
              <w:rPr>
                <w:sz w:val="20"/>
                <w:lang w:val="en-US"/>
              </w:rPr>
              <w:t>1.00 (ref.)</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vertAlign w:val="superscript"/>
                <w:lang w:val="en-US"/>
              </w:rPr>
            </w:pPr>
            <w:r>
              <w:rPr>
                <w:color w:val="000000"/>
                <w:sz w:val="20"/>
                <w:lang w:val="en-US"/>
              </w:rPr>
              <w:t>Q2</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sz w:val="20"/>
                <w:szCs w:val="20"/>
              </w:rPr>
              <w:t>1.02 (0.97-1.07)</w:t>
            </w:r>
          </w:p>
        </w:tc>
        <w:tc>
          <w:tcPr>
            <w:tcW w:w="614" w:type="pct"/>
            <w:tcBorders>
              <w:top w:val="nil"/>
              <w:left w:val="nil"/>
              <w:bottom w:val="nil"/>
              <w:right w:val="nil"/>
            </w:tcBorders>
            <w:shd w:val="clear" w:color="auto" w:fill="auto"/>
            <w:noWrap/>
          </w:tcPr>
          <w:p>
            <w:pPr>
              <w:spacing w:after="0"/>
              <w:jc w:val="right"/>
              <w:rPr>
                <w:sz w:val="20"/>
              </w:rPr>
            </w:pPr>
            <w:r>
              <w:rPr>
                <w:sz w:val="20"/>
                <w:szCs w:val="20"/>
              </w:rPr>
              <w:t>1.02 (0.97-1.07)</w:t>
            </w:r>
          </w:p>
        </w:tc>
        <w:tc>
          <w:tcPr>
            <w:tcW w:w="613" w:type="pct"/>
            <w:tcBorders>
              <w:top w:val="nil"/>
              <w:left w:val="nil"/>
              <w:bottom w:val="nil"/>
              <w:right w:val="nil"/>
            </w:tcBorders>
            <w:shd w:val="clear" w:color="auto" w:fill="auto"/>
            <w:noWrap/>
          </w:tcPr>
          <w:p>
            <w:pPr>
              <w:spacing w:after="0"/>
              <w:jc w:val="right"/>
              <w:rPr>
                <w:sz w:val="20"/>
              </w:rPr>
            </w:pPr>
            <w:r>
              <w:rPr>
                <w:sz w:val="20"/>
                <w:szCs w:val="20"/>
              </w:rPr>
              <w:t>1.02 (0.97-1.07)</w:t>
            </w:r>
          </w:p>
        </w:tc>
        <w:tc>
          <w:tcPr>
            <w:tcW w:w="65" w:type="pct"/>
            <w:tcBorders>
              <w:top w:val="nil"/>
              <w:left w:val="nil"/>
              <w:bottom w:val="nil"/>
              <w:right w:val="nil"/>
            </w:tcBorders>
            <w:shd w:val="clear" w:color="auto" w:fill="auto"/>
          </w:tcPr>
          <w:p>
            <w:pPr>
              <w:spacing w:after="0"/>
              <w:jc w:val="right"/>
              <w:rPr>
                <w:b/>
                <w:sz w:val="20"/>
              </w:rPr>
            </w:pPr>
          </w:p>
        </w:tc>
        <w:tc>
          <w:tcPr>
            <w:tcW w:w="612" w:type="pct"/>
            <w:tcBorders>
              <w:top w:val="nil"/>
              <w:left w:val="nil"/>
              <w:bottom w:val="nil"/>
              <w:right w:val="nil"/>
            </w:tcBorders>
            <w:shd w:val="clear" w:color="auto" w:fill="auto"/>
          </w:tcPr>
          <w:p>
            <w:pPr>
              <w:spacing w:after="0"/>
              <w:jc w:val="right"/>
              <w:rPr>
                <w:b/>
                <w:sz w:val="20"/>
                <w:highlight w:val="yellow"/>
              </w:rPr>
            </w:pPr>
            <w:r>
              <w:rPr>
                <w:sz w:val="20"/>
              </w:rPr>
              <w:t>16.7 (15.9-17.5)</w:t>
            </w:r>
          </w:p>
        </w:tc>
        <w:tc>
          <w:tcPr>
            <w:tcW w:w="1052" w:type="pct"/>
            <w:tcBorders>
              <w:top w:val="nil"/>
              <w:left w:val="nil"/>
              <w:bottom w:val="nil"/>
              <w:right w:val="nil"/>
            </w:tcBorders>
            <w:shd w:val="clear" w:color="auto" w:fill="auto"/>
          </w:tcPr>
          <w:p>
            <w:pPr>
              <w:spacing w:after="0"/>
              <w:jc w:val="right"/>
              <w:rPr>
                <w:sz w:val="20"/>
              </w:rPr>
            </w:pPr>
            <w:r>
              <w:rPr>
                <w:sz w:val="20"/>
              </w:rPr>
              <w:t>1</w:t>
            </w:r>
            <w:r>
              <w:rPr>
                <w:sz w:val="20"/>
              </w:rPr>
              <w:t>.00</w:t>
            </w:r>
            <w:r>
              <w:rPr>
                <w:sz w:val="20"/>
              </w:rPr>
              <w:t xml:space="preserve"> (0.96-1.06)</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Q3</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sz w:val="20"/>
                <w:szCs w:val="20"/>
              </w:rPr>
              <w:t>1.00 (0.95-1.05)</w:t>
            </w:r>
          </w:p>
        </w:tc>
        <w:tc>
          <w:tcPr>
            <w:tcW w:w="614" w:type="pct"/>
            <w:tcBorders>
              <w:top w:val="nil"/>
              <w:left w:val="nil"/>
              <w:bottom w:val="nil"/>
              <w:right w:val="nil"/>
            </w:tcBorders>
            <w:shd w:val="clear" w:color="auto" w:fill="auto"/>
            <w:noWrap/>
          </w:tcPr>
          <w:p>
            <w:pPr>
              <w:spacing w:after="0"/>
              <w:jc w:val="right"/>
              <w:rPr>
                <w:sz w:val="20"/>
              </w:rPr>
            </w:pPr>
            <w:r>
              <w:rPr>
                <w:sz w:val="20"/>
                <w:szCs w:val="20"/>
              </w:rPr>
              <w:t>1.01 (0.96-1.06)</w:t>
            </w:r>
          </w:p>
        </w:tc>
        <w:tc>
          <w:tcPr>
            <w:tcW w:w="613" w:type="pct"/>
            <w:tcBorders>
              <w:top w:val="nil"/>
              <w:left w:val="nil"/>
              <w:bottom w:val="nil"/>
              <w:right w:val="nil"/>
            </w:tcBorders>
            <w:shd w:val="clear" w:color="auto" w:fill="auto"/>
            <w:noWrap/>
          </w:tcPr>
          <w:p>
            <w:pPr>
              <w:spacing w:after="0"/>
              <w:jc w:val="right"/>
              <w:rPr>
                <w:sz w:val="20"/>
              </w:rPr>
            </w:pPr>
            <w:r>
              <w:rPr>
                <w:sz w:val="20"/>
                <w:szCs w:val="20"/>
              </w:rPr>
              <w:t>1.02 (0.97-1.07)</w:t>
            </w:r>
          </w:p>
        </w:tc>
        <w:tc>
          <w:tcPr>
            <w:tcW w:w="65" w:type="pct"/>
            <w:tcBorders>
              <w:top w:val="nil"/>
              <w:left w:val="nil"/>
              <w:bottom w:val="nil"/>
              <w:right w:val="nil"/>
            </w:tcBorders>
            <w:shd w:val="clear" w:color="auto" w:fill="auto"/>
          </w:tcPr>
          <w:p>
            <w:pPr>
              <w:spacing w:after="0"/>
              <w:jc w:val="right"/>
              <w:rPr>
                <w:b/>
                <w:sz w:val="20"/>
              </w:rPr>
            </w:pPr>
          </w:p>
        </w:tc>
        <w:tc>
          <w:tcPr>
            <w:tcW w:w="612" w:type="pct"/>
            <w:tcBorders>
              <w:top w:val="nil"/>
              <w:left w:val="nil"/>
              <w:bottom w:val="nil"/>
              <w:right w:val="nil"/>
            </w:tcBorders>
            <w:shd w:val="clear" w:color="auto" w:fill="auto"/>
          </w:tcPr>
          <w:p>
            <w:pPr>
              <w:spacing w:after="0"/>
              <w:jc w:val="right"/>
              <w:rPr>
                <w:b/>
                <w:sz w:val="20"/>
                <w:highlight w:val="yellow"/>
              </w:rPr>
            </w:pPr>
            <w:r>
              <w:rPr>
                <w:sz w:val="20"/>
              </w:rPr>
              <w:t>16.7 (15.9-17.5)</w:t>
            </w:r>
          </w:p>
        </w:tc>
        <w:tc>
          <w:tcPr>
            <w:tcW w:w="1052" w:type="pct"/>
            <w:tcBorders>
              <w:top w:val="nil"/>
              <w:left w:val="nil"/>
              <w:bottom w:val="nil"/>
              <w:right w:val="nil"/>
            </w:tcBorders>
            <w:shd w:val="clear" w:color="auto" w:fill="auto"/>
          </w:tcPr>
          <w:p>
            <w:pPr>
              <w:spacing w:after="0"/>
              <w:jc w:val="right"/>
              <w:rPr>
                <w:sz w:val="20"/>
              </w:rPr>
            </w:pPr>
            <w:r>
              <w:rPr>
                <w:sz w:val="20"/>
              </w:rPr>
              <w:t>1</w:t>
            </w:r>
            <w:r>
              <w:rPr>
                <w:sz w:val="20"/>
              </w:rPr>
              <w:t>.00</w:t>
            </w:r>
            <w:r>
              <w:rPr>
                <w:sz w:val="20"/>
              </w:rPr>
              <w:t xml:space="preserve"> (0.95-1.05)</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Q4</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sz w:val="20"/>
                <w:szCs w:val="20"/>
              </w:rPr>
              <w:t>1.03 (0.98-1.08)</w:t>
            </w:r>
          </w:p>
        </w:tc>
        <w:tc>
          <w:tcPr>
            <w:tcW w:w="614" w:type="pct"/>
            <w:tcBorders>
              <w:top w:val="nil"/>
              <w:left w:val="nil"/>
              <w:bottom w:val="nil"/>
              <w:right w:val="nil"/>
            </w:tcBorders>
            <w:shd w:val="clear" w:color="auto" w:fill="auto"/>
            <w:noWrap/>
          </w:tcPr>
          <w:p>
            <w:pPr>
              <w:spacing w:after="0"/>
              <w:jc w:val="right"/>
              <w:rPr>
                <w:sz w:val="20"/>
              </w:rPr>
            </w:pPr>
            <w:r>
              <w:rPr>
                <w:sz w:val="20"/>
                <w:szCs w:val="20"/>
              </w:rPr>
              <w:t>1.03 (0.98-1.08)</w:t>
            </w:r>
          </w:p>
        </w:tc>
        <w:tc>
          <w:tcPr>
            <w:tcW w:w="613" w:type="pct"/>
            <w:tcBorders>
              <w:top w:val="nil"/>
              <w:left w:val="nil"/>
              <w:bottom w:val="nil"/>
              <w:right w:val="nil"/>
            </w:tcBorders>
            <w:shd w:val="clear" w:color="auto" w:fill="auto"/>
            <w:noWrap/>
          </w:tcPr>
          <w:p>
            <w:pPr>
              <w:spacing w:after="0"/>
              <w:jc w:val="right"/>
              <w:rPr>
                <w:sz w:val="20"/>
              </w:rPr>
            </w:pPr>
            <w:r>
              <w:rPr>
                <w:sz w:val="20"/>
                <w:szCs w:val="20"/>
              </w:rPr>
              <w:t>1.05 (1.00-1.10)</w:t>
            </w:r>
          </w:p>
        </w:tc>
        <w:tc>
          <w:tcPr>
            <w:tcW w:w="65" w:type="pct"/>
            <w:tcBorders>
              <w:top w:val="nil"/>
              <w:left w:val="nil"/>
              <w:bottom w:val="nil"/>
              <w:right w:val="nil"/>
            </w:tcBorders>
            <w:shd w:val="clear" w:color="auto" w:fill="auto"/>
          </w:tcPr>
          <w:p>
            <w:pPr>
              <w:spacing w:after="0"/>
              <w:jc w:val="right"/>
              <w:rPr>
                <w:b/>
                <w:sz w:val="20"/>
              </w:rPr>
            </w:pPr>
          </w:p>
        </w:tc>
        <w:tc>
          <w:tcPr>
            <w:tcW w:w="612" w:type="pct"/>
            <w:tcBorders>
              <w:top w:val="nil"/>
              <w:left w:val="nil"/>
              <w:bottom w:val="nil"/>
              <w:right w:val="nil"/>
            </w:tcBorders>
            <w:shd w:val="clear" w:color="auto" w:fill="auto"/>
          </w:tcPr>
          <w:p>
            <w:pPr>
              <w:spacing w:after="0"/>
              <w:jc w:val="right"/>
              <w:rPr>
                <w:b/>
                <w:sz w:val="20"/>
                <w:highlight w:val="yellow"/>
              </w:rPr>
            </w:pPr>
            <w:r>
              <w:rPr>
                <w:sz w:val="20"/>
              </w:rPr>
              <w:t>16.1 (15.3-17</w:t>
            </w:r>
            <w:r>
              <w:rPr>
                <w:sz w:val="20"/>
              </w:rPr>
              <w:t>.0</w:t>
            </w:r>
            <w:r>
              <w:rPr>
                <w:sz w:val="20"/>
              </w:rPr>
              <w:t>)</w:t>
            </w:r>
          </w:p>
        </w:tc>
        <w:tc>
          <w:tcPr>
            <w:tcW w:w="1052" w:type="pct"/>
            <w:tcBorders>
              <w:top w:val="nil"/>
              <w:left w:val="nil"/>
              <w:bottom w:val="nil"/>
              <w:right w:val="nil"/>
            </w:tcBorders>
            <w:shd w:val="clear" w:color="auto" w:fill="auto"/>
          </w:tcPr>
          <w:p>
            <w:pPr>
              <w:spacing w:after="0"/>
              <w:jc w:val="right"/>
              <w:rPr>
                <w:sz w:val="20"/>
              </w:rPr>
            </w:pPr>
            <w:r>
              <w:rPr>
                <w:sz w:val="20"/>
              </w:rPr>
              <w:t>1.02 (0.97-1.08)</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Q5 (Most deprived)</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b/>
                <w:sz w:val="20"/>
                <w:szCs w:val="20"/>
              </w:rPr>
              <w:t>1.06 (1.01-1.11)</w:t>
            </w:r>
          </w:p>
        </w:tc>
        <w:tc>
          <w:tcPr>
            <w:tcW w:w="614" w:type="pct"/>
            <w:tcBorders>
              <w:top w:val="nil"/>
              <w:left w:val="nil"/>
              <w:bottom w:val="nil"/>
              <w:right w:val="nil"/>
            </w:tcBorders>
            <w:shd w:val="clear" w:color="auto" w:fill="auto"/>
            <w:noWrap/>
          </w:tcPr>
          <w:p>
            <w:pPr>
              <w:spacing w:after="0"/>
              <w:jc w:val="right"/>
              <w:rPr>
                <w:sz w:val="20"/>
              </w:rPr>
            </w:pPr>
            <w:r>
              <w:rPr>
                <w:b/>
                <w:sz w:val="20"/>
                <w:szCs w:val="20"/>
              </w:rPr>
              <w:t>1.06 (1.01-1.11)</w:t>
            </w:r>
          </w:p>
        </w:tc>
        <w:tc>
          <w:tcPr>
            <w:tcW w:w="613" w:type="pct"/>
            <w:tcBorders>
              <w:top w:val="nil"/>
              <w:left w:val="nil"/>
              <w:bottom w:val="nil"/>
              <w:right w:val="nil"/>
            </w:tcBorders>
            <w:shd w:val="clear" w:color="auto" w:fill="auto"/>
            <w:noWrap/>
          </w:tcPr>
          <w:p>
            <w:pPr>
              <w:spacing w:after="0"/>
              <w:jc w:val="right"/>
              <w:rPr>
                <w:sz w:val="20"/>
              </w:rPr>
            </w:pPr>
            <w:r>
              <w:rPr>
                <w:b/>
                <w:sz w:val="20"/>
                <w:szCs w:val="20"/>
              </w:rPr>
              <w:t>1.06 (1.01-1.11)</w:t>
            </w:r>
          </w:p>
        </w:tc>
        <w:tc>
          <w:tcPr>
            <w:tcW w:w="65" w:type="pct"/>
            <w:tcBorders>
              <w:top w:val="nil"/>
              <w:left w:val="nil"/>
              <w:bottom w:val="nil"/>
              <w:right w:val="nil"/>
            </w:tcBorders>
            <w:shd w:val="clear" w:color="auto" w:fill="auto"/>
          </w:tcPr>
          <w:p>
            <w:pPr>
              <w:spacing w:after="0"/>
              <w:jc w:val="right"/>
              <w:rPr>
                <w:b/>
                <w:sz w:val="20"/>
              </w:rPr>
            </w:pPr>
          </w:p>
        </w:tc>
        <w:tc>
          <w:tcPr>
            <w:tcW w:w="612" w:type="pct"/>
            <w:tcBorders>
              <w:top w:val="nil"/>
              <w:left w:val="nil"/>
              <w:bottom w:val="nil"/>
              <w:right w:val="nil"/>
            </w:tcBorders>
            <w:shd w:val="clear" w:color="auto" w:fill="auto"/>
          </w:tcPr>
          <w:p>
            <w:pPr>
              <w:spacing w:after="0"/>
              <w:jc w:val="right"/>
              <w:rPr>
                <w:b/>
                <w:sz w:val="20"/>
                <w:highlight w:val="yellow"/>
              </w:rPr>
            </w:pPr>
            <w:r>
              <w:rPr>
                <w:sz w:val="20"/>
              </w:rPr>
              <w:t>15.9 (15.1-16.7)</w:t>
            </w:r>
          </w:p>
        </w:tc>
        <w:tc>
          <w:tcPr>
            <w:tcW w:w="1052" w:type="pct"/>
            <w:tcBorders>
              <w:top w:val="nil"/>
              <w:left w:val="nil"/>
              <w:bottom w:val="nil"/>
              <w:right w:val="nil"/>
            </w:tcBorders>
            <w:shd w:val="clear" w:color="auto" w:fill="auto"/>
          </w:tcPr>
          <w:p>
            <w:pPr>
              <w:spacing w:after="0"/>
              <w:jc w:val="right"/>
              <w:rPr>
                <w:sz w:val="20"/>
              </w:rPr>
            </w:pPr>
            <w:r>
              <w:rPr>
                <w:sz w:val="20"/>
                <w:lang w:val="en-US"/>
              </w:rPr>
              <w:t>1.03 (0.98-1.08)</w:t>
            </w:r>
          </w:p>
        </w:tc>
      </w:tr>
      <w:tr>
        <w:trPr>
          <w:trHeight w:val="255"/>
        </w:trPr>
        <w:tc>
          <w:tcPr>
            <w:tcW w:w="793" w:type="pct"/>
            <w:tcBorders>
              <w:top w:val="nil"/>
              <w:left w:val="nil"/>
              <w:right w:val="nil"/>
            </w:tcBorders>
            <w:shd w:val="clear" w:color="auto" w:fill="auto"/>
            <w:noWrap/>
            <w:vAlign w:val="bottom"/>
          </w:tcPr>
          <w:p>
            <w:pPr>
              <w:spacing w:after="0"/>
              <w:rPr>
                <w:color w:val="000000"/>
                <w:sz w:val="20"/>
                <w:lang w:val="en-US"/>
              </w:rPr>
            </w:pPr>
            <w:r>
              <w:rPr>
                <w:color w:val="000000"/>
                <w:sz w:val="20"/>
                <w:lang w:val="en-US"/>
              </w:rPr>
              <w:t>Stage I/II</w:t>
            </w:r>
          </w:p>
        </w:tc>
        <w:tc>
          <w:tcPr>
            <w:tcW w:w="65" w:type="pct"/>
            <w:tcBorders>
              <w:top w:val="nil"/>
              <w:left w:val="nil"/>
              <w:right w:val="nil"/>
            </w:tcBorders>
            <w:shd w:val="clear" w:color="auto" w:fill="auto"/>
          </w:tcPr>
          <w:p>
            <w:pPr>
              <w:spacing w:after="0"/>
              <w:jc w:val="right"/>
              <w:rPr>
                <w:sz w:val="20"/>
                <w:lang w:val="en-US"/>
              </w:rPr>
            </w:pPr>
          </w:p>
        </w:tc>
        <w:tc>
          <w:tcPr>
            <w:tcW w:w="503" w:type="pct"/>
            <w:tcBorders>
              <w:top w:val="nil"/>
              <w:left w:val="nil"/>
              <w:right w:val="nil"/>
            </w:tcBorders>
            <w:shd w:val="clear" w:color="auto" w:fill="auto"/>
          </w:tcPr>
          <w:p>
            <w:pPr>
              <w:spacing w:after="0"/>
              <w:jc w:val="right"/>
              <w:rPr>
                <w:sz w:val="20"/>
                <w:lang w:val="en-US"/>
              </w:rPr>
            </w:pPr>
            <w:r>
              <w:rPr>
                <w:sz w:val="20"/>
                <w:lang w:val="en-US"/>
              </w:rPr>
              <w:t>3,182 (56.8)</w:t>
            </w:r>
          </w:p>
        </w:tc>
        <w:tc>
          <w:tcPr>
            <w:tcW w:w="65" w:type="pct"/>
            <w:tcBorders>
              <w:top w:val="nil"/>
              <w:left w:val="nil"/>
              <w:right w:val="nil"/>
            </w:tcBorders>
            <w:shd w:val="clear" w:color="auto" w:fill="auto"/>
          </w:tcPr>
          <w:p>
            <w:pPr>
              <w:spacing w:after="0"/>
              <w:jc w:val="right"/>
              <w:rPr>
                <w:sz w:val="20"/>
                <w:lang w:val="en-US"/>
              </w:rPr>
            </w:pPr>
          </w:p>
        </w:tc>
        <w:tc>
          <w:tcPr>
            <w:tcW w:w="618" w:type="pct"/>
            <w:tcBorders>
              <w:top w:val="nil"/>
              <w:left w:val="nil"/>
              <w:right w:val="nil"/>
            </w:tcBorders>
            <w:shd w:val="clear" w:color="auto" w:fill="auto"/>
            <w:noWrap/>
          </w:tcPr>
          <w:p>
            <w:pPr>
              <w:spacing w:after="0"/>
              <w:jc w:val="right"/>
              <w:rPr>
                <w:lang w:val="en-US"/>
              </w:rPr>
            </w:pPr>
          </w:p>
        </w:tc>
        <w:tc>
          <w:tcPr>
            <w:tcW w:w="614" w:type="pct"/>
            <w:tcBorders>
              <w:top w:val="nil"/>
              <w:left w:val="nil"/>
              <w:right w:val="nil"/>
            </w:tcBorders>
            <w:shd w:val="clear" w:color="auto" w:fill="auto"/>
            <w:noWrap/>
          </w:tcPr>
          <w:p>
            <w:pPr>
              <w:spacing w:after="0"/>
              <w:jc w:val="right"/>
              <w:rPr>
                <w:sz w:val="20"/>
                <w:lang w:val="en-US"/>
              </w:rPr>
            </w:pPr>
          </w:p>
        </w:tc>
        <w:tc>
          <w:tcPr>
            <w:tcW w:w="613" w:type="pct"/>
            <w:tcBorders>
              <w:top w:val="nil"/>
              <w:left w:val="nil"/>
              <w:right w:val="nil"/>
            </w:tcBorders>
            <w:shd w:val="clear" w:color="auto" w:fill="auto"/>
            <w:noWrap/>
          </w:tcPr>
          <w:p>
            <w:pPr>
              <w:spacing w:after="0"/>
              <w:jc w:val="right"/>
              <w:rPr>
                <w:sz w:val="20"/>
                <w:lang w:val="en-US"/>
              </w:rPr>
            </w:pPr>
          </w:p>
        </w:tc>
        <w:tc>
          <w:tcPr>
            <w:tcW w:w="65" w:type="pct"/>
            <w:tcBorders>
              <w:top w:val="nil"/>
              <w:left w:val="nil"/>
              <w:right w:val="nil"/>
            </w:tcBorders>
            <w:shd w:val="clear" w:color="auto" w:fill="auto"/>
          </w:tcPr>
          <w:p>
            <w:pPr>
              <w:spacing w:after="0"/>
              <w:jc w:val="right"/>
              <w:rPr>
                <w:b/>
                <w:sz w:val="20"/>
                <w:lang w:val="en-US"/>
              </w:rPr>
            </w:pPr>
          </w:p>
        </w:tc>
        <w:tc>
          <w:tcPr>
            <w:tcW w:w="612" w:type="pct"/>
            <w:tcBorders>
              <w:top w:val="nil"/>
              <w:left w:val="nil"/>
              <w:right w:val="nil"/>
            </w:tcBorders>
            <w:shd w:val="clear" w:color="auto" w:fill="auto"/>
          </w:tcPr>
          <w:p>
            <w:pPr>
              <w:spacing w:after="0"/>
              <w:jc w:val="right"/>
              <w:rPr>
                <w:b/>
                <w:sz w:val="20"/>
                <w:highlight w:val="yellow"/>
                <w:lang w:val="en-US"/>
              </w:rPr>
            </w:pPr>
          </w:p>
        </w:tc>
        <w:tc>
          <w:tcPr>
            <w:tcW w:w="1052" w:type="pct"/>
            <w:tcBorders>
              <w:top w:val="nil"/>
              <w:left w:val="nil"/>
              <w:right w:val="nil"/>
            </w:tcBorders>
            <w:shd w:val="clear" w:color="auto" w:fill="auto"/>
          </w:tcPr>
          <w:p>
            <w:pPr>
              <w:spacing w:after="0"/>
              <w:jc w:val="right"/>
              <w:rPr>
                <w:b/>
                <w:sz w:val="20"/>
                <w:highlight w:val="yellow"/>
                <w:lang w:val="en-US"/>
              </w:rPr>
            </w:pPr>
          </w:p>
        </w:tc>
      </w:tr>
      <w:tr>
        <w:trPr>
          <w:trHeight w:val="255"/>
        </w:trPr>
        <w:tc>
          <w:tcPr>
            <w:tcW w:w="793" w:type="pct"/>
            <w:tcBorders>
              <w:top w:val="nil"/>
              <w:left w:val="nil"/>
              <w:right w:val="nil"/>
            </w:tcBorders>
            <w:shd w:val="clear" w:color="auto" w:fill="auto"/>
            <w:noWrap/>
            <w:vAlign w:val="bottom"/>
          </w:tcPr>
          <w:p>
            <w:pPr>
              <w:spacing w:after="0"/>
              <w:rPr>
                <w:color w:val="000000"/>
                <w:sz w:val="20"/>
                <w:lang w:val="en-US"/>
              </w:rPr>
            </w:pPr>
            <w:r>
              <w:rPr>
                <w:color w:val="000000"/>
                <w:sz w:val="20"/>
                <w:lang w:val="en-US"/>
              </w:rPr>
              <w:t>Q1 (</w:t>
            </w:r>
            <w:r>
              <w:rPr>
                <w:color w:val="000000"/>
                <w:sz w:val="20"/>
                <w:lang w:val="en-US"/>
              </w:rPr>
              <w:t>Least deprived</w:t>
            </w:r>
            <w:r>
              <w:rPr>
                <w:color w:val="000000"/>
                <w:sz w:val="20"/>
                <w:lang w:val="en-US"/>
              </w:rPr>
              <w:t>)</w:t>
            </w:r>
          </w:p>
        </w:tc>
        <w:tc>
          <w:tcPr>
            <w:tcW w:w="65" w:type="pct"/>
            <w:tcBorders>
              <w:top w:val="nil"/>
              <w:left w:val="nil"/>
              <w:right w:val="nil"/>
            </w:tcBorders>
            <w:shd w:val="clear" w:color="auto" w:fill="auto"/>
          </w:tcPr>
          <w:p>
            <w:pPr>
              <w:spacing w:after="0"/>
              <w:jc w:val="right"/>
              <w:rPr>
                <w:sz w:val="20"/>
                <w:lang w:val="en-US"/>
              </w:rPr>
            </w:pPr>
          </w:p>
        </w:tc>
        <w:tc>
          <w:tcPr>
            <w:tcW w:w="503" w:type="pct"/>
            <w:tcBorders>
              <w:top w:val="nil"/>
              <w:left w:val="nil"/>
              <w:right w:val="nil"/>
            </w:tcBorders>
            <w:shd w:val="clear" w:color="auto" w:fill="auto"/>
          </w:tcPr>
          <w:p>
            <w:pPr>
              <w:spacing w:after="0"/>
              <w:jc w:val="right"/>
              <w:rPr>
                <w:sz w:val="20"/>
                <w:lang w:val="en-US"/>
              </w:rPr>
            </w:pPr>
          </w:p>
        </w:tc>
        <w:tc>
          <w:tcPr>
            <w:tcW w:w="65" w:type="pct"/>
            <w:tcBorders>
              <w:top w:val="nil"/>
              <w:left w:val="nil"/>
              <w:right w:val="nil"/>
            </w:tcBorders>
            <w:shd w:val="clear" w:color="auto" w:fill="auto"/>
          </w:tcPr>
          <w:p>
            <w:pPr>
              <w:spacing w:after="0"/>
              <w:jc w:val="right"/>
              <w:rPr>
                <w:sz w:val="20"/>
                <w:lang w:val="en-US"/>
              </w:rPr>
            </w:pPr>
          </w:p>
        </w:tc>
        <w:tc>
          <w:tcPr>
            <w:tcW w:w="618" w:type="pct"/>
            <w:tcBorders>
              <w:top w:val="nil"/>
              <w:left w:val="nil"/>
              <w:right w:val="nil"/>
            </w:tcBorders>
            <w:shd w:val="clear" w:color="auto" w:fill="auto"/>
            <w:noWrap/>
          </w:tcPr>
          <w:p>
            <w:pPr>
              <w:spacing w:after="0"/>
              <w:jc w:val="right"/>
              <w:rPr>
                <w:lang w:val="en-US"/>
              </w:rPr>
            </w:pPr>
            <w:r>
              <w:rPr>
                <w:sz w:val="20"/>
                <w:lang w:val="en-US"/>
              </w:rPr>
              <w:t>1.00 (ref.)</w:t>
            </w:r>
          </w:p>
        </w:tc>
        <w:tc>
          <w:tcPr>
            <w:tcW w:w="614" w:type="pct"/>
            <w:tcBorders>
              <w:top w:val="nil"/>
              <w:left w:val="nil"/>
              <w:right w:val="nil"/>
            </w:tcBorders>
            <w:shd w:val="clear" w:color="auto" w:fill="auto"/>
            <w:noWrap/>
          </w:tcPr>
          <w:p>
            <w:pPr>
              <w:spacing w:after="0"/>
              <w:jc w:val="right"/>
              <w:rPr>
                <w:sz w:val="20"/>
                <w:lang w:val="en-US"/>
              </w:rPr>
            </w:pPr>
            <w:r>
              <w:rPr>
                <w:sz w:val="20"/>
                <w:lang w:val="en-US"/>
              </w:rPr>
              <w:t>1.00 (ref.)</w:t>
            </w:r>
          </w:p>
        </w:tc>
        <w:tc>
          <w:tcPr>
            <w:tcW w:w="613" w:type="pct"/>
            <w:tcBorders>
              <w:top w:val="nil"/>
              <w:left w:val="nil"/>
              <w:right w:val="nil"/>
            </w:tcBorders>
            <w:shd w:val="clear" w:color="auto" w:fill="auto"/>
            <w:noWrap/>
          </w:tcPr>
          <w:p>
            <w:pPr>
              <w:spacing w:after="0"/>
              <w:jc w:val="right"/>
              <w:rPr>
                <w:sz w:val="20"/>
                <w:lang w:val="en-US"/>
              </w:rPr>
            </w:pPr>
          </w:p>
        </w:tc>
        <w:tc>
          <w:tcPr>
            <w:tcW w:w="65" w:type="pct"/>
            <w:tcBorders>
              <w:top w:val="nil"/>
              <w:left w:val="nil"/>
              <w:right w:val="nil"/>
            </w:tcBorders>
            <w:shd w:val="clear" w:color="auto" w:fill="auto"/>
          </w:tcPr>
          <w:p>
            <w:pPr>
              <w:spacing w:after="0"/>
              <w:jc w:val="right"/>
              <w:rPr>
                <w:b/>
                <w:sz w:val="20"/>
                <w:lang w:val="en-US"/>
              </w:rPr>
            </w:pPr>
          </w:p>
        </w:tc>
        <w:tc>
          <w:tcPr>
            <w:tcW w:w="612" w:type="pct"/>
            <w:tcBorders>
              <w:top w:val="nil"/>
              <w:left w:val="nil"/>
              <w:right w:val="nil"/>
            </w:tcBorders>
            <w:shd w:val="clear" w:color="auto" w:fill="auto"/>
          </w:tcPr>
          <w:p>
            <w:pPr>
              <w:spacing w:after="0"/>
              <w:jc w:val="right"/>
              <w:rPr>
                <w:sz w:val="20"/>
                <w:highlight w:val="yellow"/>
                <w:lang w:val="en-US"/>
              </w:rPr>
            </w:pPr>
            <w:r>
              <w:rPr>
                <w:color w:val="000000"/>
                <w:sz w:val="20"/>
              </w:rPr>
              <w:t>47</w:t>
            </w:r>
            <w:r>
              <w:rPr>
                <w:color w:val="000000"/>
                <w:sz w:val="20"/>
              </w:rPr>
              <w:t>.0</w:t>
            </w:r>
            <w:r>
              <w:rPr>
                <w:color w:val="000000"/>
                <w:sz w:val="20"/>
              </w:rPr>
              <w:t xml:space="preserve"> (43.7-50.2)</w:t>
            </w:r>
          </w:p>
        </w:tc>
        <w:tc>
          <w:tcPr>
            <w:tcW w:w="1052" w:type="pct"/>
            <w:tcBorders>
              <w:top w:val="nil"/>
              <w:left w:val="nil"/>
              <w:right w:val="nil"/>
            </w:tcBorders>
            <w:shd w:val="clear" w:color="auto" w:fill="auto"/>
          </w:tcPr>
          <w:p>
            <w:pPr>
              <w:spacing w:after="0"/>
              <w:jc w:val="right"/>
              <w:rPr>
                <w:color w:val="000000"/>
                <w:sz w:val="20"/>
              </w:rPr>
            </w:pPr>
            <w:r>
              <w:rPr>
                <w:sz w:val="20"/>
                <w:lang w:val="en-US"/>
              </w:rPr>
              <w:t>1.00 (ref.)</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Q2</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color w:val="000000"/>
                <w:sz w:val="20"/>
              </w:rPr>
              <w:t>0.93 (0.82-1.06)</w:t>
            </w:r>
          </w:p>
        </w:tc>
        <w:tc>
          <w:tcPr>
            <w:tcW w:w="614" w:type="pct"/>
            <w:tcBorders>
              <w:top w:val="nil"/>
              <w:left w:val="nil"/>
              <w:bottom w:val="nil"/>
              <w:right w:val="nil"/>
            </w:tcBorders>
            <w:shd w:val="clear" w:color="auto" w:fill="auto"/>
            <w:noWrap/>
          </w:tcPr>
          <w:p>
            <w:pPr>
              <w:spacing w:after="0"/>
              <w:jc w:val="right"/>
              <w:rPr>
                <w:sz w:val="20"/>
                <w:lang w:val="en-US"/>
              </w:rPr>
            </w:pPr>
            <w:r>
              <w:rPr>
                <w:color w:val="000000"/>
                <w:sz w:val="20"/>
              </w:rPr>
              <w:t>0.94 (0.83-1.07)</w:t>
            </w:r>
          </w:p>
        </w:tc>
        <w:tc>
          <w:tcPr>
            <w:tcW w:w="613" w:type="pct"/>
            <w:tcBorders>
              <w:top w:val="nil"/>
              <w:left w:val="nil"/>
              <w:bottom w:val="nil"/>
              <w:right w:val="nil"/>
            </w:tcBorders>
            <w:shd w:val="clear" w:color="auto" w:fill="auto"/>
            <w:noWrap/>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2" w:type="pct"/>
            <w:tcBorders>
              <w:top w:val="nil"/>
              <w:left w:val="nil"/>
              <w:bottom w:val="nil"/>
              <w:right w:val="nil"/>
            </w:tcBorders>
            <w:shd w:val="clear" w:color="auto" w:fill="auto"/>
          </w:tcPr>
          <w:p>
            <w:pPr>
              <w:spacing w:after="0"/>
              <w:jc w:val="right"/>
              <w:rPr>
                <w:sz w:val="20"/>
                <w:highlight w:val="yellow"/>
                <w:lang w:val="en-US"/>
              </w:rPr>
            </w:pPr>
            <w:r>
              <w:rPr>
                <w:color w:val="000000"/>
                <w:sz w:val="20"/>
              </w:rPr>
              <w:t>49</w:t>
            </w:r>
            <w:r>
              <w:rPr>
                <w:color w:val="000000"/>
                <w:sz w:val="20"/>
              </w:rPr>
              <w:t>.0</w:t>
            </w:r>
            <w:r>
              <w:rPr>
                <w:color w:val="000000"/>
                <w:sz w:val="20"/>
              </w:rPr>
              <w:t xml:space="preserve"> (45.9-51.9)</w:t>
            </w:r>
          </w:p>
        </w:tc>
        <w:tc>
          <w:tcPr>
            <w:tcW w:w="1052" w:type="pct"/>
            <w:tcBorders>
              <w:top w:val="nil"/>
              <w:left w:val="nil"/>
              <w:bottom w:val="nil"/>
              <w:right w:val="nil"/>
            </w:tcBorders>
            <w:shd w:val="clear" w:color="auto" w:fill="auto"/>
          </w:tcPr>
          <w:p>
            <w:pPr>
              <w:spacing w:after="0"/>
              <w:jc w:val="right"/>
              <w:rPr>
                <w:color w:val="000000"/>
                <w:sz w:val="20"/>
              </w:rPr>
            </w:pPr>
            <w:r>
              <w:rPr>
                <w:color w:val="000000"/>
                <w:sz w:val="20"/>
              </w:rPr>
              <w:t>0.97 (0.85-1.1</w:t>
            </w:r>
            <w:r>
              <w:rPr>
                <w:color w:val="000000"/>
                <w:sz w:val="20"/>
              </w:rPr>
              <w:t>0</w:t>
            </w:r>
            <w:r>
              <w:rPr>
                <w:color w:val="000000"/>
                <w:sz w:val="20"/>
              </w:rPr>
              <w:t>)</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Q3</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color w:val="000000"/>
                <w:sz w:val="20"/>
              </w:rPr>
              <w:t>1.1</w:t>
            </w:r>
            <w:r>
              <w:rPr>
                <w:color w:val="000000"/>
                <w:sz w:val="20"/>
              </w:rPr>
              <w:t>0</w:t>
            </w:r>
            <w:r>
              <w:rPr>
                <w:color w:val="000000"/>
                <w:sz w:val="20"/>
              </w:rPr>
              <w:t xml:space="preserve"> (0.97-1.24)</w:t>
            </w:r>
          </w:p>
        </w:tc>
        <w:tc>
          <w:tcPr>
            <w:tcW w:w="614" w:type="pct"/>
            <w:tcBorders>
              <w:top w:val="nil"/>
              <w:left w:val="nil"/>
              <w:bottom w:val="nil"/>
              <w:right w:val="nil"/>
            </w:tcBorders>
            <w:shd w:val="clear" w:color="auto" w:fill="auto"/>
            <w:noWrap/>
          </w:tcPr>
          <w:p>
            <w:pPr>
              <w:spacing w:after="0"/>
              <w:jc w:val="right"/>
              <w:rPr>
                <w:color w:val="000000"/>
                <w:sz w:val="20"/>
              </w:rPr>
            </w:pPr>
            <w:r>
              <w:rPr>
                <w:color w:val="000000"/>
                <w:sz w:val="20"/>
              </w:rPr>
              <w:t>1.11 (0.98-1.26)</w:t>
            </w:r>
          </w:p>
        </w:tc>
        <w:tc>
          <w:tcPr>
            <w:tcW w:w="613" w:type="pct"/>
            <w:tcBorders>
              <w:top w:val="nil"/>
              <w:left w:val="nil"/>
              <w:bottom w:val="nil"/>
              <w:right w:val="nil"/>
            </w:tcBorders>
            <w:shd w:val="clear" w:color="auto" w:fill="auto"/>
            <w:noWrap/>
          </w:tcPr>
          <w:p>
            <w:pPr>
              <w:spacing w:after="0"/>
              <w:jc w:val="right"/>
              <w:rPr>
                <w:color w:val="000000"/>
                <w:sz w:val="20"/>
              </w:rPr>
            </w:pPr>
          </w:p>
        </w:tc>
        <w:tc>
          <w:tcPr>
            <w:tcW w:w="65" w:type="pct"/>
            <w:tcBorders>
              <w:top w:val="nil"/>
              <w:left w:val="nil"/>
              <w:bottom w:val="nil"/>
              <w:right w:val="nil"/>
            </w:tcBorders>
            <w:shd w:val="clear" w:color="auto" w:fill="auto"/>
          </w:tcPr>
          <w:p>
            <w:pPr>
              <w:spacing w:after="0"/>
              <w:jc w:val="right"/>
              <w:rPr>
                <w:color w:val="000000"/>
                <w:sz w:val="20"/>
              </w:rPr>
            </w:pPr>
          </w:p>
        </w:tc>
        <w:tc>
          <w:tcPr>
            <w:tcW w:w="612" w:type="pct"/>
            <w:tcBorders>
              <w:top w:val="nil"/>
              <w:left w:val="nil"/>
              <w:bottom w:val="nil"/>
              <w:right w:val="nil"/>
            </w:tcBorders>
            <w:shd w:val="clear" w:color="auto" w:fill="auto"/>
          </w:tcPr>
          <w:p>
            <w:pPr>
              <w:spacing w:after="0"/>
              <w:jc w:val="right"/>
              <w:rPr>
                <w:color w:val="000000"/>
                <w:sz w:val="20"/>
                <w:highlight w:val="yellow"/>
              </w:rPr>
            </w:pPr>
            <w:r>
              <w:rPr>
                <w:color w:val="000000"/>
                <w:sz w:val="20"/>
              </w:rPr>
              <w:t>43.5 (40.7-46.3)</w:t>
            </w:r>
          </w:p>
        </w:tc>
        <w:tc>
          <w:tcPr>
            <w:tcW w:w="1052" w:type="pct"/>
            <w:tcBorders>
              <w:top w:val="nil"/>
              <w:left w:val="nil"/>
              <w:bottom w:val="nil"/>
              <w:right w:val="nil"/>
            </w:tcBorders>
            <w:shd w:val="clear" w:color="auto" w:fill="auto"/>
          </w:tcPr>
          <w:p>
            <w:pPr>
              <w:spacing w:after="0"/>
              <w:jc w:val="right"/>
              <w:rPr>
                <w:color w:val="000000"/>
                <w:sz w:val="20"/>
              </w:rPr>
            </w:pPr>
            <w:r>
              <w:rPr>
                <w:b/>
                <w:color w:val="000000"/>
                <w:sz w:val="20"/>
                <w:lang w:val="en-US"/>
              </w:rPr>
              <w:t>1.14 (1.00-1.30)</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Q4</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b/>
                <w:sz w:val="20"/>
                <w:lang w:val="en-US"/>
              </w:rPr>
            </w:pPr>
            <w:r>
              <w:rPr>
                <w:b/>
                <w:color w:val="000000"/>
                <w:sz w:val="20"/>
              </w:rPr>
              <w:t>1.16 (1.03-1.31)</w:t>
            </w:r>
          </w:p>
        </w:tc>
        <w:tc>
          <w:tcPr>
            <w:tcW w:w="614" w:type="pct"/>
            <w:tcBorders>
              <w:top w:val="nil"/>
              <w:left w:val="nil"/>
              <w:bottom w:val="nil"/>
              <w:right w:val="nil"/>
            </w:tcBorders>
            <w:shd w:val="clear" w:color="auto" w:fill="auto"/>
            <w:noWrap/>
          </w:tcPr>
          <w:p>
            <w:pPr>
              <w:spacing w:after="0"/>
              <w:jc w:val="right"/>
              <w:rPr>
                <w:b/>
                <w:color w:val="000000"/>
                <w:sz w:val="20"/>
              </w:rPr>
            </w:pPr>
            <w:r>
              <w:rPr>
                <w:b/>
                <w:color w:val="000000"/>
                <w:sz w:val="20"/>
              </w:rPr>
              <w:t>1.17 (1.04-1.32)</w:t>
            </w:r>
          </w:p>
        </w:tc>
        <w:tc>
          <w:tcPr>
            <w:tcW w:w="613" w:type="pct"/>
            <w:tcBorders>
              <w:top w:val="nil"/>
              <w:left w:val="nil"/>
              <w:bottom w:val="nil"/>
              <w:right w:val="nil"/>
            </w:tcBorders>
            <w:shd w:val="clear" w:color="auto" w:fill="auto"/>
            <w:noWrap/>
          </w:tcPr>
          <w:p>
            <w:pPr>
              <w:spacing w:after="0"/>
              <w:jc w:val="right"/>
              <w:rPr>
                <w:color w:val="000000"/>
                <w:sz w:val="20"/>
              </w:rPr>
            </w:pPr>
          </w:p>
        </w:tc>
        <w:tc>
          <w:tcPr>
            <w:tcW w:w="65" w:type="pct"/>
            <w:tcBorders>
              <w:top w:val="nil"/>
              <w:left w:val="nil"/>
              <w:bottom w:val="nil"/>
              <w:right w:val="nil"/>
            </w:tcBorders>
            <w:shd w:val="clear" w:color="auto" w:fill="auto"/>
          </w:tcPr>
          <w:p>
            <w:pPr>
              <w:spacing w:after="0"/>
              <w:jc w:val="right"/>
              <w:rPr>
                <w:color w:val="000000"/>
                <w:sz w:val="20"/>
              </w:rPr>
            </w:pPr>
          </w:p>
        </w:tc>
        <w:tc>
          <w:tcPr>
            <w:tcW w:w="612" w:type="pct"/>
            <w:tcBorders>
              <w:top w:val="nil"/>
              <w:left w:val="nil"/>
              <w:bottom w:val="nil"/>
              <w:right w:val="nil"/>
            </w:tcBorders>
            <w:shd w:val="clear" w:color="auto" w:fill="auto"/>
          </w:tcPr>
          <w:p>
            <w:pPr>
              <w:spacing w:after="0"/>
              <w:jc w:val="right"/>
              <w:rPr>
                <w:color w:val="000000"/>
                <w:sz w:val="20"/>
                <w:highlight w:val="yellow"/>
              </w:rPr>
            </w:pPr>
            <w:r>
              <w:rPr>
                <w:color w:val="000000"/>
                <w:sz w:val="20"/>
              </w:rPr>
              <w:t>41.8 (38.9-44.6)</w:t>
            </w:r>
          </w:p>
        </w:tc>
        <w:tc>
          <w:tcPr>
            <w:tcW w:w="1052" w:type="pct"/>
            <w:tcBorders>
              <w:top w:val="nil"/>
              <w:left w:val="nil"/>
              <w:bottom w:val="nil"/>
              <w:right w:val="nil"/>
            </w:tcBorders>
            <w:shd w:val="clear" w:color="auto" w:fill="auto"/>
          </w:tcPr>
          <w:p>
            <w:pPr>
              <w:spacing w:after="0"/>
              <w:jc w:val="right"/>
              <w:rPr>
                <w:color w:val="000000"/>
                <w:sz w:val="20"/>
              </w:rPr>
            </w:pPr>
            <w:r>
              <w:rPr>
                <w:b/>
                <w:color w:val="000000"/>
                <w:sz w:val="20"/>
                <w:lang w:val="en-US"/>
              </w:rPr>
              <w:t>1.19 (1.05-1.35)</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Q5 (Most deprived)</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color w:val="000000"/>
                <w:sz w:val="20"/>
              </w:rPr>
              <w:t>1.12 (0.99-1.26)</w:t>
            </w:r>
          </w:p>
        </w:tc>
        <w:tc>
          <w:tcPr>
            <w:tcW w:w="614" w:type="pct"/>
            <w:tcBorders>
              <w:top w:val="nil"/>
              <w:left w:val="nil"/>
              <w:bottom w:val="nil"/>
              <w:right w:val="nil"/>
            </w:tcBorders>
            <w:shd w:val="clear" w:color="auto" w:fill="auto"/>
            <w:noWrap/>
          </w:tcPr>
          <w:p>
            <w:pPr>
              <w:spacing w:after="0"/>
              <w:jc w:val="right"/>
              <w:rPr>
                <w:b/>
                <w:color w:val="000000"/>
                <w:sz w:val="20"/>
                <w:lang w:val="en-US"/>
              </w:rPr>
            </w:pPr>
            <w:r>
              <w:rPr>
                <w:b/>
                <w:color w:val="000000"/>
                <w:sz w:val="20"/>
                <w:lang w:val="en-US"/>
              </w:rPr>
              <w:t>1.13 (1.00-1.28)</w:t>
            </w:r>
          </w:p>
        </w:tc>
        <w:tc>
          <w:tcPr>
            <w:tcW w:w="613" w:type="pct"/>
            <w:tcBorders>
              <w:top w:val="nil"/>
              <w:left w:val="nil"/>
              <w:bottom w:val="nil"/>
              <w:right w:val="nil"/>
            </w:tcBorders>
            <w:shd w:val="clear" w:color="auto" w:fill="auto"/>
            <w:noWrap/>
          </w:tcPr>
          <w:p>
            <w:pPr>
              <w:spacing w:after="0"/>
              <w:jc w:val="right"/>
              <w:rPr>
                <w:color w:val="000000"/>
                <w:sz w:val="20"/>
                <w:lang w:val="en-US"/>
              </w:rPr>
            </w:pPr>
          </w:p>
        </w:tc>
        <w:tc>
          <w:tcPr>
            <w:tcW w:w="65" w:type="pct"/>
            <w:tcBorders>
              <w:top w:val="nil"/>
              <w:left w:val="nil"/>
              <w:bottom w:val="nil"/>
              <w:right w:val="nil"/>
            </w:tcBorders>
            <w:shd w:val="clear" w:color="auto" w:fill="auto"/>
          </w:tcPr>
          <w:p>
            <w:pPr>
              <w:spacing w:after="0"/>
              <w:jc w:val="right"/>
              <w:rPr>
                <w:color w:val="000000"/>
                <w:sz w:val="20"/>
                <w:lang w:val="en-US"/>
              </w:rPr>
            </w:pPr>
          </w:p>
        </w:tc>
        <w:tc>
          <w:tcPr>
            <w:tcW w:w="612" w:type="pct"/>
            <w:tcBorders>
              <w:top w:val="nil"/>
              <w:left w:val="nil"/>
              <w:bottom w:val="nil"/>
              <w:right w:val="nil"/>
            </w:tcBorders>
            <w:shd w:val="clear" w:color="auto" w:fill="auto"/>
          </w:tcPr>
          <w:p>
            <w:pPr>
              <w:spacing w:after="0"/>
              <w:jc w:val="right"/>
              <w:rPr>
                <w:color w:val="000000"/>
                <w:sz w:val="20"/>
                <w:highlight w:val="yellow"/>
                <w:lang w:val="en-US"/>
              </w:rPr>
            </w:pPr>
            <w:r>
              <w:rPr>
                <w:color w:val="000000"/>
                <w:sz w:val="20"/>
                <w:lang w:val="en-US"/>
              </w:rPr>
              <w:t>42.9 (40.</w:t>
            </w:r>
            <w:r>
              <w:rPr>
                <w:color w:val="000000"/>
                <w:sz w:val="20"/>
                <w:lang w:val="en-US"/>
              </w:rPr>
              <w:t>0</w:t>
            </w:r>
            <w:r>
              <w:rPr>
                <w:color w:val="000000"/>
                <w:sz w:val="20"/>
                <w:lang w:val="en-US"/>
              </w:rPr>
              <w:t>-45.6)</w:t>
            </w:r>
          </w:p>
        </w:tc>
        <w:tc>
          <w:tcPr>
            <w:tcW w:w="1052" w:type="pct"/>
            <w:tcBorders>
              <w:top w:val="nil"/>
              <w:left w:val="nil"/>
              <w:bottom w:val="nil"/>
              <w:right w:val="nil"/>
            </w:tcBorders>
            <w:shd w:val="clear" w:color="auto" w:fill="auto"/>
          </w:tcPr>
          <w:p>
            <w:pPr>
              <w:spacing w:after="0"/>
              <w:jc w:val="right"/>
              <w:rPr>
                <w:color w:val="000000"/>
                <w:sz w:val="20"/>
                <w:lang w:val="en-US"/>
              </w:rPr>
            </w:pPr>
            <w:r>
              <w:rPr>
                <w:b/>
                <w:color w:val="000000"/>
                <w:sz w:val="20"/>
                <w:lang w:val="en-US"/>
              </w:rPr>
              <w:t>1.17 (1.03-1.32)</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Stage III</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r>
              <w:rPr>
                <w:sz w:val="20"/>
                <w:lang w:val="en-US"/>
              </w:rPr>
              <w:t>4,978 (82.3)</w:t>
            </w: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p>
        </w:tc>
        <w:tc>
          <w:tcPr>
            <w:tcW w:w="614" w:type="pct"/>
            <w:tcBorders>
              <w:top w:val="nil"/>
              <w:left w:val="nil"/>
              <w:bottom w:val="nil"/>
              <w:right w:val="nil"/>
            </w:tcBorders>
            <w:shd w:val="clear" w:color="auto" w:fill="auto"/>
            <w:noWrap/>
          </w:tcPr>
          <w:p>
            <w:pPr>
              <w:spacing w:after="0"/>
              <w:jc w:val="right"/>
              <w:rPr>
                <w:color w:val="000000"/>
                <w:sz w:val="20"/>
                <w:lang w:val="en-US"/>
              </w:rPr>
            </w:pPr>
          </w:p>
        </w:tc>
        <w:tc>
          <w:tcPr>
            <w:tcW w:w="613" w:type="pct"/>
            <w:tcBorders>
              <w:top w:val="nil"/>
              <w:left w:val="nil"/>
              <w:bottom w:val="nil"/>
              <w:right w:val="nil"/>
            </w:tcBorders>
            <w:shd w:val="clear" w:color="auto" w:fill="auto"/>
            <w:noWrap/>
          </w:tcPr>
          <w:p>
            <w:pPr>
              <w:spacing w:after="0"/>
              <w:jc w:val="right"/>
              <w:rPr>
                <w:color w:val="000000"/>
                <w:sz w:val="20"/>
                <w:lang w:val="en-US"/>
              </w:rPr>
            </w:pPr>
          </w:p>
        </w:tc>
        <w:tc>
          <w:tcPr>
            <w:tcW w:w="65" w:type="pct"/>
            <w:tcBorders>
              <w:top w:val="nil"/>
              <w:left w:val="nil"/>
              <w:bottom w:val="nil"/>
              <w:right w:val="nil"/>
            </w:tcBorders>
            <w:shd w:val="clear" w:color="auto" w:fill="auto"/>
          </w:tcPr>
          <w:p>
            <w:pPr>
              <w:spacing w:after="0"/>
              <w:jc w:val="right"/>
              <w:rPr>
                <w:color w:val="000000"/>
                <w:sz w:val="20"/>
                <w:lang w:val="en-US"/>
              </w:rPr>
            </w:pPr>
          </w:p>
        </w:tc>
        <w:tc>
          <w:tcPr>
            <w:tcW w:w="612" w:type="pct"/>
            <w:tcBorders>
              <w:top w:val="nil"/>
              <w:left w:val="nil"/>
              <w:bottom w:val="nil"/>
              <w:right w:val="nil"/>
            </w:tcBorders>
            <w:shd w:val="clear" w:color="auto" w:fill="auto"/>
          </w:tcPr>
          <w:p>
            <w:pPr>
              <w:spacing w:after="0"/>
              <w:jc w:val="right"/>
              <w:rPr>
                <w:color w:val="000000"/>
                <w:sz w:val="20"/>
                <w:highlight w:val="yellow"/>
                <w:lang w:val="en-US"/>
              </w:rPr>
            </w:pPr>
          </w:p>
        </w:tc>
        <w:tc>
          <w:tcPr>
            <w:tcW w:w="1052" w:type="pct"/>
            <w:tcBorders>
              <w:top w:val="nil"/>
              <w:left w:val="nil"/>
              <w:bottom w:val="nil"/>
              <w:right w:val="nil"/>
            </w:tcBorders>
            <w:shd w:val="clear" w:color="auto" w:fill="auto"/>
          </w:tcPr>
          <w:p>
            <w:pPr>
              <w:spacing w:after="0"/>
              <w:jc w:val="right"/>
              <w:rPr>
                <w:color w:val="000000"/>
                <w:sz w:val="20"/>
                <w:highlight w:val="yellow"/>
                <w:lang w:val="en-US"/>
              </w:rPr>
            </w:pP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Q1 (</w:t>
            </w:r>
            <w:r>
              <w:rPr>
                <w:color w:val="000000"/>
                <w:sz w:val="20"/>
                <w:lang w:val="en-US"/>
              </w:rPr>
              <w:t>Least deprived</w:t>
            </w:r>
            <w:r>
              <w:rPr>
                <w:color w:val="000000"/>
                <w:sz w:val="20"/>
                <w:lang w:val="en-US"/>
              </w:rPr>
              <w:t>)</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sz w:val="20"/>
                <w:lang w:val="en-US"/>
              </w:rPr>
              <w:t>1.00 (ref.)</w:t>
            </w:r>
          </w:p>
        </w:tc>
        <w:tc>
          <w:tcPr>
            <w:tcW w:w="614" w:type="pct"/>
            <w:tcBorders>
              <w:top w:val="nil"/>
              <w:left w:val="nil"/>
              <w:bottom w:val="nil"/>
              <w:right w:val="nil"/>
            </w:tcBorders>
            <w:shd w:val="clear" w:color="auto" w:fill="auto"/>
            <w:noWrap/>
          </w:tcPr>
          <w:p>
            <w:pPr>
              <w:spacing w:after="0"/>
              <w:jc w:val="right"/>
              <w:rPr>
                <w:color w:val="000000"/>
                <w:sz w:val="20"/>
                <w:lang w:val="en-US"/>
              </w:rPr>
            </w:pPr>
            <w:r>
              <w:rPr>
                <w:sz w:val="20"/>
                <w:lang w:val="en-US"/>
              </w:rPr>
              <w:t>1.00 (ref.)</w:t>
            </w:r>
          </w:p>
        </w:tc>
        <w:tc>
          <w:tcPr>
            <w:tcW w:w="613" w:type="pct"/>
            <w:tcBorders>
              <w:top w:val="nil"/>
              <w:left w:val="nil"/>
              <w:bottom w:val="nil"/>
              <w:right w:val="nil"/>
            </w:tcBorders>
            <w:shd w:val="clear" w:color="auto" w:fill="auto"/>
            <w:noWrap/>
          </w:tcPr>
          <w:p>
            <w:pPr>
              <w:spacing w:after="0"/>
              <w:jc w:val="right"/>
              <w:rPr>
                <w:color w:val="000000"/>
                <w:sz w:val="20"/>
                <w:lang w:val="en-US"/>
              </w:rPr>
            </w:pPr>
          </w:p>
        </w:tc>
        <w:tc>
          <w:tcPr>
            <w:tcW w:w="65" w:type="pct"/>
            <w:tcBorders>
              <w:top w:val="nil"/>
              <w:left w:val="nil"/>
              <w:bottom w:val="nil"/>
              <w:right w:val="nil"/>
            </w:tcBorders>
            <w:shd w:val="clear" w:color="auto" w:fill="auto"/>
          </w:tcPr>
          <w:p>
            <w:pPr>
              <w:spacing w:after="0"/>
              <w:jc w:val="right"/>
              <w:rPr>
                <w:color w:val="000000"/>
                <w:sz w:val="20"/>
                <w:lang w:val="en-US"/>
              </w:rPr>
            </w:pPr>
          </w:p>
        </w:tc>
        <w:tc>
          <w:tcPr>
            <w:tcW w:w="612" w:type="pct"/>
            <w:tcBorders>
              <w:top w:val="nil"/>
              <w:left w:val="nil"/>
              <w:bottom w:val="nil"/>
              <w:right w:val="nil"/>
            </w:tcBorders>
            <w:shd w:val="clear" w:color="auto" w:fill="auto"/>
          </w:tcPr>
          <w:p>
            <w:pPr>
              <w:spacing w:after="0"/>
              <w:jc w:val="right"/>
              <w:rPr>
                <w:color w:val="000000"/>
                <w:sz w:val="20"/>
                <w:highlight w:val="yellow"/>
                <w:lang w:val="en-US"/>
              </w:rPr>
            </w:pPr>
            <w:r>
              <w:rPr>
                <w:color w:val="000000"/>
                <w:sz w:val="20"/>
                <w:lang w:val="en-US"/>
              </w:rPr>
              <w:t>15.6 (13.6-17.8)</w:t>
            </w:r>
          </w:p>
        </w:tc>
        <w:tc>
          <w:tcPr>
            <w:tcW w:w="1052" w:type="pct"/>
            <w:tcBorders>
              <w:top w:val="nil"/>
              <w:left w:val="nil"/>
              <w:bottom w:val="nil"/>
              <w:right w:val="nil"/>
            </w:tcBorders>
            <w:shd w:val="clear" w:color="auto" w:fill="auto"/>
          </w:tcPr>
          <w:p>
            <w:pPr>
              <w:spacing w:after="0"/>
              <w:jc w:val="right"/>
              <w:rPr>
                <w:color w:val="000000"/>
                <w:sz w:val="20"/>
                <w:lang w:val="en-US"/>
              </w:rPr>
            </w:pPr>
            <w:r>
              <w:rPr>
                <w:sz w:val="20"/>
                <w:lang w:val="en-US"/>
              </w:rPr>
              <w:t>1.00 (ref.)</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Q2</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color w:val="000000"/>
                <w:sz w:val="20"/>
                <w:lang w:val="en-US"/>
              </w:rPr>
              <w:t>1.00 (0.91</w:t>
            </w:r>
            <w:r>
              <w:rPr>
                <w:color w:val="000000"/>
                <w:sz w:val="20"/>
              </w:rPr>
              <w:t>-1.1</w:t>
            </w:r>
            <w:r>
              <w:rPr>
                <w:color w:val="000000"/>
                <w:sz w:val="20"/>
              </w:rPr>
              <w:t>0</w:t>
            </w:r>
            <w:r>
              <w:rPr>
                <w:color w:val="000000"/>
                <w:sz w:val="20"/>
              </w:rPr>
              <w:t>)</w:t>
            </w:r>
          </w:p>
        </w:tc>
        <w:tc>
          <w:tcPr>
            <w:tcW w:w="614" w:type="pct"/>
            <w:tcBorders>
              <w:top w:val="nil"/>
              <w:left w:val="nil"/>
              <w:bottom w:val="nil"/>
              <w:right w:val="nil"/>
            </w:tcBorders>
            <w:shd w:val="clear" w:color="auto" w:fill="auto"/>
            <w:noWrap/>
          </w:tcPr>
          <w:p>
            <w:pPr>
              <w:spacing w:after="0"/>
              <w:jc w:val="right"/>
              <w:rPr>
                <w:color w:val="000000"/>
                <w:sz w:val="20"/>
              </w:rPr>
            </w:pPr>
            <w:r>
              <w:rPr>
                <w:color w:val="000000"/>
                <w:sz w:val="20"/>
              </w:rPr>
              <w:t>1</w:t>
            </w:r>
            <w:r>
              <w:rPr>
                <w:color w:val="000000"/>
                <w:sz w:val="20"/>
              </w:rPr>
              <w:t>.00</w:t>
            </w:r>
            <w:r>
              <w:rPr>
                <w:color w:val="000000"/>
                <w:sz w:val="20"/>
              </w:rPr>
              <w:t xml:space="preserve"> (0.91-1.1</w:t>
            </w:r>
            <w:r>
              <w:rPr>
                <w:color w:val="000000"/>
                <w:sz w:val="20"/>
              </w:rPr>
              <w:t>0</w:t>
            </w:r>
            <w:r>
              <w:rPr>
                <w:color w:val="000000"/>
                <w:sz w:val="20"/>
              </w:rPr>
              <w:t>)</w:t>
            </w:r>
          </w:p>
        </w:tc>
        <w:tc>
          <w:tcPr>
            <w:tcW w:w="613" w:type="pct"/>
            <w:tcBorders>
              <w:top w:val="nil"/>
              <w:left w:val="nil"/>
              <w:bottom w:val="nil"/>
              <w:right w:val="nil"/>
            </w:tcBorders>
            <w:shd w:val="clear" w:color="auto" w:fill="auto"/>
            <w:noWrap/>
          </w:tcPr>
          <w:p>
            <w:pPr>
              <w:spacing w:after="0"/>
              <w:jc w:val="right"/>
              <w:rPr>
                <w:color w:val="000000"/>
                <w:sz w:val="20"/>
              </w:rPr>
            </w:pPr>
          </w:p>
        </w:tc>
        <w:tc>
          <w:tcPr>
            <w:tcW w:w="65" w:type="pct"/>
            <w:tcBorders>
              <w:top w:val="nil"/>
              <w:left w:val="nil"/>
              <w:bottom w:val="nil"/>
              <w:right w:val="nil"/>
            </w:tcBorders>
            <w:shd w:val="clear" w:color="auto" w:fill="auto"/>
          </w:tcPr>
          <w:p>
            <w:pPr>
              <w:spacing w:after="0"/>
              <w:jc w:val="right"/>
              <w:rPr>
                <w:color w:val="000000"/>
                <w:sz w:val="20"/>
              </w:rPr>
            </w:pPr>
          </w:p>
        </w:tc>
        <w:tc>
          <w:tcPr>
            <w:tcW w:w="612" w:type="pct"/>
            <w:tcBorders>
              <w:top w:val="nil"/>
              <w:left w:val="nil"/>
              <w:bottom w:val="nil"/>
              <w:right w:val="nil"/>
            </w:tcBorders>
            <w:shd w:val="clear" w:color="auto" w:fill="auto"/>
          </w:tcPr>
          <w:p>
            <w:pPr>
              <w:spacing w:after="0"/>
              <w:jc w:val="right"/>
              <w:rPr>
                <w:color w:val="000000"/>
                <w:sz w:val="20"/>
                <w:highlight w:val="yellow"/>
              </w:rPr>
            </w:pPr>
            <w:r>
              <w:rPr>
                <w:color w:val="000000"/>
                <w:sz w:val="20"/>
              </w:rPr>
              <w:t>15.6 (13.7-17.6)</w:t>
            </w:r>
          </w:p>
        </w:tc>
        <w:tc>
          <w:tcPr>
            <w:tcW w:w="1052" w:type="pct"/>
            <w:tcBorders>
              <w:top w:val="nil"/>
              <w:left w:val="nil"/>
              <w:bottom w:val="nil"/>
              <w:right w:val="nil"/>
            </w:tcBorders>
            <w:shd w:val="clear" w:color="auto" w:fill="auto"/>
          </w:tcPr>
          <w:p>
            <w:pPr>
              <w:spacing w:after="0"/>
              <w:jc w:val="right"/>
              <w:rPr>
                <w:color w:val="000000"/>
                <w:sz w:val="20"/>
              </w:rPr>
            </w:pPr>
            <w:r>
              <w:rPr>
                <w:color w:val="000000"/>
                <w:sz w:val="20"/>
                <w:lang w:val="en-US"/>
              </w:rPr>
              <w:t>1.</w:t>
            </w:r>
            <w:r>
              <w:rPr>
                <w:color w:val="000000"/>
                <w:sz w:val="20"/>
                <w:lang w:val="en-US"/>
              </w:rPr>
              <w:t>00</w:t>
            </w:r>
            <w:r>
              <w:rPr>
                <w:color w:val="000000"/>
                <w:sz w:val="20"/>
                <w:lang w:val="en-US"/>
              </w:rPr>
              <w:t xml:space="preserve"> (0.91-1.1</w:t>
            </w:r>
            <w:r>
              <w:rPr>
                <w:color w:val="000000"/>
                <w:sz w:val="20"/>
                <w:lang w:val="en-US"/>
              </w:rPr>
              <w:t>0</w:t>
            </w:r>
            <w:r>
              <w:rPr>
                <w:color w:val="000000"/>
                <w:sz w:val="20"/>
                <w:lang w:val="en-US"/>
              </w:rPr>
              <w:t>)</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Q3</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color w:val="000000"/>
                <w:sz w:val="20"/>
              </w:rPr>
              <w:t>1.03 (0.94-1.13)</w:t>
            </w:r>
          </w:p>
        </w:tc>
        <w:tc>
          <w:tcPr>
            <w:tcW w:w="614" w:type="pct"/>
            <w:tcBorders>
              <w:top w:val="nil"/>
              <w:left w:val="nil"/>
              <w:bottom w:val="nil"/>
              <w:right w:val="nil"/>
            </w:tcBorders>
            <w:shd w:val="clear" w:color="auto" w:fill="auto"/>
            <w:noWrap/>
          </w:tcPr>
          <w:p>
            <w:pPr>
              <w:spacing w:after="0"/>
              <w:jc w:val="right"/>
              <w:rPr>
                <w:color w:val="000000"/>
                <w:sz w:val="20"/>
              </w:rPr>
            </w:pPr>
            <w:r>
              <w:rPr>
                <w:color w:val="000000"/>
                <w:sz w:val="20"/>
              </w:rPr>
              <w:t>1.03 (0.94-1.14)</w:t>
            </w:r>
          </w:p>
        </w:tc>
        <w:tc>
          <w:tcPr>
            <w:tcW w:w="613" w:type="pct"/>
            <w:tcBorders>
              <w:top w:val="nil"/>
              <w:left w:val="nil"/>
              <w:bottom w:val="nil"/>
              <w:right w:val="nil"/>
            </w:tcBorders>
            <w:shd w:val="clear" w:color="auto" w:fill="auto"/>
            <w:noWrap/>
          </w:tcPr>
          <w:p>
            <w:pPr>
              <w:spacing w:after="0"/>
              <w:jc w:val="right"/>
              <w:rPr>
                <w:color w:val="000000"/>
                <w:sz w:val="20"/>
              </w:rPr>
            </w:pPr>
          </w:p>
        </w:tc>
        <w:tc>
          <w:tcPr>
            <w:tcW w:w="65" w:type="pct"/>
            <w:tcBorders>
              <w:top w:val="nil"/>
              <w:left w:val="nil"/>
              <w:bottom w:val="nil"/>
              <w:right w:val="nil"/>
            </w:tcBorders>
            <w:shd w:val="clear" w:color="auto" w:fill="auto"/>
          </w:tcPr>
          <w:p>
            <w:pPr>
              <w:spacing w:after="0"/>
              <w:jc w:val="right"/>
              <w:rPr>
                <w:color w:val="000000"/>
                <w:sz w:val="20"/>
              </w:rPr>
            </w:pPr>
          </w:p>
        </w:tc>
        <w:tc>
          <w:tcPr>
            <w:tcW w:w="612" w:type="pct"/>
            <w:tcBorders>
              <w:top w:val="nil"/>
              <w:left w:val="nil"/>
              <w:bottom w:val="nil"/>
              <w:right w:val="nil"/>
            </w:tcBorders>
            <w:shd w:val="clear" w:color="auto" w:fill="auto"/>
          </w:tcPr>
          <w:p>
            <w:pPr>
              <w:spacing w:after="0"/>
              <w:jc w:val="right"/>
              <w:rPr>
                <w:color w:val="000000"/>
                <w:sz w:val="20"/>
                <w:highlight w:val="yellow"/>
              </w:rPr>
            </w:pPr>
            <w:r>
              <w:rPr>
                <w:color w:val="000000"/>
                <w:sz w:val="20"/>
              </w:rPr>
              <w:t>14.8 (12.9-16.7)</w:t>
            </w:r>
          </w:p>
        </w:tc>
        <w:tc>
          <w:tcPr>
            <w:tcW w:w="1052" w:type="pct"/>
            <w:tcBorders>
              <w:top w:val="nil"/>
              <w:left w:val="nil"/>
              <w:bottom w:val="nil"/>
              <w:right w:val="nil"/>
            </w:tcBorders>
            <w:shd w:val="clear" w:color="auto" w:fill="auto"/>
          </w:tcPr>
          <w:p>
            <w:pPr>
              <w:spacing w:after="0"/>
              <w:jc w:val="right"/>
              <w:rPr>
                <w:color w:val="000000"/>
                <w:sz w:val="20"/>
              </w:rPr>
            </w:pPr>
            <w:r>
              <w:rPr>
                <w:color w:val="000000"/>
                <w:sz w:val="20"/>
                <w:lang w:val="en-US"/>
              </w:rPr>
              <w:t>1.02 (0.92-1.12)</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Q4</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color w:val="000000"/>
                <w:sz w:val="20"/>
              </w:rPr>
              <w:t>1.02 (0.93-1.12)</w:t>
            </w:r>
          </w:p>
        </w:tc>
        <w:tc>
          <w:tcPr>
            <w:tcW w:w="614" w:type="pct"/>
            <w:tcBorders>
              <w:top w:val="nil"/>
              <w:left w:val="nil"/>
              <w:bottom w:val="nil"/>
              <w:right w:val="nil"/>
            </w:tcBorders>
            <w:shd w:val="clear" w:color="auto" w:fill="auto"/>
            <w:noWrap/>
          </w:tcPr>
          <w:p>
            <w:pPr>
              <w:spacing w:after="0"/>
              <w:jc w:val="right"/>
              <w:rPr>
                <w:color w:val="000000"/>
                <w:sz w:val="20"/>
              </w:rPr>
            </w:pPr>
            <w:r>
              <w:rPr>
                <w:color w:val="000000"/>
                <w:sz w:val="20"/>
              </w:rPr>
              <w:t>1.01 (0.92-1.12)</w:t>
            </w:r>
          </w:p>
        </w:tc>
        <w:tc>
          <w:tcPr>
            <w:tcW w:w="613" w:type="pct"/>
            <w:tcBorders>
              <w:top w:val="nil"/>
              <w:left w:val="nil"/>
              <w:bottom w:val="nil"/>
              <w:right w:val="nil"/>
            </w:tcBorders>
            <w:shd w:val="clear" w:color="auto" w:fill="auto"/>
            <w:noWrap/>
          </w:tcPr>
          <w:p>
            <w:pPr>
              <w:spacing w:after="0"/>
              <w:jc w:val="right"/>
              <w:rPr>
                <w:color w:val="000000"/>
                <w:sz w:val="20"/>
              </w:rPr>
            </w:pPr>
          </w:p>
        </w:tc>
        <w:tc>
          <w:tcPr>
            <w:tcW w:w="65" w:type="pct"/>
            <w:tcBorders>
              <w:top w:val="nil"/>
              <w:left w:val="nil"/>
              <w:bottom w:val="nil"/>
              <w:right w:val="nil"/>
            </w:tcBorders>
            <w:shd w:val="clear" w:color="auto" w:fill="auto"/>
          </w:tcPr>
          <w:p>
            <w:pPr>
              <w:spacing w:after="0"/>
              <w:jc w:val="right"/>
              <w:rPr>
                <w:color w:val="000000"/>
                <w:sz w:val="20"/>
              </w:rPr>
            </w:pPr>
          </w:p>
        </w:tc>
        <w:tc>
          <w:tcPr>
            <w:tcW w:w="612" w:type="pct"/>
            <w:tcBorders>
              <w:top w:val="nil"/>
              <w:left w:val="nil"/>
              <w:bottom w:val="nil"/>
              <w:right w:val="nil"/>
            </w:tcBorders>
            <w:shd w:val="clear" w:color="auto" w:fill="auto"/>
          </w:tcPr>
          <w:p>
            <w:pPr>
              <w:spacing w:after="0"/>
              <w:jc w:val="right"/>
              <w:rPr>
                <w:color w:val="000000"/>
                <w:sz w:val="20"/>
                <w:highlight w:val="yellow"/>
              </w:rPr>
            </w:pPr>
            <w:r>
              <w:rPr>
                <w:color w:val="000000"/>
                <w:sz w:val="20"/>
              </w:rPr>
              <w:t>15.3 (13.4-17.3)</w:t>
            </w:r>
          </w:p>
        </w:tc>
        <w:tc>
          <w:tcPr>
            <w:tcW w:w="1052" w:type="pct"/>
            <w:tcBorders>
              <w:top w:val="nil"/>
              <w:left w:val="nil"/>
              <w:bottom w:val="nil"/>
              <w:right w:val="nil"/>
            </w:tcBorders>
            <w:shd w:val="clear" w:color="auto" w:fill="auto"/>
          </w:tcPr>
          <w:p>
            <w:pPr>
              <w:spacing w:after="0"/>
              <w:jc w:val="right"/>
              <w:rPr>
                <w:color w:val="000000"/>
                <w:sz w:val="20"/>
              </w:rPr>
            </w:pPr>
            <w:r>
              <w:rPr>
                <w:color w:val="000000"/>
                <w:sz w:val="20"/>
                <w:lang w:val="en-US"/>
              </w:rPr>
              <w:t>0.99 (0.9</w:t>
            </w:r>
            <w:r>
              <w:rPr>
                <w:color w:val="000000"/>
                <w:sz w:val="20"/>
                <w:lang w:val="en-US"/>
              </w:rPr>
              <w:t>0</w:t>
            </w:r>
            <w:r>
              <w:rPr>
                <w:color w:val="000000"/>
                <w:sz w:val="20"/>
                <w:lang w:val="en-US"/>
              </w:rPr>
              <w:t>-1.1</w:t>
            </w:r>
            <w:r>
              <w:rPr>
                <w:color w:val="000000"/>
                <w:sz w:val="20"/>
                <w:lang w:val="en-US"/>
              </w:rPr>
              <w:t>0</w:t>
            </w:r>
            <w:r>
              <w:rPr>
                <w:color w:val="000000"/>
                <w:sz w:val="20"/>
                <w:lang w:val="en-US"/>
              </w:rPr>
              <w:t>)</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Q5 (Most deprived)</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b/>
                <w:color w:val="000000"/>
                <w:sz w:val="20"/>
              </w:rPr>
              <w:t>1.13 (1.03-1.23)</w:t>
            </w:r>
          </w:p>
        </w:tc>
        <w:tc>
          <w:tcPr>
            <w:tcW w:w="614" w:type="pct"/>
            <w:tcBorders>
              <w:top w:val="nil"/>
              <w:left w:val="nil"/>
              <w:bottom w:val="nil"/>
              <w:right w:val="nil"/>
            </w:tcBorders>
            <w:shd w:val="clear" w:color="auto" w:fill="auto"/>
            <w:noWrap/>
          </w:tcPr>
          <w:p>
            <w:pPr>
              <w:spacing w:after="0"/>
              <w:jc w:val="right"/>
              <w:rPr>
                <w:b/>
                <w:color w:val="000000"/>
                <w:sz w:val="20"/>
              </w:rPr>
            </w:pPr>
            <w:r>
              <w:rPr>
                <w:b/>
                <w:color w:val="000000"/>
                <w:sz w:val="20"/>
              </w:rPr>
              <w:t>1.13 (1.03-1.24)</w:t>
            </w:r>
          </w:p>
        </w:tc>
        <w:tc>
          <w:tcPr>
            <w:tcW w:w="613" w:type="pct"/>
            <w:tcBorders>
              <w:top w:val="nil"/>
              <w:left w:val="nil"/>
              <w:bottom w:val="nil"/>
              <w:right w:val="nil"/>
            </w:tcBorders>
            <w:shd w:val="clear" w:color="auto" w:fill="auto"/>
            <w:noWrap/>
          </w:tcPr>
          <w:p>
            <w:pPr>
              <w:spacing w:after="0"/>
              <w:jc w:val="right"/>
              <w:rPr>
                <w:color w:val="000000"/>
                <w:sz w:val="20"/>
              </w:rPr>
            </w:pPr>
          </w:p>
        </w:tc>
        <w:tc>
          <w:tcPr>
            <w:tcW w:w="65" w:type="pct"/>
            <w:tcBorders>
              <w:top w:val="nil"/>
              <w:left w:val="nil"/>
              <w:bottom w:val="nil"/>
              <w:right w:val="nil"/>
            </w:tcBorders>
            <w:shd w:val="clear" w:color="auto" w:fill="auto"/>
          </w:tcPr>
          <w:p>
            <w:pPr>
              <w:spacing w:after="0"/>
              <w:jc w:val="right"/>
              <w:rPr>
                <w:color w:val="000000"/>
                <w:sz w:val="20"/>
              </w:rPr>
            </w:pPr>
          </w:p>
        </w:tc>
        <w:tc>
          <w:tcPr>
            <w:tcW w:w="612" w:type="pct"/>
            <w:tcBorders>
              <w:top w:val="nil"/>
              <w:left w:val="nil"/>
              <w:bottom w:val="nil"/>
              <w:right w:val="nil"/>
            </w:tcBorders>
            <w:shd w:val="clear" w:color="auto" w:fill="auto"/>
          </w:tcPr>
          <w:p>
            <w:pPr>
              <w:spacing w:after="0"/>
              <w:jc w:val="right"/>
              <w:rPr>
                <w:color w:val="000000"/>
                <w:sz w:val="20"/>
                <w:highlight w:val="yellow"/>
                <w:lang w:val="en-US"/>
              </w:rPr>
            </w:pPr>
            <w:r>
              <w:rPr>
                <w:color w:val="000000"/>
                <w:sz w:val="20"/>
                <w:lang w:val="en-US"/>
              </w:rPr>
              <w:t>12.6 (11.</w:t>
            </w:r>
            <w:r>
              <w:rPr>
                <w:color w:val="000000"/>
                <w:sz w:val="20"/>
                <w:lang w:val="en-US"/>
              </w:rPr>
              <w:t>0</w:t>
            </w:r>
            <w:r>
              <w:rPr>
                <w:color w:val="000000"/>
                <w:sz w:val="20"/>
                <w:lang w:val="en-US"/>
              </w:rPr>
              <w:t>-14.2)</w:t>
            </w:r>
          </w:p>
        </w:tc>
        <w:tc>
          <w:tcPr>
            <w:tcW w:w="1052" w:type="pct"/>
            <w:tcBorders>
              <w:top w:val="nil"/>
              <w:left w:val="nil"/>
              <w:bottom w:val="nil"/>
              <w:right w:val="nil"/>
            </w:tcBorders>
            <w:shd w:val="clear" w:color="auto" w:fill="auto"/>
          </w:tcPr>
          <w:p>
            <w:pPr>
              <w:spacing w:after="0"/>
              <w:jc w:val="right"/>
              <w:rPr>
                <w:color w:val="000000"/>
                <w:sz w:val="20"/>
                <w:lang w:val="en-US"/>
              </w:rPr>
            </w:pPr>
            <w:r>
              <w:rPr>
                <w:b/>
                <w:color w:val="000000"/>
                <w:sz w:val="20"/>
                <w:lang w:val="en-US"/>
              </w:rPr>
              <w:t>1.11 (1.00-1.22)</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Stage IV</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r>
              <w:rPr>
                <w:sz w:val="20"/>
                <w:lang w:val="en-US"/>
              </w:rPr>
              <w:t>10,117 (89.9)</w:t>
            </w: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p>
        </w:tc>
        <w:tc>
          <w:tcPr>
            <w:tcW w:w="614" w:type="pct"/>
            <w:tcBorders>
              <w:top w:val="nil"/>
              <w:left w:val="nil"/>
              <w:bottom w:val="nil"/>
              <w:right w:val="nil"/>
            </w:tcBorders>
            <w:shd w:val="clear" w:color="auto" w:fill="auto"/>
            <w:noWrap/>
          </w:tcPr>
          <w:p>
            <w:pPr>
              <w:spacing w:after="0"/>
              <w:jc w:val="right"/>
              <w:rPr>
                <w:color w:val="000000"/>
                <w:sz w:val="20"/>
                <w:lang w:val="en-US"/>
              </w:rPr>
            </w:pPr>
          </w:p>
        </w:tc>
        <w:tc>
          <w:tcPr>
            <w:tcW w:w="613" w:type="pct"/>
            <w:tcBorders>
              <w:top w:val="nil"/>
              <w:left w:val="nil"/>
              <w:bottom w:val="nil"/>
              <w:right w:val="nil"/>
            </w:tcBorders>
            <w:shd w:val="clear" w:color="auto" w:fill="auto"/>
            <w:noWrap/>
          </w:tcPr>
          <w:p>
            <w:pPr>
              <w:spacing w:after="0"/>
              <w:jc w:val="right"/>
              <w:rPr>
                <w:color w:val="000000"/>
                <w:sz w:val="20"/>
                <w:lang w:val="en-US"/>
              </w:rPr>
            </w:pPr>
          </w:p>
        </w:tc>
        <w:tc>
          <w:tcPr>
            <w:tcW w:w="65" w:type="pct"/>
            <w:tcBorders>
              <w:top w:val="nil"/>
              <w:left w:val="nil"/>
              <w:bottom w:val="nil"/>
              <w:right w:val="nil"/>
            </w:tcBorders>
            <w:shd w:val="clear" w:color="auto" w:fill="auto"/>
          </w:tcPr>
          <w:p>
            <w:pPr>
              <w:spacing w:after="0"/>
              <w:jc w:val="right"/>
              <w:rPr>
                <w:color w:val="000000"/>
                <w:sz w:val="20"/>
                <w:lang w:val="en-US"/>
              </w:rPr>
            </w:pPr>
          </w:p>
        </w:tc>
        <w:tc>
          <w:tcPr>
            <w:tcW w:w="612" w:type="pct"/>
            <w:tcBorders>
              <w:top w:val="nil"/>
              <w:left w:val="nil"/>
              <w:bottom w:val="nil"/>
              <w:right w:val="nil"/>
            </w:tcBorders>
            <w:shd w:val="clear" w:color="auto" w:fill="auto"/>
          </w:tcPr>
          <w:p>
            <w:pPr>
              <w:spacing w:after="0"/>
              <w:jc w:val="right"/>
              <w:rPr>
                <w:color w:val="000000"/>
                <w:sz w:val="20"/>
                <w:highlight w:val="yellow"/>
                <w:lang w:val="en-US"/>
              </w:rPr>
            </w:pPr>
          </w:p>
        </w:tc>
        <w:tc>
          <w:tcPr>
            <w:tcW w:w="1052" w:type="pct"/>
            <w:tcBorders>
              <w:top w:val="nil"/>
              <w:left w:val="nil"/>
              <w:bottom w:val="nil"/>
              <w:right w:val="nil"/>
            </w:tcBorders>
            <w:shd w:val="clear" w:color="auto" w:fill="auto"/>
          </w:tcPr>
          <w:p>
            <w:pPr>
              <w:spacing w:after="0"/>
              <w:jc w:val="right"/>
              <w:rPr>
                <w:color w:val="000000"/>
                <w:sz w:val="20"/>
                <w:highlight w:val="yellow"/>
                <w:lang w:val="en-US"/>
              </w:rPr>
            </w:pP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Q1 (Least deprived)</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sz w:val="20"/>
                <w:lang w:val="en-US"/>
              </w:rPr>
              <w:t>1.00 (ref.)</w:t>
            </w:r>
          </w:p>
        </w:tc>
        <w:tc>
          <w:tcPr>
            <w:tcW w:w="614" w:type="pct"/>
            <w:tcBorders>
              <w:top w:val="nil"/>
              <w:left w:val="nil"/>
              <w:bottom w:val="nil"/>
              <w:right w:val="nil"/>
            </w:tcBorders>
            <w:shd w:val="clear" w:color="auto" w:fill="auto"/>
            <w:noWrap/>
          </w:tcPr>
          <w:p>
            <w:pPr>
              <w:spacing w:after="0"/>
              <w:jc w:val="right"/>
              <w:rPr>
                <w:color w:val="000000"/>
                <w:sz w:val="20"/>
                <w:lang w:val="en-US"/>
              </w:rPr>
            </w:pPr>
            <w:r>
              <w:rPr>
                <w:sz w:val="20"/>
                <w:lang w:val="en-US"/>
              </w:rPr>
              <w:t>1.00 (ref.)</w:t>
            </w:r>
          </w:p>
        </w:tc>
        <w:tc>
          <w:tcPr>
            <w:tcW w:w="613" w:type="pct"/>
            <w:tcBorders>
              <w:top w:val="nil"/>
              <w:left w:val="nil"/>
              <w:bottom w:val="nil"/>
              <w:right w:val="nil"/>
            </w:tcBorders>
            <w:shd w:val="clear" w:color="auto" w:fill="auto"/>
            <w:noWrap/>
          </w:tcPr>
          <w:p>
            <w:pPr>
              <w:spacing w:after="0"/>
              <w:jc w:val="right"/>
              <w:rPr>
                <w:color w:val="000000"/>
                <w:sz w:val="20"/>
                <w:lang w:val="en-US"/>
              </w:rPr>
            </w:pPr>
          </w:p>
        </w:tc>
        <w:tc>
          <w:tcPr>
            <w:tcW w:w="65" w:type="pct"/>
            <w:tcBorders>
              <w:top w:val="nil"/>
              <w:left w:val="nil"/>
              <w:bottom w:val="nil"/>
              <w:right w:val="nil"/>
            </w:tcBorders>
            <w:shd w:val="clear" w:color="auto" w:fill="auto"/>
          </w:tcPr>
          <w:p>
            <w:pPr>
              <w:spacing w:after="0"/>
              <w:jc w:val="right"/>
              <w:rPr>
                <w:color w:val="000000"/>
                <w:sz w:val="20"/>
                <w:lang w:val="en-US"/>
              </w:rPr>
            </w:pPr>
          </w:p>
        </w:tc>
        <w:tc>
          <w:tcPr>
            <w:tcW w:w="612" w:type="pct"/>
            <w:tcBorders>
              <w:top w:val="nil"/>
              <w:left w:val="nil"/>
              <w:bottom w:val="nil"/>
              <w:right w:val="nil"/>
            </w:tcBorders>
            <w:shd w:val="clear" w:color="auto" w:fill="auto"/>
          </w:tcPr>
          <w:p>
            <w:pPr>
              <w:spacing w:after="0"/>
              <w:jc w:val="right"/>
              <w:rPr>
                <w:color w:val="000000"/>
                <w:sz w:val="20"/>
                <w:highlight w:val="yellow"/>
                <w:lang w:val="en-US"/>
              </w:rPr>
            </w:pPr>
            <w:r>
              <w:rPr>
                <w:color w:val="000000"/>
                <w:sz w:val="20"/>
                <w:lang w:val="en-US"/>
              </w:rPr>
              <w:t>4.7 (3.9-5.6)</w:t>
            </w:r>
          </w:p>
        </w:tc>
        <w:tc>
          <w:tcPr>
            <w:tcW w:w="1052" w:type="pct"/>
            <w:tcBorders>
              <w:top w:val="nil"/>
              <w:left w:val="nil"/>
              <w:bottom w:val="nil"/>
              <w:right w:val="nil"/>
            </w:tcBorders>
            <w:shd w:val="clear" w:color="auto" w:fill="auto"/>
          </w:tcPr>
          <w:p>
            <w:pPr>
              <w:spacing w:after="0"/>
              <w:jc w:val="right"/>
              <w:rPr>
                <w:color w:val="000000"/>
                <w:sz w:val="20"/>
                <w:lang w:val="en-US"/>
              </w:rPr>
            </w:pPr>
            <w:r>
              <w:rPr>
                <w:sz w:val="20"/>
                <w:lang w:val="en-US"/>
              </w:rPr>
              <w:t>1.00 (ref.)</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Q2</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color w:val="000000"/>
                <w:sz w:val="20"/>
                <w:lang w:val="en-US"/>
              </w:rPr>
              <w:t>1.03 (0.97-1.</w:t>
            </w:r>
            <w:r>
              <w:rPr>
                <w:color w:val="000000"/>
                <w:sz w:val="20"/>
              </w:rPr>
              <w:t>11)</w:t>
            </w:r>
          </w:p>
        </w:tc>
        <w:tc>
          <w:tcPr>
            <w:tcW w:w="614" w:type="pct"/>
            <w:tcBorders>
              <w:top w:val="nil"/>
              <w:left w:val="nil"/>
              <w:bottom w:val="nil"/>
              <w:right w:val="nil"/>
            </w:tcBorders>
            <w:shd w:val="clear" w:color="auto" w:fill="auto"/>
            <w:noWrap/>
          </w:tcPr>
          <w:p>
            <w:pPr>
              <w:spacing w:after="0"/>
              <w:jc w:val="right"/>
              <w:rPr>
                <w:color w:val="000000"/>
                <w:sz w:val="20"/>
              </w:rPr>
            </w:pPr>
            <w:r>
              <w:rPr>
                <w:color w:val="000000"/>
                <w:sz w:val="20"/>
              </w:rPr>
              <w:t>1.03 (0.96-1.1</w:t>
            </w:r>
            <w:r>
              <w:rPr>
                <w:color w:val="000000"/>
                <w:sz w:val="20"/>
              </w:rPr>
              <w:t>0</w:t>
            </w:r>
            <w:r>
              <w:rPr>
                <w:color w:val="000000"/>
                <w:sz w:val="20"/>
              </w:rPr>
              <w:t>)</w:t>
            </w:r>
          </w:p>
        </w:tc>
        <w:tc>
          <w:tcPr>
            <w:tcW w:w="613" w:type="pct"/>
            <w:tcBorders>
              <w:top w:val="nil"/>
              <w:left w:val="nil"/>
              <w:bottom w:val="nil"/>
              <w:right w:val="nil"/>
            </w:tcBorders>
            <w:shd w:val="clear" w:color="auto" w:fill="auto"/>
            <w:noWrap/>
          </w:tcPr>
          <w:p>
            <w:pPr>
              <w:spacing w:after="0"/>
              <w:jc w:val="right"/>
              <w:rPr>
                <w:color w:val="000000"/>
                <w:sz w:val="20"/>
              </w:rPr>
            </w:pPr>
          </w:p>
        </w:tc>
        <w:tc>
          <w:tcPr>
            <w:tcW w:w="65" w:type="pct"/>
            <w:tcBorders>
              <w:top w:val="nil"/>
              <w:left w:val="nil"/>
              <w:bottom w:val="nil"/>
              <w:right w:val="nil"/>
            </w:tcBorders>
            <w:shd w:val="clear" w:color="auto" w:fill="auto"/>
          </w:tcPr>
          <w:p>
            <w:pPr>
              <w:spacing w:after="0"/>
              <w:jc w:val="right"/>
              <w:rPr>
                <w:color w:val="000000"/>
                <w:sz w:val="20"/>
              </w:rPr>
            </w:pPr>
          </w:p>
        </w:tc>
        <w:tc>
          <w:tcPr>
            <w:tcW w:w="612" w:type="pct"/>
            <w:tcBorders>
              <w:top w:val="nil"/>
              <w:left w:val="nil"/>
              <w:bottom w:val="nil"/>
              <w:right w:val="nil"/>
            </w:tcBorders>
            <w:shd w:val="clear" w:color="auto" w:fill="auto"/>
          </w:tcPr>
          <w:p>
            <w:pPr>
              <w:spacing w:after="0"/>
              <w:jc w:val="right"/>
              <w:rPr>
                <w:color w:val="000000"/>
                <w:sz w:val="20"/>
                <w:highlight w:val="yellow"/>
              </w:rPr>
            </w:pPr>
            <w:r>
              <w:rPr>
                <w:color w:val="000000"/>
                <w:sz w:val="20"/>
              </w:rPr>
              <w:t>4.3 (3.6-5</w:t>
            </w:r>
            <w:r>
              <w:rPr>
                <w:color w:val="000000"/>
                <w:sz w:val="20"/>
              </w:rPr>
              <w:t>.0</w:t>
            </w:r>
            <w:r>
              <w:rPr>
                <w:color w:val="000000"/>
                <w:sz w:val="20"/>
              </w:rPr>
              <w:t>)</w:t>
            </w:r>
          </w:p>
        </w:tc>
        <w:tc>
          <w:tcPr>
            <w:tcW w:w="1052" w:type="pct"/>
            <w:tcBorders>
              <w:top w:val="nil"/>
              <w:left w:val="nil"/>
              <w:bottom w:val="nil"/>
              <w:right w:val="nil"/>
            </w:tcBorders>
            <w:shd w:val="clear" w:color="auto" w:fill="auto"/>
          </w:tcPr>
          <w:p>
            <w:pPr>
              <w:spacing w:after="0"/>
              <w:jc w:val="right"/>
              <w:rPr>
                <w:color w:val="000000"/>
                <w:sz w:val="20"/>
              </w:rPr>
            </w:pPr>
            <w:r>
              <w:rPr>
                <w:color w:val="000000"/>
                <w:sz w:val="20"/>
              </w:rPr>
              <w:t>1.01 (0.94-1.08)</w:t>
            </w:r>
          </w:p>
        </w:tc>
      </w:tr>
      <w:tr>
        <w:trPr>
          <w:trHeight w:val="255"/>
        </w:trPr>
        <w:tc>
          <w:tcPr>
            <w:tcW w:w="793"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Q3</w:t>
            </w:r>
          </w:p>
        </w:tc>
        <w:tc>
          <w:tcPr>
            <w:tcW w:w="65" w:type="pct"/>
            <w:tcBorders>
              <w:top w:val="nil"/>
              <w:left w:val="nil"/>
              <w:bottom w:val="nil"/>
              <w:right w:val="nil"/>
            </w:tcBorders>
            <w:shd w:val="clear" w:color="auto" w:fill="auto"/>
          </w:tcPr>
          <w:p>
            <w:pPr>
              <w:spacing w:after="0"/>
              <w:jc w:val="right"/>
              <w:rPr>
                <w:sz w:val="20"/>
                <w:lang w:val="en-US"/>
              </w:rPr>
            </w:pPr>
          </w:p>
        </w:tc>
        <w:tc>
          <w:tcPr>
            <w:tcW w:w="503" w:type="pct"/>
            <w:tcBorders>
              <w:top w:val="nil"/>
              <w:left w:val="nil"/>
              <w:bottom w:val="nil"/>
              <w:right w:val="nil"/>
            </w:tcBorders>
            <w:shd w:val="clear" w:color="auto" w:fill="auto"/>
          </w:tcPr>
          <w:p>
            <w:pPr>
              <w:spacing w:after="0"/>
              <w:jc w:val="right"/>
              <w:rPr>
                <w:sz w:val="20"/>
                <w:lang w:val="en-US"/>
              </w:rPr>
            </w:pPr>
          </w:p>
        </w:tc>
        <w:tc>
          <w:tcPr>
            <w:tcW w:w="65" w:type="pct"/>
            <w:tcBorders>
              <w:top w:val="nil"/>
              <w:left w:val="nil"/>
              <w:bottom w:val="nil"/>
              <w:right w:val="nil"/>
            </w:tcBorders>
            <w:shd w:val="clear" w:color="auto" w:fill="auto"/>
          </w:tcPr>
          <w:p>
            <w:pPr>
              <w:spacing w:after="0"/>
              <w:jc w:val="right"/>
              <w:rPr>
                <w:sz w:val="20"/>
                <w:lang w:val="en-US"/>
              </w:rPr>
            </w:pPr>
          </w:p>
        </w:tc>
        <w:tc>
          <w:tcPr>
            <w:tcW w:w="618" w:type="pct"/>
            <w:tcBorders>
              <w:top w:val="nil"/>
              <w:left w:val="nil"/>
              <w:bottom w:val="nil"/>
              <w:right w:val="nil"/>
            </w:tcBorders>
            <w:shd w:val="clear" w:color="auto" w:fill="auto"/>
            <w:noWrap/>
          </w:tcPr>
          <w:p>
            <w:pPr>
              <w:spacing w:after="0"/>
              <w:jc w:val="right"/>
              <w:rPr>
                <w:sz w:val="20"/>
                <w:lang w:val="en-US"/>
              </w:rPr>
            </w:pPr>
            <w:r>
              <w:rPr>
                <w:color w:val="000000"/>
                <w:sz w:val="20"/>
              </w:rPr>
              <w:t>1</w:t>
            </w:r>
            <w:r>
              <w:rPr>
                <w:color w:val="000000"/>
                <w:sz w:val="20"/>
              </w:rPr>
              <w:t>.00</w:t>
            </w:r>
            <w:r>
              <w:rPr>
                <w:color w:val="000000"/>
                <w:sz w:val="20"/>
              </w:rPr>
              <w:t xml:space="preserve"> (0.93-1.07)</w:t>
            </w:r>
          </w:p>
        </w:tc>
        <w:tc>
          <w:tcPr>
            <w:tcW w:w="614" w:type="pct"/>
            <w:tcBorders>
              <w:top w:val="nil"/>
              <w:left w:val="nil"/>
              <w:bottom w:val="nil"/>
              <w:right w:val="nil"/>
            </w:tcBorders>
            <w:shd w:val="clear" w:color="auto" w:fill="auto"/>
            <w:noWrap/>
          </w:tcPr>
          <w:p>
            <w:pPr>
              <w:spacing w:after="0"/>
              <w:jc w:val="right"/>
              <w:rPr>
                <w:color w:val="000000"/>
                <w:sz w:val="20"/>
              </w:rPr>
            </w:pPr>
            <w:r>
              <w:rPr>
                <w:color w:val="000000"/>
                <w:sz w:val="20"/>
              </w:rPr>
              <w:t>1</w:t>
            </w:r>
            <w:r>
              <w:rPr>
                <w:color w:val="000000"/>
                <w:sz w:val="20"/>
              </w:rPr>
              <w:t>.00</w:t>
            </w:r>
            <w:r>
              <w:rPr>
                <w:color w:val="000000"/>
                <w:sz w:val="20"/>
              </w:rPr>
              <w:t xml:space="preserve"> (0.93-1.06)</w:t>
            </w:r>
          </w:p>
        </w:tc>
        <w:tc>
          <w:tcPr>
            <w:tcW w:w="613" w:type="pct"/>
            <w:tcBorders>
              <w:top w:val="nil"/>
              <w:left w:val="nil"/>
              <w:bottom w:val="nil"/>
              <w:right w:val="nil"/>
            </w:tcBorders>
            <w:shd w:val="clear" w:color="auto" w:fill="auto"/>
            <w:noWrap/>
          </w:tcPr>
          <w:p>
            <w:pPr>
              <w:spacing w:after="0"/>
              <w:jc w:val="right"/>
              <w:rPr>
                <w:color w:val="000000"/>
                <w:sz w:val="20"/>
              </w:rPr>
            </w:pPr>
          </w:p>
        </w:tc>
        <w:tc>
          <w:tcPr>
            <w:tcW w:w="65" w:type="pct"/>
            <w:tcBorders>
              <w:top w:val="nil"/>
              <w:left w:val="nil"/>
              <w:bottom w:val="nil"/>
              <w:right w:val="nil"/>
            </w:tcBorders>
            <w:shd w:val="clear" w:color="auto" w:fill="auto"/>
          </w:tcPr>
          <w:p>
            <w:pPr>
              <w:spacing w:after="0"/>
              <w:jc w:val="right"/>
              <w:rPr>
                <w:color w:val="000000"/>
                <w:sz w:val="20"/>
              </w:rPr>
            </w:pPr>
          </w:p>
        </w:tc>
        <w:tc>
          <w:tcPr>
            <w:tcW w:w="612" w:type="pct"/>
            <w:tcBorders>
              <w:top w:val="nil"/>
              <w:left w:val="nil"/>
              <w:bottom w:val="nil"/>
              <w:right w:val="nil"/>
            </w:tcBorders>
            <w:shd w:val="clear" w:color="auto" w:fill="auto"/>
          </w:tcPr>
          <w:p>
            <w:pPr>
              <w:spacing w:after="0"/>
              <w:jc w:val="right"/>
              <w:rPr>
                <w:color w:val="000000"/>
                <w:sz w:val="20"/>
                <w:highlight w:val="yellow"/>
              </w:rPr>
            </w:pPr>
            <w:r>
              <w:rPr>
                <w:color w:val="000000"/>
                <w:sz w:val="20"/>
              </w:rPr>
              <w:t>4.8 (4.1-5.6)</w:t>
            </w:r>
          </w:p>
        </w:tc>
        <w:tc>
          <w:tcPr>
            <w:tcW w:w="1052" w:type="pct"/>
            <w:tcBorders>
              <w:top w:val="nil"/>
              <w:left w:val="nil"/>
              <w:bottom w:val="nil"/>
              <w:right w:val="nil"/>
            </w:tcBorders>
            <w:shd w:val="clear" w:color="auto" w:fill="auto"/>
          </w:tcPr>
          <w:p>
            <w:pPr>
              <w:spacing w:after="0"/>
              <w:jc w:val="right"/>
              <w:rPr>
                <w:color w:val="000000"/>
                <w:sz w:val="20"/>
              </w:rPr>
            </w:pPr>
            <w:r>
              <w:rPr>
                <w:color w:val="000000"/>
                <w:sz w:val="20"/>
              </w:rPr>
              <w:t>0.96 (0.89-1.03)</w:t>
            </w:r>
          </w:p>
        </w:tc>
      </w:tr>
      <w:tr>
        <w:trPr>
          <w:trHeight w:val="255"/>
        </w:trPr>
        <w:tc>
          <w:tcPr>
            <w:tcW w:w="793" w:type="pct"/>
            <w:tcBorders>
              <w:top w:val="nil"/>
              <w:left w:val="nil"/>
              <w:right w:val="nil"/>
            </w:tcBorders>
            <w:shd w:val="clear" w:color="auto" w:fill="auto"/>
            <w:noWrap/>
            <w:vAlign w:val="bottom"/>
          </w:tcPr>
          <w:p>
            <w:pPr>
              <w:spacing w:after="0"/>
              <w:rPr>
                <w:color w:val="000000"/>
                <w:sz w:val="20"/>
                <w:lang w:val="en-US"/>
              </w:rPr>
            </w:pPr>
            <w:r>
              <w:rPr>
                <w:color w:val="000000"/>
                <w:sz w:val="20"/>
                <w:lang w:val="en-US"/>
              </w:rPr>
              <w:t>Q4</w:t>
            </w:r>
          </w:p>
        </w:tc>
        <w:tc>
          <w:tcPr>
            <w:tcW w:w="65" w:type="pct"/>
            <w:tcBorders>
              <w:top w:val="nil"/>
              <w:left w:val="nil"/>
              <w:right w:val="nil"/>
            </w:tcBorders>
            <w:shd w:val="clear" w:color="auto" w:fill="auto"/>
          </w:tcPr>
          <w:p>
            <w:pPr>
              <w:spacing w:after="0"/>
              <w:jc w:val="right"/>
              <w:rPr>
                <w:sz w:val="20"/>
                <w:lang w:val="en-US"/>
              </w:rPr>
            </w:pPr>
          </w:p>
        </w:tc>
        <w:tc>
          <w:tcPr>
            <w:tcW w:w="503" w:type="pct"/>
            <w:tcBorders>
              <w:top w:val="nil"/>
              <w:left w:val="nil"/>
              <w:right w:val="nil"/>
            </w:tcBorders>
            <w:shd w:val="clear" w:color="auto" w:fill="auto"/>
          </w:tcPr>
          <w:p>
            <w:pPr>
              <w:spacing w:after="0"/>
              <w:jc w:val="right"/>
              <w:rPr>
                <w:sz w:val="20"/>
                <w:lang w:val="en-US"/>
              </w:rPr>
            </w:pPr>
          </w:p>
        </w:tc>
        <w:tc>
          <w:tcPr>
            <w:tcW w:w="65" w:type="pct"/>
            <w:tcBorders>
              <w:top w:val="nil"/>
              <w:left w:val="nil"/>
              <w:right w:val="nil"/>
            </w:tcBorders>
            <w:shd w:val="clear" w:color="auto" w:fill="auto"/>
          </w:tcPr>
          <w:p>
            <w:pPr>
              <w:spacing w:after="0"/>
              <w:jc w:val="right"/>
              <w:rPr>
                <w:sz w:val="20"/>
                <w:lang w:val="en-US"/>
              </w:rPr>
            </w:pPr>
          </w:p>
        </w:tc>
        <w:tc>
          <w:tcPr>
            <w:tcW w:w="618" w:type="pct"/>
            <w:tcBorders>
              <w:top w:val="nil"/>
              <w:left w:val="nil"/>
              <w:right w:val="nil"/>
            </w:tcBorders>
            <w:shd w:val="clear" w:color="auto" w:fill="auto"/>
            <w:noWrap/>
          </w:tcPr>
          <w:p>
            <w:pPr>
              <w:spacing w:after="0"/>
              <w:jc w:val="right"/>
              <w:rPr>
                <w:sz w:val="20"/>
                <w:lang w:val="en-US"/>
              </w:rPr>
            </w:pPr>
            <w:r>
              <w:rPr>
                <w:color w:val="000000"/>
                <w:sz w:val="20"/>
              </w:rPr>
              <w:t>1.03 (0.97-1.1</w:t>
            </w:r>
            <w:r>
              <w:rPr>
                <w:color w:val="000000"/>
                <w:sz w:val="20"/>
              </w:rPr>
              <w:t>0</w:t>
            </w:r>
            <w:r>
              <w:rPr>
                <w:color w:val="000000"/>
                <w:sz w:val="20"/>
              </w:rPr>
              <w:t>)</w:t>
            </w:r>
          </w:p>
        </w:tc>
        <w:tc>
          <w:tcPr>
            <w:tcW w:w="614" w:type="pct"/>
            <w:tcBorders>
              <w:top w:val="nil"/>
              <w:left w:val="nil"/>
              <w:right w:val="nil"/>
            </w:tcBorders>
            <w:shd w:val="clear" w:color="auto" w:fill="auto"/>
            <w:noWrap/>
          </w:tcPr>
          <w:p>
            <w:pPr>
              <w:spacing w:after="0"/>
              <w:jc w:val="right"/>
              <w:rPr>
                <w:color w:val="000000"/>
                <w:sz w:val="20"/>
              </w:rPr>
            </w:pPr>
            <w:r>
              <w:rPr>
                <w:color w:val="000000"/>
                <w:sz w:val="20"/>
              </w:rPr>
              <w:t>1.02 (0.96-1.1</w:t>
            </w:r>
            <w:r>
              <w:rPr>
                <w:color w:val="000000"/>
                <w:sz w:val="20"/>
              </w:rPr>
              <w:t>0</w:t>
            </w:r>
            <w:r>
              <w:rPr>
                <w:color w:val="000000"/>
                <w:sz w:val="20"/>
              </w:rPr>
              <w:t>)</w:t>
            </w:r>
          </w:p>
        </w:tc>
        <w:tc>
          <w:tcPr>
            <w:tcW w:w="613" w:type="pct"/>
            <w:tcBorders>
              <w:top w:val="nil"/>
              <w:left w:val="nil"/>
              <w:right w:val="nil"/>
            </w:tcBorders>
            <w:shd w:val="clear" w:color="auto" w:fill="auto"/>
            <w:noWrap/>
          </w:tcPr>
          <w:p>
            <w:pPr>
              <w:spacing w:after="0"/>
              <w:jc w:val="right"/>
              <w:rPr>
                <w:color w:val="000000"/>
                <w:sz w:val="20"/>
              </w:rPr>
            </w:pPr>
          </w:p>
        </w:tc>
        <w:tc>
          <w:tcPr>
            <w:tcW w:w="65" w:type="pct"/>
            <w:tcBorders>
              <w:top w:val="nil"/>
              <w:left w:val="nil"/>
              <w:right w:val="nil"/>
            </w:tcBorders>
            <w:shd w:val="clear" w:color="auto" w:fill="auto"/>
          </w:tcPr>
          <w:p>
            <w:pPr>
              <w:spacing w:after="0"/>
              <w:jc w:val="right"/>
              <w:rPr>
                <w:color w:val="000000"/>
                <w:sz w:val="20"/>
              </w:rPr>
            </w:pPr>
          </w:p>
        </w:tc>
        <w:tc>
          <w:tcPr>
            <w:tcW w:w="612" w:type="pct"/>
            <w:tcBorders>
              <w:top w:val="nil"/>
              <w:left w:val="nil"/>
              <w:right w:val="nil"/>
            </w:tcBorders>
            <w:shd w:val="clear" w:color="auto" w:fill="auto"/>
          </w:tcPr>
          <w:p>
            <w:pPr>
              <w:spacing w:after="0"/>
              <w:jc w:val="right"/>
              <w:rPr>
                <w:color w:val="000000"/>
                <w:sz w:val="20"/>
                <w:highlight w:val="yellow"/>
              </w:rPr>
            </w:pPr>
            <w:r>
              <w:rPr>
                <w:color w:val="000000"/>
                <w:sz w:val="20"/>
              </w:rPr>
              <w:t>4.4 (3.7-5.2)</w:t>
            </w:r>
          </w:p>
        </w:tc>
        <w:tc>
          <w:tcPr>
            <w:tcW w:w="1052" w:type="pct"/>
            <w:tcBorders>
              <w:top w:val="nil"/>
              <w:left w:val="nil"/>
              <w:right w:val="nil"/>
            </w:tcBorders>
            <w:shd w:val="clear" w:color="auto" w:fill="auto"/>
          </w:tcPr>
          <w:p>
            <w:pPr>
              <w:spacing w:after="0"/>
              <w:jc w:val="right"/>
              <w:rPr>
                <w:color w:val="000000"/>
                <w:sz w:val="20"/>
              </w:rPr>
            </w:pPr>
            <w:r>
              <w:rPr>
                <w:color w:val="000000"/>
                <w:sz w:val="20"/>
              </w:rPr>
              <w:t>0.99 (0.93-1.06)</w:t>
            </w:r>
          </w:p>
        </w:tc>
      </w:tr>
      <w:tr>
        <w:trPr>
          <w:trHeight w:val="255"/>
        </w:trPr>
        <w:tc>
          <w:tcPr>
            <w:tcW w:w="793" w:type="pct"/>
            <w:tcBorders>
              <w:top w:val="nil"/>
              <w:left w:val="nil"/>
              <w:bottom w:val="single" w:sz="4" w:space="0" w:color="auto"/>
              <w:right w:val="nil"/>
            </w:tcBorders>
            <w:shd w:val="clear" w:color="auto" w:fill="auto"/>
            <w:noWrap/>
            <w:vAlign w:val="bottom"/>
          </w:tcPr>
          <w:p>
            <w:pPr>
              <w:spacing w:after="0"/>
              <w:rPr>
                <w:color w:val="000000"/>
                <w:sz w:val="20"/>
                <w:lang w:val="en-US"/>
              </w:rPr>
            </w:pPr>
            <w:r>
              <w:rPr>
                <w:color w:val="000000"/>
                <w:sz w:val="20"/>
                <w:lang w:val="en-US"/>
              </w:rPr>
              <w:t>Q5 (Most deprived)</w:t>
            </w:r>
          </w:p>
        </w:tc>
        <w:tc>
          <w:tcPr>
            <w:tcW w:w="65" w:type="pct"/>
            <w:tcBorders>
              <w:top w:val="nil"/>
              <w:left w:val="nil"/>
              <w:bottom w:val="single" w:sz="4" w:space="0" w:color="auto"/>
              <w:right w:val="nil"/>
            </w:tcBorders>
            <w:shd w:val="clear" w:color="auto" w:fill="auto"/>
          </w:tcPr>
          <w:p>
            <w:pPr>
              <w:spacing w:after="0"/>
              <w:jc w:val="right"/>
              <w:rPr>
                <w:sz w:val="20"/>
                <w:lang w:val="en-US"/>
              </w:rPr>
            </w:pPr>
          </w:p>
        </w:tc>
        <w:tc>
          <w:tcPr>
            <w:tcW w:w="503" w:type="pct"/>
            <w:tcBorders>
              <w:top w:val="nil"/>
              <w:left w:val="nil"/>
              <w:bottom w:val="single" w:sz="4" w:space="0" w:color="auto"/>
              <w:right w:val="nil"/>
            </w:tcBorders>
            <w:shd w:val="clear" w:color="auto" w:fill="auto"/>
          </w:tcPr>
          <w:p>
            <w:pPr>
              <w:spacing w:after="0"/>
              <w:jc w:val="right"/>
              <w:rPr>
                <w:sz w:val="20"/>
                <w:lang w:val="en-US"/>
              </w:rPr>
            </w:pPr>
          </w:p>
        </w:tc>
        <w:tc>
          <w:tcPr>
            <w:tcW w:w="65" w:type="pct"/>
            <w:tcBorders>
              <w:top w:val="nil"/>
              <w:left w:val="nil"/>
              <w:bottom w:val="single" w:sz="4" w:space="0" w:color="auto"/>
              <w:right w:val="nil"/>
            </w:tcBorders>
            <w:shd w:val="clear" w:color="auto" w:fill="auto"/>
          </w:tcPr>
          <w:p>
            <w:pPr>
              <w:spacing w:after="0"/>
              <w:jc w:val="right"/>
              <w:rPr>
                <w:sz w:val="20"/>
                <w:lang w:val="en-US"/>
              </w:rPr>
            </w:pPr>
          </w:p>
        </w:tc>
        <w:tc>
          <w:tcPr>
            <w:tcW w:w="618" w:type="pct"/>
            <w:tcBorders>
              <w:top w:val="nil"/>
              <w:left w:val="nil"/>
              <w:bottom w:val="single" w:sz="4" w:space="0" w:color="auto"/>
              <w:right w:val="nil"/>
            </w:tcBorders>
            <w:shd w:val="clear" w:color="auto" w:fill="auto"/>
            <w:noWrap/>
          </w:tcPr>
          <w:p>
            <w:pPr>
              <w:spacing w:after="0"/>
              <w:jc w:val="right"/>
              <w:rPr>
                <w:sz w:val="20"/>
                <w:lang w:val="en-US"/>
              </w:rPr>
            </w:pPr>
            <w:r>
              <w:rPr>
                <w:color w:val="000000"/>
                <w:sz w:val="20"/>
              </w:rPr>
              <w:t>1.01 (0.94-1.07)</w:t>
            </w:r>
          </w:p>
        </w:tc>
        <w:tc>
          <w:tcPr>
            <w:tcW w:w="614" w:type="pct"/>
            <w:tcBorders>
              <w:top w:val="nil"/>
              <w:left w:val="nil"/>
              <w:bottom w:val="single" w:sz="4" w:space="0" w:color="auto"/>
              <w:right w:val="nil"/>
            </w:tcBorders>
            <w:shd w:val="clear" w:color="auto" w:fill="auto"/>
            <w:noWrap/>
          </w:tcPr>
          <w:p>
            <w:pPr>
              <w:spacing w:after="0"/>
              <w:jc w:val="right"/>
              <w:rPr>
                <w:color w:val="000000"/>
                <w:sz w:val="20"/>
                <w:lang w:val="en-US"/>
              </w:rPr>
            </w:pPr>
            <w:r>
              <w:rPr>
                <w:color w:val="000000"/>
                <w:sz w:val="20"/>
                <w:lang w:val="en-US"/>
              </w:rPr>
              <w:t>1.</w:t>
            </w:r>
            <w:r>
              <w:rPr>
                <w:color w:val="000000"/>
                <w:sz w:val="20"/>
                <w:lang w:val="en-US"/>
              </w:rPr>
              <w:t>00</w:t>
            </w:r>
            <w:r>
              <w:rPr>
                <w:color w:val="000000"/>
                <w:sz w:val="20"/>
                <w:lang w:val="en-US"/>
              </w:rPr>
              <w:t xml:space="preserve"> (0.94-1.07)</w:t>
            </w:r>
          </w:p>
        </w:tc>
        <w:tc>
          <w:tcPr>
            <w:tcW w:w="613" w:type="pct"/>
            <w:tcBorders>
              <w:top w:val="nil"/>
              <w:left w:val="nil"/>
              <w:bottom w:val="single" w:sz="4" w:space="0" w:color="auto"/>
              <w:right w:val="nil"/>
            </w:tcBorders>
            <w:shd w:val="clear" w:color="auto" w:fill="auto"/>
            <w:noWrap/>
          </w:tcPr>
          <w:p>
            <w:pPr>
              <w:spacing w:after="0"/>
              <w:jc w:val="right"/>
              <w:rPr>
                <w:color w:val="000000"/>
                <w:sz w:val="20"/>
                <w:lang w:val="en-US"/>
              </w:rPr>
            </w:pPr>
          </w:p>
        </w:tc>
        <w:tc>
          <w:tcPr>
            <w:tcW w:w="65" w:type="pct"/>
            <w:tcBorders>
              <w:top w:val="nil"/>
              <w:left w:val="nil"/>
              <w:bottom w:val="single" w:sz="4" w:space="0" w:color="auto"/>
              <w:right w:val="nil"/>
            </w:tcBorders>
            <w:shd w:val="clear" w:color="auto" w:fill="auto"/>
          </w:tcPr>
          <w:p>
            <w:pPr>
              <w:spacing w:after="0"/>
              <w:jc w:val="right"/>
              <w:rPr>
                <w:color w:val="000000"/>
                <w:sz w:val="20"/>
                <w:lang w:val="en-US"/>
              </w:rPr>
            </w:pPr>
          </w:p>
        </w:tc>
        <w:tc>
          <w:tcPr>
            <w:tcW w:w="612" w:type="pct"/>
            <w:tcBorders>
              <w:top w:val="nil"/>
              <w:left w:val="nil"/>
              <w:bottom w:val="single" w:sz="4" w:space="0" w:color="auto"/>
              <w:right w:val="nil"/>
            </w:tcBorders>
            <w:shd w:val="clear" w:color="auto" w:fill="auto"/>
          </w:tcPr>
          <w:p>
            <w:pPr>
              <w:spacing w:after="0"/>
              <w:jc w:val="right"/>
              <w:rPr>
                <w:color w:val="000000"/>
                <w:sz w:val="20"/>
                <w:highlight w:val="yellow"/>
                <w:lang w:val="en-US"/>
              </w:rPr>
            </w:pPr>
            <w:r>
              <w:rPr>
                <w:color w:val="000000"/>
                <w:sz w:val="20"/>
                <w:lang w:val="en-US"/>
              </w:rPr>
              <w:t>4.7 (4.</w:t>
            </w:r>
            <w:r>
              <w:rPr>
                <w:color w:val="000000"/>
                <w:sz w:val="20"/>
                <w:lang w:val="en-US"/>
              </w:rPr>
              <w:t>0</w:t>
            </w:r>
            <w:r>
              <w:rPr>
                <w:color w:val="000000"/>
                <w:sz w:val="20"/>
                <w:lang w:val="en-US"/>
              </w:rPr>
              <w:t>-5.4)</w:t>
            </w:r>
          </w:p>
        </w:tc>
        <w:tc>
          <w:tcPr>
            <w:tcW w:w="1052" w:type="pct"/>
            <w:tcBorders>
              <w:top w:val="nil"/>
              <w:left w:val="nil"/>
              <w:bottom w:val="single" w:sz="4" w:space="0" w:color="auto"/>
              <w:right w:val="nil"/>
            </w:tcBorders>
            <w:shd w:val="clear" w:color="auto" w:fill="auto"/>
          </w:tcPr>
          <w:p>
            <w:pPr>
              <w:spacing w:after="0"/>
              <w:jc w:val="right"/>
              <w:rPr>
                <w:color w:val="000000"/>
                <w:sz w:val="20"/>
                <w:lang w:val="en-US"/>
              </w:rPr>
            </w:pPr>
            <w:r>
              <w:rPr>
                <w:color w:val="000000"/>
                <w:sz w:val="20"/>
                <w:lang w:val="en-US"/>
              </w:rPr>
              <w:t>0.96 (0.89-1.03)</w:t>
            </w:r>
          </w:p>
        </w:tc>
      </w:tr>
    </w:tbl>
    <w:p>
      <w:pPr>
        <w:spacing w:after="0"/>
        <w:rPr>
          <w:lang w:val="en-US"/>
        </w:rPr>
      </w:pPr>
      <w:r>
        <w:rPr>
          <w:lang w:val="en-US"/>
        </w:rPr>
        <w:br w:type="textWrapping" w:clear="all"/>
        <w:t>Abbreviations: N, number of events;</w:t>
      </w:r>
    </w:p>
    <w:p>
      <w:pPr>
        <w:spacing w:after="0"/>
        <w:rPr>
          <w:rFonts w:cstheme="minorHAnsi"/>
          <w:lang w:val="en-US"/>
        </w:rPr>
      </w:pPr>
      <w:r>
        <w:rPr>
          <w:vertAlign w:val="superscript"/>
          <w:lang w:val="en-US"/>
        </w:rPr>
        <w:t>a</w:t>
      </w:r>
      <w:r>
        <w:rPr>
          <w:lang w:val="en-US"/>
        </w:rPr>
        <w:t>Adjusted for age group (</w:t>
      </w:r>
      <w:r>
        <w:rPr>
          <w:lang w:val="en-US"/>
        </w:rPr>
        <w:t>15-54 years, 55-59 years, 60-64 years, 65-69 years, 70-74 years, 75+ years),</w:t>
      </w:r>
      <w:r>
        <w:rPr>
          <w:lang w:val="en-US"/>
        </w:rPr>
        <w:t xml:space="preserve"> </w:t>
      </w:r>
      <w:r>
        <w:rPr>
          <w:lang w:val="en-US"/>
        </w:rPr>
        <w:t>sex (males, females) and year of diagnosis.</w:t>
      </w:r>
    </w:p>
    <w:p>
      <w:pPr>
        <w:spacing w:after="0"/>
        <w:rPr>
          <w:lang w:val="en-US"/>
        </w:rPr>
      </w:pPr>
      <w:r>
        <w:rPr>
          <w:vertAlign w:val="superscript"/>
          <w:lang w:val="en-US"/>
        </w:rPr>
        <w:t>b</w:t>
      </w:r>
      <w:r>
        <w:rPr>
          <w:lang w:val="en-US"/>
        </w:rPr>
        <w:t>Same adjustment as model 1 plus cancer subtype (NSCLC, SCLC) and grading (</w:t>
      </w:r>
      <w:r>
        <w:rPr>
          <w:lang w:val="en-US"/>
        </w:rPr>
        <w:t>well- or moderately differentiated, poorly or undifferentiated</w:t>
      </w:r>
      <w:r>
        <w:rPr>
          <w:lang w:val="en-US"/>
        </w:rPr>
        <w:t>)</w:t>
      </w:r>
      <w:r>
        <w:rPr>
          <w:lang w:val="en-US"/>
        </w:rPr>
        <w:t>.</w:t>
      </w:r>
    </w:p>
    <w:p>
      <w:pPr>
        <w:spacing w:after="0"/>
        <w:rPr>
          <w:lang w:val="en-US"/>
        </w:rPr>
      </w:pPr>
      <w:r>
        <w:rPr>
          <w:vertAlign w:val="superscript"/>
          <w:lang w:val="en-US"/>
        </w:rPr>
        <w:t>c</w:t>
      </w:r>
      <w:r>
        <w:rPr>
          <w:lang w:val="en-US"/>
        </w:rPr>
        <w:t>Same adjustment as model  2 plus stage at diagnosis (I, II, III, IV)</w:t>
      </w:r>
      <w:r>
        <w:rPr>
          <w:lang w:val="en-US"/>
        </w:rPr>
        <w:t>. In stage stratified analyses, this is the same model as model 2.</w:t>
      </w:r>
    </w:p>
    <w:p>
      <w:pPr>
        <w:spacing w:after="0"/>
        <w:rPr>
          <w:lang w:val="en-US"/>
        </w:rPr>
      </w:pPr>
      <w:r>
        <w:rPr>
          <w:vertAlign w:val="superscript"/>
          <w:lang w:val="en-US"/>
        </w:rPr>
        <w:t>d</w:t>
      </w:r>
      <w:r>
        <w:rPr>
          <w:lang w:val="en-US"/>
        </w:rPr>
        <w:t xml:space="preserve">Same adjustment as model 3 plus </w:t>
      </w:r>
      <w:r>
        <w:rPr>
          <w:rFonts w:cstheme="minorHAnsi"/>
          <w:lang w:val="en-US"/>
        </w:rPr>
        <w:t>registry (Dresden, Erfurt, Regensburg)</w:t>
      </w:r>
      <w:r>
        <w:rPr>
          <w:rFonts w:cstheme="minorHAnsi"/>
          <w:lang w:val="en-US"/>
        </w:rPr>
        <w:t>.</w:t>
      </w:r>
    </w:p>
    <w:p>
      <w:pPr>
        <w:spacing w:line="360" w:lineRule="auto"/>
        <w:jc w:val="both"/>
        <w:rPr>
          <w:rFonts w:cstheme="minorHAnsi"/>
          <w:lang w:val="en-US"/>
        </w:rPr>
      </w:pPr>
      <w:r>
        <w:rPr>
          <w:rFonts w:cstheme="minorHAnsi"/>
          <w:lang w:val="en-US"/>
        </w:rPr>
        <w:t>*Hazard ratios with p&lt;0.05 are printed in bold;</w:t>
      </w:r>
    </w:p>
    <w:p>
      <w:pPr>
        <w:spacing w:line="360" w:lineRule="auto"/>
        <w:jc w:val="both"/>
        <w:rPr>
          <w:rFonts w:cstheme="minorHAnsi"/>
          <w:lang w:val="en-US"/>
        </w:rPr>
      </w:pPr>
    </w:p>
    <w:p>
      <w:pPr>
        <w:pStyle w:val="Beschriftung"/>
        <w:keepNext/>
        <w:spacing w:after="0"/>
        <w:rPr>
          <w:b/>
          <w:i w:val="0"/>
          <w:color w:val="auto"/>
          <w:sz w:val="22"/>
          <w:lang w:val="en-US"/>
        </w:rPr>
      </w:pPr>
      <w:r>
        <w:rPr>
          <w:b/>
          <w:i w:val="0"/>
          <w:color w:val="auto"/>
          <w:sz w:val="22"/>
          <w:lang w:val="en-US"/>
        </w:rPr>
        <w:br w:type="page"/>
      </w:r>
    </w:p>
    <w:p>
      <w:pPr>
        <w:pStyle w:val="Beschriftung"/>
        <w:keepNext/>
        <w:spacing w:after="0"/>
        <w:rPr>
          <w:i w:val="0"/>
          <w:color w:val="auto"/>
          <w:sz w:val="22"/>
          <w:lang w:val="en-US"/>
        </w:rPr>
      </w:pPr>
      <w:r>
        <w:rPr>
          <w:b/>
          <w:i w:val="0"/>
          <w:color w:val="auto"/>
          <w:sz w:val="22"/>
          <w:lang w:val="en-US"/>
        </w:rPr>
        <w:t>Table 4</w:t>
      </w:r>
      <w:r>
        <w:rPr>
          <w:i w:val="0"/>
          <w:color w:val="auto"/>
          <w:sz w:val="22"/>
          <w:lang w:val="en-US"/>
        </w:rPr>
        <w:t xml:space="preserve"> Association</w:t>
      </w:r>
      <w:r>
        <w:rPr>
          <w:i w:val="0"/>
          <w:color w:val="auto"/>
          <w:sz w:val="22"/>
          <w:lang w:val="en-US"/>
        </w:rPr>
        <w:t xml:space="preserve"> between </w:t>
      </w:r>
      <w:r>
        <w:rPr>
          <w:i w:val="0"/>
          <w:color w:val="auto"/>
          <w:sz w:val="22"/>
          <w:lang w:val="en-US"/>
        </w:rPr>
        <w:t xml:space="preserve">region-specific area-based </w:t>
      </w:r>
      <w:r>
        <w:rPr>
          <w:i w:val="0"/>
          <w:color w:val="auto"/>
          <w:sz w:val="22"/>
          <w:lang w:val="en-US"/>
        </w:rPr>
        <w:t xml:space="preserve">socioeconomic deprivation and </w:t>
      </w:r>
      <w:r>
        <w:rPr>
          <w:i w:val="0"/>
          <w:color w:val="auto"/>
          <w:sz w:val="22"/>
          <w:lang w:val="en-US"/>
        </w:rPr>
        <w:t>lung cancer survival overall stratified by three German clinical cancer registries</w:t>
      </w:r>
    </w:p>
    <w:tbl>
      <w:tblPr>
        <w:tblW w:w="4499" w:type="pct"/>
        <w:tblLayout w:type="fixed"/>
        <w:tblCellMar>
          <w:left w:w="70" w:type="dxa"/>
          <w:right w:w="70" w:type="dxa"/>
        </w:tblCellMar>
        <w:tblLook w:val="04A0" w:firstRow="1" w:lastRow="0" w:firstColumn="1" w:lastColumn="0" w:noHBand="0" w:noVBand="1"/>
      </w:tblPr>
      <w:tblGrid>
        <w:gridCol w:w="1622"/>
        <w:gridCol w:w="211"/>
        <w:gridCol w:w="1219"/>
        <w:gridCol w:w="180"/>
        <w:gridCol w:w="1499"/>
        <w:gridCol w:w="1530"/>
        <w:gridCol w:w="1530"/>
        <w:gridCol w:w="1640"/>
        <w:gridCol w:w="1586"/>
        <w:gridCol w:w="1838"/>
      </w:tblGrid>
      <w:tr>
        <w:trPr>
          <w:trHeight w:val="255"/>
          <w:tblHeader/>
        </w:trPr>
        <w:tc>
          <w:tcPr>
            <w:tcW w:w="631" w:type="pct"/>
            <w:tcBorders>
              <w:top w:val="single" w:sz="4" w:space="0" w:color="auto"/>
              <w:left w:val="nil"/>
              <w:bottom w:val="single" w:sz="4" w:space="0" w:color="auto"/>
              <w:right w:val="nil"/>
            </w:tcBorders>
            <w:shd w:val="clear" w:color="auto" w:fill="auto"/>
            <w:noWrap/>
            <w:vAlign w:val="bottom"/>
            <w:hideMark/>
          </w:tcPr>
          <w:p>
            <w:pPr>
              <w:spacing w:after="0"/>
              <w:rPr>
                <w:b/>
                <w:bCs/>
                <w:color w:val="000000"/>
                <w:sz w:val="20"/>
                <w:lang w:val="en-US"/>
              </w:rPr>
            </w:pPr>
            <w:r>
              <w:rPr>
                <w:b/>
                <w:bCs/>
                <w:color w:val="000000"/>
                <w:sz w:val="20"/>
                <w:lang w:val="en-US"/>
              </w:rPr>
              <w:t>Registry</w:t>
            </w:r>
          </w:p>
        </w:tc>
        <w:tc>
          <w:tcPr>
            <w:tcW w:w="82" w:type="pct"/>
            <w:tcBorders>
              <w:top w:val="single" w:sz="4" w:space="0" w:color="auto"/>
              <w:left w:val="nil"/>
              <w:right w:val="nil"/>
            </w:tcBorders>
          </w:tcPr>
          <w:p>
            <w:pPr>
              <w:spacing w:after="0"/>
              <w:jc w:val="center"/>
              <w:rPr>
                <w:b/>
                <w:bCs/>
                <w:color w:val="000000"/>
                <w:sz w:val="20"/>
                <w:lang w:val="en-US"/>
              </w:rPr>
            </w:pPr>
          </w:p>
        </w:tc>
        <w:tc>
          <w:tcPr>
            <w:tcW w:w="474" w:type="pct"/>
            <w:tcBorders>
              <w:top w:val="single" w:sz="4" w:space="0" w:color="auto"/>
              <w:left w:val="nil"/>
              <w:bottom w:val="single" w:sz="4" w:space="0" w:color="auto"/>
              <w:right w:val="nil"/>
            </w:tcBorders>
          </w:tcPr>
          <w:p>
            <w:pPr>
              <w:spacing w:after="0"/>
              <w:jc w:val="center"/>
              <w:rPr>
                <w:b/>
                <w:bCs/>
                <w:color w:val="000000"/>
                <w:sz w:val="20"/>
                <w:lang w:val="en-US"/>
              </w:rPr>
            </w:pPr>
            <w:r>
              <w:rPr>
                <w:b/>
                <w:bCs/>
                <w:color w:val="000000"/>
                <w:sz w:val="20"/>
                <w:lang w:val="en-US"/>
              </w:rPr>
              <w:t>Events</w:t>
            </w:r>
          </w:p>
          <w:p>
            <w:pPr>
              <w:spacing w:after="0"/>
              <w:jc w:val="center"/>
              <w:rPr>
                <w:b/>
                <w:bCs/>
                <w:color w:val="000000"/>
                <w:sz w:val="20"/>
                <w:lang w:val="en-US"/>
              </w:rPr>
            </w:pPr>
            <w:r>
              <w:rPr>
                <w:b/>
                <w:bCs/>
                <w:color w:val="000000"/>
                <w:sz w:val="20"/>
                <w:lang w:val="en-US"/>
              </w:rPr>
              <w:t>N (%)</w:t>
            </w:r>
          </w:p>
        </w:tc>
        <w:tc>
          <w:tcPr>
            <w:tcW w:w="70" w:type="pct"/>
            <w:tcBorders>
              <w:top w:val="single" w:sz="4" w:space="0" w:color="auto"/>
              <w:left w:val="nil"/>
              <w:right w:val="nil"/>
            </w:tcBorders>
          </w:tcPr>
          <w:p>
            <w:pPr>
              <w:spacing w:after="0"/>
              <w:jc w:val="center"/>
              <w:rPr>
                <w:b/>
                <w:bCs/>
                <w:color w:val="000000"/>
                <w:sz w:val="20"/>
                <w:lang w:val="en-US"/>
              </w:rPr>
            </w:pPr>
          </w:p>
        </w:tc>
        <w:tc>
          <w:tcPr>
            <w:tcW w:w="3028" w:type="pct"/>
            <w:gridSpan w:val="5"/>
            <w:tcBorders>
              <w:top w:val="single" w:sz="4" w:space="0" w:color="auto"/>
              <w:left w:val="nil"/>
              <w:bottom w:val="single" w:sz="4" w:space="0" w:color="auto"/>
              <w:right w:val="nil"/>
            </w:tcBorders>
            <w:shd w:val="clear" w:color="auto" w:fill="auto"/>
            <w:noWrap/>
            <w:vAlign w:val="bottom"/>
            <w:hideMark/>
          </w:tcPr>
          <w:p>
            <w:pPr>
              <w:spacing w:after="0"/>
              <w:jc w:val="center"/>
              <w:rPr>
                <w:b/>
                <w:bCs/>
                <w:color w:val="000000"/>
                <w:sz w:val="20"/>
                <w:lang w:val="en-US"/>
              </w:rPr>
            </w:pPr>
            <w:r>
              <w:rPr>
                <w:b/>
                <w:bCs/>
                <w:color w:val="000000"/>
                <w:sz w:val="20"/>
                <w:lang w:val="en-US"/>
              </w:rPr>
              <w:t>Deprivation quintile</w:t>
            </w:r>
          </w:p>
          <w:p>
            <w:pPr>
              <w:spacing w:after="0"/>
              <w:jc w:val="center"/>
              <w:rPr>
                <w:b/>
                <w:bCs/>
                <w:color w:val="000000"/>
                <w:sz w:val="20"/>
                <w:lang w:val="en-US"/>
              </w:rPr>
            </w:pPr>
            <w:r>
              <w:rPr>
                <w:b/>
                <w:bCs/>
                <w:color w:val="000000"/>
                <w:sz w:val="20"/>
                <w:lang w:val="en-US"/>
              </w:rPr>
              <w:t>Hazard ratio (95% confidence interval)</w:t>
            </w:r>
            <w:r>
              <w:rPr>
                <w:bCs/>
                <w:color w:val="000000"/>
                <w:sz w:val="20"/>
                <w:vertAlign w:val="superscript"/>
                <w:lang w:val="en-US"/>
              </w:rPr>
              <w:t>a</w:t>
            </w:r>
            <w:r>
              <w:rPr>
                <w:bCs/>
                <w:color w:val="000000"/>
                <w:sz w:val="20"/>
                <w:vertAlign w:val="superscript"/>
                <w:lang w:val="en-US"/>
              </w:rPr>
              <w:t>,</w:t>
            </w:r>
            <w:r>
              <w:rPr>
                <w:bCs/>
                <w:color w:val="000000"/>
                <w:sz w:val="20"/>
                <w:lang w:val="en-US"/>
              </w:rPr>
              <w:t>*</w:t>
            </w:r>
          </w:p>
        </w:tc>
        <w:tc>
          <w:tcPr>
            <w:tcW w:w="715" w:type="pct"/>
            <w:tcBorders>
              <w:top w:val="single" w:sz="4" w:space="0" w:color="auto"/>
              <w:left w:val="nil"/>
              <w:bottom w:val="single" w:sz="4" w:space="0" w:color="auto"/>
              <w:right w:val="nil"/>
            </w:tcBorders>
          </w:tcPr>
          <w:p>
            <w:pPr>
              <w:spacing w:after="0"/>
              <w:jc w:val="center"/>
              <w:rPr>
                <w:b/>
                <w:bCs/>
                <w:color w:val="000000"/>
                <w:sz w:val="20"/>
                <w:lang w:val="en-US"/>
              </w:rPr>
            </w:pPr>
          </w:p>
        </w:tc>
      </w:tr>
      <w:tr>
        <w:trPr>
          <w:trHeight w:val="315"/>
          <w:tblHeader/>
        </w:trPr>
        <w:tc>
          <w:tcPr>
            <w:tcW w:w="631" w:type="pct"/>
            <w:tcBorders>
              <w:top w:val="single" w:sz="4" w:space="0" w:color="auto"/>
              <w:left w:val="nil"/>
              <w:bottom w:val="single" w:sz="4" w:space="0" w:color="auto"/>
              <w:right w:val="nil"/>
            </w:tcBorders>
            <w:shd w:val="clear" w:color="auto" w:fill="auto"/>
            <w:noWrap/>
            <w:vAlign w:val="bottom"/>
            <w:hideMark/>
          </w:tcPr>
          <w:p>
            <w:pPr>
              <w:spacing w:after="0"/>
              <w:rPr>
                <w:b/>
                <w:bCs/>
                <w:color w:val="000000"/>
                <w:sz w:val="20"/>
                <w:lang w:val="en-US"/>
              </w:rPr>
            </w:pPr>
          </w:p>
        </w:tc>
        <w:tc>
          <w:tcPr>
            <w:tcW w:w="82" w:type="pct"/>
            <w:tcBorders>
              <w:left w:val="nil"/>
              <w:bottom w:val="single" w:sz="4" w:space="0" w:color="auto"/>
              <w:right w:val="nil"/>
            </w:tcBorders>
          </w:tcPr>
          <w:p>
            <w:pPr>
              <w:spacing w:after="0"/>
              <w:jc w:val="center"/>
              <w:rPr>
                <w:b/>
                <w:bCs/>
                <w:color w:val="000000"/>
                <w:sz w:val="20"/>
                <w:lang w:val="en-US"/>
              </w:rPr>
            </w:pPr>
          </w:p>
        </w:tc>
        <w:tc>
          <w:tcPr>
            <w:tcW w:w="474" w:type="pct"/>
            <w:tcBorders>
              <w:top w:val="nil"/>
              <w:left w:val="nil"/>
              <w:bottom w:val="single" w:sz="4" w:space="0" w:color="auto"/>
              <w:right w:val="nil"/>
            </w:tcBorders>
          </w:tcPr>
          <w:p>
            <w:pPr>
              <w:spacing w:after="0"/>
              <w:jc w:val="center"/>
              <w:rPr>
                <w:b/>
                <w:bCs/>
                <w:color w:val="000000"/>
                <w:sz w:val="20"/>
                <w:lang w:val="en-US"/>
              </w:rPr>
            </w:pPr>
          </w:p>
        </w:tc>
        <w:tc>
          <w:tcPr>
            <w:tcW w:w="70" w:type="pct"/>
            <w:tcBorders>
              <w:left w:val="nil"/>
              <w:bottom w:val="single" w:sz="4" w:space="0" w:color="auto"/>
              <w:right w:val="nil"/>
            </w:tcBorders>
          </w:tcPr>
          <w:p>
            <w:pPr>
              <w:spacing w:after="0"/>
              <w:jc w:val="center"/>
              <w:rPr>
                <w:b/>
                <w:bCs/>
                <w:color w:val="000000"/>
                <w:sz w:val="20"/>
                <w:lang w:val="en-US"/>
              </w:rPr>
            </w:pPr>
          </w:p>
        </w:tc>
        <w:tc>
          <w:tcPr>
            <w:tcW w:w="583" w:type="pct"/>
            <w:tcBorders>
              <w:top w:val="nil"/>
              <w:left w:val="nil"/>
              <w:bottom w:val="single" w:sz="4" w:space="0" w:color="auto"/>
              <w:right w:val="nil"/>
            </w:tcBorders>
            <w:shd w:val="clear" w:color="auto" w:fill="auto"/>
            <w:noWrap/>
            <w:vAlign w:val="center"/>
            <w:hideMark/>
          </w:tcPr>
          <w:p>
            <w:pPr>
              <w:spacing w:after="0"/>
              <w:jc w:val="center"/>
              <w:rPr>
                <w:b/>
                <w:bCs/>
                <w:color w:val="000000"/>
                <w:sz w:val="20"/>
                <w:lang w:val="en-US"/>
              </w:rPr>
            </w:pPr>
            <w:r>
              <w:rPr>
                <w:b/>
                <w:bCs/>
                <w:color w:val="000000"/>
                <w:sz w:val="20"/>
                <w:lang w:val="en-US"/>
              </w:rPr>
              <w:t>Q1</w:t>
            </w:r>
          </w:p>
          <w:p>
            <w:pPr>
              <w:spacing w:after="0"/>
              <w:jc w:val="center"/>
              <w:rPr>
                <w:b/>
                <w:bCs/>
                <w:color w:val="000000"/>
                <w:sz w:val="20"/>
                <w:lang w:val="en-US"/>
              </w:rPr>
            </w:pPr>
            <w:r>
              <w:rPr>
                <w:b/>
                <w:bCs/>
                <w:color w:val="000000"/>
                <w:sz w:val="20"/>
                <w:lang w:val="en-US"/>
              </w:rPr>
              <w:t>(Least deprived)</w:t>
            </w:r>
          </w:p>
        </w:tc>
        <w:tc>
          <w:tcPr>
            <w:tcW w:w="595" w:type="pct"/>
            <w:tcBorders>
              <w:top w:val="nil"/>
              <w:left w:val="nil"/>
              <w:bottom w:val="single" w:sz="4" w:space="0" w:color="auto"/>
              <w:right w:val="nil"/>
            </w:tcBorders>
            <w:shd w:val="clear" w:color="auto" w:fill="auto"/>
            <w:noWrap/>
            <w:vAlign w:val="center"/>
            <w:hideMark/>
          </w:tcPr>
          <w:p>
            <w:pPr>
              <w:spacing w:after="0"/>
              <w:jc w:val="center"/>
              <w:rPr>
                <w:b/>
                <w:bCs/>
                <w:color w:val="000000"/>
                <w:sz w:val="20"/>
                <w:vertAlign w:val="superscript"/>
                <w:lang w:val="en-US"/>
              </w:rPr>
            </w:pPr>
            <w:r>
              <w:rPr>
                <w:b/>
                <w:bCs/>
                <w:color w:val="000000"/>
                <w:sz w:val="20"/>
                <w:lang w:val="en-US"/>
              </w:rPr>
              <w:t>Q2</w:t>
            </w:r>
          </w:p>
        </w:tc>
        <w:tc>
          <w:tcPr>
            <w:tcW w:w="595" w:type="pct"/>
            <w:tcBorders>
              <w:top w:val="nil"/>
              <w:left w:val="nil"/>
              <w:bottom w:val="single" w:sz="4" w:space="0" w:color="auto"/>
              <w:right w:val="nil"/>
            </w:tcBorders>
            <w:shd w:val="clear" w:color="auto" w:fill="auto"/>
            <w:noWrap/>
            <w:vAlign w:val="center"/>
            <w:hideMark/>
          </w:tcPr>
          <w:p>
            <w:pPr>
              <w:spacing w:after="0"/>
              <w:jc w:val="center"/>
              <w:rPr>
                <w:b/>
                <w:bCs/>
                <w:color w:val="000000"/>
                <w:sz w:val="20"/>
                <w:lang w:val="en-US"/>
              </w:rPr>
            </w:pPr>
            <w:r>
              <w:rPr>
                <w:b/>
                <w:bCs/>
                <w:color w:val="000000"/>
                <w:sz w:val="20"/>
                <w:lang w:val="en-US"/>
              </w:rPr>
              <w:t>Q3</w:t>
            </w:r>
          </w:p>
        </w:tc>
        <w:tc>
          <w:tcPr>
            <w:tcW w:w="638" w:type="pct"/>
            <w:tcBorders>
              <w:top w:val="nil"/>
              <w:left w:val="nil"/>
              <w:bottom w:val="single" w:sz="4" w:space="0" w:color="auto"/>
              <w:right w:val="nil"/>
            </w:tcBorders>
            <w:vAlign w:val="center"/>
          </w:tcPr>
          <w:p>
            <w:pPr>
              <w:spacing w:after="0"/>
              <w:jc w:val="center"/>
              <w:rPr>
                <w:b/>
                <w:bCs/>
                <w:color w:val="000000"/>
                <w:sz w:val="20"/>
                <w:lang w:val="en-US"/>
              </w:rPr>
            </w:pPr>
            <w:r>
              <w:rPr>
                <w:b/>
                <w:bCs/>
                <w:color w:val="000000"/>
                <w:sz w:val="20"/>
                <w:lang w:val="en-US"/>
              </w:rPr>
              <w:t>Q4</w:t>
            </w:r>
          </w:p>
        </w:tc>
        <w:tc>
          <w:tcPr>
            <w:tcW w:w="617" w:type="pct"/>
            <w:tcBorders>
              <w:top w:val="nil"/>
              <w:left w:val="nil"/>
              <w:bottom w:val="single" w:sz="4" w:space="0" w:color="auto"/>
              <w:right w:val="nil"/>
            </w:tcBorders>
            <w:vAlign w:val="center"/>
          </w:tcPr>
          <w:p>
            <w:pPr>
              <w:spacing w:after="0"/>
              <w:jc w:val="center"/>
              <w:rPr>
                <w:b/>
                <w:bCs/>
                <w:color w:val="000000"/>
                <w:sz w:val="20"/>
                <w:lang w:val="en-US"/>
              </w:rPr>
            </w:pPr>
            <w:r>
              <w:rPr>
                <w:b/>
                <w:bCs/>
                <w:color w:val="000000"/>
                <w:sz w:val="20"/>
                <w:lang w:val="en-US"/>
              </w:rPr>
              <w:t>Q5</w:t>
            </w:r>
          </w:p>
          <w:p>
            <w:pPr>
              <w:spacing w:after="0"/>
              <w:jc w:val="center"/>
              <w:rPr>
                <w:b/>
                <w:bCs/>
                <w:color w:val="000000"/>
                <w:sz w:val="20"/>
                <w:lang w:val="en-US"/>
              </w:rPr>
            </w:pPr>
            <w:r>
              <w:rPr>
                <w:b/>
                <w:bCs/>
                <w:color w:val="000000"/>
                <w:sz w:val="20"/>
                <w:lang w:val="en-US"/>
              </w:rPr>
              <w:t>(Most deprived)</w:t>
            </w:r>
          </w:p>
        </w:tc>
        <w:tc>
          <w:tcPr>
            <w:tcW w:w="715" w:type="pct"/>
            <w:tcBorders>
              <w:top w:val="nil"/>
              <w:left w:val="nil"/>
              <w:bottom w:val="single" w:sz="4" w:space="0" w:color="auto"/>
              <w:right w:val="nil"/>
            </w:tcBorders>
            <w:vAlign w:val="center"/>
          </w:tcPr>
          <w:p>
            <w:pPr>
              <w:spacing w:after="0"/>
              <w:jc w:val="center"/>
              <w:rPr>
                <w:b/>
                <w:bCs/>
                <w:color w:val="000000"/>
                <w:sz w:val="20"/>
                <w:lang w:val="en-US"/>
              </w:rPr>
            </w:pPr>
            <w:r>
              <w:rPr>
                <w:b/>
                <w:bCs/>
                <w:color w:val="000000"/>
                <w:sz w:val="20"/>
                <w:lang w:val="en-US"/>
              </w:rPr>
              <w:t>Dresden/Erfurt city</w:t>
            </w:r>
            <w:r>
              <w:rPr>
                <w:b/>
                <w:bCs/>
                <w:color w:val="000000"/>
                <w:sz w:val="20"/>
                <w:vertAlign w:val="superscript"/>
                <w:lang w:val="en-US"/>
              </w:rPr>
              <w:t>b</w:t>
            </w:r>
          </w:p>
        </w:tc>
      </w:tr>
      <w:tr>
        <w:trPr>
          <w:trHeight w:val="255"/>
        </w:trPr>
        <w:tc>
          <w:tcPr>
            <w:tcW w:w="631" w:type="pct"/>
            <w:tcBorders>
              <w:top w:val="nil"/>
              <w:left w:val="nil"/>
              <w:bottom w:val="nil"/>
              <w:right w:val="nil"/>
            </w:tcBorders>
            <w:shd w:val="clear" w:color="auto" w:fill="auto"/>
            <w:noWrap/>
            <w:vAlign w:val="bottom"/>
          </w:tcPr>
          <w:p>
            <w:pPr>
              <w:spacing w:after="0"/>
              <w:rPr>
                <w:color w:val="000000"/>
                <w:sz w:val="20"/>
                <w:lang w:val="en-US"/>
              </w:rPr>
            </w:pPr>
            <w:r>
              <w:rPr>
                <w:color w:val="000000"/>
                <w:sz w:val="20"/>
                <w:lang w:val="en-US"/>
              </w:rPr>
              <w:t>Dresden</w:t>
            </w:r>
          </w:p>
        </w:tc>
        <w:tc>
          <w:tcPr>
            <w:tcW w:w="82" w:type="pct"/>
            <w:tcBorders>
              <w:top w:val="nil"/>
              <w:left w:val="nil"/>
              <w:bottom w:val="nil"/>
              <w:right w:val="nil"/>
            </w:tcBorders>
            <w:shd w:val="clear" w:color="auto" w:fill="auto"/>
          </w:tcPr>
          <w:p>
            <w:pPr>
              <w:spacing w:after="0"/>
              <w:jc w:val="right"/>
              <w:rPr>
                <w:sz w:val="20"/>
                <w:lang w:val="en-US"/>
              </w:rPr>
            </w:pPr>
          </w:p>
        </w:tc>
        <w:tc>
          <w:tcPr>
            <w:tcW w:w="474" w:type="pct"/>
            <w:tcBorders>
              <w:top w:val="nil"/>
              <w:left w:val="nil"/>
              <w:bottom w:val="nil"/>
              <w:right w:val="nil"/>
            </w:tcBorders>
            <w:shd w:val="clear" w:color="auto" w:fill="auto"/>
          </w:tcPr>
          <w:p>
            <w:pPr>
              <w:spacing w:after="0"/>
              <w:jc w:val="right"/>
              <w:rPr>
                <w:sz w:val="20"/>
                <w:lang w:val="en-US"/>
              </w:rPr>
            </w:pPr>
            <w:r>
              <w:rPr>
                <w:sz w:val="20"/>
                <w:lang w:val="en-US"/>
              </w:rPr>
              <w:t>5,470 (81.0)</w:t>
            </w:r>
          </w:p>
        </w:tc>
        <w:tc>
          <w:tcPr>
            <w:tcW w:w="70" w:type="pct"/>
            <w:tcBorders>
              <w:top w:val="nil"/>
              <w:left w:val="nil"/>
              <w:bottom w:val="nil"/>
              <w:right w:val="nil"/>
            </w:tcBorders>
            <w:shd w:val="clear" w:color="auto" w:fill="auto"/>
          </w:tcPr>
          <w:p>
            <w:pPr>
              <w:spacing w:after="0"/>
              <w:jc w:val="right"/>
              <w:rPr>
                <w:sz w:val="20"/>
                <w:lang w:val="en-US"/>
              </w:rPr>
            </w:pPr>
          </w:p>
        </w:tc>
        <w:tc>
          <w:tcPr>
            <w:tcW w:w="583" w:type="pct"/>
            <w:tcBorders>
              <w:top w:val="nil"/>
              <w:left w:val="nil"/>
              <w:bottom w:val="nil"/>
              <w:right w:val="nil"/>
            </w:tcBorders>
            <w:shd w:val="clear" w:color="auto" w:fill="auto"/>
            <w:noWrap/>
          </w:tcPr>
          <w:p>
            <w:pPr>
              <w:spacing w:after="0"/>
              <w:jc w:val="right"/>
              <w:rPr>
                <w:sz w:val="20"/>
                <w:lang w:val="en-US"/>
              </w:rPr>
            </w:pPr>
            <w:r>
              <w:rPr>
                <w:sz w:val="20"/>
              </w:rPr>
              <w:t>1.00 (ref.)</w:t>
            </w:r>
          </w:p>
        </w:tc>
        <w:tc>
          <w:tcPr>
            <w:tcW w:w="595" w:type="pct"/>
            <w:tcBorders>
              <w:top w:val="nil"/>
              <w:left w:val="nil"/>
              <w:bottom w:val="nil"/>
              <w:right w:val="nil"/>
            </w:tcBorders>
            <w:shd w:val="clear" w:color="auto" w:fill="auto"/>
            <w:noWrap/>
          </w:tcPr>
          <w:p>
            <w:pPr>
              <w:spacing w:after="0"/>
              <w:jc w:val="right"/>
              <w:rPr>
                <w:sz w:val="20"/>
              </w:rPr>
            </w:pPr>
            <w:r>
              <w:rPr>
                <w:sz w:val="20"/>
              </w:rPr>
              <w:t>0.94 (0.83-1.05)</w:t>
            </w:r>
          </w:p>
        </w:tc>
        <w:tc>
          <w:tcPr>
            <w:tcW w:w="595" w:type="pct"/>
            <w:tcBorders>
              <w:top w:val="nil"/>
              <w:left w:val="nil"/>
              <w:bottom w:val="nil"/>
              <w:right w:val="nil"/>
            </w:tcBorders>
            <w:shd w:val="clear" w:color="auto" w:fill="auto"/>
            <w:noWrap/>
          </w:tcPr>
          <w:p>
            <w:pPr>
              <w:spacing w:after="0"/>
              <w:jc w:val="right"/>
              <w:rPr>
                <w:sz w:val="20"/>
              </w:rPr>
            </w:pPr>
            <w:r>
              <w:rPr>
                <w:sz w:val="20"/>
              </w:rPr>
              <w:t>1</w:t>
            </w:r>
            <w:r>
              <w:rPr>
                <w:sz w:val="20"/>
              </w:rPr>
              <w:t>.00</w:t>
            </w:r>
            <w:r>
              <w:rPr>
                <w:sz w:val="20"/>
              </w:rPr>
              <w:t xml:space="preserve"> (0.89-1.12)</w:t>
            </w:r>
          </w:p>
        </w:tc>
        <w:tc>
          <w:tcPr>
            <w:tcW w:w="638" w:type="pct"/>
            <w:tcBorders>
              <w:top w:val="nil"/>
              <w:left w:val="nil"/>
              <w:bottom w:val="nil"/>
              <w:right w:val="nil"/>
            </w:tcBorders>
            <w:shd w:val="clear" w:color="auto" w:fill="auto"/>
          </w:tcPr>
          <w:p>
            <w:pPr>
              <w:spacing w:after="0"/>
              <w:jc w:val="right"/>
              <w:rPr>
                <w:sz w:val="20"/>
              </w:rPr>
            </w:pPr>
            <w:r>
              <w:rPr>
                <w:sz w:val="20"/>
              </w:rPr>
              <w:t>0.91 (0.82-1.02)</w:t>
            </w:r>
          </w:p>
        </w:tc>
        <w:tc>
          <w:tcPr>
            <w:tcW w:w="617" w:type="pct"/>
            <w:tcBorders>
              <w:top w:val="nil"/>
              <w:left w:val="nil"/>
              <w:bottom w:val="nil"/>
              <w:right w:val="nil"/>
            </w:tcBorders>
            <w:shd w:val="clear" w:color="auto" w:fill="auto"/>
          </w:tcPr>
          <w:p>
            <w:pPr>
              <w:spacing w:after="0"/>
              <w:jc w:val="right"/>
              <w:rPr>
                <w:b/>
                <w:sz w:val="20"/>
              </w:rPr>
            </w:pPr>
            <w:r>
              <w:rPr>
                <w:sz w:val="20"/>
              </w:rPr>
              <w:t>1.09 (0.98-1.21)</w:t>
            </w:r>
          </w:p>
        </w:tc>
        <w:tc>
          <w:tcPr>
            <w:tcW w:w="715" w:type="pct"/>
            <w:tcBorders>
              <w:top w:val="nil"/>
              <w:left w:val="nil"/>
              <w:bottom w:val="nil"/>
              <w:right w:val="nil"/>
            </w:tcBorders>
            <w:shd w:val="clear" w:color="auto" w:fill="auto"/>
          </w:tcPr>
          <w:p>
            <w:pPr>
              <w:spacing w:after="0"/>
              <w:jc w:val="right"/>
              <w:rPr>
                <w:b/>
                <w:sz w:val="20"/>
              </w:rPr>
            </w:pPr>
            <w:r>
              <w:rPr>
                <w:sz w:val="20"/>
              </w:rPr>
              <w:t>0.94 (0.85-1.03)</w:t>
            </w:r>
          </w:p>
        </w:tc>
      </w:tr>
      <w:tr>
        <w:trPr>
          <w:trHeight w:val="255"/>
        </w:trPr>
        <w:tc>
          <w:tcPr>
            <w:tcW w:w="631" w:type="pct"/>
            <w:tcBorders>
              <w:top w:val="nil"/>
              <w:left w:val="nil"/>
              <w:right w:val="nil"/>
            </w:tcBorders>
            <w:shd w:val="clear" w:color="auto" w:fill="auto"/>
            <w:noWrap/>
            <w:vAlign w:val="bottom"/>
          </w:tcPr>
          <w:p>
            <w:pPr>
              <w:spacing w:after="0"/>
              <w:rPr>
                <w:color w:val="000000"/>
                <w:sz w:val="20"/>
                <w:lang w:val="en-US"/>
              </w:rPr>
            </w:pPr>
            <w:r>
              <w:rPr>
                <w:sz w:val="20"/>
                <w:lang w:val="en-US"/>
              </w:rPr>
              <w:t>Erfurt</w:t>
            </w:r>
          </w:p>
        </w:tc>
        <w:tc>
          <w:tcPr>
            <w:tcW w:w="82" w:type="pct"/>
            <w:tcBorders>
              <w:top w:val="nil"/>
              <w:left w:val="nil"/>
              <w:right w:val="nil"/>
            </w:tcBorders>
            <w:shd w:val="clear" w:color="auto" w:fill="auto"/>
          </w:tcPr>
          <w:p>
            <w:pPr>
              <w:spacing w:after="0"/>
              <w:jc w:val="right"/>
              <w:rPr>
                <w:sz w:val="20"/>
                <w:lang w:val="en-US"/>
              </w:rPr>
            </w:pPr>
          </w:p>
        </w:tc>
        <w:tc>
          <w:tcPr>
            <w:tcW w:w="474" w:type="pct"/>
            <w:tcBorders>
              <w:top w:val="nil"/>
              <w:left w:val="nil"/>
              <w:right w:val="nil"/>
            </w:tcBorders>
            <w:shd w:val="clear" w:color="auto" w:fill="auto"/>
          </w:tcPr>
          <w:p>
            <w:pPr>
              <w:spacing w:after="0"/>
              <w:jc w:val="right"/>
              <w:rPr>
                <w:sz w:val="20"/>
                <w:lang w:val="en-US"/>
              </w:rPr>
            </w:pPr>
            <w:r>
              <w:rPr>
                <w:sz w:val="20"/>
                <w:lang w:val="en-US"/>
              </w:rPr>
              <w:t>4,344 (80.9)</w:t>
            </w:r>
          </w:p>
        </w:tc>
        <w:tc>
          <w:tcPr>
            <w:tcW w:w="70" w:type="pct"/>
            <w:tcBorders>
              <w:top w:val="nil"/>
              <w:left w:val="nil"/>
              <w:right w:val="nil"/>
            </w:tcBorders>
            <w:shd w:val="clear" w:color="auto" w:fill="auto"/>
          </w:tcPr>
          <w:p>
            <w:pPr>
              <w:spacing w:after="0"/>
              <w:jc w:val="right"/>
              <w:rPr>
                <w:sz w:val="20"/>
                <w:lang w:val="en-US"/>
              </w:rPr>
            </w:pPr>
          </w:p>
        </w:tc>
        <w:tc>
          <w:tcPr>
            <w:tcW w:w="583" w:type="pct"/>
            <w:tcBorders>
              <w:top w:val="nil"/>
              <w:left w:val="nil"/>
              <w:right w:val="nil"/>
            </w:tcBorders>
            <w:shd w:val="clear" w:color="auto" w:fill="auto"/>
            <w:noWrap/>
          </w:tcPr>
          <w:p>
            <w:pPr>
              <w:spacing w:after="0"/>
              <w:jc w:val="right"/>
            </w:pPr>
            <w:r>
              <w:rPr>
                <w:sz w:val="20"/>
                <w:lang w:val="en-US"/>
              </w:rPr>
              <w:t>1.00 (ref.)</w:t>
            </w:r>
          </w:p>
        </w:tc>
        <w:tc>
          <w:tcPr>
            <w:tcW w:w="595" w:type="pct"/>
            <w:tcBorders>
              <w:top w:val="nil"/>
              <w:left w:val="nil"/>
              <w:right w:val="nil"/>
            </w:tcBorders>
            <w:shd w:val="clear" w:color="auto" w:fill="auto"/>
            <w:noWrap/>
          </w:tcPr>
          <w:p>
            <w:pPr>
              <w:spacing w:after="0"/>
              <w:jc w:val="right"/>
            </w:pPr>
            <w:r>
              <w:rPr>
                <w:sz w:val="20"/>
              </w:rPr>
              <w:t>1.1</w:t>
            </w:r>
            <w:r>
              <w:rPr>
                <w:sz w:val="20"/>
              </w:rPr>
              <w:t>0</w:t>
            </w:r>
            <w:r>
              <w:rPr>
                <w:sz w:val="20"/>
              </w:rPr>
              <w:t xml:space="preserve"> (0.97-1.25)</w:t>
            </w:r>
          </w:p>
        </w:tc>
        <w:tc>
          <w:tcPr>
            <w:tcW w:w="595" w:type="pct"/>
            <w:tcBorders>
              <w:top w:val="nil"/>
              <w:left w:val="nil"/>
              <w:right w:val="nil"/>
            </w:tcBorders>
            <w:shd w:val="clear" w:color="auto" w:fill="auto"/>
            <w:noWrap/>
          </w:tcPr>
          <w:p>
            <w:pPr>
              <w:spacing w:after="0"/>
              <w:jc w:val="right"/>
            </w:pPr>
            <w:r>
              <w:rPr>
                <w:sz w:val="20"/>
              </w:rPr>
              <w:t>1.11 (0.98-1.26)</w:t>
            </w:r>
          </w:p>
        </w:tc>
        <w:tc>
          <w:tcPr>
            <w:tcW w:w="638" w:type="pct"/>
            <w:tcBorders>
              <w:top w:val="nil"/>
              <w:left w:val="nil"/>
              <w:right w:val="nil"/>
            </w:tcBorders>
            <w:shd w:val="clear" w:color="auto" w:fill="auto"/>
          </w:tcPr>
          <w:p>
            <w:pPr>
              <w:spacing w:after="0"/>
              <w:jc w:val="right"/>
              <w:rPr>
                <w:sz w:val="20"/>
                <w:lang w:val="en-US"/>
              </w:rPr>
            </w:pPr>
            <w:r>
              <w:rPr>
                <w:sz w:val="20"/>
              </w:rPr>
              <w:t>1.08 (0.95-1.22)</w:t>
            </w:r>
          </w:p>
        </w:tc>
        <w:tc>
          <w:tcPr>
            <w:tcW w:w="617" w:type="pct"/>
            <w:tcBorders>
              <w:top w:val="nil"/>
              <w:left w:val="nil"/>
              <w:right w:val="nil"/>
            </w:tcBorders>
            <w:shd w:val="clear" w:color="auto" w:fill="auto"/>
          </w:tcPr>
          <w:p>
            <w:pPr>
              <w:spacing w:after="0"/>
              <w:jc w:val="right"/>
              <w:rPr>
                <w:color w:val="000000"/>
                <w:sz w:val="20"/>
                <w:lang w:val="en-US"/>
              </w:rPr>
            </w:pPr>
            <w:r>
              <w:rPr>
                <w:sz w:val="20"/>
              </w:rPr>
              <w:t>1.11 (0.98-1.26)</w:t>
            </w:r>
          </w:p>
        </w:tc>
        <w:tc>
          <w:tcPr>
            <w:tcW w:w="715" w:type="pct"/>
            <w:tcBorders>
              <w:top w:val="nil"/>
              <w:left w:val="nil"/>
              <w:right w:val="nil"/>
            </w:tcBorders>
            <w:shd w:val="clear" w:color="auto" w:fill="auto"/>
          </w:tcPr>
          <w:p>
            <w:pPr>
              <w:spacing w:after="0"/>
              <w:jc w:val="right"/>
              <w:rPr>
                <w:color w:val="000000"/>
                <w:sz w:val="20"/>
                <w:lang w:val="en-US"/>
              </w:rPr>
            </w:pPr>
            <w:r>
              <w:rPr>
                <w:b/>
                <w:sz w:val="20"/>
              </w:rPr>
              <w:t>1.15 (1.04-1.29)</w:t>
            </w:r>
          </w:p>
        </w:tc>
      </w:tr>
      <w:tr>
        <w:trPr>
          <w:trHeight w:val="158"/>
        </w:trPr>
        <w:tc>
          <w:tcPr>
            <w:tcW w:w="631" w:type="pct"/>
            <w:tcBorders>
              <w:top w:val="nil"/>
              <w:left w:val="nil"/>
              <w:bottom w:val="single" w:sz="4" w:space="0" w:color="auto"/>
              <w:right w:val="nil"/>
            </w:tcBorders>
            <w:shd w:val="clear" w:color="auto" w:fill="auto"/>
            <w:noWrap/>
            <w:vAlign w:val="bottom"/>
          </w:tcPr>
          <w:p>
            <w:pPr>
              <w:spacing w:after="0"/>
              <w:rPr>
                <w:color w:val="000000"/>
                <w:sz w:val="20"/>
                <w:lang w:val="en-US"/>
              </w:rPr>
            </w:pPr>
            <w:r>
              <w:rPr>
                <w:color w:val="000000"/>
                <w:sz w:val="20"/>
                <w:lang w:val="en-US"/>
              </w:rPr>
              <w:t>Regensburg</w:t>
            </w:r>
          </w:p>
        </w:tc>
        <w:tc>
          <w:tcPr>
            <w:tcW w:w="82" w:type="pct"/>
            <w:tcBorders>
              <w:top w:val="nil"/>
              <w:left w:val="nil"/>
              <w:bottom w:val="single" w:sz="4" w:space="0" w:color="auto"/>
              <w:right w:val="nil"/>
            </w:tcBorders>
            <w:shd w:val="clear" w:color="auto" w:fill="auto"/>
          </w:tcPr>
          <w:p>
            <w:pPr>
              <w:spacing w:after="0"/>
              <w:jc w:val="right"/>
              <w:rPr>
                <w:sz w:val="20"/>
                <w:lang w:val="en-US"/>
              </w:rPr>
            </w:pPr>
          </w:p>
        </w:tc>
        <w:tc>
          <w:tcPr>
            <w:tcW w:w="474" w:type="pct"/>
            <w:tcBorders>
              <w:top w:val="nil"/>
              <w:left w:val="nil"/>
              <w:bottom w:val="single" w:sz="4" w:space="0" w:color="auto"/>
              <w:right w:val="nil"/>
            </w:tcBorders>
            <w:shd w:val="clear" w:color="auto" w:fill="auto"/>
          </w:tcPr>
          <w:p>
            <w:pPr>
              <w:spacing w:after="0"/>
              <w:jc w:val="right"/>
              <w:rPr>
                <w:sz w:val="20"/>
                <w:lang w:val="en-US"/>
              </w:rPr>
            </w:pPr>
            <w:r>
              <w:rPr>
                <w:sz w:val="20"/>
                <w:lang w:val="en-US"/>
              </w:rPr>
              <w:t>8,463 (78.5)</w:t>
            </w:r>
          </w:p>
        </w:tc>
        <w:tc>
          <w:tcPr>
            <w:tcW w:w="70" w:type="pct"/>
            <w:tcBorders>
              <w:top w:val="nil"/>
              <w:left w:val="nil"/>
              <w:bottom w:val="single" w:sz="4" w:space="0" w:color="auto"/>
              <w:right w:val="nil"/>
            </w:tcBorders>
            <w:shd w:val="clear" w:color="auto" w:fill="auto"/>
          </w:tcPr>
          <w:p>
            <w:pPr>
              <w:spacing w:after="0"/>
              <w:jc w:val="right"/>
              <w:rPr>
                <w:sz w:val="20"/>
                <w:lang w:val="en-US"/>
              </w:rPr>
            </w:pPr>
          </w:p>
        </w:tc>
        <w:tc>
          <w:tcPr>
            <w:tcW w:w="583" w:type="pct"/>
            <w:tcBorders>
              <w:top w:val="nil"/>
              <w:left w:val="nil"/>
              <w:bottom w:val="single" w:sz="4" w:space="0" w:color="auto"/>
              <w:right w:val="nil"/>
            </w:tcBorders>
            <w:shd w:val="clear" w:color="auto" w:fill="auto"/>
            <w:noWrap/>
          </w:tcPr>
          <w:p>
            <w:pPr>
              <w:spacing w:after="0"/>
              <w:jc w:val="right"/>
              <w:rPr>
                <w:lang w:val="en-US"/>
              </w:rPr>
            </w:pPr>
            <w:r>
              <w:rPr>
                <w:sz w:val="20"/>
                <w:lang w:val="en-US"/>
              </w:rPr>
              <w:t>1.00 (ref.)</w:t>
            </w:r>
          </w:p>
        </w:tc>
        <w:tc>
          <w:tcPr>
            <w:tcW w:w="595" w:type="pct"/>
            <w:tcBorders>
              <w:top w:val="nil"/>
              <w:left w:val="nil"/>
              <w:bottom w:val="single" w:sz="4" w:space="0" w:color="auto"/>
              <w:right w:val="nil"/>
            </w:tcBorders>
            <w:shd w:val="clear" w:color="auto" w:fill="auto"/>
            <w:noWrap/>
          </w:tcPr>
          <w:p>
            <w:pPr>
              <w:spacing w:after="0"/>
              <w:jc w:val="right"/>
              <w:rPr>
                <w:sz w:val="20"/>
                <w:lang w:val="en-US"/>
              </w:rPr>
            </w:pPr>
            <w:r>
              <w:rPr>
                <w:sz w:val="20"/>
              </w:rPr>
              <w:t>0.97 (0.9</w:t>
            </w:r>
            <w:r>
              <w:rPr>
                <w:sz w:val="20"/>
              </w:rPr>
              <w:t>0</w:t>
            </w:r>
            <w:r>
              <w:rPr>
                <w:sz w:val="20"/>
              </w:rPr>
              <w:t>-1.04)</w:t>
            </w:r>
          </w:p>
        </w:tc>
        <w:tc>
          <w:tcPr>
            <w:tcW w:w="595" w:type="pct"/>
            <w:tcBorders>
              <w:top w:val="nil"/>
              <w:left w:val="nil"/>
              <w:bottom w:val="single" w:sz="4" w:space="0" w:color="auto"/>
              <w:right w:val="nil"/>
            </w:tcBorders>
            <w:shd w:val="clear" w:color="auto" w:fill="auto"/>
            <w:noWrap/>
          </w:tcPr>
          <w:p>
            <w:pPr>
              <w:spacing w:after="0"/>
              <w:jc w:val="right"/>
              <w:rPr>
                <w:sz w:val="20"/>
                <w:lang w:val="en-US"/>
              </w:rPr>
            </w:pPr>
            <w:r>
              <w:rPr>
                <w:sz w:val="20"/>
              </w:rPr>
              <w:t>1.01 (0.94-1.08)</w:t>
            </w:r>
          </w:p>
        </w:tc>
        <w:tc>
          <w:tcPr>
            <w:tcW w:w="638" w:type="pct"/>
            <w:tcBorders>
              <w:top w:val="nil"/>
              <w:left w:val="nil"/>
              <w:bottom w:val="single" w:sz="4" w:space="0" w:color="auto"/>
              <w:right w:val="nil"/>
            </w:tcBorders>
            <w:shd w:val="clear" w:color="auto" w:fill="auto"/>
          </w:tcPr>
          <w:p>
            <w:pPr>
              <w:spacing w:after="0"/>
              <w:jc w:val="right"/>
              <w:rPr>
                <w:b/>
                <w:sz w:val="20"/>
              </w:rPr>
            </w:pPr>
            <w:r>
              <w:rPr>
                <w:sz w:val="20"/>
              </w:rPr>
              <w:t>0.98 (0.92-1.06)</w:t>
            </w:r>
          </w:p>
        </w:tc>
        <w:tc>
          <w:tcPr>
            <w:tcW w:w="617" w:type="pct"/>
            <w:tcBorders>
              <w:top w:val="nil"/>
              <w:left w:val="nil"/>
              <w:bottom w:val="single" w:sz="4" w:space="0" w:color="auto"/>
              <w:right w:val="nil"/>
            </w:tcBorders>
            <w:shd w:val="clear" w:color="auto" w:fill="auto"/>
          </w:tcPr>
          <w:p>
            <w:pPr>
              <w:spacing w:after="0"/>
              <w:jc w:val="right"/>
              <w:rPr>
                <w:b/>
                <w:sz w:val="20"/>
                <w:lang w:val="en-US"/>
              </w:rPr>
            </w:pPr>
            <w:r>
              <w:rPr>
                <w:sz w:val="20"/>
                <w:lang w:val="en-US"/>
              </w:rPr>
              <w:t>0.99 (0.92-1.06)</w:t>
            </w:r>
          </w:p>
        </w:tc>
        <w:tc>
          <w:tcPr>
            <w:tcW w:w="715" w:type="pct"/>
            <w:tcBorders>
              <w:top w:val="nil"/>
              <w:left w:val="nil"/>
              <w:bottom w:val="single" w:sz="4" w:space="0" w:color="auto"/>
              <w:right w:val="nil"/>
            </w:tcBorders>
            <w:shd w:val="clear" w:color="auto" w:fill="auto"/>
          </w:tcPr>
          <w:p>
            <w:pPr>
              <w:spacing w:after="0"/>
              <w:jc w:val="right"/>
              <w:rPr>
                <w:b/>
                <w:sz w:val="20"/>
                <w:lang w:val="en-US"/>
              </w:rPr>
            </w:pPr>
            <w:r>
              <w:rPr>
                <w:sz w:val="20"/>
                <w:lang w:val="en-US"/>
              </w:rPr>
              <w:t>-</w:t>
            </w:r>
          </w:p>
        </w:tc>
      </w:tr>
    </w:tbl>
    <w:p>
      <w:pPr>
        <w:spacing w:after="0"/>
        <w:rPr>
          <w:lang w:val="en-US"/>
        </w:rPr>
      </w:pPr>
      <w:r>
        <w:rPr>
          <w:lang w:val="en-US"/>
        </w:rPr>
        <w:t>Abbreviations: N, number of events;</w:t>
      </w:r>
    </w:p>
    <w:p>
      <w:pPr>
        <w:spacing w:after="0"/>
        <w:rPr>
          <w:lang w:val="en-US"/>
        </w:rPr>
      </w:pPr>
      <w:r>
        <w:rPr>
          <w:vertAlign w:val="superscript"/>
          <w:lang w:val="en-US"/>
        </w:rPr>
        <w:t>a</w:t>
      </w:r>
      <w:r>
        <w:rPr>
          <w:lang w:val="en-US"/>
        </w:rPr>
        <w:t>Adjusted for age group (</w:t>
      </w:r>
      <w:r>
        <w:rPr>
          <w:lang w:val="en-US"/>
        </w:rPr>
        <w:t>15-54 years, 55-59 years, 60-64 years, 65-69 years, 70-74 years, 75+ years</w:t>
      </w:r>
      <w:r>
        <w:rPr>
          <w:lang w:val="en-US"/>
        </w:rPr>
        <w:t xml:space="preserve">) and </w:t>
      </w:r>
      <w:r>
        <w:rPr>
          <w:lang w:val="en-US"/>
        </w:rPr>
        <w:t>sex</w:t>
      </w:r>
      <w:r>
        <w:rPr>
          <w:lang w:val="en-US"/>
        </w:rPr>
        <w:t xml:space="preserve"> (males, females)</w:t>
      </w:r>
      <w:r>
        <w:rPr>
          <w:lang w:val="en-US"/>
        </w:rPr>
        <w:t>, year of diagnosis</w:t>
      </w:r>
      <w:r>
        <w:rPr>
          <w:rFonts w:cstheme="minorHAnsi"/>
          <w:lang w:val="en-US"/>
        </w:rPr>
        <w:t>,</w:t>
      </w:r>
      <w:r>
        <w:rPr>
          <w:lang w:val="en-US"/>
        </w:rPr>
        <w:t xml:space="preserve"> c</w:t>
      </w:r>
      <w:r>
        <w:rPr>
          <w:lang w:val="en-US"/>
        </w:rPr>
        <w:t xml:space="preserve">ancer subtype (NSCLC, SCLC), </w:t>
      </w:r>
      <w:r>
        <w:rPr>
          <w:lang w:val="en-US"/>
        </w:rPr>
        <w:t>grading (</w:t>
      </w:r>
      <w:r>
        <w:rPr>
          <w:lang w:val="en-US"/>
        </w:rPr>
        <w:t>well- or moderately differentiated, poorly or undifferentiated</w:t>
      </w:r>
      <w:r>
        <w:rPr>
          <w:lang w:val="en-US"/>
        </w:rPr>
        <w:t>)</w:t>
      </w:r>
      <w:r>
        <w:rPr>
          <w:lang w:val="en-US"/>
        </w:rPr>
        <w:t>,</w:t>
      </w:r>
      <w:r>
        <w:rPr>
          <w:lang w:val="en-US"/>
        </w:rPr>
        <w:t xml:space="preserve"> stage at diagnosis (I, II, III, IV)</w:t>
      </w:r>
      <w:r>
        <w:rPr>
          <w:lang w:val="en-US"/>
        </w:rPr>
        <w:t>.</w:t>
      </w:r>
    </w:p>
    <w:p>
      <w:pPr>
        <w:spacing w:after="0"/>
        <w:rPr>
          <w:lang w:val="en-US"/>
        </w:rPr>
      </w:pPr>
      <w:r>
        <w:rPr>
          <w:vertAlign w:val="superscript"/>
          <w:lang w:val="en-US"/>
        </w:rPr>
        <w:t>b</w:t>
      </w:r>
      <w:r>
        <w:rPr>
          <w:lang w:val="en-US"/>
        </w:rPr>
        <w:t>For the cancer registry Dresden and Erfurt, the cities Dresden and Erfurt were classified separately, as they would otherwise dominate the classification of the quintiles. The deprivation value for Dresden lies between Q1 and Q2 in 2006 and in Q2 in 2010. For Erfurt, it lies in Q1 in 2006 and in Q2 in 2010.</w:t>
      </w:r>
    </w:p>
    <w:p>
      <w:pPr>
        <w:spacing w:line="360" w:lineRule="auto"/>
        <w:jc w:val="both"/>
        <w:rPr>
          <w:rFonts w:cstheme="minorHAnsi"/>
          <w:lang w:val="en-US"/>
        </w:rPr>
      </w:pPr>
      <w:r>
        <w:rPr>
          <w:rFonts w:cstheme="minorHAnsi"/>
          <w:lang w:val="en-US"/>
        </w:rPr>
        <w:t>*Hazard ratios with p&lt;0.05 are printed in bold</w:t>
      </w:r>
    </w:p>
    <w:p>
      <w:pPr>
        <w:pStyle w:val="Beschriftung"/>
        <w:rPr>
          <w:rFonts w:cstheme="minorHAnsi"/>
          <w:lang w:val="en-US"/>
        </w:rPr>
      </w:pPr>
    </w:p>
    <w:p>
      <w:pPr>
        <w:spacing w:line="360" w:lineRule="auto"/>
        <w:jc w:val="both"/>
        <w:rPr>
          <w:lang w:val="en-US"/>
        </w:rPr>
      </w:pPr>
      <w:r>
        <w:rPr>
          <w:lang w:val="en-US"/>
        </w:rPr>
        <w:tab/>
      </w:r>
    </w:p>
    <w:sectPr>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017468"/>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1</w:t>
        </w:r>
        <w: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004447"/>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28</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82C"/>
    <w:multiLevelType w:val="hybridMultilevel"/>
    <w:tmpl w:val="68E493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2E462F"/>
    <w:multiLevelType w:val="hybridMultilevel"/>
    <w:tmpl w:val="42BEF0CC"/>
    <w:lvl w:ilvl="0" w:tplc="9148F89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125AE8"/>
    <w:multiLevelType w:val="multilevel"/>
    <w:tmpl w:val="32DEB4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8347D0"/>
    <w:multiLevelType w:val="hybridMultilevel"/>
    <w:tmpl w:val="BECE6C3C"/>
    <w:lvl w:ilvl="0" w:tplc="79AA094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135728"/>
    <w:multiLevelType w:val="hybridMultilevel"/>
    <w:tmpl w:val="010C6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080D5C"/>
    <w:multiLevelType w:val="hybridMultilevel"/>
    <w:tmpl w:val="C9C2C0D4"/>
    <w:lvl w:ilvl="0" w:tplc="7910C952">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903E53"/>
    <w:multiLevelType w:val="hybridMultilevel"/>
    <w:tmpl w:val="CE2C1108"/>
    <w:lvl w:ilvl="0" w:tplc="F6CC889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C67BA1"/>
    <w:multiLevelType w:val="hybridMultilevel"/>
    <w:tmpl w:val="FBFEF4E6"/>
    <w:lvl w:ilvl="0" w:tplc="FB36070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352EB7"/>
    <w:multiLevelType w:val="hybridMultilevel"/>
    <w:tmpl w:val="212600B8"/>
    <w:lvl w:ilvl="0" w:tplc="704C6C24">
      <w:start w:val="198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936892"/>
    <w:multiLevelType w:val="hybridMultilevel"/>
    <w:tmpl w:val="74A0BC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913745"/>
    <w:multiLevelType w:val="hybridMultilevel"/>
    <w:tmpl w:val="D9366EE0"/>
    <w:lvl w:ilvl="0" w:tplc="7A429F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B010D8"/>
    <w:multiLevelType w:val="hybridMultilevel"/>
    <w:tmpl w:val="3DC2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A744F"/>
    <w:multiLevelType w:val="hybridMultilevel"/>
    <w:tmpl w:val="27F8992E"/>
    <w:lvl w:ilvl="0" w:tplc="B8D09852">
      <w:start w:val="198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886AF1"/>
    <w:multiLevelType w:val="hybridMultilevel"/>
    <w:tmpl w:val="08E246D2"/>
    <w:lvl w:ilvl="0" w:tplc="0982311A">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10632B"/>
    <w:multiLevelType w:val="hybridMultilevel"/>
    <w:tmpl w:val="044AC3E4"/>
    <w:lvl w:ilvl="0" w:tplc="3654945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8744EE"/>
    <w:multiLevelType w:val="hybridMultilevel"/>
    <w:tmpl w:val="73061A8C"/>
    <w:lvl w:ilvl="0" w:tplc="C7CC617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6"/>
  </w:num>
  <w:num w:numId="4">
    <w:abstractNumId w:val="0"/>
  </w:num>
  <w:num w:numId="5">
    <w:abstractNumId w:val="9"/>
  </w:num>
  <w:num w:numId="6">
    <w:abstractNumId w:val="10"/>
  </w:num>
  <w:num w:numId="7">
    <w:abstractNumId w:val="11"/>
  </w:num>
  <w:num w:numId="8">
    <w:abstractNumId w:val="15"/>
  </w:num>
  <w:num w:numId="9">
    <w:abstractNumId w:val="3"/>
  </w:num>
  <w:num w:numId="10">
    <w:abstractNumId w:val="7"/>
  </w:num>
  <w:num w:numId="11">
    <w:abstractNumId w:val="5"/>
  </w:num>
  <w:num w:numId="12">
    <w:abstractNumId w:val="1"/>
  </w:num>
  <w:num w:numId="13">
    <w:abstractNumId w:val="4"/>
  </w:num>
  <w:num w:numId="14">
    <w:abstractNumId w:val="13"/>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6866DA9D-A111-4726-A788-2928E1C3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EndNoteBibliographyTitle">
    <w:name w:val="EndNote Bibliography Title"/>
    <w:basedOn w:val="Standard"/>
    <w:link w:val="EndNoteBibliographyTitleZchn"/>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Pr>
      <w:rFonts w:ascii="Calibri" w:hAnsi="Calibri" w:cs="Calibri"/>
      <w:noProof/>
      <w:lang w:val="en-US"/>
    </w:rPr>
  </w:style>
  <w:style w:type="paragraph" w:customStyle="1" w:styleId="EndNoteBibliography">
    <w:name w:val="EndNote Bibliography"/>
    <w:basedOn w:val="Standard"/>
    <w:link w:val="EndNoteBibliographyZchn"/>
    <w:pPr>
      <w:spacing w:line="240" w:lineRule="auto"/>
      <w:jc w:val="both"/>
    </w:pPr>
    <w:rPr>
      <w:rFonts w:ascii="Calibri" w:hAnsi="Calibri" w:cs="Calibri"/>
      <w:noProof/>
      <w:lang w:val="en-US"/>
    </w:rPr>
  </w:style>
  <w:style w:type="character" w:customStyle="1" w:styleId="EndNoteBibliographyZchn">
    <w:name w:val="EndNote Bibliography Zchn"/>
    <w:basedOn w:val="Absatz-Standardschriftart"/>
    <w:link w:val="EndNoteBibliography"/>
    <w:rPr>
      <w:rFonts w:ascii="Calibri" w:hAnsi="Calibri" w:cs="Calibri"/>
      <w:noProof/>
      <w:lang w:val="en-U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berarbeitung">
    <w:name w:val="Revision"/>
    <w:hidden/>
    <w:uiPriority w:val="99"/>
    <w:semiHidden/>
    <w:pPr>
      <w:spacing w:after="0" w:line="240" w:lineRule="auto"/>
    </w:p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7008</Words>
  <Characters>44151</Characters>
  <Application>Microsoft Office Word</Application>
  <DocSecurity>4</DocSecurity>
  <Lines>367</Lines>
  <Paragraphs>102</Paragraphs>
  <ScaleCrop>false</ScaleCrop>
  <HeadingPairs>
    <vt:vector size="2" baseType="variant">
      <vt:variant>
        <vt:lpstr>Titel</vt:lpstr>
      </vt:variant>
      <vt:variant>
        <vt:i4>1</vt:i4>
      </vt:variant>
    </vt:vector>
  </HeadingPairs>
  <TitlesOfParts>
    <vt:vector size="1" baseType="lpstr">
      <vt:lpstr/>
    </vt:vector>
  </TitlesOfParts>
  <Company>DKFZ</Company>
  <LinksUpToDate>false</LinksUpToDate>
  <CharactersWithSpaces>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 Isabelle</dc:creator>
  <cp:keywords/>
  <dc:description/>
  <cp:lastModifiedBy>katrin.rauner</cp:lastModifiedBy>
  <cp:revision>2</cp:revision>
  <dcterms:created xsi:type="dcterms:W3CDTF">2020-02-28T10:27:00Z</dcterms:created>
  <dcterms:modified xsi:type="dcterms:W3CDTF">2020-02-28T10:27:00Z</dcterms:modified>
</cp:coreProperties>
</file>