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276" w:lineRule="auto"/>
        <w:rPr>
          <w:rFonts w:cs="Times New Roman"/>
          <w:sz w:val="22"/>
          <w:szCs w:val="22"/>
          <w:lang w:val="de-DE"/>
        </w:rPr>
      </w:pPr>
      <w:bookmarkStart w:id="0" w:name="_GoBack"/>
      <w:bookmarkEnd w:id="0"/>
    </w:p>
    <w:p>
      <w:pPr>
        <w:spacing w:line="276" w:lineRule="auto"/>
        <w:jc w:val="center"/>
        <w:rPr>
          <w:rFonts w:cs="Times New Roman"/>
          <w:b/>
          <w:sz w:val="22"/>
          <w:szCs w:val="22"/>
        </w:rPr>
      </w:pPr>
      <w:r>
        <w:rPr>
          <w:rFonts w:cs="Times New Roman"/>
          <w:b/>
          <w:sz w:val="22"/>
          <w:szCs w:val="22"/>
        </w:rPr>
        <w:t>Supporting Information of:</w:t>
      </w:r>
    </w:p>
    <w:p>
      <w:pPr>
        <w:spacing w:line="276" w:lineRule="auto"/>
        <w:jc w:val="center"/>
        <w:rPr>
          <w:rFonts w:cs="Times New Roman"/>
          <w:b/>
          <w:sz w:val="22"/>
          <w:szCs w:val="22"/>
        </w:rPr>
      </w:pPr>
    </w:p>
    <w:p>
      <w:pPr>
        <w:spacing w:line="276" w:lineRule="auto"/>
        <w:jc w:val="center"/>
        <w:rPr>
          <w:rFonts w:cs="Times New Roman"/>
          <w:b/>
          <w:sz w:val="28"/>
          <w:szCs w:val="22"/>
        </w:rPr>
      </w:pPr>
      <w:r>
        <w:rPr>
          <w:rFonts w:cs="Times New Roman"/>
          <w:b/>
          <w:sz w:val="28"/>
          <w:szCs w:val="22"/>
        </w:rPr>
        <w:t>Origin of VOC emissions from subarctic ecosystems under global warming</w:t>
      </w:r>
    </w:p>
    <w:p>
      <w:pPr>
        <w:spacing w:line="276" w:lineRule="auto"/>
        <w:rPr>
          <w:rFonts w:cs="Times New Roman"/>
          <w:b/>
          <w:sz w:val="22"/>
          <w:szCs w:val="22"/>
        </w:rPr>
      </w:pPr>
    </w:p>
    <w:p>
      <w:pPr>
        <w:spacing w:line="276" w:lineRule="auto"/>
        <w:jc w:val="center"/>
        <w:rPr>
          <w:rFonts w:cs="Times New Roman"/>
          <w:sz w:val="18"/>
          <w:szCs w:val="22"/>
          <w:lang w:val="de-DE"/>
        </w:rPr>
      </w:pPr>
      <w:r>
        <w:rPr>
          <w:rFonts w:cs="Times New Roman"/>
          <w:sz w:val="18"/>
          <w:szCs w:val="22"/>
          <w:lang w:val="de-DE"/>
        </w:rPr>
        <w:t>Andrea Ghirardo, Frida Lindstein, Kerstin Koch, Franz Buegger, Michael Schloter, Andreas Albert, Anders Michelsen, Jana Barbro Winkler, Jörg-Peter Schnitzler and Riikka Rinnan</w:t>
      </w:r>
    </w:p>
    <w:p>
      <w:pPr>
        <w:spacing w:line="276" w:lineRule="auto"/>
        <w:rPr>
          <w:rFonts w:cs="Times New Roman"/>
          <w:b/>
          <w:sz w:val="22"/>
          <w:szCs w:val="22"/>
          <w:lang w:val="de-DE"/>
        </w:rPr>
      </w:pPr>
    </w:p>
    <w:p>
      <w:pPr>
        <w:spacing w:line="276" w:lineRule="auto"/>
        <w:rPr>
          <w:rFonts w:cs="Times New Roman"/>
          <w:b/>
          <w:sz w:val="22"/>
          <w:szCs w:val="22"/>
          <w:lang w:val="de-DE"/>
        </w:rPr>
      </w:pPr>
    </w:p>
    <w:p>
      <w:pPr>
        <w:spacing w:line="276" w:lineRule="auto"/>
        <w:rPr>
          <w:rFonts w:cs="Times New Roman"/>
          <w:b/>
          <w:sz w:val="22"/>
          <w:szCs w:val="22"/>
          <w:lang w:val="de-DE"/>
        </w:rPr>
      </w:pPr>
    </w:p>
    <w:p>
      <w:pPr>
        <w:spacing w:after="0" w:line="276" w:lineRule="auto"/>
        <w:rPr>
          <w:rFonts w:cs="Times New Roman"/>
          <w:b/>
          <w:i/>
          <w:sz w:val="22"/>
          <w:szCs w:val="22"/>
        </w:rPr>
      </w:pPr>
      <w:r>
        <w:rPr>
          <w:rFonts w:cs="Times New Roman"/>
          <w:b/>
          <w:i/>
          <w:sz w:val="22"/>
          <w:szCs w:val="22"/>
        </w:rPr>
        <w:t xml:space="preserve">Table of Contents </w:t>
      </w:r>
    </w:p>
    <w:p>
      <w:pPr>
        <w:spacing w:after="0" w:line="276" w:lineRule="auto"/>
        <w:rPr>
          <w:rFonts w:cs="Times New Roman"/>
          <w:b/>
          <w:i/>
          <w:sz w:val="22"/>
          <w:szCs w:val="22"/>
        </w:rPr>
      </w:pPr>
    </w:p>
    <w:p>
      <w:pPr>
        <w:spacing w:after="0" w:line="276" w:lineRule="auto"/>
        <w:rPr>
          <w:rFonts w:cs="Times New Roman"/>
          <w:sz w:val="22"/>
          <w:szCs w:val="22"/>
        </w:rPr>
      </w:pPr>
      <w:r>
        <w:rPr>
          <w:rFonts w:cs="Times New Roman"/>
          <w:sz w:val="22"/>
          <w:szCs w:val="22"/>
        </w:rPr>
        <w:t>Supporting Figures:</w:t>
      </w:r>
    </w:p>
    <w:p>
      <w:pPr>
        <w:spacing w:after="0" w:line="276" w:lineRule="auto"/>
        <w:rPr>
          <w:rFonts w:cs="Times New Roman"/>
          <w:sz w:val="22"/>
          <w:szCs w:val="22"/>
        </w:rPr>
      </w:pPr>
    </w:p>
    <w:p>
      <w:pPr>
        <w:spacing w:after="0" w:line="276" w:lineRule="auto"/>
        <w:ind w:left="180"/>
        <w:rPr>
          <w:rFonts w:cs="Times New Roman"/>
          <w:b/>
          <w:sz w:val="22"/>
          <w:szCs w:val="22"/>
        </w:rPr>
      </w:pPr>
      <w:r>
        <w:rPr>
          <w:rFonts w:cs="Times New Roman"/>
          <w:b/>
          <w:sz w:val="22"/>
          <w:szCs w:val="22"/>
        </w:rPr>
        <w:t>Figure S1</w:t>
      </w:r>
    </w:p>
    <w:p>
      <w:pPr>
        <w:spacing w:after="0" w:line="276" w:lineRule="auto"/>
        <w:ind w:left="180"/>
        <w:rPr>
          <w:rFonts w:cs="Times New Roman"/>
          <w:b/>
          <w:sz w:val="22"/>
          <w:szCs w:val="22"/>
        </w:rPr>
      </w:pPr>
      <w:r>
        <w:rPr>
          <w:rFonts w:cs="Times New Roman"/>
          <w:b/>
          <w:sz w:val="22"/>
          <w:szCs w:val="22"/>
        </w:rPr>
        <w:t>Figure S2</w:t>
      </w:r>
    </w:p>
    <w:p>
      <w:pPr>
        <w:spacing w:after="0" w:line="276" w:lineRule="auto"/>
        <w:ind w:left="180"/>
        <w:rPr>
          <w:rFonts w:cs="Times New Roman"/>
          <w:b/>
          <w:sz w:val="22"/>
          <w:szCs w:val="22"/>
        </w:rPr>
      </w:pPr>
      <w:r>
        <w:rPr>
          <w:rFonts w:cs="Times New Roman"/>
          <w:b/>
          <w:sz w:val="22"/>
          <w:szCs w:val="22"/>
        </w:rPr>
        <w:t>Figure S3</w:t>
      </w:r>
    </w:p>
    <w:p>
      <w:pPr>
        <w:spacing w:after="0" w:line="276" w:lineRule="auto"/>
        <w:ind w:left="180"/>
        <w:rPr>
          <w:rFonts w:cs="Times New Roman"/>
          <w:b/>
          <w:sz w:val="22"/>
          <w:szCs w:val="22"/>
        </w:rPr>
      </w:pPr>
      <w:r>
        <w:rPr>
          <w:rFonts w:cs="Times New Roman"/>
          <w:b/>
          <w:sz w:val="22"/>
          <w:szCs w:val="22"/>
        </w:rPr>
        <w:t>Figure S4</w:t>
      </w:r>
    </w:p>
    <w:p>
      <w:pPr>
        <w:spacing w:after="0" w:line="276" w:lineRule="auto"/>
        <w:ind w:left="180"/>
        <w:rPr>
          <w:rFonts w:cs="Times New Roman"/>
          <w:b/>
          <w:sz w:val="22"/>
          <w:szCs w:val="22"/>
        </w:rPr>
      </w:pPr>
      <w:r>
        <w:rPr>
          <w:rFonts w:cs="Times New Roman"/>
          <w:b/>
          <w:sz w:val="22"/>
          <w:szCs w:val="22"/>
        </w:rPr>
        <w:t>Figure S5</w:t>
      </w:r>
    </w:p>
    <w:p>
      <w:pPr>
        <w:spacing w:after="0" w:line="276" w:lineRule="auto"/>
        <w:ind w:left="180"/>
        <w:rPr>
          <w:rFonts w:cs="Times New Roman"/>
          <w:b/>
          <w:sz w:val="22"/>
          <w:szCs w:val="22"/>
        </w:rPr>
      </w:pPr>
      <w:r>
        <w:rPr>
          <w:rFonts w:cs="Times New Roman"/>
          <w:b/>
          <w:sz w:val="22"/>
          <w:szCs w:val="22"/>
        </w:rPr>
        <w:t>Figure S6</w:t>
      </w:r>
    </w:p>
    <w:p>
      <w:pPr>
        <w:spacing w:after="0" w:line="276" w:lineRule="auto"/>
        <w:ind w:left="180"/>
        <w:rPr>
          <w:rFonts w:cs="Times New Roman"/>
          <w:b/>
          <w:sz w:val="22"/>
          <w:szCs w:val="22"/>
        </w:rPr>
      </w:pPr>
      <w:r>
        <w:rPr>
          <w:rFonts w:cs="Times New Roman"/>
          <w:b/>
          <w:sz w:val="22"/>
          <w:szCs w:val="22"/>
        </w:rPr>
        <w:t>Figure S7</w:t>
      </w:r>
    </w:p>
    <w:p>
      <w:pPr>
        <w:spacing w:after="0" w:line="276" w:lineRule="auto"/>
        <w:ind w:left="180"/>
        <w:rPr>
          <w:rFonts w:cs="Times New Roman"/>
          <w:b/>
          <w:sz w:val="22"/>
          <w:szCs w:val="22"/>
        </w:rPr>
      </w:pPr>
      <w:r>
        <w:rPr>
          <w:rFonts w:cs="Times New Roman"/>
          <w:b/>
          <w:sz w:val="22"/>
          <w:szCs w:val="22"/>
        </w:rPr>
        <w:t>Figure S8</w:t>
      </w:r>
    </w:p>
    <w:p>
      <w:pPr>
        <w:spacing w:after="0" w:line="276" w:lineRule="auto"/>
        <w:ind w:left="180"/>
        <w:rPr>
          <w:rFonts w:cs="Times New Roman"/>
          <w:b/>
          <w:sz w:val="22"/>
          <w:szCs w:val="22"/>
        </w:rPr>
      </w:pPr>
      <w:r>
        <w:rPr>
          <w:rFonts w:cs="Times New Roman"/>
          <w:b/>
          <w:sz w:val="22"/>
          <w:szCs w:val="22"/>
        </w:rPr>
        <w:t>Figure S9</w:t>
      </w:r>
    </w:p>
    <w:p>
      <w:pPr>
        <w:spacing w:after="0" w:line="276" w:lineRule="auto"/>
        <w:ind w:left="180"/>
        <w:rPr>
          <w:rFonts w:cs="Times New Roman"/>
          <w:b/>
          <w:sz w:val="22"/>
          <w:szCs w:val="22"/>
        </w:rPr>
      </w:pPr>
      <w:r>
        <w:rPr>
          <w:rFonts w:cs="Times New Roman"/>
          <w:b/>
          <w:sz w:val="22"/>
          <w:szCs w:val="22"/>
        </w:rPr>
        <w:t>Figure S10</w:t>
      </w:r>
    </w:p>
    <w:p>
      <w:pPr>
        <w:spacing w:after="0" w:line="276" w:lineRule="auto"/>
        <w:ind w:left="180"/>
        <w:rPr>
          <w:rFonts w:cs="Times New Roman"/>
          <w:b/>
          <w:sz w:val="22"/>
          <w:szCs w:val="22"/>
        </w:rPr>
      </w:pPr>
      <w:r>
        <w:rPr>
          <w:rFonts w:cs="Times New Roman"/>
          <w:b/>
          <w:sz w:val="22"/>
          <w:szCs w:val="22"/>
        </w:rPr>
        <w:t>Figure S11</w:t>
      </w:r>
    </w:p>
    <w:p>
      <w:pPr>
        <w:spacing w:after="0" w:line="276" w:lineRule="auto"/>
        <w:ind w:left="180"/>
        <w:rPr>
          <w:rFonts w:cs="Times New Roman"/>
          <w:b/>
          <w:sz w:val="22"/>
          <w:szCs w:val="22"/>
        </w:rPr>
      </w:pPr>
      <w:r>
        <w:rPr>
          <w:rFonts w:cs="Times New Roman"/>
          <w:b/>
          <w:sz w:val="22"/>
          <w:szCs w:val="22"/>
        </w:rPr>
        <w:t>Figure S12</w:t>
      </w:r>
    </w:p>
    <w:p>
      <w:pPr>
        <w:spacing w:after="0" w:line="276" w:lineRule="auto"/>
        <w:ind w:left="180"/>
        <w:rPr>
          <w:rFonts w:cs="Times New Roman"/>
          <w:b/>
          <w:sz w:val="22"/>
          <w:szCs w:val="22"/>
        </w:rPr>
      </w:pPr>
      <w:r>
        <w:rPr>
          <w:rFonts w:cs="Times New Roman"/>
          <w:b/>
          <w:sz w:val="22"/>
          <w:szCs w:val="22"/>
        </w:rPr>
        <w:t>Figure S13</w:t>
      </w:r>
    </w:p>
    <w:p>
      <w:pPr>
        <w:spacing w:after="0" w:line="276" w:lineRule="auto"/>
        <w:ind w:left="180"/>
        <w:rPr>
          <w:rFonts w:cs="Times New Roman"/>
          <w:b/>
          <w:sz w:val="22"/>
          <w:szCs w:val="22"/>
        </w:rPr>
      </w:pPr>
    </w:p>
    <w:p>
      <w:pPr>
        <w:spacing w:after="0" w:line="276" w:lineRule="auto"/>
        <w:rPr>
          <w:rFonts w:cs="Times New Roman"/>
          <w:b/>
          <w:sz w:val="22"/>
          <w:szCs w:val="22"/>
        </w:rPr>
      </w:pPr>
    </w:p>
    <w:p>
      <w:pPr>
        <w:spacing w:after="0" w:line="276" w:lineRule="auto"/>
        <w:rPr>
          <w:rFonts w:cs="Times New Roman"/>
          <w:sz w:val="22"/>
          <w:szCs w:val="22"/>
        </w:rPr>
      </w:pPr>
      <w:r>
        <w:rPr>
          <w:rFonts w:cs="Times New Roman"/>
          <w:sz w:val="22"/>
          <w:szCs w:val="22"/>
        </w:rPr>
        <w:t>Supporting Tables:</w:t>
      </w:r>
    </w:p>
    <w:p>
      <w:pPr>
        <w:spacing w:after="0" w:line="276" w:lineRule="auto"/>
        <w:rPr>
          <w:rFonts w:cs="Times New Roman"/>
          <w:sz w:val="22"/>
          <w:szCs w:val="22"/>
        </w:rPr>
      </w:pPr>
    </w:p>
    <w:p>
      <w:pPr>
        <w:spacing w:after="0" w:line="276" w:lineRule="auto"/>
        <w:ind w:left="180"/>
        <w:rPr>
          <w:rFonts w:cs="Times New Roman"/>
          <w:b/>
          <w:sz w:val="22"/>
          <w:szCs w:val="22"/>
        </w:rPr>
      </w:pPr>
      <w:r>
        <w:rPr>
          <w:rFonts w:cs="Times New Roman"/>
          <w:b/>
          <w:sz w:val="22"/>
          <w:szCs w:val="22"/>
        </w:rPr>
        <w:t>Table S1</w:t>
      </w:r>
    </w:p>
    <w:p>
      <w:pPr>
        <w:spacing w:after="0" w:line="276" w:lineRule="auto"/>
        <w:ind w:left="180"/>
        <w:rPr>
          <w:rFonts w:cs="Times New Roman"/>
          <w:b/>
          <w:sz w:val="22"/>
          <w:szCs w:val="22"/>
        </w:rPr>
      </w:pPr>
      <w:r>
        <w:rPr>
          <w:rFonts w:cs="Times New Roman"/>
          <w:b/>
          <w:sz w:val="22"/>
          <w:szCs w:val="22"/>
        </w:rPr>
        <w:t>Table S2</w:t>
      </w:r>
    </w:p>
    <w:p>
      <w:pPr>
        <w:spacing w:after="0" w:line="276" w:lineRule="auto"/>
        <w:ind w:left="180"/>
        <w:rPr>
          <w:rFonts w:cs="Times New Roman"/>
          <w:b/>
          <w:sz w:val="22"/>
          <w:szCs w:val="22"/>
        </w:rPr>
      </w:pPr>
      <w:r>
        <w:rPr>
          <w:rFonts w:cs="Times New Roman"/>
          <w:b/>
          <w:sz w:val="22"/>
          <w:szCs w:val="22"/>
        </w:rPr>
        <w:t>Table S3</w:t>
      </w:r>
    </w:p>
    <w:p>
      <w:pPr>
        <w:spacing w:after="0" w:line="276" w:lineRule="auto"/>
        <w:rPr>
          <w:rFonts w:cs="Times New Roman"/>
          <w:sz w:val="22"/>
          <w:szCs w:val="22"/>
        </w:rPr>
      </w:pPr>
    </w:p>
    <w:p>
      <w:pPr>
        <w:spacing w:after="0" w:line="276" w:lineRule="auto"/>
        <w:rPr>
          <w:rFonts w:cs="Times New Roman"/>
          <w:b/>
          <w:sz w:val="22"/>
          <w:szCs w:val="22"/>
        </w:rPr>
      </w:pPr>
      <w:r>
        <w:rPr>
          <w:rFonts w:cs="Times New Roman"/>
          <w:b/>
          <w:sz w:val="22"/>
          <w:szCs w:val="22"/>
        </w:rPr>
        <w:br w:type="page"/>
      </w:r>
    </w:p>
    <w:p>
      <w:pPr>
        <w:spacing w:line="276" w:lineRule="auto"/>
        <w:rPr>
          <w:rFonts w:cs="Times New Roman"/>
          <w:b/>
          <w:sz w:val="22"/>
          <w:szCs w:val="22"/>
        </w:rPr>
      </w:pPr>
    </w:p>
    <w:p>
      <w:pPr>
        <w:spacing w:line="276" w:lineRule="auto"/>
        <w:jc w:val="center"/>
        <w:rPr>
          <w:rFonts w:cs="Times New Roman"/>
          <w:b/>
          <w:sz w:val="22"/>
          <w:szCs w:val="22"/>
        </w:rPr>
      </w:pPr>
      <w:r>
        <w:rPr>
          <w:rFonts w:cs="Times New Roman"/>
          <w:b/>
          <w:noProof/>
          <w:sz w:val="22"/>
          <w:szCs w:val="22"/>
        </w:rPr>
        <w:drawing>
          <wp:inline distT="0" distB="0" distL="0" distR="0">
            <wp:extent cx="2966559" cy="4960189"/>
            <wp:effectExtent l="0" t="0" r="5715" b="0"/>
            <wp:docPr id="3" name="Picture 3" descr="D:\Seafile\My Library-1\work\PAPER\Meso\01_FIG\All_figures\S_mesocosm_composi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afile\My Library-1\work\PAPER\Meso\01_FIG\All_figures\S_mesocosm_composition.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6641" cy="4960325"/>
                    </a:xfrm>
                    <a:prstGeom prst="rect">
                      <a:avLst/>
                    </a:prstGeom>
                    <a:noFill/>
                    <a:ln>
                      <a:noFill/>
                    </a:ln>
                  </pic:spPr>
                </pic:pic>
              </a:graphicData>
            </a:graphic>
          </wp:inline>
        </w:drawing>
      </w:r>
    </w:p>
    <w:p>
      <w:pPr>
        <w:spacing w:line="276" w:lineRule="auto"/>
        <w:jc w:val="both"/>
        <w:rPr>
          <w:rFonts w:cs="Times New Roman"/>
          <w:b/>
          <w:sz w:val="22"/>
          <w:szCs w:val="22"/>
        </w:rPr>
      </w:pPr>
    </w:p>
    <w:p>
      <w:pPr>
        <w:spacing w:line="276" w:lineRule="auto"/>
        <w:jc w:val="both"/>
        <w:rPr>
          <w:rFonts w:cs="Times New Roman"/>
          <w:sz w:val="22"/>
          <w:szCs w:val="22"/>
        </w:rPr>
      </w:pPr>
      <w:r>
        <w:rPr>
          <w:rFonts w:cs="Times New Roman"/>
          <w:b/>
          <w:sz w:val="22"/>
          <w:szCs w:val="22"/>
        </w:rPr>
        <w:t>Figure S1. Differences in plant composition in ‘</w:t>
      </w:r>
      <w:r>
        <w:rPr>
          <w:rFonts w:cs="Times New Roman"/>
          <w:b/>
          <w:i/>
          <w:sz w:val="22"/>
          <w:szCs w:val="22"/>
        </w:rPr>
        <w:t>Salix</w:t>
      </w:r>
      <w:r>
        <w:rPr>
          <w:rFonts w:cs="Times New Roman"/>
          <w:b/>
          <w:sz w:val="22"/>
          <w:szCs w:val="22"/>
        </w:rPr>
        <w:t>’ and ‘</w:t>
      </w:r>
      <w:r>
        <w:rPr>
          <w:rFonts w:cs="Times New Roman"/>
          <w:b/>
          <w:i/>
          <w:sz w:val="22"/>
          <w:szCs w:val="22"/>
        </w:rPr>
        <w:t>Betula</w:t>
      </w:r>
      <w:r>
        <w:rPr>
          <w:rFonts w:cs="Times New Roman"/>
          <w:b/>
          <w:sz w:val="22"/>
          <w:szCs w:val="22"/>
        </w:rPr>
        <w:t xml:space="preserve">’ dominated mesocosms. a) </w:t>
      </w:r>
      <w:r>
        <w:rPr>
          <w:rFonts w:cs="Times New Roman"/>
          <w:sz w:val="22"/>
          <w:szCs w:val="22"/>
        </w:rPr>
        <w:t>Orthogonal partial least square regression (OPLS) biplot (scores and loading; correlation scaled) of</w:t>
      </w:r>
      <w:r>
        <w:rPr>
          <w:rFonts w:cs="Times New Roman"/>
          <w:b/>
          <w:sz w:val="22"/>
          <w:szCs w:val="22"/>
        </w:rPr>
        <w:t xml:space="preserve"> </w:t>
      </w:r>
      <w:r>
        <w:rPr>
          <w:rFonts w:cs="Times New Roman"/>
          <w:sz w:val="22"/>
          <w:szCs w:val="22"/>
        </w:rPr>
        <w:t>the</w:t>
      </w:r>
      <w:r>
        <w:rPr>
          <w:rFonts w:cs="Times New Roman"/>
          <w:b/>
          <w:sz w:val="22"/>
          <w:szCs w:val="22"/>
        </w:rPr>
        <w:t xml:space="preserve"> </w:t>
      </w:r>
      <w:r>
        <w:rPr>
          <w:rFonts w:cs="Times New Roman"/>
          <w:sz w:val="22"/>
          <w:szCs w:val="22"/>
        </w:rPr>
        <w:t>aboveground</w:t>
      </w:r>
      <w:r>
        <w:rPr>
          <w:rFonts w:cs="Times New Roman"/>
          <w:b/>
          <w:sz w:val="22"/>
          <w:szCs w:val="22"/>
        </w:rPr>
        <w:t xml:space="preserve"> </w:t>
      </w:r>
      <w:r>
        <w:rPr>
          <w:rFonts w:cs="Times New Roman"/>
          <w:sz w:val="22"/>
          <w:szCs w:val="22"/>
        </w:rPr>
        <w:t>plant</w:t>
      </w:r>
      <w:r>
        <w:rPr>
          <w:rFonts w:cs="Times New Roman"/>
          <w:b/>
          <w:sz w:val="22"/>
          <w:szCs w:val="22"/>
        </w:rPr>
        <w:t xml:space="preserve"> </w:t>
      </w:r>
      <w:r>
        <w:rPr>
          <w:rFonts w:cs="Times New Roman"/>
          <w:sz w:val="22"/>
          <w:szCs w:val="22"/>
        </w:rPr>
        <w:t xml:space="preserve">biomass (foliage plus stem; X-loading, in g </w:t>
      </w:r>
      <w:r>
        <w:rPr>
          <w:rFonts w:cs="Times New Roman"/>
          <w:noProof/>
          <w:sz w:val="22"/>
          <w:szCs w:val="22"/>
        </w:rPr>
        <w:t>dw</w:t>
      </w:r>
      <w:r>
        <w:rPr>
          <w:rFonts w:cs="Times New Roman"/>
          <w:sz w:val="22"/>
          <w:szCs w:val="22"/>
        </w:rPr>
        <w:t>) from ‘</w:t>
      </w:r>
      <w:r>
        <w:rPr>
          <w:rFonts w:cs="Times New Roman"/>
          <w:i/>
          <w:sz w:val="22"/>
          <w:szCs w:val="22"/>
        </w:rPr>
        <w:t>Salix</w:t>
      </w:r>
      <w:r>
        <w:rPr>
          <w:rFonts w:cs="Times New Roman"/>
          <w:sz w:val="22"/>
          <w:szCs w:val="22"/>
        </w:rPr>
        <w:t>’(black circles) and ‘</w:t>
      </w:r>
      <w:r>
        <w:rPr>
          <w:rFonts w:cs="Times New Roman"/>
          <w:i/>
          <w:sz w:val="22"/>
          <w:szCs w:val="22"/>
        </w:rPr>
        <w:t>Betula</w:t>
      </w:r>
      <w:r>
        <w:rPr>
          <w:rFonts w:cs="Times New Roman"/>
          <w:sz w:val="22"/>
          <w:szCs w:val="22"/>
        </w:rPr>
        <w:t>’ (white circles) mesocosms. Y-variables: ‘</w:t>
      </w:r>
      <w:r>
        <w:rPr>
          <w:rFonts w:cs="Times New Roman"/>
          <w:i/>
          <w:sz w:val="22"/>
          <w:szCs w:val="22"/>
        </w:rPr>
        <w:t>Salix</w:t>
      </w:r>
      <w:r>
        <w:rPr>
          <w:rFonts w:cs="Times New Roman"/>
          <w:sz w:val="22"/>
          <w:szCs w:val="22"/>
        </w:rPr>
        <w:t>’=0, ‘</w:t>
      </w:r>
      <w:r>
        <w:rPr>
          <w:rFonts w:cs="Times New Roman"/>
          <w:i/>
          <w:sz w:val="22"/>
          <w:szCs w:val="22"/>
        </w:rPr>
        <w:t>Betula</w:t>
      </w:r>
      <w:r>
        <w:rPr>
          <w:rFonts w:cs="Times New Roman"/>
          <w:sz w:val="22"/>
          <w:szCs w:val="22"/>
        </w:rPr>
        <w:t xml:space="preserve">’=1. Scores and loading data are depicted with circles and rectangles, respectively. The ellipse indicates the model tolerance based on Hotelling’s </w:t>
      </w:r>
      <w:r>
        <w:rPr>
          <w:rFonts w:cs="Times New Roman"/>
          <w:i/>
          <w:sz w:val="22"/>
          <w:szCs w:val="22"/>
        </w:rPr>
        <w:t>T</w:t>
      </w:r>
      <w:r>
        <w:rPr>
          <w:rFonts w:cs="Times New Roman"/>
          <w:sz w:val="22"/>
          <w:szCs w:val="22"/>
          <w:vertAlign w:val="superscript"/>
        </w:rPr>
        <w:t>2</w:t>
      </w:r>
      <w:r>
        <w:rPr>
          <w:rFonts w:cs="Times New Roman"/>
          <w:sz w:val="22"/>
          <w:szCs w:val="22"/>
        </w:rPr>
        <w:t xml:space="preserve"> and significance level of </w:t>
      </w:r>
      <w:r>
        <w:rPr>
          <w:rFonts w:ascii="Symbol" w:hAnsi="Symbol" w:cs="Times New Roman"/>
          <w:sz w:val="22"/>
          <w:szCs w:val="22"/>
        </w:rPr>
        <w:t></w:t>
      </w:r>
      <w:r>
        <w:rPr>
          <w:rFonts w:cs="Times New Roman"/>
          <w:sz w:val="22"/>
          <w:szCs w:val="22"/>
        </w:rPr>
        <w:t xml:space="preserve"> = 0.05. </w:t>
      </w:r>
      <w:r>
        <w:rPr>
          <w:rFonts w:cs="Times New Roman"/>
          <w:b/>
          <w:sz w:val="22"/>
          <w:szCs w:val="22"/>
        </w:rPr>
        <w:t>b</w:t>
      </w:r>
      <w:r>
        <w:rPr>
          <w:rFonts w:cs="Times New Roman"/>
          <w:sz w:val="22"/>
          <w:szCs w:val="22"/>
        </w:rPr>
        <w:t xml:space="preserve">) Correlation coefficient plot of OPLS, correlating biomass data with mesocosms types. The coefficients are given scaled and centered. Error bars were derived using the jack-knife method. Bars represent the average ± se of 18 mesocosms. OPLS model fitness: </w:t>
      </w:r>
      <w:r>
        <w:rPr>
          <w:rFonts w:cs="Times New Roman"/>
          <w:i/>
          <w:sz w:val="22"/>
          <w:szCs w:val="22"/>
        </w:rPr>
        <w:t>r</w:t>
      </w:r>
      <w:r>
        <w:rPr>
          <w:rFonts w:cs="Times New Roman"/>
          <w:sz w:val="22"/>
          <w:szCs w:val="22"/>
          <w:vertAlign w:val="superscript"/>
        </w:rPr>
        <w:t>2</w:t>
      </w:r>
      <w:r>
        <w:rPr>
          <w:rFonts w:cs="Times New Roman"/>
          <w:sz w:val="22"/>
          <w:szCs w:val="22"/>
        </w:rPr>
        <w:t xml:space="preserve"> (x)=51%, </w:t>
      </w:r>
      <w:r>
        <w:rPr>
          <w:rFonts w:cs="Times New Roman"/>
          <w:i/>
          <w:sz w:val="22"/>
          <w:szCs w:val="22"/>
        </w:rPr>
        <w:t>r</w:t>
      </w:r>
      <w:r>
        <w:rPr>
          <w:rFonts w:cs="Times New Roman"/>
          <w:sz w:val="22"/>
          <w:szCs w:val="22"/>
          <w:vertAlign w:val="superscript"/>
        </w:rPr>
        <w:t>2</w:t>
      </w:r>
      <w:r>
        <w:rPr>
          <w:rFonts w:cs="Times New Roman"/>
          <w:sz w:val="22"/>
          <w:szCs w:val="22"/>
        </w:rPr>
        <w:t xml:space="preserve">=82%, </w:t>
      </w:r>
      <w:r>
        <w:rPr>
          <w:rFonts w:cs="Times New Roman"/>
          <w:i/>
          <w:sz w:val="22"/>
          <w:szCs w:val="22"/>
        </w:rPr>
        <w:t>q</w:t>
      </w:r>
      <w:r>
        <w:rPr>
          <w:rFonts w:cs="Times New Roman"/>
          <w:sz w:val="22"/>
          <w:szCs w:val="22"/>
          <w:vertAlign w:val="superscript"/>
        </w:rPr>
        <w:t>2</w:t>
      </w:r>
      <w:r>
        <w:rPr>
          <w:rFonts w:cs="Times New Roman"/>
          <w:sz w:val="22"/>
          <w:szCs w:val="22"/>
        </w:rPr>
        <w:t xml:space="preserve"> (cum)=77% using 1 predictive component. RMSEE (root mean square error of estimation) = 0.22; RMSEcv (root mean square error of cross-validation) = 0.23; </w:t>
      </w:r>
      <w:r>
        <w:rPr>
          <w:rFonts w:cs="Times New Roman"/>
          <w:i/>
          <w:sz w:val="22"/>
          <w:szCs w:val="22"/>
        </w:rPr>
        <w:t>P</w:t>
      </w:r>
      <w:r>
        <w:rPr>
          <w:rFonts w:cs="Times New Roman"/>
          <w:sz w:val="22"/>
          <w:szCs w:val="22"/>
        </w:rPr>
        <w:t xml:space="preserve"> = 1.24e</w:t>
      </w:r>
      <w:r>
        <w:rPr>
          <w:rFonts w:cs="Times New Roman"/>
          <w:sz w:val="22"/>
          <w:szCs w:val="22"/>
          <w:vertAlign w:val="superscript"/>
        </w:rPr>
        <w:t>-9</w:t>
      </w:r>
      <w:r>
        <w:rPr>
          <w:rFonts w:cs="Times New Roman"/>
          <w:sz w:val="22"/>
          <w:szCs w:val="22"/>
        </w:rPr>
        <w:t>, CV-ANOVA. PC, predictive component. Color code of square symbols in panel (a) reflects those given in panel (b). A list of plant names and biomass data are given in Supp. Table S1.</w:t>
      </w:r>
    </w:p>
    <w:p>
      <w:pPr>
        <w:spacing w:after="0" w:line="276" w:lineRule="auto"/>
        <w:rPr>
          <w:rFonts w:cs="Times New Roman"/>
          <w:b/>
          <w:sz w:val="22"/>
          <w:szCs w:val="22"/>
        </w:rPr>
      </w:pPr>
      <w:r>
        <w:rPr>
          <w:rFonts w:cs="Times New Roman"/>
          <w:b/>
          <w:sz w:val="22"/>
          <w:szCs w:val="22"/>
        </w:rPr>
        <w:br w:type="page"/>
      </w:r>
    </w:p>
    <w:p>
      <w:pPr>
        <w:spacing w:line="276" w:lineRule="auto"/>
        <w:jc w:val="both"/>
        <w:rPr>
          <w:rFonts w:cs="Times New Roman"/>
          <w:sz w:val="22"/>
          <w:szCs w:val="22"/>
        </w:rPr>
      </w:pPr>
    </w:p>
    <w:p>
      <w:pPr>
        <w:spacing w:line="276" w:lineRule="auto"/>
        <w:jc w:val="center"/>
        <w:rPr>
          <w:rFonts w:cs="Times New Roman"/>
          <w:b/>
          <w:sz w:val="22"/>
          <w:szCs w:val="22"/>
        </w:rPr>
      </w:pPr>
      <w:r>
        <w:rPr>
          <w:rFonts w:cs="Times New Roman"/>
          <w:b/>
          <w:noProof/>
          <w:sz w:val="22"/>
          <w:szCs w:val="22"/>
        </w:rPr>
        <w:drawing>
          <wp:inline distT="0" distB="0" distL="0" distR="0">
            <wp:extent cx="5753100" cy="6858000"/>
            <wp:effectExtent l="0" t="0" r="0" b="0"/>
            <wp:docPr id="7" name="Picture 7" descr="D:\Seafile\My Library-1\work\PAPER\Meso\01_FIG\All_figures\Chamber_env_condition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eafile\My Library-1\work\PAPER\Meso\01_FIG\All_figures\Chamber_env_conditions.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6858000"/>
                    </a:xfrm>
                    <a:prstGeom prst="rect">
                      <a:avLst/>
                    </a:prstGeom>
                    <a:noFill/>
                    <a:ln>
                      <a:noFill/>
                    </a:ln>
                  </pic:spPr>
                </pic:pic>
              </a:graphicData>
            </a:graphic>
          </wp:inline>
        </w:drawing>
      </w:r>
    </w:p>
    <w:p>
      <w:pPr>
        <w:spacing w:line="276" w:lineRule="auto"/>
        <w:jc w:val="center"/>
        <w:rPr>
          <w:rFonts w:cs="Times New Roman"/>
          <w:b/>
          <w:sz w:val="22"/>
          <w:szCs w:val="22"/>
        </w:rPr>
      </w:pPr>
    </w:p>
    <w:p>
      <w:pPr>
        <w:spacing w:line="276" w:lineRule="auto"/>
        <w:jc w:val="both"/>
        <w:rPr>
          <w:rFonts w:cs="Times New Roman"/>
          <w:b/>
          <w:sz w:val="22"/>
          <w:szCs w:val="22"/>
        </w:rPr>
      </w:pPr>
      <w:r>
        <w:rPr>
          <w:rFonts w:cs="Times New Roman"/>
          <w:b/>
          <w:sz w:val="22"/>
          <w:szCs w:val="22"/>
        </w:rPr>
        <w:t>Figure S2. Climate simulation.</w:t>
      </w:r>
      <w:r>
        <w:rPr>
          <w:rFonts w:cs="Times New Roman"/>
          <w:sz w:val="22"/>
          <w:szCs w:val="22"/>
        </w:rPr>
        <w:t xml:space="preserve"> Environmental conditions inside the chambers for the control (C, in blue) and warming (W, red) climate simulations. Temperatures of </w:t>
      </w:r>
      <w:r>
        <w:rPr>
          <w:rFonts w:cs="Times New Roman"/>
          <w:b/>
          <w:sz w:val="22"/>
          <w:szCs w:val="22"/>
        </w:rPr>
        <w:t>a</w:t>
      </w:r>
      <w:r>
        <w:rPr>
          <w:rFonts w:cs="Times New Roman"/>
          <w:sz w:val="22"/>
          <w:szCs w:val="22"/>
        </w:rPr>
        <w:t xml:space="preserve">) air, </w:t>
      </w:r>
      <w:r>
        <w:rPr>
          <w:rFonts w:cs="Times New Roman"/>
          <w:b/>
          <w:sz w:val="22"/>
          <w:szCs w:val="22"/>
        </w:rPr>
        <w:t>b</w:t>
      </w:r>
      <w:r>
        <w:rPr>
          <w:rFonts w:cs="Times New Roman"/>
          <w:sz w:val="22"/>
          <w:szCs w:val="22"/>
        </w:rPr>
        <w:t xml:space="preserve">) canopy, </w:t>
      </w:r>
      <w:r>
        <w:rPr>
          <w:rFonts w:cs="Times New Roman"/>
          <w:b/>
          <w:sz w:val="22"/>
          <w:szCs w:val="22"/>
        </w:rPr>
        <w:t>c</w:t>
      </w:r>
      <w:r>
        <w:rPr>
          <w:rFonts w:cs="Times New Roman"/>
          <w:sz w:val="22"/>
          <w:szCs w:val="22"/>
        </w:rPr>
        <w:t xml:space="preserve">) top soil at 0-to-2 cm in depth, </w:t>
      </w:r>
      <w:r>
        <w:rPr>
          <w:rFonts w:cs="Times New Roman"/>
          <w:b/>
          <w:sz w:val="22"/>
          <w:szCs w:val="22"/>
        </w:rPr>
        <w:t>d</w:t>
      </w:r>
      <w:r>
        <w:rPr>
          <w:rFonts w:cs="Times New Roman"/>
          <w:sz w:val="22"/>
          <w:szCs w:val="22"/>
        </w:rPr>
        <w:t xml:space="preserve">) soil at 2-to-5 cm in depth, </w:t>
      </w:r>
      <w:r>
        <w:rPr>
          <w:rFonts w:cs="Times New Roman"/>
          <w:b/>
          <w:sz w:val="22"/>
          <w:szCs w:val="22"/>
        </w:rPr>
        <w:t>e</w:t>
      </w:r>
      <w:r>
        <w:rPr>
          <w:rFonts w:cs="Times New Roman"/>
          <w:sz w:val="22"/>
          <w:szCs w:val="22"/>
        </w:rPr>
        <w:t>) light. Absolute differences between control and warming climate parameters are referred</w:t>
      </w:r>
      <w:r>
        <w:rPr>
          <w:rFonts w:cs="Times New Roman"/>
          <w:b/>
          <w:sz w:val="22"/>
          <w:szCs w:val="22"/>
        </w:rPr>
        <w:t xml:space="preserve"> </w:t>
      </w:r>
      <w:r>
        <w:rPr>
          <w:rFonts w:cs="Times New Roman"/>
          <w:sz w:val="22"/>
          <w:szCs w:val="22"/>
        </w:rPr>
        <w:t>as delta (</w:t>
      </w:r>
      <w:r>
        <w:rPr>
          <w:rFonts w:ascii="Symbol" w:hAnsi="Symbol" w:cs="Times New Roman"/>
          <w:sz w:val="22"/>
          <w:szCs w:val="22"/>
        </w:rPr>
        <w:t></w:t>
      </w:r>
      <w:r>
        <w:rPr>
          <w:rFonts w:ascii="Symbol" w:hAnsi="Symbol" w:cs="Times New Roman"/>
          <w:sz w:val="22"/>
          <w:szCs w:val="22"/>
        </w:rPr>
        <w:t></w:t>
      </w:r>
      <w:r>
        <w:rPr>
          <w:rFonts w:ascii="Symbol" w:hAnsi="Symbol" w:cs="Times New Roman"/>
          <w:sz w:val="22"/>
          <w:szCs w:val="22"/>
        </w:rPr>
        <w:t></w:t>
      </w:r>
      <w:r>
        <w:rPr>
          <w:rFonts w:cs="Times New Roman"/>
          <w:sz w:val="22"/>
          <w:szCs w:val="22"/>
        </w:rPr>
        <w:t>in black</w:t>
      </w:r>
      <w:r>
        <w:rPr>
          <w:rFonts w:ascii="Symbol" w:hAnsi="Symbol" w:cs="Times New Roman"/>
          <w:sz w:val="22"/>
          <w:szCs w:val="22"/>
        </w:rPr>
        <w:t></w:t>
      </w:r>
      <w:r>
        <w:rPr>
          <w:rFonts w:ascii="Symbol" w:hAnsi="Symbol" w:cs="Times New Roman"/>
          <w:sz w:val="22"/>
          <w:szCs w:val="22"/>
        </w:rPr>
        <w:t></w:t>
      </w:r>
      <w:r>
        <w:rPr>
          <w:rFonts w:ascii="Symbol" w:hAnsi="Symbol" w:cs="Times New Roman"/>
          <w:sz w:val="22"/>
          <w:szCs w:val="22"/>
        </w:rPr>
        <w:t></w:t>
      </w:r>
      <w:r>
        <w:rPr>
          <w:rFonts w:cs="Times New Roman"/>
          <w:sz w:val="22"/>
          <w:szCs w:val="22"/>
        </w:rPr>
        <w:t>Abbr.: doe, day of experiment.</w:t>
      </w:r>
      <w:r>
        <w:rPr>
          <w:rFonts w:ascii="Symbol" w:hAnsi="Symbol" w:cs="Times New Roman"/>
          <w:sz w:val="22"/>
          <w:szCs w:val="22"/>
        </w:rPr>
        <w:t></w:t>
      </w:r>
    </w:p>
    <w:p>
      <w:pPr>
        <w:spacing w:after="0" w:line="276" w:lineRule="auto"/>
        <w:jc w:val="center"/>
        <w:rPr>
          <w:rFonts w:cs="Times New Roman"/>
          <w:b/>
          <w:sz w:val="22"/>
          <w:szCs w:val="22"/>
          <w:highlight w:val="yellow"/>
        </w:rPr>
      </w:pPr>
    </w:p>
    <w:p>
      <w:pPr>
        <w:spacing w:after="0" w:line="276" w:lineRule="auto"/>
        <w:jc w:val="center"/>
        <w:rPr>
          <w:rFonts w:cs="Times New Roman"/>
          <w:b/>
          <w:sz w:val="22"/>
          <w:szCs w:val="22"/>
        </w:rPr>
      </w:pPr>
      <w:r>
        <w:rPr>
          <w:rFonts w:cs="Times New Roman"/>
          <w:b/>
          <w:sz w:val="22"/>
          <w:szCs w:val="22"/>
          <w:highlight w:val="yellow"/>
        </w:rPr>
        <w:br w:type="page"/>
      </w:r>
    </w:p>
    <w:p>
      <w:pPr>
        <w:spacing w:after="0" w:line="276" w:lineRule="auto"/>
        <w:jc w:val="center"/>
        <w:rPr>
          <w:rFonts w:cs="Times New Roman"/>
          <w:b/>
          <w:sz w:val="22"/>
          <w:szCs w:val="22"/>
        </w:rPr>
      </w:pPr>
    </w:p>
    <w:p>
      <w:pPr>
        <w:spacing w:after="0" w:line="276" w:lineRule="auto"/>
        <w:jc w:val="center"/>
        <w:rPr>
          <w:rFonts w:cs="Times New Roman"/>
          <w:b/>
          <w:sz w:val="22"/>
          <w:szCs w:val="22"/>
        </w:rPr>
      </w:pPr>
    </w:p>
    <w:p>
      <w:pPr>
        <w:spacing w:after="0" w:line="276" w:lineRule="auto"/>
        <w:jc w:val="center"/>
        <w:rPr>
          <w:rFonts w:cs="Times New Roman"/>
          <w:b/>
          <w:sz w:val="22"/>
          <w:szCs w:val="22"/>
          <w:highlight w:val="yellow"/>
        </w:rPr>
      </w:pPr>
      <w:r>
        <w:rPr>
          <w:rFonts w:cs="Times New Roman"/>
          <w:b/>
          <w:noProof/>
          <w:sz w:val="22"/>
          <w:szCs w:val="22"/>
        </w:rPr>
        <w:drawing>
          <wp:inline distT="0" distB="0" distL="0" distR="0">
            <wp:extent cx="4610100" cy="4061460"/>
            <wp:effectExtent l="0" t="0" r="0" b="0"/>
            <wp:docPr id="16" name="setup_new.tif"/>
            <wp:cNvGraphicFramePr/>
            <a:graphic xmlns:a="http://schemas.openxmlformats.org/drawingml/2006/main">
              <a:graphicData uri="http://schemas.openxmlformats.org/drawingml/2006/picture">
                <pic:pic xmlns:pic="http://schemas.openxmlformats.org/drawingml/2006/picture">
                  <pic:nvPicPr>
                    <pic:cNvPr id="16" name="setup_new.tif"/>
                    <pic:cNvPicPr/>
                  </pic:nvPicPr>
                  <pic:blipFill>
                    <a:blip r:embed="rId7">
                      <a:extLst>
                        <a:ext uri="{28A0092B-C50C-407E-A947-70E740481C1C}">
                          <a14:useLocalDpi xmlns:a14="http://schemas.microsoft.com/office/drawing/2010/main" val="0"/>
                        </a:ext>
                      </a:extLst>
                    </a:blip>
                    <a:stretch>
                      <a:fillRect/>
                    </a:stretch>
                  </pic:blipFill>
                  <pic:spPr>
                    <a:xfrm>
                      <a:off x="0" y="0"/>
                      <a:ext cx="7194855" cy="6338608"/>
                    </a:xfrm>
                    <a:prstGeom prst="rect">
                      <a:avLst/>
                    </a:prstGeom>
                  </pic:spPr>
                </pic:pic>
              </a:graphicData>
            </a:graphic>
          </wp:inline>
        </w:drawing>
      </w:r>
    </w:p>
    <w:p>
      <w:pPr>
        <w:spacing w:line="276" w:lineRule="auto"/>
        <w:jc w:val="center"/>
        <w:rPr>
          <w:rFonts w:cs="Times New Roman"/>
          <w:b/>
          <w:sz w:val="22"/>
          <w:szCs w:val="22"/>
        </w:rPr>
      </w:pPr>
    </w:p>
    <w:p>
      <w:pPr>
        <w:spacing w:line="276" w:lineRule="auto"/>
        <w:jc w:val="center"/>
        <w:rPr>
          <w:rFonts w:cs="Times New Roman"/>
          <w:b/>
          <w:sz w:val="22"/>
          <w:szCs w:val="22"/>
        </w:rPr>
      </w:pPr>
    </w:p>
    <w:p>
      <w:pPr>
        <w:spacing w:line="276" w:lineRule="auto"/>
        <w:jc w:val="both"/>
        <w:rPr>
          <w:rFonts w:cs="Times New Roman"/>
          <w:sz w:val="22"/>
          <w:szCs w:val="22"/>
        </w:rPr>
      </w:pPr>
      <w:r>
        <w:rPr>
          <w:rFonts w:cs="Times New Roman"/>
          <w:b/>
          <w:sz w:val="22"/>
          <w:szCs w:val="22"/>
        </w:rPr>
        <w:t xml:space="preserve">Figure S3. Schematic illustration showing the cuvette system used for the </w:t>
      </w:r>
      <w:r>
        <w:rPr>
          <w:rFonts w:cs="Times New Roman"/>
          <w:b/>
          <w:sz w:val="22"/>
          <w:szCs w:val="22"/>
          <w:vertAlign w:val="superscript"/>
        </w:rPr>
        <w:t>13</w:t>
      </w:r>
      <w:r>
        <w:rPr>
          <w:rFonts w:cs="Times New Roman"/>
          <w:b/>
          <w:sz w:val="22"/>
          <w:szCs w:val="22"/>
        </w:rPr>
        <w:t>CO</w:t>
      </w:r>
      <w:r>
        <w:rPr>
          <w:rFonts w:cs="Times New Roman"/>
          <w:b/>
          <w:sz w:val="22"/>
          <w:szCs w:val="22"/>
          <w:vertAlign w:val="subscript"/>
        </w:rPr>
        <w:t>2</w:t>
      </w:r>
      <w:r>
        <w:rPr>
          <w:rFonts w:cs="Times New Roman"/>
          <w:b/>
          <w:sz w:val="22"/>
          <w:szCs w:val="22"/>
        </w:rPr>
        <w:t xml:space="preserve"> fumigation exposure and gas analysis of CO</w:t>
      </w:r>
      <w:r>
        <w:rPr>
          <w:rFonts w:cs="Times New Roman"/>
          <w:b/>
          <w:sz w:val="22"/>
          <w:szCs w:val="22"/>
          <w:vertAlign w:val="subscript"/>
        </w:rPr>
        <w:t>2</w:t>
      </w:r>
      <w:r>
        <w:rPr>
          <w:rFonts w:cs="Times New Roman"/>
          <w:b/>
          <w:sz w:val="22"/>
          <w:szCs w:val="22"/>
        </w:rPr>
        <w:t xml:space="preserve"> and VOC emissions of subarctic mesocosms. </w:t>
      </w:r>
      <w:r>
        <w:rPr>
          <w:rFonts w:cs="Times New Roman"/>
          <w:sz w:val="22"/>
          <w:szCs w:val="22"/>
        </w:rPr>
        <w:t>The whole cuvette system was composed of six cuvettes, which were located inside the sub-chambers of the two phytotron chambers, three for each climate simulation, and run in parallel. Each cuvette consists of an aluminium frame with collar as base (the inner part was 22x22 cm, exactly fitting the PET pot containing the mesocosm), and a transparent polycarbonate lid (thickness of 1.5 mm and a height of 20 cm). To perform gas analysis, the mesocosm was enclosed into the cuvette by placing the PET pot inside the frame and closing the lid into the collar. The tightness of the system was achieved by filling the collar with Milli-Q water. The cuvette was purged continuously at rate of 650 ml min</w:t>
      </w:r>
      <w:r>
        <w:rPr>
          <w:rFonts w:cs="Times New Roman"/>
          <w:sz w:val="22"/>
          <w:szCs w:val="22"/>
          <w:vertAlign w:val="superscript"/>
        </w:rPr>
        <w:t>-1</w:t>
      </w:r>
      <w:r>
        <w:rPr>
          <w:rFonts w:cs="Times New Roman"/>
          <w:sz w:val="22"/>
          <w:szCs w:val="22"/>
        </w:rPr>
        <w:t xml:space="preserve"> with VOC-free synthetic air, mixed with 99% of either </w:t>
      </w:r>
      <w:r>
        <w:rPr>
          <w:rFonts w:cs="Times New Roman"/>
          <w:sz w:val="22"/>
          <w:szCs w:val="22"/>
          <w:vertAlign w:val="superscript"/>
        </w:rPr>
        <w:t>12</w:t>
      </w:r>
      <w:r>
        <w:rPr>
          <w:rFonts w:cs="Times New Roman"/>
          <w:sz w:val="22"/>
          <w:szCs w:val="22"/>
        </w:rPr>
        <w:t>CO</w:t>
      </w:r>
      <w:r>
        <w:rPr>
          <w:rFonts w:cs="Times New Roman"/>
          <w:sz w:val="22"/>
          <w:szCs w:val="22"/>
          <w:vertAlign w:val="subscript"/>
        </w:rPr>
        <w:t>2</w:t>
      </w:r>
      <w:r>
        <w:rPr>
          <w:rFonts w:cs="Times New Roman"/>
          <w:sz w:val="22"/>
          <w:szCs w:val="22"/>
        </w:rPr>
        <w:t xml:space="preserve"> (pre-labeling and control) or </w:t>
      </w:r>
      <w:r>
        <w:rPr>
          <w:rFonts w:cs="Times New Roman"/>
          <w:sz w:val="22"/>
          <w:szCs w:val="22"/>
          <w:vertAlign w:val="superscript"/>
        </w:rPr>
        <w:t>13</w:t>
      </w:r>
      <w:r>
        <w:rPr>
          <w:rFonts w:cs="Times New Roman"/>
          <w:sz w:val="22"/>
          <w:szCs w:val="22"/>
        </w:rPr>
        <w:t>CO</w:t>
      </w:r>
      <w:r>
        <w:rPr>
          <w:rFonts w:cs="Times New Roman"/>
          <w:sz w:val="22"/>
          <w:szCs w:val="22"/>
          <w:vertAlign w:val="subscript"/>
        </w:rPr>
        <w:t>2</w:t>
      </w:r>
      <w:r>
        <w:rPr>
          <w:rFonts w:cs="Times New Roman"/>
          <w:sz w:val="22"/>
          <w:szCs w:val="22"/>
        </w:rPr>
        <w:t xml:space="preserve"> (during labeling) at a concentration of 450 ppmv. Headspace inside the cuvette was kept homogenized by continuously mixing with a fan. The outlet airflow was divided into three PFA tubing lines and directed for gas analyses: i) 100 ml min</w:t>
      </w:r>
      <w:r>
        <w:rPr>
          <w:rFonts w:cs="Times New Roman"/>
          <w:sz w:val="22"/>
          <w:szCs w:val="22"/>
          <w:vertAlign w:val="superscript"/>
        </w:rPr>
        <w:t>-1</w:t>
      </w:r>
      <w:r>
        <w:rPr>
          <w:rFonts w:cs="Times New Roman"/>
          <w:sz w:val="22"/>
          <w:szCs w:val="22"/>
        </w:rPr>
        <w:t xml:space="preserve"> (for 60 min) were passed through glass cartridges filled with Tenax and Carbopack for GC-MS sampling and VOC analysis, ii) ~120 ml min</w:t>
      </w:r>
      <w:r>
        <w:rPr>
          <w:rFonts w:cs="Times New Roman"/>
          <w:sz w:val="22"/>
          <w:szCs w:val="22"/>
          <w:vertAlign w:val="superscript"/>
        </w:rPr>
        <w:t xml:space="preserve">-1 </w:t>
      </w:r>
      <w:r>
        <w:rPr>
          <w:rFonts w:cs="Times New Roman"/>
          <w:sz w:val="22"/>
          <w:szCs w:val="22"/>
        </w:rPr>
        <w:t>to PTR-ToF-MS for online VOC analysis, iii) ~300 ml min</w:t>
      </w:r>
      <w:r>
        <w:rPr>
          <w:rFonts w:cs="Times New Roman"/>
          <w:sz w:val="22"/>
          <w:szCs w:val="22"/>
          <w:vertAlign w:val="superscript"/>
        </w:rPr>
        <w:t>-1</w:t>
      </w:r>
      <w:r>
        <w:rPr>
          <w:rFonts w:cs="Times New Roman"/>
          <w:sz w:val="22"/>
          <w:szCs w:val="22"/>
        </w:rPr>
        <w:t xml:space="preserve"> to GFS-3000 for gas-exchange measurements of CO</w:t>
      </w:r>
      <w:r>
        <w:rPr>
          <w:rFonts w:cs="Times New Roman"/>
          <w:sz w:val="22"/>
          <w:szCs w:val="22"/>
          <w:vertAlign w:val="subscript"/>
        </w:rPr>
        <w:t>2</w:t>
      </w:r>
      <w:r>
        <w:rPr>
          <w:rFonts w:cs="Times New Roman"/>
          <w:sz w:val="22"/>
          <w:szCs w:val="22"/>
        </w:rPr>
        <w:t xml:space="preserve"> and H</w:t>
      </w:r>
      <w:r>
        <w:rPr>
          <w:rFonts w:cs="Times New Roman"/>
          <w:sz w:val="22"/>
          <w:szCs w:val="22"/>
          <w:vertAlign w:val="subscript"/>
        </w:rPr>
        <w:t>2</w:t>
      </w:r>
      <w:r>
        <w:rPr>
          <w:rFonts w:cs="Times New Roman"/>
          <w:sz w:val="22"/>
          <w:szCs w:val="22"/>
        </w:rPr>
        <w:t>O. A multiplex system based on six solenoid 3-way valves switched automatically the outlet of each of the six cuvettes every five minutes. All air flows were controlled using mass flow controllers (MKS, Andover, USA), calibrated using a certified mass flow meter (ADM-3000, Agilent Technologies, Palo Alto, USA). To ensure a leak-free procedure, an overflow of approx. 130 ml min</w:t>
      </w:r>
      <w:r>
        <w:rPr>
          <w:rFonts w:cs="Times New Roman"/>
          <w:sz w:val="22"/>
          <w:szCs w:val="22"/>
          <w:vertAlign w:val="superscript"/>
        </w:rPr>
        <w:t xml:space="preserve">-1 </w:t>
      </w:r>
      <w:r>
        <w:rPr>
          <w:rFonts w:cs="Times New Roman"/>
          <w:sz w:val="22"/>
          <w:szCs w:val="22"/>
        </w:rPr>
        <w:t>was maintained. All lines used were 6 mm (OD) PFA tubes</w:t>
      </w:r>
      <w:r>
        <w:rPr>
          <w:rFonts w:cs="Times New Roman"/>
          <w:noProof/>
          <w:sz w:val="22"/>
          <w:szCs w:val="22"/>
        </w:rPr>
        <w:t xml:space="preserve"> and thermally</w:t>
      </w:r>
      <w:r>
        <w:rPr>
          <w:rFonts w:cs="Times New Roman"/>
          <w:sz w:val="22"/>
          <w:szCs w:val="22"/>
        </w:rPr>
        <w:t xml:space="preserve"> isolated. To keep the different soil and air temperatures set by the phytotron sub-chambers, a Styrofoam sheet was used to insulate the above ground from the below ground parts of the mesocosm. </w:t>
      </w:r>
    </w:p>
    <w:p>
      <w:pPr>
        <w:spacing w:line="276" w:lineRule="auto"/>
        <w:rPr>
          <w:rFonts w:cs="Times New Roman"/>
          <w:b/>
          <w:sz w:val="22"/>
          <w:szCs w:val="22"/>
        </w:rPr>
      </w:pPr>
    </w:p>
    <w:p>
      <w:pPr>
        <w:spacing w:line="276" w:lineRule="auto"/>
        <w:rPr>
          <w:rFonts w:cs="Times New Roman"/>
          <w:b/>
          <w:sz w:val="22"/>
          <w:szCs w:val="22"/>
          <w:highlight w:val="yellow"/>
        </w:rPr>
      </w:pPr>
      <w:r>
        <w:rPr>
          <w:rFonts w:cs="Times New Roman"/>
          <w:b/>
          <w:noProof/>
          <w:sz w:val="22"/>
          <w:szCs w:val="22"/>
        </w:rPr>
        <w:lastRenderedPageBreak/>
        <w:drawing>
          <wp:inline distT="0" distB="0" distL="0" distR="0">
            <wp:extent cx="5753735" cy="1923415"/>
            <wp:effectExtent l="0" t="0" r="0" b="635"/>
            <wp:docPr id="2" name="Picture 2" descr="D:\Seafile\My Library-1\work\PAPER\Meso\01_FIG\All_figures\VOC_PTRQMS_carbon_ratio_methanol_isopre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afile\My Library-1\work\PAPER\Meso\01_FIG\All_figures\VOC_PTRQMS_carbon_ratio_methanol_isopren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1923415"/>
                    </a:xfrm>
                    <a:prstGeom prst="rect">
                      <a:avLst/>
                    </a:prstGeom>
                    <a:noFill/>
                    <a:ln>
                      <a:noFill/>
                    </a:ln>
                  </pic:spPr>
                </pic:pic>
              </a:graphicData>
            </a:graphic>
          </wp:inline>
        </w:drawing>
      </w:r>
    </w:p>
    <w:p>
      <w:pPr>
        <w:spacing w:line="276" w:lineRule="auto"/>
        <w:rPr>
          <w:rFonts w:cs="Times New Roman"/>
          <w:b/>
          <w:sz w:val="22"/>
          <w:szCs w:val="22"/>
        </w:rPr>
      </w:pPr>
    </w:p>
    <w:p>
      <w:pPr>
        <w:spacing w:line="276" w:lineRule="auto"/>
        <w:jc w:val="both"/>
        <w:rPr>
          <w:rFonts w:cs="Times New Roman"/>
          <w:sz w:val="22"/>
          <w:szCs w:val="22"/>
        </w:rPr>
      </w:pPr>
      <w:r>
        <w:rPr>
          <w:rFonts w:cs="Times New Roman"/>
          <w:b/>
          <w:sz w:val="22"/>
          <w:szCs w:val="22"/>
        </w:rPr>
        <w:t xml:space="preserve">Figure S4. Changes of methanol/isoprene carbon ratios caused by warming climate. </w:t>
      </w:r>
      <w:r>
        <w:rPr>
          <w:rFonts w:cs="Times New Roman"/>
          <w:sz w:val="22"/>
          <w:szCs w:val="22"/>
        </w:rPr>
        <w:t xml:space="preserve">The carbon atom ratios of methanol and isoprene emitted by mixed </w:t>
      </w:r>
      <w:r>
        <w:rPr>
          <w:rFonts w:cs="Times New Roman"/>
          <w:i/>
          <w:sz w:val="22"/>
          <w:szCs w:val="22"/>
        </w:rPr>
        <w:t xml:space="preserve">Betula </w:t>
      </w:r>
      <w:r>
        <w:rPr>
          <w:rFonts w:cs="Times New Roman"/>
          <w:sz w:val="22"/>
          <w:szCs w:val="22"/>
        </w:rPr>
        <w:t xml:space="preserve">and </w:t>
      </w:r>
      <w:r>
        <w:rPr>
          <w:rFonts w:cs="Times New Roman"/>
          <w:i/>
          <w:sz w:val="22"/>
          <w:szCs w:val="22"/>
        </w:rPr>
        <w:t>Salix</w:t>
      </w:r>
      <w:r>
        <w:rPr>
          <w:rFonts w:cs="Times New Roman"/>
          <w:sz w:val="22"/>
          <w:szCs w:val="22"/>
        </w:rPr>
        <w:t xml:space="preserve"> mesocosms growing under control (C, in blue) and warming (W, in red) climate. Data originate from chamber measurements. Data were calculated under reliable, light-dependent isoprene emissions between 9:00-20:00 CET and </w:t>
      </w:r>
      <w:r>
        <w:rPr>
          <w:rFonts w:cs="Times New Roman"/>
          <w:noProof/>
          <w:sz w:val="22"/>
          <w:szCs w:val="22"/>
        </w:rPr>
        <w:t>averaged</w:t>
      </w:r>
      <w:r>
        <w:rPr>
          <w:rFonts w:cs="Times New Roman"/>
          <w:sz w:val="22"/>
          <w:szCs w:val="22"/>
        </w:rPr>
        <w:t xml:space="preserve"> based at 5 h resolution.</w:t>
      </w:r>
    </w:p>
    <w:p>
      <w:pPr>
        <w:spacing w:after="0" w:line="276" w:lineRule="auto"/>
        <w:rPr>
          <w:rFonts w:cs="Times New Roman"/>
          <w:b/>
          <w:sz w:val="22"/>
          <w:szCs w:val="22"/>
          <w:highlight w:val="yellow"/>
        </w:rPr>
      </w:pPr>
      <w:r>
        <w:rPr>
          <w:rFonts w:cs="Times New Roman"/>
          <w:b/>
          <w:sz w:val="22"/>
          <w:szCs w:val="22"/>
          <w:highlight w:val="yellow"/>
        </w:rPr>
        <w:br w:type="page"/>
      </w:r>
    </w:p>
    <w:p>
      <w:pPr>
        <w:spacing w:line="276" w:lineRule="auto"/>
        <w:rPr>
          <w:rFonts w:cs="Times New Roman"/>
          <w:b/>
          <w:sz w:val="22"/>
          <w:szCs w:val="22"/>
          <w:highlight w:val="yellow"/>
        </w:rPr>
      </w:pPr>
    </w:p>
    <w:p>
      <w:pPr>
        <w:spacing w:line="276" w:lineRule="auto"/>
        <w:jc w:val="center"/>
        <w:rPr>
          <w:rFonts w:cs="Times New Roman"/>
          <w:b/>
          <w:sz w:val="22"/>
          <w:szCs w:val="22"/>
          <w:highlight w:val="yellow"/>
        </w:rPr>
      </w:pPr>
      <w:r>
        <w:rPr>
          <w:rFonts w:cs="Times New Roman"/>
          <w:b/>
          <w:noProof/>
          <w:sz w:val="22"/>
          <w:szCs w:val="22"/>
        </w:rPr>
        <w:drawing>
          <wp:inline distT="0" distB="0" distL="0" distR="0">
            <wp:extent cx="5656997" cy="4919899"/>
            <wp:effectExtent l="0" t="0" r="1270" b="0"/>
            <wp:docPr id="1" name="Picture 1" descr="D:\Seafile\My Library-1\work\PAPER\Meso\01_FIG\All_figures\VOC_GCMS_before_label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afile\My Library-1\work\PAPER\Meso\01_FIG\All_figures\VOC_GCMS_before_labeling.TIF"/>
                    <pic:cNvPicPr>
                      <a:picLocks noChangeAspect="1" noChangeArrowheads="1"/>
                    </pic:cNvPicPr>
                  </pic:nvPicPr>
                  <pic:blipFill rotWithShape="1">
                    <a:blip r:embed="rId9">
                      <a:extLst>
                        <a:ext uri="{28A0092B-C50C-407E-A947-70E740481C1C}">
                          <a14:useLocalDpi xmlns:a14="http://schemas.microsoft.com/office/drawing/2010/main" val="0"/>
                        </a:ext>
                      </a:extLst>
                    </a:blip>
                    <a:srcRect r="1777"/>
                    <a:stretch/>
                  </pic:blipFill>
                  <pic:spPr bwMode="auto">
                    <a:xfrm>
                      <a:off x="0" y="0"/>
                      <a:ext cx="5657090" cy="4919980"/>
                    </a:xfrm>
                    <a:prstGeom prst="rect">
                      <a:avLst/>
                    </a:prstGeom>
                    <a:noFill/>
                    <a:ln>
                      <a:noFill/>
                    </a:ln>
                    <a:extLst>
                      <a:ext uri="{53640926-AAD7-44D8-BBD7-CCE9431645EC}">
                        <a14:shadowObscured xmlns:a14="http://schemas.microsoft.com/office/drawing/2010/main"/>
                      </a:ext>
                    </a:extLst>
                  </pic:spPr>
                </pic:pic>
              </a:graphicData>
            </a:graphic>
          </wp:inline>
        </w:drawing>
      </w:r>
    </w:p>
    <w:p>
      <w:pPr>
        <w:spacing w:line="276" w:lineRule="auto"/>
        <w:rPr>
          <w:rFonts w:cs="Times New Roman"/>
          <w:b/>
          <w:sz w:val="22"/>
          <w:szCs w:val="22"/>
          <w:highlight w:val="yellow"/>
        </w:rPr>
      </w:pPr>
    </w:p>
    <w:p>
      <w:pPr>
        <w:spacing w:line="276" w:lineRule="auto"/>
        <w:jc w:val="both"/>
        <w:rPr>
          <w:rFonts w:cs="Times New Roman"/>
          <w:sz w:val="22"/>
          <w:szCs w:val="22"/>
        </w:rPr>
      </w:pPr>
      <w:r>
        <w:rPr>
          <w:rFonts w:cs="Times New Roman"/>
          <w:b/>
          <w:sz w:val="22"/>
          <w:szCs w:val="22"/>
        </w:rPr>
        <w:t xml:space="preserve">Figure S5. VOC emission rates observed in the morning. </w:t>
      </w:r>
      <w:r>
        <w:rPr>
          <w:rFonts w:cs="Times New Roman"/>
          <w:sz w:val="22"/>
          <w:szCs w:val="22"/>
        </w:rPr>
        <w:t xml:space="preserve">VOC emissions measured by GC-MS in the morning (9:45-10:45 CET) before the </w:t>
      </w:r>
      <w:r>
        <w:rPr>
          <w:rFonts w:cs="Times New Roman"/>
          <w:sz w:val="22"/>
          <w:szCs w:val="22"/>
          <w:vertAlign w:val="superscript"/>
        </w:rPr>
        <w:t>13</w:t>
      </w:r>
      <w:r>
        <w:rPr>
          <w:rFonts w:cs="Times New Roman"/>
          <w:sz w:val="22"/>
          <w:szCs w:val="22"/>
        </w:rPr>
        <w:t>C-labeling from (</w:t>
      </w:r>
      <w:r>
        <w:rPr>
          <w:rFonts w:cs="Times New Roman"/>
          <w:b/>
          <w:sz w:val="22"/>
          <w:szCs w:val="22"/>
        </w:rPr>
        <w:t>A</w:t>
      </w:r>
      <w:r>
        <w:rPr>
          <w:rFonts w:cs="Times New Roman"/>
          <w:sz w:val="22"/>
          <w:szCs w:val="22"/>
        </w:rPr>
        <w:t>) ‘</w:t>
      </w:r>
      <w:r>
        <w:rPr>
          <w:rFonts w:cs="Times New Roman"/>
          <w:i/>
          <w:sz w:val="22"/>
          <w:szCs w:val="22"/>
        </w:rPr>
        <w:t>Betula</w:t>
      </w:r>
      <w:r>
        <w:rPr>
          <w:rFonts w:cs="Times New Roman"/>
          <w:sz w:val="22"/>
          <w:szCs w:val="22"/>
        </w:rPr>
        <w:t>’ and (</w:t>
      </w:r>
      <w:r>
        <w:rPr>
          <w:rFonts w:cs="Times New Roman"/>
          <w:b/>
          <w:sz w:val="22"/>
          <w:szCs w:val="22"/>
        </w:rPr>
        <w:t>B</w:t>
      </w:r>
      <w:r>
        <w:rPr>
          <w:rFonts w:cs="Times New Roman"/>
          <w:sz w:val="22"/>
          <w:szCs w:val="22"/>
        </w:rPr>
        <w:t>) ‘</w:t>
      </w:r>
      <w:r>
        <w:rPr>
          <w:rFonts w:cs="Times New Roman"/>
          <w:i/>
          <w:sz w:val="22"/>
          <w:szCs w:val="22"/>
        </w:rPr>
        <w:t>Salix</w:t>
      </w:r>
      <w:r>
        <w:rPr>
          <w:rFonts w:cs="Times New Roman"/>
          <w:sz w:val="22"/>
          <w:szCs w:val="22"/>
        </w:rPr>
        <w:t xml:space="preserve">’ </w:t>
      </w:r>
      <w:r>
        <w:rPr>
          <w:rFonts w:cs="Times New Roman"/>
          <w:noProof/>
          <w:sz w:val="22"/>
          <w:szCs w:val="22"/>
        </w:rPr>
        <w:t>mesocosms under</w:t>
      </w:r>
      <w:r>
        <w:rPr>
          <w:rFonts w:cs="Times New Roman"/>
          <w:sz w:val="22"/>
          <w:szCs w:val="22"/>
        </w:rPr>
        <w:t xml:space="preserve"> control (C) and warming (W) climate simulations. Emission rates are given per ground area (GA). Data were collected from individual, cuvette-enclosed mesocosms and analyzed by GC-MS. Statistical comparison of treatment effect within the mesocosm species: *</w:t>
      </w:r>
      <w:r>
        <w:rPr>
          <w:rFonts w:cs="Times New Roman"/>
          <w:i/>
          <w:sz w:val="22"/>
          <w:szCs w:val="22"/>
        </w:rPr>
        <w:t>P</w:t>
      </w:r>
      <w:r>
        <w:rPr>
          <w:rFonts w:cs="Times New Roman"/>
          <w:sz w:val="22"/>
          <w:szCs w:val="22"/>
        </w:rPr>
        <w:t>&lt;0.05, **</w:t>
      </w:r>
      <w:r>
        <w:rPr>
          <w:rFonts w:cs="Times New Roman"/>
          <w:i/>
          <w:sz w:val="22"/>
          <w:szCs w:val="22"/>
        </w:rPr>
        <w:t>P</w:t>
      </w:r>
      <w:r>
        <w:rPr>
          <w:rFonts w:cs="Times New Roman"/>
          <w:sz w:val="22"/>
          <w:szCs w:val="22"/>
        </w:rPr>
        <w:t>&lt;0.01, ***</w:t>
      </w:r>
      <w:r>
        <w:rPr>
          <w:rFonts w:cs="Times New Roman"/>
          <w:i/>
          <w:sz w:val="22"/>
          <w:szCs w:val="22"/>
        </w:rPr>
        <w:t>P</w:t>
      </w:r>
      <w:r>
        <w:rPr>
          <w:rFonts w:cs="Times New Roman"/>
          <w:sz w:val="22"/>
          <w:szCs w:val="22"/>
        </w:rPr>
        <w:t xml:space="preserve">&lt;0.001. Means ± se (n = 9). </w:t>
      </w:r>
      <w:r>
        <w:rPr>
          <w:rFonts w:cs="Times New Roman"/>
          <w:noProof/>
          <w:sz w:val="22"/>
          <w:szCs w:val="22"/>
        </w:rPr>
        <w:t>The detailed</w:t>
      </w:r>
      <w:r>
        <w:rPr>
          <w:rFonts w:cs="Times New Roman"/>
          <w:sz w:val="22"/>
          <w:szCs w:val="22"/>
        </w:rPr>
        <w:t xml:space="preserve"> statistical analysis is given in Supp. Table S3. Abr.: BC, </w:t>
      </w:r>
      <w:r>
        <w:rPr>
          <w:rFonts w:cs="Times New Roman"/>
          <w:i/>
          <w:sz w:val="22"/>
          <w:szCs w:val="22"/>
        </w:rPr>
        <w:t>Betula</w:t>
      </w:r>
      <w:r>
        <w:rPr>
          <w:rFonts w:cs="Times New Roman"/>
          <w:sz w:val="22"/>
          <w:szCs w:val="22"/>
        </w:rPr>
        <w:t xml:space="preserve"> under control; BW, </w:t>
      </w:r>
      <w:r>
        <w:rPr>
          <w:rFonts w:cs="Times New Roman"/>
          <w:i/>
          <w:sz w:val="22"/>
          <w:szCs w:val="22"/>
        </w:rPr>
        <w:t>Betula</w:t>
      </w:r>
      <w:r>
        <w:rPr>
          <w:rFonts w:cs="Times New Roman"/>
          <w:sz w:val="22"/>
          <w:szCs w:val="22"/>
        </w:rPr>
        <w:t xml:space="preserve"> under warming; SC, </w:t>
      </w:r>
      <w:r>
        <w:rPr>
          <w:rFonts w:cs="Times New Roman"/>
          <w:i/>
          <w:sz w:val="22"/>
          <w:szCs w:val="22"/>
        </w:rPr>
        <w:t>Salix</w:t>
      </w:r>
      <w:r>
        <w:rPr>
          <w:rFonts w:cs="Times New Roman"/>
          <w:sz w:val="22"/>
          <w:szCs w:val="22"/>
        </w:rPr>
        <w:t xml:space="preserve"> under control; SW, </w:t>
      </w:r>
      <w:r>
        <w:rPr>
          <w:rFonts w:cs="Times New Roman"/>
          <w:i/>
          <w:sz w:val="22"/>
          <w:szCs w:val="22"/>
        </w:rPr>
        <w:t>Salix</w:t>
      </w:r>
      <w:r>
        <w:rPr>
          <w:rFonts w:cs="Times New Roman"/>
          <w:sz w:val="22"/>
          <w:szCs w:val="22"/>
        </w:rPr>
        <w:t xml:space="preserve"> under warming. </w:t>
      </w:r>
    </w:p>
    <w:p>
      <w:pPr>
        <w:spacing w:after="0" w:line="276" w:lineRule="auto"/>
        <w:jc w:val="center"/>
        <w:rPr>
          <w:rFonts w:cs="Times New Roman"/>
          <w:sz w:val="22"/>
          <w:szCs w:val="22"/>
        </w:rPr>
      </w:pPr>
      <w:r>
        <w:rPr>
          <w:rFonts w:cs="Times New Roman"/>
          <w:sz w:val="22"/>
          <w:szCs w:val="22"/>
        </w:rPr>
        <w:br w:type="page"/>
      </w:r>
    </w:p>
    <w:p>
      <w:pPr>
        <w:spacing w:line="276" w:lineRule="auto"/>
        <w:jc w:val="both"/>
        <w:rPr>
          <w:rFonts w:cs="Times New Roman"/>
          <w:b/>
          <w:sz w:val="22"/>
          <w:szCs w:val="22"/>
        </w:rPr>
      </w:pPr>
    </w:p>
    <w:p>
      <w:pPr>
        <w:spacing w:line="276" w:lineRule="auto"/>
        <w:jc w:val="center"/>
        <w:rPr>
          <w:rFonts w:cs="Times New Roman"/>
          <w:b/>
          <w:sz w:val="22"/>
          <w:szCs w:val="22"/>
        </w:rPr>
      </w:pPr>
      <w:r>
        <w:rPr>
          <w:rFonts w:cs="Times New Roman"/>
          <w:b/>
          <w:noProof/>
          <w:sz w:val="22"/>
          <w:szCs w:val="22"/>
        </w:rPr>
        <w:drawing>
          <wp:inline distT="0" distB="0" distL="0" distR="0">
            <wp:extent cx="3960000" cy="6073200"/>
            <wp:effectExtent l="0" t="0" r="2540" b="3810"/>
            <wp:docPr id="19" name="Picture 19" descr="D:\Seafile\My Library-1\work\PAPER\Meso\01_FIG\All_figures\VOC_GCMS_corrcoef_last_h_Betul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eafile\My Library-1\work\PAPER\Meso\01_FIG\All_figures\VOC_GCMS_corrcoef_last_h_Betula.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4800" cy="5760000"/>
                    </a:xfrm>
                    <a:prstGeom prst="rect">
                      <a:avLst/>
                    </a:prstGeom>
                    <a:noFill/>
                    <a:ln>
                      <a:noFill/>
                    </a:ln>
                  </pic:spPr>
                </pic:pic>
              </a:graphicData>
            </a:graphic>
          </wp:inline>
        </w:drawing>
      </w:r>
    </w:p>
    <w:p>
      <w:pPr>
        <w:spacing w:line="276" w:lineRule="auto"/>
        <w:jc w:val="both"/>
        <w:rPr>
          <w:rFonts w:cs="Times New Roman"/>
          <w:b/>
          <w:sz w:val="22"/>
          <w:szCs w:val="22"/>
        </w:rPr>
      </w:pPr>
      <w:r>
        <w:rPr>
          <w:rFonts w:cs="Times New Roman"/>
          <w:b/>
          <w:sz w:val="22"/>
          <w:szCs w:val="22"/>
        </w:rPr>
        <w:t>Figure S6. Warming effect on volatile emissions from ‘</w:t>
      </w:r>
      <w:r>
        <w:rPr>
          <w:rFonts w:cs="Times New Roman"/>
          <w:b/>
          <w:i/>
          <w:sz w:val="22"/>
          <w:szCs w:val="22"/>
        </w:rPr>
        <w:t>Betula’</w:t>
      </w:r>
      <w:r>
        <w:rPr>
          <w:rFonts w:cs="Times New Roman"/>
          <w:b/>
          <w:sz w:val="22"/>
          <w:szCs w:val="22"/>
        </w:rPr>
        <w:t xml:space="preserve"> mesocosm. </w:t>
      </w:r>
      <w:r>
        <w:rPr>
          <w:rFonts w:cs="Times New Roman"/>
          <w:sz w:val="22"/>
          <w:szCs w:val="22"/>
        </w:rPr>
        <w:t>Air</w:t>
      </w:r>
      <w:r>
        <w:rPr>
          <w:rFonts w:cs="Times New Roman"/>
          <w:b/>
          <w:sz w:val="22"/>
          <w:szCs w:val="22"/>
        </w:rPr>
        <w:t xml:space="preserve"> s</w:t>
      </w:r>
      <w:r>
        <w:rPr>
          <w:rFonts w:cs="Times New Roman"/>
          <w:sz w:val="22"/>
          <w:szCs w:val="22"/>
        </w:rPr>
        <w:t xml:space="preserve">amples were collected during the last hour of the </w:t>
      </w:r>
      <w:r>
        <w:rPr>
          <w:rFonts w:cs="Times New Roman"/>
          <w:sz w:val="22"/>
          <w:szCs w:val="22"/>
          <w:vertAlign w:val="superscript"/>
        </w:rPr>
        <w:t>13</w:t>
      </w:r>
      <w:r>
        <w:rPr>
          <w:rFonts w:cs="Times New Roman"/>
          <w:sz w:val="22"/>
          <w:szCs w:val="22"/>
        </w:rPr>
        <w:t xml:space="preserve">C-labeling (15:30-16:30 CET). </w:t>
      </w:r>
      <w:r>
        <w:rPr>
          <w:rFonts w:cs="Times New Roman"/>
          <w:b/>
          <w:sz w:val="22"/>
          <w:szCs w:val="22"/>
        </w:rPr>
        <w:t xml:space="preserve">a) </w:t>
      </w:r>
      <w:r>
        <w:rPr>
          <w:rFonts w:cs="Times New Roman"/>
          <w:sz w:val="22"/>
          <w:szCs w:val="22"/>
        </w:rPr>
        <w:t>Orthogonal partial least square regression (OPLS) score plot of VOC emissions (mesocosm emission rates normalized per ground area, pmol m</w:t>
      </w:r>
      <w:r>
        <w:rPr>
          <w:rFonts w:cs="Times New Roman"/>
          <w:sz w:val="22"/>
          <w:szCs w:val="22"/>
          <w:vertAlign w:val="superscript"/>
        </w:rPr>
        <w:t>-2</w:t>
      </w:r>
      <w:r>
        <w:rPr>
          <w:rFonts w:cs="Times New Roman"/>
          <w:sz w:val="22"/>
          <w:szCs w:val="22"/>
        </w:rPr>
        <w:t xml:space="preserve"> GA s</w:t>
      </w:r>
      <w:r>
        <w:rPr>
          <w:rFonts w:cs="Times New Roman"/>
          <w:sz w:val="22"/>
          <w:szCs w:val="22"/>
          <w:vertAlign w:val="superscript"/>
        </w:rPr>
        <w:t>-1</w:t>
      </w:r>
      <w:r>
        <w:rPr>
          <w:rFonts w:cs="Times New Roman"/>
          <w:sz w:val="22"/>
          <w:szCs w:val="22"/>
        </w:rPr>
        <w:t xml:space="preserve">). The ellipse indicates the model tolerance based on Hotelling’s </w:t>
      </w:r>
      <w:r>
        <w:rPr>
          <w:rFonts w:cs="Times New Roman"/>
          <w:i/>
          <w:sz w:val="22"/>
          <w:szCs w:val="22"/>
        </w:rPr>
        <w:t>T</w:t>
      </w:r>
      <w:r>
        <w:rPr>
          <w:rFonts w:cs="Times New Roman"/>
          <w:sz w:val="22"/>
          <w:szCs w:val="22"/>
          <w:vertAlign w:val="superscript"/>
        </w:rPr>
        <w:t>2</w:t>
      </w:r>
      <w:r>
        <w:rPr>
          <w:rFonts w:cs="Times New Roman"/>
          <w:sz w:val="22"/>
          <w:szCs w:val="22"/>
        </w:rPr>
        <w:t xml:space="preserve"> and significance level of </w:t>
      </w:r>
      <w:r>
        <w:rPr>
          <w:rFonts w:ascii="Symbol" w:hAnsi="Symbol" w:cs="Times New Roman"/>
          <w:sz w:val="22"/>
          <w:szCs w:val="22"/>
        </w:rPr>
        <w:t></w:t>
      </w:r>
      <w:r>
        <w:rPr>
          <w:rFonts w:cs="Times New Roman"/>
          <w:sz w:val="22"/>
          <w:szCs w:val="22"/>
        </w:rPr>
        <w:t xml:space="preserve"> = 0.05.</w:t>
      </w:r>
      <w:r>
        <w:rPr>
          <w:rFonts w:cs="Times New Roman"/>
          <w:b/>
          <w:sz w:val="22"/>
          <w:szCs w:val="22"/>
        </w:rPr>
        <w:t xml:space="preserve"> b</w:t>
      </w:r>
      <w:r>
        <w:rPr>
          <w:rFonts w:cs="Times New Roman"/>
          <w:sz w:val="22"/>
          <w:szCs w:val="22"/>
        </w:rPr>
        <w:t xml:space="preserve">) Correlation coefficient plot of OPLS, correlating VOC emissions with treatment (warming) effect. The coefficients are given scaled and centered. The error bars are derived using the jack-knife method. Bars represent the average ± se of 15 mesocosms. OPLS model fitness: </w:t>
      </w:r>
      <w:r>
        <w:rPr>
          <w:rFonts w:cs="Times New Roman"/>
          <w:i/>
          <w:sz w:val="22"/>
          <w:szCs w:val="22"/>
        </w:rPr>
        <w:t>r</w:t>
      </w:r>
      <w:r>
        <w:rPr>
          <w:rFonts w:cs="Times New Roman"/>
          <w:sz w:val="22"/>
          <w:szCs w:val="22"/>
          <w:vertAlign w:val="superscript"/>
        </w:rPr>
        <w:t>2</w:t>
      </w:r>
      <w:r>
        <w:rPr>
          <w:rFonts w:cs="Times New Roman"/>
          <w:sz w:val="22"/>
          <w:szCs w:val="22"/>
        </w:rPr>
        <w:t xml:space="preserve"> (x)=39.1%, </w:t>
      </w:r>
      <w:r>
        <w:rPr>
          <w:rFonts w:cs="Times New Roman"/>
          <w:i/>
          <w:sz w:val="22"/>
          <w:szCs w:val="22"/>
        </w:rPr>
        <w:t>r</w:t>
      </w:r>
      <w:r>
        <w:rPr>
          <w:rFonts w:cs="Times New Roman"/>
          <w:sz w:val="22"/>
          <w:szCs w:val="22"/>
          <w:vertAlign w:val="superscript"/>
        </w:rPr>
        <w:t>2</w:t>
      </w:r>
      <w:r>
        <w:rPr>
          <w:rFonts w:cs="Times New Roman"/>
          <w:sz w:val="22"/>
          <w:szCs w:val="22"/>
        </w:rPr>
        <w:t xml:space="preserve">=87%, </w:t>
      </w:r>
      <w:r>
        <w:rPr>
          <w:rFonts w:cs="Times New Roman"/>
          <w:i/>
          <w:sz w:val="22"/>
          <w:szCs w:val="22"/>
        </w:rPr>
        <w:t>q</w:t>
      </w:r>
      <w:r>
        <w:rPr>
          <w:rFonts w:cs="Times New Roman"/>
          <w:sz w:val="22"/>
          <w:szCs w:val="22"/>
          <w:vertAlign w:val="superscript"/>
        </w:rPr>
        <w:t>2</w:t>
      </w:r>
      <w:r>
        <w:rPr>
          <w:rFonts w:cs="Times New Roman"/>
          <w:sz w:val="22"/>
          <w:szCs w:val="22"/>
        </w:rPr>
        <w:t xml:space="preserve"> (cum)=45% using 1 predictive component. RMSEE (root mean square error of estimation) = 0.19; RMSEcv (root mean square error of cross-validation) = 0.39; </w:t>
      </w:r>
      <w:r>
        <w:rPr>
          <w:rFonts w:cs="Times New Roman"/>
          <w:i/>
          <w:sz w:val="22"/>
          <w:szCs w:val="22"/>
        </w:rPr>
        <w:t>P</w:t>
      </w:r>
      <w:r>
        <w:rPr>
          <w:rFonts w:cs="Times New Roman"/>
          <w:sz w:val="22"/>
          <w:szCs w:val="22"/>
        </w:rPr>
        <w:t xml:space="preserve"> &lt; 0.05, CV-ANOVA. Abb.: (</w:t>
      </w:r>
      <w:r>
        <w:rPr>
          <w:rFonts w:cs="Times New Roman"/>
          <w:i/>
          <w:sz w:val="22"/>
          <w:szCs w:val="22"/>
        </w:rPr>
        <w:t>E</w:t>
      </w:r>
      <w:r>
        <w:rPr>
          <w:rFonts w:cs="Times New Roman"/>
          <w:sz w:val="22"/>
          <w:szCs w:val="22"/>
        </w:rPr>
        <w:t>)-</w:t>
      </w:r>
      <w:r>
        <w:rPr>
          <w:rFonts w:ascii="Symbol" w:hAnsi="Symbol" w:cs="Times New Roman"/>
          <w:sz w:val="22"/>
          <w:szCs w:val="22"/>
        </w:rPr>
        <w:t></w:t>
      </w:r>
      <w:r>
        <w:rPr>
          <w:rFonts w:cs="Times New Roman"/>
          <w:sz w:val="22"/>
          <w:szCs w:val="22"/>
        </w:rPr>
        <w:t>β-oci , (</w:t>
      </w:r>
      <w:r>
        <w:rPr>
          <w:rFonts w:cs="Times New Roman"/>
          <w:i/>
          <w:sz w:val="22"/>
          <w:szCs w:val="22"/>
        </w:rPr>
        <w:t>E</w:t>
      </w:r>
      <w:r>
        <w:rPr>
          <w:rFonts w:cs="Times New Roman"/>
          <w:sz w:val="22"/>
          <w:szCs w:val="22"/>
        </w:rPr>
        <w:t xml:space="preserve">)- β-ocimene; 1,8-cin, 1,8-cineole; aro, aromadendrene; bic, bicyclosesquiphellandrene; cam, camphene; ger-D, germacrene d; iso, isoprene; p-cym, p-cymene; sab, sabinene; sq#, unknown sqt #; tol, toluene; α-far, α-farnesene; α-pin, α-pinene; α-thu, α-thujene; β-car, β-caryophyllene; β-cub, β-cubebene; β-cad, β-cadinene; β-gur, β-gurjunene; β-myr, β-myrcene; β-pin, β-pinene; </w:t>
      </w:r>
      <w:r>
        <w:rPr>
          <w:rFonts w:ascii="Symbol" w:hAnsi="Symbol" w:cs="Times New Roman"/>
          <w:sz w:val="22"/>
          <w:szCs w:val="22"/>
        </w:rPr>
        <w:t></w:t>
      </w:r>
      <w:r>
        <w:rPr>
          <w:rFonts w:cs="Times New Roman"/>
          <w:sz w:val="22"/>
          <w:szCs w:val="22"/>
        </w:rPr>
        <w:t xml:space="preserve">-cop, </w:t>
      </w:r>
      <w:r>
        <w:rPr>
          <w:rFonts w:ascii="Symbol" w:hAnsi="Symbol" w:cs="Times New Roman"/>
          <w:sz w:val="22"/>
          <w:szCs w:val="22"/>
        </w:rPr>
        <w:t></w:t>
      </w:r>
      <w:r>
        <w:rPr>
          <w:rFonts w:cs="Times New Roman"/>
          <w:sz w:val="22"/>
          <w:szCs w:val="22"/>
        </w:rPr>
        <w:t xml:space="preserve">-copaene; </w:t>
      </w:r>
      <w:r>
        <w:rPr>
          <w:rFonts w:ascii="Symbol" w:hAnsi="Symbol" w:cs="Times New Roman"/>
          <w:sz w:val="22"/>
          <w:szCs w:val="22"/>
        </w:rPr>
        <w:t></w:t>
      </w:r>
      <w:r>
        <w:rPr>
          <w:rFonts w:cs="Times New Roman"/>
          <w:sz w:val="22"/>
          <w:szCs w:val="22"/>
        </w:rPr>
        <w:t xml:space="preserve">-cub, </w:t>
      </w:r>
      <w:r>
        <w:rPr>
          <w:rFonts w:ascii="Symbol" w:hAnsi="Symbol" w:cs="Times New Roman"/>
          <w:sz w:val="22"/>
          <w:szCs w:val="22"/>
        </w:rPr>
        <w:t></w:t>
      </w:r>
      <w:r>
        <w:rPr>
          <w:rFonts w:cs="Times New Roman"/>
          <w:sz w:val="22"/>
          <w:szCs w:val="22"/>
        </w:rPr>
        <w:t xml:space="preserve">-cubebene; </w:t>
      </w:r>
      <w:r>
        <w:rPr>
          <w:rFonts w:ascii="Symbol" w:hAnsi="Symbol" w:cs="Times New Roman"/>
          <w:sz w:val="22"/>
          <w:szCs w:val="22"/>
        </w:rPr>
        <w:t></w:t>
      </w:r>
      <w:r>
        <w:rPr>
          <w:rFonts w:cs="Times New Roman"/>
          <w:sz w:val="22"/>
          <w:szCs w:val="22"/>
        </w:rPr>
        <w:t xml:space="preserve">-hum, </w:t>
      </w:r>
      <w:r>
        <w:rPr>
          <w:rFonts w:ascii="Symbol" w:hAnsi="Symbol" w:cs="Times New Roman"/>
          <w:sz w:val="22"/>
          <w:szCs w:val="22"/>
        </w:rPr>
        <w:t></w:t>
      </w:r>
      <w:r>
        <w:rPr>
          <w:rFonts w:ascii="Symbol" w:hAnsi="Symbol" w:cs="Times New Roman"/>
          <w:sz w:val="22"/>
          <w:szCs w:val="22"/>
        </w:rPr>
        <w:t></w:t>
      </w:r>
      <w:r>
        <w:rPr>
          <w:rFonts w:cs="Times New Roman"/>
          <w:sz w:val="22"/>
          <w:szCs w:val="22"/>
        </w:rPr>
        <w:t xml:space="preserve">humulene; </w:t>
      </w:r>
      <w:r>
        <w:rPr>
          <w:rFonts w:ascii="Symbol" w:hAnsi="Symbol" w:cs="Times New Roman"/>
          <w:sz w:val="22"/>
          <w:szCs w:val="22"/>
        </w:rPr>
        <w:t></w:t>
      </w:r>
      <w:r>
        <w:rPr>
          <w:rFonts w:cs="Times New Roman"/>
          <w:sz w:val="22"/>
          <w:szCs w:val="22"/>
        </w:rPr>
        <w:t xml:space="preserve">-ter, </w:t>
      </w:r>
      <w:r>
        <w:rPr>
          <w:rFonts w:ascii="Symbol" w:hAnsi="Symbol" w:cs="Times New Roman"/>
          <w:sz w:val="22"/>
          <w:szCs w:val="22"/>
        </w:rPr>
        <w:t></w:t>
      </w:r>
      <w:r>
        <w:rPr>
          <w:rFonts w:cs="Times New Roman"/>
          <w:sz w:val="22"/>
          <w:szCs w:val="22"/>
        </w:rPr>
        <w:t xml:space="preserve">-terpinene; </w:t>
      </w:r>
      <w:r>
        <w:rPr>
          <w:rFonts w:ascii="Symbol" w:hAnsi="Symbol" w:cs="Times New Roman"/>
          <w:sz w:val="22"/>
          <w:szCs w:val="22"/>
        </w:rPr>
        <w:t></w:t>
      </w:r>
      <w:r>
        <w:rPr>
          <w:rFonts w:cs="Times New Roman"/>
          <w:sz w:val="22"/>
          <w:szCs w:val="22"/>
        </w:rPr>
        <w:t xml:space="preserve">-3-car, </w:t>
      </w:r>
      <w:r>
        <w:rPr>
          <w:rFonts w:ascii="Symbol" w:hAnsi="Symbol" w:cs="Times New Roman"/>
          <w:sz w:val="22"/>
          <w:szCs w:val="22"/>
        </w:rPr>
        <w:t></w:t>
      </w:r>
      <w:r>
        <w:rPr>
          <w:rFonts w:cs="Times New Roman"/>
          <w:sz w:val="22"/>
          <w:szCs w:val="22"/>
        </w:rPr>
        <w:t xml:space="preserve">-3-carene; </w:t>
      </w:r>
      <w:r>
        <w:rPr>
          <w:rFonts w:ascii="Symbol" w:hAnsi="Symbol" w:cs="Times New Roman"/>
          <w:sz w:val="22"/>
          <w:szCs w:val="22"/>
        </w:rPr>
        <w:t></w:t>
      </w:r>
      <w:r>
        <w:rPr>
          <w:rFonts w:cs="Times New Roman"/>
          <w:sz w:val="22"/>
          <w:szCs w:val="22"/>
        </w:rPr>
        <w:t xml:space="preserve">-cad, </w:t>
      </w:r>
      <w:r>
        <w:rPr>
          <w:rFonts w:ascii="Symbol" w:hAnsi="Symbol" w:cs="Times New Roman"/>
          <w:sz w:val="22"/>
          <w:szCs w:val="22"/>
        </w:rPr>
        <w:t></w:t>
      </w:r>
      <w:r>
        <w:rPr>
          <w:rFonts w:cs="Times New Roman"/>
          <w:sz w:val="22"/>
          <w:szCs w:val="22"/>
        </w:rPr>
        <w:t xml:space="preserve">-cadinene; </w:t>
      </w:r>
      <w:r>
        <w:rPr>
          <w:rFonts w:ascii="Symbol" w:hAnsi="Symbol" w:cs="Times New Roman"/>
          <w:sz w:val="22"/>
          <w:szCs w:val="22"/>
        </w:rPr>
        <w:t></w:t>
      </w:r>
      <w:r>
        <w:rPr>
          <w:rFonts w:cs="Times New Roman"/>
          <w:sz w:val="22"/>
          <w:szCs w:val="22"/>
        </w:rPr>
        <w:t xml:space="preserve">-ele, </w:t>
      </w:r>
      <w:r>
        <w:rPr>
          <w:rFonts w:ascii="Symbol" w:hAnsi="Symbol" w:cs="Times New Roman"/>
          <w:sz w:val="22"/>
          <w:szCs w:val="22"/>
        </w:rPr>
        <w:t></w:t>
      </w:r>
      <w:r>
        <w:rPr>
          <w:rFonts w:cs="Times New Roman"/>
          <w:sz w:val="22"/>
          <w:szCs w:val="22"/>
        </w:rPr>
        <w:t xml:space="preserve">-elemene; </w:t>
      </w:r>
      <w:r>
        <w:rPr>
          <w:rFonts w:ascii="Symbol" w:hAnsi="Symbol" w:cs="Times New Roman"/>
          <w:sz w:val="22"/>
          <w:szCs w:val="22"/>
        </w:rPr>
        <w:t></w:t>
      </w:r>
      <w:r>
        <w:rPr>
          <w:rFonts w:cs="Times New Roman"/>
          <w:sz w:val="22"/>
          <w:szCs w:val="22"/>
        </w:rPr>
        <w:t xml:space="preserve">-ter, </w:t>
      </w:r>
      <w:r>
        <w:rPr>
          <w:rFonts w:ascii="Symbol" w:hAnsi="Symbol" w:cs="Times New Roman"/>
          <w:sz w:val="22"/>
          <w:szCs w:val="22"/>
        </w:rPr>
        <w:t></w:t>
      </w:r>
      <w:r>
        <w:rPr>
          <w:rFonts w:cs="Times New Roman"/>
          <w:sz w:val="22"/>
          <w:szCs w:val="22"/>
        </w:rPr>
        <w:t xml:space="preserve">-terpinene; </w:t>
      </w:r>
      <w:r>
        <w:rPr>
          <w:rFonts w:ascii="Symbol" w:hAnsi="Symbol" w:cs="Times New Roman"/>
          <w:sz w:val="22"/>
          <w:szCs w:val="22"/>
        </w:rPr>
        <w:t></w:t>
      </w:r>
      <w:r>
        <w:rPr>
          <w:rFonts w:cs="Times New Roman"/>
          <w:sz w:val="22"/>
          <w:szCs w:val="22"/>
        </w:rPr>
        <w:t xml:space="preserve">-cad, </w:t>
      </w:r>
      <w:r>
        <w:rPr>
          <w:rFonts w:ascii="Symbol" w:hAnsi="Symbol" w:cs="Times New Roman"/>
          <w:sz w:val="22"/>
          <w:szCs w:val="22"/>
        </w:rPr>
        <w:t></w:t>
      </w:r>
      <w:r>
        <w:rPr>
          <w:rFonts w:cs="Times New Roman"/>
          <w:sz w:val="22"/>
          <w:szCs w:val="22"/>
        </w:rPr>
        <w:t xml:space="preserve">-cadinene*. *: tentatively identified. PC, predictive component. Color code: (a): control, blue; warming, red; (b) monoterpenes, green; sesquiterpenes, yellow; isoprene, black; benzenoids, white. </w:t>
      </w:r>
      <w:r>
        <w:rPr>
          <w:rFonts w:cs="Times New Roman"/>
          <w:b/>
          <w:sz w:val="22"/>
          <w:szCs w:val="22"/>
        </w:rPr>
        <w:br w:type="page"/>
      </w:r>
    </w:p>
    <w:p>
      <w:pPr>
        <w:spacing w:line="276" w:lineRule="auto"/>
        <w:jc w:val="both"/>
        <w:rPr>
          <w:rFonts w:cs="Times New Roman"/>
          <w:b/>
          <w:sz w:val="22"/>
          <w:szCs w:val="22"/>
        </w:rPr>
      </w:pPr>
    </w:p>
    <w:p>
      <w:pPr>
        <w:spacing w:line="276" w:lineRule="auto"/>
        <w:jc w:val="center"/>
        <w:rPr>
          <w:rFonts w:cs="Times New Roman"/>
          <w:b/>
          <w:sz w:val="22"/>
          <w:szCs w:val="22"/>
        </w:rPr>
      </w:pPr>
      <w:r>
        <w:rPr>
          <w:rFonts w:cs="Times New Roman"/>
          <w:b/>
          <w:noProof/>
          <w:sz w:val="22"/>
          <w:szCs w:val="22"/>
        </w:rPr>
        <w:drawing>
          <wp:inline distT="0" distB="0" distL="0" distR="0">
            <wp:extent cx="4037275" cy="6144768"/>
            <wp:effectExtent l="0" t="0" r="1905" b="8890"/>
            <wp:docPr id="21" name="Picture 21" descr="D:\Seafile\My Library-1\work\PAPER\Meso\01_FIG\All_figures\VOC_GCMS_corrcoef_last_h_Salix.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eafile\My Library-1\work\PAPER\Meso\01_FIG\All_figures\VOC_GCMS_corrcoef_last_h_Salix.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3600" cy="5760000"/>
                    </a:xfrm>
                    <a:prstGeom prst="rect">
                      <a:avLst/>
                    </a:prstGeom>
                    <a:noFill/>
                    <a:ln>
                      <a:noFill/>
                    </a:ln>
                  </pic:spPr>
                </pic:pic>
              </a:graphicData>
            </a:graphic>
          </wp:inline>
        </w:drawing>
      </w:r>
    </w:p>
    <w:p>
      <w:pPr>
        <w:spacing w:line="276" w:lineRule="auto"/>
        <w:jc w:val="both"/>
        <w:rPr>
          <w:rFonts w:cs="Times New Roman"/>
          <w:sz w:val="22"/>
          <w:szCs w:val="22"/>
        </w:rPr>
      </w:pPr>
      <w:r>
        <w:rPr>
          <w:rFonts w:cs="Times New Roman"/>
          <w:b/>
          <w:sz w:val="22"/>
          <w:szCs w:val="22"/>
        </w:rPr>
        <w:t>Figure S7. Warming effect on volatile emissions from ‘</w:t>
      </w:r>
      <w:r>
        <w:rPr>
          <w:rFonts w:cs="Times New Roman"/>
          <w:b/>
          <w:i/>
          <w:sz w:val="22"/>
          <w:szCs w:val="22"/>
        </w:rPr>
        <w:t>Salix</w:t>
      </w:r>
      <w:r>
        <w:rPr>
          <w:rFonts w:cs="Times New Roman"/>
          <w:b/>
          <w:sz w:val="22"/>
          <w:szCs w:val="22"/>
        </w:rPr>
        <w:t xml:space="preserve">’ mesocosm. </w:t>
      </w:r>
      <w:r>
        <w:rPr>
          <w:rFonts w:cs="Times New Roman"/>
          <w:sz w:val="22"/>
          <w:szCs w:val="22"/>
        </w:rPr>
        <w:t>Air</w:t>
      </w:r>
      <w:r>
        <w:rPr>
          <w:rFonts w:cs="Times New Roman"/>
          <w:b/>
          <w:sz w:val="22"/>
          <w:szCs w:val="22"/>
        </w:rPr>
        <w:t xml:space="preserve"> s</w:t>
      </w:r>
      <w:r>
        <w:rPr>
          <w:rFonts w:cs="Times New Roman"/>
          <w:sz w:val="22"/>
          <w:szCs w:val="22"/>
        </w:rPr>
        <w:t xml:space="preserve">amples were collected during the last hour of the </w:t>
      </w:r>
      <w:r>
        <w:rPr>
          <w:rFonts w:cs="Times New Roman"/>
          <w:sz w:val="22"/>
          <w:szCs w:val="22"/>
          <w:vertAlign w:val="superscript"/>
        </w:rPr>
        <w:t>13</w:t>
      </w:r>
      <w:r>
        <w:rPr>
          <w:rFonts w:cs="Times New Roman"/>
          <w:sz w:val="22"/>
          <w:szCs w:val="22"/>
        </w:rPr>
        <w:t xml:space="preserve">C-labeling (15:30-16:30 CET). </w:t>
      </w:r>
      <w:r>
        <w:rPr>
          <w:rFonts w:cs="Times New Roman"/>
          <w:b/>
          <w:sz w:val="22"/>
          <w:szCs w:val="22"/>
        </w:rPr>
        <w:t xml:space="preserve">a) </w:t>
      </w:r>
      <w:r>
        <w:rPr>
          <w:rFonts w:cs="Times New Roman"/>
          <w:sz w:val="22"/>
          <w:szCs w:val="22"/>
        </w:rPr>
        <w:t>Orthogonal partial least square regression (OPLS) score plot of VOC emissions (mesocosm emission rates normalized per ground area, pmol m</w:t>
      </w:r>
      <w:r>
        <w:rPr>
          <w:rFonts w:cs="Times New Roman"/>
          <w:sz w:val="22"/>
          <w:szCs w:val="22"/>
          <w:vertAlign w:val="superscript"/>
        </w:rPr>
        <w:t>-2</w:t>
      </w:r>
      <w:r>
        <w:rPr>
          <w:rFonts w:cs="Times New Roman"/>
          <w:sz w:val="22"/>
          <w:szCs w:val="22"/>
        </w:rPr>
        <w:t xml:space="preserve"> GA s</w:t>
      </w:r>
      <w:r>
        <w:rPr>
          <w:rFonts w:cs="Times New Roman"/>
          <w:sz w:val="22"/>
          <w:szCs w:val="22"/>
          <w:vertAlign w:val="superscript"/>
        </w:rPr>
        <w:t>-1</w:t>
      </w:r>
      <w:r>
        <w:rPr>
          <w:rFonts w:cs="Times New Roman"/>
          <w:sz w:val="22"/>
          <w:szCs w:val="22"/>
        </w:rPr>
        <w:t xml:space="preserve">). The ellipse indicates the model tolerance based on Hotelling’s </w:t>
      </w:r>
      <w:r>
        <w:rPr>
          <w:rFonts w:cs="Times New Roman"/>
          <w:i/>
          <w:sz w:val="22"/>
          <w:szCs w:val="22"/>
        </w:rPr>
        <w:t>T</w:t>
      </w:r>
      <w:r>
        <w:rPr>
          <w:rFonts w:cs="Times New Roman"/>
          <w:sz w:val="22"/>
          <w:szCs w:val="22"/>
          <w:vertAlign w:val="superscript"/>
        </w:rPr>
        <w:t>2</w:t>
      </w:r>
      <w:r>
        <w:rPr>
          <w:rFonts w:cs="Times New Roman"/>
          <w:sz w:val="22"/>
          <w:szCs w:val="22"/>
        </w:rPr>
        <w:t xml:space="preserve"> and significance level of </w:t>
      </w:r>
      <w:r>
        <w:rPr>
          <w:rFonts w:ascii="Symbol" w:hAnsi="Symbol" w:cs="Times New Roman"/>
          <w:sz w:val="22"/>
          <w:szCs w:val="22"/>
        </w:rPr>
        <w:t></w:t>
      </w:r>
      <w:r>
        <w:rPr>
          <w:rFonts w:cs="Times New Roman"/>
          <w:sz w:val="22"/>
          <w:szCs w:val="22"/>
        </w:rPr>
        <w:t xml:space="preserve"> = 0.05.</w:t>
      </w:r>
      <w:r>
        <w:rPr>
          <w:rFonts w:cs="Times New Roman"/>
          <w:b/>
          <w:sz w:val="22"/>
          <w:szCs w:val="22"/>
        </w:rPr>
        <w:t xml:space="preserve"> b</w:t>
      </w:r>
      <w:r>
        <w:rPr>
          <w:rFonts w:cs="Times New Roman"/>
          <w:sz w:val="22"/>
          <w:szCs w:val="22"/>
        </w:rPr>
        <w:t xml:space="preserve">) Correlation coefficient plot of OPLS, correlating VOC emissions with treatment (warming) effect. The coefficients are given scaled and centered. The error bars are derived using the jack-knife method. Bars represent the average ± se of 14 mesocosms. OPLS model fitness: </w:t>
      </w:r>
      <w:r>
        <w:rPr>
          <w:rFonts w:cs="Times New Roman"/>
          <w:i/>
          <w:sz w:val="22"/>
          <w:szCs w:val="22"/>
        </w:rPr>
        <w:t>r</w:t>
      </w:r>
      <w:r>
        <w:rPr>
          <w:rFonts w:cs="Times New Roman"/>
          <w:sz w:val="22"/>
          <w:szCs w:val="22"/>
          <w:vertAlign w:val="superscript"/>
        </w:rPr>
        <w:t>2</w:t>
      </w:r>
      <w:r>
        <w:rPr>
          <w:rFonts w:cs="Times New Roman"/>
          <w:sz w:val="22"/>
          <w:szCs w:val="22"/>
        </w:rPr>
        <w:t xml:space="preserve"> (x)=38%, </w:t>
      </w:r>
      <w:r>
        <w:rPr>
          <w:rFonts w:cs="Times New Roman"/>
          <w:i/>
          <w:sz w:val="22"/>
          <w:szCs w:val="22"/>
        </w:rPr>
        <w:t>r</w:t>
      </w:r>
      <w:r>
        <w:rPr>
          <w:rFonts w:cs="Times New Roman"/>
          <w:sz w:val="22"/>
          <w:szCs w:val="22"/>
          <w:vertAlign w:val="superscript"/>
        </w:rPr>
        <w:t>2</w:t>
      </w:r>
      <w:r>
        <w:rPr>
          <w:rFonts w:cs="Times New Roman"/>
          <w:sz w:val="22"/>
          <w:szCs w:val="22"/>
        </w:rPr>
        <w:t xml:space="preserve">=85%, </w:t>
      </w:r>
      <w:r>
        <w:rPr>
          <w:rFonts w:cs="Times New Roman"/>
          <w:i/>
          <w:sz w:val="22"/>
          <w:szCs w:val="22"/>
        </w:rPr>
        <w:t>q</w:t>
      </w:r>
      <w:r>
        <w:rPr>
          <w:rFonts w:cs="Times New Roman"/>
          <w:sz w:val="22"/>
          <w:szCs w:val="22"/>
          <w:vertAlign w:val="superscript"/>
        </w:rPr>
        <w:t>2</w:t>
      </w:r>
      <w:r>
        <w:rPr>
          <w:rFonts w:cs="Times New Roman"/>
          <w:sz w:val="22"/>
          <w:szCs w:val="22"/>
        </w:rPr>
        <w:t xml:space="preserve"> (cum)=49% using 1 predictive component. RMSEE (root mean square error of estimation) = 0.21; RMSEcv (root mean square error of cross-validation) = 0.35; </w:t>
      </w:r>
      <w:r>
        <w:rPr>
          <w:rFonts w:cs="Times New Roman"/>
          <w:i/>
          <w:sz w:val="22"/>
          <w:szCs w:val="22"/>
        </w:rPr>
        <w:t>P</w:t>
      </w:r>
      <w:r>
        <w:rPr>
          <w:rFonts w:cs="Times New Roman"/>
          <w:sz w:val="22"/>
          <w:szCs w:val="22"/>
        </w:rPr>
        <w:t xml:space="preserve"> &lt; 0.05, CV-ANOVA. Abb.: (</w:t>
      </w:r>
      <w:r>
        <w:rPr>
          <w:rFonts w:cs="Times New Roman"/>
          <w:i/>
          <w:sz w:val="22"/>
          <w:szCs w:val="22"/>
        </w:rPr>
        <w:t>E</w:t>
      </w:r>
      <w:r>
        <w:rPr>
          <w:rFonts w:cs="Times New Roman"/>
          <w:sz w:val="22"/>
          <w:szCs w:val="22"/>
        </w:rPr>
        <w:t>)-</w:t>
      </w:r>
      <w:r>
        <w:rPr>
          <w:rFonts w:ascii="Symbol" w:hAnsi="Symbol" w:cs="Times New Roman"/>
          <w:sz w:val="22"/>
          <w:szCs w:val="22"/>
        </w:rPr>
        <w:t></w:t>
      </w:r>
      <w:r>
        <w:rPr>
          <w:rFonts w:cs="Times New Roman"/>
          <w:sz w:val="22"/>
          <w:szCs w:val="22"/>
        </w:rPr>
        <w:t>β-oci, (</w:t>
      </w:r>
      <w:r>
        <w:rPr>
          <w:rFonts w:cs="Times New Roman"/>
          <w:i/>
          <w:sz w:val="22"/>
          <w:szCs w:val="22"/>
        </w:rPr>
        <w:t>E</w:t>
      </w:r>
      <w:r>
        <w:rPr>
          <w:rFonts w:cs="Times New Roman"/>
          <w:sz w:val="22"/>
          <w:szCs w:val="22"/>
        </w:rPr>
        <w:t xml:space="preserve">)-β-ocimene; 1,8-cin, 1,8-cineole; aro, aromadendrene; bic, bicyclosesquiphellandrene; cam, camphene; ger-D, germacrene d; iso, isoprene; p-cym, p-cymene; sab, sabinene; sq#, unknown sqt #; tol, toluene; α-amo, α-amorphene; α-far, α-farnesene; α-pin, α-pinene; α-sel, α-selinene; α-thu, α-thujene; β-car, β-caryophyllene; β-cub, β-cubebene; β-cad, β-cadinene; β-gur, β-gurjunene; β-myr, β-myrcene; β-pin, β-pinene; </w:t>
      </w:r>
      <w:r>
        <w:rPr>
          <w:rFonts w:ascii="Symbol" w:hAnsi="Symbol" w:cs="Times New Roman"/>
          <w:sz w:val="22"/>
          <w:szCs w:val="22"/>
        </w:rPr>
        <w:t></w:t>
      </w:r>
      <w:r>
        <w:rPr>
          <w:rFonts w:cs="Times New Roman"/>
          <w:sz w:val="22"/>
          <w:szCs w:val="22"/>
        </w:rPr>
        <w:t xml:space="preserve">-cop, </w:t>
      </w:r>
      <w:r>
        <w:rPr>
          <w:rFonts w:ascii="Symbol" w:hAnsi="Symbol" w:cs="Times New Roman"/>
          <w:sz w:val="22"/>
          <w:szCs w:val="22"/>
        </w:rPr>
        <w:t></w:t>
      </w:r>
      <w:r>
        <w:rPr>
          <w:rFonts w:cs="Times New Roman"/>
          <w:sz w:val="22"/>
          <w:szCs w:val="22"/>
        </w:rPr>
        <w:t xml:space="preserve">-copaene; </w:t>
      </w:r>
      <w:r>
        <w:rPr>
          <w:rFonts w:ascii="Symbol" w:hAnsi="Symbol" w:cs="Times New Roman"/>
          <w:sz w:val="22"/>
          <w:szCs w:val="22"/>
        </w:rPr>
        <w:t></w:t>
      </w:r>
      <w:r>
        <w:rPr>
          <w:rFonts w:cs="Times New Roman"/>
          <w:sz w:val="22"/>
          <w:szCs w:val="22"/>
        </w:rPr>
        <w:t xml:space="preserve">-cub, </w:t>
      </w:r>
      <w:r>
        <w:rPr>
          <w:rFonts w:ascii="Symbol" w:hAnsi="Symbol" w:cs="Times New Roman"/>
          <w:sz w:val="22"/>
          <w:szCs w:val="22"/>
        </w:rPr>
        <w:t></w:t>
      </w:r>
      <w:r>
        <w:rPr>
          <w:rFonts w:cs="Times New Roman"/>
          <w:sz w:val="22"/>
          <w:szCs w:val="22"/>
        </w:rPr>
        <w:t xml:space="preserve">-cubebene; </w:t>
      </w:r>
      <w:r>
        <w:rPr>
          <w:rFonts w:ascii="Symbol" w:hAnsi="Symbol" w:cs="Times New Roman"/>
          <w:sz w:val="22"/>
          <w:szCs w:val="22"/>
        </w:rPr>
        <w:t></w:t>
      </w:r>
      <w:r>
        <w:rPr>
          <w:rFonts w:cs="Times New Roman"/>
          <w:sz w:val="22"/>
          <w:szCs w:val="22"/>
        </w:rPr>
        <w:t xml:space="preserve">-hum, </w:t>
      </w:r>
      <w:r>
        <w:rPr>
          <w:rFonts w:ascii="Symbol" w:hAnsi="Symbol" w:cs="Times New Roman"/>
          <w:sz w:val="22"/>
          <w:szCs w:val="22"/>
        </w:rPr>
        <w:t></w:t>
      </w:r>
      <w:r>
        <w:rPr>
          <w:rFonts w:ascii="Symbol" w:hAnsi="Symbol" w:cs="Times New Roman"/>
          <w:sz w:val="22"/>
          <w:szCs w:val="22"/>
        </w:rPr>
        <w:t></w:t>
      </w:r>
      <w:r>
        <w:rPr>
          <w:rFonts w:cs="Times New Roman"/>
          <w:sz w:val="22"/>
          <w:szCs w:val="22"/>
        </w:rPr>
        <w:t xml:space="preserve">humulene; </w:t>
      </w:r>
      <w:r>
        <w:rPr>
          <w:rFonts w:ascii="Symbol" w:hAnsi="Symbol" w:cs="Times New Roman"/>
          <w:sz w:val="22"/>
          <w:szCs w:val="22"/>
        </w:rPr>
        <w:t></w:t>
      </w:r>
      <w:r>
        <w:rPr>
          <w:rFonts w:cs="Times New Roman"/>
          <w:sz w:val="22"/>
          <w:szCs w:val="22"/>
        </w:rPr>
        <w:t xml:space="preserve">-ter, </w:t>
      </w:r>
      <w:r>
        <w:rPr>
          <w:rFonts w:ascii="Symbol" w:hAnsi="Symbol" w:cs="Times New Roman"/>
          <w:sz w:val="22"/>
          <w:szCs w:val="22"/>
        </w:rPr>
        <w:t></w:t>
      </w:r>
      <w:r>
        <w:rPr>
          <w:rFonts w:cs="Times New Roman"/>
          <w:sz w:val="22"/>
          <w:szCs w:val="22"/>
        </w:rPr>
        <w:t xml:space="preserve">-terpinene; </w:t>
      </w:r>
      <w:r>
        <w:rPr>
          <w:rFonts w:ascii="Symbol" w:hAnsi="Symbol" w:cs="Times New Roman"/>
          <w:sz w:val="22"/>
          <w:szCs w:val="22"/>
        </w:rPr>
        <w:t></w:t>
      </w:r>
      <w:r>
        <w:rPr>
          <w:rFonts w:cs="Times New Roman"/>
          <w:sz w:val="22"/>
          <w:szCs w:val="22"/>
        </w:rPr>
        <w:t xml:space="preserve">-3-car, </w:t>
      </w:r>
      <w:r>
        <w:rPr>
          <w:rFonts w:ascii="Symbol" w:hAnsi="Symbol" w:cs="Times New Roman"/>
          <w:sz w:val="22"/>
          <w:szCs w:val="22"/>
        </w:rPr>
        <w:t></w:t>
      </w:r>
      <w:r>
        <w:rPr>
          <w:rFonts w:cs="Times New Roman"/>
          <w:sz w:val="22"/>
          <w:szCs w:val="22"/>
        </w:rPr>
        <w:t xml:space="preserve">-3-carene; </w:t>
      </w:r>
      <w:r>
        <w:rPr>
          <w:rFonts w:ascii="Symbol" w:hAnsi="Symbol" w:cs="Times New Roman"/>
          <w:sz w:val="22"/>
          <w:szCs w:val="22"/>
        </w:rPr>
        <w:t></w:t>
      </w:r>
      <w:r>
        <w:rPr>
          <w:rFonts w:cs="Times New Roman"/>
          <w:sz w:val="22"/>
          <w:szCs w:val="22"/>
        </w:rPr>
        <w:t xml:space="preserve">-cad, </w:t>
      </w:r>
      <w:r>
        <w:rPr>
          <w:rFonts w:ascii="Symbol" w:hAnsi="Symbol" w:cs="Times New Roman"/>
          <w:sz w:val="22"/>
          <w:szCs w:val="22"/>
        </w:rPr>
        <w:t></w:t>
      </w:r>
      <w:r>
        <w:rPr>
          <w:rFonts w:cs="Times New Roman"/>
          <w:sz w:val="22"/>
          <w:szCs w:val="22"/>
        </w:rPr>
        <w:t xml:space="preserve">-cadinene; </w:t>
      </w:r>
      <w:r>
        <w:rPr>
          <w:rFonts w:ascii="Symbol" w:hAnsi="Symbol" w:cs="Times New Roman"/>
          <w:sz w:val="22"/>
          <w:szCs w:val="22"/>
        </w:rPr>
        <w:t></w:t>
      </w:r>
      <w:r>
        <w:rPr>
          <w:rFonts w:cs="Times New Roman"/>
          <w:sz w:val="22"/>
          <w:szCs w:val="22"/>
        </w:rPr>
        <w:t xml:space="preserve">-ele, </w:t>
      </w:r>
      <w:r>
        <w:rPr>
          <w:rFonts w:ascii="Symbol" w:hAnsi="Symbol" w:cs="Times New Roman"/>
          <w:sz w:val="22"/>
          <w:szCs w:val="22"/>
        </w:rPr>
        <w:t></w:t>
      </w:r>
      <w:r>
        <w:rPr>
          <w:rFonts w:cs="Times New Roman"/>
          <w:sz w:val="22"/>
          <w:szCs w:val="22"/>
        </w:rPr>
        <w:t xml:space="preserve">-elemene; </w:t>
      </w:r>
      <w:r>
        <w:rPr>
          <w:rFonts w:ascii="Symbol" w:hAnsi="Symbol" w:cs="Times New Roman"/>
          <w:sz w:val="22"/>
          <w:szCs w:val="22"/>
        </w:rPr>
        <w:t></w:t>
      </w:r>
      <w:r>
        <w:rPr>
          <w:rFonts w:cs="Times New Roman"/>
          <w:sz w:val="22"/>
          <w:szCs w:val="22"/>
        </w:rPr>
        <w:t xml:space="preserve">-ter, </w:t>
      </w:r>
      <w:r>
        <w:rPr>
          <w:rFonts w:ascii="Symbol" w:hAnsi="Symbol" w:cs="Times New Roman"/>
          <w:sz w:val="22"/>
          <w:szCs w:val="22"/>
        </w:rPr>
        <w:t></w:t>
      </w:r>
      <w:r>
        <w:rPr>
          <w:rFonts w:cs="Times New Roman"/>
          <w:sz w:val="22"/>
          <w:szCs w:val="22"/>
        </w:rPr>
        <w:t xml:space="preserve">-terpinene. PC, predictive component. Color code: (a): control, blue; warming, red; (b) monoterpenes, green; sesquiterpenes, yellow; isoprene, black; benzenoids, white. </w:t>
      </w:r>
    </w:p>
    <w:p>
      <w:pPr>
        <w:spacing w:line="276" w:lineRule="auto"/>
        <w:jc w:val="both"/>
        <w:rPr>
          <w:rFonts w:cs="Times New Roman"/>
          <w:sz w:val="22"/>
          <w:szCs w:val="22"/>
        </w:rPr>
      </w:pPr>
    </w:p>
    <w:p>
      <w:pPr>
        <w:spacing w:after="0" w:line="276" w:lineRule="auto"/>
        <w:rPr>
          <w:rFonts w:cs="Times New Roman"/>
          <w:sz w:val="22"/>
          <w:szCs w:val="22"/>
        </w:rPr>
      </w:pPr>
    </w:p>
    <w:p>
      <w:pPr>
        <w:spacing w:line="276" w:lineRule="auto"/>
        <w:jc w:val="center"/>
        <w:rPr>
          <w:rFonts w:cs="Times New Roman"/>
          <w:sz w:val="22"/>
          <w:szCs w:val="22"/>
        </w:rPr>
      </w:pPr>
      <w:r>
        <w:rPr>
          <w:rFonts w:cs="Times New Roman"/>
          <w:noProof/>
          <w:sz w:val="22"/>
          <w:szCs w:val="22"/>
        </w:rPr>
        <w:drawing>
          <wp:inline distT="0" distB="0" distL="0" distR="0">
            <wp:extent cx="3726000" cy="5760000"/>
            <wp:effectExtent l="0" t="0" r="8255" b="0"/>
            <wp:docPr id="15" name="Picture 15" descr="D:\Seafile\My Library-1\work\PAPER\Meso\01_FIG\All_figures\GCMS_VOC_MDA_mesocosm_effect_last_h_warm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afile\My Library-1\work\PAPER\Meso\01_FIG\All_figures\GCMS_VOC_MDA_mesocosm_effect_last_h_warming.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6000" cy="5760000"/>
                    </a:xfrm>
                    <a:prstGeom prst="rect">
                      <a:avLst/>
                    </a:prstGeom>
                    <a:noFill/>
                    <a:ln>
                      <a:noFill/>
                    </a:ln>
                  </pic:spPr>
                </pic:pic>
              </a:graphicData>
            </a:graphic>
          </wp:inline>
        </w:drawing>
      </w:r>
    </w:p>
    <w:p>
      <w:pPr>
        <w:spacing w:line="276" w:lineRule="auto"/>
        <w:jc w:val="both"/>
        <w:rPr>
          <w:rFonts w:cs="Times New Roman"/>
          <w:sz w:val="22"/>
          <w:szCs w:val="22"/>
        </w:rPr>
      </w:pPr>
      <w:r>
        <w:rPr>
          <w:rFonts w:cs="Times New Roman"/>
          <w:b/>
          <w:sz w:val="22"/>
          <w:szCs w:val="22"/>
        </w:rPr>
        <w:t xml:space="preserve">Figure S8. Volatile differences between Salix and Betula mesocosms under warming treatments. </w:t>
      </w:r>
      <w:r>
        <w:rPr>
          <w:rFonts w:cs="Times New Roman"/>
          <w:sz w:val="22"/>
          <w:szCs w:val="22"/>
        </w:rPr>
        <w:t>Air</w:t>
      </w:r>
      <w:r>
        <w:rPr>
          <w:rFonts w:cs="Times New Roman"/>
          <w:b/>
          <w:sz w:val="22"/>
          <w:szCs w:val="22"/>
        </w:rPr>
        <w:t xml:space="preserve"> s</w:t>
      </w:r>
      <w:r>
        <w:rPr>
          <w:rFonts w:cs="Times New Roman"/>
          <w:sz w:val="22"/>
          <w:szCs w:val="22"/>
        </w:rPr>
        <w:t xml:space="preserve">amples were collected during the last hour of the </w:t>
      </w:r>
      <w:r>
        <w:rPr>
          <w:rFonts w:cs="Times New Roman"/>
          <w:sz w:val="22"/>
          <w:szCs w:val="22"/>
          <w:vertAlign w:val="superscript"/>
        </w:rPr>
        <w:t>13</w:t>
      </w:r>
      <w:r>
        <w:rPr>
          <w:rFonts w:cs="Times New Roman"/>
          <w:sz w:val="22"/>
          <w:szCs w:val="22"/>
        </w:rPr>
        <w:t xml:space="preserve">C-labeling (15:30-16:30 CET). </w:t>
      </w:r>
      <w:r>
        <w:rPr>
          <w:rFonts w:cs="Times New Roman"/>
          <w:b/>
          <w:sz w:val="22"/>
          <w:szCs w:val="22"/>
        </w:rPr>
        <w:t xml:space="preserve">a) </w:t>
      </w:r>
      <w:r>
        <w:rPr>
          <w:rFonts w:cs="Times New Roman"/>
          <w:sz w:val="22"/>
          <w:szCs w:val="22"/>
        </w:rPr>
        <w:t>Orthogonal partial least square regression (OPLS) score plot of VOC emissions (mesocosm emission rates normalized per ground area, pmol m</w:t>
      </w:r>
      <w:r>
        <w:rPr>
          <w:rFonts w:cs="Times New Roman"/>
          <w:sz w:val="22"/>
          <w:szCs w:val="22"/>
          <w:vertAlign w:val="superscript"/>
        </w:rPr>
        <w:t>-2</w:t>
      </w:r>
      <w:r>
        <w:rPr>
          <w:rFonts w:cs="Times New Roman"/>
          <w:sz w:val="22"/>
          <w:szCs w:val="22"/>
        </w:rPr>
        <w:t xml:space="preserve"> GA s</w:t>
      </w:r>
      <w:r>
        <w:rPr>
          <w:rFonts w:cs="Times New Roman"/>
          <w:sz w:val="22"/>
          <w:szCs w:val="22"/>
          <w:vertAlign w:val="superscript"/>
        </w:rPr>
        <w:t>-1</w:t>
      </w:r>
      <w:r>
        <w:rPr>
          <w:rFonts w:cs="Times New Roman"/>
          <w:sz w:val="22"/>
          <w:szCs w:val="22"/>
        </w:rPr>
        <w:t xml:space="preserve">). The ellipse indicates the model tolerance based on Hotelling’s </w:t>
      </w:r>
      <w:r>
        <w:rPr>
          <w:rFonts w:cs="Times New Roman"/>
          <w:i/>
          <w:sz w:val="22"/>
          <w:szCs w:val="22"/>
        </w:rPr>
        <w:t>T</w:t>
      </w:r>
      <w:r>
        <w:rPr>
          <w:rFonts w:cs="Times New Roman"/>
          <w:sz w:val="22"/>
          <w:szCs w:val="22"/>
          <w:vertAlign w:val="superscript"/>
        </w:rPr>
        <w:t>2</w:t>
      </w:r>
      <w:r>
        <w:rPr>
          <w:rFonts w:cs="Times New Roman"/>
          <w:sz w:val="22"/>
          <w:szCs w:val="22"/>
        </w:rPr>
        <w:t xml:space="preserve"> and significance level of </w:t>
      </w:r>
      <w:r>
        <w:rPr>
          <w:rFonts w:ascii="Symbol" w:hAnsi="Symbol" w:cs="Times New Roman"/>
          <w:sz w:val="22"/>
          <w:szCs w:val="22"/>
        </w:rPr>
        <w:t></w:t>
      </w:r>
      <w:r>
        <w:rPr>
          <w:rFonts w:cs="Times New Roman"/>
          <w:sz w:val="22"/>
          <w:szCs w:val="22"/>
        </w:rPr>
        <w:t xml:space="preserve"> = 0.05.</w:t>
      </w:r>
      <w:r>
        <w:rPr>
          <w:rFonts w:cs="Times New Roman"/>
          <w:b/>
          <w:sz w:val="22"/>
          <w:szCs w:val="22"/>
        </w:rPr>
        <w:t xml:space="preserve"> b</w:t>
      </w:r>
      <w:r>
        <w:rPr>
          <w:rFonts w:cs="Times New Roman"/>
          <w:sz w:val="22"/>
          <w:szCs w:val="22"/>
        </w:rPr>
        <w:t xml:space="preserve">) Correlation coefficient plot of OPLS, correlating VOC emissions with treatment (warming) effect. The coefficients are given scaled and centered. The error bars are derived using the jack-knife method. Bars represent the average ± se of 13 mesocosms. OPLS model fitness: </w:t>
      </w:r>
      <w:r>
        <w:rPr>
          <w:rFonts w:cs="Times New Roman"/>
          <w:i/>
          <w:sz w:val="22"/>
          <w:szCs w:val="22"/>
        </w:rPr>
        <w:t>r</w:t>
      </w:r>
      <w:r>
        <w:rPr>
          <w:rFonts w:cs="Times New Roman"/>
          <w:sz w:val="22"/>
          <w:szCs w:val="22"/>
          <w:vertAlign w:val="superscript"/>
        </w:rPr>
        <w:t>2</w:t>
      </w:r>
      <w:r>
        <w:rPr>
          <w:rFonts w:cs="Times New Roman"/>
          <w:sz w:val="22"/>
          <w:szCs w:val="22"/>
        </w:rPr>
        <w:t xml:space="preserve"> (x)=82%, </w:t>
      </w:r>
      <w:r>
        <w:rPr>
          <w:rFonts w:cs="Times New Roman"/>
          <w:i/>
          <w:sz w:val="22"/>
          <w:szCs w:val="22"/>
        </w:rPr>
        <w:t>r</w:t>
      </w:r>
      <w:r>
        <w:rPr>
          <w:rFonts w:cs="Times New Roman"/>
          <w:sz w:val="22"/>
          <w:szCs w:val="22"/>
          <w:vertAlign w:val="superscript"/>
        </w:rPr>
        <w:t>2</w:t>
      </w:r>
      <w:r>
        <w:rPr>
          <w:rFonts w:cs="Times New Roman"/>
          <w:sz w:val="22"/>
          <w:szCs w:val="22"/>
        </w:rPr>
        <w:t xml:space="preserve">=99%, </w:t>
      </w:r>
      <w:r>
        <w:rPr>
          <w:rFonts w:cs="Times New Roman"/>
          <w:i/>
          <w:sz w:val="22"/>
          <w:szCs w:val="22"/>
        </w:rPr>
        <w:t>q</w:t>
      </w:r>
      <w:r>
        <w:rPr>
          <w:rFonts w:cs="Times New Roman"/>
          <w:sz w:val="22"/>
          <w:szCs w:val="22"/>
          <w:vertAlign w:val="superscript"/>
        </w:rPr>
        <w:t>2</w:t>
      </w:r>
      <w:r>
        <w:rPr>
          <w:rFonts w:cs="Times New Roman"/>
          <w:sz w:val="22"/>
          <w:szCs w:val="22"/>
        </w:rPr>
        <w:t xml:space="preserve"> (cum)=82% using 1 predictive component. RMSEE (root mean square error of estimation) = 0.05; RMSEcv (root mean square error of cross-validation) = 0.21; </w:t>
      </w:r>
      <w:r>
        <w:rPr>
          <w:rFonts w:cs="Times New Roman"/>
          <w:i/>
          <w:sz w:val="22"/>
          <w:szCs w:val="22"/>
        </w:rPr>
        <w:t>P</w:t>
      </w:r>
      <w:r>
        <w:rPr>
          <w:rFonts w:cs="Times New Roman"/>
          <w:sz w:val="22"/>
          <w:szCs w:val="22"/>
        </w:rPr>
        <w:t xml:space="preserve"> &lt; 0.05, CV-ANOVA. Abb.: (</w:t>
      </w:r>
      <w:r>
        <w:rPr>
          <w:rFonts w:cs="Times New Roman"/>
          <w:i/>
          <w:sz w:val="22"/>
          <w:szCs w:val="22"/>
        </w:rPr>
        <w:t>E</w:t>
      </w:r>
      <w:r>
        <w:rPr>
          <w:rFonts w:cs="Times New Roman"/>
          <w:sz w:val="22"/>
          <w:szCs w:val="22"/>
        </w:rPr>
        <w:t>)-</w:t>
      </w:r>
      <w:r>
        <w:rPr>
          <w:rFonts w:ascii="Symbol" w:hAnsi="Symbol" w:cs="Times New Roman"/>
          <w:sz w:val="22"/>
          <w:szCs w:val="22"/>
        </w:rPr>
        <w:t></w:t>
      </w:r>
      <w:r>
        <w:rPr>
          <w:rFonts w:cs="Times New Roman"/>
          <w:sz w:val="22"/>
          <w:szCs w:val="22"/>
        </w:rPr>
        <w:t>β-oci , (</w:t>
      </w:r>
      <w:r>
        <w:rPr>
          <w:rFonts w:cs="Times New Roman"/>
          <w:i/>
          <w:sz w:val="22"/>
          <w:szCs w:val="22"/>
        </w:rPr>
        <w:t>E</w:t>
      </w:r>
      <w:r>
        <w:rPr>
          <w:rFonts w:cs="Times New Roman"/>
          <w:sz w:val="22"/>
          <w:szCs w:val="22"/>
        </w:rPr>
        <w:t xml:space="preserve">)- β-ocimene; 1,8-cin, 1,8-cineole; aro, aromadendrene; bic, bicyclosesquiphellandrene;  cam, camphene; ger-D, germacrene d; iso, isoprene; p-cym, p-cymene; sab, sabinene; sq#, unknown sesquiterpene #; tol, toluene; α-amo, α-amorphene; α-far, α-farnesene; α-pin, α-pinene; α-sel, α-selinene; α-thu, α-thujene; β-car, β-caryophyllene; β-cub, β-cubebene; β-cad, β-cadinene; β-gur, β-gurjunene; β-myr, β-myrcene; β-pin, β-pinene; </w:t>
      </w:r>
      <w:r>
        <w:rPr>
          <w:rFonts w:ascii="Symbol" w:hAnsi="Symbol" w:cs="Times New Roman"/>
          <w:sz w:val="22"/>
          <w:szCs w:val="22"/>
        </w:rPr>
        <w:t></w:t>
      </w:r>
      <w:r>
        <w:rPr>
          <w:rFonts w:cs="Times New Roman"/>
          <w:sz w:val="22"/>
          <w:szCs w:val="22"/>
        </w:rPr>
        <w:t xml:space="preserve">-cop, </w:t>
      </w:r>
      <w:r>
        <w:rPr>
          <w:rFonts w:ascii="Symbol" w:hAnsi="Symbol" w:cs="Times New Roman"/>
          <w:sz w:val="22"/>
          <w:szCs w:val="22"/>
        </w:rPr>
        <w:t></w:t>
      </w:r>
      <w:r>
        <w:rPr>
          <w:rFonts w:cs="Times New Roman"/>
          <w:sz w:val="22"/>
          <w:szCs w:val="22"/>
        </w:rPr>
        <w:t xml:space="preserve">-copaene; </w:t>
      </w:r>
      <w:r>
        <w:rPr>
          <w:rFonts w:ascii="Symbol" w:hAnsi="Symbol" w:cs="Times New Roman"/>
          <w:sz w:val="22"/>
          <w:szCs w:val="22"/>
        </w:rPr>
        <w:t></w:t>
      </w:r>
      <w:r>
        <w:rPr>
          <w:rFonts w:cs="Times New Roman"/>
          <w:sz w:val="22"/>
          <w:szCs w:val="22"/>
        </w:rPr>
        <w:t xml:space="preserve">-cub, </w:t>
      </w:r>
      <w:r>
        <w:rPr>
          <w:rFonts w:ascii="Symbol" w:hAnsi="Symbol" w:cs="Times New Roman"/>
          <w:sz w:val="22"/>
          <w:szCs w:val="22"/>
        </w:rPr>
        <w:t></w:t>
      </w:r>
      <w:r>
        <w:rPr>
          <w:rFonts w:cs="Times New Roman"/>
          <w:sz w:val="22"/>
          <w:szCs w:val="22"/>
        </w:rPr>
        <w:t xml:space="preserve">-cubebene; </w:t>
      </w:r>
      <w:r>
        <w:rPr>
          <w:rFonts w:ascii="Symbol" w:hAnsi="Symbol" w:cs="Times New Roman"/>
          <w:sz w:val="22"/>
          <w:szCs w:val="22"/>
        </w:rPr>
        <w:t></w:t>
      </w:r>
      <w:r>
        <w:rPr>
          <w:rFonts w:cs="Times New Roman"/>
          <w:sz w:val="22"/>
          <w:szCs w:val="22"/>
        </w:rPr>
        <w:t xml:space="preserve">-hum, </w:t>
      </w:r>
      <w:r>
        <w:rPr>
          <w:rFonts w:ascii="Symbol" w:hAnsi="Symbol" w:cs="Times New Roman"/>
          <w:sz w:val="22"/>
          <w:szCs w:val="22"/>
        </w:rPr>
        <w:t></w:t>
      </w:r>
      <w:r>
        <w:rPr>
          <w:rFonts w:ascii="Symbol" w:hAnsi="Symbol" w:cs="Times New Roman"/>
          <w:sz w:val="22"/>
          <w:szCs w:val="22"/>
        </w:rPr>
        <w:t></w:t>
      </w:r>
      <w:r>
        <w:rPr>
          <w:rFonts w:cs="Times New Roman"/>
          <w:sz w:val="22"/>
          <w:szCs w:val="22"/>
        </w:rPr>
        <w:t xml:space="preserve">humulene; </w:t>
      </w:r>
      <w:r>
        <w:rPr>
          <w:rFonts w:ascii="Symbol" w:hAnsi="Symbol" w:cs="Times New Roman"/>
          <w:sz w:val="22"/>
          <w:szCs w:val="22"/>
        </w:rPr>
        <w:t></w:t>
      </w:r>
      <w:r>
        <w:rPr>
          <w:rFonts w:cs="Times New Roman"/>
          <w:sz w:val="22"/>
          <w:szCs w:val="22"/>
        </w:rPr>
        <w:t xml:space="preserve">-ter, </w:t>
      </w:r>
      <w:r>
        <w:rPr>
          <w:rFonts w:ascii="Symbol" w:hAnsi="Symbol" w:cs="Times New Roman"/>
          <w:sz w:val="22"/>
          <w:szCs w:val="22"/>
        </w:rPr>
        <w:t></w:t>
      </w:r>
      <w:r>
        <w:rPr>
          <w:rFonts w:cs="Times New Roman"/>
          <w:sz w:val="22"/>
          <w:szCs w:val="22"/>
        </w:rPr>
        <w:t xml:space="preserve">-terpinene; </w:t>
      </w:r>
      <w:r>
        <w:rPr>
          <w:rFonts w:ascii="Symbol" w:hAnsi="Symbol" w:cs="Times New Roman"/>
          <w:sz w:val="22"/>
          <w:szCs w:val="22"/>
        </w:rPr>
        <w:t></w:t>
      </w:r>
      <w:r>
        <w:rPr>
          <w:rFonts w:cs="Times New Roman"/>
          <w:sz w:val="22"/>
          <w:szCs w:val="22"/>
        </w:rPr>
        <w:t xml:space="preserve">-3-car, </w:t>
      </w:r>
      <w:r>
        <w:rPr>
          <w:rFonts w:ascii="Symbol" w:hAnsi="Symbol" w:cs="Times New Roman"/>
          <w:sz w:val="22"/>
          <w:szCs w:val="22"/>
        </w:rPr>
        <w:t></w:t>
      </w:r>
      <w:r>
        <w:rPr>
          <w:rFonts w:cs="Times New Roman"/>
          <w:sz w:val="22"/>
          <w:szCs w:val="22"/>
        </w:rPr>
        <w:t xml:space="preserve">-3-carene; </w:t>
      </w:r>
      <w:r>
        <w:rPr>
          <w:rFonts w:ascii="Symbol" w:hAnsi="Symbol" w:cs="Times New Roman"/>
          <w:sz w:val="22"/>
          <w:szCs w:val="22"/>
        </w:rPr>
        <w:t></w:t>
      </w:r>
      <w:r>
        <w:rPr>
          <w:rFonts w:cs="Times New Roman"/>
          <w:sz w:val="22"/>
          <w:szCs w:val="22"/>
        </w:rPr>
        <w:t xml:space="preserve">-cad, </w:t>
      </w:r>
      <w:r>
        <w:rPr>
          <w:rFonts w:ascii="Symbol" w:hAnsi="Symbol" w:cs="Times New Roman"/>
          <w:sz w:val="22"/>
          <w:szCs w:val="22"/>
        </w:rPr>
        <w:t></w:t>
      </w:r>
      <w:r>
        <w:rPr>
          <w:rFonts w:cs="Times New Roman"/>
          <w:sz w:val="22"/>
          <w:szCs w:val="22"/>
        </w:rPr>
        <w:t xml:space="preserve">-cadinene; </w:t>
      </w:r>
      <w:r>
        <w:rPr>
          <w:rFonts w:ascii="Symbol" w:hAnsi="Symbol" w:cs="Times New Roman"/>
          <w:sz w:val="22"/>
          <w:szCs w:val="22"/>
        </w:rPr>
        <w:t></w:t>
      </w:r>
      <w:r>
        <w:rPr>
          <w:rFonts w:cs="Times New Roman"/>
          <w:sz w:val="22"/>
          <w:szCs w:val="22"/>
        </w:rPr>
        <w:t xml:space="preserve">-ele, </w:t>
      </w:r>
      <w:r>
        <w:rPr>
          <w:rFonts w:ascii="Symbol" w:hAnsi="Symbol" w:cs="Times New Roman"/>
          <w:sz w:val="22"/>
          <w:szCs w:val="22"/>
        </w:rPr>
        <w:t></w:t>
      </w:r>
      <w:r>
        <w:rPr>
          <w:rFonts w:cs="Times New Roman"/>
          <w:sz w:val="22"/>
          <w:szCs w:val="22"/>
        </w:rPr>
        <w:t xml:space="preserve">-elemene; </w:t>
      </w:r>
      <w:r>
        <w:rPr>
          <w:rFonts w:ascii="Symbol" w:hAnsi="Symbol" w:cs="Times New Roman"/>
          <w:sz w:val="22"/>
          <w:szCs w:val="22"/>
        </w:rPr>
        <w:t></w:t>
      </w:r>
      <w:r>
        <w:rPr>
          <w:rFonts w:cs="Times New Roman"/>
          <w:sz w:val="22"/>
          <w:szCs w:val="22"/>
        </w:rPr>
        <w:t xml:space="preserve">-ter, </w:t>
      </w:r>
      <w:r>
        <w:rPr>
          <w:rFonts w:ascii="Symbol" w:hAnsi="Symbol" w:cs="Times New Roman"/>
          <w:sz w:val="22"/>
          <w:szCs w:val="22"/>
        </w:rPr>
        <w:t></w:t>
      </w:r>
      <w:r>
        <w:rPr>
          <w:rFonts w:cs="Times New Roman"/>
          <w:sz w:val="22"/>
          <w:szCs w:val="22"/>
        </w:rPr>
        <w:t>-terpinene. PC, predictive component. Color code: (a): control, blue; warming, red; (b) monoterpenes, green; sesquiterpenes, yellow; isoprene, black; benzenoids, white.</w:t>
      </w:r>
      <w:r>
        <w:rPr>
          <w:rFonts w:cs="Times New Roman"/>
          <w:sz w:val="22"/>
          <w:szCs w:val="22"/>
        </w:rPr>
        <w:br w:type="page"/>
      </w:r>
    </w:p>
    <w:p>
      <w:pPr>
        <w:spacing w:after="0" w:line="276" w:lineRule="auto"/>
        <w:jc w:val="center"/>
        <w:rPr>
          <w:rFonts w:cs="Times New Roman"/>
          <w:sz w:val="22"/>
          <w:szCs w:val="22"/>
        </w:rPr>
      </w:pPr>
      <w:r>
        <w:rPr>
          <w:rFonts w:cs="Times New Roman"/>
          <w:noProof/>
          <w:sz w:val="22"/>
          <w:szCs w:val="22"/>
        </w:rPr>
        <w:lastRenderedPageBreak/>
        <w:drawing>
          <wp:inline distT="0" distB="0" distL="0" distR="0">
            <wp:extent cx="3164400" cy="3240000"/>
            <wp:effectExtent l="0" t="0" r="0" b="0"/>
            <wp:docPr id="13" name="Picture 13" descr="D:\Seafile\My Library-1\work\PAPER\Meso\01_FIG\All_figures\13C-incorporation_PTR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afile\My Library-1\work\PAPER\Meso\01_FIG\All_figures\13C-incorporation_PTRMS.t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4400" cy="3240000"/>
                    </a:xfrm>
                    <a:prstGeom prst="rect">
                      <a:avLst/>
                    </a:prstGeom>
                    <a:noFill/>
                    <a:ln>
                      <a:noFill/>
                    </a:ln>
                  </pic:spPr>
                </pic:pic>
              </a:graphicData>
            </a:graphic>
          </wp:inline>
        </w:drawing>
      </w:r>
    </w:p>
    <w:p>
      <w:pPr>
        <w:spacing w:line="276" w:lineRule="auto"/>
        <w:jc w:val="both"/>
        <w:rPr>
          <w:rFonts w:cs="Times New Roman"/>
          <w:b/>
          <w:sz w:val="22"/>
          <w:szCs w:val="22"/>
        </w:rPr>
      </w:pPr>
    </w:p>
    <w:p>
      <w:pPr>
        <w:spacing w:line="276" w:lineRule="auto"/>
        <w:jc w:val="both"/>
        <w:rPr>
          <w:rFonts w:cs="Times New Roman"/>
          <w:b/>
          <w:sz w:val="22"/>
          <w:szCs w:val="22"/>
        </w:rPr>
      </w:pPr>
    </w:p>
    <w:p>
      <w:pPr>
        <w:spacing w:line="276" w:lineRule="auto"/>
        <w:jc w:val="both"/>
        <w:rPr>
          <w:rFonts w:cs="Times New Roman"/>
          <w:b/>
          <w:sz w:val="22"/>
          <w:szCs w:val="22"/>
        </w:rPr>
      </w:pPr>
      <w:r>
        <w:rPr>
          <w:rFonts w:cs="Times New Roman"/>
          <w:b/>
          <w:sz w:val="22"/>
          <w:szCs w:val="22"/>
        </w:rPr>
        <w:t xml:space="preserve">Figure S9. Incorporation of atmospheric carbon into VOCs. </w:t>
      </w:r>
      <w:r>
        <w:rPr>
          <w:rFonts w:cs="Times New Roman"/>
          <w:sz w:val="22"/>
          <w:szCs w:val="22"/>
        </w:rPr>
        <w:t>(</w:t>
      </w:r>
      <w:r>
        <w:rPr>
          <w:rFonts w:cs="Times New Roman"/>
          <w:b/>
          <w:sz w:val="22"/>
          <w:szCs w:val="22"/>
        </w:rPr>
        <w:t>a</w:t>
      </w:r>
      <w:r>
        <w:rPr>
          <w:rFonts w:cs="Times New Roman"/>
          <w:sz w:val="22"/>
          <w:szCs w:val="22"/>
        </w:rPr>
        <w:t>) Isoprene, (</w:t>
      </w:r>
      <w:r>
        <w:rPr>
          <w:rFonts w:cs="Times New Roman"/>
          <w:b/>
          <w:sz w:val="22"/>
          <w:szCs w:val="22"/>
        </w:rPr>
        <w:t>b</w:t>
      </w:r>
      <w:r>
        <w:rPr>
          <w:rFonts w:cs="Times New Roman"/>
          <w:sz w:val="22"/>
          <w:szCs w:val="22"/>
        </w:rPr>
        <w:t>) monoterpenes, (</w:t>
      </w:r>
      <w:r>
        <w:rPr>
          <w:rFonts w:cs="Times New Roman"/>
          <w:b/>
          <w:sz w:val="22"/>
          <w:szCs w:val="22"/>
        </w:rPr>
        <w:t>c</w:t>
      </w:r>
      <w:r>
        <w:rPr>
          <w:rFonts w:cs="Times New Roman"/>
          <w:sz w:val="22"/>
          <w:szCs w:val="22"/>
        </w:rPr>
        <w:t>) sesquiterpenes, (</w:t>
      </w:r>
      <w:r>
        <w:rPr>
          <w:rFonts w:cs="Times New Roman"/>
          <w:b/>
          <w:sz w:val="22"/>
          <w:szCs w:val="22"/>
        </w:rPr>
        <w:t>d</w:t>
      </w:r>
      <w:r>
        <w:rPr>
          <w:rFonts w:cs="Times New Roman"/>
          <w:sz w:val="22"/>
          <w:szCs w:val="22"/>
        </w:rPr>
        <w:t>) methanol, emitted by ‘</w:t>
      </w:r>
      <w:r>
        <w:rPr>
          <w:rFonts w:cs="Times New Roman"/>
          <w:i/>
          <w:sz w:val="22"/>
          <w:szCs w:val="22"/>
        </w:rPr>
        <w:t>Betula</w:t>
      </w:r>
      <w:r>
        <w:rPr>
          <w:rFonts w:cs="Times New Roman"/>
          <w:sz w:val="22"/>
          <w:szCs w:val="22"/>
        </w:rPr>
        <w:t>’ and ‘</w:t>
      </w:r>
      <w:r>
        <w:rPr>
          <w:rFonts w:cs="Times New Roman"/>
          <w:i/>
          <w:sz w:val="22"/>
          <w:szCs w:val="22"/>
        </w:rPr>
        <w:t>Salix</w:t>
      </w:r>
      <w:r>
        <w:rPr>
          <w:rFonts w:cs="Times New Roman"/>
          <w:sz w:val="22"/>
          <w:szCs w:val="22"/>
        </w:rPr>
        <w:t xml:space="preserve">’ </w:t>
      </w:r>
      <w:r>
        <w:rPr>
          <w:rFonts w:cs="Times New Roman"/>
          <w:noProof/>
          <w:sz w:val="22"/>
          <w:szCs w:val="22"/>
        </w:rPr>
        <w:t>mesocosms under</w:t>
      </w:r>
      <w:r>
        <w:rPr>
          <w:rFonts w:cs="Times New Roman"/>
          <w:sz w:val="22"/>
          <w:szCs w:val="22"/>
        </w:rPr>
        <w:t xml:space="preserve"> control (in blue) and warming (in red) climate simulation. VOCs were collected from individual, cuvette-enclosed mesocosms and analyzed by PTR-ToF-MS. The atmospheric incorporation of carbon (C) from CO</w:t>
      </w:r>
      <w:r>
        <w:rPr>
          <w:rFonts w:cs="Times New Roman"/>
          <w:sz w:val="22"/>
          <w:szCs w:val="22"/>
          <w:vertAlign w:val="subscript"/>
        </w:rPr>
        <w:t>2</w:t>
      </w:r>
      <w:r>
        <w:rPr>
          <w:rFonts w:cs="Times New Roman"/>
          <w:sz w:val="22"/>
          <w:szCs w:val="22"/>
        </w:rPr>
        <w:t xml:space="preserve"> into VOCs was calculated using </w:t>
      </w:r>
      <w:r>
        <w:rPr>
          <w:rFonts w:cs="Times New Roman"/>
          <w:sz w:val="22"/>
          <w:szCs w:val="22"/>
          <w:vertAlign w:val="superscript"/>
        </w:rPr>
        <w:t>13</w:t>
      </w:r>
      <w:r>
        <w:rPr>
          <w:rFonts w:cs="Times New Roman"/>
          <w:sz w:val="22"/>
          <w:szCs w:val="22"/>
        </w:rPr>
        <w:t>CO</w:t>
      </w:r>
      <w:r>
        <w:rPr>
          <w:rFonts w:cs="Times New Roman"/>
          <w:sz w:val="22"/>
          <w:szCs w:val="22"/>
          <w:vertAlign w:val="subscript"/>
        </w:rPr>
        <w:t>2</w:t>
      </w:r>
      <w:r>
        <w:rPr>
          <w:rFonts w:cs="Times New Roman"/>
          <w:sz w:val="22"/>
          <w:szCs w:val="22"/>
        </w:rPr>
        <w:t xml:space="preserve"> labeling technique as described in methods. Depicted data derive from significant (</w:t>
      </w:r>
      <w:r>
        <w:rPr>
          <w:rFonts w:cs="Times New Roman"/>
          <w:i/>
          <w:sz w:val="22"/>
          <w:szCs w:val="22"/>
        </w:rPr>
        <w:t>P</w:t>
      </w:r>
      <w:r>
        <w:rPr>
          <w:rFonts w:cs="Times New Roman"/>
          <w:sz w:val="22"/>
          <w:szCs w:val="22"/>
        </w:rPr>
        <w:t xml:space="preserve">&lt;0.001, pair </w:t>
      </w:r>
      <w:r>
        <w:rPr>
          <w:rFonts w:cs="Times New Roman"/>
          <w:i/>
          <w:sz w:val="22"/>
          <w:szCs w:val="22"/>
        </w:rPr>
        <w:t>t</w:t>
      </w:r>
      <w:r>
        <w:rPr>
          <w:rFonts w:cs="Times New Roman"/>
          <w:sz w:val="22"/>
          <w:szCs w:val="22"/>
        </w:rPr>
        <w:t xml:space="preserve">-test) </w:t>
      </w:r>
      <w:r>
        <w:rPr>
          <w:rFonts w:cs="Times New Roman"/>
          <w:sz w:val="22"/>
          <w:szCs w:val="22"/>
          <w:vertAlign w:val="superscript"/>
        </w:rPr>
        <w:t>13</w:t>
      </w:r>
      <w:r>
        <w:rPr>
          <w:rFonts w:cs="Times New Roman"/>
          <w:sz w:val="22"/>
          <w:szCs w:val="22"/>
        </w:rPr>
        <w:t xml:space="preserve">C-labeling of VOC, compared to </w:t>
      </w:r>
      <w:r>
        <w:rPr>
          <w:rFonts w:cs="Times New Roman"/>
          <w:sz w:val="22"/>
          <w:szCs w:val="22"/>
          <w:vertAlign w:val="superscript"/>
        </w:rPr>
        <w:t>12</w:t>
      </w:r>
      <w:r>
        <w:rPr>
          <w:rFonts w:cs="Times New Roman"/>
          <w:sz w:val="22"/>
          <w:szCs w:val="22"/>
        </w:rPr>
        <w:t>CO</w:t>
      </w:r>
      <w:r>
        <w:rPr>
          <w:rFonts w:cs="Times New Roman"/>
          <w:sz w:val="22"/>
          <w:szCs w:val="22"/>
          <w:vertAlign w:val="subscript"/>
        </w:rPr>
        <w:t>2</w:t>
      </w:r>
      <w:r>
        <w:rPr>
          <w:rFonts w:cs="Times New Roman"/>
          <w:sz w:val="22"/>
          <w:szCs w:val="22"/>
        </w:rPr>
        <w:t xml:space="preserve"> control experiments. Different letters denote statistically significant differences (</w:t>
      </w:r>
      <w:r>
        <w:rPr>
          <w:rFonts w:cs="Times New Roman"/>
          <w:i/>
          <w:sz w:val="22"/>
          <w:szCs w:val="22"/>
        </w:rPr>
        <w:t>P</w:t>
      </w:r>
      <w:r>
        <w:rPr>
          <w:rFonts w:cs="Times New Roman"/>
          <w:sz w:val="22"/>
          <w:szCs w:val="22"/>
        </w:rPr>
        <w:t>&lt;0.05, ANOVA, and Tukey test method for pairwise multiple comparison procedures). Means ± se. (n=6).</w:t>
      </w:r>
    </w:p>
    <w:p>
      <w:pPr>
        <w:spacing w:after="0" w:line="276" w:lineRule="auto"/>
        <w:rPr>
          <w:rFonts w:cs="Times New Roman"/>
          <w:sz w:val="22"/>
          <w:szCs w:val="22"/>
        </w:rPr>
      </w:pPr>
    </w:p>
    <w:p>
      <w:pPr>
        <w:spacing w:after="0" w:line="276" w:lineRule="auto"/>
        <w:rPr>
          <w:rFonts w:cs="Times New Roman"/>
          <w:sz w:val="22"/>
          <w:szCs w:val="22"/>
        </w:rPr>
      </w:pPr>
      <w:r>
        <w:rPr>
          <w:rFonts w:cs="Times New Roman"/>
          <w:sz w:val="22"/>
          <w:szCs w:val="22"/>
        </w:rPr>
        <w:br w:type="page"/>
      </w:r>
    </w:p>
    <w:p>
      <w:pPr>
        <w:spacing w:after="0" w:line="276" w:lineRule="auto"/>
        <w:jc w:val="center"/>
        <w:rPr>
          <w:rFonts w:cs="Times New Roman"/>
          <w:sz w:val="22"/>
          <w:szCs w:val="22"/>
        </w:rPr>
      </w:pPr>
    </w:p>
    <w:p>
      <w:pPr>
        <w:spacing w:after="0" w:line="276" w:lineRule="auto"/>
        <w:jc w:val="center"/>
        <w:rPr>
          <w:rFonts w:cs="Times New Roman"/>
          <w:sz w:val="22"/>
          <w:szCs w:val="22"/>
        </w:rPr>
      </w:pPr>
    </w:p>
    <w:p>
      <w:pPr>
        <w:spacing w:after="0" w:line="276" w:lineRule="auto"/>
        <w:jc w:val="center"/>
        <w:rPr>
          <w:rFonts w:cs="Times New Roman"/>
          <w:sz w:val="22"/>
          <w:szCs w:val="22"/>
        </w:rPr>
      </w:pPr>
      <w:r>
        <w:rPr>
          <w:rFonts w:cs="Times New Roman"/>
          <w:noProof/>
          <w:sz w:val="22"/>
          <w:szCs w:val="22"/>
        </w:rPr>
        <w:drawing>
          <wp:inline distT="0" distB="0" distL="0" distR="0">
            <wp:extent cx="5756910" cy="4547870"/>
            <wp:effectExtent l="0" t="0" r="0" b="5080"/>
            <wp:docPr id="8" name="Picture 8" descr="D:\Seafile\My Library-1\work\PAPER\Meso\01_FIG\All_figures\13C-incorporation_GC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afile\My Library-1\work\PAPER\Meso\01_FIG\All_figures\13C-incorporation_GCMS.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4547870"/>
                    </a:xfrm>
                    <a:prstGeom prst="rect">
                      <a:avLst/>
                    </a:prstGeom>
                    <a:noFill/>
                    <a:ln>
                      <a:noFill/>
                    </a:ln>
                  </pic:spPr>
                </pic:pic>
              </a:graphicData>
            </a:graphic>
          </wp:inline>
        </w:drawing>
      </w:r>
    </w:p>
    <w:p>
      <w:pPr>
        <w:spacing w:line="276" w:lineRule="auto"/>
        <w:jc w:val="both"/>
        <w:rPr>
          <w:rFonts w:cs="Times New Roman"/>
          <w:b/>
          <w:sz w:val="22"/>
          <w:szCs w:val="22"/>
        </w:rPr>
      </w:pPr>
    </w:p>
    <w:p>
      <w:pPr>
        <w:spacing w:line="276" w:lineRule="auto"/>
        <w:jc w:val="both"/>
        <w:rPr>
          <w:rFonts w:cs="Times New Roman"/>
          <w:b/>
          <w:sz w:val="22"/>
          <w:szCs w:val="22"/>
        </w:rPr>
      </w:pPr>
      <w:r>
        <w:rPr>
          <w:rFonts w:cs="Times New Roman"/>
          <w:b/>
          <w:sz w:val="22"/>
          <w:szCs w:val="22"/>
        </w:rPr>
        <w:t>Figure S10. Incorporation of atmospheric carbon into VOCs</w:t>
      </w:r>
      <w:r>
        <w:rPr>
          <w:rFonts w:cs="Times New Roman"/>
          <w:sz w:val="22"/>
          <w:szCs w:val="22"/>
        </w:rPr>
        <w:t>. (</w:t>
      </w:r>
      <w:r>
        <w:rPr>
          <w:rFonts w:cs="Times New Roman"/>
          <w:b/>
          <w:sz w:val="22"/>
          <w:szCs w:val="22"/>
        </w:rPr>
        <w:t>a</w:t>
      </w:r>
      <w:r>
        <w:rPr>
          <w:rFonts w:cs="Times New Roman"/>
          <w:sz w:val="22"/>
          <w:szCs w:val="22"/>
        </w:rPr>
        <w:t>) ‘</w:t>
      </w:r>
      <w:r>
        <w:rPr>
          <w:rFonts w:cs="Times New Roman"/>
          <w:i/>
          <w:sz w:val="22"/>
          <w:szCs w:val="22"/>
        </w:rPr>
        <w:t>Betula</w:t>
      </w:r>
      <w:r>
        <w:rPr>
          <w:rFonts w:cs="Times New Roman"/>
          <w:sz w:val="22"/>
          <w:szCs w:val="22"/>
        </w:rPr>
        <w:t>’ (B) and (</w:t>
      </w:r>
      <w:r>
        <w:rPr>
          <w:rFonts w:cs="Times New Roman"/>
          <w:b/>
          <w:sz w:val="22"/>
          <w:szCs w:val="22"/>
        </w:rPr>
        <w:t>b</w:t>
      </w:r>
      <w:r>
        <w:rPr>
          <w:rFonts w:cs="Times New Roman"/>
          <w:sz w:val="22"/>
          <w:szCs w:val="22"/>
        </w:rPr>
        <w:t>) ‘</w:t>
      </w:r>
      <w:r>
        <w:rPr>
          <w:rFonts w:cs="Times New Roman"/>
          <w:i/>
          <w:sz w:val="22"/>
          <w:szCs w:val="22"/>
        </w:rPr>
        <w:t>Salix</w:t>
      </w:r>
      <w:r>
        <w:rPr>
          <w:rFonts w:cs="Times New Roman"/>
          <w:sz w:val="22"/>
          <w:szCs w:val="22"/>
        </w:rPr>
        <w:t xml:space="preserve">’ (S) </w:t>
      </w:r>
      <w:r>
        <w:rPr>
          <w:rFonts w:cs="Times New Roman"/>
          <w:noProof/>
          <w:sz w:val="22"/>
          <w:szCs w:val="22"/>
        </w:rPr>
        <w:t>mesocosms  under</w:t>
      </w:r>
      <w:r>
        <w:rPr>
          <w:rFonts w:cs="Times New Roman"/>
          <w:sz w:val="22"/>
          <w:szCs w:val="22"/>
        </w:rPr>
        <w:t xml:space="preserve"> control (C, in blue) and warming (W, in red) climate simulation. VOCs were collected from individual, cuvette-enclosed mesocosms and analyzed by GC-MS. The atmospheric incorporation of carbon (C) from CO</w:t>
      </w:r>
      <w:r>
        <w:rPr>
          <w:rFonts w:cs="Times New Roman"/>
          <w:sz w:val="22"/>
          <w:szCs w:val="22"/>
          <w:vertAlign w:val="subscript"/>
        </w:rPr>
        <w:t>2</w:t>
      </w:r>
      <w:r>
        <w:rPr>
          <w:rFonts w:cs="Times New Roman"/>
          <w:sz w:val="22"/>
          <w:szCs w:val="22"/>
        </w:rPr>
        <w:t xml:space="preserve"> into VOCs was calculated using </w:t>
      </w:r>
      <w:r>
        <w:rPr>
          <w:rFonts w:cs="Times New Roman"/>
          <w:sz w:val="22"/>
          <w:szCs w:val="22"/>
          <w:vertAlign w:val="superscript"/>
        </w:rPr>
        <w:t>13</w:t>
      </w:r>
      <w:r>
        <w:rPr>
          <w:rFonts w:cs="Times New Roman"/>
          <w:sz w:val="22"/>
          <w:szCs w:val="22"/>
        </w:rPr>
        <w:t>CO</w:t>
      </w:r>
      <w:r>
        <w:rPr>
          <w:rFonts w:cs="Times New Roman"/>
          <w:sz w:val="22"/>
          <w:szCs w:val="22"/>
          <w:vertAlign w:val="subscript"/>
        </w:rPr>
        <w:t>2</w:t>
      </w:r>
      <w:r>
        <w:rPr>
          <w:rFonts w:cs="Times New Roman"/>
          <w:sz w:val="22"/>
          <w:szCs w:val="22"/>
        </w:rPr>
        <w:t xml:space="preserve"> labeling technique as described in the methods. Statistical significance was tested with ANOVA and the Holm-Sidak method for pairwise multiple comparison procedures. Comparison for factors: C </w:t>
      </w:r>
      <w:r>
        <w:rPr>
          <w:rFonts w:cs="Times New Roman"/>
          <w:i/>
          <w:sz w:val="22"/>
          <w:szCs w:val="22"/>
        </w:rPr>
        <w:t>vs</w:t>
      </w:r>
      <w:r>
        <w:rPr>
          <w:rFonts w:cs="Times New Roman"/>
          <w:sz w:val="22"/>
          <w:szCs w:val="22"/>
        </w:rPr>
        <w:t xml:space="preserve"> W within B (***); B </w:t>
      </w:r>
      <w:r>
        <w:rPr>
          <w:rFonts w:cs="Times New Roman"/>
          <w:i/>
          <w:sz w:val="22"/>
          <w:szCs w:val="22"/>
        </w:rPr>
        <w:t>vs</w:t>
      </w:r>
      <w:r>
        <w:rPr>
          <w:rFonts w:cs="Times New Roman"/>
          <w:sz w:val="22"/>
          <w:szCs w:val="22"/>
        </w:rPr>
        <w:t xml:space="preserve"> S within W (**). Abbr.: *, </w:t>
      </w:r>
      <w:r>
        <w:rPr>
          <w:rFonts w:cs="Times New Roman"/>
          <w:i/>
          <w:sz w:val="22"/>
          <w:szCs w:val="22"/>
        </w:rPr>
        <w:t>P</w:t>
      </w:r>
      <w:r>
        <w:rPr>
          <w:rFonts w:cs="Times New Roman"/>
          <w:sz w:val="22"/>
          <w:szCs w:val="22"/>
        </w:rPr>
        <w:t xml:space="preserve">&lt;0.05; **, </w:t>
      </w:r>
      <w:r>
        <w:rPr>
          <w:rFonts w:cs="Times New Roman"/>
          <w:i/>
          <w:sz w:val="22"/>
          <w:szCs w:val="22"/>
        </w:rPr>
        <w:t>P</w:t>
      </w:r>
      <w:r>
        <w:rPr>
          <w:rFonts w:cs="Times New Roman"/>
          <w:sz w:val="22"/>
          <w:szCs w:val="22"/>
        </w:rPr>
        <w:t xml:space="preserve">&lt;0.01; ***, </w:t>
      </w:r>
      <w:r>
        <w:rPr>
          <w:rFonts w:cs="Times New Roman"/>
          <w:i/>
          <w:sz w:val="22"/>
          <w:szCs w:val="22"/>
        </w:rPr>
        <w:t>P</w:t>
      </w:r>
      <w:r>
        <w:rPr>
          <w:rFonts w:cs="Times New Roman"/>
          <w:sz w:val="22"/>
          <w:szCs w:val="22"/>
        </w:rPr>
        <w:t>&lt;0.001 Means ± se. (n=6); nd, not detectable.</w:t>
      </w:r>
    </w:p>
    <w:p>
      <w:pPr>
        <w:spacing w:line="276" w:lineRule="auto"/>
        <w:rPr>
          <w:rFonts w:cs="Times New Roman"/>
          <w:b/>
          <w:sz w:val="22"/>
          <w:szCs w:val="22"/>
        </w:rPr>
      </w:pPr>
    </w:p>
    <w:p>
      <w:pPr>
        <w:spacing w:after="0" w:line="276" w:lineRule="auto"/>
        <w:jc w:val="center"/>
        <w:rPr>
          <w:rFonts w:cs="Times New Roman"/>
          <w:sz w:val="22"/>
          <w:szCs w:val="22"/>
        </w:rPr>
      </w:pPr>
      <w:r>
        <w:rPr>
          <w:rFonts w:cs="Times New Roman"/>
          <w:sz w:val="22"/>
          <w:szCs w:val="22"/>
        </w:rPr>
        <w:br w:type="page"/>
      </w:r>
      <w:r>
        <w:rPr>
          <w:rFonts w:cs="Times New Roman"/>
          <w:b/>
          <w:noProof/>
          <w:sz w:val="22"/>
          <w:szCs w:val="22"/>
        </w:rPr>
        <w:lastRenderedPageBreak/>
        <w:drawing>
          <wp:inline distT="0" distB="0" distL="0" distR="0">
            <wp:extent cx="2336400" cy="2232000"/>
            <wp:effectExtent l="0" t="0" r="6985" b="0"/>
            <wp:docPr id="12" name="Picture 12" descr="D:\Seafile\My Library-1\work\PAPER\Meso\01_FIG\All_figures\Supp FigXX_correlation_denovo_ptrms_vs_gc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afile\My Library-1\work\PAPER\Meso\01_FIG\All_figures\Supp FigXX_correlation_denovo_ptrms_vs_gcms.T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6400" cy="2232000"/>
                    </a:xfrm>
                    <a:prstGeom prst="rect">
                      <a:avLst/>
                    </a:prstGeom>
                    <a:noFill/>
                    <a:ln>
                      <a:noFill/>
                    </a:ln>
                  </pic:spPr>
                </pic:pic>
              </a:graphicData>
            </a:graphic>
          </wp:inline>
        </w:drawing>
      </w:r>
    </w:p>
    <w:p>
      <w:pPr>
        <w:spacing w:line="276" w:lineRule="auto"/>
        <w:rPr>
          <w:rFonts w:cs="Times New Roman"/>
          <w:b/>
          <w:sz w:val="22"/>
          <w:szCs w:val="22"/>
        </w:rPr>
      </w:pPr>
    </w:p>
    <w:p>
      <w:pPr>
        <w:spacing w:line="276" w:lineRule="auto"/>
        <w:jc w:val="both"/>
        <w:rPr>
          <w:rFonts w:cs="Times New Roman"/>
          <w:sz w:val="22"/>
          <w:szCs w:val="22"/>
        </w:rPr>
      </w:pPr>
      <w:r>
        <w:rPr>
          <w:rFonts w:cs="Times New Roman"/>
          <w:b/>
          <w:sz w:val="22"/>
          <w:szCs w:val="22"/>
        </w:rPr>
        <w:t xml:space="preserve">Figure S11. Linear correlation between GC-MS and PTR-ToF-MS data. </w:t>
      </w:r>
      <w:r>
        <w:rPr>
          <w:rFonts w:cs="Times New Roman"/>
          <w:sz w:val="22"/>
          <w:szCs w:val="22"/>
        </w:rPr>
        <w:t xml:space="preserve">Total </w:t>
      </w:r>
      <w:r>
        <w:rPr>
          <w:rFonts w:cs="Times New Roman"/>
          <w:i/>
          <w:sz w:val="22"/>
          <w:szCs w:val="22"/>
        </w:rPr>
        <w:t xml:space="preserve">de novo </w:t>
      </w:r>
      <w:r>
        <w:rPr>
          <w:rFonts w:cs="Times New Roman"/>
          <w:sz w:val="22"/>
          <w:szCs w:val="22"/>
        </w:rPr>
        <w:t>monoterpene biosynthesis (given as percentages). VOCs were collected from individual, cuvette-enclosed mesocosms.</w:t>
      </w:r>
    </w:p>
    <w:p>
      <w:pPr>
        <w:spacing w:after="0" w:line="276" w:lineRule="auto"/>
        <w:rPr>
          <w:rFonts w:cs="Times New Roman"/>
          <w:sz w:val="22"/>
          <w:szCs w:val="22"/>
        </w:rPr>
      </w:pPr>
      <w:r>
        <w:rPr>
          <w:rFonts w:cs="Times New Roman"/>
          <w:b/>
          <w:sz w:val="22"/>
          <w:szCs w:val="22"/>
        </w:rPr>
        <w:br w:type="page"/>
      </w:r>
    </w:p>
    <w:p>
      <w:pPr>
        <w:pStyle w:val="Heading1"/>
        <w:jc w:val="both"/>
        <w:rPr>
          <w:rFonts w:cs="Times New Roman"/>
          <w:b w:val="0"/>
          <w:sz w:val="22"/>
          <w:szCs w:val="22"/>
        </w:rPr>
      </w:pPr>
    </w:p>
    <w:p>
      <w:pPr>
        <w:spacing w:line="276" w:lineRule="auto"/>
        <w:jc w:val="center"/>
        <w:rPr>
          <w:rFonts w:cs="Times New Roman"/>
          <w:sz w:val="22"/>
          <w:szCs w:val="22"/>
        </w:rPr>
      </w:pPr>
      <w:r>
        <w:rPr>
          <w:rFonts w:cs="Times New Roman"/>
          <w:noProof/>
          <w:sz w:val="22"/>
          <w:szCs w:val="22"/>
        </w:rPr>
        <w:drawing>
          <wp:inline distT="0" distB="0" distL="0" distR="0">
            <wp:extent cx="2692800" cy="2232000"/>
            <wp:effectExtent l="0" t="0" r="0" b="0"/>
            <wp:docPr id="4" name="Picture 4" descr="D:\Seafile\My Library-1\work\PAPER\Meso\01_FIG\13Cfluxes_aboveground_Callocatio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afile\My Library-1\work\PAPER\Meso\01_FIG\13Cfluxes_aboveground_Callocation.T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00" cy="2232000"/>
                    </a:xfrm>
                    <a:prstGeom prst="rect">
                      <a:avLst/>
                    </a:prstGeom>
                    <a:noFill/>
                    <a:ln>
                      <a:noFill/>
                    </a:ln>
                  </pic:spPr>
                </pic:pic>
              </a:graphicData>
            </a:graphic>
          </wp:inline>
        </w:drawing>
      </w:r>
    </w:p>
    <w:p>
      <w:pPr>
        <w:spacing w:line="276" w:lineRule="auto"/>
        <w:jc w:val="both"/>
        <w:rPr>
          <w:rFonts w:cs="Times New Roman"/>
          <w:b/>
          <w:sz w:val="22"/>
          <w:szCs w:val="22"/>
        </w:rPr>
      </w:pPr>
    </w:p>
    <w:p>
      <w:pPr>
        <w:spacing w:line="276" w:lineRule="auto"/>
        <w:jc w:val="both"/>
        <w:rPr>
          <w:rFonts w:cs="Times New Roman"/>
          <w:b/>
          <w:sz w:val="22"/>
          <w:szCs w:val="22"/>
        </w:rPr>
      </w:pPr>
      <w:r>
        <w:rPr>
          <w:rFonts w:cs="Times New Roman"/>
          <w:b/>
          <w:sz w:val="22"/>
          <w:szCs w:val="22"/>
        </w:rPr>
        <w:t xml:space="preserve">Figure S12. </w:t>
      </w:r>
      <w:r>
        <w:rPr>
          <w:rFonts w:cs="Times New Roman"/>
          <w:b/>
          <w:sz w:val="22"/>
          <w:szCs w:val="22"/>
          <w:vertAlign w:val="superscript"/>
        </w:rPr>
        <w:t>13</w:t>
      </w:r>
      <w:r>
        <w:rPr>
          <w:rFonts w:cs="Times New Roman"/>
          <w:b/>
          <w:sz w:val="22"/>
          <w:szCs w:val="22"/>
        </w:rPr>
        <w:t xml:space="preserve">C-fluxes from atmospheric </w:t>
      </w:r>
      <w:r>
        <w:rPr>
          <w:rFonts w:cs="Times New Roman"/>
          <w:b/>
          <w:sz w:val="22"/>
          <w:szCs w:val="22"/>
          <w:vertAlign w:val="superscript"/>
        </w:rPr>
        <w:t>13</w:t>
      </w:r>
      <w:r>
        <w:rPr>
          <w:rFonts w:cs="Times New Roman"/>
          <w:b/>
          <w:sz w:val="22"/>
          <w:szCs w:val="22"/>
        </w:rPr>
        <w:t>CO</w:t>
      </w:r>
      <w:r>
        <w:rPr>
          <w:rFonts w:cs="Times New Roman"/>
          <w:b/>
          <w:sz w:val="22"/>
          <w:szCs w:val="22"/>
          <w:vertAlign w:val="subscript"/>
        </w:rPr>
        <w:t>2</w:t>
      </w:r>
      <w:r>
        <w:rPr>
          <w:rFonts w:cs="Times New Roman"/>
          <w:b/>
          <w:sz w:val="22"/>
          <w:szCs w:val="22"/>
        </w:rPr>
        <w:t xml:space="preserve"> allocated into the aboveground leaf material in the mesocosm</w:t>
      </w:r>
      <w:r>
        <w:rPr>
          <w:rFonts w:cs="Times New Roman"/>
          <w:sz w:val="22"/>
          <w:szCs w:val="22"/>
        </w:rPr>
        <w:t>. ‘</w:t>
      </w:r>
      <w:r>
        <w:rPr>
          <w:rFonts w:cs="Times New Roman"/>
          <w:i/>
          <w:sz w:val="22"/>
          <w:szCs w:val="22"/>
        </w:rPr>
        <w:t>Betula</w:t>
      </w:r>
      <w:r>
        <w:rPr>
          <w:rFonts w:cs="Times New Roman"/>
          <w:sz w:val="22"/>
          <w:szCs w:val="22"/>
        </w:rPr>
        <w:t>’ (B) and ‘</w:t>
      </w:r>
      <w:r>
        <w:rPr>
          <w:rFonts w:cs="Times New Roman"/>
          <w:i/>
          <w:sz w:val="22"/>
          <w:szCs w:val="22"/>
        </w:rPr>
        <w:t>Salix’</w:t>
      </w:r>
      <w:r>
        <w:rPr>
          <w:rFonts w:cs="Times New Roman"/>
          <w:sz w:val="22"/>
          <w:szCs w:val="22"/>
        </w:rPr>
        <w:t xml:space="preserve"> (S), under control (C) and warming (W) treatments. Statistical main effects (L, labeling; M, mesocosm type; W, warming) are reported in </w:t>
      </w:r>
      <w:r>
        <w:rPr>
          <w:rFonts w:cs="Times New Roman"/>
          <w:noProof/>
          <w:sz w:val="22"/>
          <w:szCs w:val="22"/>
        </w:rPr>
        <w:t>panel</w:t>
      </w:r>
      <w:r>
        <w:rPr>
          <w:rFonts w:cs="Times New Roman"/>
          <w:sz w:val="22"/>
          <w:szCs w:val="22"/>
        </w:rPr>
        <w:t xml:space="preserve">. Means ± se. (n=6). ***, </w:t>
      </w:r>
      <w:r>
        <w:rPr>
          <w:rFonts w:cs="Times New Roman"/>
          <w:i/>
          <w:sz w:val="22"/>
          <w:szCs w:val="22"/>
        </w:rPr>
        <w:t>P</w:t>
      </w:r>
      <w:r>
        <w:rPr>
          <w:rFonts w:cs="Times New Roman"/>
          <w:sz w:val="22"/>
          <w:szCs w:val="22"/>
        </w:rPr>
        <w:t>&lt;0.001.</w:t>
      </w:r>
    </w:p>
    <w:p>
      <w:pPr>
        <w:spacing w:after="0" w:line="276" w:lineRule="auto"/>
        <w:rPr>
          <w:rFonts w:cs="Times New Roman"/>
          <w:sz w:val="22"/>
          <w:szCs w:val="22"/>
        </w:rPr>
      </w:pPr>
      <w:r>
        <w:rPr>
          <w:rFonts w:cs="Times New Roman"/>
          <w:sz w:val="22"/>
          <w:szCs w:val="22"/>
        </w:rPr>
        <w:br w:type="page"/>
      </w:r>
    </w:p>
    <w:p>
      <w:pPr>
        <w:spacing w:line="276" w:lineRule="auto"/>
        <w:rPr>
          <w:rFonts w:cs="Times New Roman"/>
          <w:b/>
          <w:sz w:val="22"/>
          <w:szCs w:val="22"/>
        </w:rPr>
      </w:pPr>
    </w:p>
    <w:p>
      <w:pPr>
        <w:spacing w:line="276" w:lineRule="auto"/>
        <w:rPr>
          <w:rFonts w:cs="Times New Roman"/>
          <w:sz w:val="22"/>
          <w:szCs w:val="22"/>
        </w:rPr>
      </w:pPr>
    </w:p>
    <w:p>
      <w:pPr>
        <w:spacing w:line="276" w:lineRule="auto"/>
        <w:jc w:val="center"/>
        <w:rPr>
          <w:rFonts w:cs="Times New Roman"/>
          <w:sz w:val="22"/>
          <w:szCs w:val="22"/>
          <w:highlight w:val="yellow"/>
        </w:rPr>
      </w:pPr>
      <w:r>
        <w:rPr>
          <w:rFonts w:cs="Times New Roman"/>
          <w:noProof/>
          <w:sz w:val="22"/>
          <w:szCs w:val="22"/>
        </w:rPr>
        <w:drawing>
          <wp:inline distT="0" distB="0" distL="0" distR="0">
            <wp:extent cx="2725200" cy="2232000"/>
            <wp:effectExtent l="0" t="0" r="0" b="0"/>
            <wp:docPr id="10" name="Picture 10" descr="D:\Seafile\My Library-1\work\PAPER\Meso\01_FIG\S_aboveground Callocation_%NE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eafile\My Library-1\work\PAPER\Meso\01_FIG\S_aboveground Callocation_%NEE.T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5200" cy="2232000"/>
                    </a:xfrm>
                    <a:prstGeom prst="rect">
                      <a:avLst/>
                    </a:prstGeom>
                    <a:noFill/>
                    <a:ln>
                      <a:noFill/>
                    </a:ln>
                  </pic:spPr>
                </pic:pic>
              </a:graphicData>
            </a:graphic>
          </wp:inline>
        </w:drawing>
      </w:r>
    </w:p>
    <w:p>
      <w:pPr>
        <w:spacing w:line="276" w:lineRule="auto"/>
        <w:jc w:val="center"/>
        <w:rPr>
          <w:rFonts w:cs="Times New Roman"/>
          <w:sz w:val="22"/>
          <w:szCs w:val="22"/>
          <w:highlight w:val="yellow"/>
        </w:rPr>
      </w:pPr>
    </w:p>
    <w:p>
      <w:pPr>
        <w:spacing w:line="276" w:lineRule="auto"/>
        <w:rPr>
          <w:rFonts w:cs="Times New Roman"/>
          <w:b/>
          <w:sz w:val="22"/>
          <w:szCs w:val="22"/>
        </w:rPr>
      </w:pPr>
    </w:p>
    <w:p>
      <w:pPr>
        <w:spacing w:line="276" w:lineRule="auto"/>
        <w:jc w:val="both"/>
        <w:rPr>
          <w:rFonts w:cs="Times New Roman"/>
          <w:sz w:val="22"/>
          <w:szCs w:val="22"/>
        </w:rPr>
      </w:pPr>
      <w:r>
        <w:rPr>
          <w:rFonts w:cs="Times New Roman"/>
          <w:b/>
          <w:sz w:val="22"/>
          <w:szCs w:val="22"/>
        </w:rPr>
        <w:t>Figure S13.</w:t>
      </w:r>
      <w:r>
        <w:rPr>
          <w:rFonts w:cs="Times New Roman"/>
          <w:sz w:val="22"/>
          <w:szCs w:val="22"/>
        </w:rPr>
        <w:t xml:space="preserve"> </w:t>
      </w:r>
      <w:r>
        <w:rPr>
          <w:rFonts w:cs="Times New Roman"/>
          <w:b/>
          <w:sz w:val="22"/>
          <w:szCs w:val="22"/>
        </w:rPr>
        <w:t xml:space="preserve">Carbon allocation into the aboveground leaf material, derived by measuring </w:t>
      </w:r>
      <w:r>
        <w:rPr>
          <w:rFonts w:cs="Times New Roman"/>
          <w:b/>
          <w:sz w:val="22"/>
          <w:szCs w:val="22"/>
          <w:vertAlign w:val="superscript"/>
        </w:rPr>
        <w:t>13</w:t>
      </w:r>
      <w:r>
        <w:rPr>
          <w:rFonts w:cs="Times New Roman"/>
          <w:b/>
          <w:sz w:val="22"/>
          <w:szCs w:val="22"/>
        </w:rPr>
        <w:t xml:space="preserve">C-fluxes from atmospheric </w:t>
      </w:r>
      <w:r>
        <w:rPr>
          <w:rFonts w:cs="Times New Roman"/>
          <w:b/>
          <w:sz w:val="22"/>
          <w:szCs w:val="22"/>
          <w:vertAlign w:val="superscript"/>
        </w:rPr>
        <w:t>13</w:t>
      </w:r>
      <w:r>
        <w:rPr>
          <w:rFonts w:cs="Times New Roman"/>
          <w:b/>
          <w:sz w:val="22"/>
          <w:szCs w:val="22"/>
        </w:rPr>
        <w:t>CO</w:t>
      </w:r>
      <w:r>
        <w:rPr>
          <w:rFonts w:cs="Times New Roman"/>
          <w:b/>
          <w:sz w:val="22"/>
          <w:szCs w:val="22"/>
          <w:vertAlign w:val="subscript"/>
        </w:rPr>
        <w:t>2</w:t>
      </w:r>
      <w:r>
        <w:rPr>
          <w:rFonts w:cs="Times New Roman"/>
          <w:b/>
          <w:sz w:val="22"/>
          <w:szCs w:val="22"/>
        </w:rPr>
        <w:t xml:space="preserve"> to aboveground leaf materials, and to belowground plant material and soil carbon.</w:t>
      </w:r>
      <w:r>
        <w:rPr>
          <w:rFonts w:cs="Times New Roman"/>
          <w:sz w:val="22"/>
          <w:szCs w:val="22"/>
        </w:rPr>
        <w:t xml:space="preserve"> ‘</w:t>
      </w:r>
      <w:r>
        <w:rPr>
          <w:rFonts w:cs="Times New Roman"/>
          <w:i/>
          <w:sz w:val="22"/>
          <w:szCs w:val="22"/>
        </w:rPr>
        <w:t>Betula</w:t>
      </w:r>
      <w:r>
        <w:rPr>
          <w:rFonts w:cs="Times New Roman"/>
          <w:sz w:val="22"/>
          <w:szCs w:val="22"/>
        </w:rPr>
        <w:t>’ (B) and ‘</w:t>
      </w:r>
      <w:r>
        <w:rPr>
          <w:rFonts w:cs="Times New Roman"/>
          <w:i/>
          <w:sz w:val="22"/>
          <w:szCs w:val="22"/>
        </w:rPr>
        <w:t>Salix’</w:t>
      </w:r>
      <w:r>
        <w:rPr>
          <w:rFonts w:cs="Times New Roman"/>
          <w:sz w:val="22"/>
          <w:szCs w:val="22"/>
        </w:rPr>
        <w:t xml:space="preserve"> (S) mesocosms, under control (C) and warming (W) treatments. Statistical main effects (L, labeling; M, mesocosm type; W, warming) are reported in </w:t>
      </w:r>
      <w:r>
        <w:rPr>
          <w:rFonts w:cs="Times New Roman"/>
          <w:noProof/>
          <w:sz w:val="22"/>
          <w:szCs w:val="22"/>
        </w:rPr>
        <w:t>panel</w:t>
      </w:r>
      <w:r>
        <w:rPr>
          <w:rFonts w:cs="Times New Roman"/>
          <w:sz w:val="22"/>
          <w:szCs w:val="22"/>
        </w:rPr>
        <w:t xml:space="preserve">. Means ± se. (n=6). ***, </w:t>
      </w:r>
      <w:r>
        <w:rPr>
          <w:rFonts w:cs="Times New Roman"/>
          <w:i/>
          <w:sz w:val="22"/>
          <w:szCs w:val="22"/>
        </w:rPr>
        <w:t>P</w:t>
      </w:r>
      <w:r>
        <w:rPr>
          <w:rFonts w:cs="Times New Roman"/>
          <w:sz w:val="22"/>
          <w:szCs w:val="22"/>
        </w:rPr>
        <w:t>&lt;0.001.</w:t>
      </w:r>
    </w:p>
    <w:p>
      <w:pPr>
        <w:spacing w:after="0" w:line="276" w:lineRule="auto"/>
        <w:rPr>
          <w:rFonts w:cs="Times New Roman"/>
          <w:sz w:val="22"/>
          <w:szCs w:val="22"/>
        </w:rPr>
      </w:pPr>
      <w:r>
        <w:rPr>
          <w:rFonts w:cs="Times New Roman"/>
          <w:sz w:val="22"/>
          <w:szCs w:val="22"/>
        </w:rPr>
        <w:br w:type="page"/>
      </w:r>
    </w:p>
    <w:p>
      <w:pPr>
        <w:spacing w:after="0" w:line="276" w:lineRule="auto"/>
        <w:rPr>
          <w:rFonts w:cs="Times New Roman"/>
          <w:b/>
          <w:sz w:val="22"/>
          <w:szCs w:val="22"/>
        </w:rPr>
      </w:pPr>
    </w:p>
    <w:p>
      <w:pPr>
        <w:spacing w:line="276" w:lineRule="auto"/>
        <w:jc w:val="both"/>
        <w:rPr>
          <w:rFonts w:cs="Times New Roman"/>
          <w:sz w:val="22"/>
          <w:szCs w:val="22"/>
        </w:rPr>
      </w:pPr>
      <w:r>
        <w:rPr>
          <w:rFonts w:cs="Times New Roman"/>
          <w:b/>
          <w:sz w:val="22"/>
          <w:szCs w:val="22"/>
        </w:rPr>
        <w:t>Table S1.</w:t>
      </w:r>
      <w:r>
        <w:rPr>
          <w:rFonts w:cs="Times New Roman"/>
          <w:sz w:val="22"/>
          <w:szCs w:val="22"/>
        </w:rPr>
        <w:t xml:space="preserve"> </w:t>
      </w:r>
      <w:r>
        <w:rPr>
          <w:rFonts w:cs="Times New Roman"/>
          <w:b/>
          <w:sz w:val="22"/>
          <w:szCs w:val="22"/>
        </w:rPr>
        <w:t>Plant species composition and biomass.</w:t>
      </w:r>
      <w:r>
        <w:rPr>
          <w:rFonts w:cs="Times New Roman"/>
          <w:sz w:val="22"/>
          <w:szCs w:val="22"/>
        </w:rPr>
        <w:t xml:space="preserve"> Plant species composition and biomass (g </w:t>
      </w:r>
      <w:r>
        <w:rPr>
          <w:rFonts w:cs="Times New Roman"/>
          <w:noProof/>
          <w:sz w:val="22"/>
          <w:szCs w:val="22"/>
        </w:rPr>
        <w:t>dw</w:t>
      </w:r>
      <w:r>
        <w:rPr>
          <w:rFonts w:cs="Times New Roman"/>
          <w:sz w:val="22"/>
          <w:szCs w:val="22"/>
        </w:rPr>
        <w:t xml:space="preserve"> mesocosm</w:t>
      </w:r>
      <w:r>
        <w:rPr>
          <w:rFonts w:cs="Times New Roman"/>
          <w:sz w:val="22"/>
          <w:szCs w:val="22"/>
          <w:vertAlign w:val="superscript"/>
        </w:rPr>
        <w:t>-1</w:t>
      </w:r>
      <w:r>
        <w:rPr>
          <w:rFonts w:cs="Times New Roman"/>
          <w:sz w:val="22"/>
          <w:szCs w:val="22"/>
        </w:rPr>
        <w:t>) in mesocosms dominated by ‘</w:t>
      </w:r>
      <w:r>
        <w:rPr>
          <w:rFonts w:cs="Times New Roman"/>
          <w:i/>
          <w:sz w:val="22"/>
          <w:szCs w:val="22"/>
        </w:rPr>
        <w:t>Betula</w:t>
      </w:r>
      <w:r>
        <w:rPr>
          <w:rFonts w:cs="Times New Roman"/>
          <w:sz w:val="22"/>
          <w:szCs w:val="22"/>
        </w:rPr>
        <w:t>’ and ‘</w:t>
      </w:r>
      <w:r>
        <w:rPr>
          <w:rFonts w:cs="Times New Roman"/>
          <w:i/>
          <w:sz w:val="22"/>
          <w:szCs w:val="22"/>
        </w:rPr>
        <w:t>Salix</w:t>
      </w:r>
      <w:r>
        <w:rPr>
          <w:rFonts w:cs="Times New Roman"/>
          <w:sz w:val="22"/>
          <w:szCs w:val="22"/>
        </w:rPr>
        <w:t>’ under control and warming conditions. Statistical significance of mesocosm types (Meso) and warming treatment (Treat) on plant biomass was tested with 2-way ANOVA. *</w:t>
      </w:r>
      <w:r>
        <w:rPr>
          <w:rFonts w:cs="Times New Roman"/>
          <w:i/>
          <w:sz w:val="22"/>
          <w:szCs w:val="22"/>
        </w:rPr>
        <w:t>P</w:t>
      </w:r>
      <w:r>
        <w:rPr>
          <w:rFonts w:cs="Times New Roman"/>
          <w:sz w:val="22"/>
          <w:szCs w:val="22"/>
        </w:rPr>
        <w:t xml:space="preserve">&lt;0.05. Abbr. </w:t>
      </w:r>
      <w:r>
        <w:rPr>
          <w:rFonts w:cs="Times New Roman"/>
          <w:i/>
          <w:sz w:val="22"/>
          <w:szCs w:val="22"/>
        </w:rPr>
        <w:t>f</w:t>
      </w:r>
      <w:r>
        <w:rPr>
          <w:rFonts w:cs="Times New Roman"/>
          <w:noProof/>
          <w:sz w:val="22"/>
          <w:szCs w:val="22"/>
        </w:rPr>
        <w:t>, foliage</w:t>
      </w:r>
      <w:r>
        <w:rPr>
          <w:rFonts w:cs="Times New Roman"/>
          <w:sz w:val="22"/>
          <w:szCs w:val="22"/>
        </w:rPr>
        <w:t xml:space="preserve">; </w:t>
      </w:r>
      <w:r>
        <w:rPr>
          <w:rFonts w:cs="Times New Roman"/>
          <w:i/>
          <w:sz w:val="22"/>
          <w:szCs w:val="22"/>
        </w:rPr>
        <w:t>s</w:t>
      </w:r>
      <w:r>
        <w:rPr>
          <w:rFonts w:cs="Times New Roman"/>
          <w:sz w:val="22"/>
          <w:szCs w:val="22"/>
        </w:rPr>
        <w:t xml:space="preserve">, stem; </w:t>
      </w:r>
      <w:r>
        <w:rPr>
          <w:rFonts w:cs="Times New Roman"/>
          <w:i/>
          <w:sz w:val="22"/>
          <w:szCs w:val="22"/>
        </w:rPr>
        <w:t>f</w:t>
      </w:r>
      <w:r>
        <w:rPr>
          <w:rFonts w:cs="Times New Roman"/>
          <w:sz w:val="22"/>
          <w:szCs w:val="22"/>
        </w:rPr>
        <w:t>+</w:t>
      </w:r>
      <w:r>
        <w:rPr>
          <w:rFonts w:cs="Times New Roman"/>
          <w:i/>
          <w:sz w:val="22"/>
          <w:szCs w:val="22"/>
        </w:rPr>
        <w:t>s</w:t>
      </w:r>
      <w:r>
        <w:rPr>
          <w:rFonts w:cs="Times New Roman"/>
          <w:sz w:val="22"/>
          <w:szCs w:val="22"/>
        </w:rPr>
        <w:t xml:space="preserve">, unseparated foliage and stem. Means of n=9 ± </w:t>
      </w:r>
      <w:r>
        <w:rPr>
          <w:rFonts w:cs="Times New Roman"/>
          <w:noProof/>
          <w:sz w:val="22"/>
          <w:szCs w:val="22"/>
        </w:rPr>
        <w:t>se</w:t>
      </w:r>
      <w:r>
        <w:rPr>
          <w:rFonts w:cs="Times New Roman"/>
          <w:sz w:val="22"/>
          <w:szCs w:val="22"/>
        </w:rPr>
        <w:t xml:space="preserve">. </w:t>
      </w:r>
    </w:p>
    <w:p>
      <w:pPr>
        <w:spacing w:line="276" w:lineRule="auto"/>
        <w:jc w:val="both"/>
        <w:rPr>
          <w:rFonts w:cs="Times New Roman"/>
          <w:sz w:val="22"/>
          <w:szCs w:val="22"/>
        </w:rPr>
      </w:pPr>
      <w:r>
        <w:rPr>
          <w:rFonts w:cs="Times New Roman"/>
          <w:noProof/>
          <w:sz w:val="22"/>
          <w:szCs w:val="22"/>
        </w:rPr>
        <w:drawing>
          <wp:inline distT="0" distB="0" distL="0" distR="0">
            <wp:extent cx="5760720" cy="86410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 Table S1 Plant species composition and biomass.tiff"/>
                    <pic:cNvPicPr/>
                  </pic:nvPicPr>
                  <pic:blipFill>
                    <a:blip r:embed="rId18">
                      <a:extLst>
                        <a:ext uri="{28A0092B-C50C-407E-A947-70E740481C1C}">
                          <a14:useLocalDpi xmlns:a14="http://schemas.microsoft.com/office/drawing/2010/main" val="0"/>
                        </a:ext>
                      </a:extLst>
                    </a:blip>
                    <a:stretch>
                      <a:fillRect/>
                    </a:stretch>
                  </pic:blipFill>
                  <pic:spPr>
                    <a:xfrm>
                      <a:off x="0" y="0"/>
                      <a:ext cx="5760720" cy="8641080"/>
                    </a:xfrm>
                    <a:prstGeom prst="rect">
                      <a:avLst/>
                    </a:prstGeom>
                  </pic:spPr>
                </pic:pic>
              </a:graphicData>
            </a:graphic>
          </wp:inline>
        </w:drawing>
      </w:r>
    </w:p>
    <w:p>
      <w:pPr>
        <w:spacing w:after="0" w:line="276" w:lineRule="auto"/>
        <w:rPr>
          <w:rFonts w:cs="Times New Roman"/>
          <w:sz w:val="22"/>
          <w:szCs w:val="22"/>
        </w:rPr>
      </w:pPr>
      <w:r>
        <w:rPr>
          <w:rFonts w:cs="Times New Roman"/>
          <w:sz w:val="22"/>
          <w:szCs w:val="22"/>
        </w:rPr>
        <w:br w:type="page"/>
      </w:r>
    </w:p>
    <w:p>
      <w:pPr>
        <w:spacing w:line="276" w:lineRule="auto"/>
        <w:rPr>
          <w:rFonts w:cs="Times New Roman"/>
          <w:b/>
          <w:sz w:val="22"/>
          <w:szCs w:val="22"/>
        </w:rPr>
      </w:pPr>
      <w:r>
        <w:rPr>
          <w:rFonts w:cs="Times New Roman"/>
          <w:b/>
          <w:sz w:val="22"/>
          <w:szCs w:val="22"/>
        </w:rPr>
        <w:lastRenderedPageBreak/>
        <w:t>Table S2</w:t>
      </w:r>
    </w:p>
    <w:p>
      <w:pPr>
        <w:spacing w:line="276" w:lineRule="auto"/>
        <w:jc w:val="both"/>
        <w:rPr>
          <w:rFonts w:cs="Times New Roman"/>
          <w:sz w:val="22"/>
          <w:szCs w:val="22"/>
        </w:rPr>
      </w:pPr>
      <w:r>
        <w:rPr>
          <w:rFonts w:cs="Times New Roman"/>
          <w:b/>
          <w:sz w:val="22"/>
          <w:szCs w:val="22"/>
        </w:rPr>
        <w:t xml:space="preserve">Limit of detection (LOD) and protonated masses of the VOCs used to calibrate the PTR-ToF-MS. </w:t>
      </w:r>
      <w:r>
        <w:rPr>
          <w:rFonts w:cs="Times New Roman"/>
          <w:sz w:val="22"/>
          <w:szCs w:val="22"/>
        </w:rPr>
        <w:t xml:space="preserve">The standard mixture (Apel-Riemer Environmental, Denver, CO, USA) was diluted in a range of concentrations of 0-150 ppbv and passed through all the cuvette system (Supp. Figure S3). </w:t>
      </w:r>
    </w:p>
    <w:p>
      <w:pPr>
        <w:spacing w:line="276" w:lineRule="auto"/>
        <w:rPr>
          <w:rFonts w:cs="Times New Roman"/>
          <w:b/>
          <w:sz w:val="22"/>
          <w:szCs w:val="22"/>
        </w:rPr>
      </w:pPr>
      <w:r>
        <w:rPr>
          <w:rFonts w:cs="Times New Roman"/>
          <w:b/>
          <w:noProof/>
          <w:sz w:val="22"/>
          <w:szCs w:val="22"/>
        </w:rPr>
        <w:drawing>
          <wp:inline distT="0" distB="0" distL="0" distR="0">
            <wp:extent cx="4940300" cy="2330450"/>
            <wp:effectExtent l="0" t="0" r="0" b="0"/>
            <wp:docPr id="14" name="Picture 14" descr="D:\Seafile\My Library-1\work\PAPER\Meso\01_FIG\All_figures\Suppl_Table_PTR-ToF-MS_LOD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afile\My Library-1\work\PAPER\Meso\01_FIG\All_figures\Suppl_Table_PTR-ToF-MS_LODs.t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0300" cy="2330450"/>
                    </a:xfrm>
                    <a:prstGeom prst="rect">
                      <a:avLst/>
                    </a:prstGeom>
                    <a:noFill/>
                    <a:ln>
                      <a:noFill/>
                    </a:ln>
                  </pic:spPr>
                </pic:pic>
              </a:graphicData>
            </a:graphic>
          </wp:inline>
        </w:drawing>
      </w:r>
    </w:p>
    <w:p>
      <w:pPr>
        <w:spacing w:line="276" w:lineRule="auto"/>
        <w:rPr>
          <w:rFonts w:cs="Times New Roman"/>
          <w:b/>
          <w:sz w:val="22"/>
          <w:szCs w:val="22"/>
        </w:rPr>
      </w:pPr>
    </w:p>
    <w:p>
      <w:pPr>
        <w:spacing w:after="0" w:line="276" w:lineRule="auto"/>
        <w:rPr>
          <w:rFonts w:cs="Times New Roman"/>
          <w:b/>
          <w:sz w:val="22"/>
          <w:szCs w:val="22"/>
        </w:rPr>
      </w:pPr>
      <w:r>
        <w:rPr>
          <w:rFonts w:cs="Times New Roman"/>
          <w:b/>
          <w:sz w:val="22"/>
          <w:szCs w:val="22"/>
        </w:rPr>
        <w:br w:type="page"/>
      </w:r>
    </w:p>
    <w:p>
      <w:pPr>
        <w:spacing w:line="276" w:lineRule="auto"/>
        <w:rPr>
          <w:rFonts w:cs="Times New Roman"/>
          <w:b/>
          <w:sz w:val="22"/>
          <w:szCs w:val="22"/>
        </w:rPr>
      </w:pPr>
      <w:r>
        <w:rPr>
          <w:rFonts w:cs="Times New Roman"/>
          <w:b/>
          <w:sz w:val="22"/>
          <w:szCs w:val="22"/>
        </w:rPr>
        <w:lastRenderedPageBreak/>
        <w:t>Table S3</w:t>
      </w:r>
    </w:p>
    <w:p>
      <w:pPr>
        <w:spacing w:line="276" w:lineRule="auto"/>
        <w:jc w:val="both"/>
        <w:rPr>
          <w:rFonts w:cs="Times New Roman"/>
          <w:sz w:val="22"/>
          <w:szCs w:val="22"/>
        </w:rPr>
      </w:pPr>
      <w:r>
        <w:rPr>
          <w:rFonts w:cs="Times New Roman"/>
          <w:sz w:val="22"/>
          <w:szCs w:val="22"/>
        </w:rPr>
        <w:t>Emission rate normalized to ground area (GA) and chemical identification of VOCs.  Main effects of climate, mesocosm type (meso), and sampling times (morning, 09:45-10:45 or afternoon, 15:30-16:30 CET) are indicated with: *</w:t>
      </w:r>
      <w:r>
        <w:rPr>
          <w:rFonts w:cs="Times New Roman"/>
          <w:i/>
          <w:sz w:val="22"/>
          <w:szCs w:val="22"/>
        </w:rPr>
        <w:t>P</w:t>
      </w:r>
      <w:r>
        <w:rPr>
          <w:rFonts w:cs="Times New Roman"/>
          <w:sz w:val="22"/>
          <w:szCs w:val="22"/>
        </w:rPr>
        <w:t>&lt;0.05, **</w:t>
      </w:r>
      <w:r>
        <w:rPr>
          <w:rFonts w:cs="Times New Roman"/>
          <w:i/>
          <w:sz w:val="22"/>
          <w:szCs w:val="22"/>
        </w:rPr>
        <w:t>P</w:t>
      </w:r>
      <w:r>
        <w:rPr>
          <w:rFonts w:cs="Times New Roman"/>
          <w:sz w:val="22"/>
          <w:szCs w:val="22"/>
        </w:rPr>
        <w:t>&lt;0.01, ***</w:t>
      </w:r>
      <w:r>
        <w:rPr>
          <w:rFonts w:cs="Times New Roman"/>
          <w:i/>
          <w:sz w:val="22"/>
          <w:szCs w:val="22"/>
        </w:rPr>
        <w:t>P</w:t>
      </w:r>
      <w:r>
        <w:rPr>
          <w:rFonts w:cs="Times New Roman"/>
          <w:sz w:val="22"/>
          <w:szCs w:val="22"/>
        </w:rPr>
        <w:t>&lt;0.001. Means ± se (n = 9). B, ‘</w:t>
      </w:r>
      <w:r>
        <w:rPr>
          <w:rFonts w:cs="Times New Roman"/>
          <w:i/>
          <w:sz w:val="22"/>
          <w:szCs w:val="22"/>
        </w:rPr>
        <w:t>Betula</w:t>
      </w:r>
      <w:r>
        <w:rPr>
          <w:rFonts w:cs="Times New Roman"/>
          <w:sz w:val="22"/>
          <w:szCs w:val="22"/>
        </w:rPr>
        <w:t>’; S, ‘</w:t>
      </w:r>
      <w:r>
        <w:rPr>
          <w:rFonts w:cs="Times New Roman"/>
          <w:i/>
          <w:sz w:val="22"/>
          <w:szCs w:val="22"/>
        </w:rPr>
        <w:t>Salix</w:t>
      </w:r>
      <w:r>
        <w:rPr>
          <w:rFonts w:cs="Times New Roman"/>
          <w:sz w:val="22"/>
          <w:szCs w:val="22"/>
        </w:rPr>
        <w:t xml:space="preserve">’; C, control; W, warming. </w:t>
      </w:r>
    </w:p>
    <w:p>
      <w:pPr>
        <w:spacing w:line="276" w:lineRule="auto"/>
        <w:jc w:val="both"/>
        <w:rPr>
          <w:rFonts w:cs="Times New Roman"/>
          <w:sz w:val="22"/>
          <w:szCs w:val="22"/>
        </w:rPr>
      </w:pPr>
    </w:p>
    <w:p>
      <w:pPr>
        <w:spacing w:line="276" w:lineRule="auto"/>
        <w:rPr>
          <w:rFonts w:cs="Times New Roman"/>
          <w:sz w:val="22"/>
          <w:szCs w:val="22"/>
        </w:rPr>
      </w:pPr>
      <w:r>
        <w:rPr>
          <w:rFonts w:cs="Times New Roman"/>
          <w:noProof/>
          <w:sz w:val="22"/>
          <w:szCs w:val="22"/>
        </w:rPr>
        <w:drawing>
          <wp:inline distT="0" distB="0" distL="0" distR="0">
            <wp:extent cx="5562600" cy="5943600"/>
            <wp:effectExtent l="0" t="0" r="0" b="0"/>
            <wp:docPr id="9" name="Table GC identification_pre_lab_stat_pre+last_hr_part1+2.tif"/>
            <wp:cNvGraphicFramePr/>
            <a:graphic xmlns:a="http://schemas.openxmlformats.org/drawingml/2006/main">
              <a:graphicData uri="http://schemas.openxmlformats.org/drawingml/2006/picture">
                <pic:pic xmlns:pic="http://schemas.openxmlformats.org/drawingml/2006/picture">
                  <pic:nvPicPr>
                    <pic:cNvPr id="9" name="Table GC identification_pre_lab_stat_pre+last_hr_part1+2.tif"/>
                    <pic:cNvPicPr/>
                  </pic:nvPicPr>
                  <pic:blipFill>
                    <a:blip r:embed="rId20">
                      <a:extLst>
                        <a:ext uri="{28A0092B-C50C-407E-A947-70E740481C1C}">
                          <a14:useLocalDpi xmlns:a14="http://schemas.microsoft.com/office/drawing/2010/main" val="0"/>
                        </a:ext>
                      </a:extLst>
                    </a:blip>
                    <a:stretch>
                      <a:fillRect/>
                    </a:stretch>
                  </pic:blipFill>
                  <pic:spPr>
                    <a:xfrm>
                      <a:off x="0" y="0"/>
                      <a:ext cx="11701356" cy="12502819"/>
                    </a:xfrm>
                    <a:prstGeom prst="rect">
                      <a:avLst/>
                    </a:prstGeom>
                  </pic:spPr>
                </pic:pic>
              </a:graphicData>
            </a:graphic>
          </wp:inline>
        </w:drawing>
      </w:r>
    </w:p>
    <w:p>
      <w:pPr>
        <w:spacing w:line="276" w:lineRule="auto"/>
        <w:jc w:val="both"/>
        <w:rPr>
          <w:rFonts w:cs="Times New Roman"/>
          <w:sz w:val="22"/>
          <w:szCs w:val="22"/>
        </w:rPr>
      </w:pPr>
    </w:p>
    <w:sectPr>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A1MzUzNjQwMzU3N7ZQ0lEKTi0uzszPAykwMagFAFnWYu0tAAAA"/>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B96BEE7-4400-4505-A2C9-1EE36960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heme="majorBidi"/>
        <w:sz w:val="24"/>
        <w:szCs w:val="28"/>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lang w:val="en-US"/>
    </w:rPr>
  </w:style>
  <w:style w:type="paragraph" w:styleId="Heading1">
    <w:name w:val="heading 1"/>
    <w:basedOn w:val="Normal"/>
    <w:next w:val="Normal"/>
    <w:link w:val="Heading1Char"/>
    <w:uiPriority w:val="9"/>
    <w:qFormat/>
    <w:pPr>
      <w:spacing w:after="200" w:line="276" w:lineRule="auto"/>
      <w:outlineLvl w:val="0"/>
    </w:pPr>
    <w:rPr>
      <w:b/>
    </w:rPr>
  </w:style>
  <w:style w:type="paragraph" w:styleId="Heading2">
    <w:name w:val="heading 2"/>
    <w:basedOn w:val="Normal"/>
    <w:next w:val="Normal"/>
    <w:link w:val="Heading2Char"/>
    <w:uiPriority w:val="9"/>
    <w:unhideWhenUsed/>
    <w:qFormat/>
    <w:pPr>
      <w:keepNext/>
      <w:keepLines/>
      <w:spacing w:before="200" w:after="0" w:line="360" w:lineRule="auto"/>
      <w:outlineLvl w:val="1"/>
    </w:pPr>
    <w:rPr>
      <w:rFonts w:eastAsiaTheme="majorEastAs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b/>
    </w:rPr>
  </w:style>
  <w:style w:type="character" w:customStyle="1" w:styleId="Heading2Char">
    <w:name w:val="Heading 2 Char"/>
    <w:basedOn w:val="DefaultParagraphFont"/>
    <w:link w:val="Heading2"/>
    <w:uiPriority w:val="9"/>
    <w:rPr>
      <w:rFonts w:eastAsiaTheme="majorEastAsia" w:cs="Times New Roman"/>
      <w:b/>
      <w:bCs/>
      <w:sz w:val="26"/>
      <w:szCs w:val="26"/>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200" w:line="240" w:lineRule="auto"/>
    </w:pPr>
    <w:rPr>
      <w:rFonts w:eastAsiaTheme="minorHAnsi" w:cs="Times New Roman"/>
      <w:sz w:val="20"/>
      <w:szCs w:val="20"/>
    </w:rPr>
  </w:style>
  <w:style w:type="character" w:customStyle="1" w:styleId="CommentTextChar">
    <w:name w:val="Comment Text Char"/>
    <w:basedOn w:val="DefaultParagraphFont"/>
    <w:link w:val="CommentText"/>
    <w:uiPriority w:val="99"/>
    <w:rPr>
      <w:rFonts w:eastAsiaTheme="minorHAnsi" w:cs="Times New Roman"/>
      <w:sz w:val="20"/>
      <w:szCs w:val="20"/>
      <w:lang w:val="en-U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US"/>
    </w:rPr>
  </w:style>
  <w:style w:type="paragraph" w:styleId="CommentSubject">
    <w:name w:val="annotation subject"/>
    <w:basedOn w:val="CommentText"/>
    <w:next w:val="CommentText"/>
    <w:link w:val="CommentSubjectChar"/>
    <w:uiPriority w:val="99"/>
    <w:semiHidden/>
    <w:unhideWhenUsed/>
    <w:pPr>
      <w:spacing w:after="160"/>
    </w:pPr>
    <w:rPr>
      <w:rFonts w:eastAsia="Calibri" w:cstheme="majorBidi"/>
      <w:b/>
      <w:bCs/>
    </w:rPr>
  </w:style>
  <w:style w:type="character" w:customStyle="1" w:styleId="CommentSubjectChar">
    <w:name w:val="Comment Subject Char"/>
    <w:basedOn w:val="CommentTextChar"/>
    <w:link w:val="CommentSubject"/>
    <w:uiPriority w:val="99"/>
    <w:semiHidden/>
    <w:rPr>
      <w:rFonts w:eastAsiaTheme="minorHAnsi" w:cs="Times New Roman"/>
      <w:b/>
      <w:bCs/>
      <w:sz w:val="20"/>
      <w:szCs w:val="20"/>
      <w:lang w:val="en-US"/>
    </w:rPr>
  </w:style>
  <w:style w:type="character" w:styleId="Hyperlink">
    <w:name w:val="Hyperlink"/>
    <w:basedOn w:val="DefaultParagraphFont"/>
    <w:uiPriority w:val="99"/>
    <w:unhideWhenUsed/>
    <w:rPr>
      <w:color w:val="0000FF" w:themeColor="hyperlink"/>
      <w:u w:val="single"/>
    </w:rPr>
  </w:style>
  <w:style w:type="paragraph" w:customStyle="1" w:styleId="Paragraph">
    <w:name w:val="Paragraph"/>
    <w:basedOn w:val="Normal"/>
    <w:pPr>
      <w:spacing w:before="120" w:after="0" w:line="240" w:lineRule="auto"/>
      <w:ind w:firstLine="720"/>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18" Type="http://schemas.openxmlformats.org/officeDocument/2006/relationships/image" Target="media/image14.tif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tif"/><Relationship Id="rId12" Type="http://schemas.openxmlformats.org/officeDocument/2006/relationships/image" Target="media/image8.tiff"/><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tiff"/><Relationship Id="rId20" Type="http://schemas.openxmlformats.org/officeDocument/2006/relationships/image" Target="media/image16.tif"/><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image" Target="media/image11.tiff"/><Relationship Id="rId10" Type="http://schemas.openxmlformats.org/officeDocument/2006/relationships/image" Target="media/image6.tiff"/><Relationship Id="rId19" Type="http://schemas.openxmlformats.org/officeDocument/2006/relationships/image" Target="media/image15.tiff"/><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image" Target="media/image10.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B7DF2-9F73-4EEB-9C00-6CD0D35A1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2036</Words>
  <Characters>11609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Helmholtz Zentrum München</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andrea.ghirardo</dc:creator>
  <cp:keywords/>
  <dc:description/>
  <cp:lastModifiedBy>andrea.ghirardo</cp:lastModifiedBy>
  <cp:revision>6</cp:revision>
  <dcterms:created xsi:type="dcterms:W3CDTF">2019-11-18T18:00:00Z</dcterms:created>
  <dcterms:modified xsi:type="dcterms:W3CDTF">2019-11-18T18:14:00Z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http://www.zotero.org/styles/atmospheric-environment</vt:lpwstr>
  </property>
  <property fmtid="{D5CDD505-2E9C-101B-9397-08002B2CF9AE}" pid="5" name="Mendeley Recent Style Name 1_1">
    <vt:lpwstr>Atmospheric Environment</vt:lpwstr>
  </property>
  <property fmtid="{D5CDD505-2E9C-101B-9397-08002B2CF9AE}" pid="6" name="Mendeley Recent Style Id 2_1">
    <vt:lpwstr>http://www.zotero.org/styles/frontiers-in-plant-science</vt:lpwstr>
  </property>
  <property fmtid="{D5CDD505-2E9C-101B-9397-08002B2CF9AE}" pid="7" name="Mendeley Recent Style Name 2_1">
    <vt:lpwstr>Frontiers in Plant Science</vt:lpwstr>
  </property>
  <property fmtid="{D5CDD505-2E9C-101B-9397-08002B2CF9AE}" pid="8" name="Mendeley Recent Style Id 3_1">
    <vt:lpwstr>http://www.zotero.org/styles/global-change-biology</vt:lpwstr>
  </property>
  <property fmtid="{D5CDD505-2E9C-101B-9397-08002B2CF9AE}" pid="9" name="Mendeley Recent Style Name 3_1">
    <vt:lpwstr>Global Change Biology</vt:lpwstr>
  </property>
  <property fmtid="{D5CDD505-2E9C-101B-9397-08002B2CF9AE}" pid="10" name="Mendeley Recent Style Id 4_1">
    <vt:lpwstr>http://www.zotero.org/styles/journal-of-proteome-research</vt:lpwstr>
  </property>
  <property fmtid="{D5CDD505-2E9C-101B-9397-08002B2CF9AE}" pid="11" name="Mendeley Recent Style Name 4_1">
    <vt:lpwstr>Journal of Proteome Research</vt:lpwstr>
  </property>
  <property fmtid="{D5CDD505-2E9C-101B-9397-08002B2CF9AE}" pid="12" name="Mendeley Recent Style Id 5_1">
    <vt:lpwstr>http://www.zotero.org/styles/new-phytologist</vt:lpwstr>
  </property>
  <property fmtid="{D5CDD505-2E9C-101B-9397-08002B2CF9AE}" pid="13" name="Mendeley Recent Style Name 5_1">
    <vt:lpwstr>New Phytologist</vt:lpwstr>
  </property>
  <property fmtid="{D5CDD505-2E9C-101B-9397-08002B2CF9AE}" pid="14" name="Mendeley Recent Style Id 6_1">
    <vt:lpwstr>http://www.zotero.org/styles/plant-physiology</vt:lpwstr>
  </property>
  <property fmtid="{D5CDD505-2E9C-101B-9397-08002B2CF9AE}" pid="15" name="Mendeley Recent Style Name 6_1">
    <vt:lpwstr>Plant Physiology</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http://www.zotero.org/styles/tree-physiology</vt:lpwstr>
  </property>
  <property fmtid="{D5CDD505-2E9C-101B-9397-08002B2CF9AE}" pid="21" name="Mendeley Recent Style Name 9_1">
    <vt:lpwstr>Tree Physiology</vt:lpwstr>
  </property>
  <property fmtid="{D5CDD505-2E9C-101B-9397-08002B2CF9AE}" pid="22" name="ContentRemapped">
    <vt:lpwstr>true</vt:lpwstr>
  </property>
</Properties>
</file>