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r>
        <w:t>Figure 2: Time (in months) to first non-ILD hospitalisation stratified by entity</w:t>
      </w:r>
    </w:p>
    <w:p>
      <w:bookmarkStart w:id="0" w:name="_GoBack"/>
      <w:r>
        <w:rPr>
          <w:noProof/>
          <w:lang w:val="en-US"/>
        </w:rPr>
        <w:drawing>
          <wp:inline distT="0" distB="0" distL="0" distR="0">
            <wp:extent cx="5943600" cy="5804535"/>
            <wp:effectExtent l="0" t="0" r="0" b="571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ppendix figure 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80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63FA34-EEFB-4952-A816-715E6F10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Witt, Sabine</dc:creator>
  <cp:keywords/>
  <dc:description/>
  <cp:lastModifiedBy>Witt, Sabine</cp:lastModifiedBy>
  <cp:revision>1</cp:revision>
  <dcterms:created xsi:type="dcterms:W3CDTF">2020-02-18T11:27:00Z</dcterms:created>
  <dcterms:modified xsi:type="dcterms:W3CDTF">2020-02-18T11:28:00Z</dcterms:modified>
</cp:coreProperties>
</file>