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534AC" w14:textId="77777777" w:rsidR="00352735" w:rsidRDefault="00212F11">
      <w:pPr>
        <w:spacing w:line="360" w:lineRule="auto"/>
        <w:rPr>
          <w:sz w:val="32"/>
          <w:szCs w:val="36"/>
        </w:rPr>
      </w:pPr>
      <w:r>
        <w:rPr>
          <w:sz w:val="32"/>
          <w:szCs w:val="36"/>
        </w:rPr>
        <w:t>Supplementary Information for</w:t>
      </w:r>
    </w:p>
    <w:p w14:paraId="78A27A34" w14:textId="77777777" w:rsidR="00352735" w:rsidRDefault="00352735">
      <w:pPr>
        <w:spacing w:line="360" w:lineRule="auto"/>
        <w:rPr>
          <w:sz w:val="22"/>
        </w:rPr>
      </w:pPr>
    </w:p>
    <w:p w14:paraId="0C372749" w14:textId="77777777" w:rsidR="00352735" w:rsidRDefault="00212F11">
      <w:pPr>
        <w:pStyle w:val="Heading1"/>
        <w:spacing w:line="360" w:lineRule="auto"/>
      </w:pPr>
      <w:r>
        <w:t>Soft Ultrasound Priors in Optoacoustic Reconstruction: Improving Clinical Vascular Imaging</w:t>
      </w:r>
    </w:p>
    <w:p w14:paraId="3AEAE1E1" w14:textId="77777777" w:rsidR="00352735" w:rsidRDefault="00352735">
      <w:pPr>
        <w:spacing w:line="360" w:lineRule="auto"/>
        <w:rPr>
          <w:szCs w:val="28"/>
        </w:rPr>
      </w:pPr>
    </w:p>
    <w:p w14:paraId="5FE83DB8" w14:textId="77777777" w:rsidR="00352735" w:rsidRDefault="00212F11">
      <w:pPr>
        <w:spacing w:line="360" w:lineRule="auto"/>
        <w:rPr>
          <w:sz w:val="22"/>
          <w:szCs w:val="22"/>
          <w:vertAlign w:val="superscript"/>
          <w:lang w:val="de-DE"/>
        </w:rPr>
      </w:pPr>
      <w:r>
        <w:rPr>
          <w:lang w:val="de-DE"/>
        </w:rPr>
        <w:t>Hong Yang, Dominik Jüstel, Jaya Prakash, Angelos Karlas, Anne Helfen, Max Masthoff, Moritz Wildgruber, Vasilis Ntziachristos *</w:t>
      </w:r>
    </w:p>
    <w:p w14:paraId="6B949289" w14:textId="77777777" w:rsidR="00352735" w:rsidRDefault="00352735">
      <w:pPr>
        <w:spacing w:line="360" w:lineRule="auto"/>
        <w:rPr>
          <w:sz w:val="22"/>
          <w:szCs w:val="22"/>
          <w:lang w:val="de-DE"/>
        </w:rPr>
      </w:pPr>
    </w:p>
    <w:p w14:paraId="3DC671AE" w14:textId="77777777" w:rsidR="00352735" w:rsidRDefault="00212F11">
      <w:pPr>
        <w:pStyle w:val="Paragraph"/>
        <w:spacing w:before="0" w:line="360" w:lineRule="auto"/>
        <w:ind w:firstLine="0"/>
        <w:rPr>
          <w:sz w:val="22"/>
          <w:szCs w:val="22"/>
        </w:rPr>
      </w:pPr>
      <w:r>
        <w:rPr>
          <w:sz w:val="22"/>
          <w:szCs w:val="22"/>
          <w:vertAlign w:val="superscript"/>
        </w:rPr>
        <w:t>*</w:t>
      </w:r>
      <w:r>
        <w:rPr>
          <w:sz w:val="22"/>
          <w:szCs w:val="22"/>
        </w:rPr>
        <w:t>Correspondence should be addressed to V.N. (</w:t>
      </w:r>
      <w:bookmarkStart w:id="0" w:name="_Hlk513045560"/>
      <w:r>
        <w:t>v.ntziachristos@tum.de</w:t>
      </w:r>
      <w:bookmarkEnd w:id="0"/>
      <w:r>
        <w:rPr>
          <w:sz w:val="22"/>
          <w:szCs w:val="22"/>
        </w:rPr>
        <w:t>).</w:t>
      </w:r>
    </w:p>
    <w:p w14:paraId="0103E6DF" w14:textId="77777777" w:rsidR="00352735" w:rsidRDefault="00352735">
      <w:pPr>
        <w:spacing w:line="360" w:lineRule="auto"/>
        <w:rPr>
          <w:sz w:val="22"/>
          <w:szCs w:val="22"/>
        </w:rPr>
      </w:pPr>
    </w:p>
    <w:p w14:paraId="0DBCB781" w14:textId="77777777" w:rsidR="00352735" w:rsidRDefault="00212F11">
      <w:pPr>
        <w:spacing w:line="360" w:lineRule="auto"/>
        <w:rPr>
          <w:sz w:val="32"/>
          <w:szCs w:val="36"/>
        </w:rPr>
      </w:pPr>
      <w:r>
        <w:rPr>
          <w:sz w:val="32"/>
          <w:szCs w:val="36"/>
        </w:rPr>
        <w:t>This SI file includes:</w:t>
      </w:r>
    </w:p>
    <w:p w14:paraId="1BD89613" w14:textId="77777777" w:rsidR="00357431" w:rsidRDefault="00357431" w:rsidP="00C55979">
      <w:pPr>
        <w:spacing w:after="240" w:line="360" w:lineRule="auto"/>
        <w:rPr>
          <w:rFonts w:eastAsia="Times New Roman"/>
          <w:color w:val="0070C0"/>
          <w:sz w:val="20"/>
          <w:szCs w:val="22"/>
        </w:rPr>
      </w:pPr>
      <w:r>
        <w:rPr>
          <w:rFonts w:eastAsia="Times New Roman"/>
          <w:color w:val="0070C0"/>
          <w:sz w:val="20"/>
          <w:szCs w:val="22"/>
        </w:rPr>
        <w:t>Supplementary Figure S</w:t>
      </w:r>
      <w:r w:rsidR="00C55979">
        <w:rPr>
          <w:rFonts w:eastAsia="Times New Roman"/>
          <w:color w:val="0070C0"/>
          <w:sz w:val="20"/>
          <w:szCs w:val="22"/>
        </w:rPr>
        <w:t>1</w:t>
      </w:r>
      <w:r>
        <w:rPr>
          <w:rFonts w:eastAsia="Times New Roman"/>
          <w:color w:val="0070C0"/>
          <w:sz w:val="20"/>
          <w:szCs w:val="22"/>
        </w:rPr>
        <w:t>. SSIM of reconstructed images from noise-distorted input image.</w:t>
      </w:r>
    </w:p>
    <w:p w14:paraId="5F021D72" w14:textId="77777777" w:rsidR="00357431" w:rsidRDefault="00357431" w:rsidP="00C55979">
      <w:pPr>
        <w:spacing w:after="240" w:line="360" w:lineRule="auto"/>
        <w:rPr>
          <w:rFonts w:eastAsia="Times New Roman"/>
          <w:color w:val="0070C0"/>
          <w:sz w:val="20"/>
          <w:szCs w:val="22"/>
        </w:rPr>
      </w:pPr>
      <w:r>
        <w:rPr>
          <w:rFonts w:eastAsia="Times New Roman"/>
          <w:color w:val="0070C0"/>
          <w:sz w:val="20"/>
          <w:szCs w:val="22"/>
        </w:rPr>
        <w:t>Supplementary Table I. SSIM with different k1 and k2 with ground truth image degraded by noise.</w:t>
      </w:r>
    </w:p>
    <w:p w14:paraId="6F308BFE" w14:textId="77777777" w:rsidR="00352735" w:rsidRDefault="00212F11">
      <w:pPr>
        <w:spacing w:after="240" w:line="360" w:lineRule="auto"/>
        <w:ind w:left="3060" w:hanging="3060"/>
        <w:rPr>
          <w:b/>
          <w:sz w:val="22"/>
          <w:szCs w:val="24"/>
        </w:rPr>
      </w:pPr>
      <w:r>
        <w:br w:type="page"/>
      </w:r>
    </w:p>
    <w:p w14:paraId="3477953F" w14:textId="77777777" w:rsidR="00352735" w:rsidRDefault="00357431">
      <w:pPr>
        <w:pStyle w:val="Head2"/>
        <w:spacing w:line="360" w:lineRule="auto"/>
        <w:rPr>
          <w:b/>
          <w:sz w:val="28"/>
        </w:rPr>
      </w:pPr>
      <w:r>
        <w:rPr>
          <w:b/>
          <w:sz w:val="28"/>
        </w:rPr>
        <w:lastRenderedPageBreak/>
        <w:t>1</w:t>
      </w:r>
      <w:r w:rsidR="00212F11">
        <w:rPr>
          <w:b/>
          <w:sz w:val="28"/>
        </w:rPr>
        <w:t>. Structural similarity index</w:t>
      </w:r>
    </w:p>
    <w:p w14:paraId="6AA56308" w14:textId="77777777" w:rsidR="00352735" w:rsidRDefault="00212F11">
      <w:pPr>
        <w:pStyle w:val="Head2"/>
        <w:spacing w:line="360" w:lineRule="auto"/>
      </w:pPr>
      <w:r>
        <w:t xml:space="preserve">Because of the limited-view detection geometry of a handheld OPUS system, the boundary of a structure cannot be resolved in the reconstructed image in locations where the normal at the boundary does not intersect the transducer array. Due to this information loss, the reconstructed images suffer from blurred boundaries and stripe/streak artefacts </w:t>
      </w:r>
      <w:r>
        <w:fldChar w:fldCharType="begin"/>
      </w:r>
      <w:r w:rsidR="0067135B">
        <w:instrText xml:space="preserve"> ADDIN EN.CITE &lt;EndNote&gt;&lt;Cite&gt;&lt;Author&gt;Deán-Ben&lt;/Author&gt;&lt;Year&gt;2015&lt;/Year&gt;&lt;RecNum&gt;114&lt;/RecNum&gt;&lt;DisplayText&gt;[1, 2]&lt;/DisplayText&gt;&lt;record&gt;&lt;rec-number&gt;114&lt;/rec-number&gt;&lt;foreign-keys&gt;&lt;key app="EN" db-id="vdezf5pszse2vme950w5xtzm59zpdrsf5tww" timestamp="0"&gt;114&lt;/key&gt;&lt;/foreign-keys&gt;&lt;ref-type name="Journal Article"&gt;17&lt;/ref-type&gt;&lt;contributors&gt;&lt;authors&gt;&lt;author&gt;Deán-Ben, X Luıs&lt;/author&gt;&lt;author&gt;Ding, Lu&lt;/author&gt;&lt;author&gt;Razansky, Daniel&lt;/author&gt;&lt;/authors&gt;&lt;/contributors&gt;&lt;titles&gt;&lt;title&gt;Dynamic particle enhancement in limited-view optoacoustic tomography&lt;/title&gt;&lt;secondary-title&gt;arXiv preprint arXiv:1512.03289&lt;/secondary-title&gt;&lt;/titles&gt;&lt;dates&gt;&lt;year&gt;2015&lt;/year&gt;&lt;/dates&gt;&lt;urls&gt;&lt;/urls&gt;&lt;/record&gt;&lt;/Cite&gt;&lt;Cite&gt;&lt;Author&gt;Buehler&lt;/Author&gt;&lt;Year&gt;2011&lt;/Year&gt;&lt;RecNum&gt;108&lt;/RecNum&gt;&lt;record&gt;&lt;rec-number&gt;108&lt;/rec-number&gt;&lt;foreign-keys&gt;&lt;key app="EN" db-id="5rz5vrps8p9zz8ezaadper5zs9zd0sx0prfd" timestamp="1491986061"&gt;108&lt;/key&gt;&lt;/foreign-keys&gt;&lt;ref-type name="Journal Article"&gt;17&lt;/ref-type&gt;&lt;contributors&gt;&lt;authors&gt;&lt;author&gt;Buehler, Andreas&lt;/author&gt;&lt;author&gt;Ros</w:instrText>
      </w:r>
      <w:r w:rsidR="0067135B">
        <w:rPr>
          <w:rFonts w:hint="eastAsia"/>
        </w:rPr>
        <w:instrText>enthal, Amir&lt;/author&gt;&lt;author&gt;Jetzfellner, Thomas&lt;/author&gt;&lt;author&gt;Dima, Alexander&lt;/author&gt;&lt;author&gt;Razansky, Daniel&lt;/author&gt;&lt;author&gt;Ntziachristos, Vasilis&lt;/author&gt;&lt;/authors&gt;&lt;/contributors&gt;&lt;titles&gt;&lt;title&gt;Model</w:instrText>
      </w:r>
      <w:r w:rsidR="0067135B">
        <w:rPr>
          <w:rFonts w:hint="eastAsia"/>
        </w:rPr>
        <w:instrText>‐</w:instrText>
      </w:r>
      <w:r w:rsidR="0067135B">
        <w:rPr>
          <w:rFonts w:hint="eastAsia"/>
        </w:rPr>
        <w:instrText>based optoacoustic inversions with incomplete pr</w:instrText>
      </w:r>
      <w:r w:rsidR="0067135B">
        <w:instrText>ojection data&lt;/title&gt;&lt;secondary-title&gt;Medical physics&lt;/secondary-title&gt;&lt;/titles&gt;&lt;periodical&gt;&lt;full-title&gt;Medical physics&lt;/full-title&gt;&lt;/periodical&gt;&lt;pages&gt;1694-1704&lt;/pages&gt;&lt;volume&gt;38&lt;/volume&gt;&lt;number&gt;3&lt;/number&gt;&lt;dates&gt;&lt;year&gt;2011&lt;/year&gt;&lt;/dates&gt;&lt;isbn&gt;2473-4209&lt;/isbn&gt;&lt;urls&gt;&lt;/urls&gt;&lt;/record&gt;&lt;/Cite&gt;&lt;/EndNote&gt;</w:instrText>
      </w:r>
      <w:r>
        <w:fldChar w:fldCharType="separate"/>
      </w:r>
      <w:r w:rsidR="0067135B">
        <w:rPr>
          <w:noProof/>
        </w:rPr>
        <w:t>[1, 2]</w:t>
      </w:r>
      <w:r>
        <w:fldChar w:fldCharType="end"/>
      </w:r>
      <w:r>
        <w:t>, which can be well quantified by the structural similarity (SSIM) index.</w:t>
      </w:r>
    </w:p>
    <w:p w14:paraId="65D51F3E" w14:textId="77777777" w:rsidR="00352735" w:rsidRDefault="00212F11">
      <w:pPr>
        <w:pStyle w:val="Head2"/>
        <w:spacing w:line="360" w:lineRule="auto"/>
      </w:pPr>
      <w:r>
        <w:t xml:space="preserve">SSIM is an objective image quality metric and commonly used to estimate the perceived quality of digital images by measuring the similarity between two images. It is a standard tool in image processing </w:t>
      </w:r>
      <w:r>
        <w:fldChar w:fldCharType="begin"/>
      </w:r>
      <w:r w:rsidR="0067135B">
        <w:instrText xml:space="preserve"> ADDIN EN.CITE &lt;EndNote&gt;&lt;Cite&gt;&lt;Author&gt;Wang&lt;/Author&gt;&lt;Year&gt;2004&lt;/Year&gt;&lt;RecNum&gt;223&lt;/RecNum&gt;&lt;DisplayText&gt;[3]&lt;/DisplayText&gt;&lt;record&gt;&lt;rec-number&gt;223&lt;/rec-number&gt;&lt;foreign-keys&gt;&lt;key app="EN" db-id="vdezf5pszse2vme950w5xtzm59zpdrsf5tww" timestamp="0"&gt;223&lt;/key&gt;&lt;/foreign-keys&gt;&lt;ref-type name="Journal Article"&gt;17&lt;/ref-type&gt;&lt;contributors&gt;&lt;authors&gt;&lt;author&gt;Wang, Zhou&lt;/author&gt;&lt;author&gt;Bovik, Alan C&lt;/author&gt;&lt;author&gt;Sheikh, Hamid R&lt;/author&gt;&lt;author&gt;Simoncelli, Eero P&lt;/author&gt;&lt;/authors&gt;&lt;/contributors&gt;&lt;titles&gt;&lt;title&gt;Image quality assessment: from error visibility to structural similarity&lt;/title&gt;&lt;secondary-title&gt;IEEE transactions on image processing&lt;/secondary-title&gt;&lt;/titles&gt;&lt;pages&gt;600-612&lt;/pages&gt;&lt;volume&gt;13&lt;/volume&gt;&lt;number&gt;4&lt;/number&gt;&lt;dates&gt;&lt;year&gt;2004&lt;/year&gt;&lt;/dates&gt;&lt;isbn&gt;1057-7149&lt;/isbn&gt;&lt;urls&gt;&lt;/urls&gt;&lt;/record&gt;&lt;/Cite&gt;&lt;/EndNote&gt;</w:instrText>
      </w:r>
      <w:r>
        <w:fldChar w:fldCharType="separate"/>
      </w:r>
      <w:r w:rsidR="0067135B">
        <w:rPr>
          <w:noProof/>
        </w:rPr>
        <w:t>[3]</w:t>
      </w:r>
      <w:r>
        <w:fldChar w:fldCharType="end"/>
      </w:r>
      <w:r>
        <w:t xml:space="preserve">. Comparing to other image quality metrics, such as mean squared error (MSE) and peak signal-to-noise ratio (PSNR), SSIM is a full-reference method and puts more emphasis on the comparison of the structures in a distorted image and in the reference image </w:t>
      </w:r>
      <w:r>
        <w:fldChar w:fldCharType="begin"/>
      </w:r>
      <w:r w:rsidR="0067135B">
        <w:instrText xml:space="preserve"> ADDIN EN.CITE &lt;EndNote&gt;&lt;Cite&gt;&lt;Author&gt;Wang&lt;/Author&gt;&lt;Year&gt;2004&lt;/Year&gt;&lt;RecNum&gt;223&lt;/RecNum&gt;&lt;DisplayText&gt;[3]&lt;/DisplayText&gt;&lt;record&gt;&lt;rec-number&gt;223&lt;/rec-number&gt;&lt;foreign-keys&gt;&lt;key app="EN" db-id="vdezf5pszse2vme950w5xtzm59zpdrsf5tww" timestamp="0"&gt;223&lt;/key&gt;&lt;/foreign-keys&gt;&lt;ref-type name="Journal Article"&gt;17&lt;/ref-type&gt;&lt;contributors&gt;&lt;authors&gt;&lt;author&gt;Wang, Zhou&lt;/author&gt;&lt;author&gt;Bovik, Alan C&lt;/author&gt;&lt;author&gt;Sheikh, Hamid R&lt;/author&gt;&lt;author&gt;Simoncelli, Eero P&lt;/author&gt;&lt;/authors&gt;&lt;/contributors&gt;&lt;titles&gt;&lt;title&gt;Image quality assessment: from error visibility to structural similarity&lt;/title&gt;&lt;secondary-title&gt;IEEE transactions on image processing&lt;/secondary-title&gt;&lt;/titles&gt;&lt;pages&gt;600-612&lt;/pages&gt;&lt;volume&gt;13&lt;/volume&gt;&lt;number&gt;4&lt;/number&gt;&lt;dates&gt;&lt;year&gt;2004&lt;/year&gt;&lt;/dates&gt;&lt;isbn&gt;1057-7149&lt;/isbn&gt;&lt;urls&gt;&lt;/urls&gt;&lt;/record&gt;&lt;/Cite&gt;&lt;/EndNote&gt;</w:instrText>
      </w:r>
      <w:r>
        <w:fldChar w:fldCharType="separate"/>
      </w:r>
      <w:r w:rsidR="0067135B">
        <w:rPr>
          <w:noProof/>
        </w:rPr>
        <w:t>[3]</w:t>
      </w:r>
      <w:r>
        <w:fldChar w:fldCharType="end"/>
      </w:r>
      <w:r>
        <w:t>. A distortion-free or ground truth image is necessary for the calculation of SSIM. The SSIM is calculated as</w:t>
      </w:r>
    </w:p>
    <w:p w14:paraId="3C1C7899" w14:textId="77777777" w:rsidR="00352735" w:rsidRDefault="00212F11">
      <w:pPr>
        <w:pStyle w:val="Head2"/>
        <w:spacing w:line="360" w:lineRule="auto"/>
      </w:pPr>
      <m:oMathPara>
        <m:oMath>
          <m:r>
            <w:rPr>
              <w:rFonts w:ascii="Cambria Math" w:hAnsi="Cambria Math" w:cs="Cambria Math"/>
            </w:rPr>
            <m:t>SSIM</m:t>
          </m:r>
          <m:r>
            <m:rPr>
              <m:sty m:val="p"/>
            </m:rPr>
            <w:rPr>
              <w:rFonts w:ascii="Cambria Math" w:hAnsi="Cambria Math" w:cs="Cambria Math"/>
            </w:rPr>
            <m:t>(</m:t>
          </m:r>
          <m:r>
            <w:rPr>
              <w:rFonts w:ascii="Cambria Math" w:hAnsi="Cambria Math" w:cs="Cambria Math"/>
            </w:rPr>
            <m:t>x</m:t>
          </m:r>
          <m:r>
            <m:rPr>
              <m:sty m:val="p"/>
            </m:rPr>
            <w:rPr>
              <w:rFonts w:ascii="Cambria Math" w:hAnsi="Cambria Math" w:cs="Cambria Math"/>
            </w:rPr>
            <m:t>,</m:t>
          </m:r>
          <m:r>
            <w:rPr>
              <w:rFonts w:ascii="Cambria Math" w:hAnsi="Cambria Math" w:cs="Cambria Math"/>
            </w:rPr>
            <m:t>y</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sSub>
                <m:sSubPr>
                  <m:ctrlPr>
                    <w:rPr>
                      <w:rFonts w:ascii="Cambria Math" w:hAnsi="Cambria Math"/>
                    </w:rPr>
                  </m:ctrlPr>
                </m:sSubPr>
                <m:e>
                  <m:r>
                    <m:rPr>
                      <m:sty m:val="p"/>
                    </m:rPr>
                    <w:rPr>
                      <w:rFonts w:ascii="Cambria Math" w:hAnsi="Cambria Math"/>
                    </w:rPr>
                    <m:t>2</m:t>
                  </m:r>
                  <m:r>
                    <w:rPr>
                      <w:rFonts w:ascii="Cambria Math" w:hAnsi="Cambria Math"/>
                    </w:rPr>
                    <m:t>μ</m:t>
                  </m:r>
                </m:e>
                <m:sub>
                  <m:r>
                    <w:rPr>
                      <w:rFonts w:ascii="Cambria Math" w:hAnsi="Cambria Math"/>
                    </w:rPr>
                    <m:t>x</m:t>
                  </m:r>
                </m:sub>
              </m:sSub>
              <m:sSub>
                <m:sSubPr>
                  <m:ctrlPr>
                    <w:rPr>
                      <w:rFonts w:ascii="Cambria Math" w:hAnsi="Cambria Math"/>
                    </w:rPr>
                  </m:ctrlPr>
                </m:sSubPr>
                <m:e>
                  <m:r>
                    <w:rPr>
                      <w:rFonts w:ascii="Cambria Math" w:hAnsi="Cambria Math"/>
                    </w:rPr>
                    <m:t>μ</m:t>
                  </m:r>
                </m:e>
                <m:sub>
                  <m:r>
                    <w:rPr>
                      <w:rFonts w:ascii="Cambria Math" w:hAnsi="Cambria Math"/>
                    </w:rPr>
                    <m:t>y</m:t>
                  </m:r>
                </m:sub>
              </m:sSub>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c</m:t>
                  </m:r>
                </m:e>
                <m:sub>
                  <m:r>
                    <m:rPr>
                      <m:sty m:val="p"/>
                    </m:rPr>
                    <w:rPr>
                      <w:rFonts w:ascii="Cambria Math" w:hAnsi="Cambria Math" w:cs="Cambria Math"/>
                    </w:rPr>
                    <m:t>1</m:t>
                  </m:r>
                </m:sub>
              </m:sSub>
              <m:r>
                <m:rPr>
                  <m:sty m:val="p"/>
                </m:rPr>
                <w:rPr>
                  <w:rFonts w:ascii="Cambria Math" w:hAnsi="Cambria Math" w:cs="Cambria Math"/>
                </w:rPr>
                <m:t>)(2</m:t>
              </m:r>
              <m:sSub>
                <m:sSubPr>
                  <m:ctrlPr>
                    <w:rPr>
                      <w:rFonts w:ascii="Cambria Math" w:hAnsi="Cambria Math"/>
                    </w:rPr>
                  </m:ctrlPr>
                </m:sSubPr>
                <m:e>
                  <m:r>
                    <w:rPr>
                      <w:rFonts w:ascii="Cambria Math" w:hAnsi="Cambria Math"/>
                    </w:rPr>
                    <m:t>σ</m:t>
                  </m:r>
                </m:e>
                <m:sub>
                  <m:r>
                    <w:rPr>
                      <w:rFonts w:ascii="Cambria Math" w:hAnsi="Cambria Math"/>
                    </w:rPr>
                    <m:t>xy</m:t>
                  </m:r>
                </m:sub>
              </m:sSub>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c</m:t>
                  </m:r>
                </m:e>
                <m:sub>
                  <m:r>
                    <m:rPr>
                      <m:sty m:val="p"/>
                    </m:rPr>
                    <w:rPr>
                      <w:rFonts w:ascii="Cambria Math" w:hAnsi="Cambria Math" w:cs="Cambria Math"/>
                    </w:rPr>
                    <m:t>2</m:t>
                  </m:r>
                </m:sub>
              </m:sSub>
              <m:r>
                <m:rPr>
                  <m:sty m:val="p"/>
                </m:rPr>
                <w:rPr>
                  <w:rFonts w:ascii="Cambria Math" w:hAnsi="Cambria Math" w:cs="Cambria Math"/>
                </w:rPr>
                <m:t>)</m:t>
              </m:r>
            </m:num>
            <m:den>
              <m:r>
                <m:rPr>
                  <m:sty m:val="p"/>
                </m:rPr>
                <w:rPr>
                  <w:rFonts w:ascii="Cambria Math" w:hAnsi="Cambria Math" w:cs="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μ</m:t>
                      </m:r>
                    </m:e>
                    <m:sub>
                      <m:r>
                        <w:rPr>
                          <w:rFonts w:ascii="Cambria Math" w:hAnsi="Cambria Math"/>
                        </w:rPr>
                        <m:t>x</m:t>
                      </m:r>
                    </m:sub>
                  </m:sSub>
                </m:e>
                <m:sup>
                  <m:r>
                    <m:rPr>
                      <m:sty m:val="p"/>
                    </m:rPr>
                    <w:rPr>
                      <w:rFonts w:ascii="Cambria Math" w:hAnsi="Cambria Math"/>
                    </w:rPr>
                    <m:t>2</m:t>
                  </m:r>
                </m:sup>
              </m:sSup>
              <m:r>
                <m:rPr>
                  <m:sty m:val="p"/>
                </m:rPr>
                <w:rPr>
                  <w:rFonts w:ascii="Cambria Math" w:hAnsi="Cambria Math" w:cs="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μ</m:t>
                      </m:r>
                    </m:e>
                    <m:sub>
                      <m:r>
                        <w:rPr>
                          <w:rFonts w:ascii="Cambria Math" w:hAnsi="Cambria Math"/>
                        </w:rPr>
                        <m:t>y</m:t>
                      </m:r>
                    </m:sub>
                  </m:sSub>
                </m:e>
                <m:sup>
                  <m:r>
                    <m:rPr>
                      <m:sty m:val="p"/>
                    </m:rPr>
                    <w:rPr>
                      <w:rFonts w:ascii="Cambria Math" w:hAnsi="Cambria Math"/>
                    </w:rPr>
                    <m:t>2</m:t>
                  </m:r>
                </m:sup>
              </m:sSup>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c</m:t>
                  </m:r>
                </m:e>
                <m:sub>
                  <m:r>
                    <m:rPr>
                      <m:sty m:val="p"/>
                    </m:rPr>
                    <w:rPr>
                      <w:rFonts w:ascii="Cambria Math" w:hAnsi="Cambria Math" w:cs="Cambria Math"/>
                    </w:rPr>
                    <m:t>1</m:t>
                  </m:r>
                </m:sub>
              </m:sSub>
              <m:r>
                <m:rPr>
                  <m:sty m:val="p"/>
                </m:rPr>
                <w:rPr>
                  <w:rFonts w:ascii="Cambria Math" w:hAnsi="Cambria Math" w:cs="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σ</m:t>
                      </m:r>
                    </m:e>
                    <m:sub>
                      <m:r>
                        <w:rPr>
                          <w:rFonts w:ascii="Cambria Math" w:hAnsi="Cambria Math"/>
                        </w:rPr>
                        <m:t>x</m:t>
                      </m:r>
                    </m:sub>
                  </m:sSub>
                </m:e>
                <m:sup>
                  <m:r>
                    <m:rPr>
                      <m:sty m:val="p"/>
                    </m:rPr>
                    <w:rPr>
                      <w:rFonts w:ascii="Cambria Math" w:hAnsi="Cambria Math"/>
                    </w:rPr>
                    <m:t>2</m:t>
                  </m:r>
                </m:sup>
              </m:sSup>
              <m:r>
                <m:rPr>
                  <m:sty m:val="p"/>
                </m:rPr>
                <w:rPr>
                  <w:rFonts w:ascii="Cambria Math" w:hAnsi="Cambria Math" w:cs="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σ</m:t>
                      </m:r>
                    </m:e>
                    <m:sub>
                      <m:r>
                        <w:rPr>
                          <w:rFonts w:ascii="Cambria Math" w:hAnsi="Cambria Math"/>
                        </w:rPr>
                        <m:t>y</m:t>
                      </m:r>
                    </m:sub>
                  </m:sSub>
                </m:e>
                <m:sup>
                  <m:r>
                    <m:rPr>
                      <m:sty m:val="p"/>
                    </m:rPr>
                    <w:rPr>
                      <w:rFonts w:ascii="Cambria Math" w:hAnsi="Cambria Math"/>
                    </w:rPr>
                    <m:t>2</m:t>
                  </m:r>
                </m:sup>
              </m:sSup>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c</m:t>
                  </m:r>
                </m:e>
                <m:sub>
                  <m:r>
                    <m:rPr>
                      <m:sty m:val="p"/>
                    </m:rPr>
                    <w:rPr>
                      <w:rFonts w:ascii="Cambria Math" w:hAnsi="Cambria Math" w:cs="Cambria Math"/>
                    </w:rPr>
                    <m:t>2</m:t>
                  </m:r>
                </m:sub>
              </m:sSub>
              <m:r>
                <m:rPr>
                  <m:sty m:val="p"/>
                </m:rPr>
                <w:rPr>
                  <w:rFonts w:ascii="Cambria Math" w:hAnsi="Cambria Math" w:cs="Cambria Math"/>
                </w:rPr>
                <m:t>)</m:t>
              </m:r>
            </m:den>
          </m:f>
        </m:oMath>
      </m:oMathPara>
    </w:p>
    <w:p w14:paraId="2B4B4EB7" w14:textId="77777777" w:rsidR="00352735" w:rsidRDefault="00212F11">
      <w:pPr>
        <w:pStyle w:val="Head2"/>
        <w:spacing w:line="360" w:lineRule="auto"/>
      </w:pPr>
      <w:r>
        <w:t xml:space="preserve">where </w:t>
      </w:r>
      <m:oMath>
        <m:sSub>
          <m:sSubPr>
            <m:ctrlPr>
              <w:rPr>
                <w:rFonts w:ascii="Cambria Math" w:hAnsi="Cambria Math"/>
              </w:rPr>
            </m:ctrlPr>
          </m:sSubPr>
          <m:e>
            <m:r>
              <w:rPr>
                <w:rFonts w:ascii="Cambria Math" w:hAnsi="Cambria Math"/>
              </w:rPr>
              <m:t>μ</m:t>
            </m:r>
          </m:e>
          <m:sub>
            <m:r>
              <w:rPr>
                <w:rFonts w:ascii="Cambria Math" w:hAnsi="Cambria Math"/>
              </w:rPr>
              <m:t>x</m:t>
            </m:r>
          </m:sub>
        </m:sSub>
      </m:oMath>
      <w:r>
        <w:t xml:space="preserve"> and </w:t>
      </w:r>
      <m:oMath>
        <m:sSup>
          <m:sSupPr>
            <m:ctrlPr>
              <w:rPr>
                <w:rFonts w:ascii="Cambria Math" w:hAnsi="Cambria Math"/>
              </w:rPr>
            </m:ctrlPr>
          </m:sSupPr>
          <m:e>
            <m:sSub>
              <m:sSubPr>
                <m:ctrlPr>
                  <w:rPr>
                    <w:rFonts w:ascii="Cambria Math" w:hAnsi="Cambria Math"/>
                  </w:rPr>
                </m:ctrlPr>
              </m:sSubPr>
              <m:e>
                <m:r>
                  <w:rPr>
                    <w:rFonts w:ascii="Cambria Math" w:hAnsi="Cambria Math"/>
                  </w:rPr>
                  <m:t>σ</m:t>
                </m:r>
              </m:e>
              <m:sub>
                <m:r>
                  <w:rPr>
                    <w:rFonts w:ascii="Cambria Math" w:hAnsi="Cambria Math"/>
                  </w:rPr>
                  <m:t>x</m:t>
                </m:r>
              </m:sub>
            </m:sSub>
          </m:e>
          <m:sup>
            <m:r>
              <m:rPr>
                <m:sty m:val="p"/>
              </m:rPr>
              <w:rPr>
                <w:rFonts w:ascii="Cambria Math" w:hAnsi="Cambria Math"/>
              </w:rPr>
              <m:t>2</m:t>
            </m:r>
          </m:sup>
        </m:sSup>
      </m:oMath>
      <w:r>
        <w:t xml:space="preserve"> are, respectively, the mean and variance of the reconstructed image </w:t>
      </w:r>
      <m:oMath>
        <m:r>
          <w:rPr>
            <w:rFonts w:ascii="Cambria Math" w:hAnsi="Cambria Math"/>
          </w:rPr>
          <m:t>x</m:t>
        </m:r>
      </m:oMath>
      <w:r>
        <w:t xml:space="preserve">, and </w:t>
      </w:r>
      <m:oMath>
        <m:sSub>
          <m:sSubPr>
            <m:ctrlPr>
              <w:rPr>
                <w:rFonts w:ascii="Cambria Math" w:hAnsi="Cambria Math"/>
              </w:rPr>
            </m:ctrlPr>
          </m:sSubPr>
          <m:e>
            <m:r>
              <w:rPr>
                <w:rFonts w:ascii="Cambria Math" w:hAnsi="Cambria Math"/>
              </w:rPr>
              <m:t>μ</m:t>
            </m:r>
          </m:e>
          <m:sub>
            <m:r>
              <w:rPr>
                <w:rFonts w:ascii="Cambria Math" w:hAnsi="Cambria Math"/>
              </w:rPr>
              <m:t>y</m:t>
            </m:r>
          </m:sub>
        </m:sSub>
      </m:oMath>
      <w:r>
        <w:t xml:space="preserve"> and </w:t>
      </w:r>
      <m:oMath>
        <m:sSup>
          <m:sSupPr>
            <m:ctrlPr>
              <w:rPr>
                <w:rFonts w:ascii="Cambria Math" w:hAnsi="Cambria Math"/>
              </w:rPr>
            </m:ctrlPr>
          </m:sSupPr>
          <m:e>
            <m:sSub>
              <m:sSubPr>
                <m:ctrlPr>
                  <w:rPr>
                    <w:rFonts w:ascii="Cambria Math" w:hAnsi="Cambria Math"/>
                  </w:rPr>
                </m:ctrlPr>
              </m:sSubPr>
              <m:e>
                <m:r>
                  <w:rPr>
                    <w:rFonts w:ascii="Cambria Math" w:hAnsi="Cambria Math"/>
                  </w:rPr>
                  <m:t>σ</m:t>
                </m:r>
              </m:e>
              <m:sub>
                <m:r>
                  <w:rPr>
                    <w:rFonts w:ascii="Cambria Math" w:hAnsi="Cambria Math"/>
                  </w:rPr>
                  <m:t>y</m:t>
                </m:r>
              </m:sub>
            </m:sSub>
          </m:e>
          <m:sup>
            <m:r>
              <m:rPr>
                <m:sty m:val="p"/>
              </m:rPr>
              <w:rPr>
                <w:rFonts w:ascii="Cambria Math" w:hAnsi="Cambria Math"/>
              </w:rPr>
              <m:t>2</m:t>
            </m:r>
          </m:sup>
        </m:sSup>
      </m:oMath>
      <w:r>
        <w:t xml:space="preserve"> are, respectively, the mean and variance of the reference (ground truth) image </w:t>
      </w:r>
      <m:oMath>
        <m:r>
          <w:rPr>
            <w:rFonts w:ascii="Cambria Math" w:hAnsi="Cambria Math"/>
          </w:rPr>
          <m:t>y</m:t>
        </m:r>
      </m:oMath>
      <w:r>
        <w:t xml:space="preserve">. The variable </w:t>
      </w:r>
      <m:oMath>
        <m:sSub>
          <m:sSubPr>
            <m:ctrlPr>
              <w:rPr>
                <w:rFonts w:ascii="Cambria Math" w:hAnsi="Cambria Math"/>
              </w:rPr>
            </m:ctrlPr>
          </m:sSubPr>
          <m:e>
            <m:r>
              <w:rPr>
                <w:rFonts w:ascii="Cambria Math" w:hAnsi="Cambria Math"/>
              </w:rPr>
              <m:t>σ</m:t>
            </m:r>
          </m:e>
          <m:sub>
            <m:r>
              <w:rPr>
                <w:rFonts w:ascii="Cambria Math" w:hAnsi="Cambria Math"/>
              </w:rPr>
              <m:t>xy</m:t>
            </m:r>
          </m:sub>
        </m:sSub>
      </m:oMath>
      <w:r>
        <w:t xml:space="preserve"> is the covariance of </w:t>
      </w:r>
      <m:oMath>
        <m:r>
          <w:rPr>
            <w:rFonts w:ascii="Cambria Math" w:hAnsi="Cambria Math"/>
          </w:rPr>
          <m:t>x</m:t>
        </m:r>
      </m:oMath>
      <w:r>
        <w:t xml:space="preserve"> and </w:t>
      </w:r>
      <m:oMath>
        <m:r>
          <w:rPr>
            <w:rFonts w:ascii="Cambria Math" w:hAnsi="Cambria Math"/>
          </w:rPr>
          <m:t>y</m:t>
        </m:r>
      </m:oMath>
      <w:r>
        <w:t xml:space="preserve">, while </w:t>
      </w:r>
      <m:oMath>
        <m:sSub>
          <m:sSubPr>
            <m:ctrlPr>
              <w:rPr>
                <w:rFonts w:ascii="Cambria Math" w:hAnsi="Cambria Math" w:cs="Cambria Math"/>
              </w:rPr>
            </m:ctrlPr>
          </m:sSubPr>
          <m:e>
            <m:r>
              <m:rPr>
                <m:sty m:val="p"/>
              </m:rPr>
              <w:rPr>
                <w:rFonts w:ascii="Cambria Math" w:hAnsi="Cambria Math" w:cs="Cambria Math"/>
              </w:rPr>
              <m:t>c</m:t>
            </m:r>
          </m:e>
          <m:sub>
            <m:r>
              <m:rPr>
                <m:sty m:val="p"/>
              </m:rPr>
              <w:rPr>
                <w:rFonts w:ascii="Cambria Math" w:hAnsi="Cambria Math" w:cs="Cambria Math"/>
              </w:rPr>
              <m:t>1</m:t>
            </m:r>
          </m:sub>
        </m:sSub>
      </m:oMath>
      <w:r>
        <w:t xml:space="preserve"> and </w:t>
      </w:r>
      <m:oMath>
        <m:sSub>
          <m:sSubPr>
            <m:ctrlPr>
              <w:rPr>
                <w:rFonts w:ascii="Cambria Math" w:hAnsi="Cambria Math" w:cs="Cambria Math"/>
              </w:rPr>
            </m:ctrlPr>
          </m:sSubPr>
          <m:e>
            <m:r>
              <m:rPr>
                <m:sty m:val="p"/>
              </m:rPr>
              <w:rPr>
                <w:rFonts w:ascii="Cambria Math" w:hAnsi="Cambria Math" w:cs="Cambria Math"/>
              </w:rPr>
              <m:t>c</m:t>
            </m:r>
          </m:e>
          <m:sub>
            <m:r>
              <m:rPr>
                <m:sty m:val="p"/>
              </m:rPr>
              <w:rPr>
                <w:rFonts w:ascii="Cambria Math" w:hAnsi="Cambria Math" w:cs="Cambria Math"/>
              </w:rPr>
              <m:t>2</m:t>
            </m:r>
          </m:sub>
        </m:sSub>
      </m:oMath>
      <w:r>
        <w:t xml:space="preserve"> stabilize division by a weak denominator: </w:t>
      </w:r>
      <m:oMath>
        <m:sSub>
          <m:sSubPr>
            <m:ctrlPr>
              <w:rPr>
                <w:rFonts w:ascii="Cambria Math" w:hAnsi="Cambria Math" w:cs="Cambria Math"/>
              </w:rPr>
            </m:ctrlPr>
          </m:sSubPr>
          <m:e>
            <m:r>
              <m:rPr>
                <m:sty m:val="p"/>
              </m:rPr>
              <w:rPr>
                <w:rFonts w:ascii="Cambria Math" w:hAnsi="Cambria Math" w:cs="Cambria Math"/>
              </w:rPr>
              <m:t>c</m:t>
            </m:r>
          </m:e>
          <m:sub>
            <m:r>
              <m:rPr>
                <m:sty m:val="p"/>
              </m:rPr>
              <w:rPr>
                <w:rFonts w:ascii="Cambria Math" w:hAnsi="Cambria Math" w:cs="Cambria Math"/>
              </w:rPr>
              <m:t>1</m:t>
            </m:r>
          </m:sub>
        </m:sSub>
        <m:r>
          <w:rPr>
            <w:rFonts w:ascii="Cambria Math" w:hAnsi="Cambria Math" w:cs="Cambria Math"/>
          </w:rPr>
          <m:t>=</m:t>
        </m:r>
        <m:sSup>
          <m:sSupPr>
            <m:ctrlPr>
              <w:rPr>
                <w:rFonts w:ascii="Cambria Math" w:hAnsi="Cambria Math" w:cs="Cambria Math"/>
                <w:i/>
              </w:rPr>
            </m:ctrlPr>
          </m:sSupPr>
          <m:e>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k</m:t>
                    </m:r>
                  </m:e>
                  <m:sub>
                    <m:r>
                      <w:rPr>
                        <w:rFonts w:ascii="Cambria Math" w:hAnsi="Cambria Math" w:cs="Cambria Math"/>
                      </w:rPr>
                      <m:t>1</m:t>
                    </m:r>
                  </m:sub>
                </m:sSub>
                <m:r>
                  <w:rPr>
                    <w:rFonts w:ascii="Cambria Math" w:hAnsi="Cambria Math" w:cs="Cambria Math"/>
                  </w:rPr>
                  <m:t>L</m:t>
                </m:r>
              </m:e>
            </m:d>
          </m:e>
          <m:sup>
            <m:r>
              <w:rPr>
                <w:rFonts w:ascii="Cambria Math" w:hAnsi="Cambria Math" w:cs="Cambria Math"/>
              </w:rPr>
              <m:t>2</m:t>
            </m:r>
          </m:sup>
        </m:sSup>
      </m:oMath>
      <w:r>
        <w:t xml:space="preserve"> and </w:t>
      </w:r>
      <m:oMath>
        <m:sSub>
          <m:sSubPr>
            <m:ctrlPr>
              <w:rPr>
                <w:rFonts w:ascii="Cambria Math" w:hAnsi="Cambria Math" w:cs="Cambria Math"/>
              </w:rPr>
            </m:ctrlPr>
          </m:sSubPr>
          <m:e>
            <m:r>
              <m:rPr>
                <m:sty m:val="p"/>
              </m:rPr>
              <w:rPr>
                <w:rFonts w:ascii="Cambria Math" w:hAnsi="Cambria Math" w:cs="Cambria Math"/>
              </w:rPr>
              <m:t>c</m:t>
            </m:r>
          </m:e>
          <m:sub>
            <m:r>
              <m:rPr>
                <m:sty m:val="p"/>
              </m:rPr>
              <w:rPr>
                <w:rFonts w:ascii="Cambria Math" w:hAnsi="Cambria Math" w:cs="Cambria Math"/>
              </w:rPr>
              <m:t>2</m:t>
            </m:r>
          </m:sub>
        </m:sSub>
        <m:r>
          <w:rPr>
            <w:rFonts w:ascii="Cambria Math" w:hAnsi="Cambria Math" w:cs="Cambria Math"/>
          </w:rPr>
          <m:t>=</m:t>
        </m:r>
        <m:sSup>
          <m:sSupPr>
            <m:ctrlPr>
              <w:rPr>
                <w:rFonts w:ascii="Cambria Math" w:hAnsi="Cambria Math" w:cs="Cambria Math"/>
                <w:i/>
              </w:rPr>
            </m:ctrlPr>
          </m:sSupPr>
          <m:e>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k</m:t>
                    </m:r>
                  </m:e>
                  <m:sub>
                    <m:r>
                      <w:rPr>
                        <w:rFonts w:ascii="Cambria Math" w:hAnsi="Cambria Math" w:cs="Cambria Math"/>
                      </w:rPr>
                      <m:t>2</m:t>
                    </m:r>
                  </m:sub>
                </m:sSub>
                <m:r>
                  <w:rPr>
                    <w:rFonts w:ascii="Cambria Math" w:hAnsi="Cambria Math" w:cs="Cambria Math"/>
                  </w:rPr>
                  <m:t>L</m:t>
                </m:r>
              </m:e>
            </m:d>
          </m:e>
          <m:sup>
            <m:r>
              <w:rPr>
                <w:rFonts w:ascii="Cambria Math" w:hAnsi="Cambria Math" w:cs="Cambria Math"/>
              </w:rPr>
              <m:t>2</m:t>
            </m:r>
          </m:sup>
        </m:sSup>
      </m:oMath>
      <w:r>
        <w:t xml:space="preserve">, where L stands for the dynamic range of the reference image. As mentioned in </w:t>
      </w:r>
      <w:r>
        <w:fldChar w:fldCharType="begin"/>
      </w:r>
      <w:r w:rsidR="0067135B">
        <w:instrText xml:space="preserve"> ADDIN EN.CITE &lt;EndNote&gt;&lt;Cite&gt;&lt;Author&gt;Wang&lt;/Author&gt;&lt;Year&gt;2004&lt;/Year&gt;&lt;RecNum&gt;223&lt;/RecNum&gt;&lt;DisplayText&gt;[3]&lt;/DisplayText&gt;&lt;record&gt;&lt;rec-number&gt;223&lt;/rec-number&gt;&lt;foreign-keys&gt;&lt;key app="EN" db-id="vdezf5pszse2vme950w5xtzm59zpdrsf5tww" timestamp="0"&gt;223&lt;/key&gt;&lt;/foreign-keys&gt;&lt;ref-type name="Journal Article"&gt;17&lt;/ref-type&gt;&lt;contributors&gt;&lt;authors&gt;&lt;author&gt;Wang, Zhou&lt;/author&gt;&lt;author&gt;Bovik, Alan C&lt;/author&gt;&lt;author&gt;Sheikh, Hamid R&lt;/author&gt;&lt;author&gt;Simoncelli, Eero P&lt;/author&gt;&lt;/authors&gt;&lt;/contributors&gt;&lt;titles&gt;&lt;title&gt;Image quality assessment: from error visibility to structural similarity&lt;/title&gt;&lt;secondary-title&gt;IEEE transactions on image processing&lt;/secondary-title&gt;&lt;/titles&gt;&lt;pages&gt;600-612&lt;/pages&gt;&lt;volume&gt;13&lt;/volume&gt;&lt;number&gt;4&lt;/number&gt;&lt;dates&gt;&lt;year&gt;2004&lt;/year&gt;&lt;/dates&gt;&lt;isbn&gt;1057-7149&lt;/isbn&gt;&lt;urls&gt;&lt;/urls&gt;&lt;/record&gt;&lt;/Cite&gt;&lt;/EndNote&gt;</w:instrText>
      </w:r>
      <w:r>
        <w:fldChar w:fldCharType="separate"/>
      </w:r>
      <w:r w:rsidR="0067135B">
        <w:rPr>
          <w:noProof/>
        </w:rPr>
        <w:t>[3]</w:t>
      </w:r>
      <w:r>
        <w:fldChar w:fldCharType="end"/>
      </w:r>
      <w:r>
        <w:t xml:space="preserve">, the values of </w:t>
      </w:r>
      <m:oMath>
        <m:sSub>
          <m:sSubPr>
            <m:ctrlPr>
              <w:rPr>
                <w:rFonts w:ascii="Cambria Math" w:hAnsi="Cambria Math" w:cs="Cambria Math"/>
                <w:i/>
              </w:rPr>
            </m:ctrlPr>
          </m:sSubPr>
          <m:e>
            <m:r>
              <w:rPr>
                <w:rFonts w:ascii="Cambria Math" w:hAnsi="Cambria Math" w:cs="Cambria Math"/>
              </w:rPr>
              <m:t>k</m:t>
            </m:r>
          </m:e>
          <m:sub>
            <m:r>
              <w:rPr>
                <w:rFonts w:ascii="Cambria Math" w:hAnsi="Cambria Math" w:cs="Cambria Math"/>
              </w:rPr>
              <m:t>1</m:t>
            </m:r>
          </m:sub>
        </m:sSub>
      </m:oMath>
      <w:r>
        <w:t xml:space="preserve"> and </w:t>
      </w:r>
      <m:oMath>
        <m:sSub>
          <m:sSubPr>
            <m:ctrlPr>
              <w:rPr>
                <w:rFonts w:ascii="Cambria Math" w:hAnsi="Cambria Math" w:cs="Cambria Math"/>
                <w:i/>
              </w:rPr>
            </m:ctrlPr>
          </m:sSubPr>
          <m:e>
            <m:r>
              <w:rPr>
                <w:rFonts w:ascii="Cambria Math" w:hAnsi="Cambria Math" w:cs="Cambria Math"/>
              </w:rPr>
              <m:t>k</m:t>
            </m:r>
          </m:e>
          <m:sub>
            <m:r>
              <w:rPr>
                <w:rFonts w:ascii="Cambria Math" w:hAnsi="Cambria Math" w:cs="Cambria Math"/>
              </w:rPr>
              <m:t>2</m:t>
            </m:r>
          </m:sub>
        </m:sSub>
      </m:oMath>
      <w:r>
        <w:t xml:space="preserve"> are somewhat arbitrary, but the SSIM is considered to be insensitive to those two constants. We set </w:t>
      </w:r>
      <m:oMath>
        <m:sSub>
          <m:sSubPr>
            <m:ctrlPr>
              <w:rPr>
                <w:rFonts w:ascii="Cambria Math" w:hAnsi="Cambria Math" w:cs="Cambria Math"/>
                <w:i/>
              </w:rPr>
            </m:ctrlPr>
          </m:sSubPr>
          <m:e>
            <m:r>
              <w:rPr>
                <w:rFonts w:ascii="Cambria Math" w:hAnsi="Cambria Math" w:cs="Cambria Math"/>
              </w:rPr>
              <m:t>k</m:t>
            </m:r>
          </m:e>
          <m:sub>
            <m:r>
              <w:rPr>
                <w:rFonts w:ascii="Cambria Math" w:hAnsi="Cambria Math" w:cs="Cambria Math"/>
              </w:rPr>
              <m:t>1</m:t>
            </m:r>
          </m:sub>
        </m:sSub>
        <m:r>
          <w:rPr>
            <w:rFonts w:ascii="Cambria Math" w:hAnsi="Cambria Math" w:cs="Cambria Math"/>
          </w:rPr>
          <m:t>=0.01</m:t>
        </m:r>
      </m:oMath>
      <w:r>
        <w:t xml:space="preserve"> and </w:t>
      </w:r>
      <m:oMath>
        <m:sSub>
          <m:sSubPr>
            <m:ctrlPr>
              <w:rPr>
                <w:rFonts w:ascii="Cambria Math" w:hAnsi="Cambria Math" w:cs="Cambria Math"/>
                <w:i/>
              </w:rPr>
            </m:ctrlPr>
          </m:sSubPr>
          <m:e>
            <m:r>
              <w:rPr>
                <w:rFonts w:ascii="Cambria Math" w:hAnsi="Cambria Math" w:cs="Cambria Math"/>
              </w:rPr>
              <m:t>k</m:t>
            </m:r>
          </m:e>
          <m:sub>
            <m:r>
              <w:rPr>
                <w:rFonts w:ascii="Cambria Math" w:hAnsi="Cambria Math" w:cs="Cambria Math"/>
              </w:rPr>
              <m:t>2</m:t>
            </m:r>
          </m:sub>
        </m:sSub>
        <m:r>
          <w:rPr>
            <w:rFonts w:ascii="Cambria Math" w:hAnsi="Cambria Math" w:cs="Cambria Math"/>
          </w:rPr>
          <m:t>=0.03</m:t>
        </m:r>
      </m:oMath>
      <w:r>
        <w:t xml:space="preserve"> throughout the paper and in the following demonstrate this insensitivity for our images.</w:t>
      </w:r>
    </w:p>
    <w:p w14:paraId="37B2F70E" w14:textId="3DD43867" w:rsidR="00352735" w:rsidRDefault="00212F11" w:rsidP="00AD7179">
      <w:pPr>
        <w:pStyle w:val="Head2"/>
        <w:spacing w:line="360" w:lineRule="auto"/>
      </w:pPr>
      <w:r>
        <w:t xml:space="preserve">We select </w:t>
      </w:r>
      <w:r w:rsidR="00585978">
        <w:t>5</w:t>
      </w:r>
      <w:r>
        <w:t xml:space="preserve"> combinations of the parameters (</w:t>
      </w:r>
      <m:oMath>
        <m:sSub>
          <m:sSubPr>
            <m:ctrlPr>
              <w:rPr>
                <w:rFonts w:ascii="Cambria Math" w:hAnsi="Cambria Math" w:cs="Cambria Math"/>
                <w:i/>
              </w:rPr>
            </m:ctrlPr>
          </m:sSubPr>
          <m:e>
            <m:r>
              <w:rPr>
                <w:rFonts w:ascii="Cambria Math" w:hAnsi="Cambria Math" w:cs="Cambria Math"/>
              </w:rPr>
              <m:t>k</m:t>
            </m:r>
          </m:e>
          <m:sub>
            <m:r>
              <w:rPr>
                <w:rFonts w:ascii="Cambria Math" w:hAnsi="Cambria Math" w:cs="Cambria Math"/>
              </w:rPr>
              <m:t>1</m:t>
            </m:r>
          </m:sub>
        </m:sSub>
      </m:oMath>
      <w:r>
        <w:t>,</w:t>
      </w:r>
      <m:oMath>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k</m:t>
            </m:r>
          </m:e>
          <m:sub>
            <m:r>
              <w:rPr>
                <w:rFonts w:ascii="Cambria Math" w:hAnsi="Cambria Math" w:cs="Cambria Math"/>
              </w:rPr>
              <m:t>2</m:t>
            </m:r>
          </m:sub>
        </m:sSub>
      </m:oMath>
      <w:r>
        <w:t xml:space="preserve">) with different orders of magnitude and ratios and use them to evaluate the SSIM of the same images. </w:t>
      </w:r>
      <w:r w:rsidR="00A97D67">
        <w:t>T</w:t>
      </w:r>
      <w:r>
        <w:t xml:space="preserve">he model matrix </w:t>
      </w:r>
      <w:r>
        <w:rPr>
          <w:b/>
        </w:rPr>
        <w:t>M</w:t>
      </w:r>
      <w:r>
        <w:t xml:space="preserve"> used in the forward simulation is based on the experimental setup introduced in Section </w:t>
      </w:r>
      <w:r w:rsidR="00AD7179">
        <w:t>3.4</w:t>
      </w:r>
      <w:r w:rsidR="00A97D67">
        <w:t xml:space="preserve"> and </w:t>
      </w:r>
      <w:r>
        <w:t>the SSIM is calculated with (</w:t>
      </w:r>
      <m:oMath>
        <m:sSub>
          <m:sSubPr>
            <m:ctrlPr>
              <w:rPr>
                <w:rFonts w:ascii="Cambria Math" w:hAnsi="Cambria Math" w:cs="Cambria Math"/>
                <w:i/>
              </w:rPr>
            </m:ctrlPr>
          </m:sSubPr>
          <m:e>
            <m:r>
              <w:rPr>
                <w:rFonts w:ascii="Cambria Math" w:hAnsi="Cambria Math" w:cs="Cambria Math"/>
              </w:rPr>
              <m:t>k</m:t>
            </m:r>
          </m:e>
          <m:sub>
            <m:r>
              <w:rPr>
                <w:rFonts w:ascii="Cambria Math" w:hAnsi="Cambria Math" w:cs="Cambria Math"/>
              </w:rPr>
              <m:t>1</m:t>
            </m:r>
          </m:sub>
        </m:sSub>
      </m:oMath>
      <w:r>
        <w:t>,</w:t>
      </w:r>
      <m:oMath>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k</m:t>
            </m:r>
          </m:e>
          <m:sub>
            <m:r>
              <w:rPr>
                <w:rFonts w:ascii="Cambria Math" w:hAnsi="Cambria Math" w:cs="Cambria Math"/>
              </w:rPr>
              <m:t>2</m:t>
            </m:r>
          </m:sub>
        </m:sSub>
      </m:oMath>
      <w:r>
        <w:t>) equals to (0.1,0.3), (0.01,0.03), (0.001, 0.003), (0.01,0.01) and (0.03,0.01) for the reco</w:t>
      </w:r>
      <w:bookmarkStart w:id="1" w:name="_GoBack"/>
      <w:bookmarkEnd w:id="1"/>
      <w:r>
        <w:t>nstructed images using standard or prior-integrated reconstruction, respectively.</w:t>
      </w:r>
    </w:p>
    <w:p w14:paraId="6C54CD40" w14:textId="52E94DF7" w:rsidR="00AD7179" w:rsidRDefault="00AD7179">
      <w:pPr>
        <w:pStyle w:val="Head2"/>
        <w:spacing w:line="360" w:lineRule="auto"/>
        <w:jc w:val="center"/>
      </w:pPr>
      <w:r>
        <w:rPr>
          <w:noProof/>
        </w:rPr>
        <w:lastRenderedPageBreak/>
        <w:drawing>
          <wp:inline distT="0" distB="0" distL="0" distR="0" wp14:anchorId="6FFC95B3" wp14:editId="6CC4BF3C">
            <wp:extent cx="4694555" cy="3060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94555" cy="3060700"/>
                    </a:xfrm>
                    <a:prstGeom prst="rect">
                      <a:avLst/>
                    </a:prstGeom>
                    <a:noFill/>
                  </pic:spPr>
                </pic:pic>
              </a:graphicData>
            </a:graphic>
          </wp:inline>
        </w:drawing>
      </w:r>
    </w:p>
    <w:p w14:paraId="67BC9B7E" w14:textId="77777777" w:rsidR="00352735" w:rsidRDefault="00212F11">
      <w:pPr>
        <w:pStyle w:val="Head2"/>
        <w:spacing w:line="360" w:lineRule="auto"/>
      </w:pPr>
      <w:r>
        <w:rPr>
          <w:b/>
        </w:rPr>
        <w:t>Fig. S1</w:t>
      </w:r>
      <w:r>
        <w:t xml:space="preserve"> SSIM of reconstructed images from noise-distorted input image. </w:t>
      </w:r>
      <w:r>
        <w:rPr>
          <w:b/>
        </w:rPr>
        <w:t>(a)</w:t>
      </w:r>
      <w:r>
        <w:t xml:space="preserve"> degraded noisy image. Its corresponding recovered image with </w:t>
      </w:r>
      <w:r>
        <w:rPr>
          <w:b/>
        </w:rPr>
        <w:t>(b)</w:t>
      </w:r>
      <w:r>
        <w:t xml:space="preserve"> standard and </w:t>
      </w:r>
      <w:r>
        <w:rPr>
          <w:b/>
        </w:rPr>
        <w:t>(c)</w:t>
      </w:r>
      <w:r>
        <w:t xml:space="preserve"> prior-integrated reconstruction.</w:t>
      </w:r>
    </w:p>
    <w:p w14:paraId="49A62596" w14:textId="77777777" w:rsidR="00352735" w:rsidRDefault="00212F11">
      <w:pPr>
        <w:pStyle w:val="Head2"/>
        <w:spacing w:line="360" w:lineRule="auto"/>
      </w:pPr>
      <w:r>
        <w:t xml:space="preserve">In conclusion, the selection of </w:t>
      </w:r>
      <m:oMath>
        <m:sSub>
          <m:sSubPr>
            <m:ctrlPr>
              <w:rPr>
                <w:rFonts w:ascii="Cambria Math" w:hAnsi="Cambria Math" w:cs="Cambria Math"/>
                <w:i/>
              </w:rPr>
            </m:ctrlPr>
          </m:sSubPr>
          <m:e>
            <m:r>
              <w:rPr>
                <w:rFonts w:ascii="Cambria Math" w:hAnsi="Cambria Math" w:cs="Cambria Math"/>
              </w:rPr>
              <m:t>k</m:t>
            </m:r>
          </m:e>
          <m:sub>
            <m:r>
              <w:rPr>
                <w:rFonts w:ascii="Cambria Math" w:hAnsi="Cambria Math" w:cs="Cambria Math"/>
              </w:rPr>
              <m:t>1</m:t>
            </m:r>
          </m:sub>
        </m:sSub>
      </m:oMath>
      <w:r>
        <w:t xml:space="preserve"> and </w:t>
      </w:r>
      <m:oMath>
        <m:sSub>
          <m:sSubPr>
            <m:ctrlPr>
              <w:rPr>
                <w:rFonts w:ascii="Cambria Math" w:hAnsi="Cambria Math" w:cs="Cambria Math"/>
                <w:i/>
              </w:rPr>
            </m:ctrlPr>
          </m:sSubPr>
          <m:e>
            <m:r>
              <w:rPr>
                <w:rFonts w:ascii="Cambria Math" w:hAnsi="Cambria Math" w:cs="Cambria Math"/>
              </w:rPr>
              <m:t>k</m:t>
            </m:r>
          </m:e>
          <m:sub>
            <m:r>
              <w:rPr>
                <w:rFonts w:ascii="Cambria Math" w:hAnsi="Cambria Math" w:cs="Cambria Math"/>
              </w:rPr>
              <m:t>2</m:t>
            </m:r>
          </m:sub>
        </m:sSub>
      </m:oMath>
      <w:r>
        <w:t xml:space="preserve"> affects the SSIM values but does not affect the comparison between standard and prior-integrated reconstruction under different cases. In order to facilitate the comparison across studies, </w:t>
      </w:r>
      <w:r>
        <w:rPr>
          <w:color w:val="000000" w:themeColor="text1"/>
        </w:rPr>
        <w:t xml:space="preserve">We kept these values  of </w:t>
      </w:r>
      <m:oMath>
        <m:sSub>
          <m:sSubPr>
            <m:ctrlPr>
              <w:rPr>
                <w:rFonts w:ascii="Cambria Math" w:hAnsi="Cambria Math" w:cs="Cambria Math"/>
                <w:i/>
                <w:color w:val="000000" w:themeColor="text1"/>
              </w:rPr>
            </m:ctrlPr>
          </m:sSubPr>
          <m:e>
            <m:r>
              <w:rPr>
                <w:rFonts w:ascii="Cambria Math" w:hAnsi="Cambria Math" w:cs="Cambria Math"/>
                <w:color w:val="000000" w:themeColor="text1"/>
              </w:rPr>
              <m:t>k</m:t>
            </m:r>
          </m:e>
          <m:sub>
            <m:r>
              <w:rPr>
                <w:rFonts w:ascii="Cambria Math" w:hAnsi="Cambria Math" w:cs="Cambria Math"/>
                <w:color w:val="000000" w:themeColor="text1"/>
              </w:rPr>
              <m:t>1</m:t>
            </m:r>
          </m:sub>
        </m:sSub>
      </m:oMath>
      <w:r>
        <w:rPr>
          <w:color w:val="000000" w:themeColor="text1"/>
        </w:rPr>
        <w:t xml:space="preserve"> and </w:t>
      </w:r>
      <m:oMath>
        <m:sSub>
          <m:sSubPr>
            <m:ctrlPr>
              <w:rPr>
                <w:rFonts w:ascii="Cambria Math" w:hAnsi="Cambria Math" w:cs="Cambria Math"/>
                <w:i/>
                <w:color w:val="000000" w:themeColor="text1"/>
              </w:rPr>
            </m:ctrlPr>
          </m:sSubPr>
          <m:e>
            <m:r>
              <w:rPr>
                <w:rFonts w:ascii="Cambria Math" w:hAnsi="Cambria Math" w:cs="Cambria Math"/>
                <w:color w:val="000000" w:themeColor="text1"/>
              </w:rPr>
              <m:t>k</m:t>
            </m:r>
          </m:e>
          <m:sub>
            <m:r>
              <w:rPr>
                <w:rFonts w:ascii="Cambria Math" w:hAnsi="Cambria Math" w:cs="Cambria Math"/>
                <w:color w:val="000000" w:themeColor="text1"/>
              </w:rPr>
              <m:t>2</m:t>
            </m:r>
          </m:sub>
        </m:sSub>
      </m:oMath>
      <w:r>
        <w:rPr>
          <w:color w:val="000000" w:themeColor="text1"/>
        </w:rPr>
        <w:t xml:space="preserve"> to be 0.01 and 0.03, the same as in Ref. </w:t>
      </w:r>
      <w:r>
        <w:rPr>
          <w:color w:val="000000" w:themeColor="text1"/>
        </w:rPr>
        <w:fldChar w:fldCharType="begin"/>
      </w:r>
      <w:r w:rsidR="0067135B">
        <w:rPr>
          <w:color w:val="000000" w:themeColor="text1"/>
        </w:rPr>
        <w:instrText xml:space="preserve"> ADDIN EN.CITE &lt;EndNote&gt;&lt;Cite&gt;&lt;Author&gt;Wang&lt;/Author&gt;&lt;Year&gt;2004&lt;/Year&gt;&lt;RecNum&gt;223&lt;/RecNum&gt;&lt;DisplayText&gt;[3]&lt;/DisplayText&gt;&lt;record&gt;&lt;rec-number&gt;223&lt;/rec-number&gt;&lt;foreign-keys&gt;&lt;key app="EN" db-id="vdezf5pszse2vme950w5xtzm59zpdrsf5tww" timestamp="0"&gt;223&lt;/key&gt;&lt;/foreign-keys&gt;&lt;ref-type name="Journal Article"&gt;17&lt;/ref-type&gt;&lt;contributors&gt;&lt;authors&gt;&lt;author&gt;Wang, Zhou&lt;/author&gt;&lt;author&gt;Bovik, Alan C&lt;/author&gt;&lt;author&gt;Sheikh, Hamid R&lt;/author&gt;&lt;author&gt;Simoncelli, Eero P&lt;/author&gt;&lt;/authors&gt;&lt;/contributors&gt;&lt;titles&gt;&lt;title&gt;Image quality assessment: from error visibility to structural similarity&lt;/title&gt;&lt;secondary-title&gt;IEEE transactions on image processing&lt;/secondary-title&gt;&lt;/titles&gt;&lt;pages&gt;600-612&lt;/pages&gt;&lt;volume&gt;13&lt;/volume&gt;&lt;number&gt;4&lt;/number&gt;&lt;dates&gt;&lt;year&gt;2004&lt;/year&gt;&lt;/dates&gt;&lt;isbn&gt;1057-7149&lt;/isbn&gt;&lt;urls&gt;&lt;/urls&gt;&lt;/record&gt;&lt;/Cite&gt;&lt;/EndNote&gt;</w:instrText>
      </w:r>
      <w:r>
        <w:rPr>
          <w:color w:val="000000" w:themeColor="text1"/>
        </w:rPr>
        <w:fldChar w:fldCharType="separate"/>
      </w:r>
      <w:r w:rsidR="0067135B">
        <w:rPr>
          <w:noProof/>
          <w:color w:val="000000" w:themeColor="text1"/>
        </w:rPr>
        <w:t>[3]</w:t>
      </w:r>
      <w:r>
        <w:rPr>
          <w:color w:val="000000" w:themeColor="text1"/>
        </w:rPr>
        <w:fldChar w:fldCharType="end"/>
      </w:r>
      <w:r>
        <w:t xml:space="preserve">. </w:t>
      </w:r>
    </w:p>
    <w:p w14:paraId="05FCCC27" w14:textId="77777777" w:rsidR="00352735" w:rsidRDefault="00212F11">
      <w:pPr>
        <w:spacing w:after="160" w:line="360" w:lineRule="auto"/>
        <w:rPr>
          <w:rFonts w:eastAsia="MS Mincho"/>
          <w:b/>
          <w:szCs w:val="24"/>
          <w:lang w:eastAsia="ja-JP"/>
        </w:rPr>
      </w:pPr>
      <w:r>
        <w:br w:type="page"/>
      </w:r>
    </w:p>
    <w:p w14:paraId="4E30B3C8" w14:textId="77777777" w:rsidR="00352735" w:rsidRDefault="00212F11">
      <w:pPr>
        <w:spacing w:line="360" w:lineRule="auto"/>
        <w:rPr>
          <w:b/>
        </w:rPr>
      </w:pPr>
      <w:r>
        <w:rPr>
          <w:b/>
        </w:rPr>
        <w:lastRenderedPageBreak/>
        <w:t>References</w:t>
      </w:r>
    </w:p>
    <w:p w14:paraId="583AF655" w14:textId="77777777" w:rsidR="0067135B" w:rsidRPr="0067135B" w:rsidRDefault="00212F11" w:rsidP="0067135B">
      <w:pPr>
        <w:pStyle w:val="EndNoteBibliography"/>
        <w:ind w:left="720" w:hanging="720"/>
      </w:pPr>
      <w:r>
        <w:fldChar w:fldCharType="begin"/>
      </w:r>
      <w:r>
        <w:instrText xml:space="preserve"> ADDIN EN.REFLIST </w:instrText>
      </w:r>
      <w:r>
        <w:fldChar w:fldCharType="separate"/>
      </w:r>
      <w:r w:rsidR="0067135B" w:rsidRPr="0067135B">
        <w:t>[1]</w:t>
      </w:r>
      <w:r w:rsidR="0067135B" w:rsidRPr="0067135B">
        <w:tab/>
        <w:t xml:space="preserve">X. L. Deán-Ben, L. Ding, and D. Razansky, “Dynamic particle enhancement in limited-view optoacoustic tomography,” </w:t>
      </w:r>
      <w:r w:rsidR="0067135B" w:rsidRPr="0067135B">
        <w:rPr>
          <w:i/>
        </w:rPr>
        <w:t>arXiv preprint arXiv:1512.03289</w:t>
      </w:r>
      <w:r w:rsidR="0067135B" w:rsidRPr="0067135B">
        <w:t>, 2015.</w:t>
      </w:r>
    </w:p>
    <w:p w14:paraId="03947DA4" w14:textId="77777777" w:rsidR="0067135B" w:rsidRPr="0067135B" w:rsidRDefault="0067135B" w:rsidP="0067135B">
      <w:pPr>
        <w:pStyle w:val="EndNoteBibliography"/>
        <w:ind w:left="720" w:hanging="720"/>
      </w:pPr>
      <w:r w:rsidRPr="0067135B">
        <w:rPr>
          <w:rFonts w:hint="eastAsia"/>
        </w:rPr>
        <w:t>[2]</w:t>
      </w:r>
      <w:r w:rsidRPr="0067135B">
        <w:rPr>
          <w:rFonts w:hint="eastAsia"/>
        </w:rPr>
        <w:tab/>
        <w:t xml:space="preserve">A. Buehler, A. Rosenthal, T. Jetzfellner, A. Dima, D. Razansky, and V. Ntziachristos, </w:t>
      </w:r>
      <w:r w:rsidRPr="0067135B">
        <w:rPr>
          <w:rFonts w:hint="eastAsia"/>
        </w:rPr>
        <w:t>“</w:t>
      </w:r>
      <w:r w:rsidRPr="0067135B">
        <w:rPr>
          <w:rFonts w:hint="eastAsia"/>
        </w:rPr>
        <w:t>Model</w:t>
      </w:r>
      <w:r w:rsidRPr="0067135B">
        <w:rPr>
          <w:rFonts w:hint="eastAsia"/>
        </w:rPr>
        <w:t>‐</w:t>
      </w:r>
      <w:r w:rsidRPr="0067135B">
        <w:rPr>
          <w:rFonts w:hint="eastAsia"/>
        </w:rPr>
        <w:t>b</w:t>
      </w:r>
      <w:r w:rsidRPr="0067135B">
        <w:t xml:space="preserve">ased optoacoustic inversions with incomplete projection data,” </w:t>
      </w:r>
      <w:r w:rsidRPr="0067135B">
        <w:rPr>
          <w:i/>
        </w:rPr>
        <w:t>Medical physics,</w:t>
      </w:r>
      <w:r w:rsidRPr="0067135B">
        <w:t xml:space="preserve"> vol. 38, no. 3, pp. 1694-1704, 2011.</w:t>
      </w:r>
    </w:p>
    <w:p w14:paraId="3F456E4B" w14:textId="77777777" w:rsidR="0067135B" w:rsidRPr="0067135B" w:rsidRDefault="0067135B" w:rsidP="0067135B">
      <w:pPr>
        <w:pStyle w:val="EndNoteBibliography"/>
        <w:ind w:left="720" w:hanging="720"/>
      </w:pPr>
      <w:r w:rsidRPr="0067135B">
        <w:t>[3]</w:t>
      </w:r>
      <w:r w:rsidRPr="0067135B">
        <w:tab/>
        <w:t xml:space="preserve">Z. Wang, A. C. Bovik, H. R. Sheikh, and E. P. Simoncelli, “Image quality assessment: from error visibility to structural similarity,” </w:t>
      </w:r>
      <w:r w:rsidRPr="0067135B">
        <w:rPr>
          <w:i/>
        </w:rPr>
        <w:t>IEEE transactions on image processing,</w:t>
      </w:r>
      <w:r w:rsidRPr="0067135B">
        <w:t xml:space="preserve"> vol. 13, no. 4, pp. 600-612, 2004.</w:t>
      </w:r>
    </w:p>
    <w:p w14:paraId="7A68D92E" w14:textId="304E19ED" w:rsidR="00352735" w:rsidRDefault="00212F11">
      <w:pPr>
        <w:spacing w:line="360" w:lineRule="auto"/>
      </w:pPr>
      <w:r>
        <w:fldChar w:fldCharType="end"/>
      </w:r>
    </w:p>
    <w:sectPr w:rsidR="0035273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Trans Medical Imaging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ezf5pszse2vme950w5xtzm59zpdrsf5tww&quot;&gt;My Endnote library1&lt;record-ids&gt;&lt;item&gt;114&lt;/item&gt;&lt;item&gt;223&lt;/item&gt;&lt;/record-ids&gt;&lt;/item&gt;&lt;/Libraries&gt;"/>
  </w:docVars>
  <w:rsids>
    <w:rsidRoot w:val="00352735"/>
    <w:rsid w:val="00212F11"/>
    <w:rsid w:val="00352735"/>
    <w:rsid w:val="00357431"/>
    <w:rsid w:val="00585978"/>
    <w:rsid w:val="0067135B"/>
    <w:rsid w:val="00A97D67"/>
    <w:rsid w:val="00AD7179"/>
    <w:rsid w:val="00C5597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21A7A"/>
  <w15:chartTrackingRefBased/>
  <w15:docId w15:val="{6CDA688C-2A38-4028-BCB3-45E7DDC3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New Roman" w:hAnsi="Times New Roman" w:cs="Times New Roman"/>
      <w:sz w:val="24"/>
      <w:szCs w:val="20"/>
      <w:lang w:val="en-US" w:eastAsia="en-US"/>
    </w:rPr>
  </w:style>
  <w:style w:type="paragraph" w:styleId="Heading1">
    <w:name w:val="heading 1"/>
    <w:basedOn w:val="Normal"/>
    <w:next w:val="Normal"/>
    <w:link w:val="Heading1Char"/>
    <w:qFormat/>
    <w:pPr>
      <w:keepNext/>
      <w:spacing w:before="240" w:after="60"/>
      <w:outlineLvl w:val="0"/>
    </w:pPr>
    <w:rPr>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hAnsi="Times New Roman" w:cs="Times New Roman"/>
      <w:b/>
      <w:bCs/>
      <w:kern w:val="32"/>
      <w:sz w:val="24"/>
      <w:szCs w:val="24"/>
      <w:lang w:val="en-US" w:eastAsia="en-US"/>
    </w:rPr>
  </w:style>
  <w:style w:type="paragraph" w:customStyle="1" w:styleId="Paragraph">
    <w:name w:val="Paragraph"/>
    <w:basedOn w:val="Normal"/>
    <w:pPr>
      <w:spacing w:before="120"/>
      <w:ind w:firstLine="720"/>
    </w:pPr>
    <w:rPr>
      <w:szCs w:val="24"/>
    </w:rPr>
  </w:style>
  <w:style w:type="paragraph" w:customStyle="1" w:styleId="SMHeading">
    <w:name w:val="SM Heading"/>
    <w:basedOn w:val="Heading1"/>
    <w:qFormat/>
    <w:rPr>
      <w:rFonts w:ascii="Arial" w:hAnsi="Arial"/>
    </w:rPr>
  </w:style>
  <w:style w:type="paragraph" w:customStyle="1" w:styleId="Head2">
    <w:name w:val="Head 2"/>
    <w:basedOn w:val="Normal"/>
    <w:link w:val="Head2Char"/>
    <w:autoRedefine/>
    <w:pPr>
      <w:jc w:val="both"/>
    </w:pPr>
    <w:rPr>
      <w:rFonts w:eastAsia="MS Mincho"/>
      <w:szCs w:val="24"/>
      <w:lang w:eastAsia="ja-JP"/>
    </w:rPr>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US"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paragraph" w:customStyle="1" w:styleId="EndNoteBibliographyTitle">
    <w:name w:val="EndNote Bibliography Title"/>
    <w:basedOn w:val="Normal"/>
    <w:link w:val="EndNoteBibliographyTitleChar"/>
    <w:pPr>
      <w:jc w:val="center"/>
    </w:pPr>
    <w:rPr>
      <w:noProof/>
    </w:rPr>
  </w:style>
  <w:style w:type="character" w:customStyle="1" w:styleId="Head2Char">
    <w:name w:val="Head 2 Char"/>
    <w:basedOn w:val="DefaultParagraphFont"/>
    <w:link w:val="Head2"/>
    <w:rPr>
      <w:rFonts w:ascii="Times New Roman" w:eastAsia="MS Mincho" w:hAnsi="Times New Roman" w:cs="Times New Roman"/>
      <w:sz w:val="24"/>
      <w:szCs w:val="24"/>
      <w:lang w:val="en-US" w:eastAsia="ja-JP"/>
    </w:rPr>
  </w:style>
  <w:style w:type="character" w:customStyle="1" w:styleId="EndNoteBibliographyTitleChar">
    <w:name w:val="EndNote Bibliography Title Char"/>
    <w:basedOn w:val="Head2Char"/>
    <w:link w:val="EndNoteBibliographyTitle"/>
    <w:rPr>
      <w:rFonts w:ascii="Times New Roman" w:eastAsia="MS Mincho" w:hAnsi="Times New Roman" w:cs="Times New Roman"/>
      <w:noProof/>
      <w:sz w:val="24"/>
      <w:szCs w:val="20"/>
      <w:lang w:val="en-US" w:eastAsia="en-US"/>
    </w:rPr>
  </w:style>
  <w:style w:type="paragraph" w:customStyle="1" w:styleId="EndNoteBibliography">
    <w:name w:val="EndNote Bibliography"/>
    <w:basedOn w:val="Normal"/>
    <w:link w:val="EndNoteBibliographyChar"/>
    <w:rPr>
      <w:noProof/>
    </w:rPr>
  </w:style>
  <w:style w:type="character" w:customStyle="1" w:styleId="EndNoteBibliographyChar">
    <w:name w:val="EndNote Bibliography Char"/>
    <w:basedOn w:val="Head2Char"/>
    <w:link w:val="EndNoteBibliography"/>
    <w:rPr>
      <w:rFonts w:ascii="Times New Roman" w:eastAsia="MS Mincho" w:hAnsi="Times New Roman" w:cs="Times New Roman"/>
      <w:noProof/>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7540</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Hong</dc:creator>
  <cp:keywords/>
  <dc:description/>
  <cp:lastModifiedBy>Hong Yang</cp:lastModifiedBy>
  <cp:revision>2</cp:revision>
  <dcterms:created xsi:type="dcterms:W3CDTF">2020-02-24T08:32:00Z</dcterms:created>
  <dcterms:modified xsi:type="dcterms:W3CDTF">2020-02-24T08:32:00Z</dcterms:modified>
</cp:coreProperties>
</file>