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21A17" w14:textId="77777777" w:rsidR="00C41CFF" w:rsidRPr="00302136" w:rsidRDefault="00BE6FC3">
      <w:pPr>
        <w:rPr>
          <w:rFonts w:cs="Arial"/>
          <w:b/>
          <w:sz w:val="28"/>
          <w:szCs w:val="28"/>
        </w:rPr>
      </w:pPr>
      <w:r w:rsidRPr="00302136">
        <w:rPr>
          <w:rFonts w:cs="Arial"/>
          <w:b/>
          <w:sz w:val="28"/>
          <w:szCs w:val="28"/>
        </w:rPr>
        <w:t>Supplementary Information</w:t>
      </w:r>
    </w:p>
    <w:p w14:paraId="764FD412" w14:textId="0E25C9C4" w:rsidR="00BE6FC3" w:rsidRPr="00302136" w:rsidRDefault="00ED2043" w:rsidP="00BE6FC3">
      <w:pPr>
        <w:spacing w:line="360" w:lineRule="auto"/>
        <w:jc w:val="both"/>
        <w:rPr>
          <w:rFonts w:cs="Arial"/>
          <w:sz w:val="28"/>
          <w:szCs w:val="28"/>
        </w:rPr>
      </w:pPr>
      <w:r w:rsidRPr="00302136">
        <w:rPr>
          <w:rFonts w:cs="Arial"/>
          <w:sz w:val="28"/>
          <w:szCs w:val="28"/>
        </w:rPr>
        <w:t xml:space="preserve">Active steroid hormone synthesis </w:t>
      </w:r>
      <w:r w:rsidR="00BE6FC3" w:rsidRPr="00302136">
        <w:rPr>
          <w:rFonts w:cs="Arial"/>
          <w:sz w:val="28"/>
          <w:szCs w:val="28"/>
        </w:rPr>
        <w:t xml:space="preserve">renders adrenocortical cells highly susceptible to type II ferroptosis induction </w:t>
      </w:r>
    </w:p>
    <w:p w14:paraId="0D0ACD5C" w14:textId="08657240" w:rsidR="004963D2" w:rsidRPr="00302136" w:rsidRDefault="004963D2" w:rsidP="004963D2">
      <w:pPr>
        <w:spacing w:line="360" w:lineRule="auto"/>
        <w:jc w:val="both"/>
        <w:rPr>
          <w:rFonts w:cs="Arial"/>
          <w:szCs w:val="24"/>
          <w:vertAlign w:val="superscript"/>
        </w:rPr>
      </w:pPr>
      <w:r w:rsidRPr="00302136">
        <w:rPr>
          <w:rFonts w:cs="Arial"/>
          <w:szCs w:val="24"/>
        </w:rPr>
        <w:t>Isabel Weigand</w:t>
      </w:r>
      <w:r w:rsidRPr="00302136">
        <w:rPr>
          <w:rFonts w:cs="Arial"/>
          <w:szCs w:val="24"/>
          <w:vertAlign w:val="superscript"/>
        </w:rPr>
        <w:t>1</w:t>
      </w:r>
      <w:r w:rsidRPr="00302136">
        <w:rPr>
          <w:rFonts w:cs="Arial"/>
          <w:szCs w:val="24"/>
        </w:rPr>
        <w:t>*, Jochen Schreiner</w:t>
      </w:r>
      <w:r w:rsidRPr="00302136">
        <w:rPr>
          <w:rFonts w:cs="Arial"/>
          <w:szCs w:val="24"/>
          <w:vertAlign w:val="superscript"/>
        </w:rPr>
        <w:t>1</w:t>
      </w:r>
      <w:r w:rsidRPr="00302136">
        <w:rPr>
          <w:rFonts w:cs="Arial"/>
          <w:szCs w:val="24"/>
        </w:rPr>
        <w:t>*, Florian Röhrig</w:t>
      </w:r>
      <w:r w:rsidRPr="00302136">
        <w:rPr>
          <w:rFonts w:cs="Arial"/>
          <w:szCs w:val="24"/>
          <w:vertAlign w:val="superscript"/>
        </w:rPr>
        <w:t>2</w:t>
      </w:r>
      <w:r w:rsidRPr="00302136">
        <w:rPr>
          <w:rFonts w:cs="Arial"/>
          <w:szCs w:val="24"/>
        </w:rPr>
        <w:t>, Na Sun</w:t>
      </w:r>
      <w:r w:rsidRPr="00302136">
        <w:rPr>
          <w:rFonts w:cs="Arial"/>
          <w:szCs w:val="24"/>
          <w:vertAlign w:val="superscript"/>
        </w:rPr>
        <w:t>3</w:t>
      </w:r>
      <w:r w:rsidRPr="00302136">
        <w:rPr>
          <w:rFonts w:cs="Arial"/>
          <w:szCs w:val="24"/>
        </w:rPr>
        <w:t xml:space="preserve">, </w:t>
      </w:r>
      <w:r w:rsidR="0081659F" w:rsidRPr="00302136">
        <w:rPr>
          <w:rFonts w:cs="Arial"/>
          <w:szCs w:val="24"/>
        </w:rPr>
        <w:t>Laura-Sophie Landwehr</w:t>
      </w:r>
      <w:r w:rsidR="0081659F" w:rsidRPr="00302136">
        <w:rPr>
          <w:rFonts w:cs="Arial"/>
          <w:szCs w:val="24"/>
          <w:vertAlign w:val="superscript"/>
        </w:rPr>
        <w:t>1</w:t>
      </w:r>
      <w:r w:rsidR="0081659F" w:rsidRPr="00302136">
        <w:rPr>
          <w:rFonts w:cs="Arial"/>
          <w:szCs w:val="24"/>
        </w:rPr>
        <w:t xml:space="preserve">, </w:t>
      </w:r>
      <w:r w:rsidRPr="00302136">
        <w:rPr>
          <w:rFonts w:cs="Arial"/>
          <w:szCs w:val="24"/>
        </w:rPr>
        <w:t>Hanna Urlaub</w:t>
      </w:r>
      <w:r w:rsidRPr="00302136">
        <w:rPr>
          <w:rFonts w:cs="Arial"/>
          <w:szCs w:val="24"/>
          <w:vertAlign w:val="superscript"/>
        </w:rPr>
        <w:t>1</w:t>
      </w:r>
      <w:r w:rsidRPr="00302136">
        <w:rPr>
          <w:rFonts w:cs="Arial"/>
          <w:szCs w:val="24"/>
        </w:rPr>
        <w:t>,</w:t>
      </w:r>
      <w:r w:rsidR="001273B1" w:rsidRPr="00302136">
        <w:rPr>
          <w:rFonts w:cs="Arial"/>
          <w:szCs w:val="24"/>
        </w:rPr>
        <w:t xml:space="preserve"> Sabine Kendl</w:t>
      </w:r>
      <w:r w:rsidR="001273B1" w:rsidRPr="00302136">
        <w:rPr>
          <w:rFonts w:cs="Arial"/>
          <w:szCs w:val="24"/>
          <w:vertAlign w:val="superscript"/>
        </w:rPr>
        <w:t>1</w:t>
      </w:r>
      <w:r w:rsidR="001273B1" w:rsidRPr="00302136">
        <w:rPr>
          <w:rFonts w:cs="Arial"/>
          <w:szCs w:val="24"/>
        </w:rPr>
        <w:t>,</w:t>
      </w:r>
      <w:r w:rsidRPr="00302136">
        <w:rPr>
          <w:rFonts w:cs="Arial"/>
          <w:szCs w:val="24"/>
        </w:rPr>
        <w:t xml:space="preserve"> Katja Kiseljak-Vassiliades</w:t>
      </w:r>
      <w:r w:rsidRPr="00302136">
        <w:rPr>
          <w:rFonts w:cs="Arial"/>
          <w:szCs w:val="24"/>
          <w:vertAlign w:val="superscript"/>
        </w:rPr>
        <w:t>4,5</w:t>
      </w:r>
      <w:r w:rsidRPr="00302136">
        <w:rPr>
          <w:rFonts w:cs="Arial"/>
          <w:szCs w:val="24"/>
        </w:rPr>
        <w:t>, Margaret E. Wierman</w:t>
      </w:r>
      <w:r w:rsidRPr="00302136">
        <w:rPr>
          <w:rFonts w:cs="Arial"/>
          <w:szCs w:val="24"/>
          <w:vertAlign w:val="superscript"/>
        </w:rPr>
        <w:t>4,5</w:t>
      </w:r>
      <w:r w:rsidRPr="00302136">
        <w:rPr>
          <w:rFonts w:cs="Arial"/>
          <w:szCs w:val="24"/>
        </w:rPr>
        <w:t>, José Pedro Friedmann Angeli</w:t>
      </w:r>
      <w:r w:rsidRPr="00302136">
        <w:rPr>
          <w:rFonts w:cs="Arial"/>
          <w:szCs w:val="24"/>
          <w:vertAlign w:val="superscript"/>
        </w:rPr>
        <w:t>6</w:t>
      </w:r>
      <w:r w:rsidRPr="00302136">
        <w:rPr>
          <w:rFonts w:cs="Arial"/>
          <w:szCs w:val="24"/>
        </w:rPr>
        <w:t xml:space="preserve">, </w:t>
      </w:r>
      <w:r w:rsidR="00E726D2" w:rsidRPr="00302136">
        <w:rPr>
          <w:rFonts w:cs="Arial"/>
          <w:szCs w:val="24"/>
        </w:rPr>
        <w:t>Axel Walch</w:t>
      </w:r>
      <w:r w:rsidR="00E726D2" w:rsidRPr="00302136">
        <w:rPr>
          <w:rFonts w:cs="Arial"/>
          <w:szCs w:val="24"/>
          <w:vertAlign w:val="superscript"/>
        </w:rPr>
        <w:t>3</w:t>
      </w:r>
      <w:r w:rsidR="00E726D2" w:rsidRPr="00302136">
        <w:rPr>
          <w:rFonts w:cs="Arial"/>
          <w:szCs w:val="24"/>
        </w:rPr>
        <w:t xml:space="preserve">, </w:t>
      </w:r>
      <w:proofErr w:type="spellStart"/>
      <w:r w:rsidRPr="00302136">
        <w:rPr>
          <w:rFonts w:cs="Arial"/>
          <w:szCs w:val="24"/>
        </w:rPr>
        <w:t>Silviu</w:t>
      </w:r>
      <w:proofErr w:type="spellEnd"/>
      <w:r w:rsidRPr="00302136">
        <w:rPr>
          <w:rFonts w:cs="Arial"/>
          <w:szCs w:val="24"/>
        </w:rPr>
        <w:t xml:space="preserve"> Sbiera</w:t>
      </w:r>
      <w:r w:rsidRPr="00302136">
        <w:rPr>
          <w:rFonts w:cs="Arial"/>
          <w:szCs w:val="24"/>
          <w:vertAlign w:val="superscript"/>
        </w:rPr>
        <w:t>1</w:t>
      </w:r>
      <w:r w:rsidRPr="00302136">
        <w:rPr>
          <w:rFonts w:cs="Arial"/>
          <w:szCs w:val="24"/>
        </w:rPr>
        <w:t>, Martin Fassnacht</w:t>
      </w:r>
      <w:r w:rsidRPr="00302136">
        <w:rPr>
          <w:rFonts w:cs="Arial"/>
          <w:szCs w:val="24"/>
          <w:vertAlign w:val="superscript"/>
        </w:rPr>
        <w:t>1,7,8</w:t>
      </w:r>
      <w:r w:rsidRPr="00302136">
        <w:rPr>
          <w:rFonts w:cs="Arial"/>
          <w:szCs w:val="24"/>
        </w:rPr>
        <w:t xml:space="preserve"> &amp; Matthias Kroiss</w:t>
      </w:r>
      <w:r w:rsidRPr="00302136">
        <w:rPr>
          <w:rFonts w:cs="Arial"/>
          <w:szCs w:val="24"/>
          <w:vertAlign w:val="superscript"/>
        </w:rPr>
        <w:t>1,7</w:t>
      </w:r>
    </w:p>
    <w:p w14:paraId="7274FD9D" w14:textId="77777777" w:rsidR="004963D2" w:rsidRPr="00302136" w:rsidRDefault="004963D2" w:rsidP="004963D2">
      <w:pPr>
        <w:spacing w:line="360" w:lineRule="auto"/>
        <w:jc w:val="both"/>
        <w:rPr>
          <w:rFonts w:cs="Arial"/>
          <w:szCs w:val="24"/>
        </w:rPr>
      </w:pPr>
    </w:p>
    <w:p w14:paraId="3D7CE1E7" w14:textId="77777777" w:rsidR="001E65AE" w:rsidRPr="00302136" w:rsidRDefault="001E65AE" w:rsidP="001E65AE">
      <w:pPr>
        <w:rPr>
          <w:sz w:val="22"/>
          <w:szCs w:val="20"/>
        </w:rPr>
      </w:pPr>
      <w:r w:rsidRPr="00302136">
        <w:rPr>
          <w:sz w:val="22"/>
          <w:szCs w:val="20"/>
          <w:vertAlign w:val="superscript"/>
        </w:rPr>
        <w:t xml:space="preserve">1 </w:t>
      </w:r>
      <w:r w:rsidRPr="00302136">
        <w:rPr>
          <w:sz w:val="22"/>
          <w:szCs w:val="20"/>
        </w:rPr>
        <w:t>Department of Internal Medicine I, Division of Endocrinology and Diabetes, University Hospital, University of Würzburg, Würzburg, Germany</w:t>
      </w:r>
    </w:p>
    <w:p w14:paraId="7AF33C52" w14:textId="77777777" w:rsidR="001E65AE" w:rsidRPr="00302136" w:rsidRDefault="001E65AE" w:rsidP="001E65AE">
      <w:pPr>
        <w:rPr>
          <w:sz w:val="22"/>
          <w:szCs w:val="20"/>
          <w:lang w:eastAsia="en-GB"/>
        </w:rPr>
      </w:pPr>
      <w:r w:rsidRPr="00302136">
        <w:rPr>
          <w:iCs/>
          <w:sz w:val="22"/>
          <w:szCs w:val="20"/>
          <w:vertAlign w:val="superscript"/>
        </w:rPr>
        <w:t xml:space="preserve">2 </w:t>
      </w:r>
      <w:r w:rsidRPr="00302136">
        <w:rPr>
          <w:sz w:val="22"/>
          <w:szCs w:val="20"/>
          <w:lang w:eastAsia="en-GB"/>
        </w:rPr>
        <w:t>Department of Biochemistry and Molecular Biology, Theodor-</w:t>
      </w:r>
      <w:proofErr w:type="spellStart"/>
      <w:r w:rsidRPr="00302136">
        <w:rPr>
          <w:sz w:val="22"/>
          <w:szCs w:val="20"/>
          <w:lang w:eastAsia="en-GB"/>
        </w:rPr>
        <w:t>Boveri</w:t>
      </w:r>
      <w:proofErr w:type="spellEnd"/>
      <w:r w:rsidRPr="00302136">
        <w:rPr>
          <w:sz w:val="22"/>
          <w:szCs w:val="20"/>
          <w:lang w:eastAsia="en-GB"/>
        </w:rPr>
        <w:t xml:space="preserve">-Institute, </w:t>
      </w:r>
      <w:proofErr w:type="spellStart"/>
      <w:r w:rsidRPr="00302136">
        <w:rPr>
          <w:sz w:val="22"/>
          <w:szCs w:val="20"/>
          <w:lang w:eastAsia="en-GB"/>
        </w:rPr>
        <w:t>Biocenter</w:t>
      </w:r>
      <w:proofErr w:type="spellEnd"/>
      <w:r w:rsidRPr="00302136">
        <w:rPr>
          <w:sz w:val="22"/>
          <w:szCs w:val="20"/>
          <w:lang w:eastAsia="en-GB"/>
        </w:rPr>
        <w:t>, University of Würzburg, Würzburg, Germany</w:t>
      </w:r>
    </w:p>
    <w:p w14:paraId="605E1B16" w14:textId="77777777" w:rsidR="001E65AE" w:rsidRPr="00302136" w:rsidRDefault="001E65AE" w:rsidP="001E65AE">
      <w:pPr>
        <w:rPr>
          <w:rFonts w:eastAsia="Times New Roman"/>
          <w:sz w:val="18"/>
          <w:szCs w:val="18"/>
          <w:lang w:eastAsia="en-GB"/>
        </w:rPr>
      </w:pPr>
      <w:r w:rsidRPr="00302136">
        <w:rPr>
          <w:sz w:val="22"/>
          <w:szCs w:val="20"/>
          <w:vertAlign w:val="superscript"/>
        </w:rPr>
        <w:t xml:space="preserve">3 </w:t>
      </w:r>
      <w:r w:rsidRPr="00302136">
        <w:rPr>
          <w:sz w:val="22"/>
          <w:szCs w:val="20"/>
        </w:rPr>
        <w:t xml:space="preserve">Research Unit Analytical Pathology, Helmholtz </w:t>
      </w:r>
      <w:proofErr w:type="spellStart"/>
      <w:r w:rsidRPr="00302136">
        <w:rPr>
          <w:sz w:val="22"/>
          <w:szCs w:val="20"/>
        </w:rPr>
        <w:t>Zentrum</w:t>
      </w:r>
      <w:proofErr w:type="spellEnd"/>
      <w:r w:rsidRPr="00302136">
        <w:rPr>
          <w:sz w:val="22"/>
          <w:szCs w:val="20"/>
        </w:rPr>
        <w:t xml:space="preserve"> Munich, German Research Center for Environmental Health (GmbH)</w:t>
      </w:r>
    </w:p>
    <w:p w14:paraId="1541FA3B" w14:textId="77777777" w:rsidR="001E65AE" w:rsidRPr="00302136" w:rsidRDefault="001E65AE" w:rsidP="001E65AE">
      <w:pPr>
        <w:rPr>
          <w:rFonts w:eastAsia="Times New Roman"/>
          <w:sz w:val="16"/>
          <w:szCs w:val="16"/>
          <w:vertAlign w:val="superscript"/>
          <w:lang w:eastAsia="en-GB"/>
        </w:rPr>
      </w:pPr>
      <w:r w:rsidRPr="00302136">
        <w:rPr>
          <w:rFonts w:eastAsia="Times New Roman"/>
          <w:sz w:val="22"/>
          <w:szCs w:val="20"/>
          <w:vertAlign w:val="superscript"/>
          <w:lang w:eastAsia="en-GB"/>
        </w:rPr>
        <w:t xml:space="preserve">4 </w:t>
      </w:r>
      <w:r w:rsidRPr="00302136">
        <w:rPr>
          <w:sz w:val="22"/>
          <w:szCs w:val="20"/>
          <w:lang w:val="en-GB"/>
        </w:rPr>
        <w:t>University of Colorado School of Medicine, Division of Endocrinology, Aurora, CO, USA</w:t>
      </w:r>
    </w:p>
    <w:p w14:paraId="1F2957BE" w14:textId="77777777" w:rsidR="001E65AE" w:rsidRPr="00302136" w:rsidRDefault="001E65AE" w:rsidP="001E65AE">
      <w:pPr>
        <w:rPr>
          <w:rFonts w:eastAsia="Times New Roman"/>
          <w:sz w:val="22"/>
          <w:szCs w:val="20"/>
          <w:vertAlign w:val="superscript"/>
          <w:lang w:eastAsia="en-GB"/>
        </w:rPr>
      </w:pPr>
      <w:r w:rsidRPr="00302136">
        <w:rPr>
          <w:rFonts w:eastAsia="Times New Roman"/>
          <w:sz w:val="22"/>
          <w:szCs w:val="20"/>
          <w:vertAlign w:val="superscript"/>
          <w:lang w:eastAsia="en-GB"/>
        </w:rPr>
        <w:t xml:space="preserve">5 </w:t>
      </w:r>
      <w:r w:rsidRPr="00302136">
        <w:rPr>
          <w:sz w:val="22"/>
          <w:szCs w:val="20"/>
        </w:rPr>
        <w:t>Research Service Veterans Affairs Medical Center, Rocky Mountain Regional Veterans Affairs Medical   Center, Aurora, CO, USA</w:t>
      </w:r>
    </w:p>
    <w:p w14:paraId="1017D13E" w14:textId="77777777" w:rsidR="001E65AE" w:rsidRPr="00302136" w:rsidRDefault="001E65AE" w:rsidP="001E65AE">
      <w:pPr>
        <w:rPr>
          <w:rFonts w:eastAsia="Times New Roman"/>
          <w:sz w:val="22"/>
          <w:szCs w:val="20"/>
          <w:vertAlign w:val="superscript"/>
          <w:lang w:eastAsia="en-GB"/>
        </w:rPr>
      </w:pPr>
      <w:r w:rsidRPr="00302136">
        <w:rPr>
          <w:rFonts w:eastAsia="Times New Roman"/>
          <w:sz w:val="22"/>
          <w:szCs w:val="20"/>
          <w:vertAlign w:val="superscript"/>
          <w:lang w:eastAsia="en-GB"/>
        </w:rPr>
        <w:t xml:space="preserve">6 </w:t>
      </w:r>
      <w:r w:rsidRPr="00302136">
        <w:rPr>
          <w:sz w:val="22"/>
          <w:szCs w:val="20"/>
        </w:rPr>
        <w:t>Rudolf Virchow Center for Experimental Biomedicine, University of Würzburg, Würzburg, Germany</w:t>
      </w:r>
    </w:p>
    <w:p w14:paraId="7CC2FA5B" w14:textId="77777777" w:rsidR="001E65AE" w:rsidRPr="00302136" w:rsidRDefault="001E65AE" w:rsidP="001E65AE">
      <w:pPr>
        <w:rPr>
          <w:sz w:val="22"/>
          <w:szCs w:val="20"/>
          <w:lang w:eastAsia="en-GB"/>
        </w:rPr>
      </w:pPr>
      <w:r w:rsidRPr="00302136">
        <w:rPr>
          <w:sz w:val="22"/>
          <w:szCs w:val="18"/>
          <w:vertAlign w:val="superscript"/>
          <w:lang w:eastAsia="en-GB"/>
        </w:rPr>
        <w:t xml:space="preserve">7 </w:t>
      </w:r>
      <w:r w:rsidRPr="00302136">
        <w:rPr>
          <w:sz w:val="22"/>
          <w:szCs w:val="18"/>
          <w:lang w:eastAsia="en-GB"/>
        </w:rPr>
        <w:t xml:space="preserve">Comprehensive Cancer Center </w:t>
      </w:r>
      <w:proofErr w:type="spellStart"/>
      <w:r w:rsidRPr="00302136">
        <w:rPr>
          <w:sz w:val="22"/>
          <w:szCs w:val="18"/>
          <w:lang w:eastAsia="en-GB"/>
        </w:rPr>
        <w:t>Mainfranken</w:t>
      </w:r>
      <w:proofErr w:type="spellEnd"/>
      <w:r w:rsidRPr="00302136">
        <w:rPr>
          <w:sz w:val="22"/>
          <w:szCs w:val="18"/>
          <w:lang w:eastAsia="en-GB"/>
        </w:rPr>
        <w:t xml:space="preserve">, </w:t>
      </w:r>
      <w:r w:rsidRPr="00302136">
        <w:rPr>
          <w:sz w:val="22"/>
          <w:szCs w:val="20"/>
          <w:lang w:eastAsia="en-GB"/>
        </w:rPr>
        <w:t>University of Würzburg, Würzburg, Germany</w:t>
      </w:r>
    </w:p>
    <w:p w14:paraId="5F0B7629" w14:textId="77777777" w:rsidR="001E65AE" w:rsidRPr="00302136" w:rsidRDefault="001E65AE" w:rsidP="001E65AE">
      <w:pPr>
        <w:rPr>
          <w:sz w:val="22"/>
          <w:szCs w:val="20"/>
          <w:lang w:val="en-GB"/>
        </w:rPr>
      </w:pPr>
      <w:r w:rsidRPr="00302136">
        <w:rPr>
          <w:rFonts w:eastAsia="Times New Roman"/>
          <w:sz w:val="22"/>
          <w:szCs w:val="20"/>
          <w:vertAlign w:val="superscript"/>
          <w:lang w:val="en-GB" w:eastAsia="en-GB"/>
        </w:rPr>
        <w:t xml:space="preserve">8 </w:t>
      </w:r>
      <w:r w:rsidRPr="00302136">
        <w:rPr>
          <w:sz w:val="22"/>
          <w:szCs w:val="20"/>
          <w:lang w:val="en-GB"/>
        </w:rPr>
        <w:t>Central Laboratory, University Hospital Würzburg, Würzburg, Germany</w:t>
      </w:r>
    </w:p>
    <w:p w14:paraId="55C0DB89" w14:textId="51AF6FBF" w:rsidR="001E65AE" w:rsidRPr="00302136" w:rsidRDefault="001E65AE" w:rsidP="001E65AE">
      <w:pPr>
        <w:rPr>
          <w:sz w:val="22"/>
          <w:szCs w:val="20"/>
          <w:lang w:val="en-GB"/>
        </w:rPr>
      </w:pPr>
      <w:r w:rsidRPr="00302136">
        <w:rPr>
          <w:sz w:val="22"/>
          <w:szCs w:val="20"/>
          <w:lang w:val="en-GB"/>
        </w:rPr>
        <w:t>*</w:t>
      </w:r>
      <w:r w:rsidR="00992EC7" w:rsidRPr="00302136">
        <w:rPr>
          <w:sz w:val="22"/>
          <w:szCs w:val="20"/>
          <w:lang w:val="en-GB"/>
        </w:rPr>
        <w:t>These authors contributed equally</w:t>
      </w:r>
    </w:p>
    <w:p w14:paraId="72F28165" w14:textId="77777777" w:rsidR="00BE6FC3" w:rsidRPr="00302136" w:rsidRDefault="00BE6FC3">
      <w:pPr>
        <w:rPr>
          <w:rFonts w:cs="Arial"/>
          <w:lang w:val="en-GB"/>
        </w:rPr>
      </w:pPr>
    </w:p>
    <w:p w14:paraId="6550C581" w14:textId="66B5DD39" w:rsidR="00187DE2" w:rsidRPr="00302136" w:rsidRDefault="00187DE2" w:rsidP="00DC036E">
      <w:pPr>
        <w:spacing w:line="360" w:lineRule="auto"/>
        <w:jc w:val="both"/>
        <w:rPr>
          <w:rFonts w:cs="Arial"/>
          <w:szCs w:val="24"/>
        </w:rPr>
      </w:pPr>
    </w:p>
    <w:p w14:paraId="69F4BB1B" w14:textId="77777777" w:rsidR="00187DE2" w:rsidRPr="00302136" w:rsidRDefault="00187DE2" w:rsidP="00DC036E">
      <w:pPr>
        <w:spacing w:line="360" w:lineRule="auto"/>
        <w:jc w:val="both"/>
        <w:rPr>
          <w:rFonts w:cs="Arial"/>
          <w:b/>
          <w:szCs w:val="24"/>
        </w:rPr>
      </w:pPr>
    </w:p>
    <w:p w14:paraId="11F11286" w14:textId="6F1BC01F" w:rsidR="00DC036E" w:rsidRPr="00302136" w:rsidRDefault="00187DE2" w:rsidP="00BE6FC3">
      <w:pPr>
        <w:spacing w:line="360" w:lineRule="auto"/>
        <w:jc w:val="both"/>
        <w:rPr>
          <w:rFonts w:cs="Arial"/>
          <w:b/>
          <w:szCs w:val="24"/>
        </w:rPr>
      </w:pPr>
      <w:r w:rsidRPr="00302136">
        <w:rPr>
          <w:rFonts w:cs="Arial"/>
          <w:b/>
          <w:szCs w:val="24"/>
        </w:rPr>
        <w:t xml:space="preserve">Supplementary </w:t>
      </w:r>
      <w:r w:rsidR="00ED2043" w:rsidRPr="00302136">
        <w:rPr>
          <w:rFonts w:cs="Arial"/>
          <w:b/>
          <w:szCs w:val="24"/>
        </w:rPr>
        <w:t>F</w:t>
      </w:r>
      <w:r w:rsidRPr="00302136">
        <w:rPr>
          <w:rFonts w:cs="Arial"/>
          <w:b/>
          <w:szCs w:val="24"/>
        </w:rPr>
        <w:t>ig. 1</w:t>
      </w:r>
    </w:p>
    <w:p w14:paraId="1887E99E" w14:textId="6067D229" w:rsidR="00187DE2" w:rsidRPr="00302136" w:rsidRDefault="00187DE2" w:rsidP="00187DE2">
      <w:pPr>
        <w:spacing w:line="360" w:lineRule="auto"/>
        <w:jc w:val="both"/>
        <w:rPr>
          <w:rFonts w:cs="Arial"/>
          <w:szCs w:val="24"/>
        </w:rPr>
      </w:pPr>
      <w:r w:rsidRPr="00302136">
        <w:rPr>
          <w:rFonts w:cs="Arial"/>
          <w:szCs w:val="24"/>
        </w:rPr>
        <w:t xml:space="preserve">Kaplan Meier plots of </w:t>
      </w:r>
      <w:r w:rsidR="00ED2043" w:rsidRPr="00302136">
        <w:rPr>
          <w:rFonts w:cs="Arial"/>
          <w:szCs w:val="24"/>
        </w:rPr>
        <w:t xml:space="preserve">overall survival in in ACC patients of the TCGA cohort stratified by expression of </w:t>
      </w:r>
      <w:r w:rsidRPr="00302136">
        <w:rPr>
          <w:rFonts w:cs="Arial"/>
          <w:szCs w:val="24"/>
        </w:rPr>
        <w:t>ACSL4 (</w:t>
      </w:r>
      <w:r w:rsidR="00B9705F" w:rsidRPr="00302136">
        <w:rPr>
          <w:rFonts w:cs="Arial"/>
          <w:szCs w:val="24"/>
        </w:rPr>
        <w:t>A</w:t>
      </w:r>
      <w:r w:rsidRPr="00302136">
        <w:rPr>
          <w:rFonts w:cs="Arial"/>
          <w:szCs w:val="24"/>
        </w:rPr>
        <w:t>), GPX4 (</w:t>
      </w:r>
      <w:r w:rsidR="00B9705F" w:rsidRPr="00302136">
        <w:rPr>
          <w:rFonts w:cs="Arial"/>
          <w:szCs w:val="24"/>
        </w:rPr>
        <w:t>B</w:t>
      </w:r>
      <w:r w:rsidRPr="00302136">
        <w:rPr>
          <w:rFonts w:cs="Arial"/>
          <w:szCs w:val="24"/>
        </w:rPr>
        <w:t>) and SLC7A11 (</w:t>
      </w:r>
      <w:r w:rsidR="00B9705F" w:rsidRPr="00302136">
        <w:rPr>
          <w:rFonts w:cs="Arial"/>
          <w:szCs w:val="24"/>
        </w:rPr>
        <w:t>C</w:t>
      </w:r>
      <w:r w:rsidRPr="00302136">
        <w:rPr>
          <w:rFonts w:cs="Arial"/>
          <w:szCs w:val="24"/>
        </w:rPr>
        <w:t>).</w:t>
      </w:r>
    </w:p>
    <w:p w14:paraId="686066D5" w14:textId="2465AE15" w:rsidR="00BE6FC3" w:rsidRPr="00302136" w:rsidRDefault="00B9705F">
      <w:pPr>
        <w:rPr>
          <w:rFonts w:cs="Arial"/>
          <w:b/>
          <w:szCs w:val="24"/>
        </w:rPr>
      </w:pPr>
      <w:r w:rsidRPr="00302136">
        <w:rPr>
          <w:rFonts w:cs="Arial"/>
          <w:b/>
          <w:szCs w:val="24"/>
        </w:rPr>
        <w:t xml:space="preserve">Supplementary </w:t>
      </w:r>
      <w:r w:rsidR="00ED2043" w:rsidRPr="00302136">
        <w:rPr>
          <w:rFonts w:cs="Arial"/>
          <w:b/>
          <w:szCs w:val="24"/>
        </w:rPr>
        <w:t>Fig</w:t>
      </w:r>
      <w:r w:rsidRPr="00302136">
        <w:rPr>
          <w:rFonts w:cs="Arial"/>
          <w:b/>
          <w:szCs w:val="24"/>
        </w:rPr>
        <w:t>. 2</w:t>
      </w:r>
    </w:p>
    <w:p w14:paraId="5087DB92" w14:textId="18A4F60E" w:rsidR="00B9705F" w:rsidRPr="00302136" w:rsidRDefault="00B9705F">
      <w:pPr>
        <w:rPr>
          <w:rFonts w:cs="Arial"/>
          <w:szCs w:val="24"/>
        </w:rPr>
      </w:pPr>
      <w:r w:rsidRPr="00302136">
        <w:rPr>
          <w:rFonts w:cs="Arial"/>
          <w:szCs w:val="24"/>
        </w:rPr>
        <w:t>Steroid secretion of NCI-H295R (A) and CU-ACC1 (B) cells after ketoconazole treatment for 24 h and of NCI-H295R (C) and CU-ACC1 (D) cells after metyrapone treatment for 24 h. CYP11A1 expression of different cell lines (E).</w:t>
      </w:r>
      <w:r w:rsidR="0016428F" w:rsidRPr="00302136">
        <w:rPr>
          <w:rFonts w:cs="Arial"/>
          <w:szCs w:val="24"/>
        </w:rPr>
        <w:t xml:space="preserve"> Only steroids </w:t>
      </w:r>
      <w:r w:rsidR="0016428F" w:rsidRPr="00302136">
        <w:rPr>
          <w:rFonts w:cs="Arial"/>
          <w:szCs w:val="24"/>
        </w:rPr>
        <w:lastRenderedPageBreak/>
        <w:t xml:space="preserve">measurable in the supernatants of both cell lines are shown.  Note that cells were cultured for 24 h before inhibitors were added for another 24 h. </w:t>
      </w:r>
    </w:p>
    <w:p w14:paraId="090AD38F" w14:textId="6E4CABBF" w:rsidR="00B9705F" w:rsidRPr="00302136" w:rsidRDefault="00B9705F">
      <w:pPr>
        <w:rPr>
          <w:rFonts w:cs="Arial"/>
          <w:szCs w:val="24"/>
        </w:rPr>
      </w:pPr>
    </w:p>
    <w:p w14:paraId="7A00295C" w14:textId="50402BDD" w:rsidR="00A35011" w:rsidRPr="00302136" w:rsidRDefault="00A35011" w:rsidP="00A35011">
      <w:pPr>
        <w:rPr>
          <w:rFonts w:cs="Arial"/>
          <w:b/>
          <w:szCs w:val="24"/>
        </w:rPr>
      </w:pPr>
      <w:r w:rsidRPr="00302136">
        <w:rPr>
          <w:rFonts w:cs="Arial"/>
          <w:b/>
          <w:szCs w:val="24"/>
        </w:rPr>
        <w:t>Supplementary Fig. 3</w:t>
      </w:r>
    </w:p>
    <w:p w14:paraId="48DF8A76" w14:textId="288B3B56" w:rsidR="00A35011" w:rsidRPr="00302136" w:rsidRDefault="00A35011" w:rsidP="00A35011">
      <w:pPr>
        <w:rPr>
          <w:rFonts w:cs="Arial"/>
          <w:bCs/>
          <w:szCs w:val="24"/>
        </w:rPr>
      </w:pPr>
      <w:r w:rsidRPr="00302136">
        <w:rPr>
          <w:rFonts w:cs="Arial"/>
          <w:bCs/>
          <w:szCs w:val="24"/>
        </w:rPr>
        <w:t>Overview of steroid synthesis</w:t>
      </w:r>
      <w:r w:rsidR="00756B1A" w:rsidRPr="00302136">
        <w:rPr>
          <w:rFonts w:cs="Arial"/>
          <w:bCs/>
          <w:szCs w:val="24"/>
        </w:rPr>
        <w:t xml:space="preserve"> in adrenocortical cells. Color coding: green: glucocorticoids and precursors, blue: </w:t>
      </w:r>
      <w:proofErr w:type="spellStart"/>
      <w:r w:rsidR="00756B1A" w:rsidRPr="00302136">
        <w:rPr>
          <w:rFonts w:cs="Arial"/>
          <w:bCs/>
          <w:szCs w:val="24"/>
        </w:rPr>
        <w:t>mineralcorticoids</w:t>
      </w:r>
      <w:proofErr w:type="spellEnd"/>
      <w:r w:rsidR="00756B1A" w:rsidRPr="00302136">
        <w:rPr>
          <w:rFonts w:cs="Arial"/>
          <w:bCs/>
          <w:szCs w:val="24"/>
        </w:rPr>
        <w:t>, magenta: androgens and brown: estrogens. Only enzymes and genes mentioned in the manuscript are depicted. Main steps inhibited by ketoconazole (red) and metyrapone (yellow) are indicated</w:t>
      </w:r>
      <w:r w:rsidR="00C10813" w:rsidRPr="00302136">
        <w:rPr>
          <w:rFonts w:cs="Arial"/>
          <w:bCs/>
          <w:szCs w:val="24"/>
          <w:vertAlign w:val="superscript"/>
        </w:rPr>
        <w:t>33</w:t>
      </w:r>
      <w:r w:rsidR="00756B1A" w:rsidRPr="00302136">
        <w:rPr>
          <w:rFonts w:cs="Arial"/>
          <w:bCs/>
          <w:szCs w:val="24"/>
        </w:rPr>
        <w:t>.</w:t>
      </w:r>
      <w:r w:rsidR="00C21187" w:rsidRPr="00302136">
        <w:rPr>
          <w:rFonts w:cs="Arial"/>
          <w:bCs/>
          <w:szCs w:val="24"/>
        </w:rPr>
        <w:t xml:space="preserve"> In black, </w:t>
      </w:r>
      <w:r w:rsidR="0077397E" w:rsidRPr="00302136">
        <w:rPr>
          <w:rFonts w:cs="Arial"/>
          <w:bCs/>
          <w:szCs w:val="24"/>
        </w:rPr>
        <w:t xml:space="preserve">known </w:t>
      </w:r>
      <w:r w:rsidR="00C21187" w:rsidRPr="00302136">
        <w:rPr>
          <w:rFonts w:cs="Arial"/>
          <w:bCs/>
          <w:szCs w:val="24"/>
        </w:rPr>
        <w:t>enzymes inhibited by aminoglutethimide</w:t>
      </w:r>
      <w:r w:rsidR="00894663" w:rsidRPr="00302136">
        <w:rPr>
          <w:rFonts w:cs="Arial"/>
          <w:bCs/>
          <w:szCs w:val="24"/>
        </w:rPr>
        <w:t>,</w:t>
      </w:r>
      <w:r w:rsidR="001273B1" w:rsidRPr="00302136">
        <w:rPr>
          <w:rFonts w:cs="Arial"/>
          <w:bCs/>
          <w:szCs w:val="24"/>
        </w:rPr>
        <w:t xml:space="preserve"> etomidate,</w:t>
      </w:r>
      <w:r w:rsidR="00894663" w:rsidRPr="00302136">
        <w:rPr>
          <w:rFonts w:cs="Arial"/>
          <w:bCs/>
          <w:szCs w:val="24"/>
        </w:rPr>
        <w:t xml:space="preserve"> abiraterone and </w:t>
      </w:r>
      <w:proofErr w:type="spellStart"/>
      <w:r w:rsidR="00894663" w:rsidRPr="00302136">
        <w:rPr>
          <w:rFonts w:cs="Arial"/>
          <w:bCs/>
          <w:szCs w:val="24"/>
        </w:rPr>
        <w:t>galeterone</w:t>
      </w:r>
      <w:proofErr w:type="spellEnd"/>
      <w:r w:rsidR="00894663" w:rsidRPr="00302136">
        <w:rPr>
          <w:rFonts w:cs="Arial"/>
          <w:bCs/>
          <w:szCs w:val="24"/>
        </w:rPr>
        <w:t xml:space="preserve"> are indicated.</w:t>
      </w:r>
    </w:p>
    <w:p w14:paraId="5C09AB5E" w14:textId="48EA17E6" w:rsidR="00A35011" w:rsidRPr="00302136" w:rsidRDefault="00A35011">
      <w:pPr>
        <w:rPr>
          <w:rFonts w:cs="Arial"/>
          <w:szCs w:val="24"/>
        </w:rPr>
      </w:pPr>
    </w:p>
    <w:p w14:paraId="3C0B3C85" w14:textId="4F619B78" w:rsidR="00992EC7" w:rsidRPr="00302136" w:rsidRDefault="00992EC7" w:rsidP="00992EC7">
      <w:pPr>
        <w:rPr>
          <w:rFonts w:cs="Arial"/>
          <w:b/>
          <w:szCs w:val="24"/>
        </w:rPr>
      </w:pPr>
      <w:r w:rsidRPr="00302136">
        <w:rPr>
          <w:rFonts w:cs="Arial"/>
          <w:b/>
          <w:szCs w:val="24"/>
        </w:rPr>
        <w:t>Supplementary Fig. 4</w:t>
      </w:r>
    </w:p>
    <w:p w14:paraId="64468835" w14:textId="367AEDE5" w:rsidR="00894663" w:rsidRPr="00302136" w:rsidRDefault="00894663" w:rsidP="00992EC7">
      <w:pPr>
        <w:rPr>
          <w:rFonts w:cs="Arial"/>
          <w:bCs/>
          <w:szCs w:val="24"/>
        </w:rPr>
      </w:pPr>
      <w:r w:rsidRPr="00302136">
        <w:rPr>
          <w:rFonts w:cs="Arial"/>
          <w:bCs/>
          <w:szCs w:val="24"/>
        </w:rPr>
        <w:t xml:space="preserve">NCI-H295R cells treated with RSL3 and different concentrations of etomidate (A), RSL3 and aminoglutethimide (B), RSL3 and abiraterone (C) and RSL3 and </w:t>
      </w:r>
      <w:proofErr w:type="spellStart"/>
      <w:r w:rsidRPr="00302136">
        <w:rPr>
          <w:rFonts w:cs="Arial"/>
          <w:bCs/>
          <w:szCs w:val="24"/>
        </w:rPr>
        <w:t>galeterone</w:t>
      </w:r>
      <w:proofErr w:type="spellEnd"/>
      <w:r w:rsidRPr="00302136">
        <w:rPr>
          <w:rFonts w:cs="Arial"/>
          <w:bCs/>
          <w:szCs w:val="24"/>
        </w:rPr>
        <w:t xml:space="preserve"> (D).</w:t>
      </w:r>
      <w:r w:rsidR="001273B1" w:rsidRPr="00302136">
        <w:rPr>
          <w:rFonts w:cs="Arial"/>
          <w:bCs/>
          <w:szCs w:val="24"/>
        </w:rPr>
        <w:t xml:space="preserve"> </w:t>
      </w:r>
      <w:r w:rsidR="0077397E" w:rsidRPr="00302136">
        <w:rPr>
          <w:rFonts w:cs="Arial"/>
          <w:bCs/>
          <w:szCs w:val="24"/>
        </w:rPr>
        <w:t xml:space="preserve">Note that in NCI-H295R cells 0.5µM RSL3 is close to the EC50 value which explains why cells have sometimes completely died. </w:t>
      </w:r>
      <w:r w:rsidR="001273B1" w:rsidRPr="00302136">
        <w:rPr>
          <w:rFonts w:cs="Arial"/>
          <w:bCs/>
          <w:szCs w:val="24"/>
        </w:rPr>
        <w:t>NCI-H295R treated with RSL3 and incubated with progesterone and pregnenolone (E).</w:t>
      </w:r>
      <w:r w:rsidRPr="00302136">
        <w:rPr>
          <w:rFonts w:cs="Arial"/>
          <w:bCs/>
          <w:szCs w:val="24"/>
        </w:rPr>
        <w:t xml:space="preserve"> HepG2 cells treated with 20 µM RSL3 </w:t>
      </w:r>
      <w:r w:rsidR="005731E6" w:rsidRPr="00302136">
        <w:rPr>
          <w:rFonts w:cs="Arial"/>
          <w:bCs/>
          <w:szCs w:val="24"/>
        </w:rPr>
        <w:t xml:space="preserve">and either </w:t>
      </w:r>
      <w:proofErr w:type="spellStart"/>
      <w:r w:rsidR="005731E6" w:rsidRPr="00302136">
        <w:rPr>
          <w:rFonts w:cs="Arial"/>
          <w:bCs/>
          <w:szCs w:val="24"/>
        </w:rPr>
        <w:t>liproxstatin</w:t>
      </w:r>
      <w:proofErr w:type="spellEnd"/>
      <w:r w:rsidR="005731E6" w:rsidRPr="00302136">
        <w:rPr>
          <w:rFonts w:cs="Arial"/>
          <w:bCs/>
          <w:szCs w:val="24"/>
        </w:rPr>
        <w:t xml:space="preserve"> (</w:t>
      </w:r>
      <w:r w:rsidR="001273B1" w:rsidRPr="00302136">
        <w:rPr>
          <w:rFonts w:cs="Arial"/>
          <w:bCs/>
          <w:szCs w:val="24"/>
        </w:rPr>
        <w:t>F</w:t>
      </w:r>
      <w:r w:rsidR="005731E6" w:rsidRPr="00302136">
        <w:rPr>
          <w:rFonts w:cs="Arial"/>
          <w:bCs/>
          <w:szCs w:val="24"/>
        </w:rPr>
        <w:t>) or ferrostatin (</w:t>
      </w:r>
      <w:r w:rsidR="001273B1" w:rsidRPr="00302136">
        <w:rPr>
          <w:rFonts w:cs="Arial"/>
          <w:bCs/>
          <w:szCs w:val="24"/>
        </w:rPr>
        <w:t>G</w:t>
      </w:r>
      <w:r w:rsidR="005731E6" w:rsidRPr="00302136">
        <w:rPr>
          <w:rFonts w:cs="Arial"/>
          <w:bCs/>
          <w:szCs w:val="24"/>
        </w:rPr>
        <w:t xml:space="preserve">). </w:t>
      </w:r>
    </w:p>
    <w:p w14:paraId="57A3A559" w14:textId="77777777" w:rsidR="00992EC7" w:rsidRPr="00302136" w:rsidRDefault="00992EC7">
      <w:pPr>
        <w:rPr>
          <w:rFonts w:cs="Arial"/>
          <w:szCs w:val="24"/>
        </w:rPr>
      </w:pPr>
    </w:p>
    <w:p w14:paraId="0987E81B" w14:textId="28879B55" w:rsidR="00B9705F" w:rsidRPr="00302136" w:rsidRDefault="00B9705F">
      <w:pPr>
        <w:rPr>
          <w:rFonts w:cs="Arial"/>
          <w:b/>
          <w:szCs w:val="24"/>
        </w:rPr>
      </w:pPr>
      <w:r w:rsidRPr="00302136">
        <w:rPr>
          <w:rFonts w:cs="Arial"/>
          <w:b/>
          <w:szCs w:val="24"/>
        </w:rPr>
        <w:t xml:space="preserve">Supplementary </w:t>
      </w:r>
      <w:r w:rsidR="00ED2043" w:rsidRPr="00302136">
        <w:rPr>
          <w:rFonts w:cs="Arial"/>
          <w:b/>
          <w:szCs w:val="24"/>
        </w:rPr>
        <w:t>Fig</w:t>
      </w:r>
      <w:r w:rsidRPr="00302136">
        <w:rPr>
          <w:rFonts w:cs="Arial"/>
          <w:b/>
          <w:szCs w:val="24"/>
        </w:rPr>
        <w:t>.</w:t>
      </w:r>
      <w:r w:rsidR="001E65AE" w:rsidRPr="00302136">
        <w:rPr>
          <w:rFonts w:cs="Arial"/>
          <w:b/>
          <w:szCs w:val="24"/>
        </w:rPr>
        <w:t xml:space="preserve"> </w:t>
      </w:r>
      <w:r w:rsidR="00992EC7" w:rsidRPr="00302136">
        <w:rPr>
          <w:rFonts w:cs="Arial"/>
          <w:b/>
          <w:szCs w:val="24"/>
        </w:rPr>
        <w:t>5</w:t>
      </w:r>
    </w:p>
    <w:p w14:paraId="48BC2341" w14:textId="77777777" w:rsidR="0081659F" w:rsidRPr="00302136" w:rsidRDefault="00276DB6">
      <w:pPr>
        <w:rPr>
          <w:rFonts w:cs="Arial"/>
          <w:szCs w:val="24"/>
        </w:rPr>
      </w:pPr>
      <w:r w:rsidRPr="00302136">
        <w:rPr>
          <w:rFonts w:cs="Arial"/>
          <w:szCs w:val="24"/>
        </w:rPr>
        <w:t>Inhibition of de-novo cholesterol synthesis by t</w:t>
      </w:r>
      <w:r w:rsidR="00B9705F" w:rsidRPr="00302136">
        <w:rPr>
          <w:rFonts w:cs="Arial"/>
          <w:szCs w:val="24"/>
        </w:rPr>
        <w:t>asin-1</w:t>
      </w:r>
      <w:r w:rsidRPr="00302136">
        <w:rPr>
          <w:rFonts w:cs="Arial"/>
          <w:szCs w:val="24"/>
        </w:rPr>
        <w:t xml:space="preserve"> (5µM)</w:t>
      </w:r>
      <w:r w:rsidR="00B9705F" w:rsidRPr="00302136">
        <w:rPr>
          <w:rFonts w:cs="Arial"/>
          <w:szCs w:val="24"/>
        </w:rPr>
        <w:t xml:space="preserve"> </w:t>
      </w:r>
      <w:r w:rsidRPr="00302136">
        <w:rPr>
          <w:rFonts w:cs="Arial"/>
          <w:szCs w:val="24"/>
        </w:rPr>
        <w:t xml:space="preserve">did not protect cells from RSL3-induced </w:t>
      </w:r>
      <w:r w:rsidR="00ED2043" w:rsidRPr="00302136">
        <w:rPr>
          <w:rFonts w:cs="Arial"/>
          <w:szCs w:val="24"/>
        </w:rPr>
        <w:t>cell death</w:t>
      </w:r>
      <w:r w:rsidRPr="00302136">
        <w:rPr>
          <w:rFonts w:cs="Arial"/>
          <w:szCs w:val="24"/>
        </w:rPr>
        <w:t xml:space="preserve">. By overcoming cholesterol synthesis block by </w:t>
      </w:r>
      <w:proofErr w:type="spellStart"/>
      <w:r w:rsidRPr="00302136">
        <w:rPr>
          <w:rFonts w:cs="Arial"/>
          <w:szCs w:val="24"/>
        </w:rPr>
        <w:t>lathosterol</w:t>
      </w:r>
      <w:proofErr w:type="spellEnd"/>
      <w:r w:rsidRPr="00302136">
        <w:rPr>
          <w:rFonts w:cs="Arial"/>
          <w:szCs w:val="24"/>
        </w:rPr>
        <w:t xml:space="preserve"> supplementation, </w:t>
      </w:r>
      <w:r w:rsidR="004A36B3" w:rsidRPr="00302136">
        <w:rPr>
          <w:rFonts w:cs="Arial"/>
          <w:szCs w:val="24"/>
        </w:rPr>
        <w:t xml:space="preserve">cell viability was not affected either (A-D). </w:t>
      </w:r>
      <w:r w:rsidRPr="00302136">
        <w:rPr>
          <w:rFonts w:cs="Arial"/>
          <w:szCs w:val="24"/>
        </w:rPr>
        <w:t xml:space="preserve"> </w:t>
      </w:r>
    </w:p>
    <w:p w14:paraId="69B07C4E" w14:textId="77777777" w:rsidR="0081659F" w:rsidRPr="00302136" w:rsidRDefault="0081659F">
      <w:pPr>
        <w:rPr>
          <w:rFonts w:cs="Arial"/>
          <w:szCs w:val="24"/>
        </w:rPr>
      </w:pPr>
    </w:p>
    <w:p w14:paraId="1D44DAD8" w14:textId="3A98DCEA" w:rsidR="00B9705F" w:rsidRPr="00B9705F" w:rsidRDefault="0081659F">
      <w:pPr>
        <w:rPr>
          <w:rFonts w:cs="Arial"/>
          <w:szCs w:val="24"/>
        </w:rPr>
      </w:pPr>
      <w:r w:rsidRPr="00302136">
        <w:rPr>
          <w:noProof/>
          <w:szCs w:val="24"/>
        </w:rPr>
        <w:fldChar w:fldCharType="begin"/>
      </w:r>
      <w:r w:rsidRPr="00302136">
        <w:rPr>
          <w:szCs w:val="24"/>
          <w:lang w:val="de-DE"/>
        </w:rPr>
        <w:instrText xml:space="preserve"> ADDIN EN.REFLIST </w:instrText>
      </w:r>
      <w:r w:rsidRPr="00302136">
        <w:rPr>
          <w:noProof/>
          <w:szCs w:val="24"/>
        </w:rPr>
        <w:fldChar w:fldCharType="end"/>
      </w:r>
      <w:bookmarkStart w:id="0" w:name="_GoBack"/>
      <w:bookmarkEnd w:id="0"/>
    </w:p>
    <w:sectPr w:rsidR="00B9705F" w:rsidRPr="00B9705F" w:rsidSect="005971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 Research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rpwffppudesstep0fa5apd39axzff92et0s&quot;&gt;adrenal and ferroptosis Copy&lt;record-ids&gt;&lt;item&gt;54&lt;/item&gt;&lt;/record-ids&gt;&lt;/item&gt;&lt;/Libraries&gt;"/>
  </w:docVars>
  <w:rsids>
    <w:rsidRoot w:val="00BE6FC3"/>
    <w:rsid w:val="000D7FA2"/>
    <w:rsid w:val="0010523B"/>
    <w:rsid w:val="001273B1"/>
    <w:rsid w:val="0016428F"/>
    <w:rsid w:val="00187DE2"/>
    <w:rsid w:val="001E65AE"/>
    <w:rsid w:val="00276DB6"/>
    <w:rsid w:val="002C1EAB"/>
    <w:rsid w:val="00302136"/>
    <w:rsid w:val="003224D4"/>
    <w:rsid w:val="004029BF"/>
    <w:rsid w:val="004963D2"/>
    <w:rsid w:val="004A36B3"/>
    <w:rsid w:val="00566FC3"/>
    <w:rsid w:val="005731E6"/>
    <w:rsid w:val="0059711D"/>
    <w:rsid w:val="005A523F"/>
    <w:rsid w:val="00742D71"/>
    <w:rsid w:val="00745EE9"/>
    <w:rsid w:val="00756B1A"/>
    <w:rsid w:val="0077397E"/>
    <w:rsid w:val="00805F76"/>
    <w:rsid w:val="0081659F"/>
    <w:rsid w:val="00894663"/>
    <w:rsid w:val="008D7F4C"/>
    <w:rsid w:val="00943F0C"/>
    <w:rsid w:val="00992EC7"/>
    <w:rsid w:val="009C33DB"/>
    <w:rsid w:val="00A35011"/>
    <w:rsid w:val="00B9705F"/>
    <w:rsid w:val="00BE6FC3"/>
    <w:rsid w:val="00C10813"/>
    <w:rsid w:val="00C21187"/>
    <w:rsid w:val="00C41CFF"/>
    <w:rsid w:val="00C7423F"/>
    <w:rsid w:val="00C95EC4"/>
    <w:rsid w:val="00DA0CDB"/>
    <w:rsid w:val="00DC036E"/>
    <w:rsid w:val="00E50E02"/>
    <w:rsid w:val="00E726D2"/>
    <w:rsid w:val="00ED2043"/>
    <w:rsid w:val="00F4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C01A"/>
  <w15:chartTrackingRefBased/>
  <w15:docId w15:val="{2EC167CC-D354-4BE3-90D0-5C8016D3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2043"/>
    <w:rPr>
      <w:rFonts w:ascii="Arial" w:hAnsi="Arial"/>
      <w:sz w:val="24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E6FC3"/>
    <w:pPr>
      <w:keepNext/>
      <w:keepLines/>
      <w:spacing w:before="40" w:after="0" w:line="360" w:lineRule="auto"/>
      <w:outlineLvl w:val="1"/>
    </w:pPr>
    <w:rPr>
      <w:rFonts w:eastAsiaTheme="majorEastAsia" w:cstheme="majorBidi"/>
      <w:b/>
      <w:szCs w:val="26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BE6FC3"/>
    <w:rPr>
      <w:rFonts w:ascii="Arial" w:eastAsiaTheme="majorEastAsia" w:hAnsi="Arial" w:cstheme="majorBidi"/>
      <w:b/>
      <w:szCs w:val="26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204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204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2043"/>
    <w:rPr>
      <w:rFonts w:ascii="Arial" w:hAnsi="Arial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20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2043"/>
    <w:rPr>
      <w:rFonts w:ascii="Arial" w:hAnsi="Arial"/>
      <w:b/>
      <w:bCs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2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2043"/>
    <w:rPr>
      <w:rFonts w:ascii="Segoe UI" w:hAnsi="Segoe UI" w:cs="Segoe UI"/>
      <w:sz w:val="18"/>
      <w:szCs w:val="18"/>
      <w:lang w:val="en-US"/>
    </w:rPr>
  </w:style>
  <w:style w:type="paragraph" w:customStyle="1" w:styleId="EndNoteBibliographyTitle">
    <w:name w:val="EndNote Bibliography Title"/>
    <w:basedOn w:val="Standard"/>
    <w:link w:val="EndNoteBibliographyTitleZchn"/>
    <w:rsid w:val="0081659F"/>
    <w:pPr>
      <w:spacing w:after="0"/>
      <w:jc w:val="center"/>
    </w:pPr>
    <w:rPr>
      <w:rFonts w:cs="Arial"/>
      <w:noProof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81659F"/>
    <w:rPr>
      <w:rFonts w:ascii="Arial" w:hAnsi="Arial" w:cs="Arial"/>
      <w:noProof/>
      <w:sz w:val="24"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81659F"/>
    <w:pPr>
      <w:spacing w:line="240" w:lineRule="auto"/>
    </w:pPr>
    <w:rPr>
      <w:rFonts w:cs="Arial"/>
      <w:noProof/>
    </w:rPr>
  </w:style>
  <w:style w:type="character" w:customStyle="1" w:styleId="EndNoteBibliographyZchn">
    <w:name w:val="EndNote Bibliography Zchn"/>
    <w:basedOn w:val="Absatz-Standardschriftart"/>
    <w:link w:val="EndNoteBibliography"/>
    <w:rsid w:val="0081659F"/>
    <w:rPr>
      <w:rFonts w:ascii="Arial" w:hAnsi="Arial" w:cs="Arial"/>
      <w:noProof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Weigand</dc:creator>
  <cp:keywords/>
  <dc:description/>
  <cp:lastModifiedBy>Isabel Weigand</cp:lastModifiedBy>
  <cp:revision>3</cp:revision>
  <dcterms:created xsi:type="dcterms:W3CDTF">2019-12-10T10:08:00Z</dcterms:created>
  <dcterms:modified xsi:type="dcterms:W3CDTF">2019-12-10T10:09:00Z</dcterms:modified>
</cp:coreProperties>
</file>