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7339F" w14:textId="446D6AFB" w:rsidR="00E56EC0" w:rsidRPr="008305AD" w:rsidRDefault="008305AD" w:rsidP="00F3279A">
      <w:pPr>
        <w:spacing w:line="480" w:lineRule="auto"/>
        <w:rPr>
          <w:b/>
          <w:sz w:val="36"/>
        </w:rPr>
      </w:pPr>
      <w:bookmarkStart w:id="0" w:name="_Hlk21185682"/>
      <w:bookmarkStart w:id="1" w:name="_Hlk6221916"/>
      <w:r w:rsidRPr="008305AD">
        <w:rPr>
          <w:b/>
          <w:sz w:val="36"/>
        </w:rPr>
        <w:t xml:space="preserve">Combination of stable isotope ratio data and chromatographic </w:t>
      </w:r>
      <w:r w:rsidR="00D82A60" w:rsidRPr="008305AD">
        <w:rPr>
          <w:b/>
          <w:sz w:val="36"/>
        </w:rPr>
        <w:t>impurity signatures</w:t>
      </w:r>
      <w:r w:rsidRPr="008305AD">
        <w:rPr>
          <w:b/>
          <w:sz w:val="36"/>
        </w:rPr>
        <w:t xml:space="preserve"> as a comprehensive concept for the profiling of</w:t>
      </w:r>
      <w:r>
        <w:rPr>
          <w:b/>
          <w:sz w:val="36"/>
        </w:rPr>
        <w:t xml:space="preserve"> </w:t>
      </w:r>
      <w:r w:rsidRPr="008305AD">
        <w:rPr>
          <w:b/>
          <w:sz w:val="36"/>
        </w:rPr>
        <w:t>highly</w:t>
      </w:r>
      <w:r>
        <w:rPr>
          <w:b/>
          <w:sz w:val="36"/>
        </w:rPr>
        <w:t xml:space="preserve"> </w:t>
      </w:r>
      <w:r w:rsidRPr="008305AD">
        <w:rPr>
          <w:b/>
          <w:sz w:val="36"/>
        </w:rPr>
        <w:t>prevalent synthetic cannabinoids and their precursors</w:t>
      </w:r>
    </w:p>
    <w:bookmarkEnd w:id="0"/>
    <w:p w14:paraId="47FA24F4" w14:textId="77777777" w:rsidR="008305AD" w:rsidRPr="005C5993" w:rsidRDefault="008305AD" w:rsidP="00F3279A">
      <w:pPr>
        <w:spacing w:line="480" w:lineRule="auto"/>
        <w:rPr>
          <w:sz w:val="32"/>
        </w:rPr>
      </w:pPr>
    </w:p>
    <w:p w14:paraId="479132FF" w14:textId="1C85D1FC" w:rsidR="00351BA2" w:rsidRPr="00351BA2" w:rsidRDefault="00351BA2" w:rsidP="00F3279A">
      <w:pPr>
        <w:spacing w:line="480" w:lineRule="auto"/>
        <w:rPr>
          <w:b/>
          <w:lang w:val="de-DE"/>
        </w:rPr>
      </w:pPr>
      <w:r w:rsidRPr="00351BA2">
        <w:rPr>
          <w:b/>
          <w:lang w:val="de-DE"/>
        </w:rPr>
        <w:t>*</w:t>
      </w:r>
      <w:bookmarkStart w:id="2" w:name="_Hlk6219084"/>
      <w:r w:rsidRPr="00351BA2">
        <w:rPr>
          <w:b/>
          <w:lang w:val="de-DE"/>
        </w:rPr>
        <w:t>Sascha Münster-</w:t>
      </w:r>
      <w:proofErr w:type="spellStart"/>
      <w:proofErr w:type="gramStart"/>
      <w:r w:rsidRPr="00351BA2">
        <w:rPr>
          <w:b/>
          <w:lang w:val="de-DE"/>
        </w:rPr>
        <w:t>Müller</w:t>
      </w:r>
      <w:r w:rsidR="00316646">
        <w:rPr>
          <w:b/>
          <w:vertAlign w:val="superscript"/>
          <w:lang w:val="de-DE"/>
        </w:rPr>
        <w:t>a</w:t>
      </w:r>
      <w:r w:rsidRPr="00351BA2">
        <w:rPr>
          <w:b/>
          <w:vertAlign w:val="superscript"/>
          <w:lang w:val="de-DE"/>
        </w:rPr>
        <w:t>,</w:t>
      </w:r>
      <w:r w:rsidR="00316646">
        <w:rPr>
          <w:b/>
          <w:vertAlign w:val="superscript"/>
          <w:lang w:val="de-DE"/>
        </w:rPr>
        <w:t>b</w:t>
      </w:r>
      <w:proofErr w:type="spellEnd"/>
      <w:proofErr w:type="gramEnd"/>
      <w:r w:rsidRPr="00351BA2">
        <w:rPr>
          <w:b/>
          <w:lang w:val="de-DE"/>
        </w:rPr>
        <w:t xml:space="preserve">, </w:t>
      </w:r>
      <w:r>
        <w:rPr>
          <w:b/>
          <w:lang w:val="de-DE"/>
        </w:rPr>
        <w:t xml:space="preserve">Nicole </w:t>
      </w:r>
      <w:proofErr w:type="spellStart"/>
      <w:r>
        <w:rPr>
          <w:b/>
          <w:lang w:val="de-DE"/>
        </w:rPr>
        <w:t>Scheid</w:t>
      </w:r>
      <w:r w:rsidR="00316646">
        <w:rPr>
          <w:b/>
          <w:vertAlign w:val="superscript"/>
          <w:lang w:val="de-DE"/>
        </w:rPr>
        <w:t>a</w:t>
      </w:r>
      <w:proofErr w:type="spellEnd"/>
      <w:r w:rsidRPr="00351BA2">
        <w:rPr>
          <w:b/>
          <w:lang w:val="de-DE"/>
        </w:rPr>
        <w:t xml:space="preserve">, Ralf </w:t>
      </w:r>
      <w:proofErr w:type="spellStart"/>
      <w:r w:rsidRPr="00351BA2">
        <w:rPr>
          <w:b/>
          <w:lang w:val="de-DE"/>
        </w:rPr>
        <w:t>Zimmermann</w:t>
      </w:r>
      <w:r w:rsidR="00316646">
        <w:rPr>
          <w:b/>
          <w:vertAlign w:val="superscript"/>
          <w:lang w:val="de-DE"/>
        </w:rPr>
        <w:t>b</w:t>
      </w:r>
      <w:r w:rsidRPr="00351BA2">
        <w:rPr>
          <w:b/>
          <w:vertAlign w:val="superscript"/>
          <w:lang w:val="de-DE"/>
        </w:rPr>
        <w:t>,</w:t>
      </w:r>
      <w:r w:rsidR="00316646">
        <w:rPr>
          <w:b/>
          <w:vertAlign w:val="superscript"/>
          <w:lang w:val="de-DE"/>
        </w:rPr>
        <w:t>c</w:t>
      </w:r>
      <w:proofErr w:type="spellEnd"/>
      <w:r w:rsidRPr="00351BA2">
        <w:rPr>
          <w:b/>
          <w:lang w:val="de-DE"/>
        </w:rPr>
        <w:t xml:space="preserve">, Michael </w:t>
      </w:r>
      <w:proofErr w:type="spellStart"/>
      <w:r w:rsidRPr="00351BA2">
        <w:rPr>
          <w:b/>
          <w:lang w:val="de-DE"/>
        </w:rPr>
        <w:t>Pütz</w:t>
      </w:r>
      <w:bookmarkEnd w:id="2"/>
      <w:r w:rsidR="00316646">
        <w:rPr>
          <w:b/>
          <w:vertAlign w:val="superscript"/>
          <w:lang w:val="de-DE"/>
        </w:rPr>
        <w:t>a</w:t>
      </w:r>
      <w:proofErr w:type="spellEnd"/>
    </w:p>
    <w:p w14:paraId="285E3B87" w14:textId="18C5C34A" w:rsidR="00351BA2" w:rsidRDefault="00316646" w:rsidP="00F3279A">
      <w:pPr>
        <w:spacing w:line="480" w:lineRule="auto"/>
        <w:rPr>
          <w:sz w:val="20"/>
        </w:rPr>
      </w:pPr>
      <w:r>
        <w:rPr>
          <w:sz w:val="20"/>
          <w:vertAlign w:val="superscript"/>
        </w:rPr>
        <w:t>a</w:t>
      </w:r>
      <w:r w:rsidR="00351BA2" w:rsidRPr="00C55BAF">
        <w:rPr>
          <w:sz w:val="20"/>
          <w:vertAlign w:val="superscript"/>
        </w:rPr>
        <w:t xml:space="preserve"> </w:t>
      </w:r>
      <w:r w:rsidR="00351BA2" w:rsidRPr="00C55BAF">
        <w:rPr>
          <w:sz w:val="20"/>
        </w:rPr>
        <w:t xml:space="preserve">Federal Criminal Police Office, Forensic Science Institute, </w:t>
      </w:r>
      <w:proofErr w:type="spellStart"/>
      <w:r w:rsidR="00351BA2" w:rsidRPr="00C55BAF">
        <w:rPr>
          <w:sz w:val="20"/>
        </w:rPr>
        <w:t>Äppelallee</w:t>
      </w:r>
      <w:proofErr w:type="spellEnd"/>
      <w:r w:rsidR="00351BA2" w:rsidRPr="00C55BAF">
        <w:rPr>
          <w:sz w:val="20"/>
        </w:rPr>
        <w:t xml:space="preserve"> 45, 65203 Wiesbaden, Germany</w:t>
      </w:r>
    </w:p>
    <w:p w14:paraId="23DC5322" w14:textId="6FCC4BFE" w:rsidR="00351BA2" w:rsidRDefault="00316646" w:rsidP="00F3279A">
      <w:pPr>
        <w:spacing w:line="480" w:lineRule="auto"/>
        <w:rPr>
          <w:rFonts w:cstheme="minorHAnsi"/>
          <w:sz w:val="20"/>
          <w:szCs w:val="24"/>
          <w:lang w:eastAsia="en-GB"/>
        </w:rPr>
      </w:pPr>
      <w:proofErr w:type="spellStart"/>
      <w:r>
        <w:rPr>
          <w:sz w:val="20"/>
          <w:vertAlign w:val="superscript"/>
        </w:rPr>
        <w:t>b</w:t>
      </w:r>
      <w:r w:rsidR="00351BA2" w:rsidRPr="00505ECC">
        <w:rPr>
          <w:rFonts w:cstheme="minorHAnsi"/>
          <w:sz w:val="20"/>
          <w:szCs w:val="24"/>
          <w:lang w:eastAsia="en-GB"/>
        </w:rPr>
        <w:t>Joint</w:t>
      </w:r>
      <w:proofErr w:type="spellEnd"/>
      <w:r w:rsidR="00351BA2" w:rsidRPr="00505ECC">
        <w:rPr>
          <w:rFonts w:cstheme="minorHAnsi"/>
          <w:sz w:val="20"/>
          <w:szCs w:val="24"/>
          <w:lang w:eastAsia="en-GB"/>
        </w:rPr>
        <w:t xml:space="preserve"> Mass Spectrometry Centre, Institute of Chemistry, Chair of Analytical Chemistry, University of Rostock, 18057 Rostock, Germany</w:t>
      </w:r>
    </w:p>
    <w:p w14:paraId="57D4E977" w14:textId="1D22F77D" w:rsidR="00351BA2" w:rsidRPr="00505ECC" w:rsidRDefault="00316646" w:rsidP="00F3279A">
      <w:pPr>
        <w:spacing w:line="480" w:lineRule="auto"/>
        <w:rPr>
          <w:rFonts w:cstheme="minorHAnsi"/>
          <w:sz w:val="20"/>
          <w:szCs w:val="24"/>
          <w:lang w:eastAsia="en-GB"/>
        </w:rPr>
      </w:pPr>
      <w:proofErr w:type="spellStart"/>
      <w:r>
        <w:rPr>
          <w:rFonts w:cstheme="minorHAnsi"/>
          <w:sz w:val="20"/>
          <w:szCs w:val="24"/>
          <w:vertAlign w:val="superscript"/>
          <w:lang w:eastAsia="en-GB"/>
        </w:rPr>
        <w:t>c</w:t>
      </w:r>
      <w:r w:rsidR="00351BA2" w:rsidRPr="00505ECC">
        <w:rPr>
          <w:rFonts w:cstheme="minorHAnsi"/>
          <w:sz w:val="20"/>
          <w:szCs w:val="24"/>
          <w:lang w:eastAsia="en-GB"/>
        </w:rPr>
        <w:t>Joint</w:t>
      </w:r>
      <w:proofErr w:type="spellEnd"/>
      <w:r w:rsidR="00351BA2" w:rsidRPr="00505ECC">
        <w:rPr>
          <w:rFonts w:cstheme="minorHAnsi"/>
          <w:sz w:val="20"/>
          <w:szCs w:val="24"/>
          <w:lang w:eastAsia="en-GB"/>
        </w:rPr>
        <w:t xml:space="preserve"> Mass Spectrometry Centre, Cooperation Group “Comprehensive Molecular Analytics”, Helmholtz </w:t>
      </w:r>
      <w:proofErr w:type="spellStart"/>
      <w:r w:rsidR="00351BA2" w:rsidRPr="00505ECC">
        <w:rPr>
          <w:rFonts w:cstheme="minorHAnsi"/>
          <w:sz w:val="20"/>
          <w:szCs w:val="24"/>
          <w:lang w:eastAsia="en-GB"/>
        </w:rPr>
        <w:t>Zentrum</w:t>
      </w:r>
      <w:proofErr w:type="spellEnd"/>
      <w:r w:rsidR="00351BA2" w:rsidRPr="00505ECC">
        <w:rPr>
          <w:rFonts w:cstheme="minorHAnsi"/>
          <w:sz w:val="20"/>
          <w:szCs w:val="24"/>
          <w:lang w:eastAsia="en-GB"/>
        </w:rPr>
        <w:t xml:space="preserve"> </w:t>
      </w:r>
      <w:proofErr w:type="spellStart"/>
      <w:r w:rsidR="00351BA2" w:rsidRPr="00505ECC">
        <w:rPr>
          <w:rFonts w:cstheme="minorHAnsi"/>
          <w:sz w:val="20"/>
          <w:szCs w:val="24"/>
          <w:lang w:eastAsia="en-GB"/>
        </w:rPr>
        <w:t>Muenchen</w:t>
      </w:r>
      <w:proofErr w:type="spellEnd"/>
      <w:r w:rsidR="00351BA2" w:rsidRPr="00505ECC">
        <w:rPr>
          <w:rFonts w:cstheme="minorHAnsi"/>
          <w:sz w:val="20"/>
          <w:szCs w:val="24"/>
          <w:lang w:eastAsia="en-GB"/>
        </w:rPr>
        <w:t xml:space="preserve">, 85764 </w:t>
      </w:r>
      <w:proofErr w:type="spellStart"/>
      <w:r w:rsidR="00351BA2" w:rsidRPr="00505ECC">
        <w:rPr>
          <w:rFonts w:cstheme="minorHAnsi"/>
          <w:sz w:val="20"/>
          <w:szCs w:val="24"/>
          <w:lang w:eastAsia="en-GB"/>
        </w:rPr>
        <w:t>Neuherberg</w:t>
      </w:r>
      <w:proofErr w:type="spellEnd"/>
      <w:r w:rsidR="00351BA2" w:rsidRPr="00505ECC">
        <w:rPr>
          <w:rFonts w:cstheme="minorHAnsi"/>
          <w:sz w:val="20"/>
          <w:szCs w:val="24"/>
          <w:lang w:eastAsia="en-GB"/>
        </w:rPr>
        <w:t>, Germany</w:t>
      </w:r>
    </w:p>
    <w:p w14:paraId="6EBA2E91" w14:textId="77777777" w:rsidR="008E2D6D" w:rsidRDefault="008E2D6D" w:rsidP="00F3279A">
      <w:pPr>
        <w:autoSpaceDE w:val="0"/>
        <w:autoSpaceDN w:val="0"/>
        <w:adjustRightInd w:val="0"/>
        <w:spacing w:line="480" w:lineRule="auto"/>
        <w:rPr>
          <w:bCs/>
          <w:sz w:val="24"/>
        </w:rPr>
      </w:pPr>
    </w:p>
    <w:p w14:paraId="21539D5A" w14:textId="4C0EEE89" w:rsidR="00651A94" w:rsidRPr="00EF7C33" w:rsidRDefault="008E2D6D" w:rsidP="00F3279A">
      <w:pPr>
        <w:spacing w:line="480" w:lineRule="auto"/>
        <w:rPr>
          <w:bCs/>
          <w:lang w:val="en-US"/>
        </w:rPr>
      </w:pPr>
      <w:r w:rsidRPr="008E2D6D">
        <w:rPr>
          <w:rStyle w:val="Hyperlink"/>
          <w:rFonts w:cstheme="minorHAnsi"/>
          <w:color w:val="auto"/>
          <w:u w:val="none"/>
          <w:lang w:val="en-US"/>
        </w:rPr>
        <w:t>*</w:t>
      </w:r>
      <w:r w:rsidR="00F71D27">
        <w:rPr>
          <w:rStyle w:val="Hyperlink"/>
          <w:rFonts w:cstheme="minorHAnsi"/>
          <w:color w:val="auto"/>
          <w:u w:val="none"/>
          <w:lang w:val="en-US"/>
        </w:rPr>
        <w:t xml:space="preserve">Corresponding Author: </w:t>
      </w:r>
      <w:r w:rsidRPr="008E2D6D">
        <w:rPr>
          <w:rStyle w:val="Hyperlink"/>
          <w:rFonts w:cstheme="minorHAnsi"/>
          <w:color w:val="auto"/>
          <w:u w:val="none"/>
          <w:lang w:val="en-US"/>
        </w:rPr>
        <w:t xml:space="preserve">Sascha Münster-Müller, </w:t>
      </w:r>
      <w:r w:rsidR="00651A94">
        <w:rPr>
          <w:lang w:val="en-US"/>
        </w:rPr>
        <w:t>University of Rostock</w:t>
      </w:r>
      <w:r w:rsidR="00651A94" w:rsidRPr="0039391D">
        <w:rPr>
          <w:lang w:val="en-US"/>
        </w:rPr>
        <w:t xml:space="preserve">, </w:t>
      </w:r>
      <w:r w:rsidR="00651A94" w:rsidRPr="00F97E3F">
        <w:rPr>
          <w:lang w:val="en-US"/>
        </w:rPr>
        <w:t>Dr.-Lorenz-</w:t>
      </w:r>
      <w:proofErr w:type="spellStart"/>
      <w:r w:rsidR="00651A94" w:rsidRPr="00F97E3F">
        <w:rPr>
          <w:lang w:val="en-US"/>
        </w:rPr>
        <w:t>Weg</w:t>
      </w:r>
      <w:proofErr w:type="spellEnd"/>
      <w:r w:rsidR="00651A94" w:rsidRPr="00F97E3F">
        <w:rPr>
          <w:lang w:val="en-US"/>
        </w:rPr>
        <w:t xml:space="preserve"> 2</w:t>
      </w:r>
      <w:r w:rsidR="00651A94">
        <w:rPr>
          <w:lang w:val="en-US"/>
        </w:rPr>
        <w:t xml:space="preserve">, </w:t>
      </w:r>
      <w:r w:rsidR="00651A94" w:rsidRPr="00F97E3F">
        <w:rPr>
          <w:lang w:val="en-US"/>
        </w:rPr>
        <w:t>18059 Rostock</w:t>
      </w:r>
      <w:r w:rsidR="00651A94" w:rsidRPr="0039391D">
        <w:rPr>
          <w:lang w:val="en-US"/>
        </w:rPr>
        <w:t>, Germany</w:t>
      </w:r>
      <w:r w:rsidR="00651A94">
        <w:rPr>
          <w:lang w:val="en-US"/>
        </w:rPr>
        <w:t xml:space="preserve">, </w:t>
      </w:r>
      <w:r w:rsidR="003138C8">
        <w:rPr>
          <w:bCs/>
          <w:lang w:val="en-US"/>
        </w:rPr>
        <w:t>sascha.muemue</w:t>
      </w:r>
      <w:r w:rsidR="00651A94" w:rsidRPr="00CF2F26">
        <w:rPr>
          <w:bCs/>
          <w:lang w:val="en-US"/>
        </w:rPr>
        <w:t>@</w:t>
      </w:r>
      <w:r w:rsidR="003138C8">
        <w:rPr>
          <w:bCs/>
          <w:lang w:val="en-US"/>
        </w:rPr>
        <w:t>googlemail.com</w:t>
      </w:r>
      <w:r w:rsidR="00651A94" w:rsidRPr="00EF7C33">
        <w:rPr>
          <w:bCs/>
          <w:lang w:val="en-US"/>
        </w:rPr>
        <w:t xml:space="preserve">, </w:t>
      </w:r>
      <w:r w:rsidR="00651A94" w:rsidRPr="00EF7C33">
        <w:rPr>
          <w:rStyle w:val="Hyperlink"/>
          <w:bCs/>
          <w:color w:val="auto"/>
          <w:u w:val="none"/>
          <w:lang w:val="en-US"/>
        </w:rPr>
        <w:t xml:space="preserve">Phone: (+49) 177 3882571 </w:t>
      </w:r>
    </w:p>
    <w:p w14:paraId="5B7ED62C" w14:textId="77777777" w:rsidR="007A1FAE" w:rsidRPr="008E13D5" w:rsidRDefault="007A1FAE" w:rsidP="00F3279A">
      <w:pPr>
        <w:spacing w:line="480" w:lineRule="auto"/>
        <w:rPr>
          <w:sz w:val="24"/>
        </w:rPr>
      </w:pPr>
    </w:p>
    <w:p w14:paraId="04FE4D43" w14:textId="605BC137" w:rsidR="0085733C" w:rsidRPr="008E13D5" w:rsidRDefault="0085733C" w:rsidP="00F3279A">
      <w:pPr>
        <w:spacing w:line="480" w:lineRule="auto"/>
      </w:pPr>
      <w:r w:rsidRPr="008E13D5">
        <w:rPr>
          <w:i/>
        </w:rPr>
        <w:t>Keywords</w:t>
      </w:r>
      <w:r w:rsidRPr="008E13D5">
        <w:t xml:space="preserve">: </w:t>
      </w:r>
      <w:r w:rsidR="008F1EC8" w:rsidRPr="008E13D5">
        <w:t>new psychoactive substances</w:t>
      </w:r>
      <w:r w:rsidR="009C5107" w:rsidRPr="008E13D5">
        <w:t>;</w:t>
      </w:r>
      <w:r w:rsidR="00011640" w:rsidRPr="008E13D5">
        <w:t xml:space="preserve"> </w:t>
      </w:r>
      <w:r w:rsidR="008E13D5">
        <w:t>MDMB-CHMICA</w:t>
      </w:r>
      <w:r w:rsidR="0095342A" w:rsidRPr="008E13D5">
        <w:t xml:space="preserve">; </w:t>
      </w:r>
      <w:r w:rsidR="00E64E16">
        <w:t>Cumyl-PeGaClone;</w:t>
      </w:r>
      <w:r w:rsidR="008E13D5">
        <w:t xml:space="preserve"> </w:t>
      </w:r>
      <w:r w:rsidR="00316646">
        <w:t>isotope ratio mass spectrometry</w:t>
      </w:r>
      <w:r w:rsidR="0095342A" w:rsidRPr="008E13D5">
        <w:t>;</w:t>
      </w:r>
      <w:r w:rsidR="005B1863" w:rsidRPr="008E13D5">
        <w:t xml:space="preserve"> </w:t>
      </w:r>
      <w:r w:rsidR="00316646">
        <w:t>impurity profiling</w:t>
      </w:r>
    </w:p>
    <w:bookmarkEnd w:id="1"/>
    <w:p w14:paraId="2AE6B6AB" w14:textId="2C43273C" w:rsidR="00A461B5" w:rsidRDefault="00A461B5" w:rsidP="00F3279A">
      <w:pPr>
        <w:spacing w:line="480" w:lineRule="auto"/>
        <w:rPr>
          <w:sz w:val="24"/>
        </w:rPr>
      </w:pPr>
    </w:p>
    <w:p w14:paraId="2744E32B" w14:textId="2718C266" w:rsidR="007646C9" w:rsidRDefault="007646C9" w:rsidP="00F3279A">
      <w:pPr>
        <w:spacing w:line="480" w:lineRule="auto"/>
        <w:rPr>
          <w:b/>
        </w:rPr>
      </w:pPr>
      <w:r w:rsidRPr="007646C9">
        <w:rPr>
          <w:b/>
        </w:rPr>
        <w:t>Abs</w:t>
      </w:r>
      <w:r>
        <w:rPr>
          <w:b/>
        </w:rPr>
        <w:t>tract</w:t>
      </w:r>
    </w:p>
    <w:p w14:paraId="48803FFA" w14:textId="39DCAF98" w:rsidR="00FD2FDF" w:rsidRDefault="00D67D04" w:rsidP="00F3279A">
      <w:pPr>
        <w:spacing w:line="480" w:lineRule="auto"/>
      </w:pPr>
      <w:r>
        <w:t>In this study, we utilized elemental analyser (EA) and gas-chromatography (GC) isotope ratio mass spectrometry (I</w:t>
      </w:r>
      <w:r w:rsidR="00E11382">
        <w:t>RM</w:t>
      </w:r>
      <w:r>
        <w:t xml:space="preserve">S) and ultra-high-performance liquid chromatography coupled to mass spectrometry (UHPLC-MS) in a comprehensive profiling approach assessing the chromatographic impurity signatures and </w:t>
      </w:r>
      <w:r w:rsidRPr="009D4195">
        <w:t>δ</w:t>
      </w:r>
      <w:r w:rsidRPr="009D4195">
        <w:rPr>
          <w:vertAlign w:val="superscript"/>
        </w:rPr>
        <w:t>13</w:t>
      </w:r>
      <w:r w:rsidRPr="009D4195">
        <w:t>C</w:t>
      </w:r>
      <w:r w:rsidRPr="009D4195">
        <w:rPr>
          <w:lang w:val="en"/>
        </w:rPr>
        <w:t xml:space="preserve"> and </w:t>
      </w:r>
      <w:r w:rsidRPr="009D4195">
        <w:t>δ</w:t>
      </w:r>
      <w:r w:rsidRPr="009D4195">
        <w:rPr>
          <w:vertAlign w:val="superscript"/>
        </w:rPr>
        <w:t>15</w:t>
      </w:r>
      <w:r w:rsidRPr="009D4195">
        <w:t>N</w:t>
      </w:r>
      <w:r>
        <w:t xml:space="preserve"> isotope ratios of synthetic cannabinoids from police seizures and internet test purchases. Main target of this study was the highly prevalent synthetic cannabinoid MDMB-CHMICA (methyl (2S)-2-(</w:t>
      </w:r>
      <w:r w:rsidRPr="000856AD">
        <w:t>[1-(cyclohexylmethyl)-1</w:t>
      </w:r>
      <w:r w:rsidRPr="00E4551D">
        <w:rPr>
          <w:i/>
        </w:rPr>
        <w:t>H</w:t>
      </w:r>
      <w:r w:rsidRPr="000856AD">
        <w:t>-indol-3-</w:t>
      </w:r>
      <w:proofErr w:type="gramStart"/>
      <w:r w:rsidRPr="000856AD">
        <w:t>yl</w:t>
      </w:r>
      <w:r>
        <w:t>]</w:t>
      </w:r>
      <w:r w:rsidRPr="000856AD">
        <w:t>formamido</w:t>
      </w:r>
      <w:proofErr w:type="gramEnd"/>
      <w:r>
        <w:t>)</w:t>
      </w:r>
      <w:r w:rsidRPr="000856AD">
        <w:t>-3,3-dimethylbutaoate</w:t>
      </w:r>
      <w:r>
        <w:t xml:space="preserve">). Overall, 61 powder and 118 herbal </w:t>
      </w:r>
      <w:r>
        <w:lastRenderedPageBreak/>
        <w:t xml:space="preserve">blend (also called “Spice-Products”) samples were analysed using both analytical techniques and evaluated in a joint model to link samples from a common source. As a key finding, three agglomerates of Spice-product samples with similar dates of purchase were identified in the IRMS data, possibly representing larger shipments of MDMB-CHMICA, each produced with the same precursor material, successively delivered to the European market. The three agglomerates were refined into multiple sub-clusters based on the impurity profiling data, each representing an individual synthesis batch. One of the agglomerates identified in the IRMS data was found to consist two groups of four sub-clusters, respectively, with majorly different impurity profiles, demonstrating the necessity for both analytical techniques to extract the maximum amount of information from a limited sample pool. </w:t>
      </w:r>
      <w:r>
        <w:rPr>
          <w:lang w:val="en"/>
        </w:rPr>
        <w:t xml:space="preserve">Additionally, 31 samples containing the recently surfaced synthetic cannabinoid </w:t>
      </w:r>
      <w:r>
        <w:t>Cumyl-PeGaClone (</w:t>
      </w:r>
      <w:r w:rsidRPr="00885D3E">
        <w:t>5-pentyl-2-(2-phenylpropan-2-yl)-2,5-dihydro-1</w:t>
      </w:r>
      <w:r w:rsidRPr="005A22CD">
        <w:rPr>
          <w:i/>
        </w:rPr>
        <w:t>H</w:t>
      </w:r>
      <w:r w:rsidRPr="00885D3E">
        <w:t>-pyrido[4,3-b]indol-1-one</w:t>
      </w:r>
      <w:r>
        <w:t xml:space="preserve">) were analysed for their and </w:t>
      </w:r>
      <w:r w:rsidRPr="009D4195">
        <w:t>δ</w:t>
      </w:r>
      <w:r w:rsidRPr="009D4195">
        <w:rPr>
          <w:vertAlign w:val="superscript"/>
        </w:rPr>
        <w:t>13</w:t>
      </w:r>
      <w:r w:rsidRPr="009D4195">
        <w:t>C</w:t>
      </w:r>
      <w:r w:rsidRPr="009D4195">
        <w:rPr>
          <w:lang w:val="en"/>
        </w:rPr>
        <w:t xml:space="preserve"> and </w:t>
      </w:r>
      <w:r w:rsidRPr="009D4195">
        <w:t>δ</w:t>
      </w:r>
      <w:r w:rsidRPr="009D4195">
        <w:rPr>
          <w:vertAlign w:val="superscript"/>
        </w:rPr>
        <w:t>15</w:t>
      </w:r>
      <w:r w:rsidRPr="009D4195">
        <w:t>N</w:t>
      </w:r>
      <w:r>
        <w:t xml:space="preserve"> isotope ratios to put the isotopic data recorded </w:t>
      </w:r>
      <w:r w:rsidRPr="00C22F89">
        <w:t>for MDMB-CHMNICA</w:t>
      </w:r>
      <w:r>
        <w:t xml:space="preserve"> in a more global perspective. Three building blocks of precursor chemicals (indole, tert-leucine, cumylamine) potentially used for the synthesis of the two named synthetic cannabinoids were acquired from different global vendors and measured for their </w:t>
      </w:r>
      <w:r w:rsidRPr="009D4195">
        <w:t>δ</w:t>
      </w:r>
      <w:r w:rsidRPr="009D4195">
        <w:rPr>
          <w:vertAlign w:val="superscript"/>
        </w:rPr>
        <w:t>13</w:t>
      </w:r>
      <w:r w:rsidRPr="009D4195">
        <w:t>C</w:t>
      </w:r>
      <w:r w:rsidRPr="009D4195">
        <w:rPr>
          <w:lang w:val="en"/>
        </w:rPr>
        <w:t xml:space="preserve"> and </w:t>
      </w:r>
      <w:r w:rsidRPr="009D4195">
        <w:t>δ</w:t>
      </w:r>
      <w:r w:rsidRPr="009D4195">
        <w:rPr>
          <w:vertAlign w:val="superscript"/>
        </w:rPr>
        <w:t>15</w:t>
      </w:r>
      <w:r w:rsidRPr="009D4195">
        <w:t>N</w:t>
      </w:r>
      <w:r>
        <w:t xml:space="preserve"> isotope ratios to better understand variations in the isotopic composition of the synthetic cannabinoids and to trace their origin. </w:t>
      </w:r>
      <w:r w:rsidR="00FD2FDF">
        <w:br w:type="page"/>
      </w:r>
    </w:p>
    <w:p w14:paraId="308E6D45" w14:textId="0C14FCD9" w:rsidR="006D6DCD" w:rsidRPr="007646C9" w:rsidRDefault="00703B3A" w:rsidP="00F3279A">
      <w:pPr>
        <w:spacing w:line="480" w:lineRule="auto"/>
        <w:rPr>
          <w:bCs/>
        </w:rPr>
      </w:pPr>
      <w:r w:rsidRPr="007646C9">
        <w:rPr>
          <w:rStyle w:val="Fett"/>
          <w:bCs w:val="0"/>
        </w:rPr>
        <w:lastRenderedPageBreak/>
        <w:t>1.</w:t>
      </w:r>
      <w:r w:rsidRPr="007646C9">
        <w:rPr>
          <w:rStyle w:val="Fett"/>
        </w:rPr>
        <w:t xml:space="preserve"> </w:t>
      </w:r>
      <w:r w:rsidR="0085733C" w:rsidRPr="007646C9">
        <w:rPr>
          <w:rStyle w:val="Fett"/>
        </w:rPr>
        <w:t>Introduction</w:t>
      </w:r>
    </w:p>
    <w:p w14:paraId="3B2956B3" w14:textId="62493FBF" w:rsidR="00D67D04" w:rsidRDefault="00D67D04" w:rsidP="00F3279A">
      <w:pPr>
        <w:spacing w:line="480" w:lineRule="auto"/>
      </w:pPr>
      <w:r>
        <w:t xml:space="preserve">Classic drugs like Cannabis, cocaine, heroin or amphetamine type stimulants (ATS) make up the largest amount of seized drugs of abuse worldwide </w:t>
      </w:r>
      <w:r>
        <w:fldChar w:fldCharType="begin"/>
      </w:r>
      <w:r w:rsidR="00004E57">
        <w:instrText xml:space="preserve"> ADDIN EN.CITE &lt;EndNote&gt;&lt;Cite&gt;&lt;Author&gt;UNODC&lt;/Author&gt;&lt;Year&gt;2018&lt;/Year&gt;&lt;RecNum&gt;59&lt;/RecNum&gt;&lt;DisplayText&gt;[1]&lt;/DisplayText&gt;&lt;record&gt;&lt;rec-number&gt;59&lt;/rec-number&gt;&lt;foreign-keys&gt;&lt;key app="EN" db-id="0rddxvvew22rz1e0fxk52w2v5v9ad9et50ep" timestamp="1538474977"&gt;59&lt;/key&gt;&lt;/foreign-keys&gt;&lt;ref-type name="Web Page"&gt;12&lt;/ref-type&gt;&lt;contributors&gt;&lt;authors&gt;&lt;author&gt;UNODC&lt;/author&gt;&lt;/authors&gt;&lt;/contributors&gt;&lt;titles&gt;&lt;title&gt;UNODC World drug report 2018&lt;/title&gt;&lt;/titles&gt;&lt;number&gt;09.10.2019&lt;/number&gt;&lt;dates&gt;&lt;year&gt;2018&lt;/year&gt;&lt;/dates&gt;&lt;urls&gt;&lt;related-urls&gt;&lt;url&gt;https://www.unodc.org/wdr2018/&lt;/url&gt;&lt;/related-urls&gt;&lt;/urls&gt;&lt;/record&gt;&lt;/Cite&gt;&lt;/EndNote&gt;</w:instrText>
      </w:r>
      <w:r>
        <w:fldChar w:fldCharType="separate"/>
      </w:r>
      <w:r>
        <w:rPr>
          <w:noProof/>
        </w:rPr>
        <w:t>[1]</w:t>
      </w:r>
      <w:r>
        <w:fldChar w:fldCharType="end"/>
      </w:r>
      <w:r>
        <w:t xml:space="preserve">. Forensic profiling is a well-established method for law enforcement agencies to obtain basic information on the manufacturing and trafficking of these drugs. The two most frequently used analytical techniques are profiling of synthesis-related chemical impurities (impurity profiling) and stable isotope ratio analysis (SIRA), each providing orthogonal information on the history of a sample. Chemical profiling mainly targets the arising natural and synthetic by-products and impurities as a result of the synthesis pathway and chosen precursor material </w:t>
      </w:r>
      <w:r>
        <w:fldChar w:fldCharType="begin">
          <w:fldData xml:space="preserve">PEVuZE5vdGU+PENpdGU+PEF1dGhvcj5LdW5hbGFuPC9BdXRob3I+PFllYXI+MjAwOTwvWWVhcj48
UmVjTnVtPjEwNjwvUmVjTnVtPjxEaXNwbGF5VGV4dD5bMi02XTwvRGlzcGxheVRleHQ+PHJlY29y
ZD48cmVjLW51bWJlcj4xMDY8L3JlYy1udW1iZXI+PGZvcmVpZ24ta2V5cz48a2V5IGFwcD0iRU4i
IGRiLWlkPSJ3eHJwNXNhcnpmcHdheWVmd2VyeHdzNWV4c3NzeDIycDV3eGYiIHRpbWVzdGFtcD0i
MTU0ODUyMjk3NyI+MTA2PC9rZXk+PC9mb3JlaWduLWtleXM+PHJlZi10eXBlIG5hbWU9IkpvdXJu
YWwgQXJ0aWNsZSI+MTc8L3JlZi10eXBlPjxjb250cmlidXRvcnM+PGF1dGhvcnM+PGF1dGhvcj5L
dW5hbGFuLCBWYW5pdGhhPC9hdXRob3I+PGF1dGhvcj5OaWMgRGHDqWlkLCBOaWFtaDwvYXV0aG9y
PjxhdXRob3I+S2VyciwgV2lsbGlhbSBKLjwvYXV0aG9yPjxhdXRob3I+QnVjaGFuYW4sIEhpbGFy
eSBBLiBTLjwvYXV0aG9yPjxhdXRob3I+TWNQaGVyc29uLCBBbGxhbiBSLjwvYXV0aG9yPjwvYXV0
aG9ycz48L2NvbnRyaWJ1dG9ycz48dGl0bGVzPjx0aXRsZT5DaGFyYWN0ZXJpemF0aW9uIG9mIFJv
dXRlIFNwZWNpZmljIEltcHVyaXRpZXMgRm91bmQgaW4gTWV0aGFtcGhldGFtaW5lIFN5bnRoZXNp
emVkIGJ5IHRoZSBMZXVja2FydCBhbmQgUmVkdWN0aXZlIEFtaW5hdGlvbiBNZXRob2RzPC90aXRs
ZT48c2Vjb25kYXJ5LXRpdGxlPkFuYWx5dGljYWwgQ2hlbWlzdHJ5PC9zZWNvbmRhcnktdGl0bGU+
PC90aXRsZXM+PHBlcmlvZGljYWw+PGZ1bGwtdGl0bGU+QW5hbHl0aWNhbCBDaGVtaXN0cnk8L2Z1
bGwtdGl0bGU+PC9wZXJpb2RpY2FsPjxwYWdlcz43MzQyLTczNDg8L3BhZ2VzPjx2b2x1bWU+ODE8
L3ZvbHVtZT48bnVtYmVyPjE3PC9udW1iZXI+PGRhdGVzPjx5ZWFyPjIwMDk8L3llYXI+PHB1Yi1k
YXRlcz48ZGF0ZT4wNy8yOCYjeEQ7MDMvMTgvcmVjZWl2ZWQmI3hEOzA3LzA2L2FjY2VwdGVkPC9k
YXRlPjwvcHViLWRhdGVzPjwvZGF0ZXM+PHB1Ymxpc2hlcj5BbWVyaWNhbiBDaGVtaWNhbCBTb2Np
ZXR5PC9wdWJsaXNoZXI+PGlzYm4+MDAwMy0yNzAwJiN4RDsxNTIwLTY4ODI8L2lzYm4+PGFjY2Vz
c2lvbi1udW0+UE1DMzY2MjQwMzwvYWNjZXNzaW9uLW51bT48dXJscz48cmVsYXRlZC11cmxzPjx1
cmw+aHR0cDovL3d3dy5uY2JpLm5sbS5uaWguZ292L3BtYy9hcnRpY2xlcy9QTUMzNjYyNDAzLzwv
dXJsPjwvcmVsYXRlZC11cmxzPjwvdXJscz48ZWxlY3Ryb25pYy1yZXNvdXJjZS1udW0+MTAuMTAy
MS9hYzkwMDU1ODg8L2VsZWN0cm9uaWMtcmVzb3VyY2UtbnVtPjxyZW1vdGUtZGF0YWJhc2UtbmFt
ZT5QTUM8L3JlbW90ZS1kYXRhYmFzZS1uYW1lPjwvcmVjb3JkPjwvQ2l0ZT48Q2l0ZT48QXV0aG9y
PkJhbGxhbnk8L0F1dGhvcj48WWVhcj4yMDAxPC9ZZWFyPjxSZWNOdW0+MTAxPC9SZWNOdW0+PHJl
Y29yZD48cmVjLW51bWJlcj4xMDE8L3JlYy1udW1iZXI+PGZvcmVpZ24ta2V5cz48a2V5IGFwcD0i
RU4iIGRiLWlkPSJ3eHJwNXNhcnpmcHdheWVmd2VyeHdzNWV4c3NzeDIycDV3eGYiIHRpbWVzdGFt
cD0iMTU0ODUyMjk3NyI+MTAxPC9rZXk+PC9mb3JlaWduLWtleXM+PHJlZi10eXBlIG5hbWU9Ikpv
dXJuYWwgQXJ0aWNsZSI+MTc8L3JlZi10eXBlPjxjb250cmlidXRvcnM+PGF1dGhvcnM+PGF1dGhv
cj5CYWxsYW55LCBKLjwvYXV0aG9yPjxhdXRob3I+Q2FkZHksIEIuPC9hdXRob3I+PGF1dGhvcj5D
b2xlLCBNLjwvYXV0aG9yPjxhdXRob3I+Rmlubm9uLCBZLjwvYXV0aG9yPjxhdXRob3I+QWFsYmVy
ZywgTC48L2F1dGhvcj48YXV0aG9yPkphbmh1bmVuLCBLLjwvYXV0aG9yPjxhdXRob3I+U2lwcG9s
YSwgRS48L2F1dGhvcj48YXV0aG9yPkFuZGVyc3NvbiwgSy48L2F1dGhvcj48YXV0aG9yPkJlcnRs
ZXIsIEMuPC9hdXRob3I+PGF1dGhvcj5EYWhsZW4sIEouPC9hdXRob3I+PGF1dGhvcj5Lb3BwLCBJ
LjwvYXV0aG9yPjxhdXRob3I+RHVqb3VyZHksIEwuPC9hdXRob3I+PGF1dGhvcj5Mb2NrLCBFLjwv
YXV0aG9yPjxhdXRob3I+TWFyZ290LCBQLjwvYXV0aG9yPjxhdXRob3I+SHVpemVyLCBILjwvYXV0
aG9yPjxhdXRob3I+UG9vcnRtYW4sIEEuPC9hdXRob3I+PGF1dGhvcj5LYWEsIEUuPC9hdXRob3I+
PGF1dGhvcj5Mb3BlcywgQS48L2F1dGhvcj48L2F1dGhvcnM+PC9jb250cmlidXRvcnM+PGF1dGgt
YWRkcmVzcz5Vbml2IFN0cmF0aGNseWRlLCBGb3JlbnMgU2NpIFVuaXQsIEdsYXNnb3csIExhbmFy
aywgU2NvdGxhbmQuIE5hdGwgQnVyIEludmVzdCwgRklOLTAxMzAxIFZhbnRhYSwgRmlubGFuZC4g
U0tMIE5hdGwgTGFiIEZvcmVucyBTY2ksIFNFLTU4MTk0IExpbmtvcGluZywgU3dlZGVuLiBVbml2
IExhdXNhbm5lLCBJbnN0IFBvbGljZSBTY2kgJmFtcDsgQ3JpbWlub2wsIENILTEwMTUgTGF1c2Fu
bmUsIFN3aXR6ZXJsYW5kLiBOZXRoZXJsYW5kcyBGb3JlbnMgSW5zdCwgTkwtMjI4OCBSRCBSaWpz
d2lqaywgTmV0aGVybGFuZHMuIFVuaXYgQWFyaHVzLCBEZXB0IEZvcmVucyBNZWQsIERLLTgyNDAg
Umlzc2tvdiwgRGVubWFyay4gUG9saWNpYSBKdWRpY2lhcmlhLCBMYWIgUG9saWNpYSBDaWVudGlm
aWNhLCBQLTExNjkwMDcgTGlzYm9uLCBQb3J0dWdhbC4mI3hEO0NvbGUsIE0gKHJlcHJpbnQgYXV0
aG9yKSwgVW5pdiBTdHJhdGhjbHlkZSwgRm9yZW5zIFNjaSBVbml0LCAyMDQgR2VvcmdlIFN0LCBH
bGFzZ293LCBMYW5hcmssIFNjb3RsYW5kLjwvYXV0aC1hZGRyZXNzPjx0aXRsZXM+PHRpdGxlPkRl
dmVsb3BtZW50IG9mIGEgaGFybW9uaXNlZCBwYW4tRXVyb3BlYW4gbWV0aG9kIGZvciB0aGUgcHJv
ZmlsaW5nIG9mIGFtcGhldGFtaW5lczwvdGl0bGU+PHNlY29uZGFyeS10aXRsZT5TY2llbmNlICZh
bXA7IEp1c3RpY2U8L3NlY29uZGFyeS10aXRsZT48YWx0LXRpdGxlPlNjaS4gSnVzdGljZTwvYWx0
LXRpdGxlPjwvdGl0bGVzPjxwZXJpb2RpY2FsPjxmdWxsLXRpdGxlPlNjaWVuY2UgJmFtcDsgSnVz
dGljZTwvZnVsbC10aXRsZT48YWJici0xPlNjaS4gSnVzdGljZTwvYWJici0xPjwvcGVyaW9kaWNh
bD48YWx0LXBlcmlvZGljYWw+PGZ1bGwtdGl0bGU+U2NpZW5jZSAmYW1wOyBKdXN0aWNlPC9mdWxs
LXRpdGxlPjxhYmJyLTE+U2NpLiBKdXN0aWNlPC9hYmJyLTE+PC9hbHQtcGVyaW9kaWNhbD48cGFn
ZXM+MTkzLTE5NjwvcGFnZXM+PHZvbHVtZT40MTwvdm9sdW1lPjxudW1iZXI+MzwvbnVtYmVyPjxr
ZXl3b3Jkcz48a2V5d29yZD5mb3JlbnNpYyBzY2llbmNlPC9rZXl3b3JkPjxrZXl3b3JkPmFtcGhl
dGFtaW5lPC9rZXl3b3JkPjxrZXl3b3JkPmNoZW1pY2FsIGltcHVyaXR5IHByb2ZpbGluZzwva2V5
d29yZD48a2V5d29yZD5tZXRob2Q8L2tleXdvcmQ+PGtleXdvcmQ+ZGV2ZWxvcG1lbnQ8L2tleXdv
cmQ+PGtleXdvcmQ+TGVnYWwgTWVkaWNpbmU8L2tleXdvcmQ+PGtleXdvcmQ+UGF0aG9sb2d5PC9r
ZXl3b3JkPjwva2V5d29yZHM+PGRhdGVzPjx5ZWFyPjIwMDE8L3llYXI+PHB1Yi1kYXRlcz48ZGF0
ZT5KdWwtU2VwPC9kYXRlPjwvcHViLWRhdGVzPjwvZGF0ZXM+PGlzYm4+MTM1NS0wMzA2PC9pc2Ju
PjxhY2Nlc3Npb24tbnVtPldPUzowMDAxNzA0NDMxMDAwMTM8L2FjY2Vzc2lvbi1udW0+PHdvcmst
dHlwZT5BcnRpY2xlOyBQcm9jZWVkaW5ncyBQYXBlcjwvd29yay10eXBlPjx1cmxzPjxyZWxhdGVk
LXVybHM+PHVybD4mbHQ7R28gdG8gSVNJJmd0OzovL1dPUzowMDAxNzA0NDMxMDAwMTM8L3VybD48
L3JlbGF0ZWQtdXJscz48L3VybHM+PGVsZWN0cm9uaWMtcmVzb3VyY2UtbnVtPjEwLjEwMTYvczEz
NTUtMDMwNigwMSk3MTg4OS04PC9lbGVjdHJvbmljLXJlc291cmNlLW51bT48bGFuZ3VhZ2U+RW5n
bGlzaDwvbGFuZ3VhZ2U+PC9yZWNvcmQ+PC9DaXRlPjxDaXRlPjxBdXRob3I+U3Ryb21iZXJnPC9B
dXRob3I+PFllYXI+MjAwMDwvWWVhcj48UmVjTnVtPjMyPC9SZWNOdW0+PHJlY29yZD48cmVjLW51
bWJlcj4zMjwvcmVjLW51bWJlcj48Zm9yZWlnbi1rZXlzPjxrZXkgYXBwPSJFTiIgZGItaWQ9IjBy
ZGR4dnZldzIycnoxZTBmeGs1MncydjV2OWFkOWV0NTBlcCIgdGltZXN0YW1wPSIxNTE0OTg0OTg1
Ij4zMjwva2V5PjwvZm9yZWlnbi1rZXlzPjxyZWYtdHlwZSBuYW1lPSJKb3VybmFsIEFydGljbGUi
PjE3PC9yZWYtdHlwZT48Y29udHJpYnV0b3JzPjxhdXRob3JzPjxhdXRob3I+U3Ryb21iZXJnLCBM
LjwvYXV0aG9yPjxhdXRob3I+THVuZGJlcmcsIEwuPC9hdXRob3I+PGF1dGhvcj5OZXVtYW5uLCBI
LjwvYXV0aG9yPjxhdXRob3I+Qm9ib24sIEIuPC9hdXRob3I+PGF1dGhvcj5IdWl6ZXIsIEguPC9h
dXRob3I+PGF1dGhvcj52YW4gZGVyIFN0ZWx0LCBOLiBXLjwvYXV0aG9yPjwvYXV0aG9ycz48L2Nv
bnRyaWJ1dG9ycz48YXV0aC1hZGRyZXNzPk5hdGlvbmFsIExhYm9yYXRvcnkgb2YgRm9yZW5zaWMg
U2NpZW5jZSwgUy01ODEgOTQsIExpbmtvcGluZywgU3dlZGVuLjwvYXV0aC1hZGRyZXNzPjx0aXRs
ZXM+PHRpdGxlPkhlcm9pbiBpbXB1cml0eSBwcm9maWxpbmcuIEEgaGFybW9uaXphdGlvbiBzdHVk
eSBmb3IgcmV0cm9zcGVjdGl2ZSBjb21wYXJpc29uczwvdGl0bGU+PHNlY29uZGFyeS10aXRsZT5G
b3JlbnNpYyBTY2kgSW50PC9zZWNvbmRhcnktdGl0bGU+PGFsdC10aXRsZT5Gb3JlbnNpYyBzY2ll
bmNlIGludGVybmF0aW9uYWw8L2FsdC10aXRsZT48L3RpdGxlcz48cGVyaW9kaWNhbD48ZnVsbC10
aXRsZT5Gb3JlbnNpYyBTY2llbmNlIEludGVybmF0aW9uYWw8L2Z1bGwtdGl0bGU+PGFiYnItMT5G
b3JlbnNpYyBTY2kuIEludC48L2FiYnItMT48YWJici0yPkZvcmVuc2ljIFNjaSBJbnQ8L2FiYnIt
Mj48L3BlcmlvZGljYWw+PGFsdC1wZXJpb2RpY2FsPjxmdWxsLXRpdGxlPkZvcmVuc2ljIFNjaWVu
Y2UgSW50ZXJuYXRpb25hbDwvZnVsbC10aXRsZT48YWJici0xPkZvcmVuc2ljIFNjaS4gSW50Ljwv
YWJici0xPjxhYmJyLTI+Rm9yZW5zaWMgU2NpIEludDwvYWJici0yPjwvYWx0LXBlcmlvZGljYWw+
PHBhZ2VzPjY3LTg4PC9wYWdlcz48dm9sdW1lPjExNDwvdm9sdW1lPjxudW1iZXI+MjwvbnVtYmVy
PjxlZGl0aW9uPjIwMDAvMDkvMDE8L2VkaXRpb24+PGtleXdvcmRzPjxrZXl3b3JkPkNocm9tYXRv
Z3JhcGh5LCBHYXMvKm1ldGhvZHM8L2tleXdvcmQ+PGtleXdvcmQ+RGF0YWJhc2VzLCBGYWN0dWFs
PC9rZXl3b3JkPjxrZXl3b3JkPkRydWcgQ29udGFtaW5hdGlvbjwva2V5d29yZD48a2V5d29yZD5G
b3JlbnNpYyBNZWRpY2luZS9tZXRob2RzPC9rZXl3b3JkPjxrZXl3b3JkPkhlcm9pbi8qYW5hbHlz
aXM8L2tleXdvcmQ+PGtleXdvcmQ+TGFib3JhdG9yaWVzLypzdGFuZGFyZHM8L2tleXdvcmQ+PGtl
eXdvcmQ+UmVmZXJlbmNlIFN0YW5kYXJkczwva2V5d29yZD48a2V5d29yZD5SZXByb2R1Y2liaWxp
dHkgb2YgUmVzdWx0czwva2V5d29yZD48a2V5d29yZD5SZXRyb3NwZWN0aXZlIFN0dWRpZXM8L2tl
eXdvcmQ+PC9rZXl3b3Jkcz48ZGF0ZXM+PHllYXI+MjAwMDwveWVhcj48cHViLWRhdGVzPjxkYXRl
Pk5vdiAxMzwvZGF0ZT48L3B1Yi1kYXRlcz48L2RhdGVzPjxpc2JuPjAzNzktMDczOCAoUHJpbnQp
JiN4RDswMzc5LTA3Mzg8L2lzYm4+PGFjY2Vzc2lvbi1udW0+MTA5NjcyNDg8L2FjY2Vzc2lvbi1u
dW0+PHVybHM+PC91cmxzPjxyZW1vdGUtZGF0YWJhc2UtcHJvdmlkZXI+TkxNPC9yZW1vdGUtZGF0
YWJhc2UtcHJvdmlkZXI+PGxhbmd1YWdlPmVuZzwvbGFuZ3VhZ2U+PC9yZWNvcmQ+PC9DaXRlPjxD
aXRlPjxBdXRob3I+UGlra2FyYWluZW48L0F1dGhvcj48WWVhcj4xOTk2PC9ZZWFyPjxSZWNOdW0+
MjQ8L1JlY051bT48cmVjb3JkPjxyZWMtbnVtYmVyPjI0PC9yZWMtbnVtYmVyPjxmb3JlaWduLWtl
eXM+PGtleSBhcHA9IkVOIiBkYi1pZD0iMHJkZHh2dmV3MjJyejFlMGZ4azUydzJ2NXY5YWQ5ZXQ1
MGVwIiB0aW1lc3RhbXA9IjE1MTQ5ODQ5ODUiPjI0PC9rZXk+PC9mb3JlaWduLWtleXM+PHJlZi10
eXBlIG5hbWU9IkpvdXJuYWwgQXJ0aWNsZSI+MTc8L3JlZi10eXBlPjxjb250cmlidXRvcnM+PGF1
dGhvcnM+PGF1dGhvcj5QaWtrYXJhaW5lbiwgQS4gTC48L2F1dGhvcj48L2F1dGhvcnM+PC9jb250
cmlidXRvcnM+PHRpdGxlcz48dGl0bGU+U3lzdGVtYXRpYyBhcHByb2FjaCB0byB0aGUgcHJvZmls
aW5nIGFuYWx5c2lzIG9mIGlsbGljaXQgYW1waGV0YW1pbmU8L3RpdGxlPjxzZWNvbmRhcnktdGl0
bGU+Rm9yZW5zaWMgU2NpZW5jZSBJbnRlcm5hdGlvbmFsPC9zZWNvbmRhcnktdGl0bGU+PC90aXRs
ZXM+PHBlcmlvZGljYWw+PGZ1bGwtdGl0bGU+Rm9yZW5zaWMgU2NpZW5jZSBJbnRlcm5hdGlvbmFs
PC9mdWxsLXRpdGxlPjxhYmJyLTE+Rm9yZW5zaWMgU2NpLiBJbnQuPC9hYmJyLTE+PGFiYnItMj5G
b3JlbnNpYyBTY2kgSW50PC9hYmJyLTI+PC9wZXJpb2RpY2FsPjxwYWdlcz4xNDEtMTUyPC9wYWdl
cz48dm9sdW1lPjgyPC92b2x1bWU+PG51bWJlcj4yPC9udW1iZXI+PGtleXdvcmRzPjxrZXl3b3Jk
PkF1dG9tYXRpb248L2tleXdvcmQ+PGtleXdvcmQ+QW1waGV0YW1pbmU8L2tleXdvcmQ+PGtleXdv
cmQ+SW1wdXJpdGllczwva2V5d29yZD48a2V5d29yZD5DYXBpbGxhcnkgZ2FzIGNocm9tYXRvZ3Jh
cGh5PC9rZXl3b3JkPjxrZXl3b3JkPlJldGVudGlvbiBwYXJhbWV0ZXJzPC9rZXl3b3JkPjxrZXl3
b3JkPkRhdGEgcHJlcHJvY2Vzc2luZzwva2V5d29yZD48a2V5d29yZD5JbmZyYS1yZWQgZHJ5aW5n
IG1ldGhvZDwva2V5d29yZD48L2tleXdvcmRzPjxkYXRlcz48eWVhcj4xOTk2PC95ZWFyPjxwdWIt
ZGF0ZXM+PGRhdGU+MTk5Ni8wOS8zMC88L2RhdGU+PC9wdWItZGF0ZXM+PC9kYXRlcz48aXNibj4w
Mzc5LTA3Mzg8L2lzYm4+PHVybHM+PHJlbGF0ZWQtdXJscz48dXJsPmh0dHA6Ly93d3cuc2NpZW5j
ZWRpcmVjdC5jb20vc2NpZW5jZS9hcnRpY2xlL3BpaS8wMzc5MDczODk2MDE5OTYyPC91cmw+PC9y
ZWxhdGVkLXVybHM+PC91cmxzPjxlbGVjdHJvbmljLXJlc291cmNlLW51bT5odHRwOi8vZHguZG9p
Lm9yZy8xMC4xMDE2LzAzNzktMDczOCg5NikwMTk5Ni0yPC9lbGVjdHJvbmljLXJlc291cmNlLW51
bT48L3JlY29yZD48L0NpdGU+PENpdGU+PEF1dGhvcj5aYWNjYTwvQXV0aG9yPjxZZWFyPjIwMTM8
L1llYXI+PFJlY051bT4xMTY8L1JlY051bT48cmVjb3JkPjxyZWMtbnVtYmVyPjExNjwvcmVjLW51
bWJlcj48Zm9yZWlnbi1rZXlzPjxrZXkgYXBwPSJFTiIgZGItaWQ9Ind4cnA1c2FyemZwd2F5ZWZ3
ZXJ4d3M1ZXhzc3N4MjJwNXd4ZiIgdGltZXN0YW1wPSIxNTQ4NTIzNTk4Ij4xMTY8L2tleT48L2Zv
cmVpZ24ta2V5cz48cmVmLXR5cGUgbmFtZT0iSm91cm5hbCBBcnRpY2xlIj4xNzwvcmVmLXR5cGU+
PGNvbnRyaWJ1dG9ycz48YXV0aG9ycz48YXV0aG9yPlphY2NhLCBKb3JnZSBKLjwvYXV0aG9yPjxh
dXRob3I+R3JvYsOpcmlvLCBUYXRpYW5lIFMuPC9hdXRob3I+PGF1dGhvcj5NYWxkYW5lciwgQWRy
aWFubyBPLjwvYXV0aG9yPjxhdXRob3I+VmllaXJhLCBNYXVyw61jaW8gTC48L2F1dGhvcj48YXV0
aG9yPkJyYWdhLCBKZXogVy4gQi48L2F1dGhvcj48L2F1dGhvcnM+PC9jb250cmlidXRvcnM+PHRp
dGxlcz48dGl0bGU+Q29ycmVsYXRpb24gb2YgQ29jYWluZSBIeWRyb2NobG9yaWRlIFNhbXBsZXMg
U2VpemVkIGluIEJyYXppbCBCYXNlZCBvbiBEZXRlcm1pbmF0aW9uIG9mIFJlc2lkdWFsIFNvbHZl
bnRzOiBBbiBJbm5vdmF0aXZlIENoZW1vbWV0cmljIE1ldGhvZCBmb3IgRGV0ZXJtaW5hdGlvbiBv
ZiBMaW5rYWdlIFRocmVzaG9sZHM8L3RpdGxlPjxzZWNvbmRhcnktdGl0bGU+QW5hbHl0aWNhbCBD
aGVtaXN0cnk8L3NlY29uZGFyeS10aXRsZT48L3RpdGxlcz48cGVyaW9kaWNhbD48ZnVsbC10aXRs
ZT5BbmFseXRpY2FsIENoZW1pc3RyeTwvZnVsbC10aXRsZT48L3BlcmlvZGljYWw+PHBhZ2VzPjI0
NTctMjQ2NDwvcGFnZXM+PHZvbHVtZT44NTwvdm9sdW1lPjxudW1iZXI+NDwvbnVtYmVyPjxkYXRl
cz48eWVhcj4yMDEzPC95ZWFyPjxwdWItZGF0ZXM+PGRhdGU+MjAxMy8wMi8xOTwvZGF0ZT48L3B1
Yi1kYXRlcz48L2RhdGVzPjxwdWJsaXNoZXI+QW1lcmljYW4gQ2hlbWljYWwgU29jaWV0eTwvcHVi
bGlzaGVyPjxpc2JuPjAwMDMtMjcwMDwvaXNibj48dXJscz48cmVsYXRlZC11cmxzPjx1cmw+aHR0
cDovL2R4LmRvaS5vcmcvMTAuMTAyMS9hYzMwMzQxNDc8L3VybD48L3JlbGF0ZWQtdXJscz48L3Vy
bHM+PGVsZWN0cm9uaWMtcmVzb3VyY2UtbnVtPjEwLjEwMjEvYWMzMDM0MTQ3PC9lbGVjdHJvbmlj
LXJlc291cmNlLW51bT48L3JlY29yZD48L0NpdGU+PC9FbmROb3RlPn==
</w:fldData>
        </w:fldChar>
      </w:r>
      <w:r w:rsidR="003C396B">
        <w:instrText xml:space="preserve"> ADDIN EN.CITE </w:instrText>
      </w:r>
      <w:r w:rsidR="003C396B">
        <w:fldChar w:fldCharType="begin">
          <w:fldData xml:space="preserve">PEVuZE5vdGU+PENpdGU+PEF1dGhvcj5LdW5hbGFuPC9BdXRob3I+PFllYXI+MjAwOTwvWWVhcj48
UmVjTnVtPjEwNjwvUmVjTnVtPjxEaXNwbGF5VGV4dD5bMi02XTwvRGlzcGxheVRleHQ+PHJlY29y
ZD48cmVjLW51bWJlcj4xMDY8L3JlYy1udW1iZXI+PGZvcmVpZ24ta2V5cz48a2V5IGFwcD0iRU4i
IGRiLWlkPSJ3eHJwNXNhcnpmcHdheWVmd2VyeHdzNWV4c3NzeDIycDV3eGYiIHRpbWVzdGFtcD0i
MTU0ODUyMjk3NyI+MTA2PC9rZXk+PC9mb3JlaWduLWtleXM+PHJlZi10eXBlIG5hbWU9IkpvdXJu
YWwgQXJ0aWNsZSI+MTc8L3JlZi10eXBlPjxjb250cmlidXRvcnM+PGF1dGhvcnM+PGF1dGhvcj5L
dW5hbGFuLCBWYW5pdGhhPC9hdXRob3I+PGF1dGhvcj5OaWMgRGHDqWlkLCBOaWFtaDwvYXV0aG9y
PjxhdXRob3I+S2VyciwgV2lsbGlhbSBKLjwvYXV0aG9yPjxhdXRob3I+QnVjaGFuYW4sIEhpbGFy
eSBBLiBTLjwvYXV0aG9yPjxhdXRob3I+TWNQaGVyc29uLCBBbGxhbiBSLjwvYXV0aG9yPjwvYXV0
aG9ycz48L2NvbnRyaWJ1dG9ycz48dGl0bGVzPjx0aXRsZT5DaGFyYWN0ZXJpemF0aW9uIG9mIFJv
dXRlIFNwZWNpZmljIEltcHVyaXRpZXMgRm91bmQgaW4gTWV0aGFtcGhldGFtaW5lIFN5bnRoZXNp
emVkIGJ5IHRoZSBMZXVja2FydCBhbmQgUmVkdWN0aXZlIEFtaW5hdGlvbiBNZXRob2RzPC90aXRs
ZT48c2Vjb25kYXJ5LXRpdGxlPkFuYWx5dGljYWwgQ2hlbWlzdHJ5PC9zZWNvbmRhcnktdGl0bGU+
PC90aXRsZXM+PHBlcmlvZGljYWw+PGZ1bGwtdGl0bGU+QW5hbHl0aWNhbCBDaGVtaXN0cnk8L2Z1
bGwtdGl0bGU+PC9wZXJpb2RpY2FsPjxwYWdlcz43MzQyLTczNDg8L3BhZ2VzPjx2b2x1bWU+ODE8
L3ZvbHVtZT48bnVtYmVyPjE3PC9udW1iZXI+PGRhdGVzPjx5ZWFyPjIwMDk8L3llYXI+PHB1Yi1k
YXRlcz48ZGF0ZT4wNy8yOCYjeEQ7MDMvMTgvcmVjZWl2ZWQmI3hEOzA3LzA2L2FjY2VwdGVkPC9k
YXRlPjwvcHViLWRhdGVzPjwvZGF0ZXM+PHB1Ymxpc2hlcj5BbWVyaWNhbiBDaGVtaWNhbCBTb2Np
ZXR5PC9wdWJsaXNoZXI+PGlzYm4+MDAwMy0yNzAwJiN4RDsxNTIwLTY4ODI8L2lzYm4+PGFjY2Vz
c2lvbi1udW0+UE1DMzY2MjQwMzwvYWNjZXNzaW9uLW51bT48dXJscz48cmVsYXRlZC11cmxzPjx1
cmw+aHR0cDovL3d3dy5uY2JpLm5sbS5uaWguZ292L3BtYy9hcnRpY2xlcy9QTUMzNjYyNDAzLzwv
dXJsPjwvcmVsYXRlZC11cmxzPjwvdXJscz48ZWxlY3Ryb25pYy1yZXNvdXJjZS1udW0+MTAuMTAy
MS9hYzkwMDU1ODg8L2VsZWN0cm9uaWMtcmVzb3VyY2UtbnVtPjxyZW1vdGUtZGF0YWJhc2UtbmFt
ZT5QTUM8L3JlbW90ZS1kYXRhYmFzZS1uYW1lPjwvcmVjb3JkPjwvQ2l0ZT48Q2l0ZT48QXV0aG9y
PkJhbGxhbnk8L0F1dGhvcj48WWVhcj4yMDAxPC9ZZWFyPjxSZWNOdW0+MTAxPC9SZWNOdW0+PHJl
Y29yZD48cmVjLW51bWJlcj4xMDE8L3JlYy1udW1iZXI+PGZvcmVpZ24ta2V5cz48a2V5IGFwcD0i
RU4iIGRiLWlkPSJ3eHJwNXNhcnpmcHdheWVmd2VyeHdzNWV4c3NzeDIycDV3eGYiIHRpbWVzdGFt
cD0iMTU0ODUyMjk3NyI+MTAxPC9rZXk+PC9mb3JlaWduLWtleXM+PHJlZi10eXBlIG5hbWU9Ikpv
dXJuYWwgQXJ0aWNsZSI+MTc8L3JlZi10eXBlPjxjb250cmlidXRvcnM+PGF1dGhvcnM+PGF1dGhv
cj5CYWxsYW55LCBKLjwvYXV0aG9yPjxhdXRob3I+Q2FkZHksIEIuPC9hdXRob3I+PGF1dGhvcj5D
b2xlLCBNLjwvYXV0aG9yPjxhdXRob3I+Rmlubm9uLCBZLjwvYXV0aG9yPjxhdXRob3I+QWFsYmVy
ZywgTC48L2F1dGhvcj48YXV0aG9yPkphbmh1bmVuLCBLLjwvYXV0aG9yPjxhdXRob3I+U2lwcG9s
YSwgRS48L2F1dGhvcj48YXV0aG9yPkFuZGVyc3NvbiwgSy48L2F1dGhvcj48YXV0aG9yPkJlcnRs
ZXIsIEMuPC9hdXRob3I+PGF1dGhvcj5EYWhsZW4sIEouPC9hdXRob3I+PGF1dGhvcj5Lb3BwLCBJ
LjwvYXV0aG9yPjxhdXRob3I+RHVqb3VyZHksIEwuPC9hdXRob3I+PGF1dGhvcj5Mb2NrLCBFLjwv
YXV0aG9yPjxhdXRob3I+TWFyZ290LCBQLjwvYXV0aG9yPjxhdXRob3I+SHVpemVyLCBILjwvYXV0
aG9yPjxhdXRob3I+UG9vcnRtYW4sIEEuPC9hdXRob3I+PGF1dGhvcj5LYWEsIEUuPC9hdXRob3I+
PGF1dGhvcj5Mb3BlcywgQS48L2F1dGhvcj48L2F1dGhvcnM+PC9jb250cmlidXRvcnM+PGF1dGgt
YWRkcmVzcz5Vbml2IFN0cmF0aGNseWRlLCBGb3JlbnMgU2NpIFVuaXQsIEdsYXNnb3csIExhbmFy
aywgU2NvdGxhbmQuIE5hdGwgQnVyIEludmVzdCwgRklOLTAxMzAxIFZhbnRhYSwgRmlubGFuZC4g
U0tMIE5hdGwgTGFiIEZvcmVucyBTY2ksIFNFLTU4MTk0IExpbmtvcGluZywgU3dlZGVuLiBVbml2
IExhdXNhbm5lLCBJbnN0IFBvbGljZSBTY2kgJmFtcDsgQ3JpbWlub2wsIENILTEwMTUgTGF1c2Fu
bmUsIFN3aXR6ZXJsYW5kLiBOZXRoZXJsYW5kcyBGb3JlbnMgSW5zdCwgTkwtMjI4OCBSRCBSaWpz
d2lqaywgTmV0aGVybGFuZHMuIFVuaXYgQWFyaHVzLCBEZXB0IEZvcmVucyBNZWQsIERLLTgyNDAg
Umlzc2tvdiwgRGVubWFyay4gUG9saWNpYSBKdWRpY2lhcmlhLCBMYWIgUG9saWNpYSBDaWVudGlm
aWNhLCBQLTExNjkwMDcgTGlzYm9uLCBQb3J0dWdhbC4mI3hEO0NvbGUsIE0gKHJlcHJpbnQgYXV0
aG9yKSwgVW5pdiBTdHJhdGhjbHlkZSwgRm9yZW5zIFNjaSBVbml0LCAyMDQgR2VvcmdlIFN0LCBH
bGFzZ293LCBMYW5hcmssIFNjb3RsYW5kLjwvYXV0aC1hZGRyZXNzPjx0aXRsZXM+PHRpdGxlPkRl
dmVsb3BtZW50IG9mIGEgaGFybW9uaXNlZCBwYW4tRXVyb3BlYW4gbWV0aG9kIGZvciB0aGUgcHJv
ZmlsaW5nIG9mIGFtcGhldGFtaW5lczwvdGl0bGU+PHNlY29uZGFyeS10aXRsZT5TY2llbmNlICZh
bXA7IEp1c3RpY2U8L3NlY29uZGFyeS10aXRsZT48YWx0LXRpdGxlPlNjaS4gSnVzdGljZTwvYWx0
LXRpdGxlPjwvdGl0bGVzPjxwZXJpb2RpY2FsPjxmdWxsLXRpdGxlPlNjaWVuY2UgJmFtcDsgSnVz
dGljZTwvZnVsbC10aXRsZT48YWJici0xPlNjaS4gSnVzdGljZTwvYWJici0xPjwvcGVyaW9kaWNh
bD48YWx0LXBlcmlvZGljYWw+PGZ1bGwtdGl0bGU+U2NpZW5jZSAmYW1wOyBKdXN0aWNlPC9mdWxs
LXRpdGxlPjxhYmJyLTE+U2NpLiBKdXN0aWNlPC9hYmJyLTE+PC9hbHQtcGVyaW9kaWNhbD48cGFn
ZXM+MTkzLTE5NjwvcGFnZXM+PHZvbHVtZT40MTwvdm9sdW1lPjxudW1iZXI+MzwvbnVtYmVyPjxr
ZXl3b3Jkcz48a2V5d29yZD5mb3JlbnNpYyBzY2llbmNlPC9rZXl3b3JkPjxrZXl3b3JkPmFtcGhl
dGFtaW5lPC9rZXl3b3JkPjxrZXl3b3JkPmNoZW1pY2FsIGltcHVyaXR5IHByb2ZpbGluZzwva2V5
d29yZD48a2V5d29yZD5tZXRob2Q8L2tleXdvcmQ+PGtleXdvcmQ+ZGV2ZWxvcG1lbnQ8L2tleXdv
cmQ+PGtleXdvcmQ+TGVnYWwgTWVkaWNpbmU8L2tleXdvcmQ+PGtleXdvcmQ+UGF0aG9sb2d5PC9r
ZXl3b3JkPjwva2V5d29yZHM+PGRhdGVzPjx5ZWFyPjIwMDE8L3llYXI+PHB1Yi1kYXRlcz48ZGF0
ZT5KdWwtU2VwPC9kYXRlPjwvcHViLWRhdGVzPjwvZGF0ZXM+PGlzYm4+MTM1NS0wMzA2PC9pc2Ju
PjxhY2Nlc3Npb24tbnVtPldPUzowMDAxNzA0NDMxMDAwMTM8L2FjY2Vzc2lvbi1udW0+PHdvcmst
dHlwZT5BcnRpY2xlOyBQcm9jZWVkaW5ncyBQYXBlcjwvd29yay10eXBlPjx1cmxzPjxyZWxhdGVk
LXVybHM+PHVybD4mbHQ7R28gdG8gSVNJJmd0OzovL1dPUzowMDAxNzA0NDMxMDAwMTM8L3VybD48
L3JlbGF0ZWQtdXJscz48L3VybHM+PGVsZWN0cm9uaWMtcmVzb3VyY2UtbnVtPjEwLjEwMTYvczEz
NTUtMDMwNigwMSk3MTg4OS04PC9lbGVjdHJvbmljLXJlc291cmNlLW51bT48bGFuZ3VhZ2U+RW5n
bGlzaDwvbGFuZ3VhZ2U+PC9yZWNvcmQ+PC9DaXRlPjxDaXRlPjxBdXRob3I+U3Ryb21iZXJnPC9B
dXRob3I+PFllYXI+MjAwMDwvWWVhcj48UmVjTnVtPjMyPC9SZWNOdW0+PHJlY29yZD48cmVjLW51
bWJlcj4zMjwvcmVjLW51bWJlcj48Zm9yZWlnbi1rZXlzPjxrZXkgYXBwPSJFTiIgZGItaWQ9IjBy
ZGR4dnZldzIycnoxZTBmeGs1MncydjV2OWFkOWV0NTBlcCIgdGltZXN0YW1wPSIxNTE0OTg0OTg1
Ij4zMjwva2V5PjwvZm9yZWlnbi1rZXlzPjxyZWYtdHlwZSBuYW1lPSJKb3VybmFsIEFydGljbGUi
PjE3PC9yZWYtdHlwZT48Y29udHJpYnV0b3JzPjxhdXRob3JzPjxhdXRob3I+U3Ryb21iZXJnLCBM
LjwvYXV0aG9yPjxhdXRob3I+THVuZGJlcmcsIEwuPC9hdXRob3I+PGF1dGhvcj5OZXVtYW5uLCBI
LjwvYXV0aG9yPjxhdXRob3I+Qm9ib24sIEIuPC9hdXRob3I+PGF1dGhvcj5IdWl6ZXIsIEguPC9h
dXRob3I+PGF1dGhvcj52YW4gZGVyIFN0ZWx0LCBOLiBXLjwvYXV0aG9yPjwvYXV0aG9ycz48L2Nv
bnRyaWJ1dG9ycz48YXV0aC1hZGRyZXNzPk5hdGlvbmFsIExhYm9yYXRvcnkgb2YgRm9yZW5zaWMg
U2NpZW5jZSwgUy01ODEgOTQsIExpbmtvcGluZywgU3dlZGVuLjwvYXV0aC1hZGRyZXNzPjx0aXRs
ZXM+PHRpdGxlPkhlcm9pbiBpbXB1cml0eSBwcm9maWxpbmcuIEEgaGFybW9uaXphdGlvbiBzdHVk
eSBmb3IgcmV0cm9zcGVjdGl2ZSBjb21wYXJpc29uczwvdGl0bGU+PHNlY29uZGFyeS10aXRsZT5G
b3JlbnNpYyBTY2kgSW50PC9zZWNvbmRhcnktdGl0bGU+PGFsdC10aXRsZT5Gb3JlbnNpYyBzY2ll
bmNlIGludGVybmF0aW9uYWw8L2FsdC10aXRsZT48L3RpdGxlcz48cGVyaW9kaWNhbD48ZnVsbC10
aXRsZT5Gb3JlbnNpYyBTY2llbmNlIEludGVybmF0aW9uYWw8L2Z1bGwtdGl0bGU+PGFiYnItMT5G
b3JlbnNpYyBTY2kuIEludC48L2FiYnItMT48YWJici0yPkZvcmVuc2ljIFNjaSBJbnQ8L2FiYnIt
Mj48L3BlcmlvZGljYWw+PGFsdC1wZXJpb2RpY2FsPjxmdWxsLXRpdGxlPkZvcmVuc2ljIFNjaWVu
Y2UgSW50ZXJuYXRpb25hbDwvZnVsbC10aXRsZT48YWJici0xPkZvcmVuc2ljIFNjaS4gSW50Ljwv
YWJici0xPjxhYmJyLTI+Rm9yZW5zaWMgU2NpIEludDwvYWJici0yPjwvYWx0LXBlcmlvZGljYWw+
PHBhZ2VzPjY3LTg4PC9wYWdlcz48dm9sdW1lPjExNDwvdm9sdW1lPjxudW1iZXI+MjwvbnVtYmVy
PjxlZGl0aW9uPjIwMDAvMDkvMDE8L2VkaXRpb24+PGtleXdvcmRzPjxrZXl3b3JkPkNocm9tYXRv
Z3JhcGh5LCBHYXMvKm1ldGhvZHM8L2tleXdvcmQ+PGtleXdvcmQ+RGF0YWJhc2VzLCBGYWN0dWFs
PC9rZXl3b3JkPjxrZXl3b3JkPkRydWcgQ29udGFtaW5hdGlvbjwva2V5d29yZD48a2V5d29yZD5G
b3JlbnNpYyBNZWRpY2luZS9tZXRob2RzPC9rZXl3b3JkPjxrZXl3b3JkPkhlcm9pbi8qYW5hbHlz
aXM8L2tleXdvcmQ+PGtleXdvcmQ+TGFib3JhdG9yaWVzLypzdGFuZGFyZHM8L2tleXdvcmQ+PGtl
eXdvcmQ+UmVmZXJlbmNlIFN0YW5kYXJkczwva2V5d29yZD48a2V5d29yZD5SZXByb2R1Y2liaWxp
dHkgb2YgUmVzdWx0czwva2V5d29yZD48a2V5d29yZD5SZXRyb3NwZWN0aXZlIFN0dWRpZXM8L2tl
eXdvcmQ+PC9rZXl3b3Jkcz48ZGF0ZXM+PHllYXI+MjAwMDwveWVhcj48cHViLWRhdGVzPjxkYXRl
Pk5vdiAxMzwvZGF0ZT48L3B1Yi1kYXRlcz48L2RhdGVzPjxpc2JuPjAzNzktMDczOCAoUHJpbnQp
JiN4RDswMzc5LTA3Mzg8L2lzYm4+PGFjY2Vzc2lvbi1udW0+MTA5NjcyNDg8L2FjY2Vzc2lvbi1u
dW0+PHVybHM+PC91cmxzPjxyZW1vdGUtZGF0YWJhc2UtcHJvdmlkZXI+TkxNPC9yZW1vdGUtZGF0
YWJhc2UtcHJvdmlkZXI+PGxhbmd1YWdlPmVuZzwvbGFuZ3VhZ2U+PC9yZWNvcmQ+PC9DaXRlPjxD
aXRlPjxBdXRob3I+UGlra2FyYWluZW48L0F1dGhvcj48WWVhcj4xOTk2PC9ZZWFyPjxSZWNOdW0+
MjQ8L1JlY051bT48cmVjb3JkPjxyZWMtbnVtYmVyPjI0PC9yZWMtbnVtYmVyPjxmb3JlaWduLWtl
eXM+PGtleSBhcHA9IkVOIiBkYi1pZD0iMHJkZHh2dmV3MjJyejFlMGZ4azUydzJ2NXY5YWQ5ZXQ1
MGVwIiB0aW1lc3RhbXA9IjE1MTQ5ODQ5ODUiPjI0PC9rZXk+PC9mb3JlaWduLWtleXM+PHJlZi10
eXBlIG5hbWU9IkpvdXJuYWwgQXJ0aWNsZSI+MTc8L3JlZi10eXBlPjxjb250cmlidXRvcnM+PGF1
dGhvcnM+PGF1dGhvcj5QaWtrYXJhaW5lbiwgQS4gTC48L2F1dGhvcj48L2F1dGhvcnM+PC9jb250
cmlidXRvcnM+PHRpdGxlcz48dGl0bGU+U3lzdGVtYXRpYyBhcHByb2FjaCB0byB0aGUgcHJvZmls
aW5nIGFuYWx5c2lzIG9mIGlsbGljaXQgYW1waGV0YW1pbmU8L3RpdGxlPjxzZWNvbmRhcnktdGl0
bGU+Rm9yZW5zaWMgU2NpZW5jZSBJbnRlcm5hdGlvbmFsPC9zZWNvbmRhcnktdGl0bGU+PC90aXRs
ZXM+PHBlcmlvZGljYWw+PGZ1bGwtdGl0bGU+Rm9yZW5zaWMgU2NpZW5jZSBJbnRlcm5hdGlvbmFs
PC9mdWxsLXRpdGxlPjxhYmJyLTE+Rm9yZW5zaWMgU2NpLiBJbnQuPC9hYmJyLTE+PGFiYnItMj5G
b3JlbnNpYyBTY2kgSW50PC9hYmJyLTI+PC9wZXJpb2RpY2FsPjxwYWdlcz4xNDEtMTUyPC9wYWdl
cz48dm9sdW1lPjgyPC92b2x1bWU+PG51bWJlcj4yPC9udW1iZXI+PGtleXdvcmRzPjxrZXl3b3Jk
PkF1dG9tYXRpb248L2tleXdvcmQ+PGtleXdvcmQ+QW1waGV0YW1pbmU8L2tleXdvcmQ+PGtleXdv
cmQ+SW1wdXJpdGllczwva2V5d29yZD48a2V5d29yZD5DYXBpbGxhcnkgZ2FzIGNocm9tYXRvZ3Jh
cGh5PC9rZXl3b3JkPjxrZXl3b3JkPlJldGVudGlvbiBwYXJhbWV0ZXJzPC9rZXl3b3JkPjxrZXl3
b3JkPkRhdGEgcHJlcHJvY2Vzc2luZzwva2V5d29yZD48a2V5d29yZD5JbmZyYS1yZWQgZHJ5aW5n
IG1ldGhvZDwva2V5d29yZD48L2tleXdvcmRzPjxkYXRlcz48eWVhcj4xOTk2PC95ZWFyPjxwdWIt
ZGF0ZXM+PGRhdGU+MTk5Ni8wOS8zMC88L2RhdGU+PC9wdWItZGF0ZXM+PC9kYXRlcz48aXNibj4w
Mzc5LTA3Mzg8L2lzYm4+PHVybHM+PHJlbGF0ZWQtdXJscz48dXJsPmh0dHA6Ly93d3cuc2NpZW5j
ZWRpcmVjdC5jb20vc2NpZW5jZS9hcnRpY2xlL3BpaS8wMzc5MDczODk2MDE5OTYyPC91cmw+PC9y
ZWxhdGVkLXVybHM+PC91cmxzPjxlbGVjdHJvbmljLXJlc291cmNlLW51bT5odHRwOi8vZHguZG9p
Lm9yZy8xMC4xMDE2LzAzNzktMDczOCg5NikwMTk5Ni0yPC9lbGVjdHJvbmljLXJlc291cmNlLW51
bT48L3JlY29yZD48L0NpdGU+PENpdGU+PEF1dGhvcj5aYWNjYTwvQXV0aG9yPjxZZWFyPjIwMTM8
L1llYXI+PFJlY051bT4xMTY8L1JlY051bT48cmVjb3JkPjxyZWMtbnVtYmVyPjExNjwvcmVjLW51
bWJlcj48Zm9yZWlnbi1rZXlzPjxrZXkgYXBwPSJFTiIgZGItaWQ9Ind4cnA1c2FyemZwd2F5ZWZ3
ZXJ4d3M1ZXhzc3N4MjJwNXd4ZiIgdGltZXN0YW1wPSIxNTQ4NTIzNTk4Ij4xMTY8L2tleT48L2Zv
cmVpZ24ta2V5cz48cmVmLXR5cGUgbmFtZT0iSm91cm5hbCBBcnRpY2xlIj4xNzwvcmVmLXR5cGU+
PGNvbnRyaWJ1dG9ycz48YXV0aG9ycz48YXV0aG9yPlphY2NhLCBKb3JnZSBKLjwvYXV0aG9yPjxh
dXRob3I+R3JvYsOpcmlvLCBUYXRpYW5lIFMuPC9hdXRob3I+PGF1dGhvcj5NYWxkYW5lciwgQWRy
aWFubyBPLjwvYXV0aG9yPjxhdXRob3I+VmllaXJhLCBNYXVyw61jaW8gTC48L2F1dGhvcj48YXV0
aG9yPkJyYWdhLCBKZXogVy4gQi48L2F1dGhvcj48L2F1dGhvcnM+PC9jb250cmlidXRvcnM+PHRp
dGxlcz48dGl0bGU+Q29ycmVsYXRpb24gb2YgQ29jYWluZSBIeWRyb2NobG9yaWRlIFNhbXBsZXMg
U2VpemVkIGluIEJyYXppbCBCYXNlZCBvbiBEZXRlcm1pbmF0aW9uIG9mIFJlc2lkdWFsIFNvbHZl
bnRzOiBBbiBJbm5vdmF0aXZlIENoZW1vbWV0cmljIE1ldGhvZCBmb3IgRGV0ZXJtaW5hdGlvbiBv
ZiBMaW5rYWdlIFRocmVzaG9sZHM8L3RpdGxlPjxzZWNvbmRhcnktdGl0bGU+QW5hbHl0aWNhbCBD
aGVtaXN0cnk8L3NlY29uZGFyeS10aXRsZT48L3RpdGxlcz48cGVyaW9kaWNhbD48ZnVsbC10aXRs
ZT5BbmFseXRpY2FsIENoZW1pc3RyeTwvZnVsbC10aXRsZT48L3BlcmlvZGljYWw+PHBhZ2VzPjI0
NTctMjQ2NDwvcGFnZXM+PHZvbHVtZT44NTwvdm9sdW1lPjxudW1iZXI+NDwvbnVtYmVyPjxkYXRl
cz48eWVhcj4yMDEzPC95ZWFyPjxwdWItZGF0ZXM+PGRhdGU+MjAxMy8wMi8xOTwvZGF0ZT48L3B1
Yi1kYXRlcz48L2RhdGVzPjxwdWJsaXNoZXI+QW1lcmljYW4gQ2hlbWljYWwgU29jaWV0eTwvcHVi
bGlzaGVyPjxpc2JuPjAwMDMtMjcwMDwvaXNibj48dXJscz48cmVsYXRlZC11cmxzPjx1cmw+aHR0
cDovL2R4LmRvaS5vcmcvMTAuMTAyMS9hYzMwMzQxNDc8L3VybD48L3JlbGF0ZWQtdXJscz48L3Vy
bHM+PGVsZWN0cm9uaWMtcmVzb3VyY2UtbnVtPjEwLjEwMjEvYWMzMDM0MTQ3PC9lbGVjdHJvbmlj
LXJlc291cmNlLW51bT48L3JlY29yZD48L0NpdGU+PC9FbmROb3RlPn==
</w:fldData>
        </w:fldChar>
      </w:r>
      <w:r w:rsidR="003C396B">
        <w:instrText xml:space="preserve"> ADDIN EN.CITE.DATA </w:instrText>
      </w:r>
      <w:r w:rsidR="003C396B">
        <w:fldChar w:fldCharType="end"/>
      </w:r>
      <w:r>
        <w:fldChar w:fldCharType="separate"/>
      </w:r>
      <w:r>
        <w:rPr>
          <w:noProof/>
        </w:rPr>
        <w:t>[2-6]</w:t>
      </w:r>
      <w:r>
        <w:fldChar w:fldCharType="end"/>
      </w:r>
      <w:r>
        <w:t xml:space="preserve">. The analysis of the composition </w:t>
      </w:r>
      <w:r>
        <w:rPr>
          <w:lang w:val="en"/>
        </w:rPr>
        <w:t xml:space="preserve">of </w:t>
      </w:r>
      <w:r w:rsidRPr="008E13D5">
        <w:t>stable isotope</w:t>
      </w:r>
      <w:r>
        <w:t>s</w:t>
      </w:r>
      <w:r w:rsidRPr="008E13D5">
        <w:t xml:space="preserve"> for elements like carbon, nitrogen or hydrogen</w:t>
      </w:r>
      <w:r>
        <w:t xml:space="preserve"> via isotope ratio mass spectrometry (IRMS) can provide information on the </w:t>
      </w:r>
      <w:r w:rsidRPr="008E13D5">
        <w:t>origin of precursor compounds of synthetic drugs like amphetamine</w:t>
      </w:r>
      <w:r>
        <w:t xml:space="preserve"> </w:t>
      </w:r>
      <w:r w:rsidRPr="008E13D5">
        <w:fldChar w:fldCharType="begin">
          <w:fldData xml:space="preserve">PEVuZE5vdGU+PENpdGU+PEF1dGhvcj5DYXJ0ZXI8L0F1dGhvcj48WWVhcj4yMDAyPC9ZZWFyPjxS
ZWNOdW0+MTM2PC9SZWNOdW0+PERpc3BsYXlUZXh0Pls3LCA4XTwvRGlzcGxheVRleHQ+PHJlY29y
ZD48cmVjLW51bWJlcj4xMzY8L3JlYy1udW1iZXI+PGZvcmVpZ24ta2V5cz48a2V5IGFwcD0iRU4i
IGRiLWlkPSJ3eHJwNXNhcnpmcHdheWVmd2VyeHdzNWV4c3NzeDIycDV3eGYiIHRpbWVzdGFtcD0i
MTU0ODU5Njc0NCI+MTM2PC9rZXk+PC9mb3JlaWduLWtleXM+PHJlZi10eXBlIG5hbWU9IkpvdXJu
YWwgQXJ0aWNsZSI+MTc8L3JlZi10eXBlPjxjb250cmlidXRvcnM+PGF1dGhvcnM+PGF1dGhvcj5D
YXJ0ZXIsIEphbWVzIEYuPC9hdXRob3I+PGF1dGhvcj5UaXR0ZXJ0b24sIEVtbWEgTC48L2F1dGhv
cj48YXV0aG9yPkdyYW50LCBIZWxlbjwvYXV0aG9yPjxhdXRob3I+U2xlZW1hbiwgUmljaGFyZDwv
YXV0aG9yPjwvYXV0aG9ycz48L2NvbnRyaWJ1dG9ycz48dGl0bGVzPjx0aXRsZT5Jc290b3BpYyBj
aGFuZ2VzIGR1cmluZyB0aGUgc3ludGhlc2lzIG9mIGFtcGhldGFtaW5lczwvdGl0bGU+PHNlY29u
ZGFyeS10aXRsZT5DaGVtaWNhbCBDb21tdW5pY2F0aW9uczwvc2Vjb25kYXJ5LXRpdGxlPjwvdGl0
bGVzPjxwZXJpb2RpY2FsPjxmdWxsLXRpdGxlPkNoZW1pY2FsIENvbW11bmljYXRpb25zPC9mdWxs
LXRpdGxlPjwvcGVyaW9kaWNhbD48cGFnZXM+MjU5MC0yNTkxPC9wYWdlcz48bnVtYmVyPjIxPC9u
dW1iZXI+PGRhdGVzPjx5ZWFyPjIwMDI8L3llYXI+PC9kYXRlcz48cHVibGlzaGVyPlRoZSBSb3lh
bCBTb2NpZXR5IG9mIENoZW1pc3RyeTwvcHVibGlzaGVyPjxpc2JuPjEzNTktNzM0NTwvaXNibj48
d29yay10eXBlPjEwLjEwMzkvQjIwNzc3NUI8L3dvcmstdHlwZT48dXJscz48cmVsYXRlZC11cmxz
Pjx1cmw+aHR0cDovL2R4LmRvaS5vcmcvMTAuMTAzOS9CMjA3Nzc1QjwvdXJsPjwvcmVsYXRlZC11
cmxzPjwvdXJscz48ZWxlY3Ryb25pYy1yZXNvdXJjZS1udW0+MTAuMTAzOS9CMjA3Nzc1QjwvZWxl
Y3Ryb25pYy1yZXNvdXJjZS1udW0+PC9yZWNvcmQ+PC9DaXRlPjxDaXRlPjxBdXRob3I+U2NobmVp
ZGVyczwvQXV0aG9yPjxZZWFyPjIwMDk8L1llYXI+PFJlY051bT4xMjg8L1JlY051bT48cmVjb3Jk
PjxyZWMtbnVtYmVyPjEyODwvcmVjLW51bWJlcj48Zm9yZWlnbi1rZXlzPjxrZXkgYXBwPSJFTiIg
ZGItaWQ9Ind4cnA1c2FyemZwd2F5ZWZ3ZXJ4d3M1ZXhzc3N4MjJwNXd4ZiIgdGltZXN0YW1wPSIx
NTQ4NTMwMjIwIj4xMjg8L2tleT48L2ZvcmVpZ24ta2V5cz48cmVmLXR5cGUgbmFtZT0iSm91cm5h
bCBBcnRpY2xlIj4xNzwvcmVmLXR5cGU+PGNvbnRyaWJ1dG9ycz48YXV0aG9ycz48YXV0aG9yPlNj
aG5laWRlcnMsIFMuPC9hdXRob3I+PGF1dGhvcj5Ib2xkZXJtYW5uLCBULjwvYXV0aG9yPjxhdXRo
b3I+RGFobGVuYnVyZywgUi48L2F1dGhvcj48L2F1dGhvcnM+PC9jb250cmlidXRvcnM+PHRpdGxl
cz48dGl0bGU+Q29tcGFyYXRpdmUgYW5hbHlzaXMgb2YgMS1waGVueWwtMi1wcm9wYW5vbmUgKFAy
UCksIGFuIGFtcGhldGFtaW5lLXR5cGUgc3RpbXVsYW50IHByZWN1cnNvciwgdXNpbmcgc3RhYmxl
IGlzb3RvcGUgcmF0aW8gbWFzcyBzcGVjdHJvbWV0cnk8L3RpdGxlPjxzZWNvbmRhcnktdGl0bGU+
U2NpZW5jZSBhbmQgSnVzdGljZTwvc2Vjb25kYXJ5LXRpdGxlPjwvdGl0bGVzPjxwZXJpb2RpY2Fs
PjxmdWxsLXRpdGxlPlNjaWVuY2UgYW5kIEp1c3RpY2U8L2Z1bGwtdGl0bGU+PC9wZXJpb2RpY2Fs
PjxwYWdlcz45NC0xMDE8L3BhZ2VzPjx2b2x1bWU+NDk8L3ZvbHVtZT48bnVtYmVyPjI8L251bWJl
cj48ZGF0ZXM+PHllYXI+MjAwOTwveWVhcj48L2RhdGVzPjxwdWJsaXNoZXI+RWxzZXZpZXI8L3B1
Ymxpc2hlcj48aXNibj4xMzU1LTAzMDY8L2lzYm4+PHVybHM+PHJlbGF0ZWQtdXJscz48dXJsPmh0
dHBzOi8vZG9pLm9yZy8xMC4xMDE2L2ouc2NpanVzLjIwMDkuMDMuMDAxPC91cmw+PC9yZWxhdGVk
LXVybHM+PC91cmxzPjxlbGVjdHJvbmljLXJlc291cmNlLW51bT4xMC4xMDE2L2ouc2NpanVzLjIw
MDkuMDMuMDAxPC9lbGVjdHJvbmljLXJlc291cmNlLW51bT48YWNjZXNzLWRhdGU+MjAxOC8xMS8w
OTwvYWNjZXNzLWRhdGU+PC9yZWNvcmQ+PC9DaXRlPjwvRW5kTm90ZT5=
</w:fldData>
        </w:fldChar>
      </w:r>
      <w:r w:rsidR="003C396B">
        <w:instrText xml:space="preserve"> ADDIN EN.CITE </w:instrText>
      </w:r>
      <w:r w:rsidR="003C396B">
        <w:fldChar w:fldCharType="begin">
          <w:fldData xml:space="preserve">PEVuZE5vdGU+PENpdGU+PEF1dGhvcj5DYXJ0ZXI8L0F1dGhvcj48WWVhcj4yMDAyPC9ZZWFyPjxS
ZWNOdW0+MTM2PC9SZWNOdW0+PERpc3BsYXlUZXh0Pls3LCA4XTwvRGlzcGxheVRleHQ+PHJlY29y
ZD48cmVjLW51bWJlcj4xMzY8L3JlYy1udW1iZXI+PGZvcmVpZ24ta2V5cz48a2V5IGFwcD0iRU4i
IGRiLWlkPSJ3eHJwNXNhcnpmcHdheWVmd2VyeHdzNWV4c3NzeDIycDV3eGYiIHRpbWVzdGFtcD0i
MTU0ODU5Njc0NCI+MTM2PC9rZXk+PC9mb3JlaWduLWtleXM+PHJlZi10eXBlIG5hbWU9IkpvdXJu
YWwgQXJ0aWNsZSI+MTc8L3JlZi10eXBlPjxjb250cmlidXRvcnM+PGF1dGhvcnM+PGF1dGhvcj5D
YXJ0ZXIsIEphbWVzIEYuPC9hdXRob3I+PGF1dGhvcj5UaXR0ZXJ0b24sIEVtbWEgTC48L2F1dGhv
cj48YXV0aG9yPkdyYW50LCBIZWxlbjwvYXV0aG9yPjxhdXRob3I+U2xlZW1hbiwgUmljaGFyZDwv
YXV0aG9yPjwvYXV0aG9ycz48L2NvbnRyaWJ1dG9ycz48dGl0bGVzPjx0aXRsZT5Jc290b3BpYyBj
aGFuZ2VzIGR1cmluZyB0aGUgc3ludGhlc2lzIG9mIGFtcGhldGFtaW5lczwvdGl0bGU+PHNlY29u
ZGFyeS10aXRsZT5DaGVtaWNhbCBDb21tdW5pY2F0aW9uczwvc2Vjb25kYXJ5LXRpdGxlPjwvdGl0
bGVzPjxwZXJpb2RpY2FsPjxmdWxsLXRpdGxlPkNoZW1pY2FsIENvbW11bmljYXRpb25zPC9mdWxs
LXRpdGxlPjwvcGVyaW9kaWNhbD48cGFnZXM+MjU5MC0yNTkxPC9wYWdlcz48bnVtYmVyPjIxPC9u
dW1iZXI+PGRhdGVzPjx5ZWFyPjIwMDI8L3llYXI+PC9kYXRlcz48cHVibGlzaGVyPlRoZSBSb3lh
bCBTb2NpZXR5IG9mIENoZW1pc3RyeTwvcHVibGlzaGVyPjxpc2JuPjEzNTktNzM0NTwvaXNibj48
d29yay10eXBlPjEwLjEwMzkvQjIwNzc3NUI8L3dvcmstdHlwZT48dXJscz48cmVsYXRlZC11cmxz
Pjx1cmw+aHR0cDovL2R4LmRvaS5vcmcvMTAuMTAzOS9CMjA3Nzc1QjwvdXJsPjwvcmVsYXRlZC11
cmxzPjwvdXJscz48ZWxlY3Ryb25pYy1yZXNvdXJjZS1udW0+MTAuMTAzOS9CMjA3Nzc1QjwvZWxl
Y3Ryb25pYy1yZXNvdXJjZS1udW0+PC9yZWNvcmQ+PC9DaXRlPjxDaXRlPjxBdXRob3I+U2NobmVp
ZGVyczwvQXV0aG9yPjxZZWFyPjIwMDk8L1llYXI+PFJlY051bT4xMjg8L1JlY051bT48cmVjb3Jk
PjxyZWMtbnVtYmVyPjEyODwvcmVjLW51bWJlcj48Zm9yZWlnbi1rZXlzPjxrZXkgYXBwPSJFTiIg
ZGItaWQ9Ind4cnA1c2FyemZwd2F5ZWZ3ZXJ4d3M1ZXhzc3N4MjJwNXd4ZiIgdGltZXN0YW1wPSIx
NTQ4NTMwMjIwIj4xMjg8L2tleT48L2ZvcmVpZ24ta2V5cz48cmVmLXR5cGUgbmFtZT0iSm91cm5h
bCBBcnRpY2xlIj4xNzwvcmVmLXR5cGU+PGNvbnRyaWJ1dG9ycz48YXV0aG9ycz48YXV0aG9yPlNj
aG5laWRlcnMsIFMuPC9hdXRob3I+PGF1dGhvcj5Ib2xkZXJtYW5uLCBULjwvYXV0aG9yPjxhdXRo
b3I+RGFobGVuYnVyZywgUi48L2F1dGhvcj48L2F1dGhvcnM+PC9jb250cmlidXRvcnM+PHRpdGxl
cz48dGl0bGU+Q29tcGFyYXRpdmUgYW5hbHlzaXMgb2YgMS1waGVueWwtMi1wcm9wYW5vbmUgKFAy
UCksIGFuIGFtcGhldGFtaW5lLXR5cGUgc3RpbXVsYW50IHByZWN1cnNvciwgdXNpbmcgc3RhYmxl
IGlzb3RvcGUgcmF0aW8gbWFzcyBzcGVjdHJvbWV0cnk8L3RpdGxlPjxzZWNvbmRhcnktdGl0bGU+
U2NpZW5jZSBhbmQgSnVzdGljZTwvc2Vjb25kYXJ5LXRpdGxlPjwvdGl0bGVzPjxwZXJpb2RpY2Fs
PjxmdWxsLXRpdGxlPlNjaWVuY2UgYW5kIEp1c3RpY2U8L2Z1bGwtdGl0bGU+PC9wZXJpb2RpY2Fs
PjxwYWdlcz45NC0xMDE8L3BhZ2VzPjx2b2x1bWU+NDk8L3ZvbHVtZT48bnVtYmVyPjI8L251bWJl
cj48ZGF0ZXM+PHllYXI+MjAwOTwveWVhcj48L2RhdGVzPjxwdWJsaXNoZXI+RWxzZXZpZXI8L3B1
Ymxpc2hlcj48aXNibj4xMzU1LTAzMDY8L2lzYm4+PHVybHM+PHJlbGF0ZWQtdXJscz48dXJsPmh0
dHBzOi8vZG9pLm9yZy8xMC4xMDE2L2ouc2NpanVzLjIwMDkuMDMuMDAxPC91cmw+PC9yZWxhdGVk
LXVybHM+PC91cmxzPjxlbGVjdHJvbmljLXJlc291cmNlLW51bT4xMC4xMDE2L2ouc2NpanVzLjIw
MDkuMDMuMDAxPC9lbGVjdHJvbmljLXJlc291cmNlLW51bT48YWNjZXNzLWRhdGU+MjAxOC8xMS8w
OTwvYWNjZXNzLWRhdGU+PC9yZWNvcmQ+PC9DaXRlPjwvRW5kTm90ZT5=
</w:fldData>
        </w:fldChar>
      </w:r>
      <w:r w:rsidR="003C396B">
        <w:instrText xml:space="preserve"> ADDIN EN.CITE.DATA </w:instrText>
      </w:r>
      <w:r w:rsidR="003C396B">
        <w:fldChar w:fldCharType="end"/>
      </w:r>
      <w:r w:rsidRPr="008E13D5">
        <w:fldChar w:fldCharType="separate"/>
      </w:r>
      <w:r>
        <w:rPr>
          <w:noProof/>
        </w:rPr>
        <w:t>[7, 8]</w:t>
      </w:r>
      <w:r w:rsidRPr="008E13D5">
        <w:fldChar w:fldCharType="end"/>
      </w:r>
      <w:r w:rsidRPr="008E13D5">
        <w:t xml:space="preserve"> or methamphetamine</w:t>
      </w:r>
      <w:r>
        <w:t xml:space="preserve"> </w:t>
      </w:r>
      <w:r w:rsidRPr="008E13D5">
        <w:fldChar w:fldCharType="begin">
          <w:fldData xml:space="preserve">PEVuZE5vdGU+PENpdGU+PEF1dGhvcj5LdXJhc2hpbWE8L0F1dGhvcj48WWVhcj4yMDA0PC9ZZWFy
PjxSZWNOdW0+MTI5PC9SZWNOdW0+PERpc3BsYXlUZXh0Pls5LCAxMF08L0Rpc3BsYXlUZXh0Pjxy
ZWNvcmQ+PHJlYy1udW1iZXI+MTI5PC9yZWMtbnVtYmVyPjxmb3JlaWduLWtleXM+PGtleSBhcHA9
IkVOIiBkYi1pZD0id3hycDVzYXJ6ZnB3YXllZndlcnh3czVleHNzc3gyMnA1d3hmIiB0aW1lc3Rh
bXA9IjE1NDg1MzAyMzYiPjEyOTwva2V5PjwvZm9yZWlnbi1rZXlzPjxyZWYtdHlwZSBuYW1lPSJK
b3VybmFsIEFydGljbGUiPjE3PC9yZWYtdHlwZT48Y29udHJpYnV0b3JzPjxhdXRob3JzPjxhdXRo
b3I+S3VyYXNoaW1hLCBOYW9raTwvYXV0aG9yPjxhdXRob3I+TWFraW5vLCBZdWtpa288L2F1dGhv
cj48YXV0aG9yPlNla2l0YSwgU2V0c3VrbzwvYXV0aG9yPjxhdXRob3I+VXJhbm8sIFlhc3V0ZXJ1
PC9hdXRob3I+PGF1dGhvcj5OYWdhbm8sIFRldHN1bzwvYXV0aG9yPjwvYXV0aG9ycz48L2NvbnRy
aWJ1dG9ycz48dGl0bGVzPjx0aXRsZT5EZXRlcm1pbmF0aW9uIG9mIE9yaWdpbiBvZiBFcGhlZHJp
bmUgVXNlZCBhcyBQcmVjdXJzb3IgZm9yIElsbGljaXQgTWV0aGFtcGhldGFtaW5lIGJ5IENhcmJv
biBhbmQgTml0cm9nZW4gU3RhYmxlIElzb3RvcGUgUmF0aW8gQW5hbHlzaXM8L3RpdGxlPjxzZWNv
bmRhcnktdGl0bGU+QW5hbHl0aWNhbCBDaGVtaXN0cnk8L3NlY29uZGFyeS10aXRsZT48L3RpdGxl
cz48cGVyaW9kaWNhbD48ZnVsbC10aXRsZT5BbmFseXRpY2FsIENoZW1pc3RyeTwvZnVsbC10aXRs
ZT48L3BlcmlvZGljYWw+PHBhZ2VzPjQyMzMtNDIzNjwvcGFnZXM+PHZvbHVtZT43Njwvdm9sdW1l
PjxudW1iZXI+MTQ8L251bWJlcj48ZGF0ZXM+PHllYXI+MjAwNDwveWVhcj48cHViLWRhdGVzPjxk
YXRlPjIwMDQvMDcvMDE8L2RhdGU+PC9wdWItZGF0ZXM+PC9kYXRlcz48cHVibGlzaGVyPkFtZXJp
Y2FuIENoZW1pY2FsIFNvY2lldHk8L3B1Ymxpc2hlcj48aXNibj4wMDAzLTI3MDA8L2lzYm4+PHVy
bHM+PHJlbGF0ZWQtdXJscz48dXJsPmh0dHA6Ly9keC5kb2kub3JnLzEwLjEwMjEvYWMwMzU0MTdj
PC91cmw+PC9yZWxhdGVkLXVybHM+PC91cmxzPjxlbGVjdHJvbmljLXJlc291cmNlLW51bT4xMC4x
MDIxL2FjMDM1NDE3YzwvZWxlY3Ryb25pYy1yZXNvdXJjZS1udW0+PC9yZWNvcmQ+PC9DaXRlPjxD
aXRlPjxBdXRob3I+U2Fsb3Vyb3M8L0F1dGhvcj48WWVhcj4yMDEzPC9ZZWFyPjxSZWNOdW0+MTMw
PC9SZWNOdW0+PHJlY29yZD48cmVjLW51bWJlcj4xMzA8L3JlYy1udW1iZXI+PGZvcmVpZ24ta2V5
cz48a2V5IGFwcD0iRU4iIGRiLWlkPSJ3eHJwNXNhcnpmcHdheWVmd2VyeHdzNWV4c3NzeDIycDV3
eGYiIHRpbWVzdGFtcD0iMTU0ODUzMDI3MCI+MTMwPC9rZXk+PC9mb3JlaWduLWtleXM+PHJlZi10
eXBlIG5hbWU9IkpvdXJuYWwgQXJ0aWNsZSI+MTc8L3JlZi10eXBlPjxjb250cmlidXRvcnM+PGF1
dGhvcnM+PGF1dGhvcj5TYWxvdXJvcywgSGVsZW48L2F1dGhvcj48YXV0aG9yPlN1dHRvbiwgR29y
ZG9uIEouPC9hdXRob3I+PGF1dGhvcj5Ib3dlcywgSm9hbm5hPC9hdXRob3I+PGF1dGhvcj5IaWJi
ZXJ0LCBELiBCcnlubjwvYXV0aG9yPjxhdXRob3I+Q29sbGlucywgTWljaGFlbDwvYXV0aG9yPjwv
YXV0aG9ycz48L2NvbnRyaWJ1dG9ycz48dGl0bGVzPjx0aXRsZT5NZWFzdXJlbWVudCBvZiBTdGFi
bGUgSXNvdG9wZSBSYXRpb3MgaW4gTWV0aHlsYW1waGV0YW1pbmU6IEEgTGluayB0byBJdHMgUHJl
Y3Vyc29yIFNvdXJjZTwvdGl0bGU+PHNlY29uZGFyeS10aXRsZT5BbmFseXRpY2FsIENoZW1pc3Ry
eTwvc2Vjb25kYXJ5LXRpdGxlPjwvdGl0bGVzPjxwZXJpb2RpY2FsPjxmdWxsLXRpdGxlPkFuYWx5
dGljYWwgQ2hlbWlzdHJ5PC9mdWxsLXRpdGxlPjwvcGVyaW9kaWNhbD48cGFnZXM+OTQwMC05NDA4
PC9wYWdlcz48dm9sdW1lPjg1PC92b2x1bWU+PG51bWJlcj4xOTwvbnVtYmVyPjxkYXRlcz48eWVh
cj4yMDEzPC95ZWFyPjxwdWItZGF0ZXM+PGRhdGU+MjAxMy8xMC8wMTwvZGF0ZT48L3B1Yi1kYXRl
cz48L2RhdGVzPjxwdWJsaXNoZXI+QW1lcmljYW4gQ2hlbWljYWwgU29jaWV0eTwvcHVibGlzaGVy
Pjxpc2JuPjAwMDMtMjcwMDwvaXNibj48dXJscz48cmVsYXRlZC11cmxzPjx1cmw+aHR0cHM6Ly9k
b2kub3JnLzEwLjEwMjEvYWM0MDIzMTZkPC91cmw+PC9yZWxhdGVkLXVybHM+PC91cmxzPjxlbGVj
dHJvbmljLXJlc291cmNlLW51bT4xMC4xMDIxL2FjNDAyMzE2ZDwvZWxlY3Ryb25pYy1yZXNvdXJj
ZS1udW0+PC9yZWNvcmQ+PC9DaXRlPjwvRW5kTm90ZT5=
</w:fldData>
        </w:fldChar>
      </w:r>
      <w:r w:rsidR="003C396B">
        <w:instrText xml:space="preserve"> ADDIN EN.CITE </w:instrText>
      </w:r>
      <w:r w:rsidR="003C396B">
        <w:fldChar w:fldCharType="begin">
          <w:fldData xml:space="preserve">PEVuZE5vdGU+PENpdGU+PEF1dGhvcj5LdXJhc2hpbWE8L0F1dGhvcj48WWVhcj4yMDA0PC9ZZWFy
PjxSZWNOdW0+MTI5PC9SZWNOdW0+PERpc3BsYXlUZXh0Pls5LCAxMF08L0Rpc3BsYXlUZXh0Pjxy
ZWNvcmQ+PHJlYy1udW1iZXI+MTI5PC9yZWMtbnVtYmVyPjxmb3JlaWduLWtleXM+PGtleSBhcHA9
IkVOIiBkYi1pZD0id3hycDVzYXJ6ZnB3YXllZndlcnh3czVleHNzc3gyMnA1d3hmIiB0aW1lc3Rh
bXA9IjE1NDg1MzAyMzYiPjEyOTwva2V5PjwvZm9yZWlnbi1rZXlzPjxyZWYtdHlwZSBuYW1lPSJK
b3VybmFsIEFydGljbGUiPjE3PC9yZWYtdHlwZT48Y29udHJpYnV0b3JzPjxhdXRob3JzPjxhdXRo
b3I+S3VyYXNoaW1hLCBOYW9raTwvYXV0aG9yPjxhdXRob3I+TWFraW5vLCBZdWtpa288L2F1dGhv
cj48YXV0aG9yPlNla2l0YSwgU2V0c3VrbzwvYXV0aG9yPjxhdXRob3I+VXJhbm8sIFlhc3V0ZXJ1
PC9hdXRob3I+PGF1dGhvcj5OYWdhbm8sIFRldHN1bzwvYXV0aG9yPjwvYXV0aG9ycz48L2NvbnRy
aWJ1dG9ycz48dGl0bGVzPjx0aXRsZT5EZXRlcm1pbmF0aW9uIG9mIE9yaWdpbiBvZiBFcGhlZHJp
bmUgVXNlZCBhcyBQcmVjdXJzb3IgZm9yIElsbGljaXQgTWV0aGFtcGhldGFtaW5lIGJ5IENhcmJv
biBhbmQgTml0cm9nZW4gU3RhYmxlIElzb3RvcGUgUmF0aW8gQW5hbHlzaXM8L3RpdGxlPjxzZWNv
bmRhcnktdGl0bGU+QW5hbHl0aWNhbCBDaGVtaXN0cnk8L3NlY29uZGFyeS10aXRsZT48L3RpdGxl
cz48cGVyaW9kaWNhbD48ZnVsbC10aXRsZT5BbmFseXRpY2FsIENoZW1pc3RyeTwvZnVsbC10aXRs
ZT48L3BlcmlvZGljYWw+PHBhZ2VzPjQyMzMtNDIzNjwvcGFnZXM+PHZvbHVtZT43Njwvdm9sdW1l
PjxudW1iZXI+MTQ8L251bWJlcj48ZGF0ZXM+PHllYXI+MjAwNDwveWVhcj48cHViLWRhdGVzPjxk
YXRlPjIwMDQvMDcvMDE8L2RhdGU+PC9wdWItZGF0ZXM+PC9kYXRlcz48cHVibGlzaGVyPkFtZXJp
Y2FuIENoZW1pY2FsIFNvY2lldHk8L3B1Ymxpc2hlcj48aXNibj4wMDAzLTI3MDA8L2lzYm4+PHVy
bHM+PHJlbGF0ZWQtdXJscz48dXJsPmh0dHA6Ly9keC5kb2kub3JnLzEwLjEwMjEvYWMwMzU0MTdj
PC91cmw+PC9yZWxhdGVkLXVybHM+PC91cmxzPjxlbGVjdHJvbmljLXJlc291cmNlLW51bT4xMC4x
MDIxL2FjMDM1NDE3YzwvZWxlY3Ryb25pYy1yZXNvdXJjZS1udW0+PC9yZWNvcmQ+PC9DaXRlPjxD
aXRlPjxBdXRob3I+U2Fsb3Vyb3M8L0F1dGhvcj48WWVhcj4yMDEzPC9ZZWFyPjxSZWNOdW0+MTMw
PC9SZWNOdW0+PHJlY29yZD48cmVjLW51bWJlcj4xMzA8L3JlYy1udW1iZXI+PGZvcmVpZ24ta2V5
cz48a2V5IGFwcD0iRU4iIGRiLWlkPSJ3eHJwNXNhcnpmcHdheWVmd2VyeHdzNWV4c3NzeDIycDV3
eGYiIHRpbWVzdGFtcD0iMTU0ODUzMDI3MCI+MTMwPC9rZXk+PC9mb3JlaWduLWtleXM+PHJlZi10
eXBlIG5hbWU9IkpvdXJuYWwgQXJ0aWNsZSI+MTc8L3JlZi10eXBlPjxjb250cmlidXRvcnM+PGF1
dGhvcnM+PGF1dGhvcj5TYWxvdXJvcywgSGVsZW48L2F1dGhvcj48YXV0aG9yPlN1dHRvbiwgR29y
ZG9uIEouPC9hdXRob3I+PGF1dGhvcj5Ib3dlcywgSm9hbm5hPC9hdXRob3I+PGF1dGhvcj5IaWJi
ZXJ0LCBELiBCcnlubjwvYXV0aG9yPjxhdXRob3I+Q29sbGlucywgTWljaGFlbDwvYXV0aG9yPjwv
YXV0aG9ycz48L2NvbnRyaWJ1dG9ycz48dGl0bGVzPjx0aXRsZT5NZWFzdXJlbWVudCBvZiBTdGFi
bGUgSXNvdG9wZSBSYXRpb3MgaW4gTWV0aHlsYW1waGV0YW1pbmU6IEEgTGluayB0byBJdHMgUHJl
Y3Vyc29yIFNvdXJjZTwvdGl0bGU+PHNlY29uZGFyeS10aXRsZT5BbmFseXRpY2FsIENoZW1pc3Ry
eTwvc2Vjb25kYXJ5LXRpdGxlPjwvdGl0bGVzPjxwZXJpb2RpY2FsPjxmdWxsLXRpdGxlPkFuYWx5
dGljYWwgQ2hlbWlzdHJ5PC9mdWxsLXRpdGxlPjwvcGVyaW9kaWNhbD48cGFnZXM+OTQwMC05NDA4
PC9wYWdlcz48dm9sdW1lPjg1PC92b2x1bWU+PG51bWJlcj4xOTwvbnVtYmVyPjxkYXRlcz48eWVh
cj4yMDEzPC95ZWFyPjxwdWItZGF0ZXM+PGRhdGU+MjAxMy8xMC8wMTwvZGF0ZT48L3B1Yi1kYXRl
cz48L2RhdGVzPjxwdWJsaXNoZXI+QW1lcmljYW4gQ2hlbWljYWwgU29jaWV0eTwvcHVibGlzaGVy
Pjxpc2JuPjAwMDMtMjcwMDwvaXNibj48dXJscz48cmVsYXRlZC11cmxzPjx1cmw+aHR0cHM6Ly9k
b2kub3JnLzEwLjEwMjEvYWM0MDIzMTZkPC91cmw+PC9yZWxhdGVkLXVybHM+PC91cmxzPjxlbGVj
dHJvbmljLXJlc291cmNlLW51bT4xMC4xMDIxL2FjNDAyMzE2ZDwvZWxlY3Ryb25pYy1yZXNvdXJj
ZS1udW0+PC9yZWNvcmQ+PC9DaXRlPjwvRW5kTm90ZT5=
</w:fldData>
        </w:fldChar>
      </w:r>
      <w:r w:rsidR="003C396B">
        <w:instrText xml:space="preserve"> ADDIN EN.CITE.DATA </w:instrText>
      </w:r>
      <w:r w:rsidR="003C396B">
        <w:fldChar w:fldCharType="end"/>
      </w:r>
      <w:r w:rsidRPr="008E13D5">
        <w:fldChar w:fldCharType="separate"/>
      </w:r>
      <w:r>
        <w:rPr>
          <w:noProof/>
        </w:rPr>
        <w:t>[9, 10]</w:t>
      </w:r>
      <w:r w:rsidRPr="008E13D5">
        <w:fldChar w:fldCharType="end"/>
      </w:r>
      <w:r>
        <w:t xml:space="preserve"> and was used to geographically narrow down the cultivation area of plant-based drugs like</w:t>
      </w:r>
      <w:r w:rsidRPr="008E13D5">
        <w:t xml:space="preserve"> cocaine</w:t>
      </w:r>
      <w:r>
        <w:t xml:space="preserve"> </w:t>
      </w:r>
      <w:r w:rsidRPr="008E13D5">
        <w:fldChar w:fldCharType="begin">
          <w:fldData xml:space="preserve">PEVuZE5vdGU+PENpdGU+PEF1dGhvcj5FaGxlcmluZ2VyPC9BdXRob3I+PFllYXI+MjAwMDwvWWVh
cj48UmVjTnVtPjEzMTwvUmVjTnVtPjxEaXNwbGF5VGV4dD5bMTEsIDEyXTwvRGlzcGxheVRleHQ+
PHJlY29yZD48cmVjLW51bWJlcj4xMzE8L3JlYy1udW1iZXI+PGZvcmVpZ24ta2V5cz48a2V5IGFw
cD0iRU4iIGRiLWlkPSJ3eHJwNXNhcnpmcHdheWVmd2VyeHdzNWV4c3NzeDIycDV3eGYiIHRpbWVz
dGFtcD0iMTU0ODU5NDkwMiI+MTMxPC9rZXk+PC9mb3JlaWduLWtleXM+PHJlZi10eXBlIG5hbWU9
IkpvdXJuYWwgQXJ0aWNsZSI+MTc8L3JlZi10eXBlPjxjb250cmlidXRvcnM+PGF1dGhvcnM+PGF1
dGhvcj5FaGxlcmluZ2VyLCBKYW1lcyBSLjwvYXV0aG9yPjxhdXRob3I+Q2FzYWxlLCBKb2huIEYu
PC9hdXRob3I+PGF1dGhvcj5Mb3R0LCBNaWNoYWVsIEouPC9hdXRob3I+PGF1dGhvcj5Gb3JkLCBW
YWxlcmllIEwuPC9hdXRob3I+PC9hdXRob3JzPjwvY29udHJpYnV0b3JzPjx0aXRsZXM+PHRpdGxl
PlRyYWNpbmcgdGhlIGdlb2dyYXBoaWNhbCBvcmlnaW4gb2YgY29jYWluZTwvdGl0bGU+PHNlY29u
ZGFyeS10aXRsZT5OYXR1cmU8L3NlY29uZGFyeS10aXRsZT48L3RpdGxlcz48cGVyaW9kaWNhbD48
ZnVsbC10aXRsZT5OYXR1cmU8L2Z1bGwtdGl0bGU+PC9wZXJpb2RpY2FsPjxwYWdlcz4zMTE8L3Bh
Z2VzPjx2b2x1bWU+NDA4PC92b2x1bWU+PGRhdGVzPjx5ZWFyPjIwMDA8L3llYXI+PHB1Yi1kYXRl
cz48ZGF0ZT4xMS8xNi9vbmxpbmU8L2RhdGU+PC9wdWItZGF0ZXM+PC9kYXRlcz48cHVibGlzaGVy
Pk1hY21pbGxhbiBNYWdhemluZXMgTHRkLjwvcHVibGlzaGVyPjx1cmxzPjxyZWxhdGVkLXVybHM+
PHVybD5odHRwOi8vZHguZG9pLm9yZy8xMC4xMDM4LzM1MDQyNjgwPC91cmw+PC9yZWxhdGVkLXVy
bHM+PC91cmxzPjxlbGVjdHJvbmljLXJlc291cmNlLW51bT4xMC4xMDM4LzM1MDQyNjgwPC9lbGVj
dHJvbmljLXJlc291cmNlLW51bT48L3JlY29yZD48L0NpdGU+PENpdGU+PEF1dGhvcj5NYWxsZXR0
ZTwvQXV0aG9yPjxZZWFyPjIwMTY8L1llYXI+PFJlY051bT44ODwvUmVjTnVtPjxyZWNvcmQ+PHJl
Yy1udW1iZXI+ODg8L3JlYy1udW1iZXI+PGZvcmVpZ24ta2V5cz48a2V5IGFwcD0iRU4iIGRiLWlk
PSIwcmRkeHZ2ZXcyMnJ6MWUwZnhrNTJ3MnY1djlhZDlldDUwZXAiIHRpbWVzdGFtcD0iMTU1MTYy
MjkwMiI+ODg8L2tleT48L2ZvcmVpZ24ta2V5cz48cmVmLXR5cGUgbmFtZT0iSm91cm5hbCBBcnRp
Y2xlIj4xNzwvcmVmLXR5cGU+PGNvbnRyaWJ1dG9ycz48YXV0aG9ycz48YXV0aG9yPk1hbGxldHRl
LCBKZW5uaWZlciBSLjwvYXV0aG9yPjxhdXRob3I+Q2FzYWxlLCBKb2huIEYuPC9hdXRob3I+PGF1
dGhvcj5Kb3JkYW4sIEphbWVzPC9hdXRob3I+PGF1dGhvcj5Nb3JlbGxvLCBEYXZpZCBSLjwvYXV0
aG9yPjxhdXRob3I+QmV5ZXIsIFBhdWwgTS48L2F1dGhvcj48L2F1dGhvcnM+PC9jb250cmlidXRv
cnM+PHRpdGxlcz48dGl0bGU+R2VvZ3JhcGhpY2FsbHkgU291cmNpbmcgQ29jYWluZeKAmXMgT3Jp
Z2luIOKAkyBEZWxpbmVhdGlvbiBvZiB0aGUgTmluZXRlZW4gTWFqb3IgQ29jYSBHcm93aW5nIFJl
Z2lvbnMgaW4gU291dGggQW1lcmljYTwvdGl0bGU+PHNlY29uZGFyeS10aXRsZT5TY2llbnRpZmlj
IFJlcG9ydHM8L3NlY29uZGFyeS10aXRsZT48L3RpdGxlcz48cGVyaW9kaWNhbD48ZnVsbC10aXRs
ZT5TY2llbnRpZmljIFJlcG9ydHM8L2Z1bGwtdGl0bGU+PGFiYnItMT5TY2kuIFJlcC48L2FiYnIt
MT48YWJici0yPlNjaSBSZXA8L2FiYnItMj48L3BlcmlvZGljYWw+PHBhZ2VzPjIzNTIwPC9wYWdl
cz48dm9sdW1lPjY8L3ZvbHVtZT48ZGF0ZXM+PHllYXI+MjAxNjwveWVhcj48cHViLWRhdGVzPjxk
YXRlPjAzLzIzL29ubGluZTwvZGF0ZT48L3B1Yi1kYXRlcz48L2RhdGVzPjxwdWJsaXNoZXI+VGhl
IEF1dGhvcihzKTwvcHVibGlzaGVyPjx3b3JrLXR5cGU+QXJ0aWNsZTwvd29yay10eXBlPjx1cmxz
PjxyZWxhdGVkLXVybHM+PHVybD5odHRwczovL2RvaS5vcmcvMTAuMTAzOC9zcmVwMjM1MjA8L3Vy
bD48L3JlbGF0ZWQtdXJscz48L3VybHM+PGVsZWN0cm9uaWMtcmVzb3VyY2UtbnVtPjEwLjEwMzgv
c3JlcDIzNTIwPC9lbGVjdHJvbmljLXJlc291cmNlLW51bT48L3JlY29yZD48L0NpdGU+PC9FbmRO
b3RlPn==
</w:fldData>
        </w:fldChar>
      </w:r>
      <w:r w:rsidR="003C396B">
        <w:instrText xml:space="preserve"> ADDIN EN.CITE </w:instrText>
      </w:r>
      <w:r w:rsidR="003C396B">
        <w:fldChar w:fldCharType="begin">
          <w:fldData xml:space="preserve">PEVuZE5vdGU+PENpdGU+PEF1dGhvcj5FaGxlcmluZ2VyPC9BdXRob3I+PFllYXI+MjAwMDwvWWVh
cj48UmVjTnVtPjEzMTwvUmVjTnVtPjxEaXNwbGF5VGV4dD5bMTEsIDEyXTwvRGlzcGxheVRleHQ+
PHJlY29yZD48cmVjLW51bWJlcj4xMzE8L3JlYy1udW1iZXI+PGZvcmVpZ24ta2V5cz48a2V5IGFw
cD0iRU4iIGRiLWlkPSJ3eHJwNXNhcnpmcHdheWVmd2VyeHdzNWV4c3NzeDIycDV3eGYiIHRpbWVz
dGFtcD0iMTU0ODU5NDkwMiI+MTMxPC9rZXk+PC9mb3JlaWduLWtleXM+PHJlZi10eXBlIG5hbWU9
IkpvdXJuYWwgQXJ0aWNsZSI+MTc8L3JlZi10eXBlPjxjb250cmlidXRvcnM+PGF1dGhvcnM+PGF1
dGhvcj5FaGxlcmluZ2VyLCBKYW1lcyBSLjwvYXV0aG9yPjxhdXRob3I+Q2FzYWxlLCBKb2huIEYu
PC9hdXRob3I+PGF1dGhvcj5Mb3R0LCBNaWNoYWVsIEouPC9hdXRob3I+PGF1dGhvcj5Gb3JkLCBW
YWxlcmllIEwuPC9hdXRob3I+PC9hdXRob3JzPjwvY29udHJpYnV0b3JzPjx0aXRsZXM+PHRpdGxl
PlRyYWNpbmcgdGhlIGdlb2dyYXBoaWNhbCBvcmlnaW4gb2YgY29jYWluZTwvdGl0bGU+PHNlY29u
ZGFyeS10aXRsZT5OYXR1cmU8L3NlY29uZGFyeS10aXRsZT48L3RpdGxlcz48cGVyaW9kaWNhbD48
ZnVsbC10aXRsZT5OYXR1cmU8L2Z1bGwtdGl0bGU+PC9wZXJpb2RpY2FsPjxwYWdlcz4zMTE8L3Bh
Z2VzPjx2b2x1bWU+NDA4PC92b2x1bWU+PGRhdGVzPjx5ZWFyPjIwMDA8L3llYXI+PHB1Yi1kYXRl
cz48ZGF0ZT4xMS8xNi9vbmxpbmU8L2RhdGU+PC9wdWItZGF0ZXM+PC9kYXRlcz48cHVibGlzaGVy
Pk1hY21pbGxhbiBNYWdhemluZXMgTHRkLjwvcHVibGlzaGVyPjx1cmxzPjxyZWxhdGVkLXVybHM+
PHVybD5odHRwOi8vZHguZG9pLm9yZy8xMC4xMDM4LzM1MDQyNjgwPC91cmw+PC9yZWxhdGVkLXVy
bHM+PC91cmxzPjxlbGVjdHJvbmljLXJlc291cmNlLW51bT4xMC4xMDM4LzM1MDQyNjgwPC9lbGVj
dHJvbmljLXJlc291cmNlLW51bT48L3JlY29yZD48L0NpdGU+PENpdGU+PEF1dGhvcj5NYWxsZXR0
ZTwvQXV0aG9yPjxZZWFyPjIwMTY8L1llYXI+PFJlY051bT44ODwvUmVjTnVtPjxyZWNvcmQ+PHJl
Yy1udW1iZXI+ODg8L3JlYy1udW1iZXI+PGZvcmVpZ24ta2V5cz48a2V5IGFwcD0iRU4iIGRiLWlk
PSIwcmRkeHZ2ZXcyMnJ6MWUwZnhrNTJ3MnY1djlhZDlldDUwZXAiIHRpbWVzdGFtcD0iMTU1MTYy
MjkwMiI+ODg8L2tleT48L2ZvcmVpZ24ta2V5cz48cmVmLXR5cGUgbmFtZT0iSm91cm5hbCBBcnRp
Y2xlIj4xNzwvcmVmLXR5cGU+PGNvbnRyaWJ1dG9ycz48YXV0aG9ycz48YXV0aG9yPk1hbGxldHRl
LCBKZW5uaWZlciBSLjwvYXV0aG9yPjxhdXRob3I+Q2FzYWxlLCBKb2huIEYuPC9hdXRob3I+PGF1
dGhvcj5Kb3JkYW4sIEphbWVzPC9hdXRob3I+PGF1dGhvcj5Nb3JlbGxvLCBEYXZpZCBSLjwvYXV0
aG9yPjxhdXRob3I+QmV5ZXIsIFBhdWwgTS48L2F1dGhvcj48L2F1dGhvcnM+PC9jb250cmlidXRv
cnM+PHRpdGxlcz48dGl0bGU+R2VvZ3JhcGhpY2FsbHkgU291cmNpbmcgQ29jYWluZeKAmXMgT3Jp
Z2luIOKAkyBEZWxpbmVhdGlvbiBvZiB0aGUgTmluZXRlZW4gTWFqb3IgQ29jYSBHcm93aW5nIFJl
Z2lvbnMgaW4gU291dGggQW1lcmljYTwvdGl0bGU+PHNlY29uZGFyeS10aXRsZT5TY2llbnRpZmlj
IFJlcG9ydHM8L3NlY29uZGFyeS10aXRsZT48L3RpdGxlcz48cGVyaW9kaWNhbD48ZnVsbC10aXRs
ZT5TY2llbnRpZmljIFJlcG9ydHM8L2Z1bGwtdGl0bGU+PGFiYnItMT5TY2kuIFJlcC48L2FiYnIt
MT48YWJici0yPlNjaSBSZXA8L2FiYnItMj48L3BlcmlvZGljYWw+PHBhZ2VzPjIzNTIwPC9wYWdl
cz48dm9sdW1lPjY8L3ZvbHVtZT48ZGF0ZXM+PHllYXI+MjAxNjwveWVhcj48cHViLWRhdGVzPjxk
YXRlPjAzLzIzL29ubGluZTwvZGF0ZT48L3B1Yi1kYXRlcz48L2RhdGVzPjxwdWJsaXNoZXI+VGhl
IEF1dGhvcihzKTwvcHVibGlzaGVyPjx3b3JrLXR5cGU+QXJ0aWNsZTwvd29yay10eXBlPjx1cmxz
PjxyZWxhdGVkLXVybHM+PHVybD5odHRwczovL2RvaS5vcmcvMTAuMTAzOC9zcmVwMjM1MjA8L3Vy
bD48L3JlbGF0ZWQtdXJscz48L3VybHM+PGVsZWN0cm9uaWMtcmVzb3VyY2UtbnVtPjEwLjEwMzgv
c3JlcDIzNTIwPC9lbGVjdHJvbmljLXJlc291cmNlLW51bT48L3JlY29yZD48L0NpdGU+PC9FbmRO
b3RlPn==
</w:fldData>
        </w:fldChar>
      </w:r>
      <w:r w:rsidR="003C396B">
        <w:instrText xml:space="preserve"> ADDIN EN.CITE.DATA </w:instrText>
      </w:r>
      <w:r w:rsidR="003C396B">
        <w:fldChar w:fldCharType="end"/>
      </w:r>
      <w:r w:rsidRPr="008E13D5">
        <w:fldChar w:fldCharType="separate"/>
      </w:r>
      <w:r>
        <w:rPr>
          <w:noProof/>
        </w:rPr>
        <w:t>[11, 12]</w:t>
      </w:r>
      <w:r w:rsidRPr="008E13D5">
        <w:fldChar w:fldCharType="end"/>
      </w:r>
      <w:r w:rsidRPr="008E13D5">
        <w:t xml:space="preserve"> or heroin</w:t>
      </w:r>
      <w:r>
        <w:t xml:space="preserve"> </w:t>
      </w:r>
      <w:r w:rsidRPr="008E13D5">
        <w:fldChar w:fldCharType="begin"/>
      </w:r>
      <w:r>
        <w:instrText xml:space="preserve"> ADDIN EN.CITE &lt;EndNote&gt;&lt;Cite&gt;&lt;Author&gt;Dautraix&lt;/Author&gt;&lt;Year&gt;1996&lt;/Year&gt;&lt;RecNum&gt;47&lt;/RecNum&gt;&lt;DisplayText&gt;[13]&lt;/DisplayText&gt;&lt;record&gt;&lt;rec-number&gt;47&lt;/rec-number&gt;&lt;foreign-keys&gt;&lt;key app="EN" db-id="0rddxvvew22rz1e0fxk52w2v5v9ad9et50ep" timestamp="1514988910"&gt;47&lt;/key&gt;&lt;/foreign-keys&gt;&lt;ref-type name="Journal Article"&gt;17&lt;/ref-type&gt;&lt;contributors&gt;&lt;authors&gt;&lt;author&gt;Dautraix, S.&lt;/author&gt;&lt;author&gt;Guilluy, R.&lt;/author&gt;&lt;author&gt;Chaudron-Thozet, H.&lt;/author&gt;&lt;author&gt;Brazier, J. L.&lt;/author&gt;&lt;author&gt;Lamotte, A.&lt;/author&gt;&lt;/authors&gt;&lt;/contributors&gt;&lt;titles&gt;&lt;title&gt;13C Isotopic analysis of an acetaminophen and diacetylmorphine mixture&lt;/title&gt;&lt;secondary-title&gt;Journal of Chromatography A&lt;/secondary-title&gt;&lt;/titles&gt;&lt;periodical&gt;&lt;full-title&gt;Journal of Chromatography A&lt;/full-title&gt;&lt;abbr-1&gt;J. Chromatogr. A&lt;/abbr-1&gt;&lt;abbr-2&gt;J Chromatogr A&lt;/abbr-2&gt;&lt;/periodical&gt;&lt;pages&gt;203-210&lt;/pages&gt;&lt;volume&gt;756&lt;/volume&gt;&lt;number&gt;1&lt;/number&gt;&lt;keywords&gt;&lt;keyword&gt;Isotopic fractionation&lt;/keyword&gt;&lt;keyword&gt;Acetaminophen&lt;/keyword&gt;&lt;keyword&gt;Diacetylmorphine&lt;/keyword&gt;&lt;keyword&gt;Heron&lt;/keyword&gt;&lt;keyword&gt;Paracetamol&lt;/keyword&gt;&lt;/keywords&gt;&lt;dates&gt;&lt;year&gt;1996&lt;/year&gt;&lt;pub-dates&gt;&lt;date&gt;1996/12/20/&lt;/date&gt;&lt;/pub-dates&gt;&lt;/dates&gt;&lt;isbn&gt;0021-9673&lt;/isbn&gt;&lt;urls&gt;&lt;related-urls&gt;&lt;url&gt;http://www.sciencedirect.com/science/article/pii/S0021967396006401&lt;/url&gt;&lt;/related-urls&gt;&lt;/urls&gt;&lt;electronic-resource-num&gt;https://doi.org/10.1016/S0021-9673(96)00640-1&lt;/electronic-resource-num&gt;&lt;/record&gt;&lt;/Cite&gt;&lt;/EndNote&gt;</w:instrText>
      </w:r>
      <w:r w:rsidRPr="008E13D5">
        <w:fldChar w:fldCharType="separate"/>
      </w:r>
      <w:r>
        <w:rPr>
          <w:noProof/>
        </w:rPr>
        <w:t>[13]</w:t>
      </w:r>
      <w:r w:rsidRPr="008E13D5">
        <w:fldChar w:fldCharType="end"/>
      </w:r>
      <w:r>
        <w:t>. Buchanan et al.</w:t>
      </w:r>
      <w:r w:rsidRPr="00362C53">
        <w:t xml:space="preserve"> </w:t>
      </w:r>
      <w:r>
        <w:fldChar w:fldCharType="begin"/>
      </w:r>
      <w:r>
        <w:instrText xml:space="preserve"> ADDIN EN.CITE &lt;EndNote&gt;&lt;Cite&gt;&lt;Author&gt;Buchanan&lt;/Author&gt;&lt;Year&gt;2011&lt;/Year&gt;&lt;RecNum&gt;82&lt;/RecNum&gt;&lt;DisplayText&gt;[14]&lt;/DisplayText&gt;&lt;record&gt;&lt;rec-number&gt;82&lt;/rec-number&gt;&lt;foreign-keys&gt;&lt;key app="EN" db-id="0rddxvvew22rz1e0fxk52w2v5v9ad9et50ep" timestamp="1550580289"&gt;82&lt;/key&gt;&lt;/foreign-keys&gt;&lt;ref-type name="Journal Article"&gt;17&lt;/ref-type&gt;&lt;contributors&gt;&lt;authors&gt;&lt;author&gt;Buchanan, Hilary A. S.&lt;/author&gt;&lt;author&gt;Kerr, William J.&lt;/author&gt;&lt;author&gt;Meier-Augenstein, Wolfram&lt;/author&gt;&lt;author&gt;Daéid, Niamh Nic&lt;/author&gt;&lt;/authors&gt;&lt;/contributors&gt;&lt;titles&gt;&lt;title&gt;Organic impurities, stable isotopes, or both: A comparison of instrumental and pattern recognition techniques for the profiling of 3,4-methylenedioxymethamphetamine&lt;/title&gt;&lt;secondary-title&gt;Analytical Methods&lt;/secondary-title&gt;&lt;/titles&gt;&lt;pages&gt;2279-2288&lt;/pages&gt;&lt;volume&gt;3&lt;/volume&gt;&lt;number&gt;10&lt;/number&gt;&lt;dates&gt;&lt;year&gt;2011&lt;/year&gt;&lt;/dates&gt;&lt;publisher&gt;The Royal Society of Chemistry&lt;/publisher&gt;&lt;isbn&gt;1759-9660&lt;/isbn&gt;&lt;work-type&gt;10.1039/C1AY05088E&lt;/work-type&gt;&lt;urls&gt;&lt;related-urls&gt;&lt;url&gt;http://dx.doi.org/10.1039/C1AY05088E&lt;/url&gt;&lt;/related-urls&gt;&lt;/urls&gt;&lt;electronic-resource-num&gt;10.1039/C1AY05088E&lt;/electronic-resource-num&gt;&lt;/record&gt;&lt;/Cite&gt;&lt;/EndNote&gt;</w:instrText>
      </w:r>
      <w:r>
        <w:fldChar w:fldCharType="separate"/>
      </w:r>
      <w:r>
        <w:rPr>
          <w:noProof/>
        </w:rPr>
        <w:t>[14]</w:t>
      </w:r>
      <w:r>
        <w:fldChar w:fldCharType="end"/>
      </w:r>
      <w:r>
        <w:t xml:space="preserve"> published one of the few available literature sources where both techniques were used individually and as combination to discriminate between in-house produced samples of </w:t>
      </w:r>
      <w:r w:rsidRPr="008768CB">
        <w:t>3,4-methylenedioxymethamphetamine</w:t>
      </w:r>
      <w:r>
        <w:t xml:space="preserve"> (MDMA), synthesized using two </w:t>
      </w:r>
      <w:r w:rsidRPr="00362C53">
        <w:t xml:space="preserve">batches of </w:t>
      </w:r>
      <w:proofErr w:type="spellStart"/>
      <w:r w:rsidRPr="00362C53">
        <w:t>piperonyl</w:t>
      </w:r>
      <w:proofErr w:type="spellEnd"/>
      <w:r w:rsidRPr="00362C53">
        <w:t xml:space="preserve"> methyl ketone (PMK)</w:t>
      </w:r>
      <w:r>
        <w:t xml:space="preserve"> and three different synthetic </w:t>
      </w:r>
      <w:r w:rsidRPr="00362C53">
        <w:t>routes (Al/Hg, NaBH</w:t>
      </w:r>
      <w:r w:rsidRPr="00362C53">
        <w:rPr>
          <w:vertAlign w:val="subscript"/>
        </w:rPr>
        <w:t>4</w:t>
      </w:r>
      <w:r w:rsidRPr="00362C53">
        <w:t xml:space="preserve"> and Pt/H</w:t>
      </w:r>
      <w:r w:rsidRPr="00362C53">
        <w:rPr>
          <w:vertAlign w:val="subscript"/>
        </w:rPr>
        <w:t>2</w:t>
      </w:r>
      <w:r w:rsidRPr="00362C53">
        <w:t>).</w:t>
      </w:r>
      <w:r>
        <w:t xml:space="preserve"> Via impurity-profiling it was possible to discriminate between the three synthesis routes due to differences in the chemical impurity composition. According to the authors, the IRMS data did not allow for unambiguous discrimination between neither the synthesis pathway, nor the starting material due to isotopic fractionation. However, a combination of impurity profiling and stable isotope analysis data allowed for the discrimination between both, the origin of the precursor material and the applied synthesis route, using pattern recognition techniques such as principle component analysis (PCA). In the work presented here, we investigated, to which extent the combination of these two analytical techniques can support the strategical evaluation, in particular the discrimination of batches and synthesis pathways, of new psychoactive substances (NPS). Since 2006, the appearance of new classes of NPS on the illicit drug market significantly increased in number of individually reported substances (overall 803 NPS in the period of 2009-2017) as well as in seized volume (22 tons in 2016), growing to a major drug-related issue of the twenty-first century </w:t>
      </w:r>
      <w:r>
        <w:fldChar w:fldCharType="begin"/>
      </w:r>
      <w:r w:rsidR="00004E57">
        <w:instrText xml:space="preserve"> ADDIN EN.CITE &lt;EndNote&gt;&lt;Cite&gt;&lt;Author&gt;UNODC&lt;/Author&gt;&lt;Year&gt;2018&lt;/Year&gt;&lt;RecNum&gt;59&lt;/RecNum&gt;&lt;DisplayText&gt;[1]&lt;/DisplayText&gt;&lt;record&gt;&lt;rec-number&gt;59&lt;/rec-number&gt;&lt;foreign-keys&gt;&lt;key app="EN" db-id="0rddxvvew22rz1e0fxk52w2v5v9ad9et50ep" timestamp="1538474977"&gt;59&lt;/key&gt;&lt;/foreign-keys&gt;&lt;ref-type name="Web Page"&gt;12&lt;/ref-type&gt;&lt;contributors&gt;&lt;authors&gt;&lt;author&gt;UNODC&lt;/author&gt;&lt;/authors&gt;&lt;/contributors&gt;&lt;titles&gt;&lt;title&gt;UNODC World drug report 2018&lt;/title&gt;&lt;/titles&gt;&lt;number&gt;09.10.2019&lt;/number&gt;&lt;dates&gt;&lt;year&gt;2018&lt;/year&gt;&lt;/dates&gt;&lt;urls&gt;&lt;related-urls&gt;&lt;url&gt;https://www.unodc.org/wdr2018/&lt;/url&gt;&lt;/related-urls&gt;&lt;/urls&gt;&lt;/record&gt;&lt;/Cite&gt;&lt;/EndNote&gt;</w:instrText>
      </w:r>
      <w:r>
        <w:fldChar w:fldCharType="separate"/>
      </w:r>
      <w:r>
        <w:rPr>
          <w:noProof/>
        </w:rPr>
        <w:t>[1]</w:t>
      </w:r>
      <w:r>
        <w:fldChar w:fldCharType="end"/>
      </w:r>
      <w:r>
        <w:t xml:space="preserve">. Most of these substances, including synthetic cathinones, opioids or cannabinoids, were </w:t>
      </w:r>
      <w:r>
        <w:lastRenderedPageBreak/>
        <w:t xml:space="preserve">originally developed in legitimate pharmaceutical research and are now misused as recreational drugs </w:t>
      </w:r>
      <w:r>
        <w:fldChar w:fldCharType="begin">
          <w:fldData xml:space="preserve">PEVuZE5vdGU+PENpdGU+PEF1dGhvcj5CcmFuZHQ8L0F1dGhvcj48WWVhcj4yMDE0PC9ZZWFyPjxS
ZWNOdW0+NzY8L1JlY051bT48RGlzcGxheVRleHQ+WzE1LTE3XTwvRGlzcGxheVRleHQ+PHJlY29y
ZD48cmVjLW51bWJlcj43NjwvcmVjLW51bWJlcj48Zm9yZWlnbi1rZXlzPjxrZXkgYXBwPSJFTiIg
ZGItaWQ9IjByZGR4dnZldzIycnoxZTBmeGs1MncydjV2OWFkOWV0NTBlcCIgdGltZXN0YW1wPSIx
NTQyMDM1NTIwIj43Njwva2V5PjwvZm9yZWlnbi1rZXlzPjxyZWYtdHlwZSBuYW1lPSJKb3VybmFs
IEFydGljbGUiPjE3PC9yZWYtdHlwZT48Y29udHJpYnV0b3JzPjxhdXRob3JzPjxhdXRob3I+QnJh
bmR0LCBTaW1vbiBELjwvYXV0aG9yPjxhdXRob3I+S2luZywgTGVzbGllIEEuPC9hdXRob3I+PGF1
dGhvcj5FdmFucy1Ccm93biwgTWljaGFlbDwvYXV0aG9yPjwvYXV0aG9ycz48L2NvbnRyaWJ1dG9y
cz48dGl0bGVzPjx0aXRsZT5UaGUgbmV3IGRydWcgcGhlbm9tZW5vbjwvdGl0bGU+PHNlY29uZGFy
eS10aXRsZT5EcnVnIFRlc3RpbmcgYW5kIEFuYWx5c2lzPC9zZWNvbmRhcnktdGl0bGU+PC90aXRs
ZXM+PHBlcmlvZGljYWw+PGZ1bGwtdGl0bGU+RHJ1ZyBUZXN0aW5nIGFuZCBBbmFseXNpczwvZnVs
bC10aXRsZT48YWJici0xPkRydWcuIFRlc3QuIEFuYWwuPC9hYmJyLTE+PC9wZXJpb2RpY2FsPjxw
YWdlcz41ODctNTk3PC9wYWdlcz48dm9sdW1lPjY8L3ZvbHVtZT48bnVtYmVyPjctODwvbnVtYmVy
PjxkYXRlcz48eWVhcj4yMDE0PC95ZWFyPjwvZGF0ZXM+PHVybHM+PHJlbGF0ZWQtdXJscz48dXJs
Pmh0dHBzOi8vb25saW5lbGlicmFyeS53aWxleS5jb20vZG9pL2Ficy8xMC4xMDAyL2R0YS4xNjg2
PC91cmw+PC9yZWxhdGVkLXVybHM+PC91cmxzPjxlbGVjdHJvbmljLXJlc291cmNlLW51bT5kb2k6
MTAuMTAwMi9kdGEuMTY4NjwvZWxlY3Ryb25pYy1yZXNvdXJjZS1udW0+PC9yZWNvcmQ+PC9DaXRl
PjxDaXRlPjxBdXRob3I+SHVmZm1hbjwvQXV0aG9yPjxZZWFyPjE5OTQ8L1llYXI+PFJlY051bT41
NTwvUmVjTnVtPjxyZWNvcmQ+PHJlYy1udW1iZXI+NTU8L3JlYy1udW1iZXI+PGZvcmVpZ24ta2V5
cz48a2V5IGFwcD0iRU4iIGRiLWlkPSJ3eHJwNXNhcnpmcHdheWVmd2VyeHdzNWV4c3NzeDIycDV3
eGYiIHRpbWVzdGFtcD0iMTU0NzU2NzEzNSI+NTU8L2tleT48L2ZvcmVpZ24ta2V5cz48cmVmLXR5
cGUgbmFtZT0iSm91cm5hbCBBcnRpY2xlIj4xNzwvcmVmLXR5cGU+PGNvbnRyaWJ1dG9ycz48YXV0
aG9ycz48YXV0aG9yPkh1ZmZtYW4sIEpvaG4gVy48L2F1dGhvcj48YXV0aG9yPkRhaSwgRG9uZzwv
YXV0aG9yPjxhdXRob3I+TWFydGluLCBCaWxseSBSLjwvYXV0aG9yPjxhdXRob3I+Q29tcHRvbiwg
RGF2aWQgUi48L2F1dGhvcj48L2F1dGhvcnM+PC9jb250cmlidXRvcnM+PHRpdGxlcz48dGl0bGU+
RGVzaWduLCBTeW50aGVzaXMgYW5kIFBoYXJtYWNvbG9neSBvZiBDYW5uYWJpbWltZXRpYyBJbmRv
bGVzPC90aXRsZT48c2Vjb25kYXJ5LXRpdGxlPkJpb29yZ2FuaWMgJmFtcDsgTWVkaWNpbmFsIENo
ZW1pc3RyeSBMZXR0ZXJzPC9zZWNvbmRhcnktdGl0bGU+PC90aXRsZXM+PHBlcmlvZGljYWw+PGZ1
bGwtdGl0bGU+Qmlvb3JnYW5pYyAmYW1wOyBNZWRpY2luYWwgQ2hlbWlzdHJ5IExldHRlcnM8L2Z1
bGwtdGl0bGU+PC9wZXJpb2RpY2FsPjxwYWdlcz41NjMtNTY2PC9wYWdlcz48dm9sdW1lPjQ8L3Zv
bHVtZT48bnVtYmVyPjQ8L251bWJlcj48ZGF0ZXM+PHllYXI+MTk5NDwveWVhcj48cHViLWRhdGVz
PjxkYXRlPjIvMjQvPC9kYXRlPjwvcHViLWRhdGVzPjwvZGF0ZXM+PGlzYm4+MDk2MC04OTRYPC9p
c2JuPjx1cmxzPjxyZWxhdGVkLXVybHM+PHVybD5odHRwOi8vd3d3LnNjaWVuY2VkaXJlY3QuY29t
L3NjaWVuY2UvYXJ0aWNsZS9waWkvUzA5NjA4OTRYMDE4MDE1NTQ8L3VybD48L3JlbGF0ZWQtdXJs
cz48L3VybHM+PGVsZWN0cm9uaWMtcmVzb3VyY2UtbnVtPmh0dHA6Ly9keC5kb2kub3JnLzEwLjEw
MTYvUzA5NjAtODk0WCgwMSk4MDE1NS00PC9lbGVjdHJvbmljLXJlc291cmNlLW51bT48L3JlY29y
ZD48L0NpdGU+PENpdGU+PEF1dGhvcj5NZWNob3VsYW08L0F1dGhvcj48WWVhcj4xOTg4PC9ZZWFy
PjxSZWNOdW0+NTE8L1JlY051bT48cmVjb3JkPjxyZWMtbnVtYmVyPjUxPC9yZWMtbnVtYmVyPjxm
b3JlaWduLWtleXM+PGtleSBhcHA9IkVOIiBkYi1pZD0id3hycDVzYXJ6ZnB3YXllZndlcnh3czVl
eHNzc3gyMnA1d3hmIiB0aW1lc3RhbXA9IjE1NDc1NTY3NDMiPjUxPC9rZXk+PC9mb3JlaWduLWtl
eXM+PHJlZi10eXBlIG5hbWU9IkpvdXJuYWwgQXJ0aWNsZSI+MTc8L3JlZi10eXBlPjxjb250cmli
dXRvcnM+PGF1dGhvcnM+PGF1dGhvcj5NZWNob3VsYW0sIFIuPC9hdXRob3I+PGF1dGhvcj5GZWln
ZW5iYXVtLCBKLiBKLjwvYXV0aG9yPjxhdXRob3I+TGFuZGVyLCBOLjwvYXV0aG9yPjxhdXRob3I+
U2VnYWwsIE0uPC9hdXRob3I+PGF1dGhvcj5Kw6RyYmUsIFQuIFUuIEMuPC9hdXRob3I+PGF1dGhv
cj5IaWx0dW5lbiwgQS4gSi48L2F1dGhvcj48YXV0aG9yPkNvbnNyb2UsIFAuPC9hdXRob3I+PC9h
dXRob3JzPjwvY29udHJpYnV0b3JzPjx0aXRsZXM+PHRpdGxlPkVuYW50aW9tZXJpYyBjYW5uYWJp
bm9pZHM6IHN0ZXJlb3NwZWNpZmljaXR5IG9mIHBzeWNob3Ryb3BpYyBhY3Rpdml0eTwvdGl0bGU+
PHNlY29uZGFyeS10aXRsZT5FeHBlcmllbnRpYTwvc2Vjb25kYXJ5LXRpdGxlPjxhbHQtdGl0bGU+
RXhwZXJpZW50aWE8L2FsdC10aXRsZT48L3RpdGxlcz48cGVyaW9kaWNhbD48ZnVsbC10aXRsZT5F
eHBlcmllbnRpYTwvZnVsbC10aXRsZT48YWJici0xPkV4cGVyaWVudGlhPC9hYmJyLTE+PC9wZXJp
b2RpY2FsPjxhbHQtcGVyaW9kaWNhbD48ZnVsbC10aXRsZT5FeHBlcmllbnRpYTwvZnVsbC10aXRs
ZT48YWJici0xPkV4cGVyaWVudGlhPC9hYmJyLTE+PC9hbHQtcGVyaW9kaWNhbD48cGFnZXM+NzYy
LTc2NDwvcGFnZXM+PHZvbHVtZT40NDwvdm9sdW1lPjxudW1iZXI+OTwvbnVtYmVyPjxrZXl3b3Jk
cz48a2V5d29yZD5DYW5uYWJpbm9pZHM8L2tleXdvcmQ+PGtleXdvcmQ+c3RlcmVvc3BlY2lmaWNp
dHk8L2tleXdvcmQ+PGtleXdvcmQ+cHN5Y2hvdHJvcGljIGFjdGl2aXR5PC9rZXl3b3JkPjxrZXl3
b3JkPmRydWcgZGlzY3JpbWluYXRpb248L2tleXdvcmQ+PC9rZXl3b3Jkcz48ZGF0ZXM+PHllYXI+
MTk4ODwveWVhcj48cHViLWRhdGVzPjxkYXRlPjE5ODgvMDkvMDE8L2RhdGU+PC9wdWItZGF0ZXM+
PC9kYXRlcz48cHVibGlzaGVyPkJpcmtow6R1c2VyLVZlcmxhZzwvcHVibGlzaGVyPjxpc2JuPjAw
MTQtNDc1NDwvaXNibj48dXJscz48cmVsYXRlZC11cmxzPjx1cmw+aHR0cDovL2R4LmRvaS5vcmcv
MTAuMTAwNy9CRjAxOTU5MTU2PC91cmw+PC9yZWxhdGVkLXVybHM+PC91cmxzPjxlbGVjdHJvbmlj
LXJlc291cmNlLW51bT4xMC4xMDA3L0JGMDE5NTkxNTY8L2VsZWN0cm9uaWMtcmVzb3VyY2UtbnVt
PjxsYW5ndWFnZT5FbmdsaXNoPC9sYW5ndWFnZT48L3JlY29yZD48L0NpdGU+PC9FbmROb3RlPn==
</w:fldData>
        </w:fldChar>
      </w:r>
      <w:r w:rsidR="003C396B">
        <w:instrText xml:space="preserve"> ADDIN EN.CITE </w:instrText>
      </w:r>
      <w:r w:rsidR="003C396B">
        <w:fldChar w:fldCharType="begin">
          <w:fldData xml:space="preserve">PEVuZE5vdGU+PENpdGU+PEF1dGhvcj5CcmFuZHQ8L0F1dGhvcj48WWVhcj4yMDE0PC9ZZWFyPjxS
ZWNOdW0+NzY8L1JlY051bT48RGlzcGxheVRleHQ+WzE1LTE3XTwvRGlzcGxheVRleHQ+PHJlY29y
ZD48cmVjLW51bWJlcj43NjwvcmVjLW51bWJlcj48Zm9yZWlnbi1rZXlzPjxrZXkgYXBwPSJFTiIg
ZGItaWQ9IjByZGR4dnZldzIycnoxZTBmeGs1MncydjV2OWFkOWV0NTBlcCIgdGltZXN0YW1wPSIx
NTQyMDM1NTIwIj43Njwva2V5PjwvZm9yZWlnbi1rZXlzPjxyZWYtdHlwZSBuYW1lPSJKb3VybmFs
IEFydGljbGUiPjE3PC9yZWYtdHlwZT48Y29udHJpYnV0b3JzPjxhdXRob3JzPjxhdXRob3I+QnJh
bmR0LCBTaW1vbiBELjwvYXV0aG9yPjxhdXRob3I+S2luZywgTGVzbGllIEEuPC9hdXRob3I+PGF1
dGhvcj5FdmFucy1Ccm93biwgTWljaGFlbDwvYXV0aG9yPjwvYXV0aG9ycz48L2NvbnRyaWJ1dG9y
cz48dGl0bGVzPjx0aXRsZT5UaGUgbmV3IGRydWcgcGhlbm9tZW5vbjwvdGl0bGU+PHNlY29uZGFy
eS10aXRsZT5EcnVnIFRlc3RpbmcgYW5kIEFuYWx5c2lzPC9zZWNvbmRhcnktdGl0bGU+PC90aXRs
ZXM+PHBlcmlvZGljYWw+PGZ1bGwtdGl0bGU+RHJ1ZyBUZXN0aW5nIGFuZCBBbmFseXNpczwvZnVs
bC10aXRsZT48YWJici0xPkRydWcuIFRlc3QuIEFuYWwuPC9hYmJyLTE+PC9wZXJpb2RpY2FsPjxw
YWdlcz41ODctNTk3PC9wYWdlcz48dm9sdW1lPjY8L3ZvbHVtZT48bnVtYmVyPjctODwvbnVtYmVy
PjxkYXRlcz48eWVhcj4yMDE0PC95ZWFyPjwvZGF0ZXM+PHVybHM+PHJlbGF0ZWQtdXJscz48dXJs
Pmh0dHBzOi8vb25saW5lbGlicmFyeS53aWxleS5jb20vZG9pL2Ficy8xMC4xMDAyL2R0YS4xNjg2
PC91cmw+PC9yZWxhdGVkLXVybHM+PC91cmxzPjxlbGVjdHJvbmljLXJlc291cmNlLW51bT5kb2k6
MTAuMTAwMi9kdGEuMTY4NjwvZWxlY3Ryb25pYy1yZXNvdXJjZS1udW0+PC9yZWNvcmQ+PC9DaXRl
PjxDaXRlPjxBdXRob3I+SHVmZm1hbjwvQXV0aG9yPjxZZWFyPjE5OTQ8L1llYXI+PFJlY051bT41
NTwvUmVjTnVtPjxyZWNvcmQ+PHJlYy1udW1iZXI+NTU8L3JlYy1udW1iZXI+PGZvcmVpZ24ta2V5
cz48a2V5IGFwcD0iRU4iIGRiLWlkPSJ3eHJwNXNhcnpmcHdheWVmd2VyeHdzNWV4c3NzeDIycDV3
eGYiIHRpbWVzdGFtcD0iMTU0NzU2NzEzNSI+NTU8L2tleT48L2ZvcmVpZ24ta2V5cz48cmVmLXR5
cGUgbmFtZT0iSm91cm5hbCBBcnRpY2xlIj4xNzwvcmVmLXR5cGU+PGNvbnRyaWJ1dG9ycz48YXV0
aG9ycz48YXV0aG9yPkh1ZmZtYW4sIEpvaG4gVy48L2F1dGhvcj48YXV0aG9yPkRhaSwgRG9uZzwv
YXV0aG9yPjxhdXRob3I+TWFydGluLCBCaWxseSBSLjwvYXV0aG9yPjxhdXRob3I+Q29tcHRvbiwg
RGF2aWQgUi48L2F1dGhvcj48L2F1dGhvcnM+PC9jb250cmlidXRvcnM+PHRpdGxlcz48dGl0bGU+
RGVzaWduLCBTeW50aGVzaXMgYW5kIFBoYXJtYWNvbG9neSBvZiBDYW5uYWJpbWltZXRpYyBJbmRv
bGVzPC90aXRsZT48c2Vjb25kYXJ5LXRpdGxlPkJpb29yZ2FuaWMgJmFtcDsgTWVkaWNpbmFsIENo
ZW1pc3RyeSBMZXR0ZXJzPC9zZWNvbmRhcnktdGl0bGU+PC90aXRsZXM+PHBlcmlvZGljYWw+PGZ1
bGwtdGl0bGU+Qmlvb3JnYW5pYyAmYW1wOyBNZWRpY2luYWwgQ2hlbWlzdHJ5IExldHRlcnM8L2Z1
bGwtdGl0bGU+PC9wZXJpb2RpY2FsPjxwYWdlcz41NjMtNTY2PC9wYWdlcz48dm9sdW1lPjQ8L3Zv
bHVtZT48bnVtYmVyPjQ8L251bWJlcj48ZGF0ZXM+PHllYXI+MTk5NDwveWVhcj48cHViLWRhdGVz
PjxkYXRlPjIvMjQvPC9kYXRlPjwvcHViLWRhdGVzPjwvZGF0ZXM+PGlzYm4+MDk2MC04OTRYPC9p
c2JuPjx1cmxzPjxyZWxhdGVkLXVybHM+PHVybD5odHRwOi8vd3d3LnNjaWVuY2VkaXJlY3QuY29t
L3NjaWVuY2UvYXJ0aWNsZS9waWkvUzA5NjA4OTRYMDE4MDE1NTQ8L3VybD48L3JlbGF0ZWQtdXJs
cz48L3VybHM+PGVsZWN0cm9uaWMtcmVzb3VyY2UtbnVtPmh0dHA6Ly9keC5kb2kub3JnLzEwLjEw
MTYvUzA5NjAtODk0WCgwMSk4MDE1NS00PC9lbGVjdHJvbmljLXJlc291cmNlLW51bT48L3JlY29y
ZD48L0NpdGU+PENpdGU+PEF1dGhvcj5NZWNob3VsYW08L0F1dGhvcj48WWVhcj4xOTg4PC9ZZWFy
PjxSZWNOdW0+NTE8L1JlY051bT48cmVjb3JkPjxyZWMtbnVtYmVyPjUxPC9yZWMtbnVtYmVyPjxm
b3JlaWduLWtleXM+PGtleSBhcHA9IkVOIiBkYi1pZD0id3hycDVzYXJ6ZnB3YXllZndlcnh3czVl
eHNzc3gyMnA1d3hmIiB0aW1lc3RhbXA9IjE1NDc1NTY3NDMiPjUxPC9rZXk+PC9mb3JlaWduLWtl
eXM+PHJlZi10eXBlIG5hbWU9IkpvdXJuYWwgQXJ0aWNsZSI+MTc8L3JlZi10eXBlPjxjb250cmli
dXRvcnM+PGF1dGhvcnM+PGF1dGhvcj5NZWNob3VsYW0sIFIuPC9hdXRob3I+PGF1dGhvcj5GZWln
ZW5iYXVtLCBKLiBKLjwvYXV0aG9yPjxhdXRob3I+TGFuZGVyLCBOLjwvYXV0aG9yPjxhdXRob3I+
U2VnYWwsIE0uPC9hdXRob3I+PGF1dGhvcj5Kw6RyYmUsIFQuIFUuIEMuPC9hdXRob3I+PGF1dGhv
cj5IaWx0dW5lbiwgQS4gSi48L2F1dGhvcj48YXV0aG9yPkNvbnNyb2UsIFAuPC9hdXRob3I+PC9h
dXRob3JzPjwvY29udHJpYnV0b3JzPjx0aXRsZXM+PHRpdGxlPkVuYW50aW9tZXJpYyBjYW5uYWJp
bm9pZHM6IHN0ZXJlb3NwZWNpZmljaXR5IG9mIHBzeWNob3Ryb3BpYyBhY3Rpdml0eTwvdGl0bGU+
PHNlY29uZGFyeS10aXRsZT5FeHBlcmllbnRpYTwvc2Vjb25kYXJ5LXRpdGxlPjxhbHQtdGl0bGU+
RXhwZXJpZW50aWE8L2FsdC10aXRsZT48L3RpdGxlcz48cGVyaW9kaWNhbD48ZnVsbC10aXRsZT5F
eHBlcmllbnRpYTwvZnVsbC10aXRsZT48YWJici0xPkV4cGVyaWVudGlhPC9hYmJyLTE+PC9wZXJp
b2RpY2FsPjxhbHQtcGVyaW9kaWNhbD48ZnVsbC10aXRsZT5FeHBlcmllbnRpYTwvZnVsbC10aXRs
ZT48YWJici0xPkV4cGVyaWVudGlhPC9hYmJyLTE+PC9hbHQtcGVyaW9kaWNhbD48cGFnZXM+NzYy
LTc2NDwvcGFnZXM+PHZvbHVtZT40NDwvdm9sdW1lPjxudW1iZXI+OTwvbnVtYmVyPjxrZXl3b3Jk
cz48a2V5d29yZD5DYW5uYWJpbm9pZHM8L2tleXdvcmQ+PGtleXdvcmQ+c3RlcmVvc3BlY2lmaWNp
dHk8L2tleXdvcmQ+PGtleXdvcmQ+cHN5Y2hvdHJvcGljIGFjdGl2aXR5PC9rZXl3b3JkPjxrZXl3
b3JkPmRydWcgZGlzY3JpbWluYXRpb248L2tleXdvcmQ+PC9rZXl3b3Jkcz48ZGF0ZXM+PHllYXI+
MTk4ODwveWVhcj48cHViLWRhdGVzPjxkYXRlPjE5ODgvMDkvMDE8L2RhdGU+PC9wdWItZGF0ZXM+
PC9kYXRlcz48cHVibGlzaGVyPkJpcmtow6R1c2VyLVZlcmxhZzwvcHVibGlzaGVyPjxpc2JuPjAw
MTQtNDc1NDwvaXNibj48dXJscz48cmVsYXRlZC11cmxzPjx1cmw+aHR0cDovL2R4LmRvaS5vcmcv
MTAuMTAwNy9CRjAxOTU5MTU2PC91cmw+PC9yZWxhdGVkLXVybHM+PC91cmxzPjxlbGVjdHJvbmlj
LXJlc291cmNlLW51bT4xMC4xMDA3L0JGMDE5NTkxNTY8L2VsZWN0cm9uaWMtcmVzb3VyY2UtbnVt
PjxsYW5ndWFnZT5FbmdsaXNoPC9sYW5ndWFnZT48L3JlY29yZD48L0NpdGU+PC9FbmROb3RlPn==
</w:fldData>
        </w:fldChar>
      </w:r>
      <w:r w:rsidR="003C396B">
        <w:instrText xml:space="preserve"> ADDIN EN.CITE.DATA </w:instrText>
      </w:r>
      <w:r w:rsidR="003C396B">
        <w:fldChar w:fldCharType="end"/>
      </w:r>
      <w:r>
        <w:fldChar w:fldCharType="separate"/>
      </w:r>
      <w:r>
        <w:rPr>
          <w:noProof/>
        </w:rPr>
        <w:t>[15-17]</w:t>
      </w:r>
      <w:r>
        <w:fldChar w:fldCharType="end"/>
      </w:r>
      <w:r>
        <w:t xml:space="preserve">. </w:t>
      </w:r>
      <w:r>
        <w:rPr>
          <w:lang w:val="en"/>
        </w:rPr>
        <w:t xml:space="preserve">The exact </w:t>
      </w:r>
      <w:r w:rsidR="00E11382">
        <w:rPr>
          <w:lang w:val="en"/>
        </w:rPr>
        <w:t>procedure</w:t>
      </w:r>
      <w:r>
        <w:rPr>
          <w:lang w:val="en"/>
        </w:rPr>
        <w:t xml:space="preserve"> of manufacturing, sourcing of precursor chemicals and trafficking of NPS are yet a topic of ongoing research and are expected to be majorly different to other synthetic drugs such as ATS, which are typically produced in clandestine laboratories in Europe. The majority of NPS are presumably produced by chemical companies in Asia, typically China, with professional instrumentation and trained chemists, reflected by the high purity of NPS on the market </w:t>
      </w:r>
      <w:r>
        <w:rPr>
          <w:lang w:val="en"/>
        </w:rPr>
        <w:fldChar w:fldCharType="begin"/>
      </w:r>
      <w:r>
        <w:rPr>
          <w:lang w:val="en"/>
        </w:rPr>
        <w:instrText xml:space="preserve"> ADDIN EN.CITE &lt;EndNote&gt;&lt;Cite&gt;&lt;Author&gt;Brunt&lt;/Author&gt;&lt;Year&gt;2017&lt;/Year&gt;&lt;RecNum&gt;60&lt;/RecNum&gt;&lt;DisplayText&gt;[18]&lt;/DisplayText&gt;&lt;record&gt;&lt;rec-number&gt;60&lt;/rec-number&gt;&lt;foreign-keys&gt;&lt;key app="EN" db-id="0rddxvvew22rz1e0fxk52w2v5v9ad9et50ep" timestamp="1538477763"&gt;60&lt;/key&gt;&lt;/foreign-keys&gt;&lt;ref-type name="Journal Article"&gt;17&lt;/ref-type&gt;&lt;contributors&gt;&lt;authors&gt;&lt;author&gt;Brunt, Tibor Markus&lt;/author&gt;&lt;author&gt;Atkinson, Amanda Marie&lt;/author&gt;&lt;author&gt;Nefau, Thomas&lt;/author&gt;&lt;author&gt;Martinez, Magali&lt;/author&gt;&lt;author&gt;Lahaie, Emmanuel&lt;/author&gt;&lt;author&gt;Malzcewski, Artur&lt;/author&gt;&lt;author&gt;Pazitny, Martin&lt;/author&gt;&lt;author&gt;Belackova, Vendula&lt;/author&gt;&lt;author&gt;Brandt, Simon D.&lt;/author&gt;&lt;/authors&gt;&lt;/contributors&gt;&lt;titles&gt;&lt;title&gt;Online test purchased new psychoactive substances in 5 different European countries: A snapshot study of chemical composition and price&lt;/title&gt;&lt;secondary-title&gt;International Journal of Drug Policy&lt;/secondary-title&gt;&lt;/titles&gt;&lt;periodical&gt;&lt;full-title&gt;International Journal of Drug Policy&lt;/full-title&gt;&lt;abbr-1&gt;Int. J. Drug Policy&lt;/abbr-1&gt;&lt;abbr-2&gt;Int J Drug Policy&lt;/abbr-2&gt;&lt;/periodical&gt;&lt;pages&gt;105-114&lt;/pages&gt;&lt;volume&gt;44&lt;/volume&gt;&lt;dates&gt;&lt;year&gt;2017&lt;/year&gt;&lt;/dates&gt;&lt;publisher&gt;Elsevier&lt;/publisher&gt;&lt;isbn&gt;0955-3959&lt;/isbn&gt;&lt;urls&gt;&lt;related-urls&gt;&lt;url&gt;https://doi.org/10.1016/j.drugpo.2017.03.006&lt;/url&gt;&lt;/related-urls&gt;&lt;/urls&gt;&lt;electronic-resource-num&gt;10.1016/j.drugpo.2017.03.006&lt;/electronic-resource-num&gt;&lt;access-date&gt;2018/10/02&lt;/access-date&gt;&lt;/record&gt;&lt;/Cite&gt;&lt;/EndNote&gt;</w:instrText>
      </w:r>
      <w:r>
        <w:rPr>
          <w:lang w:val="en"/>
        </w:rPr>
        <w:fldChar w:fldCharType="separate"/>
      </w:r>
      <w:r>
        <w:rPr>
          <w:noProof/>
          <w:lang w:val="en"/>
        </w:rPr>
        <w:t>[18]</w:t>
      </w:r>
      <w:r>
        <w:rPr>
          <w:lang w:val="en"/>
        </w:rPr>
        <w:fldChar w:fldCharType="end"/>
      </w:r>
      <w:r>
        <w:rPr>
          <w:lang w:val="en"/>
        </w:rPr>
        <w:t>. The pure drug substances are then shipped by air or sea to Europe where they</w:t>
      </w:r>
      <w:r>
        <w:t xml:space="preserve"> are employed as active ingredients of designer drug products sold openly in internet-shops as so-called “legal-highs” or “research chemicals”</w:t>
      </w:r>
      <w:r w:rsidR="00E11382">
        <w:t xml:space="preserve"> (RC)</w:t>
      </w:r>
      <w:r>
        <w:t>. In Germany, synthetic cannabinoids are the most prevalent NPS subclass and are mostly sold as herbal smoking blends, known as “Spice-Products”</w:t>
      </w:r>
      <w:r w:rsidRPr="000B5189">
        <w:t xml:space="preserve"> </w:t>
      </w:r>
      <w:r>
        <w:t xml:space="preserve">(SP) </w:t>
      </w:r>
      <w:r>
        <w:fldChar w:fldCharType="begin">
          <w:fldData xml:space="preserve">PEVuZE5vdGU+PENpdGU+PEF1dGhvcj5BdXdhcnRlcjwvQXV0aG9yPjxZZWFyPjIwMDk8L1llYXI+
PFJlY051bT40PC9SZWNOdW0+PERpc3BsYXlUZXh0PlsxOSwgMjBdPC9EaXNwbGF5VGV4dD48cmVj
b3JkPjxyZWMtbnVtYmVyPjQ8L3JlYy1udW1iZXI+PGZvcmVpZ24ta2V5cz48a2V5IGFwcD0iRU4i
IGRiLWlkPSIwcmRkeHZ2ZXcyMnJ6MWUwZnhrNTJ3MnY1djlhZDlldDUwZXAiIHRpbWVzdGFtcD0i
MTUxNDk4NDk4NSI+NDwva2V5PjwvZm9yZWlnbi1rZXlzPjxyZWYtdHlwZSBuYW1lPSJKb3VybmFs
IEFydGljbGUiPjE3PC9yZWYtdHlwZT48Y29udHJpYnV0b3JzPjxhdXRob3JzPjxhdXRob3I+QXV3
YXJ0ZXIsIFYuPC9hdXRob3I+PGF1dGhvcj5EcmVzZW4sIFMuPC9hdXRob3I+PGF1dGhvcj5XZWlu
bWFubiwgVy48L2F1dGhvcj48YXV0aG9yPk11bGxlciwgTS48L2F1dGhvcj48YXV0aG9yPlB1dHos
IE0uPC9hdXRob3I+PGF1dGhvcj5GZXJyZWlyb3MsIE4uPC9hdXRob3I+PC9hdXRob3JzPjwvY29u
dHJpYnV0b3JzPjx0aXRsZXM+PHRpdGxlPiZhcG9zO1NwaWNlJmFwb3M7IGFuZCBvdGhlciBoZXJi
YWwgYmxlbmRzOiBoYXJtbGVzcyBpbmNlbnNlIG9yIGNhbm5hYmlub2lkIGRlc2lnbmVyIGRydWdz
PzwvdGl0bGU+PHNlY29uZGFyeS10aXRsZT5KIE1hc3MgU3BlY3Ryb208L3NlY29uZGFyeS10aXRs
ZT48YWx0LXRpdGxlPkpvdXJuYWwgb2YgbWFzcyBzcGVjdHJvbWV0cnkgOiBKTVM8L2FsdC10aXRs
ZT48L3RpdGxlcz48cGVyaW9kaWNhbD48ZnVsbC10aXRsZT5Kb3VybmFsIG9mIE1hc3MgU3BlY3Ry
b21ldHJ5PC9mdWxsLXRpdGxlPjxhYmJyLTE+Si4gTWFzcyBTcGVjdHJvbS48L2FiYnItMT48YWJi
ci0yPkogTWFzcyBTcGVjdHJvbTwvYWJici0yPjwvcGVyaW9kaWNhbD48cGFnZXM+ODMyLTc8L3Bh
Z2VzPjx2b2x1bWU+NDQ8L3ZvbHVtZT48bnVtYmVyPjU8L251bWJlcj48ZWRpdGlvbj4yMDA5LzAy
LzA0PC9lZGl0aW9uPjxrZXl3b3Jkcz48a2V5d29yZD5BbGthbG9pZHMvKmFuYWx5c2lzPC9rZXl3
b3JkPjxrZXl3b3JkPkNhbm5hYmlub2lkcy8qYW5hbHlzaXM8L2tleXdvcmQ+PGtleXdvcmQ+RGVz
aWduZXIgRHJ1Z3MvKmNoZW1pc3RyeTwva2V5d29yZD48a2V5d29yZD4qR2FzIENocm9tYXRvZ3Jh
cGh5LU1hc3MgU3BlY3Ryb21ldHJ5PC9rZXl3b3JkPjxrZXl3b3JkPlBsYW50IFByZXBhcmF0aW9u
cy8qY2hlbWlzdHJ5PC9rZXl3b3JkPjwva2V5d29yZHM+PGRhdGVzPjx5ZWFyPjIwMDk8L3llYXI+
PHB1Yi1kYXRlcz48ZGF0ZT5NYXk8L2RhdGU+PC9wdWItZGF0ZXM+PC9kYXRlcz48aXNibj4xMDc2
LTUxNzQ8L2lzYm4+PGFjY2Vzc2lvbi1udW0+MTkxODkzNDg8L2FjY2Vzc2lvbi1udW0+PHVybHM+
PC91cmxzPjxlbGVjdHJvbmljLXJlc291cmNlLW51bT4xMC4xMDAyL2ptcy4xNTU4PC9lbGVjdHJv
bmljLXJlc291cmNlLW51bT48cmVtb3RlLWRhdGFiYXNlLXByb3ZpZGVyPk5MTTwvcmVtb3RlLWRh
dGFiYXNlLXByb3ZpZGVyPjxsYW5ndWFnZT5lbmc8L2xhbmd1YWdlPjwvcmVjb3JkPjwvQ2l0ZT48
Q2l0ZT48QXV0aG9yPkVNQ0REQTwvQXV0aG9yPjxZZWFyPjIwMTc8L1llYXI+PFJlY051bT4xMTwv
UmVjTnVtPjxyZWNvcmQ+PHJlYy1udW1iZXI+MTE8L3JlYy1udW1iZXI+PGZvcmVpZ24ta2V5cz48
a2V5IGFwcD0iRU4iIGRiLWlkPSIwcmRkeHZ2ZXcyMnJ6MWUwZnhrNTJ3MnY1djlhZDlldDUwZXAi
IHRpbWVzdGFtcD0iMTUxNDk4NDk4NSI+MTE8L2tleT48L2ZvcmVpZ24ta2V5cz48cmVmLXR5cGUg
bmFtZT0iV2ViIFBhZ2UiPjEyPC9yZWYtdHlwZT48Y29udHJpYnV0b3JzPjxhdXRob3JzPjxhdXRo
b3I+RU1DRERBPC9hdXRob3I+PC9hdXRob3JzPjwvY29udHJpYnV0b3JzPjx0aXRsZXM+PHRpdGxl
PlN5bnRoZXRpYyBjYW5uYWJpbm9pZHMgaW4gRXVyb3BlIChQZXJzcGVjdGl2ZXMgb24gZHJ1Z3Mp
PC90aXRsZT48c2Vjb25kYXJ5LXRpdGxlPlBlcnNwZWN0aXZlcyBvbiBEcnVncyAoUE9Ecyk8L3Nl
Y29uZGFyeS10aXRsZT48L3RpdGxlcz48bnVtYmVyPjA5LjEwLjIwMTk8L251bWJlcj48ZGF0ZXM+
PHllYXI+MjAxNzwveWVhcj48L2RhdGVzPjxwdWItbG9jYXRpb24+TGlzYm9uPC9wdWItbG9jYXRp
b24+PHB1Ymxpc2hlcj5FTUNEREE8L3B1Ymxpc2hlcj48dXJscz48cmVsYXRlZC11cmxzPjx1cmw+
aHR0cDovL3d3dy5lbWNkZGEuZXVyb3BhLmV1L3N5c3RlbS9maWxlcy9wdWJsaWNhdGlvbnMvMjc1
My9QT0RfU3ludGhldGljJTIwY2FubmFiaW5vaWRzXzAucGRmPC91cmw+PC9yZWxhdGVkLXVybHM+
PC91cmxzPjwvcmVjb3JkPjwvQ2l0ZT48L0VuZE5vdGU+AG==
</w:fldData>
        </w:fldChar>
      </w:r>
      <w:r w:rsidR="00004E57">
        <w:instrText xml:space="preserve"> ADDIN EN.CITE </w:instrText>
      </w:r>
      <w:r w:rsidR="00004E57">
        <w:fldChar w:fldCharType="begin">
          <w:fldData xml:space="preserve">PEVuZE5vdGU+PENpdGU+PEF1dGhvcj5BdXdhcnRlcjwvQXV0aG9yPjxZZWFyPjIwMDk8L1llYXI+
PFJlY051bT40PC9SZWNOdW0+PERpc3BsYXlUZXh0PlsxOSwgMjBdPC9EaXNwbGF5VGV4dD48cmVj
b3JkPjxyZWMtbnVtYmVyPjQ8L3JlYy1udW1iZXI+PGZvcmVpZ24ta2V5cz48a2V5IGFwcD0iRU4i
IGRiLWlkPSIwcmRkeHZ2ZXcyMnJ6MWUwZnhrNTJ3MnY1djlhZDlldDUwZXAiIHRpbWVzdGFtcD0i
MTUxNDk4NDk4NSI+NDwva2V5PjwvZm9yZWlnbi1rZXlzPjxyZWYtdHlwZSBuYW1lPSJKb3VybmFs
IEFydGljbGUiPjE3PC9yZWYtdHlwZT48Y29udHJpYnV0b3JzPjxhdXRob3JzPjxhdXRob3I+QXV3
YXJ0ZXIsIFYuPC9hdXRob3I+PGF1dGhvcj5EcmVzZW4sIFMuPC9hdXRob3I+PGF1dGhvcj5XZWlu
bWFubiwgVy48L2F1dGhvcj48YXV0aG9yPk11bGxlciwgTS48L2F1dGhvcj48YXV0aG9yPlB1dHos
IE0uPC9hdXRob3I+PGF1dGhvcj5GZXJyZWlyb3MsIE4uPC9hdXRob3I+PC9hdXRob3JzPjwvY29u
dHJpYnV0b3JzPjx0aXRsZXM+PHRpdGxlPiZhcG9zO1NwaWNlJmFwb3M7IGFuZCBvdGhlciBoZXJi
YWwgYmxlbmRzOiBoYXJtbGVzcyBpbmNlbnNlIG9yIGNhbm5hYmlub2lkIGRlc2lnbmVyIGRydWdz
PzwvdGl0bGU+PHNlY29uZGFyeS10aXRsZT5KIE1hc3MgU3BlY3Ryb208L3NlY29uZGFyeS10aXRs
ZT48YWx0LXRpdGxlPkpvdXJuYWwgb2YgbWFzcyBzcGVjdHJvbWV0cnkgOiBKTVM8L2FsdC10aXRs
ZT48L3RpdGxlcz48cGVyaW9kaWNhbD48ZnVsbC10aXRsZT5Kb3VybmFsIG9mIE1hc3MgU3BlY3Ry
b21ldHJ5PC9mdWxsLXRpdGxlPjxhYmJyLTE+Si4gTWFzcyBTcGVjdHJvbS48L2FiYnItMT48YWJi
ci0yPkogTWFzcyBTcGVjdHJvbTwvYWJici0yPjwvcGVyaW9kaWNhbD48cGFnZXM+ODMyLTc8L3Bh
Z2VzPjx2b2x1bWU+NDQ8L3ZvbHVtZT48bnVtYmVyPjU8L251bWJlcj48ZWRpdGlvbj4yMDA5LzAy
LzA0PC9lZGl0aW9uPjxrZXl3b3Jkcz48a2V5d29yZD5BbGthbG9pZHMvKmFuYWx5c2lzPC9rZXl3
b3JkPjxrZXl3b3JkPkNhbm5hYmlub2lkcy8qYW5hbHlzaXM8L2tleXdvcmQ+PGtleXdvcmQ+RGVz
aWduZXIgRHJ1Z3MvKmNoZW1pc3RyeTwva2V5d29yZD48a2V5d29yZD4qR2FzIENocm9tYXRvZ3Jh
cGh5LU1hc3MgU3BlY3Ryb21ldHJ5PC9rZXl3b3JkPjxrZXl3b3JkPlBsYW50IFByZXBhcmF0aW9u
cy8qY2hlbWlzdHJ5PC9rZXl3b3JkPjwva2V5d29yZHM+PGRhdGVzPjx5ZWFyPjIwMDk8L3llYXI+
PHB1Yi1kYXRlcz48ZGF0ZT5NYXk8L2RhdGU+PC9wdWItZGF0ZXM+PC9kYXRlcz48aXNibj4xMDc2
LTUxNzQ8L2lzYm4+PGFjY2Vzc2lvbi1udW0+MTkxODkzNDg8L2FjY2Vzc2lvbi1udW0+PHVybHM+
PC91cmxzPjxlbGVjdHJvbmljLXJlc291cmNlLW51bT4xMC4xMDAyL2ptcy4xNTU4PC9lbGVjdHJv
bmljLXJlc291cmNlLW51bT48cmVtb3RlLWRhdGFiYXNlLXByb3ZpZGVyPk5MTTwvcmVtb3RlLWRh
dGFiYXNlLXByb3ZpZGVyPjxsYW5ndWFnZT5lbmc8L2xhbmd1YWdlPjwvcmVjb3JkPjwvQ2l0ZT48
Q2l0ZT48QXV0aG9yPkVNQ0REQTwvQXV0aG9yPjxZZWFyPjIwMTc8L1llYXI+PFJlY051bT4xMTwv
UmVjTnVtPjxyZWNvcmQ+PHJlYy1udW1iZXI+MTE8L3JlYy1udW1iZXI+PGZvcmVpZ24ta2V5cz48
a2V5IGFwcD0iRU4iIGRiLWlkPSIwcmRkeHZ2ZXcyMnJ6MWUwZnhrNTJ3MnY1djlhZDlldDUwZXAi
IHRpbWVzdGFtcD0iMTUxNDk4NDk4NSI+MTE8L2tleT48L2ZvcmVpZ24ta2V5cz48cmVmLXR5cGUg
bmFtZT0iV2ViIFBhZ2UiPjEyPC9yZWYtdHlwZT48Y29udHJpYnV0b3JzPjxhdXRob3JzPjxhdXRo
b3I+RU1DRERBPC9hdXRob3I+PC9hdXRob3JzPjwvY29udHJpYnV0b3JzPjx0aXRsZXM+PHRpdGxl
PlN5bnRoZXRpYyBjYW5uYWJpbm9pZHMgaW4gRXVyb3BlIChQZXJzcGVjdGl2ZXMgb24gZHJ1Z3Mp
PC90aXRsZT48c2Vjb25kYXJ5LXRpdGxlPlBlcnNwZWN0aXZlcyBvbiBEcnVncyAoUE9Ecyk8L3Nl
Y29uZGFyeS10aXRsZT48L3RpdGxlcz48bnVtYmVyPjA5LjEwLjIwMTk8L251bWJlcj48ZGF0ZXM+
PHllYXI+MjAxNzwveWVhcj48L2RhdGVzPjxwdWItbG9jYXRpb24+TGlzYm9uPC9wdWItbG9jYXRp
b24+PHB1Ymxpc2hlcj5FTUNEREE8L3B1Ymxpc2hlcj48dXJscz48cmVsYXRlZC11cmxzPjx1cmw+
aHR0cDovL3d3dy5lbWNkZGEuZXVyb3BhLmV1L3N5c3RlbS9maWxlcy9wdWJsaWNhdGlvbnMvMjc1
My9QT0RfU3ludGhldGljJTIwY2FubmFiaW5vaWRzXzAucGRmPC91cmw+PC9yZWxhdGVkLXVybHM+
PC91cmxzPjwvcmVjb3JkPjwvQ2l0ZT48L0VuZE5vdGU+AG==
</w:fldData>
        </w:fldChar>
      </w:r>
      <w:r w:rsidR="00004E57">
        <w:instrText xml:space="preserve"> ADDIN EN.CITE.DATA </w:instrText>
      </w:r>
      <w:r w:rsidR="00004E57">
        <w:fldChar w:fldCharType="end"/>
      </w:r>
      <w:r>
        <w:fldChar w:fldCharType="separate"/>
      </w:r>
      <w:r>
        <w:rPr>
          <w:noProof/>
        </w:rPr>
        <w:t>[19, 20]</w:t>
      </w:r>
      <w:r>
        <w:fldChar w:fldCharType="end"/>
      </w:r>
      <w:r>
        <w:t xml:space="preserve">. The pure cannabinoids are sprayed onto an inactive dried plant matrix such as Damiana </w:t>
      </w:r>
      <w:r w:rsidRPr="008E13D5">
        <w:t>(</w:t>
      </w:r>
      <w:proofErr w:type="spellStart"/>
      <w:r w:rsidRPr="008E13D5">
        <w:rPr>
          <w:i/>
          <w:iCs/>
          <w:lang w:val="en-US"/>
        </w:rPr>
        <w:t>Turnera</w:t>
      </w:r>
      <w:proofErr w:type="spellEnd"/>
      <w:r w:rsidRPr="008E13D5">
        <w:rPr>
          <w:i/>
          <w:iCs/>
          <w:lang w:val="en-US"/>
        </w:rPr>
        <w:t xml:space="preserve"> </w:t>
      </w:r>
      <w:proofErr w:type="spellStart"/>
      <w:r w:rsidRPr="008E13D5">
        <w:rPr>
          <w:i/>
          <w:iCs/>
          <w:lang w:val="en-US"/>
        </w:rPr>
        <w:t>diffusa</w:t>
      </w:r>
      <w:proofErr w:type="spellEnd"/>
      <w:r w:rsidRPr="008E13D5">
        <w:rPr>
          <w:lang w:val="en-US"/>
        </w:rPr>
        <w:t xml:space="preserve"> </w:t>
      </w:r>
      <w:proofErr w:type="spellStart"/>
      <w:r w:rsidRPr="008E13D5">
        <w:rPr>
          <w:lang w:val="en-US"/>
        </w:rPr>
        <w:t>Willd</w:t>
      </w:r>
      <w:proofErr w:type="spellEnd"/>
      <w:r w:rsidRPr="008E13D5">
        <w:rPr>
          <w:lang w:val="en-US"/>
        </w:rPr>
        <w:t xml:space="preserve">. Ex </w:t>
      </w:r>
      <w:proofErr w:type="spellStart"/>
      <w:r w:rsidRPr="008E13D5">
        <w:rPr>
          <w:lang w:val="en-US"/>
        </w:rPr>
        <w:t>Schults</w:t>
      </w:r>
      <w:proofErr w:type="spellEnd"/>
      <w:r w:rsidRPr="008E13D5">
        <w:rPr>
          <w:lang w:val="en-US"/>
        </w:rPr>
        <w:t xml:space="preserve">. var </w:t>
      </w:r>
      <w:proofErr w:type="spellStart"/>
      <w:r w:rsidRPr="008E13D5">
        <w:rPr>
          <w:i/>
          <w:iCs/>
          <w:lang w:val="en-US"/>
        </w:rPr>
        <w:t>aphrodisica</w:t>
      </w:r>
      <w:proofErr w:type="spellEnd"/>
      <w:r w:rsidRPr="008E13D5">
        <w:t>)</w:t>
      </w:r>
      <w:r>
        <w:t xml:space="preserve"> or strawberry leaf and packed into plastic sachets with professionally designed logos and recurrent branding. From the perspective of forensic investigation, tracing back the source of seized material of synthetic cannabinoids (either in pure form or laced onto herbal material) by analysis of the impurity composition or isotopic profile is very difficult, as usually no authentic reference materials from the original manufacturing sites are available. The history of each sample can be regarded as “black-box” which only enables the generation of links between individual seizures, but not reveals the original source. However, pure material from a single synthesis batch of synthetic cannabinoids carries a specific impurity profile and isotopic composition, which is maintained even though sprayed onto a herbal matrix </w:t>
      </w:r>
      <w:r>
        <w:fldChar w:fldCharType="begin">
          <w:fldData xml:space="preserve">PEVuZE5vdGU+PENpdGU+PEF1dGhvcj5Nw7xuc3Rlci1Nw7xsbGVyPC9BdXRob3I+PFllYXI+MjAx
ODwvWWVhcj48UmVjTnVtPjU3PC9SZWNOdW0+PERpc3BsYXlUZXh0PlsyMSwgMjJdPC9EaXNwbGF5
VGV4dD48cmVjb3JkPjxyZWMtbnVtYmVyPjU3PC9yZWMtbnVtYmVyPjxmb3JlaWduLWtleXM+PGtl
eSBhcHA9IkVOIiBkYi1pZD0iMHJkZHh2dmV3MjJyejFlMGZ4azUydzJ2NXY5YWQ5ZXQ1MGVwIiB0
aW1lc3RhbXA9IjE1MzgwNDYzMzAiPjU3PC9rZXk+PC9mb3JlaWduLWtleXM+PHJlZi10eXBlIG5h
bWU9IkpvdXJuYWwgQXJ0aWNsZSI+MTc8L3JlZi10eXBlPjxjb250cmlidXRvcnM+PGF1dGhvcnM+
PGF1dGhvcj5Nw7xuc3Rlci1Nw7xsbGVyLCBTLjwvYXV0aG9yPjxhdXRob3I+U2NoZWlkLCBOLjwv
YXV0aG9yPjxhdXRob3I+SG9sZGVybWFubiwgVC48L2F1dGhvcj48YXV0aG9yPlNjaG5laWRlcnMs
IFMuPC9hdXRob3I+PGF1dGhvcj5Qw7x0eiwgTS48L2F1dGhvcj48L2F1dGhvcnM+PC9jb250cmli
dXRvcnM+PHRpdGxlcz48dGl0bGU+UHJvZmlsaW5nIG9mIG5ldyBwc3ljaG9hY3RpdmUgc3Vic3Rh
bmNlcyBieSB1c2luZyBzdGFibGUgaXNvdG9wZSByYXRpbyBtYXNzIHNwZWN0cm9tZXRyeTogU3R1
ZHkgb2YgdGhlIHN5bnRoZXRpYyBjYW5uYWJpbm9pZCA1Ri1QQi0yMjwvdGl0bGU+PHNlY29uZGFy
eS10aXRsZT5EcnVnIFRlc3RpbmcgYW5kIEFuYWx5c2lzPC9zZWNvbmRhcnktdGl0bGU+PC90aXRs
ZXM+PHBlcmlvZGljYWw+PGZ1bGwtdGl0bGU+RHJ1ZyBUZXN0aW5nIGFuZCBBbmFseXNpczwvZnVs
bC10aXRsZT48YWJici0xPkRydWcuIFRlc3QuIEFuYWwuPC9hYmJyLTE+PC9wZXJpb2RpY2FsPjxw
YWdlcz4xMzIzLTEzMjc8L3BhZ2VzPjx2b2x1bWU+MTA8L3ZvbHVtZT48bnVtYmVyPjg8L251bWJl
cj48a2V5d29yZHM+PGtleXdvcmQ+NUYtUEItMjI8L2tleXdvcmQ+PGtleXdvcmQ+ZHJ1ZyBwcm9m
aWxpbmc8L2tleXdvcmQ+PGtleXdvcmQ+RUEtSVJNUzwva2V5d29yZD48a2V5d29yZD5uZXcgcHN5
Y2hvYWN0aXZlIHN1YnN0YW5jZXMgKE5QUyk8L2tleXdvcmQ+PGtleXdvcmQ+c3RhYmxlIGlzb3Rv
cGUgcmF0aW8gYW5hbHlzaXM8L2tleXdvcmQ+PC9rZXl3b3Jkcz48ZGF0ZXM+PHllYXI+MjAxODwv
eWVhcj48L2RhdGVzPjxpc2JuPjE5NDItNzYwMzwvaXNibj48dXJscz48cmVsYXRlZC11cmxzPjx1
cmw+aHR0cHM6Ly9kb2kub3JnLzEwLjEwMDIvZHRhLjI0MDc8L3VybD48L3JlbGF0ZWQtdXJscz48
L3VybHM+PGVsZWN0cm9uaWMtcmVzb3VyY2UtbnVtPmRvaToxMC4xMDAyL2R0YS4yNDA3PC9lbGVj
dHJvbmljLXJlc291cmNlLW51bT48bW9kaWZpZWQtZGF0ZT5EdGEtMTgtMDAxNC5yMTwvbW9kaWZp
ZWQtZGF0ZT48L3JlY29yZD48L0NpdGU+PENpdGU+PEF1dGhvcj5Nw7xuc3Rlci1Nw7xsbGVyPC9B
dXRob3I+PFllYXI+MjAxODwvWWVhcj48UmVjTnVtPjU2PC9SZWNOdW0+PHJlY29yZD48cmVjLW51
bWJlcj41NjwvcmVjLW51bWJlcj48Zm9yZWlnbi1rZXlzPjxrZXkgYXBwPSJFTiIgZGItaWQ9IjBy
ZGR4dnZldzIycnoxZTBmeGs1MncydjV2OWFkOWV0NTBlcCIgdGltZXN0YW1wPSIxNTM3OTYzMjUy
Ij41Njwva2V5PjwvZm9yZWlnbi1rZXlzPjxyZWYtdHlwZSBuYW1lPSJKb3VybmFsIEFydGljbGUi
PjE3PC9yZWYtdHlwZT48Y29udHJpYnV0b3JzPjxhdXRob3JzPjxhdXRob3I+TcO8bnN0ZXItTcO8
bGxlciwgU2FzY2hhPC9hdXRob3I+PGF1dGhvcj5aaW1tZXJtYW5uLCBSYWxmPC9hdXRob3I+PGF1
dGhvcj5Qw7x0eiwgTWljaGFlbDwvYXV0aG9yPjwvYXV0aG9ycz48L2NvbnRyaWJ1dG9ycz48dGl0
bGVzPjx0aXRsZT5BIE5vdmVsIEltcHVyaXR5LVByb2ZpbGluZyBXb3JrZmxvdyB3aXRoIHRoZSBD
b21iaW5hdGlvbiBvZiBGbGFzaC1DaHJvbWF0b2dyYXBoeSwgVUhQTEMtTVMsIGFuZCBNdWx0aXZh
cmlhdGUgRGF0YSBBbmFseXNpcyBmb3IgSGlnaGx5IFB1cmUgRHJ1Z3M6IEEgU3R1ZHkgb24gdGhl
IFN5bnRoZXRpYyBDYW5uYWJpbm9pZCBNRE1CLUNITUlDQTwvdGl0bGU+PHNlY29uZGFyeS10aXRs
ZT5BbmFseXRpY2FsIENoZW1pc3RyeTwvc2Vjb25kYXJ5LXRpdGxlPjwvdGl0bGVzPjxwZXJpb2Rp
Y2FsPjxmdWxsLXRpdGxlPkFuYWx5dGljYWwgQ2hlbWlzdHJ5PC9mdWxsLXRpdGxlPjxhYmJyLTE+
QW5hbC4gQ2hlbS48L2FiYnItMT48YWJici0yPkFuYWwgQ2hlbTwvYWJici0yPjwvcGVyaW9kaWNh
bD48cGFnZXM+MTA1NTktMTA1Njc8L3BhZ2VzPjx2b2x1bWU+OTA8L3ZvbHVtZT48bnVtYmVyPjE3
PC9udW1iZXI+PGRhdGVzPjx5ZWFyPjIwMTg8L3llYXI+PHB1Yi1kYXRlcz48ZGF0ZT4yMDE4LzA5
LzA0PC9kYXRlPjwvcHViLWRhdGVzPjwvZGF0ZXM+PHB1Ymxpc2hlcj5BbWVyaWNhbiBDaGVtaWNh
bCBTb2NpZXR5PC9wdWJsaXNoZXI+PGlzYm4+MDAwMy0yNzAwPC9pc2JuPjx1cmxzPjxyZWxhdGVk
LXVybHM+PHVybD5odHRwczovL2RvaS5vcmcvMTAuMTAyMS9hY3MuYW5hbGNoZW0uOGIwMjY3OTwv
dXJsPjwvcmVsYXRlZC11cmxzPjwvdXJscz48ZWxlY3Ryb25pYy1yZXNvdXJjZS1udW0+MTAuMTAy
MS9hY3MuYW5hbGNoZW0uOGIwMjY3OTwvZWxlY3Ryb25pYy1yZXNvdXJjZS1udW0+PC9yZWNvcmQ+
PC9DaXRlPjwvRW5kTm90ZT4A
</w:fldData>
        </w:fldChar>
      </w:r>
      <w:r>
        <w:instrText xml:space="preserve"> ADDIN EN.CITE </w:instrText>
      </w:r>
      <w:r>
        <w:fldChar w:fldCharType="begin">
          <w:fldData xml:space="preserve">PEVuZE5vdGU+PENpdGU+PEF1dGhvcj5Nw7xuc3Rlci1Nw7xsbGVyPC9BdXRob3I+PFllYXI+MjAx
ODwvWWVhcj48UmVjTnVtPjU3PC9SZWNOdW0+PERpc3BsYXlUZXh0PlsyMSwgMjJdPC9EaXNwbGF5
VGV4dD48cmVjb3JkPjxyZWMtbnVtYmVyPjU3PC9yZWMtbnVtYmVyPjxmb3JlaWduLWtleXM+PGtl
eSBhcHA9IkVOIiBkYi1pZD0iMHJkZHh2dmV3MjJyejFlMGZ4azUydzJ2NXY5YWQ5ZXQ1MGVwIiB0
aW1lc3RhbXA9IjE1MzgwNDYzMzAiPjU3PC9rZXk+PC9mb3JlaWduLWtleXM+PHJlZi10eXBlIG5h
bWU9IkpvdXJuYWwgQXJ0aWNsZSI+MTc8L3JlZi10eXBlPjxjb250cmlidXRvcnM+PGF1dGhvcnM+
PGF1dGhvcj5Nw7xuc3Rlci1Nw7xsbGVyLCBTLjwvYXV0aG9yPjxhdXRob3I+U2NoZWlkLCBOLjwv
YXV0aG9yPjxhdXRob3I+SG9sZGVybWFubiwgVC48L2F1dGhvcj48YXV0aG9yPlNjaG5laWRlcnMs
IFMuPC9hdXRob3I+PGF1dGhvcj5Qw7x0eiwgTS48L2F1dGhvcj48L2F1dGhvcnM+PC9jb250cmli
dXRvcnM+PHRpdGxlcz48dGl0bGU+UHJvZmlsaW5nIG9mIG5ldyBwc3ljaG9hY3RpdmUgc3Vic3Rh
bmNlcyBieSB1c2luZyBzdGFibGUgaXNvdG9wZSByYXRpbyBtYXNzIHNwZWN0cm9tZXRyeTogU3R1
ZHkgb2YgdGhlIHN5bnRoZXRpYyBjYW5uYWJpbm9pZCA1Ri1QQi0yMjwvdGl0bGU+PHNlY29uZGFy
eS10aXRsZT5EcnVnIFRlc3RpbmcgYW5kIEFuYWx5c2lzPC9zZWNvbmRhcnktdGl0bGU+PC90aXRs
ZXM+PHBlcmlvZGljYWw+PGZ1bGwtdGl0bGU+RHJ1ZyBUZXN0aW5nIGFuZCBBbmFseXNpczwvZnVs
bC10aXRsZT48YWJici0xPkRydWcuIFRlc3QuIEFuYWwuPC9hYmJyLTE+PC9wZXJpb2RpY2FsPjxw
YWdlcz4xMzIzLTEzMjc8L3BhZ2VzPjx2b2x1bWU+MTA8L3ZvbHVtZT48bnVtYmVyPjg8L251bWJl
cj48a2V5d29yZHM+PGtleXdvcmQ+NUYtUEItMjI8L2tleXdvcmQ+PGtleXdvcmQ+ZHJ1ZyBwcm9m
aWxpbmc8L2tleXdvcmQ+PGtleXdvcmQ+RUEtSVJNUzwva2V5d29yZD48a2V5d29yZD5uZXcgcHN5
Y2hvYWN0aXZlIHN1YnN0YW5jZXMgKE5QUyk8L2tleXdvcmQ+PGtleXdvcmQ+c3RhYmxlIGlzb3Rv
cGUgcmF0aW8gYW5hbHlzaXM8L2tleXdvcmQ+PC9rZXl3b3Jkcz48ZGF0ZXM+PHllYXI+MjAxODwv
eWVhcj48L2RhdGVzPjxpc2JuPjE5NDItNzYwMzwvaXNibj48dXJscz48cmVsYXRlZC11cmxzPjx1
cmw+aHR0cHM6Ly9kb2kub3JnLzEwLjEwMDIvZHRhLjI0MDc8L3VybD48L3JlbGF0ZWQtdXJscz48
L3VybHM+PGVsZWN0cm9uaWMtcmVzb3VyY2UtbnVtPmRvaToxMC4xMDAyL2R0YS4yNDA3PC9lbGVj
dHJvbmljLXJlc291cmNlLW51bT48bW9kaWZpZWQtZGF0ZT5EdGEtMTgtMDAxNC5yMTwvbW9kaWZp
ZWQtZGF0ZT48L3JlY29yZD48L0NpdGU+PENpdGU+PEF1dGhvcj5Nw7xuc3Rlci1Nw7xsbGVyPC9B
dXRob3I+PFllYXI+MjAxODwvWWVhcj48UmVjTnVtPjU2PC9SZWNOdW0+PHJlY29yZD48cmVjLW51
bWJlcj41NjwvcmVjLW51bWJlcj48Zm9yZWlnbi1rZXlzPjxrZXkgYXBwPSJFTiIgZGItaWQ9IjBy
ZGR4dnZldzIycnoxZTBmeGs1MncydjV2OWFkOWV0NTBlcCIgdGltZXN0YW1wPSIxNTM3OTYzMjUy
Ij41Njwva2V5PjwvZm9yZWlnbi1rZXlzPjxyZWYtdHlwZSBuYW1lPSJKb3VybmFsIEFydGljbGUi
PjE3PC9yZWYtdHlwZT48Y29udHJpYnV0b3JzPjxhdXRob3JzPjxhdXRob3I+TcO8bnN0ZXItTcO8
bGxlciwgU2FzY2hhPC9hdXRob3I+PGF1dGhvcj5aaW1tZXJtYW5uLCBSYWxmPC9hdXRob3I+PGF1
dGhvcj5Qw7x0eiwgTWljaGFlbDwvYXV0aG9yPjwvYXV0aG9ycz48L2NvbnRyaWJ1dG9ycz48dGl0
bGVzPjx0aXRsZT5BIE5vdmVsIEltcHVyaXR5LVByb2ZpbGluZyBXb3JrZmxvdyB3aXRoIHRoZSBD
b21iaW5hdGlvbiBvZiBGbGFzaC1DaHJvbWF0b2dyYXBoeSwgVUhQTEMtTVMsIGFuZCBNdWx0aXZh
cmlhdGUgRGF0YSBBbmFseXNpcyBmb3IgSGlnaGx5IFB1cmUgRHJ1Z3M6IEEgU3R1ZHkgb24gdGhl
IFN5bnRoZXRpYyBDYW5uYWJpbm9pZCBNRE1CLUNITUlDQTwvdGl0bGU+PHNlY29uZGFyeS10aXRs
ZT5BbmFseXRpY2FsIENoZW1pc3RyeTwvc2Vjb25kYXJ5LXRpdGxlPjwvdGl0bGVzPjxwZXJpb2Rp
Y2FsPjxmdWxsLXRpdGxlPkFuYWx5dGljYWwgQ2hlbWlzdHJ5PC9mdWxsLXRpdGxlPjxhYmJyLTE+
QW5hbC4gQ2hlbS48L2FiYnItMT48YWJici0yPkFuYWwgQ2hlbTwvYWJici0yPjwvcGVyaW9kaWNh
bD48cGFnZXM+MTA1NTktMTA1Njc8L3BhZ2VzPjx2b2x1bWU+OTA8L3ZvbHVtZT48bnVtYmVyPjE3
PC9udW1iZXI+PGRhdGVzPjx5ZWFyPjIwMTg8L3llYXI+PHB1Yi1kYXRlcz48ZGF0ZT4yMDE4LzA5
LzA0PC9kYXRlPjwvcHViLWRhdGVzPjwvZGF0ZXM+PHB1Ymxpc2hlcj5BbWVyaWNhbiBDaGVtaWNh
bCBTb2NpZXR5PC9wdWJsaXNoZXI+PGlzYm4+MDAwMy0yNzAwPC9pc2JuPjx1cmxzPjxyZWxhdGVk
LXVybHM+PHVybD5odHRwczovL2RvaS5vcmcvMTAuMTAyMS9hY3MuYW5hbGNoZW0uOGIwMjY3OTwv
dXJsPjwvcmVsYXRlZC11cmxzPjwvdXJscz48ZWxlY3Ryb25pYy1yZXNvdXJjZS1udW0+MTAuMTAy
MS9hY3MuYW5hbGNoZW0uOGIwMjY3OTwvZWxlY3Ryb25pYy1yZXNvdXJjZS1udW0+PC9yZWNvcmQ+
PC9DaXRlPjwvRW5kTm90ZT4A
</w:fldData>
        </w:fldChar>
      </w:r>
      <w:r>
        <w:instrText xml:space="preserve"> ADDIN EN.CITE.DATA </w:instrText>
      </w:r>
      <w:r>
        <w:fldChar w:fldCharType="end"/>
      </w:r>
      <w:r>
        <w:fldChar w:fldCharType="separate"/>
      </w:r>
      <w:r>
        <w:rPr>
          <w:noProof/>
        </w:rPr>
        <w:t>[21, 22]</w:t>
      </w:r>
      <w:r>
        <w:fldChar w:fldCharType="end"/>
      </w:r>
      <w:r>
        <w:t>.</w:t>
      </w:r>
      <w:r w:rsidRPr="00DD75A3">
        <w:t xml:space="preserve"> </w:t>
      </w:r>
      <w:r>
        <w:t xml:space="preserve">Multiple batches synthesized from the same precursor material also should exhibit a similar isotopic composition, when using the same synthesis pathway </w:t>
      </w:r>
      <w:r>
        <w:fldChar w:fldCharType="begin">
          <w:fldData xml:space="preserve">PEVuZE5vdGU+PENpdGU+PEF1dGhvcj5CdWNoYW5hbjwvQXV0aG9yPjxZZWFyPjIwMDg8L1llYXI+
PFJlY051bT44MTwvUmVjTnVtPjxEaXNwbGF5VGV4dD5bMjMsIDI0XTwvRGlzcGxheVRleHQ+PHJl
Y29yZD48cmVjLW51bWJlcj44MTwvcmVjLW51bWJlcj48Zm9yZWlnbi1rZXlzPjxrZXkgYXBwPSJF
TiIgZGItaWQ9IjByZGR4dnZldzIycnoxZTBmeGs1MncydjV2OWFkOWV0NTBlcCIgdGltZXN0YW1w
PSIxNTUwNTc4OTg5Ij44MTwva2V5PjwvZm9yZWlnbi1rZXlzPjxyZWYtdHlwZSBuYW1lPSJKb3Vy
bmFsIEFydGljbGUiPjE3PC9yZWYtdHlwZT48Y29udHJpYnV0b3JzPjxhdXRob3JzPjxhdXRob3I+
QnVjaGFuYW4sIEhpbGFyeSBBLiBTLjwvYXV0aG9yPjxhdXRob3I+RGHDqWlkLCBOaWFtaCBOaWM8
L2F1dGhvcj48YXV0aG9yPk1laWVyLUF1Z2Vuc3RlaW4sIFdvbGZyYW08L2F1dGhvcj48YXV0aG9y
PktlbXAsIEhlbGVuIEYuPC9hdXRob3I+PGF1dGhvcj5LZXJyLCBXaWxsaWFtIEouPC9hdXRob3I+
PGF1dGhvcj5NaWRkbGVkaXRjaCwgTWljaGFlbDwvYXV0aG9yPjwvYXV0aG9ycz48L2NvbnRyaWJ1
dG9ycz48dGl0bGVzPjx0aXRsZT5FbWVyZ2luZyBVc2Ugb2YgSXNvdG9wZSBSYXRpbyBNYXNzIFNw
ZWN0cm9tZXRyeSBhcyBhIFRvb2wgZm9yIERpc2NyaW1pbmF0aW9uIG9mIDMsNC1NZXRoeWxlbmVk
aW94eW1ldGhhbXBoZXRhbWluZSBieSBTeW50aGV0aWMgUm91dGU8L3RpdGxlPjxzZWNvbmRhcnkt
dGl0bGU+QW5hbHl0aWNhbCBDaGVtaXN0cnk8L3NlY29uZGFyeS10aXRsZT48L3RpdGxlcz48cGVy
aW9kaWNhbD48ZnVsbC10aXRsZT5BbmFseXRpY2FsIENoZW1pc3RyeTwvZnVsbC10aXRsZT48YWJi
ci0xPkFuYWwuIENoZW0uPC9hYmJyLTE+PGFiYnItMj5BbmFsIENoZW08L2FiYnItMj48L3Blcmlv
ZGljYWw+PHBhZ2VzPjMzNTAtMzM1NjwvcGFnZXM+PHZvbHVtZT44MDwvdm9sdW1lPjxudW1iZXI+
OTwvbnVtYmVyPjxkYXRlcz48eWVhcj4yMDA4PC95ZWFyPjxwdWItZGF0ZXM+PGRhdGU+MjAwOC8w
NS8wMTwvZGF0ZT48L3B1Yi1kYXRlcz48L2RhdGVzPjxwdWJsaXNoZXI+QW1lcmljYW4gQ2hlbWlj
YWwgU29jaWV0eTwvcHVibGlzaGVyPjxpc2JuPjAwMDMtMjcwMDwvaXNibj48dXJscz48cmVsYXRl
ZC11cmxzPjx1cmw+aHR0cHM6Ly9kb2kub3JnLzEwLjEwMjEvYWM3MDI1NTlzPC91cmw+PC9yZWxh
dGVkLXVybHM+PC91cmxzPjxlbGVjdHJvbmljLXJlc291cmNlLW51bT4xMC4xMDIxL2FjNzAyNTU5
czwvZWxlY3Ryb25pYy1yZXNvdXJjZS1udW0+PC9yZWNvcmQ+PC9DaXRlPjxDaXRlPjxBdXRob3I+
TmljRGFlaWQ8L0F1dGhvcj48WWVhcj4yMDEyPC9ZZWFyPjxSZWNOdW0+NzI8L1JlY051bT48cmVj
b3JkPjxyZWMtbnVtYmVyPjcyPC9yZWMtbnVtYmVyPjxmb3JlaWduLWtleXM+PGtleSBhcHA9IkVO
IiBkYi1pZD0iMHJkZHh2dmV3MjJyejFlMGZ4azUydzJ2NXY5YWQ5ZXQ1MGVwIiB0aW1lc3RhbXA9
IjE1NDIwMzE3NTYiPjcyPC9rZXk+PC9mb3JlaWduLWtleXM+PHJlZi10eXBlIG5hbWU9IkpvdXJu
YWwgQXJ0aWNsZSI+MTc8L3JlZi10eXBlPjxjb250cmlidXRvcnM+PGF1dGhvcnM+PGF1dGhvcj5O
aWNEYWVpZCwgTi48L2F1dGhvcj48YXV0aG9yPk1laWVyLUF1Z2Vuc3RlaW4sIFcuPC9hdXRob3I+
PGF1dGhvcj5LZW1wLCBILiBGLjwvYXV0aG9yPjxhdXRob3I+U3V0Y2xpZmZlLCBPLiBCLjwvYXV0
aG9yPjwvYXV0aG9ycz48L2NvbnRyaWJ1dG9ycz48YXV0aC1hZGRyZXNzPkNlbnRyZSBmb3IgRm9y
ZW5zaWMgU2NpZW5jZSwgRGVwYXJ0bWVudCBvZiBQdXJlIGFuZCBBcHBsaWVkIENoZW1pc3RyeSwg
VW5pdmVyc2l0eSBvZiBTdHJhdGhjbHlkZSwgMjA0IEdlb3JnZSBTdHJlZXQsIEdsYXNnb3csIEcx
IDFYVywgVUsuIG4ubmljZGFlaWRAc3RyYXRoLmFjLnVrPC9hdXRoLWFkZHJlc3M+PHRpdGxlcz48
dGl0bGU+VXNpbmcgaXNvdG9waWMgZnJhY3Rpb25hdGlvbiB0byBsaW5rIHByZWN1cnNvciB0byBw
cm9kdWN0IGluIHRoZSBzeW50aGVzaXMgb2YgKCsvLSktbWVwaGVkcm9uZTogYSBuZXcgdG9vbCBm
b3IgY29tYmF0aW5nICZxdW90O2xlZ2FsIGhpZ2gmcXVvdDsgZHJ1Z3M8L3RpdGxlPjxzZWNvbmRh
cnktdGl0bGU+QW5hbCBDaGVtPC9zZWNvbmRhcnktdGl0bGU+PGFsdC10aXRsZT5BbmFseXRpY2Fs
IGNoZW1pc3RyeTwvYWx0LXRpdGxlPjwvdGl0bGVzPjxwZXJpb2RpY2FsPjxmdWxsLXRpdGxlPkFu
YWx5dGljYWwgQ2hlbWlzdHJ5PC9mdWxsLXRpdGxlPjxhYmJyLTE+QW5hbC4gQ2hlbS48L2FiYnIt
MT48YWJici0yPkFuYWwgQ2hlbTwvYWJici0yPjwvcGVyaW9kaWNhbD48YWx0LXBlcmlvZGljYWw+
PGZ1bGwtdGl0bGU+QW5hbHl0aWNhbCBDaGVtaXN0cnk8L2Z1bGwtdGl0bGU+PGFiYnItMT5BbmFs
LiBDaGVtLjwvYWJici0xPjxhYmJyLTI+QW5hbCBDaGVtPC9hYmJyLTI+PC9hbHQtcGVyaW9kaWNh
bD48cGFnZXM+ODY5MS02PC9wYWdlcz48dm9sdW1lPjg0PC92b2x1bWU+PG51bWJlcj4yMDwvbnVt
YmVyPjxlZGl0aW9uPjIwMTIvMDkvMDg8L2VkaXRpb24+PGtleXdvcmRzPjxrZXl3b3JkPkNhcmJv
biBJc290b3Blcy9hbmFseXNpczwva2V5d29yZD48a2V5d29yZD5DaGVtaWNhbCBGcmFjdGlvbmF0
aW9uPC9rZXl3b3JkPjxrZXl3b3JkPkRldXRlcml1bS9hbmFseXNpczwva2V5d29yZD48a2V5d29y
ZD5NZXRoYW1waGV0YW1pbmUvKmFuYWxvZ3MgJmFtcDsgZGVyaXZhdGl2ZXMvY2hlbWljYWwgc3lu
dGhlc2lzL2NoZW1pc3RyeTwva2V5d29yZD48a2V5d29yZD5OaXRyb2dlbi9hbmFseXNpczwva2V5
d29yZD48a2V5d29yZD5TdGVyZW9pc29tZXJpc208L2tleXdvcmQ+PGtleXdvcmQ+U3RyZWV0IERy
dWdzLypjaGVtaWNhbCBzeW50aGVzaXMvY2hlbWlzdHJ5PC9rZXl3b3JkPjwva2V5d29yZHM+PGRh
dGVzPjx5ZWFyPjIwMTI8L3llYXI+PHB1Yi1kYXRlcz48ZGF0ZT5PY3QgMTY8L2RhdGU+PC9wdWIt
ZGF0ZXM+PC9kYXRlcz48aXNibj4wMDAzLTI3MDA8L2lzYm4+PGFjY2Vzc2lvbi1udW0+MjI5NTQx
NTI8L2FjY2Vzc2lvbi1udW0+PHVybHM+PC91cmxzPjxlbGVjdHJvbmljLXJlc291cmNlLW51bT4x
MC4xMDIxL2FjMzAxOTA2OTwvZWxlY3Ryb25pYy1yZXNvdXJjZS1udW0+PHJlbW90ZS1kYXRhYmFz
ZS1wcm92aWRlcj5OTE08L3JlbW90ZS1kYXRhYmFzZS1wcm92aWRlcj48bGFuZ3VhZ2U+ZW5nPC9s
YW5ndWFnZT48L3JlY29yZD48L0NpdGU+PC9FbmROb3RlPn==
</w:fldData>
        </w:fldChar>
      </w:r>
      <w:r>
        <w:instrText xml:space="preserve"> ADDIN EN.CITE </w:instrText>
      </w:r>
      <w:r>
        <w:fldChar w:fldCharType="begin">
          <w:fldData xml:space="preserve">PEVuZE5vdGU+PENpdGU+PEF1dGhvcj5CdWNoYW5hbjwvQXV0aG9yPjxZZWFyPjIwMDg8L1llYXI+
PFJlY051bT44MTwvUmVjTnVtPjxEaXNwbGF5VGV4dD5bMjMsIDI0XTwvRGlzcGxheVRleHQ+PHJl
Y29yZD48cmVjLW51bWJlcj44MTwvcmVjLW51bWJlcj48Zm9yZWlnbi1rZXlzPjxrZXkgYXBwPSJF
TiIgZGItaWQ9IjByZGR4dnZldzIycnoxZTBmeGs1MncydjV2OWFkOWV0NTBlcCIgdGltZXN0YW1w
PSIxNTUwNTc4OTg5Ij44MTwva2V5PjwvZm9yZWlnbi1rZXlzPjxyZWYtdHlwZSBuYW1lPSJKb3Vy
bmFsIEFydGljbGUiPjE3PC9yZWYtdHlwZT48Y29udHJpYnV0b3JzPjxhdXRob3JzPjxhdXRob3I+
QnVjaGFuYW4sIEhpbGFyeSBBLiBTLjwvYXV0aG9yPjxhdXRob3I+RGHDqWlkLCBOaWFtaCBOaWM8
L2F1dGhvcj48YXV0aG9yPk1laWVyLUF1Z2Vuc3RlaW4sIFdvbGZyYW08L2F1dGhvcj48YXV0aG9y
PktlbXAsIEhlbGVuIEYuPC9hdXRob3I+PGF1dGhvcj5LZXJyLCBXaWxsaWFtIEouPC9hdXRob3I+
PGF1dGhvcj5NaWRkbGVkaXRjaCwgTWljaGFlbDwvYXV0aG9yPjwvYXV0aG9ycz48L2NvbnRyaWJ1
dG9ycz48dGl0bGVzPjx0aXRsZT5FbWVyZ2luZyBVc2Ugb2YgSXNvdG9wZSBSYXRpbyBNYXNzIFNw
ZWN0cm9tZXRyeSBhcyBhIFRvb2wgZm9yIERpc2NyaW1pbmF0aW9uIG9mIDMsNC1NZXRoeWxlbmVk
aW94eW1ldGhhbXBoZXRhbWluZSBieSBTeW50aGV0aWMgUm91dGU8L3RpdGxlPjxzZWNvbmRhcnkt
dGl0bGU+QW5hbHl0aWNhbCBDaGVtaXN0cnk8L3NlY29uZGFyeS10aXRsZT48L3RpdGxlcz48cGVy
aW9kaWNhbD48ZnVsbC10aXRsZT5BbmFseXRpY2FsIENoZW1pc3RyeTwvZnVsbC10aXRsZT48YWJi
ci0xPkFuYWwuIENoZW0uPC9hYmJyLTE+PGFiYnItMj5BbmFsIENoZW08L2FiYnItMj48L3Blcmlv
ZGljYWw+PHBhZ2VzPjMzNTAtMzM1NjwvcGFnZXM+PHZvbHVtZT44MDwvdm9sdW1lPjxudW1iZXI+
OTwvbnVtYmVyPjxkYXRlcz48eWVhcj4yMDA4PC95ZWFyPjxwdWItZGF0ZXM+PGRhdGU+MjAwOC8w
NS8wMTwvZGF0ZT48L3B1Yi1kYXRlcz48L2RhdGVzPjxwdWJsaXNoZXI+QW1lcmljYW4gQ2hlbWlj
YWwgU29jaWV0eTwvcHVibGlzaGVyPjxpc2JuPjAwMDMtMjcwMDwvaXNibj48dXJscz48cmVsYXRl
ZC11cmxzPjx1cmw+aHR0cHM6Ly9kb2kub3JnLzEwLjEwMjEvYWM3MDI1NTlzPC91cmw+PC9yZWxh
dGVkLXVybHM+PC91cmxzPjxlbGVjdHJvbmljLXJlc291cmNlLW51bT4xMC4xMDIxL2FjNzAyNTU5
czwvZWxlY3Ryb25pYy1yZXNvdXJjZS1udW0+PC9yZWNvcmQ+PC9DaXRlPjxDaXRlPjxBdXRob3I+
TmljRGFlaWQ8L0F1dGhvcj48WWVhcj4yMDEyPC9ZZWFyPjxSZWNOdW0+NzI8L1JlY051bT48cmVj
b3JkPjxyZWMtbnVtYmVyPjcyPC9yZWMtbnVtYmVyPjxmb3JlaWduLWtleXM+PGtleSBhcHA9IkVO
IiBkYi1pZD0iMHJkZHh2dmV3MjJyejFlMGZ4azUydzJ2NXY5YWQ5ZXQ1MGVwIiB0aW1lc3RhbXA9
IjE1NDIwMzE3NTYiPjcyPC9rZXk+PC9mb3JlaWduLWtleXM+PHJlZi10eXBlIG5hbWU9IkpvdXJu
YWwgQXJ0aWNsZSI+MTc8L3JlZi10eXBlPjxjb250cmlidXRvcnM+PGF1dGhvcnM+PGF1dGhvcj5O
aWNEYWVpZCwgTi48L2F1dGhvcj48YXV0aG9yPk1laWVyLUF1Z2Vuc3RlaW4sIFcuPC9hdXRob3I+
PGF1dGhvcj5LZW1wLCBILiBGLjwvYXV0aG9yPjxhdXRob3I+U3V0Y2xpZmZlLCBPLiBCLjwvYXV0
aG9yPjwvYXV0aG9ycz48L2NvbnRyaWJ1dG9ycz48YXV0aC1hZGRyZXNzPkNlbnRyZSBmb3IgRm9y
ZW5zaWMgU2NpZW5jZSwgRGVwYXJ0bWVudCBvZiBQdXJlIGFuZCBBcHBsaWVkIENoZW1pc3RyeSwg
VW5pdmVyc2l0eSBvZiBTdHJhdGhjbHlkZSwgMjA0IEdlb3JnZSBTdHJlZXQsIEdsYXNnb3csIEcx
IDFYVywgVUsuIG4ubmljZGFlaWRAc3RyYXRoLmFjLnVrPC9hdXRoLWFkZHJlc3M+PHRpdGxlcz48
dGl0bGU+VXNpbmcgaXNvdG9waWMgZnJhY3Rpb25hdGlvbiB0byBsaW5rIHByZWN1cnNvciB0byBw
cm9kdWN0IGluIHRoZSBzeW50aGVzaXMgb2YgKCsvLSktbWVwaGVkcm9uZTogYSBuZXcgdG9vbCBm
b3IgY29tYmF0aW5nICZxdW90O2xlZ2FsIGhpZ2gmcXVvdDsgZHJ1Z3M8L3RpdGxlPjxzZWNvbmRh
cnktdGl0bGU+QW5hbCBDaGVtPC9zZWNvbmRhcnktdGl0bGU+PGFsdC10aXRsZT5BbmFseXRpY2Fs
IGNoZW1pc3RyeTwvYWx0LXRpdGxlPjwvdGl0bGVzPjxwZXJpb2RpY2FsPjxmdWxsLXRpdGxlPkFu
YWx5dGljYWwgQ2hlbWlzdHJ5PC9mdWxsLXRpdGxlPjxhYmJyLTE+QW5hbC4gQ2hlbS48L2FiYnIt
MT48YWJici0yPkFuYWwgQ2hlbTwvYWJici0yPjwvcGVyaW9kaWNhbD48YWx0LXBlcmlvZGljYWw+
PGZ1bGwtdGl0bGU+QW5hbHl0aWNhbCBDaGVtaXN0cnk8L2Z1bGwtdGl0bGU+PGFiYnItMT5BbmFs
LiBDaGVtLjwvYWJici0xPjxhYmJyLTI+QW5hbCBDaGVtPC9hYmJyLTI+PC9hbHQtcGVyaW9kaWNh
bD48cGFnZXM+ODY5MS02PC9wYWdlcz48dm9sdW1lPjg0PC92b2x1bWU+PG51bWJlcj4yMDwvbnVt
YmVyPjxlZGl0aW9uPjIwMTIvMDkvMDg8L2VkaXRpb24+PGtleXdvcmRzPjxrZXl3b3JkPkNhcmJv
biBJc290b3Blcy9hbmFseXNpczwva2V5d29yZD48a2V5d29yZD5DaGVtaWNhbCBGcmFjdGlvbmF0
aW9uPC9rZXl3b3JkPjxrZXl3b3JkPkRldXRlcml1bS9hbmFseXNpczwva2V5d29yZD48a2V5d29y
ZD5NZXRoYW1waGV0YW1pbmUvKmFuYWxvZ3MgJmFtcDsgZGVyaXZhdGl2ZXMvY2hlbWljYWwgc3lu
dGhlc2lzL2NoZW1pc3RyeTwva2V5d29yZD48a2V5d29yZD5OaXRyb2dlbi9hbmFseXNpczwva2V5
d29yZD48a2V5d29yZD5TdGVyZW9pc29tZXJpc208L2tleXdvcmQ+PGtleXdvcmQ+U3RyZWV0IERy
dWdzLypjaGVtaWNhbCBzeW50aGVzaXMvY2hlbWlzdHJ5PC9rZXl3b3JkPjwva2V5d29yZHM+PGRh
dGVzPjx5ZWFyPjIwMTI8L3llYXI+PHB1Yi1kYXRlcz48ZGF0ZT5PY3QgMTY8L2RhdGU+PC9wdWIt
ZGF0ZXM+PC9kYXRlcz48aXNibj4wMDAzLTI3MDA8L2lzYm4+PGFjY2Vzc2lvbi1udW0+MjI5NTQx
NTI8L2FjY2Vzc2lvbi1udW0+PHVybHM+PC91cmxzPjxlbGVjdHJvbmljLXJlc291cmNlLW51bT4x
MC4xMDIxL2FjMzAxOTA2OTwvZWxlY3Ryb25pYy1yZXNvdXJjZS1udW0+PHJlbW90ZS1kYXRhYmFz
ZS1wcm92aWRlcj5OTE08L3JlbW90ZS1kYXRhYmFzZS1wcm92aWRlcj48bGFuZ3VhZ2U+ZW5nPC9s
YW5ndWFnZT48L3JlY29yZD48L0NpdGU+PC9FbmROb3RlPn==
</w:fldData>
        </w:fldChar>
      </w:r>
      <w:r>
        <w:instrText xml:space="preserve"> ADDIN EN.CITE.DATA </w:instrText>
      </w:r>
      <w:r>
        <w:fldChar w:fldCharType="end"/>
      </w:r>
      <w:r>
        <w:fldChar w:fldCharType="separate"/>
      </w:r>
      <w:r>
        <w:rPr>
          <w:noProof/>
        </w:rPr>
        <w:t>[23, 24]</w:t>
      </w:r>
      <w:r>
        <w:fldChar w:fldCharType="end"/>
      </w:r>
      <w:r>
        <w:t>. Thus, by IRMS analysis it can be possible to link seized samples that were synthesized in different batches, but come from a single manufacturing site using the same precursor material for all syntheses. By analysis of the impurity composition, it can be possible to additionally discriminate between the individual synthesis batches even though the same precursor material was used. In this study, we aimed at interpreting both techniques individually for their discrimination potential and finally combine the information of both datasets to link</w:t>
      </w:r>
      <w:r>
        <w:rPr>
          <w:lang w:val="en"/>
        </w:rPr>
        <w:t xml:space="preserve"> Spice products from internet test purchases and obtain general information about underlying distribution </w:t>
      </w:r>
      <w:r>
        <w:rPr>
          <w:lang w:val="en"/>
        </w:rPr>
        <w:lastRenderedPageBreak/>
        <w:t>channels and market structures.</w:t>
      </w:r>
      <w:r w:rsidRPr="00901E61">
        <w:t xml:space="preserve"> </w:t>
      </w:r>
      <w:r>
        <w:t>By implementing metadata</w:t>
      </w:r>
      <w:r w:rsidRPr="00DD75A3">
        <w:t xml:space="preserve"> </w:t>
      </w:r>
      <w:r>
        <w:t xml:space="preserve">into the data evaluation, for example the date of purchase of a specific SP, a time dependant correlation might be revealed. </w:t>
      </w:r>
    </w:p>
    <w:p w14:paraId="3BEFEC71" w14:textId="48B6214E" w:rsidR="00D67D04" w:rsidRPr="00A3698E" w:rsidRDefault="00D67D04" w:rsidP="00F3279A">
      <w:pPr>
        <w:spacing w:line="480" w:lineRule="auto"/>
      </w:pPr>
      <w:r>
        <w:rPr>
          <w:lang w:val="en"/>
        </w:rPr>
        <w:t xml:space="preserve">IRMS profiling of three cathinone derivatives </w:t>
      </w:r>
      <w:r>
        <w:rPr>
          <w:lang w:val="en"/>
        </w:rPr>
        <w:fldChar w:fldCharType="begin"/>
      </w:r>
      <w:r w:rsidR="003C396B">
        <w:rPr>
          <w:lang w:val="en"/>
        </w:rPr>
        <w:instrText xml:space="preserve"> ADDIN EN.CITE &lt;EndNote&gt;&lt;Cite&gt;&lt;Author&gt;Collins&lt;/Author&gt;&lt;Year&gt;2016&lt;/Year&gt;&lt;RecNum&gt;138&lt;/RecNum&gt;&lt;DisplayText&gt;[25]&lt;/DisplayText&gt;&lt;record&gt;&lt;rec-number&gt;138&lt;/rec-number&gt;&lt;foreign-keys&gt;&lt;key app="EN" db-id="wxrp5sarzfpwayefwerxws5exsssx22p5wxf" timestamp="1548597299"&gt;138&lt;/key&gt;&lt;/foreign-keys&gt;&lt;ref-type name="Journal Article"&gt;17&lt;/ref-type&gt;&lt;contributors&gt;&lt;authors&gt;&lt;author&gt;Collins, Michael&lt;/author&gt;&lt;author&gt;Doddridge, Alexandra&lt;/author&gt;&lt;author&gt;Salouros, Helen&lt;/author&gt;&lt;/authors&gt;&lt;/contributors&gt;&lt;titles&gt;&lt;title&gt;Cathinones: Isotopic profiling as an aid to linking seizures&lt;/title&gt;&lt;secondary-title&gt;Drug Testing and Analysis&lt;/secondary-title&gt;&lt;/titles&gt;&lt;periodical&gt;&lt;full-title&gt;Drug Testing and Analysis&lt;/full-title&gt;&lt;/periodical&gt;&lt;pages&gt;903-909&lt;/pages&gt;&lt;volume&gt;8&lt;/volume&gt;&lt;number&gt;9&lt;/number&gt;&lt;keywords&gt;&lt;keyword&gt;forensic science&lt;/keyword&gt;&lt;keyword&gt;stable isotope ratios&lt;/keyword&gt;&lt;keyword&gt;chemical profiling&lt;/keyword&gt;&lt;keyword&gt;isotope ratio mass spectrometry (IRMS)&lt;/keyword&gt;&lt;keyword&gt;new psychoactive substances&lt;/keyword&gt;&lt;keyword&gt;synthetic cathinones&lt;/keyword&gt;&lt;/keywords&gt;&lt;dates&gt;&lt;year&gt;2016&lt;/year&gt;&lt;/dates&gt;&lt;isbn&gt;1942-7611&lt;/isbn&gt;&lt;urls&gt;&lt;related-urls&gt;&lt;url&gt;http://dx.doi.org/10.1002/dta.1886&lt;/url&gt;&lt;/related-urls&gt;&lt;/urls&gt;&lt;electronic-resource-num&gt;10.1002/dta.1886&lt;/electronic-resource-num&gt;&lt;modified-date&gt;Dta-15-0132.r2&lt;/modified-date&gt;&lt;/record&gt;&lt;/Cite&gt;&lt;/EndNote&gt;</w:instrText>
      </w:r>
      <w:r>
        <w:rPr>
          <w:lang w:val="en"/>
        </w:rPr>
        <w:fldChar w:fldCharType="separate"/>
      </w:r>
      <w:r>
        <w:rPr>
          <w:noProof/>
          <w:lang w:val="en"/>
        </w:rPr>
        <w:t>[25]</w:t>
      </w:r>
      <w:r>
        <w:rPr>
          <w:lang w:val="en"/>
        </w:rPr>
        <w:fldChar w:fldCharType="end"/>
      </w:r>
      <w:r>
        <w:rPr>
          <w:lang w:val="en"/>
        </w:rPr>
        <w:t xml:space="preserve"> and of the synthetic cannabinoid 5F-PB-22 </w:t>
      </w:r>
      <w:r>
        <w:rPr>
          <w:lang w:val="en"/>
        </w:rPr>
        <w:fldChar w:fldCharType="begin"/>
      </w:r>
      <w:r>
        <w:rPr>
          <w:lang w:val="en"/>
        </w:rPr>
        <w:instrText xml:space="preserve"> ADDIN EN.CITE &lt;EndNote&gt;&lt;Cite&gt;&lt;Author&gt;Münster-Müller&lt;/Author&gt;&lt;Year&gt;2018&lt;/Year&gt;&lt;RecNum&gt;57&lt;/RecNum&gt;&lt;DisplayText&gt;[21]&lt;/DisplayText&gt;&lt;record&gt;&lt;rec-number&gt;57&lt;/rec-number&gt;&lt;foreign-keys&gt;&lt;key app="EN" db-id="0rddxvvew22rz1e0fxk52w2v5v9ad9et50ep" timestamp="1538046330"&gt;57&lt;/key&gt;&lt;/foreign-keys&gt;&lt;ref-type name="Journal Article"&gt;17&lt;/ref-type&gt;&lt;contributors&gt;&lt;authors&gt;&lt;author&gt;Münster-Müller, S.&lt;/author&gt;&lt;author&gt;Scheid, N.&lt;/author&gt;&lt;author&gt;Holdermann, T.&lt;/author&gt;&lt;author&gt;Schneiders, S.&lt;/author&gt;&lt;author&gt;Pütz, M.&lt;/author&gt;&lt;/authors&gt;&lt;/contributors&gt;&lt;titles&gt;&lt;title&gt;Profiling of new psychoactive substances by using stable isotope ratio mass spectrometry: Study of the synthetic cannabinoid 5F-PB-22&lt;/title&gt;&lt;secondary-title&gt;Drug Testing and Analysis&lt;/secondary-title&gt;&lt;/titles&gt;&lt;periodical&gt;&lt;full-title&gt;Drug Testing and Analysis&lt;/full-title&gt;&lt;abbr-1&gt;Drug. Test. Anal.&lt;/abbr-1&gt;&lt;/periodical&gt;&lt;pages&gt;1323-1327&lt;/pages&gt;&lt;volume&gt;10&lt;/volume&gt;&lt;number&gt;8&lt;/number&gt;&lt;keywords&gt;&lt;keyword&gt;5F-PB-22&lt;/keyword&gt;&lt;keyword&gt;drug profiling&lt;/keyword&gt;&lt;keyword&gt;EA-IRMS&lt;/keyword&gt;&lt;keyword&gt;new psychoactive substances (NPS)&lt;/keyword&gt;&lt;keyword&gt;stable isotope ratio analysis&lt;/keyword&gt;&lt;/keywords&gt;&lt;dates&gt;&lt;year&gt;2018&lt;/year&gt;&lt;/dates&gt;&lt;isbn&gt;1942-7603&lt;/isbn&gt;&lt;urls&gt;&lt;related-urls&gt;&lt;url&gt;https://doi.org/10.1002/dta.2407&lt;/url&gt;&lt;/related-urls&gt;&lt;/urls&gt;&lt;electronic-resource-num&gt;doi:10.1002/dta.2407&lt;/electronic-resource-num&gt;&lt;modified-date&gt;Dta-18-0014.r1&lt;/modified-date&gt;&lt;/record&gt;&lt;/Cite&gt;&lt;/EndNote&gt;</w:instrText>
      </w:r>
      <w:r>
        <w:rPr>
          <w:lang w:val="en"/>
        </w:rPr>
        <w:fldChar w:fldCharType="separate"/>
      </w:r>
      <w:r>
        <w:rPr>
          <w:noProof/>
          <w:lang w:val="en"/>
        </w:rPr>
        <w:t>[21]</w:t>
      </w:r>
      <w:r>
        <w:rPr>
          <w:lang w:val="en"/>
        </w:rPr>
        <w:fldChar w:fldCharType="end"/>
      </w:r>
      <w:r>
        <w:rPr>
          <w:lang w:val="en"/>
        </w:rPr>
        <w:t xml:space="preserve"> </w:t>
      </w:r>
      <w:r>
        <w:rPr>
          <w:b/>
          <w:lang w:val="en"/>
        </w:rPr>
        <w:t>3</w:t>
      </w:r>
      <w:r>
        <w:rPr>
          <w:lang w:val="en"/>
        </w:rPr>
        <w:t xml:space="preserve"> </w:t>
      </w:r>
      <w:r w:rsidRPr="00236604">
        <w:rPr>
          <w:szCs w:val="22"/>
          <w:lang w:val="en"/>
        </w:rPr>
        <w:t>(</w:t>
      </w:r>
      <w:r w:rsidRPr="00236604">
        <w:rPr>
          <w:szCs w:val="22"/>
        </w:rPr>
        <w:t>5F-QUPIC, 1-pentylfluoro-1</w:t>
      </w:r>
      <w:r w:rsidRPr="00236604">
        <w:rPr>
          <w:i/>
          <w:szCs w:val="22"/>
        </w:rPr>
        <w:t>H</w:t>
      </w:r>
      <w:r w:rsidRPr="00236604">
        <w:rPr>
          <w:szCs w:val="22"/>
        </w:rPr>
        <w:t>-indole-3-carboxylic acid-8-quinolinyl ester</w:t>
      </w:r>
      <w:r>
        <w:rPr>
          <w:szCs w:val="22"/>
        </w:rPr>
        <w:t>, Figure 1</w:t>
      </w:r>
      <w:r w:rsidRPr="00236604">
        <w:rPr>
          <w:szCs w:val="22"/>
        </w:rPr>
        <w:t>)</w:t>
      </w:r>
      <w:r>
        <w:rPr>
          <w:szCs w:val="22"/>
        </w:rPr>
        <w:t xml:space="preserve"> were published</w:t>
      </w:r>
      <w:r>
        <w:rPr>
          <w:lang w:val="en"/>
        </w:rPr>
        <w:t>, using the stable isotope ratios of</w:t>
      </w:r>
      <w:r w:rsidRPr="004C1526">
        <w:t xml:space="preserve"> </w:t>
      </w:r>
      <w:r w:rsidRPr="009D4195">
        <w:t>δ</w:t>
      </w:r>
      <w:r>
        <w:rPr>
          <w:vertAlign w:val="superscript"/>
        </w:rPr>
        <w:t>2</w:t>
      </w:r>
      <w:r>
        <w:t>H,</w:t>
      </w:r>
      <w:r>
        <w:rPr>
          <w:lang w:val="en"/>
        </w:rPr>
        <w:t xml:space="preserve"> </w:t>
      </w:r>
      <w:r w:rsidRPr="009D4195">
        <w:t>δ</w:t>
      </w:r>
      <w:r w:rsidRPr="009D4195">
        <w:rPr>
          <w:vertAlign w:val="superscript"/>
        </w:rPr>
        <w:t>13</w:t>
      </w:r>
      <w:r w:rsidRPr="009D4195">
        <w:t>C</w:t>
      </w:r>
      <w:r w:rsidRPr="009D4195">
        <w:rPr>
          <w:lang w:val="en"/>
        </w:rPr>
        <w:t xml:space="preserve"> and </w:t>
      </w:r>
      <w:r w:rsidRPr="009D4195">
        <w:t>δ</w:t>
      </w:r>
      <w:r w:rsidRPr="009D4195">
        <w:rPr>
          <w:vertAlign w:val="superscript"/>
        </w:rPr>
        <w:t>15</w:t>
      </w:r>
      <w:r w:rsidRPr="009D4195">
        <w:t>N</w:t>
      </w:r>
      <w:r>
        <w:t xml:space="preserve"> to link seizures. Differences in isotopic composition for the presented sample pool of both the cathinone derivatives and the synthetic cannabinoid are expected to be a result of a different synthesis procedure or in the case of multiple consecutive batches with the same synthesis route, the use of multiple lots of a specific precursor material with altering isotopic composition. Recently, we demonstrated based on an impurity profiling study on the synthetic cannabinoids MDMB-CHMICA </w:t>
      </w:r>
      <w:r w:rsidRPr="004D269F">
        <w:rPr>
          <w:b/>
        </w:rPr>
        <w:t>1</w:t>
      </w:r>
      <w:r>
        <w:t xml:space="preserve"> (Methyl (2S)-2-(</w:t>
      </w:r>
      <w:r w:rsidRPr="000856AD">
        <w:t>[1-(cyclohexylmethyl)-1</w:t>
      </w:r>
      <w:r w:rsidRPr="00E4551D">
        <w:rPr>
          <w:i/>
        </w:rPr>
        <w:t>H</w:t>
      </w:r>
      <w:r w:rsidRPr="000856AD">
        <w:t>-indol-3-yl</w:t>
      </w:r>
      <w:r>
        <w:t>]</w:t>
      </w:r>
      <w:r w:rsidRPr="000856AD">
        <w:t>formamido</w:t>
      </w:r>
      <w:r>
        <w:t>)</w:t>
      </w:r>
      <w:r w:rsidRPr="000856AD">
        <w:t>-3,3-dimethylbutanoate</w:t>
      </w:r>
      <w:r>
        <w:t>, Figure 1</w:t>
      </w:r>
      <w:r w:rsidRPr="000856AD">
        <w:t>)</w:t>
      </w:r>
      <w:r>
        <w:t xml:space="preserve">, that NPS manufacturers produce multiple synthesis batches to supply the demand on the drug market  </w:t>
      </w:r>
      <w:r>
        <w:fldChar w:fldCharType="begin"/>
      </w:r>
      <w:r>
        <w:instrText xml:space="preserve"> ADDIN EN.CITE &lt;EndNote&gt;&lt;Cite&gt;&lt;Author&gt;Münster-Müller&lt;/Author&gt;&lt;Year&gt;2018&lt;/Year&gt;&lt;RecNum&gt;56&lt;/RecNum&gt;&lt;DisplayText&gt;[22]&lt;/DisplayText&gt;&lt;record&gt;&lt;rec-number&gt;56&lt;/rec-number&gt;&lt;foreign-keys&gt;&lt;key app="EN" db-id="0rddxvvew22rz1e0fxk52w2v5v9ad9et50ep" timestamp="1537963252"&gt;56&lt;/key&gt;&lt;/foreign-keys&gt;&lt;ref-type name="Journal Article"&gt;17&lt;/ref-type&gt;&lt;contributors&gt;&lt;authors&gt;&lt;author&gt;Münster-Müller, Sascha&lt;/author&gt;&lt;author&gt;Zimmermann, Ralf&lt;/author&gt;&lt;author&gt;Pütz, Michael&lt;/author&gt;&lt;/authors&gt;&lt;/contributors&gt;&lt;titles&gt;&lt;title&gt;A Novel Impurity-Profiling Workflow with the Combination of Flash-Chromatography, UHPLC-MS, and Multivariate Data Analysis for Highly Pure Drugs: A Study on the Synthetic Cannabinoid MDMB-CHMICA&lt;/title&gt;&lt;secondary-title&gt;Analytical Chemistry&lt;/secondary-title&gt;&lt;/titles&gt;&lt;periodical&gt;&lt;full-title&gt;Analytical Chemistry&lt;/full-title&gt;&lt;abbr-1&gt;Anal. Chem.&lt;/abbr-1&gt;&lt;abbr-2&gt;Anal Chem&lt;/abbr-2&gt;&lt;/periodical&gt;&lt;pages&gt;10559-10567&lt;/pages&gt;&lt;volume&gt;90&lt;/volume&gt;&lt;number&gt;17&lt;/number&gt;&lt;dates&gt;&lt;year&gt;2018&lt;/year&gt;&lt;pub-dates&gt;&lt;date&gt;2018/09/04&lt;/date&gt;&lt;/pub-dates&gt;&lt;/dates&gt;&lt;publisher&gt;American Chemical Society&lt;/publisher&gt;&lt;isbn&gt;0003-2700&lt;/isbn&gt;&lt;urls&gt;&lt;related-urls&gt;&lt;url&gt;https://doi.org/10.1021/acs.analchem.8b02679&lt;/url&gt;&lt;/related-urls&gt;&lt;/urls&gt;&lt;electronic-resource-num&gt;10.1021/acs.analchem.8b02679&lt;/electronic-resource-num&gt;&lt;/record&gt;&lt;/Cite&gt;&lt;/EndNote&gt;</w:instrText>
      </w:r>
      <w:r>
        <w:fldChar w:fldCharType="separate"/>
      </w:r>
      <w:r>
        <w:rPr>
          <w:noProof/>
        </w:rPr>
        <w:t>[22]</w:t>
      </w:r>
      <w:r>
        <w:fldChar w:fldCharType="end"/>
      </w:r>
      <w:r>
        <w:t xml:space="preserve">. A large police seizure by Luxembourg customs in December 2014 of forty 1 kg bags of pure </w:t>
      </w:r>
      <w:r>
        <w:rPr>
          <w:b/>
        </w:rPr>
        <w:t>1</w:t>
      </w:r>
      <w:r>
        <w:t xml:space="preserve"> stacked into two barrels was analysed for chromatographic impurity compositions. By comparative multivariate data </w:t>
      </w:r>
      <w:proofErr w:type="gramStart"/>
      <w:r>
        <w:t>analysis</w:t>
      </w:r>
      <w:proofErr w:type="gramEnd"/>
      <w:r>
        <w:t xml:space="preserve"> it was found, that the complete seizure comprised of at least six synthesis batches in sizes of 5 to 10 kg. Whether the manufacturers used the same precursor material for these syntheses is yet unknown, which is why we analysed samples of the named 40 bags of MDMB-CHMICA additionally via IRMS in the study presented here to obtain orthogonal information to the impurity data. The results from both techniques will provide a deeper insight into the manufacturing process for this specific sample pool and help to better interpret the correlation of isotopic and impurity composition of other seized samples. Although the Luxembourg seizure alone comprised for around 40 million single doses, still numerous RC and SP containing </w:t>
      </w:r>
      <w:r>
        <w:rPr>
          <w:b/>
        </w:rPr>
        <w:t>1</w:t>
      </w:r>
      <w:r>
        <w:t xml:space="preserve"> could be found on the European market from 2014 to 2016, proving that other shipments of this synthetic cannabinoid have reached its destination in Europe. Considering the scenario of successive synthesis of large batches of </w:t>
      </w:r>
      <w:r>
        <w:rPr>
          <w:b/>
        </w:rPr>
        <w:t>1</w:t>
      </w:r>
      <w:r w:rsidRPr="00025851">
        <w:t>,</w:t>
      </w:r>
      <w:r>
        <w:t xml:space="preserve"> over the period of two years it is likely that the manufacturer of </w:t>
      </w:r>
      <w:r>
        <w:rPr>
          <w:b/>
        </w:rPr>
        <w:t>1</w:t>
      </w:r>
      <w:r>
        <w:t xml:space="preserve"> was forced to restock their depleted precursor material, which again might carry a different isotopic composition. This replacement cycle in the precursor material should be detectable in the isotopic data of the corresponding material of </w:t>
      </w:r>
      <w:r>
        <w:rPr>
          <w:b/>
        </w:rPr>
        <w:t xml:space="preserve">1 </w:t>
      </w:r>
      <w:r>
        <w:t>found in street samples. Therefore,</w:t>
      </w:r>
      <w:r>
        <w:rPr>
          <w:lang w:val="en"/>
        </w:rPr>
        <w:t xml:space="preserve"> seized and online test-purchased pure samples and SPs containing </w:t>
      </w:r>
      <w:r>
        <w:rPr>
          <w:b/>
          <w:lang w:val="en"/>
        </w:rPr>
        <w:t xml:space="preserve">1 </w:t>
      </w:r>
      <w:r>
        <w:rPr>
          <w:lang w:val="en"/>
        </w:rPr>
        <w:t>from the end of 2014 to the end of 2015</w:t>
      </w:r>
      <w:r>
        <w:rPr>
          <w:b/>
          <w:lang w:val="en"/>
        </w:rPr>
        <w:t xml:space="preserve"> </w:t>
      </w:r>
      <w:r>
        <w:rPr>
          <w:lang w:val="en"/>
        </w:rPr>
        <w:t xml:space="preserve">were analyzed for their impurity composition and </w:t>
      </w:r>
      <w:r w:rsidRPr="009D4195">
        <w:t>δ</w:t>
      </w:r>
      <w:r w:rsidRPr="009D4195">
        <w:rPr>
          <w:vertAlign w:val="superscript"/>
        </w:rPr>
        <w:t>13</w:t>
      </w:r>
      <w:r w:rsidRPr="009D4195">
        <w:t>C</w:t>
      </w:r>
      <w:r w:rsidRPr="009D4195">
        <w:rPr>
          <w:lang w:val="en"/>
        </w:rPr>
        <w:t xml:space="preserve"> and </w:t>
      </w:r>
      <w:r w:rsidRPr="009D4195">
        <w:t>δ</w:t>
      </w:r>
      <w:r w:rsidRPr="009D4195">
        <w:rPr>
          <w:vertAlign w:val="superscript"/>
        </w:rPr>
        <w:t>15</w:t>
      </w:r>
      <w:r w:rsidRPr="009D4195">
        <w:t>N</w:t>
      </w:r>
      <w:r w:rsidRPr="009D4195">
        <w:rPr>
          <w:lang w:val="en"/>
        </w:rPr>
        <w:t xml:space="preserve"> </w:t>
      </w:r>
      <w:r>
        <w:rPr>
          <w:lang w:val="en"/>
        </w:rPr>
        <w:t xml:space="preserve">isotope ratio </w:t>
      </w:r>
      <w:r>
        <w:rPr>
          <w:lang w:val="en"/>
        </w:rPr>
        <w:lastRenderedPageBreak/>
        <w:t xml:space="preserve">data to identify potential links of samples from a common source. Although a large number of online-shops sell a variety of different SPs products with varying brands and logos, the synthetic cannabinoid material used to produce these SPs might come from a common source. </w:t>
      </w:r>
    </w:p>
    <w:p w14:paraId="7E4E759A" w14:textId="66E6384D" w:rsidR="00D67D04" w:rsidRPr="007D5A95" w:rsidRDefault="00D67D04" w:rsidP="00F3279A">
      <w:pPr>
        <w:spacing w:line="480" w:lineRule="auto"/>
      </w:pPr>
      <w:r>
        <w:t xml:space="preserve">Cumyl-PeGaClone </w:t>
      </w:r>
      <w:r>
        <w:rPr>
          <w:b/>
        </w:rPr>
        <w:t>2</w:t>
      </w:r>
      <w:r>
        <w:t xml:space="preserve"> (</w:t>
      </w:r>
      <w:r w:rsidRPr="00885D3E">
        <w:t>5-pentyl-2-(2-phenylpropan-2-yl)-2,5-dihydro-1H-pyrido[4,3-b]indol-1-one</w:t>
      </w:r>
      <w:r>
        <w:t xml:space="preserve"> </w:t>
      </w:r>
      <w:r w:rsidRPr="004D269F">
        <w:fldChar w:fldCharType="begin"/>
      </w:r>
      <w:r>
        <w:instrText xml:space="preserve"> ADDIN EN.CITE &lt;EndNote&gt;&lt;Cite&gt;&lt;Author&gt;Angerer&lt;/Author&gt;&lt;Year&gt;2018&lt;/Year&gt;&lt;RecNum&gt;61&lt;/RecNum&gt;&lt;DisplayText&gt;[26]&lt;/DisplayText&gt;&lt;record&gt;&lt;rec-number&gt;61&lt;/rec-number&gt;&lt;foreign-keys&gt;&lt;key app="EN" db-id="0rddxvvew22rz1e0fxk52w2v5v9ad9et50ep" timestamp="1538741151"&gt;61&lt;/key&gt;&lt;/foreign-keys&gt;&lt;ref-type name="Journal Article"&gt;17&lt;/ref-type&gt;&lt;contributors&gt;&lt;authors&gt;&lt;author&gt;Angerer, Verena&lt;/author&gt;&lt;author&gt;Mogler, Lukas&lt;/author&gt;&lt;author&gt;Steitz, Jan-Patrick&lt;/author&gt;&lt;author&gt;Bisel, Philippe&lt;/author&gt;&lt;author&gt;Hess, Cornelius&lt;/author&gt;&lt;author&gt;Schoeder, Clara T.&lt;/author&gt;&lt;author&gt;Müller, Christa E.&lt;/author&gt;&lt;author&gt;Huppertz, Laura M.&lt;/author&gt;&lt;author&gt;Westphal, Folker&lt;/author&gt;&lt;author&gt;Schäper, Jan&lt;/author&gt;&lt;author&gt;Auwärter, Volker&lt;/author&gt;&lt;/authors&gt;&lt;/contributors&gt;&lt;titles&gt;&lt;title&gt;Structural characterization and pharmacological evaluation of the new synthetic cannabinoid CUMYL-PEGACLONE&lt;/title&gt;&lt;secondary-title&gt;Drug Testing and Analysis&lt;/secondary-title&gt;&lt;/titles&gt;&lt;periodical&gt;&lt;full-title&gt;Drug Testing and Analysis&lt;/full-title&gt;&lt;abbr-1&gt;Drug. Test. Anal.&lt;/abbr-1&gt;&lt;/periodical&gt;&lt;pages&gt;597-603&lt;/pages&gt;&lt;volume&gt;10&lt;/volume&gt;&lt;number&gt;3&lt;/number&gt;&lt;dates&gt;&lt;year&gt;2018&lt;/year&gt;&lt;/dates&gt;&lt;urls&gt;&lt;related-urls&gt;&lt;url&gt;https://onlinelibrary.wiley.com/doi/abs/10.1002/dta.2237&lt;/url&gt;&lt;/related-urls&gt;&lt;/urls&gt;&lt;electronic-resource-num&gt;doi:10.1002/dta.2237&lt;/electronic-resource-num&gt;&lt;/record&gt;&lt;/Cite&gt;&lt;/EndNote&gt;</w:instrText>
      </w:r>
      <w:r w:rsidRPr="004D269F">
        <w:fldChar w:fldCharType="separate"/>
      </w:r>
      <w:r>
        <w:rPr>
          <w:noProof/>
        </w:rPr>
        <w:t>[26]</w:t>
      </w:r>
      <w:r w:rsidRPr="004D269F">
        <w:fldChar w:fldCharType="end"/>
      </w:r>
      <w:r>
        <w:t xml:space="preserve">, Figure 1) was one of the highly prevalent synthetic cannabinoids in 2017 after the German NPS law was put into force, specifically launched to circumvent the generic submission of indole and indazole core structures of synthetic cannabinoids. </w:t>
      </w:r>
      <w:r w:rsidRPr="007D5A95">
        <w:t>Multiple SP</w:t>
      </w:r>
      <w:r>
        <w:t xml:space="preserve">s and one RC of </w:t>
      </w:r>
      <w:r>
        <w:rPr>
          <w:b/>
        </w:rPr>
        <w:t>2</w:t>
      </w:r>
      <w:r>
        <w:t xml:space="preserve"> were available at that time, which is why we measured these samples via IRMS to assess their overall diversity in isotopic composition and put the isotopic data recorded for </w:t>
      </w:r>
      <w:r>
        <w:rPr>
          <w:b/>
        </w:rPr>
        <w:t>1</w:t>
      </w:r>
      <w:r>
        <w:t xml:space="preserve"> in a more global perspective.</w:t>
      </w:r>
    </w:p>
    <w:p w14:paraId="23028AE2" w14:textId="3DA5C56D" w:rsidR="00D67D04" w:rsidRPr="007D5A95" w:rsidRDefault="00D67D04" w:rsidP="00F3279A">
      <w:pPr>
        <w:spacing w:line="480" w:lineRule="auto"/>
      </w:pPr>
      <w:r>
        <w:rPr>
          <w:lang w:val="en"/>
        </w:rPr>
        <w:t>Additionally, we measured the</w:t>
      </w:r>
      <w:r w:rsidRPr="00901E61">
        <w:t xml:space="preserve"> </w:t>
      </w:r>
      <w:r w:rsidRPr="009D4195">
        <w:t>δ</w:t>
      </w:r>
      <w:r w:rsidRPr="009D4195">
        <w:rPr>
          <w:vertAlign w:val="superscript"/>
        </w:rPr>
        <w:t>13</w:t>
      </w:r>
      <w:r w:rsidRPr="009D4195">
        <w:t>C</w:t>
      </w:r>
      <w:r w:rsidRPr="009D4195">
        <w:rPr>
          <w:lang w:val="en"/>
        </w:rPr>
        <w:t xml:space="preserve"> and </w:t>
      </w:r>
      <w:r w:rsidRPr="009D4195">
        <w:t>δ</w:t>
      </w:r>
      <w:r w:rsidRPr="009D4195">
        <w:rPr>
          <w:vertAlign w:val="superscript"/>
        </w:rPr>
        <w:t>15</w:t>
      </w:r>
      <w:r w:rsidRPr="009D4195">
        <w:t>N</w:t>
      </w:r>
      <w:r w:rsidRPr="009D4195">
        <w:rPr>
          <w:lang w:val="en"/>
        </w:rPr>
        <w:t xml:space="preserve"> </w:t>
      </w:r>
      <w:r>
        <w:rPr>
          <w:lang w:val="en"/>
        </w:rPr>
        <w:t xml:space="preserve">isotope ratios of precursor material potentially used in the synthesis of </w:t>
      </w:r>
      <w:r>
        <w:rPr>
          <w:b/>
          <w:lang w:val="en"/>
        </w:rPr>
        <w:t>1</w:t>
      </w:r>
      <w:r>
        <w:rPr>
          <w:lang w:val="en"/>
        </w:rPr>
        <w:t xml:space="preserve"> (indole, tert-leucine and tert-leucine methyl ester) and </w:t>
      </w:r>
      <w:r>
        <w:rPr>
          <w:b/>
          <w:lang w:val="en"/>
        </w:rPr>
        <w:t>2</w:t>
      </w:r>
      <w:r>
        <w:rPr>
          <w:lang w:val="en"/>
        </w:rPr>
        <w:t xml:space="preserve"> (cumylamine), acquired from different global vendors. Our aim was to assess the diversity of isotopic data in this precursor material, to better understand the variations in the final products and, thus, to validate the data interpretation and generated links. Only material in crystalline form was measured. Other potential precursors, such as cyclohexyl methyl bromide or pentyl bromide are liquids and were not included in this study. </w:t>
      </w:r>
    </w:p>
    <w:p w14:paraId="19D01AD7" w14:textId="629749A5" w:rsidR="004F75B7" w:rsidRDefault="00D67D04" w:rsidP="00F3279A">
      <w:pPr>
        <w:spacing w:line="480" w:lineRule="auto"/>
        <w:rPr>
          <w:lang w:val="en"/>
        </w:rPr>
      </w:pPr>
      <w:r>
        <w:rPr>
          <w:lang w:val="en"/>
        </w:rPr>
        <w:t>This work combines the different analytical methodologies we developed in a series of previous publications targeting the impurity profiling and stable isotope analysis of synthetic cannabinoids.</w:t>
      </w:r>
      <w:r w:rsidR="00190423">
        <w:rPr>
          <w:lang w:val="en"/>
        </w:rPr>
        <w:t xml:space="preserve"> T</w:t>
      </w:r>
      <w:r>
        <w:rPr>
          <w:lang w:val="en"/>
        </w:rPr>
        <w:t>he</w:t>
      </w:r>
      <w:r w:rsidR="00190423">
        <w:rPr>
          <w:lang w:val="en"/>
        </w:rPr>
        <w:t xml:space="preserve"> </w:t>
      </w:r>
      <w:r>
        <w:rPr>
          <w:lang w:val="en"/>
        </w:rPr>
        <w:t>experimental procedures will not be stated in their full length</w:t>
      </w:r>
      <w:r w:rsidR="00190423">
        <w:rPr>
          <w:lang w:val="en"/>
        </w:rPr>
        <w:t xml:space="preserve"> and can be taken from the corresponding literature</w:t>
      </w:r>
      <w:r>
        <w:rPr>
          <w:lang w:val="en"/>
        </w:rPr>
        <w:t xml:space="preserve"> </w:t>
      </w:r>
      <w:r w:rsidR="00EA2826">
        <w:rPr>
          <w:lang w:val="en"/>
        </w:rPr>
        <w:fldChar w:fldCharType="begin">
          <w:fldData xml:space="preserve">PEVuZE5vdGU+PENpdGU+PEF1dGhvcj5Nw7xuc3Rlci1Nw7xsbGVyPC9BdXRob3I+PFllYXI+MjAx
ODwvWWVhcj48UmVjTnVtPjU3PC9SZWNOdW0+PERpc3BsYXlUZXh0PlsyMSwgMjIsIDI3XTwvRGlz
cGxheVRleHQ+PHJlY29yZD48cmVjLW51bWJlcj41NzwvcmVjLW51bWJlcj48Zm9yZWlnbi1rZXlz
PjxrZXkgYXBwPSJFTiIgZGItaWQ9IjByZGR4dnZldzIycnoxZTBmeGs1MncydjV2OWFkOWV0NTBl
cCIgdGltZXN0YW1wPSIxNTM4MDQ2MzMwIj41Nzwva2V5PjwvZm9yZWlnbi1rZXlzPjxyZWYtdHlw
ZSBuYW1lPSJKb3VybmFsIEFydGljbGUiPjE3PC9yZWYtdHlwZT48Y29udHJpYnV0b3JzPjxhdXRo
b3JzPjxhdXRob3I+TcO8bnN0ZXItTcO8bGxlciwgUy48L2F1dGhvcj48YXV0aG9yPlNjaGVpZCwg
Ti48L2F1dGhvcj48YXV0aG9yPkhvbGRlcm1hbm4sIFQuPC9hdXRob3I+PGF1dGhvcj5TY2huZWlk
ZXJzLCBTLjwvYXV0aG9yPjxhdXRob3I+UMO8dHosIE0uPC9hdXRob3I+PC9hdXRob3JzPjwvY29u
dHJpYnV0b3JzPjx0aXRsZXM+PHRpdGxlPlByb2ZpbGluZyBvZiBuZXcgcHN5Y2hvYWN0aXZlIHN1
YnN0YW5jZXMgYnkgdXNpbmcgc3RhYmxlIGlzb3RvcGUgcmF0aW8gbWFzcyBzcGVjdHJvbWV0cnk6
IFN0dWR5IG9mIHRoZSBzeW50aGV0aWMgY2FubmFiaW5vaWQgNUYtUEItMjI8L3RpdGxlPjxzZWNv
bmRhcnktdGl0bGU+RHJ1ZyBUZXN0aW5nIGFuZCBBbmFseXNpczwvc2Vjb25kYXJ5LXRpdGxlPjwv
dGl0bGVzPjxwZXJpb2RpY2FsPjxmdWxsLXRpdGxlPkRydWcgVGVzdGluZyBhbmQgQW5hbHlzaXM8
L2Z1bGwtdGl0bGU+PGFiYnItMT5EcnVnLiBUZXN0LiBBbmFsLjwvYWJici0xPjwvcGVyaW9kaWNh
bD48cGFnZXM+MTMyMy0xMzI3PC9wYWdlcz48dm9sdW1lPjEwPC92b2x1bWU+PG51bWJlcj44PC9u
dW1iZXI+PGtleXdvcmRzPjxrZXl3b3JkPjVGLVBCLTIyPC9rZXl3b3JkPjxrZXl3b3JkPmRydWcg
cHJvZmlsaW5nPC9rZXl3b3JkPjxrZXl3b3JkPkVBLUlSTVM8L2tleXdvcmQ+PGtleXdvcmQ+bmV3
IHBzeWNob2FjdGl2ZSBzdWJzdGFuY2VzIChOUFMpPC9rZXl3b3JkPjxrZXl3b3JkPnN0YWJsZSBp
c290b3BlIHJhdGlvIGFuYWx5c2lzPC9rZXl3b3JkPjwva2V5d29yZHM+PGRhdGVzPjx5ZWFyPjIw
MTg8L3llYXI+PC9kYXRlcz48aXNibj4xOTQyLTc2MDM8L2lzYm4+PHVybHM+PHJlbGF0ZWQtdXJs
cz48dXJsPmh0dHBzOi8vZG9pLm9yZy8xMC4xMDAyL2R0YS4yNDA3PC91cmw+PC9yZWxhdGVkLXVy
bHM+PC91cmxzPjxlbGVjdHJvbmljLXJlc291cmNlLW51bT5kb2k6MTAuMTAwMi9kdGEuMjQwNzwv
ZWxlY3Ryb25pYy1yZXNvdXJjZS1udW0+PG1vZGlmaWVkLWRhdGU+RHRhLTE4LTAwMTQucjE8L21v
ZGlmaWVkLWRhdGU+PC9yZWNvcmQ+PC9DaXRlPjxDaXRlPjxBdXRob3I+TcO8bnN0ZXItTcO8bGxl
cjwvQXV0aG9yPjxZZWFyPjIwMTg8L1llYXI+PFJlY051bT41NjwvUmVjTnVtPjxyZWNvcmQ+PHJl
Yy1udW1iZXI+NTY8L3JlYy1udW1iZXI+PGZvcmVpZ24ta2V5cz48a2V5IGFwcD0iRU4iIGRiLWlk
PSIwcmRkeHZ2ZXcyMnJ6MWUwZnhrNTJ3MnY1djlhZDlldDUwZXAiIHRpbWVzdGFtcD0iMTUzNzk2
MzI1MiI+NTY8L2tleT48L2ZvcmVpZ24ta2V5cz48cmVmLXR5cGUgbmFtZT0iSm91cm5hbCBBcnRp
Y2xlIj4xNzwvcmVmLXR5cGU+PGNvbnRyaWJ1dG9ycz48YXV0aG9ycz48YXV0aG9yPk3DvG5zdGVy
LU3DvGxsZXIsIFNhc2NoYTwvYXV0aG9yPjxhdXRob3I+WmltbWVybWFubiwgUmFsZjwvYXV0aG9y
PjxhdXRob3I+UMO8dHosIE1pY2hhZWw8L2F1dGhvcj48L2F1dGhvcnM+PC9jb250cmlidXRvcnM+
PHRpdGxlcz48dGl0bGU+QSBOb3ZlbCBJbXB1cml0eS1Qcm9maWxpbmcgV29ya2Zsb3cgd2l0aCB0
aGUgQ29tYmluYXRpb24gb2YgRmxhc2gtQ2hyb21hdG9ncmFwaHksIFVIUExDLU1TLCBhbmQgTXVs
dGl2YXJpYXRlIERhdGEgQW5hbHlzaXMgZm9yIEhpZ2hseSBQdXJlIERydWdzOiBBIFN0dWR5IG9u
IHRoZSBTeW50aGV0aWMgQ2FubmFiaW5vaWQgTURNQi1DSE1JQ0E8L3RpdGxlPjxzZWNvbmRhcnkt
dGl0bGU+QW5hbHl0aWNhbCBDaGVtaXN0cnk8L3NlY29uZGFyeS10aXRsZT48L3RpdGxlcz48cGVy
aW9kaWNhbD48ZnVsbC10aXRsZT5BbmFseXRpY2FsIENoZW1pc3RyeTwvZnVsbC10aXRsZT48YWJi
ci0xPkFuYWwuIENoZW0uPC9hYmJyLTE+PGFiYnItMj5BbmFsIENoZW08L2FiYnItMj48L3Blcmlv
ZGljYWw+PHBhZ2VzPjEwNTU5LTEwNTY3PC9wYWdlcz48dm9sdW1lPjkwPC92b2x1bWU+PG51bWJl
cj4xNzwvbnVtYmVyPjxkYXRlcz48eWVhcj4yMDE4PC95ZWFyPjxwdWItZGF0ZXM+PGRhdGU+MjAx
OC8wOS8wNDwvZGF0ZT48L3B1Yi1kYXRlcz48L2RhdGVzPjxwdWJsaXNoZXI+QW1lcmljYW4gQ2hl
bWljYWwgU29jaWV0eTwvcHVibGlzaGVyPjxpc2JuPjAwMDMtMjcwMDwvaXNibj48dXJscz48cmVs
YXRlZC11cmxzPjx1cmw+aHR0cHM6Ly9kb2kub3JnLzEwLjEwMjEvYWNzLmFuYWxjaGVtLjhiMDI2
Nzk8L3VybD48L3JlbGF0ZWQtdXJscz48L3VybHM+PGVsZWN0cm9uaWMtcmVzb3VyY2UtbnVtPjEw
LjEwMjEvYWNzLmFuYWxjaGVtLjhiMDI2Nzk8L2VsZWN0cm9uaWMtcmVzb3VyY2UtbnVtPjwvcmVj
b3JkPjwvQ2l0ZT48Q2l0ZT48QXV0aG9yPk3DvG5zdGVyLU3DvGxsZXI8L0F1dGhvcj48WWVhcj4y
MDE5PC9ZZWFyPjxSZWNOdW0+OTg8L1JlY051bT48cmVjb3JkPjxyZWMtbnVtYmVyPjk4PC9yZWMt
bnVtYmVyPjxmb3JlaWduLWtleXM+PGtleSBhcHA9IkVOIiBkYi1pZD0iMHJkZHh2dmV3MjJyejFl
MGZ4azUydzJ2NXY5YWQ5ZXQ1MGVwIiB0aW1lc3RhbXA9IjE1NzAyNzM2NjciPjk4PC9rZXk+PC9m
b3JlaWduLWtleXM+PHJlZi10eXBlIG5hbWU9IkpvdXJuYWwgQXJ0aWNsZSI+MTc8L3JlZi10eXBl
Pjxjb250cmlidXRvcnM+PGF1dGhvcnM+PGF1dGhvcj5Nw7xuc3Rlci1Nw7xsbGVyLCBTYXNjaGE8
L2F1dGhvcj48YXV0aG9yPkhhbnNlbiwgU3RldmVuPC9hdXRob3I+PGF1dGhvcj5PcGF0eiwgVGls
bDwvYXV0aG9yPjxhdXRob3I+WmltbWVybWFubiwgUmFsZjwvYXV0aG9yPjxhdXRob3I+UMO8dHos
IE1pY2hhZWw8L2F1dGhvcj48L2F1dGhvcnM+PC9jb250cmlidXRvcnM+PHRpdGxlcz48dGl0bGU+
Q2hlbWljYWwgcHJvZmlsaW5nIG9mIHRoZSBzeW50aGV0aWMgY2FubmFiaW5vaWQgTURNQi1DSE1J
Q0E6IElkZW50aWZpY2F0aW9uLCBhc3Nlc3NtZW50LCBhbmQgc3RhYmlsaXR5IHN0dWR5IG9mIHN5
bnRoZXNpcy1yZWxhdGVkIGltcHVyaXRpZXMgaW4gc2VpemVkIGFuZCBzeW50aGVzaXplZCBzYW1w
bGVzPC90aXRsZT48c2Vjb25kYXJ5LXRpdGxlPkRydWcgVGVzdC4gQW5hbC48L3NlY29uZGFyeS10
aXRsZT48L3RpdGxlcz48cGFnZXM+MTE5Mi0xMjA2PC9wYWdlcz48dm9sdW1lPiAxMTwvdm9sdW1l
PjxudW1iZXI+ODwvbnVtYmVyPjxkYXRlcz48eWVhcj4yMDE5PC95ZWFyPjwvZGF0ZXM+PGlzYm4+
MTk0Mi03NjAzPC9pc2JuPjx1cmxzPjxyZWxhdGVkLXVybHM+PHVybD5odHRwczovL29ubGluZWxp
YnJhcnkud2lsZXkuY29tL2RvaS9hYnMvMTAuMTAwMi9kdGEuMjY1MjwvdXJsPjwvcmVsYXRlZC11
cmxzPjwvdXJscz48ZWxlY3Ryb25pYy1yZXNvdXJjZS1udW0+MTAuMTAwMi9kdGEuMjY1MjwvZWxl
Y3Ryb25pYy1yZXNvdXJjZS1udW0+PC9yZWNvcmQ+PC9DaXRlPjwvRW5kTm90ZT4A
</w:fldData>
        </w:fldChar>
      </w:r>
      <w:r>
        <w:rPr>
          <w:lang w:val="en"/>
        </w:rPr>
        <w:instrText xml:space="preserve"> ADDIN EN.CITE </w:instrText>
      </w:r>
      <w:r>
        <w:rPr>
          <w:lang w:val="en"/>
        </w:rPr>
        <w:fldChar w:fldCharType="begin">
          <w:fldData xml:space="preserve">PEVuZE5vdGU+PENpdGU+PEF1dGhvcj5Nw7xuc3Rlci1Nw7xsbGVyPC9BdXRob3I+PFllYXI+MjAx
ODwvWWVhcj48UmVjTnVtPjU3PC9SZWNOdW0+PERpc3BsYXlUZXh0PlsyMSwgMjIsIDI3XTwvRGlz
cGxheVRleHQ+PHJlY29yZD48cmVjLW51bWJlcj41NzwvcmVjLW51bWJlcj48Zm9yZWlnbi1rZXlz
PjxrZXkgYXBwPSJFTiIgZGItaWQ9IjByZGR4dnZldzIycnoxZTBmeGs1MncydjV2OWFkOWV0NTBl
cCIgdGltZXN0YW1wPSIxNTM4MDQ2MzMwIj41Nzwva2V5PjwvZm9yZWlnbi1rZXlzPjxyZWYtdHlw
ZSBuYW1lPSJKb3VybmFsIEFydGljbGUiPjE3PC9yZWYtdHlwZT48Y29udHJpYnV0b3JzPjxhdXRo
b3JzPjxhdXRob3I+TcO8bnN0ZXItTcO8bGxlciwgUy48L2F1dGhvcj48YXV0aG9yPlNjaGVpZCwg
Ti48L2F1dGhvcj48YXV0aG9yPkhvbGRlcm1hbm4sIFQuPC9hdXRob3I+PGF1dGhvcj5TY2huZWlk
ZXJzLCBTLjwvYXV0aG9yPjxhdXRob3I+UMO8dHosIE0uPC9hdXRob3I+PC9hdXRob3JzPjwvY29u
dHJpYnV0b3JzPjx0aXRsZXM+PHRpdGxlPlByb2ZpbGluZyBvZiBuZXcgcHN5Y2hvYWN0aXZlIHN1
YnN0YW5jZXMgYnkgdXNpbmcgc3RhYmxlIGlzb3RvcGUgcmF0aW8gbWFzcyBzcGVjdHJvbWV0cnk6
IFN0dWR5IG9mIHRoZSBzeW50aGV0aWMgY2FubmFiaW5vaWQgNUYtUEItMjI8L3RpdGxlPjxzZWNv
bmRhcnktdGl0bGU+RHJ1ZyBUZXN0aW5nIGFuZCBBbmFseXNpczwvc2Vjb25kYXJ5LXRpdGxlPjwv
dGl0bGVzPjxwZXJpb2RpY2FsPjxmdWxsLXRpdGxlPkRydWcgVGVzdGluZyBhbmQgQW5hbHlzaXM8
L2Z1bGwtdGl0bGU+PGFiYnItMT5EcnVnLiBUZXN0LiBBbmFsLjwvYWJici0xPjwvcGVyaW9kaWNh
bD48cGFnZXM+MTMyMy0xMzI3PC9wYWdlcz48dm9sdW1lPjEwPC92b2x1bWU+PG51bWJlcj44PC9u
dW1iZXI+PGtleXdvcmRzPjxrZXl3b3JkPjVGLVBCLTIyPC9rZXl3b3JkPjxrZXl3b3JkPmRydWcg
cHJvZmlsaW5nPC9rZXl3b3JkPjxrZXl3b3JkPkVBLUlSTVM8L2tleXdvcmQ+PGtleXdvcmQ+bmV3
IHBzeWNob2FjdGl2ZSBzdWJzdGFuY2VzIChOUFMpPC9rZXl3b3JkPjxrZXl3b3JkPnN0YWJsZSBp
c290b3BlIHJhdGlvIGFuYWx5c2lzPC9rZXl3b3JkPjwva2V5d29yZHM+PGRhdGVzPjx5ZWFyPjIw
MTg8L3llYXI+PC9kYXRlcz48aXNibj4xOTQyLTc2MDM8L2lzYm4+PHVybHM+PHJlbGF0ZWQtdXJs
cz48dXJsPmh0dHBzOi8vZG9pLm9yZy8xMC4xMDAyL2R0YS4yNDA3PC91cmw+PC9yZWxhdGVkLXVy
bHM+PC91cmxzPjxlbGVjdHJvbmljLXJlc291cmNlLW51bT5kb2k6MTAuMTAwMi9kdGEuMjQwNzwv
ZWxlY3Ryb25pYy1yZXNvdXJjZS1udW0+PG1vZGlmaWVkLWRhdGU+RHRhLTE4LTAwMTQucjE8L21v
ZGlmaWVkLWRhdGU+PC9yZWNvcmQ+PC9DaXRlPjxDaXRlPjxBdXRob3I+TcO8bnN0ZXItTcO8bGxl
cjwvQXV0aG9yPjxZZWFyPjIwMTg8L1llYXI+PFJlY051bT41NjwvUmVjTnVtPjxyZWNvcmQ+PHJl
Yy1udW1iZXI+NTY8L3JlYy1udW1iZXI+PGZvcmVpZ24ta2V5cz48a2V5IGFwcD0iRU4iIGRiLWlk
PSIwcmRkeHZ2ZXcyMnJ6MWUwZnhrNTJ3MnY1djlhZDlldDUwZXAiIHRpbWVzdGFtcD0iMTUzNzk2
MzI1MiI+NTY8L2tleT48L2ZvcmVpZ24ta2V5cz48cmVmLXR5cGUgbmFtZT0iSm91cm5hbCBBcnRp
Y2xlIj4xNzwvcmVmLXR5cGU+PGNvbnRyaWJ1dG9ycz48YXV0aG9ycz48YXV0aG9yPk3DvG5zdGVy
LU3DvGxsZXIsIFNhc2NoYTwvYXV0aG9yPjxhdXRob3I+WmltbWVybWFubiwgUmFsZjwvYXV0aG9y
PjxhdXRob3I+UMO8dHosIE1pY2hhZWw8L2F1dGhvcj48L2F1dGhvcnM+PC9jb250cmlidXRvcnM+
PHRpdGxlcz48dGl0bGU+QSBOb3ZlbCBJbXB1cml0eS1Qcm9maWxpbmcgV29ya2Zsb3cgd2l0aCB0
aGUgQ29tYmluYXRpb24gb2YgRmxhc2gtQ2hyb21hdG9ncmFwaHksIFVIUExDLU1TLCBhbmQgTXVs
dGl2YXJpYXRlIERhdGEgQW5hbHlzaXMgZm9yIEhpZ2hseSBQdXJlIERydWdzOiBBIFN0dWR5IG9u
IHRoZSBTeW50aGV0aWMgQ2FubmFiaW5vaWQgTURNQi1DSE1JQ0E8L3RpdGxlPjxzZWNvbmRhcnkt
dGl0bGU+QW5hbHl0aWNhbCBDaGVtaXN0cnk8L3NlY29uZGFyeS10aXRsZT48L3RpdGxlcz48cGVy
aW9kaWNhbD48ZnVsbC10aXRsZT5BbmFseXRpY2FsIENoZW1pc3RyeTwvZnVsbC10aXRsZT48YWJi
ci0xPkFuYWwuIENoZW0uPC9hYmJyLTE+PGFiYnItMj5BbmFsIENoZW08L2FiYnItMj48L3Blcmlv
ZGljYWw+PHBhZ2VzPjEwNTU5LTEwNTY3PC9wYWdlcz48dm9sdW1lPjkwPC92b2x1bWU+PG51bWJl
cj4xNzwvbnVtYmVyPjxkYXRlcz48eWVhcj4yMDE4PC95ZWFyPjxwdWItZGF0ZXM+PGRhdGU+MjAx
OC8wOS8wNDwvZGF0ZT48L3B1Yi1kYXRlcz48L2RhdGVzPjxwdWJsaXNoZXI+QW1lcmljYW4gQ2hl
bWljYWwgU29jaWV0eTwvcHVibGlzaGVyPjxpc2JuPjAwMDMtMjcwMDwvaXNibj48dXJscz48cmVs
YXRlZC11cmxzPjx1cmw+aHR0cHM6Ly9kb2kub3JnLzEwLjEwMjEvYWNzLmFuYWxjaGVtLjhiMDI2
Nzk8L3VybD48L3JlbGF0ZWQtdXJscz48L3VybHM+PGVsZWN0cm9uaWMtcmVzb3VyY2UtbnVtPjEw
LjEwMjEvYWNzLmFuYWxjaGVtLjhiMDI2Nzk8L2VsZWN0cm9uaWMtcmVzb3VyY2UtbnVtPjwvcmVj
b3JkPjwvQ2l0ZT48Q2l0ZT48QXV0aG9yPk3DvG5zdGVyLU3DvGxsZXI8L0F1dGhvcj48WWVhcj4y
MDE5PC9ZZWFyPjxSZWNOdW0+OTg8L1JlY051bT48cmVjb3JkPjxyZWMtbnVtYmVyPjk4PC9yZWMt
bnVtYmVyPjxmb3JlaWduLWtleXM+PGtleSBhcHA9IkVOIiBkYi1pZD0iMHJkZHh2dmV3MjJyejFl
MGZ4azUydzJ2NXY5YWQ5ZXQ1MGVwIiB0aW1lc3RhbXA9IjE1NzAyNzM2NjciPjk4PC9rZXk+PC9m
b3JlaWduLWtleXM+PHJlZi10eXBlIG5hbWU9IkpvdXJuYWwgQXJ0aWNsZSI+MTc8L3JlZi10eXBl
Pjxjb250cmlidXRvcnM+PGF1dGhvcnM+PGF1dGhvcj5Nw7xuc3Rlci1Nw7xsbGVyLCBTYXNjaGE8
L2F1dGhvcj48YXV0aG9yPkhhbnNlbiwgU3RldmVuPC9hdXRob3I+PGF1dGhvcj5PcGF0eiwgVGls
bDwvYXV0aG9yPjxhdXRob3I+WmltbWVybWFubiwgUmFsZjwvYXV0aG9yPjxhdXRob3I+UMO8dHos
IE1pY2hhZWw8L2F1dGhvcj48L2F1dGhvcnM+PC9jb250cmlidXRvcnM+PHRpdGxlcz48dGl0bGU+
Q2hlbWljYWwgcHJvZmlsaW5nIG9mIHRoZSBzeW50aGV0aWMgY2FubmFiaW5vaWQgTURNQi1DSE1J
Q0E6IElkZW50aWZpY2F0aW9uLCBhc3Nlc3NtZW50LCBhbmQgc3RhYmlsaXR5IHN0dWR5IG9mIHN5
bnRoZXNpcy1yZWxhdGVkIGltcHVyaXRpZXMgaW4gc2VpemVkIGFuZCBzeW50aGVzaXplZCBzYW1w
bGVzPC90aXRsZT48c2Vjb25kYXJ5LXRpdGxlPkRydWcgVGVzdC4gQW5hbC48L3NlY29uZGFyeS10
aXRsZT48L3RpdGxlcz48cGFnZXM+MTE5Mi0xMjA2PC9wYWdlcz48dm9sdW1lPiAxMTwvdm9sdW1l
PjxudW1iZXI+ODwvbnVtYmVyPjxkYXRlcz48eWVhcj4yMDE5PC95ZWFyPjwvZGF0ZXM+PGlzYm4+
MTk0Mi03NjAzPC9pc2JuPjx1cmxzPjxyZWxhdGVkLXVybHM+PHVybD5odHRwczovL29ubGluZWxp
YnJhcnkud2lsZXkuY29tL2RvaS9hYnMvMTAuMTAwMi9kdGEuMjY1MjwvdXJsPjwvcmVsYXRlZC11
cmxzPjwvdXJscz48ZWxlY3Ryb25pYy1yZXNvdXJjZS1udW0+MTAuMTAwMi9kdGEuMjY1MjwvZWxl
Y3Ryb25pYy1yZXNvdXJjZS1udW0+PC9yZWNvcmQ+PC9DaXRlPjwvRW5kTm90ZT4A
</w:fldData>
        </w:fldChar>
      </w:r>
      <w:r>
        <w:rPr>
          <w:lang w:val="en"/>
        </w:rPr>
        <w:instrText xml:space="preserve"> ADDIN EN.CITE.DATA </w:instrText>
      </w:r>
      <w:r>
        <w:rPr>
          <w:lang w:val="en"/>
        </w:rPr>
      </w:r>
      <w:r>
        <w:rPr>
          <w:lang w:val="en"/>
        </w:rPr>
        <w:fldChar w:fldCharType="end"/>
      </w:r>
      <w:r w:rsidR="00EA2826">
        <w:rPr>
          <w:lang w:val="en"/>
        </w:rPr>
      </w:r>
      <w:r w:rsidR="00EA2826">
        <w:rPr>
          <w:lang w:val="en"/>
        </w:rPr>
        <w:fldChar w:fldCharType="separate"/>
      </w:r>
      <w:r>
        <w:rPr>
          <w:noProof/>
          <w:lang w:val="en"/>
        </w:rPr>
        <w:t>[21, 22, 27]</w:t>
      </w:r>
      <w:r w:rsidR="00EA2826">
        <w:rPr>
          <w:lang w:val="en"/>
        </w:rPr>
        <w:fldChar w:fldCharType="end"/>
      </w:r>
      <w:r w:rsidR="009A0A0F">
        <w:rPr>
          <w:lang w:val="en"/>
        </w:rPr>
        <w:t>.</w:t>
      </w:r>
      <w:r w:rsidR="00EA2826">
        <w:rPr>
          <w:lang w:val="en"/>
        </w:rPr>
        <w:t xml:space="preserve"> </w:t>
      </w:r>
    </w:p>
    <w:p w14:paraId="60F11C00" w14:textId="77777777" w:rsidR="00F3279A" w:rsidRPr="00F3279A" w:rsidRDefault="00F3279A" w:rsidP="00F3279A">
      <w:pPr>
        <w:spacing w:line="480" w:lineRule="auto"/>
        <w:rPr>
          <w:lang w:val="en"/>
        </w:rPr>
      </w:pPr>
    </w:p>
    <w:p w14:paraId="73FB22A4" w14:textId="483F7AD9" w:rsidR="0085733C" w:rsidRPr="00CC77CD" w:rsidRDefault="00703B3A" w:rsidP="00F3279A">
      <w:pPr>
        <w:spacing w:line="480" w:lineRule="auto"/>
        <w:rPr>
          <w:b/>
          <w:bCs/>
        </w:rPr>
      </w:pPr>
      <w:r>
        <w:rPr>
          <w:rStyle w:val="Fett"/>
        </w:rPr>
        <w:t xml:space="preserve">2. </w:t>
      </w:r>
      <w:r w:rsidR="0085733C" w:rsidRPr="008E13D5">
        <w:rPr>
          <w:rStyle w:val="Fett"/>
        </w:rPr>
        <w:t>Materials and methods</w:t>
      </w:r>
    </w:p>
    <w:p w14:paraId="3AA5D814" w14:textId="097D89FD" w:rsidR="00DA1E83" w:rsidRPr="00ED5BF0" w:rsidRDefault="00703B3A" w:rsidP="00F3279A">
      <w:pPr>
        <w:spacing w:line="480" w:lineRule="auto"/>
        <w:rPr>
          <w:i/>
        </w:rPr>
      </w:pPr>
      <w:r>
        <w:rPr>
          <w:i/>
        </w:rPr>
        <w:t xml:space="preserve">2.1 </w:t>
      </w:r>
      <w:r w:rsidR="00ED5BF0" w:rsidRPr="00ED5BF0">
        <w:rPr>
          <w:i/>
        </w:rPr>
        <w:t>Synthetic cannabinoids</w:t>
      </w:r>
    </w:p>
    <w:p w14:paraId="34BC320A" w14:textId="0B41CC85" w:rsidR="004D45DE" w:rsidRPr="004E6F99" w:rsidRDefault="004E6F99" w:rsidP="00F3279A">
      <w:pPr>
        <w:spacing w:line="480" w:lineRule="auto"/>
        <w:rPr>
          <w:i/>
        </w:rPr>
      </w:pPr>
      <w:r w:rsidRPr="004E6F99">
        <w:rPr>
          <w:i/>
        </w:rPr>
        <w:t xml:space="preserve">2.1.1 </w:t>
      </w:r>
      <w:r w:rsidR="004D45DE" w:rsidRPr="004E6F99">
        <w:rPr>
          <w:i/>
        </w:rPr>
        <w:t>MDMB-CHMICA</w:t>
      </w:r>
    </w:p>
    <w:p w14:paraId="22FCC646" w14:textId="02EB69C8" w:rsidR="00DA1E83" w:rsidRPr="00366EA3" w:rsidRDefault="00157631" w:rsidP="00F3279A">
      <w:pPr>
        <w:spacing w:line="480" w:lineRule="auto"/>
      </w:pPr>
      <w:r w:rsidRPr="00366EA3">
        <w:t>Overall 61</w:t>
      </w:r>
      <w:r w:rsidR="00DA1E83" w:rsidRPr="00366EA3">
        <w:t xml:space="preserve"> pure samples of </w:t>
      </w:r>
      <w:r w:rsidR="00DA1E83" w:rsidRPr="00366EA3">
        <w:rPr>
          <w:b/>
        </w:rPr>
        <w:t>1</w:t>
      </w:r>
      <w:r w:rsidR="00DA1E83" w:rsidRPr="00366EA3">
        <w:t xml:space="preserve"> were available, of which 40 were from one large seizure by Luxembourg customs </w:t>
      </w:r>
      <w:r w:rsidR="0083680B" w:rsidRPr="00366EA3">
        <w:t xml:space="preserve">in </w:t>
      </w:r>
      <w:r w:rsidR="00A82501" w:rsidRPr="00366EA3">
        <w:t>December</w:t>
      </w:r>
      <w:r w:rsidR="00197D0B" w:rsidRPr="00366EA3">
        <w:t xml:space="preserve"> </w:t>
      </w:r>
      <w:r w:rsidR="0083680B" w:rsidRPr="00366EA3">
        <w:t xml:space="preserve">2014 </w:t>
      </w:r>
      <w:r w:rsidR="00DA1E83" w:rsidRPr="00366EA3">
        <w:t>(</w:t>
      </w:r>
      <w:r w:rsidR="0052498E" w:rsidRPr="00366EA3">
        <w:t>MDMB-01 to MDMB-40</w:t>
      </w:r>
      <w:r w:rsidR="003F1087" w:rsidRPr="00366EA3">
        <w:t>), 17</w:t>
      </w:r>
      <w:r w:rsidR="00DA1E83" w:rsidRPr="00366EA3">
        <w:t xml:space="preserve"> from seizures </w:t>
      </w:r>
      <w:r w:rsidR="00BD2DF5">
        <w:t>by</w:t>
      </w:r>
      <w:r w:rsidR="00DA1E83" w:rsidRPr="00366EA3">
        <w:t xml:space="preserve"> the Finish customs (</w:t>
      </w:r>
      <w:r w:rsidR="00366EA3" w:rsidRPr="00366EA3">
        <w:t>MDMB-41 to MDMB-57</w:t>
      </w:r>
      <w:r w:rsidR="00DA1E83" w:rsidRPr="00366EA3">
        <w:t>), 3 from online test</w:t>
      </w:r>
      <w:r w:rsidR="00D67D04">
        <w:t>-</w:t>
      </w:r>
      <w:r w:rsidR="00DA1E83" w:rsidRPr="00366EA3">
        <w:t xml:space="preserve">purchases by </w:t>
      </w:r>
      <w:r w:rsidR="00DA1E83" w:rsidRPr="00366EA3">
        <w:rPr>
          <w:rFonts w:cstheme="minorHAnsi"/>
          <w:szCs w:val="24"/>
          <w:lang w:val="en-US"/>
        </w:rPr>
        <w:t xml:space="preserve">the University Medical Center in Freiburg </w:t>
      </w:r>
      <w:r w:rsidR="00366EA3" w:rsidRPr="00366EA3">
        <w:t>(MDMB-58</w:t>
      </w:r>
      <w:r w:rsidR="0052498E" w:rsidRPr="00366EA3">
        <w:t xml:space="preserve"> to MDMB-6</w:t>
      </w:r>
      <w:r w:rsidR="00366EA3" w:rsidRPr="00366EA3">
        <w:t>0</w:t>
      </w:r>
      <w:r w:rsidR="0052498E" w:rsidRPr="00366EA3">
        <w:t xml:space="preserve">) </w:t>
      </w:r>
      <w:r w:rsidR="00DA1E83" w:rsidRPr="00366EA3">
        <w:rPr>
          <w:rFonts w:cstheme="minorHAnsi"/>
          <w:szCs w:val="24"/>
          <w:lang w:val="en-US"/>
        </w:rPr>
        <w:t>and 1 from a seizure in Slovenia (</w:t>
      </w:r>
      <w:r w:rsidR="00366EA3" w:rsidRPr="00366EA3">
        <w:rPr>
          <w:rFonts w:cstheme="minorHAnsi"/>
          <w:szCs w:val="24"/>
          <w:lang w:val="en-US"/>
        </w:rPr>
        <w:t>MDMB-61</w:t>
      </w:r>
      <w:r w:rsidR="00DA1E83" w:rsidRPr="00366EA3">
        <w:rPr>
          <w:rFonts w:cstheme="minorHAnsi"/>
          <w:szCs w:val="24"/>
          <w:lang w:val="en-US"/>
        </w:rPr>
        <w:t xml:space="preserve">). </w:t>
      </w:r>
    </w:p>
    <w:p w14:paraId="5C86CD1E" w14:textId="1250D2EF" w:rsidR="00DA1E83" w:rsidRDefault="00B07727" w:rsidP="00F3279A">
      <w:pPr>
        <w:spacing w:line="480" w:lineRule="auto"/>
      </w:pPr>
      <w:r w:rsidRPr="00366EA3">
        <w:lastRenderedPageBreak/>
        <w:t xml:space="preserve">Furthermore, </w:t>
      </w:r>
      <w:r w:rsidR="00BF66C8">
        <w:t>1</w:t>
      </w:r>
      <w:r w:rsidR="004870F1">
        <w:t>18</w:t>
      </w:r>
      <w:r w:rsidR="00DA1E83" w:rsidRPr="00366EA3">
        <w:t xml:space="preserve"> </w:t>
      </w:r>
      <w:r w:rsidR="003F64F8" w:rsidRPr="00366EA3">
        <w:t>SP</w:t>
      </w:r>
      <w:r w:rsidR="00DA1E83" w:rsidRPr="00366EA3">
        <w:t xml:space="preserve"> samples containing </w:t>
      </w:r>
      <w:r w:rsidR="00DA1E83" w:rsidRPr="00366EA3">
        <w:rPr>
          <w:b/>
        </w:rPr>
        <w:t>1</w:t>
      </w:r>
      <w:r w:rsidR="00DA1E83" w:rsidRPr="00366EA3">
        <w:t xml:space="preserve"> as sole cannabin</w:t>
      </w:r>
      <w:r w:rsidRPr="00366EA3">
        <w:t xml:space="preserve">oid were available. </w:t>
      </w:r>
      <w:r w:rsidR="00366EA3" w:rsidRPr="00366EA3">
        <w:t>7</w:t>
      </w:r>
      <w:r w:rsidR="00F44F03">
        <w:t>4</w:t>
      </w:r>
      <w:r w:rsidR="0083680B" w:rsidRPr="00366EA3">
        <w:t xml:space="preserve"> samples</w:t>
      </w:r>
      <w:r w:rsidR="00DA1E83" w:rsidRPr="00366EA3">
        <w:t xml:space="preserve"> were from online test purchases by </w:t>
      </w:r>
      <w:r w:rsidR="00002035" w:rsidRPr="00366EA3">
        <w:t xml:space="preserve">the </w:t>
      </w:r>
      <w:r w:rsidR="00002035" w:rsidRPr="00366EA3">
        <w:rPr>
          <w:rFonts w:cstheme="minorHAnsi"/>
          <w:szCs w:val="24"/>
          <w:lang w:val="en-US"/>
        </w:rPr>
        <w:t>University Medical Center in Freiburg</w:t>
      </w:r>
      <w:r w:rsidRPr="00366EA3">
        <w:rPr>
          <w:rFonts w:cstheme="minorHAnsi"/>
          <w:szCs w:val="24"/>
          <w:lang w:val="en-US"/>
        </w:rPr>
        <w:t xml:space="preserve"> </w:t>
      </w:r>
      <w:r w:rsidR="0083680B" w:rsidRPr="00366EA3">
        <w:rPr>
          <w:rFonts w:cstheme="minorHAnsi"/>
          <w:szCs w:val="24"/>
          <w:lang w:val="en-US"/>
        </w:rPr>
        <w:t xml:space="preserve">between November 2014 and </w:t>
      </w:r>
      <w:r w:rsidR="002E066D" w:rsidRPr="00366EA3">
        <w:rPr>
          <w:rFonts w:cstheme="minorHAnsi"/>
          <w:szCs w:val="24"/>
          <w:lang w:val="en-US"/>
        </w:rPr>
        <w:t>December</w:t>
      </w:r>
      <w:r w:rsidR="0083680B" w:rsidRPr="00366EA3">
        <w:rPr>
          <w:rFonts w:cstheme="minorHAnsi"/>
          <w:szCs w:val="24"/>
          <w:lang w:val="en-US"/>
        </w:rPr>
        <w:t xml:space="preserve"> 201</w:t>
      </w:r>
      <w:r w:rsidR="002E066D" w:rsidRPr="00366EA3">
        <w:rPr>
          <w:rFonts w:cstheme="minorHAnsi"/>
          <w:szCs w:val="24"/>
          <w:lang w:val="en-US"/>
        </w:rPr>
        <w:t>5</w:t>
      </w:r>
      <w:r w:rsidR="0083680B" w:rsidRPr="00366EA3">
        <w:rPr>
          <w:rFonts w:cstheme="minorHAnsi"/>
          <w:szCs w:val="24"/>
          <w:lang w:val="en-US"/>
        </w:rPr>
        <w:t xml:space="preserve"> </w:t>
      </w:r>
      <w:r w:rsidR="003F64F8" w:rsidRPr="00366EA3">
        <w:rPr>
          <w:rFonts w:cstheme="minorHAnsi"/>
          <w:szCs w:val="24"/>
          <w:lang w:val="en-US"/>
        </w:rPr>
        <w:t>(SP_MDMB-001 to SP</w:t>
      </w:r>
      <w:r w:rsidRPr="00366EA3">
        <w:rPr>
          <w:rFonts w:cstheme="minorHAnsi"/>
          <w:szCs w:val="24"/>
          <w:lang w:val="en-US"/>
        </w:rPr>
        <w:t>_MDMB-</w:t>
      </w:r>
      <w:r w:rsidR="004870F1">
        <w:rPr>
          <w:rFonts w:cstheme="minorHAnsi"/>
          <w:szCs w:val="24"/>
          <w:lang w:val="en-US"/>
        </w:rPr>
        <w:t>74</w:t>
      </w:r>
      <w:r w:rsidR="00002035" w:rsidRPr="00366EA3">
        <w:rPr>
          <w:rFonts w:cstheme="minorHAnsi"/>
          <w:szCs w:val="24"/>
          <w:lang w:val="en-US"/>
        </w:rPr>
        <w:t>)</w:t>
      </w:r>
      <w:r w:rsidR="00105E47" w:rsidRPr="00366EA3">
        <w:rPr>
          <w:rFonts w:cstheme="minorHAnsi"/>
          <w:szCs w:val="24"/>
          <w:lang w:val="en-US"/>
        </w:rPr>
        <w:t xml:space="preserve"> and</w:t>
      </w:r>
      <w:r w:rsidRPr="00366EA3">
        <w:rPr>
          <w:rFonts w:cstheme="minorHAnsi"/>
          <w:szCs w:val="24"/>
          <w:lang w:val="en-US"/>
        </w:rPr>
        <w:t xml:space="preserve"> </w:t>
      </w:r>
      <w:r w:rsidR="00366EA3" w:rsidRPr="00366EA3">
        <w:rPr>
          <w:rFonts w:cstheme="minorHAnsi"/>
          <w:szCs w:val="24"/>
          <w:lang w:val="en-US"/>
        </w:rPr>
        <w:t>44</w:t>
      </w:r>
      <w:r w:rsidR="00DA1E83" w:rsidRPr="00366EA3">
        <w:rPr>
          <w:rFonts w:cstheme="minorHAnsi"/>
          <w:szCs w:val="24"/>
          <w:lang w:val="en-US"/>
        </w:rPr>
        <w:t xml:space="preserve"> from seizures by the </w:t>
      </w:r>
      <w:r w:rsidR="00DA1E83" w:rsidRPr="00366EA3">
        <w:t xml:space="preserve">Land Office of Criminal Investigation of Rhineland Palatine </w:t>
      </w:r>
      <w:r w:rsidR="0083680B" w:rsidRPr="00366EA3">
        <w:t xml:space="preserve">between </w:t>
      </w:r>
      <w:r w:rsidR="00366EA3" w:rsidRPr="00366EA3">
        <w:t>September 2014</w:t>
      </w:r>
      <w:r w:rsidR="0083680B" w:rsidRPr="00366EA3">
        <w:t xml:space="preserve"> and </w:t>
      </w:r>
      <w:r w:rsidR="002E066D" w:rsidRPr="00366EA3">
        <w:t>June</w:t>
      </w:r>
      <w:r w:rsidR="0083680B" w:rsidRPr="00366EA3">
        <w:t xml:space="preserve"> 2015 </w:t>
      </w:r>
      <w:r w:rsidR="00DA1E83" w:rsidRPr="00366EA3">
        <w:t>(</w:t>
      </w:r>
      <w:r w:rsidR="003F64F8" w:rsidRPr="00366EA3">
        <w:rPr>
          <w:rFonts w:cstheme="minorHAnsi"/>
          <w:szCs w:val="24"/>
          <w:lang w:val="en-US"/>
        </w:rPr>
        <w:t>SP</w:t>
      </w:r>
      <w:r w:rsidRPr="00366EA3">
        <w:rPr>
          <w:rFonts w:cstheme="minorHAnsi"/>
          <w:szCs w:val="24"/>
          <w:lang w:val="en-US"/>
        </w:rPr>
        <w:t>_MDMB-</w:t>
      </w:r>
      <w:r w:rsidR="004870F1">
        <w:rPr>
          <w:rFonts w:cstheme="minorHAnsi"/>
          <w:szCs w:val="24"/>
          <w:lang w:val="en-US"/>
        </w:rPr>
        <w:t>75</w:t>
      </w:r>
      <w:r w:rsidR="003F64F8" w:rsidRPr="00366EA3">
        <w:rPr>
          <w:rFonts w:cstheme="minorHAnsi"/>
          <w:szCs w:val="24"/>
          <w:lang w:val="en-US"/>
        </w:rPr>
        <w:t xml:space="preserve"> to SP</w:t>
      </w:r>
      <w:r w:rsidRPr="00366EA3">
        <w:rPr>
          <w:rFonts w:cstheme="minorHAnsi"/>
          <w:szCs w:val="24"/>
          <w:lang w:val="en-US"/>
        </w:rPr>
        <w:t>_MDMB-</w:t>
      </w:r>
      <w:r w:rsidR="004870F1">
        <w:rPr>
          <w:rFonts w:cstheme="minorHAnsi"/>
          <w:szCs w:val="24"/>
          <w:lang w:val="en-US"/>
        </w:rPr>
        <w:t>118</w:t>
      </w:r>
      <w:r w:rsidR="00105E47" w:rsidRPr="00366EA3">
        <w:t>).</w:t>
      </w:r>
      <w:r w:rsidR="0079447F">
        <w:t xml:space="preserve"> </w:t>
      </w:r>
    </w:p>
    <w:p w14:paraId="1068A788" w14:textId="77777777" w:rsidR="00E221CD" w:rsidRDefault="00E221CD" w:rsidP="00F3279A">
      <w:pPr>
        <w:spacing w:line="480" w:lineRule="auto"/>
      </w:pPr>
    </w:p>
    <w:p w14:paraId="6FF0FF48" w14:textId="4F8A5642" w:rsidR="00E221CD" w:rsidRPr="004E6F99" w:rsidRDefault="004E6F99" w:rsidP="00F3279A">
      <w:pPr>
        <w:spacing w:line="480" w:lineRule="auto"/>
        <w:rPr>
          <w:i/>
        </w:rPr>
      </w:pPr>
      <w:r w:rsidRPr="004E6F99">
        <w:rPr>
          <w:i/>
        </w:rPr>
        <w:t xml:space="preserve">2.1.2 </w:t>
      </w:r>
      <w:r w:rsidR="00E221CD" w:rsidRPr="004E6F99">
        <w:rPr>
          <w:i/>
        </w:rPr>
        <w:t>Cumyl-PeGaClone</w:t>
      </w:r>
    </w:p>
    <w:p w14:paraId="139C08B6" w14:textId="58443C1C" w:rsidR="00E221CD" w:rsidRDefault="00E221CD" w:rsidP="00F3279A">
      <w:pPr>
        <w:spacing w:line="480" w:lineRule="auto"/>
      </w:pPr>
      <w:r w:rsidRPr="00E221CD">
        <w:t xml:space="preserve">One pure sample of </w:t>
      </w:r>
      <w:r w:rsidR="00DA1E83">
        <w:rPr>
          <w:b/>
        </w:rPr>
        <w:t>2</w:t>
      </w:r>
      <w:r>
        <w:t xml:space="preserve"> from a police seizure</w:t>
      </w:r>
      <w:r w:rsidR="00DA1E83">
        <w:t xml:space="preserve"> by </w:t>
      </w:r>
      <w:r w:rsidR="00002035">
        <w:t>the Federal Criminal Institute (Peg-01)</w:t>
      </w:r>
      <w:r>
        <w:t xml:space="preserve"> and 3</w:t>
      </w:r>
      <w:r w:rsidR="003F1087">
        <w:t>0</w:t>
      </w:r>
      <w:r>
        <w:t xml:space="preserve"> </w:t>
      </w:r>
      <w:r w:rsidR="00E955F2">
        <w:t>SP</w:t>
      </w:r>
      <w:r w:rsidR="003F64F8">
        <w:t>s</w:t>
      </w:r>
      <w:r>
        <w:t xml:space="preserve"> </w:t>
      </w:r>
      <w:r w:rsidR="00DA1E83">
        <w:t xml:space="preserve">from internet test-purchases containing </w:t>
      </w:r>
      <w:r w:rsidR="00DA1E83">
        <w:rPr>
          <w:b/>
        </w:rPr>
        <w:t>2</w:t>
      </w:r>
      <w:r w:rsidR="00DA1E83">
        <w:t xml:space="preserve"> as sole cannabinoid by </w:t>
      </w:r>
      <w:r w:rsidR="00002035">
        <w:t xml:space="preserve">the </w:t>
      </w:r>
      <w:r w:rsidR="00002035" w:rsidRPr="00C23A15">
        <w:rPr>
          <w:rFonts w:cstheme="minorHAnsi"/>
          <w:szCs w:val="24"/>
          <w:lang w:val="en-US"/>
        </w:rPr>
        <w:t>University Medical Center in Freiburg</w:t>
      </w:r>
      <w:r w:rsidR="00DA1E83">
        <w:t xml:space="preserve"> </w:t>
      </w:r>
      <w:r w:rsidR="0083680B">
        <w:t xml:space="preserve">between December 2016 and July 2017 </w:t>
      </w:r>
      <w:r w:rsidR="00002035">
        <w:t>(</w:t>
      </w:r>
      <w:r w:rsidR="003F64F8">
        <w:t>SP</w:t>
      </w:r>
      <w:r w:rsidR="00002035">
        <w:t xml:space="preserve">_Peg-01 to </w:t>
      </w:r>
      <w:r w:rsidR="003F64F8">
        <w:t>SP</w:t>
      </w:r>
      <w:r w:rsidR="00002035">
        <w:t>_Peg-3</w:t>
      </w:r>
      <w:r w:rsidR="003F1087">
        <w:t>0</w:t>
      </w:r>
      <w:r w:rsidR="00002035">
        <w:t xml:space="preserve">) </w:t>
      </w:r>
      <w:r w:rsidR="00DA1E83">
        <w:t>were available.</w:t>
      </w:r>
    </w:p>
    <w:p w14:paraId="169A95B7" w14:textId="50096AF8" w:rsidR="00853F6B" w:rsidRDefault="00853F6B" w:rsidP="00F3279A">
      <w:pPr>
        <w:spacing w:line="480" w:lineRule="auto"/>
      </w:pPr>
    </w:p>
    <w:p w14:paraId="151F9C83" w14:textId="55D5BB2B" w:rsidR="00C51032" w:rsidRPr="00853F6B" w:rsidRDefault="004E6F99" w:rsidP="00F3279A">
      <w:pPr>
        <w:spacing w:line="480" w:lineRule="auto"/>
        <w:rPr>
          <w:i/>
        </w:rPr>
      </w:pPr>
      <w:r>
        <w:rPr>
          <w:i/>
        </w:rPr>
        <w:t xml:space="preserve">2.2 </w:t>
      </w:r>
      <w:r w:rsidR="00C51032" w:rsidRPr="00853F6B">
        <w:rPr>
          <w:i/>
        </w:rPr>
        <w:t>Precursor chemicals</w:t>
      </w:r>
    </w:p>
    <w:p w14:paraId="5B76CBD8" w14:textId="1C45CD2A" w:rsidR="00C51032" w:rsidRDefault="009C4D8B" w:rsidP="00F3279A">
      <w:pPr>
        <w:spacing w:line="480" w:lineRule="auto"/>
      </w:pPr>
      <w:r w:rsidRPr="00853F6B">
        <w:t xml:space="preserve">Indole was purchased from </w:t>
      </w:r>
      <w:r w:rsidR="005C3C36">
        <w:t>eight different global vendors</w:t>
      </w:r>
      <w:r w:rsidR="00BD2DF5">
        <w:t>:</w:t>
      </w:r>
      <w:r w:rsidR="005C3C36">
        <w:t xml:space="preserve"> Sigma Aldrich (US), </w:t>
      </w:r>
      <w:r w:rsidR="00DE08D3">
        <w:t xml:space="preserve">TCI (Japan), ABCR (Germany), Merck (Germany), </w:t>
      </w:r>
      <w:proofErr w:type="spellStart"/>
      <w:r w:rsidR="00DE08D3">
        <w:t>Acros</w:t>
      </w:r>
      <w:proofErr w:type="spellEnd"/>
      <w:r w:rsidR="00DE08D3">
        <w:t xml:space="preserve"> Chemicals (Belgium), Alfa </w:t>
      </w:r>
      <w:proofErr w:type="spellStart"/>
      <w:r w:rsidR="00DE08D3">
        <w:t>Aeser</w:t>
      </w:r>
      <w:proofErr w:type="spellEnd"/>
      <w:r w:rsidR="00DE08D3">
        <w:t xml:space="preserve"> (United Kingdom), </w:t>
      </w:r>
      <w:proofErr w:type="spellStart"/>
      <w:r w:rsidR="00DE08D3">
        <w:t>BePharm</w:t>
      </w:r>
      <w:proofErr w:type="spellEnd"/>
      <w:r w:rsidR="00DE08D3">
        <w:t xml:space="preserve"> (China) </w:t>
      </w:r>
      <w:r w:rsidR="00DE08D3" w:rsidRPr="001E6670">
        <w:t xml:space="preserve">and </w:t>
      </w:r>
      <w:r w:rsidR="001E6670" w:rsidRPr="001E6670">
        <w:t>MP</w:t>
      </w:r>
      <w:r w:rsidR="001E6670">
        <w:t xml:space="preserve"> Biomedicals (France)</w:t>
      </w:r>
      <w:r w:rsidR="00853F6B" w:rsidRPr="00853F6B">
        <w:t>.</w:t>
      </w:r>
      <w:r w:rsidRPr="00853F6B">
        <w:t xml:space="preserve"> </w:t>
      </w:r>
      <w:r w:rsidR="00853F6B">
        <w:t xml:space="preserve">Tert-leucin was purchased once as (L) from and in triplicate as (D) form (same lot) from </w:t>
      </w:r>
      <w:r w:rsidR="005C3C36">
        <w:t xml:space="preserve">Alfa </w:t>
      </w:r>
      <w:proofErr w:type="spellStart"/>
      <w:r w:rsidR="005C3C36">
        <w:t>Aeser</w:t>
      </w:r>
      <w:proofErr w:type="spellEnd"/>
      <w:r w:rsidR="005C3C36">
        <w:t xml:space="preserve"> (United Kingdom)</w:t>
      </w:r>
      <w:r w:rsidR="00853F6B">
        <w:t xml:space="preserve">. Tert-leucine methyl ester was purchased from </w:t>
      </w:r>
      <w:r w:rsidR="005C3C36">
        <w:t xml:space="preserve">two different Asian vendors </w:t>
      </w:r>
      <w:proofErr w:type="spellStart"/>
      <w:r w:rsidR="005C3C36">
        <w:t>BePharma</w:t>
      </w:r>
      <w:proofErr w:type="spellEnd"/>
      <w:r w:rsidR="005C3C36">
        <w:t xml:space="preserve"> (China) and TCI (Japan)</w:t>
      </w:r>
      <w:r w:rsidR="00853F6B">
        <w:t xml:space="preserve">. </w:t>
      </w:r>
      <w:r w:rsidR="00853F6B" w:rsidRPr="00853F6B">
        <w:t xml:space="preserve">Cumylamine was purchased from four different </w:t>
      </w:r>
      <w:r w:rsidR="005C3C36">
        <w:t xml:space="preserve">global </w:t>
      </w:r>
      <w:r w:rsidR="00853F6B" w:rsidRPr="00853F6B">
        <w:t>vendors</w:t>
      </w:r>
      <w:r w:rsidR="00BD2DF5">
        <w:t>:</w:t>
      </w:r>
      <w:r w:rsidR="005C3C36">
        <w:t xml:space="preserve"> ABCR (Germany), </w:t>
      </w:r>
      <w:proofErr w:type="spellStart"/>
      <w:r w:rsidR="005C3C36">
        <w:t>Acella</w:t>
      </w:r>
      <w:proofErr w:type="spellEnd"/>
      <w:r w:rsidR="005C3C36">
        <w:t xml:space="preserve"> (China), Enamine (Ukraine) and TCI (Japan)</w:t>
      </w:r>
      <w:r w:rsidR="00853F6B" w:rsidRPr="00853F6B">
        <w:t xml:space="preserve"> in liquid form and subsequently </w:t>
      </w:r>
      <w:r w:rsidR="00C51032" w:rsidRPr="00853F6B">
        <w:t xml:space="preserve">crystallized </w:t>
      </w:r>
      <w:r w:rsidR="00853F6B" w:rsidRPr="00853F6B">
        <w:t>as</w:t>
      </w:r>
      <w:r w:rsidR="00C51032" w:rsidRPr="00853F6B">
        <w:t xml:space="preserve"> cumylamine </w:t>
      </w:r>
      <w:r w:rsidR="00853F6B" w:rsidRPr="00853F6B">
        <w:t>hydrochloride for measurements on EA-IRMS</w:t>
      </w:r>
      <w:r w:rsidR="00C51032" w:rsidRPr="00853F6B">
        <w:t>.</w:t>
      </w:r>
    </w:p>
    <w:p w14:paraId="55C84B53" w14:textId="4F80AFDA" w:rsidR="009E0D70" w:rsidRPr="00E221CD" w:rsidRDefault="009E0D70" w:rsidP="00F3279A">
      <w:pPr>
        <w:spacing w:line="480" w:lineRule="auto"/>
      </w:pPr>
    </w:p>
    <w:p w14:paraId="0390F41C" w14:textId="0294B8E1" w:rsidR="00ED5BF0" w:rsidRPr="00DA1E83" w:rsidRDefault="002D008C" w:rsidP="00F3279A">
      <w:pPr>
        <w:spacing w:line="480" w:lineRule="auto"/>
        <w:rPr>
          <w:i/>
        </w:rPr>
      </w:pPr>
      <w:r>
        <w:rPr>
          <w:i/>
        </w:rPr>
        <w:t>2.</w:t>
      </w:r>
      <w:r w:rsidR="004E6F99">
        <w:rPr>
          <w:i/>
        </w:rPr>
        <w:t>3</w:t>
      </w:r>
      <w:r>
        <w:rPr>
          <w:i/>
        </w:rPr>
        <w:t xml:space="preserve"> </w:t>
      </w:r>
      <w:r w:rsidR="00ED5BF0">
        <w:rPr>
          <w:i/>
        </w:rPr>
        <w:t>Extraction procedure</w:t>
      </w:r>
    </w:p>
    <w:p w14:paraId="6AF17E08" w14:textId="25D0EC2F" w:rsidR="00ED5BF0" w:rsidRPr="00CB336D" w:rsidRDefault="00ED5BF0" w:rsidP="00F3279A">
      <w:pPr>
        <w:spacing w:line="480" w:lineRule="auto"/>
        <w:rPr>
          <w:lang w:val="en-US"/>
        </w:rPr>
      </w:pPr>
      <w:r>
        <w:rPr>
          <w:lang w:val="en-US"/>
        </w:rPr>
        <w:t xml:space="preserve">For both the seized and bought </w:t>
      </w:r>
      <w:r w:rsidR="003F64F8">
        <w:rPr>
          <w:lang w:val="en-US"/>
        </w:rPr>
        <w:t>SP</w:t>
      </w:r>
      <w:r>
        <w:rPr>
          <w:lang w:val="en-US"/>
        </w:rPr>
        <w:t xml:space="preserve">s, </w:t>
      </w:r>
      <w:r w:rsidRPr="008E13D5">
        <w:rPr>
          <w:lang w:val="en-US"/>
        </w:rPr>
        <w:t xml:space="preserve">the </w:t>
      </w:r>
      <w:r>
        <w:rPr>
          <w:lang w:val="en-US"/>
        </w:rPr>
        <w:t>material</w:t>
      </w:r>
      <w:r w:rsidRPr="008E13D5">
        <w:rPr>
          <w:lang w:val="en-US"/>
        </w:rPr>
        <w:t xml:space="preserve"> was poured onto a clean, plane surface</w:t>
      </w:r>
      <w:r>
        <w:rPr>
          <w:lang w:val="en-US"/>
        </w:rPr>
        <w:t xml:space="preserve"> and</w:t>
      </w:r>
      <w:r w:rsidRPr="008E13D5">
        <w:rPr>
          <w:lang w:val="en-US"/>
        </w:rPr>
        <w:t xml:space="preserve"> evenly divided </w:t>
      </w:r>
      <w:r>
        <w:rPr>
          <w:lang w:val="en-US"/>
        </w:rPr>
        <w:t>into</w:t>
      </w:r>
      <w:r w:rsidRPr="008E13D5">
        <w:rPr>
          <w:lang w:val="en-US"/>
        </w:rPr>
        <w:t xml:space="preserve"> aliquot of ca. </w:t>
      </w:r>
      <w:r>
        <w:rPr>
          <w:lang w:val="en-US"/>
        </w:rPr>
        <w:t>5</w:t>
      </w:r>
      <w:r w:rsidRPr="008E13D5">
        <w:rPr>
          <w:lang w:val="en-US"/>
        </w:rPr>
        <w:t>00 mg</w:t>
      </w:r>
      <w:r>
        <w:rPr>
          <w:lang w:val="en-US"/>
        </w:rPr>
        <w:t xml:space="preserve">. </w:t>
      </w:r>
      <w:r w:rsidR="0079447F">
        <w:rPr>
          <w:lang w:val="en-US"/>
        </w:rPr>
        <w:t xml:space="preserve">If less than 500 mg were available, the complete </w:t>
      </w:r>
      <w:r w:rsidR="003B3D7C">
        <w:rPr>
          <w:lang w:val="en-US"/>
        </w:rPr>
        <w:t>sample</w:t>
      </w:r>
      <w:r w:rsidR="0079447F">
        <w:rPr>
          <w:lang w:val="en-US"/>
        </w:rPr>
        <w:t xml:space="preserve"> was extracted</w:t>
      </w:r>
      <w:r>
        <w:rPr>
          <w:lang w:val="en"/>
        </w:rPr>
        <w:t>.</w:t>
      </w:r>
      <w:r>
        <w:rPr>
          <w:lang w:val="en-US"/>
        </w:rPr>
        <w:t xml:space="preserve"> The herbal material was rinsed twice with </w:t>
      </w:r>
      <w:proofErr w:type="spellStart"/>
      <w:r>
        <w:rPr>
          <w:lang w:val="en-US"/>
        </w:rPr>
        <w:t>MeCN</w:t>
      </w:r>
      <w:proofErr w:type="spellEnd"/>
      <w:r>
        <w:rPr>
          <w:lang w:val="en-US"/>
        </w:rPr>
        <w:t xml:space="preserve">, once with 5 mL and again with 2 </w:t>
      </w:r>
      <w:proofErr w:type="spellStart"/>
      <w:r>
        <w:rPr>
          <w:lang w:val="en-US"/>
        </w:rPr>
        <w:t>mL.</w:t>
      </w:r>
      <w:proofErr w:type="spellEnd"/>
      <w:r>
        <w:rPr>
          <w:lang w:val="en-US"/>
        </w:rPr>
        <w:t xml:space="preserve"> The two extracts were combined and evaporated to dryness and dissolved again in </w:t>
      </w:r>
      <w:r w:rsidRPr="00C23A15">
        <w:rPr>
          <w:lang w:val="en-US"/>
        </w:rPr>
        <w:t>1.5 mL ethyl acetate</w:t>
      </w:r>
      <w:r w:rsidR="00316646">
        <w:rPr>
          <w:lang w:val="en-US"/>
        </w:rPr>
        <w:t>/</w:t>
      </w:r>
      <w:r w:rsidRPr="00C23A15">
        <w:rPr>
          <w:lang w:val="en-US"/>
        </w:rPr>
        <w:t xml:space="preserve">hexane (1:2, </w:t>
      </w:r>
      <w:proofErr w:type="gramStart"/>
      <w:r w:rsidRPr="00C23A15">
        <w:rPr>
          <w:lang w:val="en-US"/>
        </w:rPr>
        <w:t>v:v</w:t>
      </w:r>
      <w:proofErr w:type="gramEnd"/>
      <w:r w:rsidRPr="00C23A15">
        <w:rPr>
          <w:lang w:val="en-US"/>
        </w:rPr>
        <w:t>)</w:t>
      </w:r>
      <w:r>
        <w:rPr>
          <w:lang w:val="en-US"/>
        </w:rPr>
        <w:t xml:space="preserve"> for injection into the </w:t>
      </w:r>
      <w:r w:rsidR="00E955F2">
        <w:t>flash-chromatography</w:t>
      </w:r>
      <w:r w:rsidR="00E955F2">
        <w:rPr>
          <w:lang w:val="en-US"/>
        </w:rPr>
        <w:t xml:space="preserve"> (</w:t>
      </w:r>
      <w:r>
        <w:rPr>
          <w:lang w:val="en-US"/>
        </w:rPr>
        <w:t>F-LC</w:t>
      </w:r>
      <w:r w:rsidR="00E955F2">
        <w:rPr>
          <w:lang w:val="en-US"/>
        </w:rPr>
        <w:t>)</w:t>
      </w:r>
      <w:r>
        <w:rPr>
          <w:lang w:val="en-US"/>
        </w:rPr>
        <w:t xml:space="preserve">. </w:t>
      </w:r>
    </w:p>
    <w:p w14:paraId="5F5E5EC5" w14:textId="7CA58E3E" w:rsidR="00533A47" w:rsidRPr="00DF6AE9" w:rsidRDefault="003A7899" w:rsidP="00F3279A">
      <w:pPr>
        <w:spacing w:line="480" w:lineRule="auto"/>
      </w:pPr>
      <w:r>
        <w:t xml:space="preserve">Self-made SPs were prepared for </w:t>
      </w:r>
      <w:r>
        <w:rPr>
          <w:b/>
        </w:rPr>
        <w:t>1</w:t>
      </w:r>
      <w:r>
        <w:t xml:space="preserve"> (MDMB-</w:t>
      </w:r>
      <w:r w:rsidRPr="002936F5">
        <w:t>07, 97.5 ± 2 % purity</w:t>
      </w:r>
      <w:r w:rsidR="003B7498">
        <w:t xml:space="preserve"> </w:t>
      </w:r>
      <w:r w:rsidRPr="002936F5">
        <w:fldChar w:fldCharType="begin"/>
      </w:r>
      <w:r w:rsidR="00D67D04">
        <w:instrText xml:space="preserve"> ADDIN EN.CITE &lt;EndNote&gt;&lt;Cite&gt;&lt;Author&gt;Schoenberger&lt;/Author&gt;&lt;Year&gt;2012&lt;/Year&gt;&lt;RecNum&gt;53&lt;/RecNum&gt;&lt;DisplayText&gt;[28]&lt;/DisplayText&gt;&lt;record&gt;&lt;rec-number&gt;53&lt;/rec-number&gt;&lt;foreign-keys&gt;&lt;key app="EN" db-id="0rddxvvew22rz1e0fxk52w2v5v9ad9et50ep" timestamp="1525764406"&gt;53&lt;/key&gt;&lt;/foreign-keys&gt;&lt;ref-type name="Journal Article"&gt;17&lt;/ref-type&gt;&lt;contributors&gt;&lt;authors&gt;&lt;author&gt;Schoenberger, T.&lt;/author&gt;&lt;/authors&gt;&lt;/contributors&gt;&lt;auth-address&gt;Federal Criminal Police Office, Forensic Science Institute, Wiesbaden, Germany. torsten.schoenberger@bka.bund.de&lt;/auth-address&gt;&lt;titles&gt;&lt;title&gt;Determination of standard sample purity using the high-precision 1H-NMR process&lt;/title&gt;&lt;secondary-title&gt;Anal Bioanal Chem&lt;/secondary-title&gt;&lt;alt-title&gt;Analytical and bioanalytical chemistry&lt;/alt-title&gt;&lt;/titles&gt;&lt;periodical&gt;&lt;full-title&gt;Analytical and Bioanalytical Chemistry&lt;/full-title&gt;&lt;abbr-1&gt;Anal. Bioanal. Chem.&lt;/abbr-1&gt;&lt;abbr-2&gt;Anal Bioanal Chem&lt;/abbr-2&gt;&lt;/periodical&gt;&lt;alt-periodical&gt;&lt;full-title&gt;Analytical and Bioanalytical Chemistry&lt;/full-title&gt;&lt;abbr-1&gt;Anal. Bioanal. Chem.&lt;/abbr-1&gt;&lt;abbr-2&gt;Anal Bioanal Chem&lt;/abbr-2&gt;&lt;/alt-periodical&gt;&lt;pages&gt;247-54&lt;/pages&gt;&lt;volume&gt;403&lt;/volume&gt;&lt;number&gt;1&lt;/number&gt;&lt;edition&gt;2012/02/14&lt;/edition&gt;&lt;keywords&gt;&lt;keyword&gt;Magnetic Resonance Spectroscopy/*methods&lt;/keyword&gt;&lt;keyword&gt;Protons&lt;/keyword&gt;&lt;keyword&gt;Reproducibility of Results&lt;/keyword&gt;&lt;keyword&gt;Uncertainty&lt;/keyword&gt;&lt;/keywords&gt;&lt;dates&gt;&lt;year&gt;2012&lt;/year&gt;&lt;pub-dates&gt;&lt;date&gt;Apr&lt;/date&gt;&lt;/pub-dates&gt;&lt;/dates&gt;&lt;isbn&gt;1618-2642&lt;/isbn&gt;&lt;accession-num&gt;22327969&lt;/accession-num&gt;&lt;urls&gt;&lt;/urls&gt;&lt;electronic-resource-num&gt;10.1007/s00216-012-5777-1&lt;/electronic-resource-num&gt;&lt;remote-database-provider&gt;NLM&lt;/remote-database-provider&gt;&lt;language&gt;eng&lt;/language&gt;&lt;/record&gt;&lt;/Cite&gt;&lt;/EndNote&gt;</w:instrText>
      </w:r>
      <w:r w:rsidRPr="002936F5">
        <w:fldChar w:fldCharType="separate"/>
      </w:r>
      <w:r w:rsidR="00D67D04">
        <w:rPr>
          <w:noProof/>
        </w:rPr>
        <w:t>[28]</w:t>
      </w:r>
      <w:r w:rsidRPr="002936F5">
        <w:fldChar w:fldCharType="end"/>
      </w:r>
      <w:r>
        <w:t xml:space="preserve">) and </w:t>
      </w:r>
      <w:r>
        <w:rPr>
          <w:b/>
        </w:rPr>
        <w:t>2</w:t>
      </w:r>
      <w:r>
        <w:t xml:space="preserve"> (</w:t>
      </w:r>
      <w:r w:rsidRPr="003B7498">
        <w:t xml:space="preserve">Peg-01 </w:t>
      </w:r>
      <w:r w:rsidR="003B7498" w:rsidRPr="003B7498">
        <w:t>98.4</w:t>
      </w:r>
      <w:r w:rsidRPr="003B7498">
        <w:t xml:space="preserve"> ± 2 % purity</w:t>
      </w:r>
      <w:r w:rsidR="003B7498" w:rsidRPr="003B7498">
        <w:t xml:space="preserve"> </w:t>
      </w:r>
      <w:r w:rsidRPr="003B7498">
        <w:fldChar w:fldCharType="begin"/>
      </w:r>
      <w:r w:rsidR="00D67D04">
        <w:instrText xml:space="preserve"> ADDIN EN.CITE &lt;EndNote&gt;&lt;Cite&gt;&lt;Author&gt;Schoenberger&lt;/Author&gt;&lt;Year&gt;2012&lt;/Year&gt;&lt;RecNum&gt;53&lt;/RecNum&gt;&lt;DisplayText&gt;[28]&lt;/DisplayText&gt;&lt;record&gt;&lt;rec-number&gt;53&lt;/rec-number&gt;&lt;foreign-keys&gt;&lt;key app="EN" db-id="0rddxvvew22rz1e0fxk52w2v5v9ad9et50ep" timestamp="1525764406"&gt;53&lt;/key&gt;&lt;/foreign-keys&gt;&lt;ref-type name="Journal Article"&gt;17&lt;/ref-type&gt;&lt;contributors&gt;&lt;authors&gt;&lt;author&gt;Schoenberger, T.&lt;/author&gt;&lt;/authors&gt;&lt;/contributors&gt;&lt;auth-address&gt;Federal Criminal Police Office, Forensic Science Institute, Wiesbaden, Germany. torsten.schoenberger@bka.bund.de&lt;/auth-address&gt;&lt;titles&gt;&lt;title&gt;Determination of standard sample purity using the high-precision 1H-NMR process&lt;/title&gt;&lt;secondary-title&gt;Anal Bioanal Chem&lt;/secondary-title&gt;&lt;alt-title&gt;Analytical and bioanalytical chemistry&lt;/alt-title&gt;&lt;/titles&gt;&lt;periodical&gt;&lt;full-title&gt;Analytical and Bioanalytical Chemistry&lt;/full-title&gt;&lt;abbr-1&gt;Anal. Bioanal. Chem.&lt;/abbr-1&gt;&lt;abbr-2&gt;Anal Bioanal Chem&lt;/abbr-2&gt;&lt;/periodical&gt;&lt;alt-periodical&gt;&lt;full-title&gt;Analytical and Bioanalytical Chemistry&lt;/full-title&gt;&lt;abbr-1&gt;Anal. Bioanal. Chem.&lt;/abbr-1&gt;&lt;abbr-2&gt;Anal Bioanal Chem&lt;/abbr-2&gt;&lt;/alt-periodical&gt;&lt;pages&gt;247-54&lt;/pages&gt;&lt;volume&gt;403&lt;/volume&gt;&lt;number&gt;1&lt;/number&gt;&lt;edition&gt;2012/02/14&lt;/edition&gt;&lt;keywords&gt;&lt;keyword&gt;Magnetic Resonance Spectroscopy/*methods&lt;/keyword&gt;&lt;keyword&gt;Protons&lt;/keyword&gt;&lt;keyword&gt;Reproducibility of Results&lt;/keyword&gt;&lt;keyword&gt;Uncertainty&lt;/keyword&gt;&lt;/keywords&gt;&lt;dates&gt;&lt;year&gt;2012&lt;/year&gt;&lt;pub-dates&gt;&lt;date&gt;Apr&lt;/date&gt;&lt;/pub-dates&gt;&lt;/dates&gt;&lt;isbn&gt;1618-2642&lt;/isbn&gt;&lt;accession-num&gt;22327969&lt;/accession-num&gt;&lt;urls&gt;&lt;/urls&gt;&lt;electronic-resource-num&gt;10.1007/s00216-012-5777-1&lt;/electronic-resource-num&gt;&lt;remote-database-provider&gt;NLM&lt;/remote-database-provider&gt;&lt;language&gt;eng&lt;/language&gt;&lt;/record&gt;&lt;/Cite&gt;&lt;/EndNote&gt;</w:instrText>
      </w:r>
      <w:r w:rsidRPr="003B7498">
        <w:fldChar w:fldCharType="separate"/>
      </w:r>
      <w:r w:rsidR="00D67D04">
        <w:rPr>
          <w:noProof/>
        </w:rPr>
        <w:t>[28]</w:t>
      </w:r>
      <w:r w:rsidRPr="003B7498">
        <w:fldChar w:fldCharType="end"/>
      </w:r>
      <w:r w:rsidRPr="003B7498">
        <w:t>)</w:t>
      </w:r>
      <w:r w:rsidRPr="0052498E">
        <w:t xml:space="preserve"> </w:t>
      </w:r>
      <w:r>
        <w:t xml:space="preserve">by dissolving 300 mg of pure substance in 10 mL Acetone and impregnating 3 g of damiana herb. After drying </w:t>
      </w:r>
      <w:r>
        <w:lastRenderedPageBreak/>
        <w:t xml:space="preserve">for 24 hours, each of these SPs were prepared according to the sample preparation procedure of seized SP. Each self-made SP was extracted and cleaned up in triplicate. </w:t>
      </w:r>
      <w:r w:rsidR="00366EA3">
        <w:t xml:space="preserve">The corresponding isotopic data can be taken from the supplementary material. </w:t>
      </w:r>
      <w:r w:rsidR="00533A47">
        <w:t xml:space="preserve">A maximum difference of 0.15 </w:t>
      </w:r>
      <w:r w:rsidR="00533A47" w:rsidRPr="008E13D5">
        <w:rPr>
          <w:szCs w:val="22"/>
          <w:lang w:val="en-US"/>
        </w:rPr>
        <w:t>‰</w:t>
      </w:r>
      <w:r w:rsidR="00533A47">
        <w:rPr>
          <w:szCs w:val="22"/>
          <w:lang w:val="en-US"/>
        </w:rPr>
        <w:t xml:space="preserve"> for</w:t>
      </w:r>
      <w:r w:rsidR="00533A47">
        <w:t xml:space="preserve"> </w:t>
      </w:r>
      <w:r w:rsidR="00533A47" w:rsidRPr="0046549B">
        <w:t>δ</w:t>
      </w:r>
      <w:r w:rsidR="00533A47" w:rsidRPr="0046549B">
        <w:rPr>
          <w:vertAlign w:val="superscript"/>
        </w:rPr>
        <w:t>13</w:t>
      </w:r>
      <w:r w:rsidR="00533A47">
        <w:t xml:space="preserve">C and 0.20 </w:t>
      </w:r>
      <w:r w:rsidR="00533A47" w:rsidRPr="008E13D5">
        <w:rPr>
          <w:szCs w:val="22"/>
          <w:lang w:val="en-US"/>
        </w:rPr>
        <w:t>‰</w:t>
      </w:r>
      <w:r w:rsidR="00533A47">
        <w:t xml:space="preserve"> for</w:t>
      </w:r>
      <w:r w:rsidR="00533A47" w:rsidRPr="0046549B">
        <w:t xml:space="preserve"> δ</w:t>
      </w:r>
      <w:r w:rsidR="00533A47" w:rsidRPr="0046549B">
        <w:rPr>
          <w:vertAlign w:val="superscript"/>
        </w:rPr>
        <w:t>15</w:t>
      </w:r>
      <w:r w:rsidR="00533A47" w:rsidRPr="0046549B">
        <w:t>N</w:t>
      </w:r>
      <w:r w:rsidR="00533A47">
        <w:t xml:space="preserve"> between all </w:t>
      </w:r>
      <w:r w:rsidR="00533A47" w:rsidRPr="003624A0">
        <w:t xml:space="preserve">measurements for </w:t>
      </w:r>
      <w:r w:rsidR="00533A47" w:rsidRPr="003624A0">
        <w:rPr>
          <w:b/>
        </w:rPr>
        <w:t>1</w:t>
      </w:r>
      <w:r w:rsidR="00533A47" w:rsidRPr="003624A0">
        <w:t xml:space="preserve">, and 0.12 </w:t>
      </w:r>
      <w:r w:rsidR="00533A47" w:rsidRPr="003624A0">
        <w:rPr>
          <w:szCs w:val="22"/>
          <w:lang w:val="en-US"/>
        </w:rPr>
        <w:t>‰ for</w:t>
      </w:r>
      <w:r w:rsidR="00533A47" w:rsidRPr="003624A0">
        <w:t xml:space="preserve"> δ</w:t>
      </w:r>
      <w:r w:rsidR="00533A47" w:rsidRPr="003624A0">
        <w:rPr>
          <w:vertAlign w:val="superscript"/>
        </w:rPr>
        <w:t>13</w:t>
      </w:r>
      <w:r w:rsidR="00533A47" w:rsidRPr="003624A0">
        <w:t xml:space="preserve">C and 0.13 </w:t>
      </w:r>
      <w:r w:rsidR="00533A47" w:rsidRPr="003624A0">
        <w:rPr>
          <w:szCs w:val="22"/>
          <w:lang w:val="en-US"/>
        </w:rPr>
        <w:t>‰</w:t>
      </w:r>
      <w:r w:rsidR="00533A47" w:rsidRPr="003624A0">
        <w:t xml:space="preserve"> for δ</w:t>
      </w:r>
      <w:r w:rsidR="00533A47" w:rsidRPr="003624A0">
        <w:rPr>
          <w:vertAlign w:val="superscript"/>
        </w:rPr>
        <w:t>15</w:t>
      </w:r>
      <w:r w:rsidR="00533A47" w:rsidRPr="003624A0">
        <w:t xml:space="preserve">N between all measurements for </w:t>
      </w:r>
      <w:r w:rsidR="00533A47" w:rsidRPr="003624A0">
        <w:rPr>
          <w:b/>
        </w:rPr>
        <w:t>2</w:t>
      </w:r>
      <w:r w:rsidR="00533A47" w:rsidRPr="003624A0">
        <w:t xml:space="preserve"> was calculated. Hence, neither the extraction from herbal material, nor the subsequent clean up via F-LC had influence on the isotopic</w:t>
      </w:r>
      <w:r w:rsidR="00533A47">
        <w:t xml:space="preserve"> composition of any synthetic cannabinoid. </w:t>
      </w:r>
    </w:p>
    <w:p w14:paraId="6BBB9CE5" w14:textId="3D2D9174" w:rsidR="00E26BEC" w:rsidRDefault="00E26BEC" w:rsidP="00F3279A">
      <w:pPr>
        <w:spacing w:line="480" w:lineRule="auto"/>
        <w:rPr>
          <w:i/>
          <w:sz w:val="24"/>
        </w:rPr>
      </w:pPr>
    </w:p>
    <w:p w14:paraId="1831EC94" w14:textId="7AE335F8" w:rsidR="00BD2F99" w:rsidRPr="00366EA3" w:rsidRDefault="002D008C" w:rsidP="00F3279A">
      <w:pPr>
        <w:spacing w:line="480" w:lineRule="auto"/>
        <w:rPr>
          <w:i/>
        </w:rPr>
      </w:pPr>
      <w:r>
        <w:rPr>
          <w:i/>
        </w:rPr>
        <w:t>2.</w:t>
      </w:r>
      <w:r w:rsidR="004E6F99">
        <w:rPr>
          <w:i/>
        </w:rPr>
        <w:t>4</w:t>
      </w:r>
      <w:r>
        <w:rPr>
          <w:i/>
        </w:rPr>
        <w:t xml:space="preserve"> </w:t>
      </w:r>
      <w:r w:rsidR="004E2C9D" w:rsidRPr="00366EA3">
        <w:rPr>
          <w:i/>
        </w:rPr>
        <w:t>I</w:t>
      </w:r>
      <w:r w:rsidR="00BD2F99" w:rsidRPr="00366EA3">
        <w:rPr>
          <w:i/>
        </w:rPr>
        <w:t>solation</w:t>
      </w:r>
      <w:r w:rsidR="0073267C" w:rsidRPr="00366EA3">
        <w:rPr>
          <w:i/>
        </w:rPr>
        <w:t xml:space="preserve"> of the main component</w:t>
      </w:r>
      <w:r w:rsidR="00BD2F99" w:rsidRPr="00366EA3">
        <w:rPr>
          <w:i/>
        </w:rPr>
        <w:t xml:space="preserve"> </w:t>
      </w:r>
      <w:r w:rsidR="004E2C9D" w:rsidRPr="00366EA3">
        <w:rPr>
          <w:i/>
        </w:rPr>
        <w:t xml:space="preserve">and assessment </w:t>
      </w:r>
      <w:r w:rsidR="00BD2F99" w:rsidRPr="00366EA3">
        <w:rPr>
          <w:i/>
        </w:rPr>
        <w:t>of impurity signatures</w:t>
      </w:r>
    </w:p>
    <w:p w14:paraId="234A6B2D" w14:textId="77777777" w:rsidR="007979A7" w:rsidRDefault="00F35D7F" w:rsidP="007979A7">
      <w:pPr>
        <w:spacing w:line="480" w:lineRule="auto"/>
      </w:pPr>
      <w:r>
        <w:t xml:space="preserve">In comparison to </w:t>
      </w:r>
      <w:r w:rsidR="00FC2066">
        <w:t xml:space="preserve">our </w:t>
      </w:r>
      <w:r>
        <w:t>previous IRMS measurements of synthetic cannabinoids</w:t>
      </w:r>
      <w:r w:rsidR="003B7498">
        <w:t xml:space="preserve"> </w:t>
      </w:r>
      <w:r>
        <w:fldChar w:fldCharType="begin"/>
      </w:r>
      <w:r w:rsidR="00013CF4">
        <w:instrText xml:space="preserve"> ADDIN EN.CITE &lt;EndNote&gt;&lt;Cite&gt;&lt;Author&gt;Münster-Müller&lt;/Author&gt;&lt;Year&gt;2018&lt;/Year&gt;&lt;RecNum&gt;57&lt;/RecNum&gt;&lt;DisplayText&gt;[21]&lt;/DisplayText&gt;&lt;record&gt;&lt;rec-number&gt;57&lt;/rec-number&gt;&lt;foreign-keys&gt;&lt;key app="EN" db-id="0rddxvvew22rz1e0fxk52w2v5v9ad9et50ep" timestamp="1538046330"&gt;57&lt;/key&gt;&lt;/foreign-keys&gt;&lt;ref-type name="Journal Article"&gt;17&lt;/ref-type&gt;&lt;contributors&gt;&lt;authors&gt;&lt;author&gt;Münster-Müller, S.&lt;/author&gt;&lt;author&gt;Scheid, N.&lt;/author&gt;&lt;author&gt;Holdermann, T.&lt;/author&gt;&lt;author&gt;Schneiders, S.&lt;/author&gt;&lt;author&gt;Pütz, M.&lt;/author&gt;&lt;/authors&gt;&lt;/contributors&gt;&lt;titles&gt;&lt;title&gt;Profiling of new psychoactive substances by using stable isotope ratio mass spectrometry: Study of the synthetic cannabinoid 5F-PB-22&lt;/title&gt;&lt;secondary-title&gt;Drug Testing and Analysis&lt;/secondary-title&gt;&lt;/titles&gt;&lt;periodical&gt;&lt;full-title&gt;Drug Testing and Analysis&lt;/full-title&gt;&lt;abbr-1&gt;Drug. Test. Anal.&lt;/abbr-1&gt;&lt;/periodical&gt;&lt;pages&gt;1323-1327&lt;/pages&gt;&lt;volume&gt;10&lt;/volume&gt;&lt;number&gt;8&lt;/number&gt;&lt;keywords&gt;&lt;keyword&gt;5F-PB-22&lt;/keyword&gt;&lt;keyword&gt;drug profiling&lt;/keyword&gt;&lt;keyword&gt;EA-IRMS&lt;/keyword&gt;&lt;keyword&gt;new psychoactive substances (NPS)&lt;/keyword&gt;&lt;keyword&gt;stable isotope ratio analysis&lt;/keyword&gt;&lt;/keywords&gt;&lt;dates&gt;&lt;year&gt;2018&lt;/year&gt;&lt;/dates&gt;&lt;isbn&gt;1942-7603&lt;/isbn&gt;&lt;urls&gt;&lt;related-urls&gt;&lt;url&gt;https://doi.org/10.1002/dta.2407&lt;/url&gt;&lt;/related-urls&gt;&lt;/urls&gt;&lt;electronic-resource-num&gt;doi:10.1002/dta.2407&lt;/electronic-resource-num&gt;&lt;modified-date&gt;Dta-18-0014.r1&lt;/modified-date&gt;&lt;/record&gt;&lt;/Cite&gt;&lt;/EndNote&gt;</w:instrText>
      </w:r>
      <w:r>
        <w:fldChar w:fldCharType="separate"/>
      </w:r>
      <w:r w:rsidR="00013CF4">
        <w:rPr>
          <w:noProof/>
        </w:rPr>
        <w:t>[21]</w:t>
      </w:r>
      <w:r>
        <w:fldChar w:fldCharType="end"/>
      </w:r>
      <w:r>
        <w:t xml:space="preserve">, the manual preparative column chromatography was </w:t>
      </w:r>
      <w:r w:rsidR="00D67D04">
        <w:t>replaced w</w:t>
      </w:r>
      <w:r>
        <w:t xml:space="preserve">ith automated preparative F-LC as sample </w:t>
      </w:r>
      <w:r w:rsidR="0041195F">
        <w:t>preparation tool</w:t>
      </w:r>
      <w:r w:rsidR="00FC2066">
        <w:t xml:space="preserve"> as reported in a previous study</w:t>
      </w:r>
      <w:r w:rsidR="003B7498">
        <w:t xml:space="preserve"> </w:t>
      </w:r>
      <w:r w:rsidR="00FC2066">
        <w:rPr>
          <w:szCs w:val="24"/>
        </w:rPr>
        <w:fldChar w:fldCharType="begin"/>
      </w:r>
      <w:r w:rsidR="00013CF4">
        <w:rPr>
          <w:szCs w:val="24"/>
        </w:rPr>
        <w:instrText xml:space="preserve"> ADDIN EN.CITE &lt;EndNote&gt;&lt;Cite&gt;&lt;Author&gt;Münster-Müller&lt;/Author&gt;&lt;Year&gt;2018&lt;/Year&gt;&lt;RecNum&gt;56&lt;/RecNum&gt;&lt;DisplayText&gt;[22]&lt;/DisplayText&gt;&lt;record&gt;&lt;rec-number&gt;56&lt;/rec-number&gt;&lt;foreign-keys&gt;&lt;key app="EN" db-id="0rddxvvew22rz1e0fxk52w2v5v9ad9et50ep" timestamp="1537963252"&gt;56&lt;/key&gt;&lt;/foreign-keys&gt;&lt;ref-type name="Journal Article"&gt;17&lt;/ref-type&gt;&lt;contributors&gt;&lt;authors&gt;&lt;author&gt;Münster-Müller, Sascha&lt;/author&gt;&lt;author&gt;Zimmermann, Ralf&lt;/author&gt;&lt;author&gt;Pütz, Michael&lt;/author&gt;&lt;/authors&gt;&lt;/contributors&gt;&lt;titles&gt;&lt;title&gt;A Novel Impurity-Profiling Workflow with the Combination of Flash-Chromatography, UHPLC-MS, and Multivariate Data Analysis for Highly Pure Drugs: A Study on the Synthetic Cannabinoid MDMB-CHMICA&lt;/title&gt;&lt;secondary-title&gt;Analytical Chemistry&lt;/secondary-title&gt;&lt;/titles&gt;&lt;periodical&gt;&lt;full-title&gt;Analytical Chemistry&lt;/full-title&gt;&lt;abbr-1&gt;Anal. Chem.&lt;/abbr-1&gt;&lt;abbr-2&gt;Anal Chem&lt;/abbr-2&gt;&lt;/periodical&gt;&lt;pages&gt;10559-10567&lt;/pages&gt;&lt;volume&gt;90&lt;/volume&gt;&lt;number&gt;17&lt;/number&gt;&lt;dates&gt;&lt;year&gt;2018&lt;/year&gt;&lt;pub-dates&gt;&lt;date&gt;2018/09/04&lt;/date&gt;&lt;/pub-dates&gt;&lt;/dates&gt;&lt;publisher&gt;American Chemical Society&lt;/publisher&gt;&lt;isbn&gt;0003-2700&lt;/isbn&gt;&lt;urls&gt;&lt;related-urls&gt;&lt;url&gt;https://doi.org/10.1021/acs.analchem.8b02679&lt;/url&gt;&lt;/related-urls&gt;&lt;/urls&gt;&lt;electronic-resource-num&gt;10.1021/acs.analchem.8b02679&lt;/electronic-resource-num&gt;&lt;/record&gt;&lt;/Cite&gt;&lt;/EndNote&gt;</w:instrText>
      </w:r>
      <w:r w:rsidR="00FC2066">
        <w:rPr>
          <w:szCs w:val="24"/>
        </w:rPr>
        <w:fldChar w:fldCharType="separate"/>
      </w:r>
      <w:r w:rsidR="00013CF4">
        <w:rPr>
          <w:noProof/>
          <w:szCs w:val="24"/>
        </w:rPr>
        <w:t>[22]</w:t>
      </w:r>
      <w:r w:rsidR="00FC2066">
        <w:rPr>
          <w:szCs w:val="24"/>
        </w:rPr>
        <w:fldChar w:fldCharType="end"/>
      </w:r>
      <w:r>
        <w:t xml:space="preserve">. </w:t>
      </w:r>
      <w:r w:rsidR="00FC2066">
        <w:t>By precise fractionation of the F-LC</w:t>
      </w:r>
      <w:r w:rsidR="00351BFA">
        <w:t xml:space="preserve"> (</w:t>
      </w:r>
      <w:proofErr w:type="spellStart"/>
      <w:r w:rsidR="00351BFA">
        <w:t>Sepacore</w:t>
      </w:r>
      <w:proofErr w:type="spellEnd"/>
      <w:r w:rsidR="00351BFA">
        <w:t xml:space="preserve"> X50, </w:t>
      </w:r>
      <w:proofErr w:type="spellStart"/>
      <w:r w:rsidR="00351BFA">
        <w:t>Büchi</w:t>
      </w:r>
      <w:proofErr w:type="spellEnd"/>
      <w:r w:rsidR="00351BFA">
        <w:t xml:space="preserve"> </w:t>
      </w:r>
      <w:proofErr w:type="spellStart"/>
      <w:r w:rsidR="00351BFA">
        <w:t>Labortechnik</w:t>
      </w:r>
      <w:proofErr w:type="spellEnd"/>
      <w:r w:rsidR="00351BFA">
        <w:t>)</w:t>
      </w:r>
      <w:r w:rsidR="00FC2066">
        <w:t xml:space="preserve">, the main component fraction can be selectively cut out of the chromatographic run and is available for analysis via IRMS. </w:t>
      </w:r>
      <w:r w:rsidR="007979A7">
        <w:rPr>
          <w:lang w:val="en-US"/>
        </w:rPr>
        <w:t xml:space="preserve">The F-LC gradient program used for </w:t>
      </w:r>
      <w:r w:rsidR="007979A7">
        <w:rPr>
          <w:b/>
          <w:lang w:val="en-US"/>
        </w:rPr>
        <w:t>1</w:t>
      </w:r>
      <w:r w:rsidR="007979A7">
        <w:rPr>
          <w:lang w:val="en-US"/>
        </w:rPr>
        <w:t xml:space="preserve"> to separate related synthesis impurities from the main component and </w:t>
      </w:r>
      <w:r w:rsidR="007979A7" w:rsidRPr="009A0A0F">
        <w:rPr>
          <w:b/>
          <w:lang w:val="en-US"/>
        </w:rPr>
        <w:t xml:space="preserve">2 </w:t>
      </w:r>
      <w:r w:rsidR="007979A7" w:rsidRPr="009A0A0F">
        <w:rPr>
          <w:lang w:val="en-US"/>
        </w:rPr>
        <w:t>for main component clean-up</w:t>
      </w:r>
      <w:r w:rsidR="007979A7" w:rsidRPr="009A0A0F">
        <w:rPr>
          <w:b/>
          <w:lang w:val="en-US"/>
        </w:rPr>
        <w:t xml:space="preserve"> </w:t>
      </w:r>
      <w:r w:rsidR="007979A7" w:rsidRPr="009A0A0F">
        <w:rPr>
          <w:lang w:val="en-US"/>
        </w:rPr>
        <w:t>can be taken from the supplementary material</w:t>
      </w:r>
      <w:r w:rsidR="007979A7">
        <w:rPr>
          <w:lang w:val="en-US"/>
        </w:rPr>
        <w:t>.</w:t>
      </w:r>
      <w:r w:rsidR="007979A7" w:rsidRPr="002F4614">
        <w:t xml:space="preserve"> </w:t>
      </w:r>
      <w:r w:rsidR="007979A7">
        <w:t>The purity (absence of by-products or matrix components from herbal material) of the main components were validated via UHPLC-MS and GC-MS prior to IRMS measurements.</w:t>
      </w:r>
    </w:p>
    <w:p w14:paraId="4047FCC3" w14:textId="32972F87" w:rsidR="007979A7" w:rsidRDefault="00FC2066" w:rsidP="00F3279A">
      <w:pPr>
        <w:spacing w:line="480" w:lineRule="auto"/>
      </w:pPr>
      <w:r>
        <w:t xml:space="preserve">The remaining fractions </w:t>
      </w:r>
      <w:r w:rsidR="00223073">
        <w:t xml:space="preserve">of the F-LC run </w:t>
      </w:r>
      <w:r>
        <w:t>containing related synthesis impurities are pooled again for analysis of the chromatographic impurity signatures via UHPLC-MS</w:t>
      </w:r>
      <w:r w:rsidR="007A5B0F">
        <w:t xml:space="preserve"> (</w:t>
      </w:r>
      <w:proofErr w:type="spellStart"/>
      <w:r w:rsidR="007A5B0F">
        <w:t>Dionex</w:t>
      </w:r>
      <w:proofErr w:type="spellEnd"/>
      <w:r w:rsidR="007A5B0F">
        <w:t xml:space="preserve"> 3000, Thermo Scientific; </w:t>
      </w:r>
      <w:proofErr w:type="spellStart"/>
      <w:r w:rsidR="007A5B0F">
        <w:t>AmaZon</w:t>
      </w:r>
      <w:proofErr w:type="spellEnd"/>
      <w:r w:rsidR="007A5B0F">
        <w:t xml:space="preserve"> Speed, Bruker)</w:t>
      </w:r>
      <w:r>
        <w:t>.</w:t>
      </w:r>
      <w:r w:rsidR="00351BFA">
        <w:t xml:space="preserve"> </w:t>
      </w:r>
      <w:r w:rsidR="007979A7">
        <w:t>More detailed information about the UHPLC-MS method can be taken from the supplementary information.</w:t>
      </w:r>
    </w:p>
    <w:p w14:paraId="6D071812" w14:textId="77777777" w:rsidR="00223073" w:rsidRPr="007979A7" w:rsidRDefault="00223073" w:rsidP="00F3279A">
      <w:pPr>
        <w:spacing w:line="480" w:lineRule="auto"/>
        <w:rPr>
          <w:lang w:val="en-US"/>
        </w:rPr>
      </w:pPr>
    </w:p>
    <w:p w14:paraId="7A7470C1" w14:textId="00797078" w:rsidR="007979A7" w:rsidRPr="006D35D0" w:rsidRDefault="007979A7" w:rsidP="007979A7">
      <w:pPr>
        <w:spacing w:line="480" w:lineRule="auto"/>
        <w:rPr>
          <w:i/>
          <w:iCs/>
        </w:rPr>
      </w:pPr>
      <w:r w:rsidRPr="006D35D0">
        <w:rPr>
          <w:i/>
          <w:iCs/>
        </w:rPr>
        <w:t>2.</w:t>
      </w:r>
      <w:r w:rsidR="00223073">
        <w:rPr>
          <w:i/>
          <w:iCs/>
        </w:rPr>
        <w:t>5</w:t>
      </w:r>
      <w:r w:rsidRPr="006D35D0">
        <w:rPr>
          <w:i/>
          <w:iCs/>
        </w:rPr>
        <w:t xml:space="preserve"> </w:t>
      </w:r>
      <w:r>
        <w:rPr>
          <w:i/>
          <w:iCs/>
        </w:rPr>
        <w:t>Data processing and m</w:t>
      </w:r>
      <w:r w:rsidRPr="006D35D0">
        <w:rPr>
          <w:i/>
          <w:iCs/>
        </w:rPr>
        <w:t>ultivariate data analysis</w:t>
      </w:r>
    </w:p>
    <w:p w14:paraId="2C89CFA2" w14:textId="29ABF83A" w:rsidR="00223073" w:rsidRPr="00223073" w:rsidRDefault="00223073" w:rsidP="00223073">
      <w:pPr>
        <w:spacing w:line="480" w:lineRule="auto"/>
        <w:rPr>
          <w:lang w:val="en-US"/>
        </w:rPr>
      </w:pPr>
      <w:r>
        <w:rPr>
          <w:lang w:val="en-US"/>
        </w:rPr>
        <w:t>The LC-MS data was processed via a rectangular bucketing algorithm (</w:t>
      </w:r>
      <w:proofErr w:type="spellStart"/>
      <w:r>
        <w:rPr>
          <w:lang w:val="en-US"/>
        </w:rPr>
        <w:t>ProfileAnalysis</w:t>
      </w:r>
      <w:proofErr w:type="spellEnd"/>
      <w:r>
        <w:rPr>
          <w:lang w:val="en-US"/>
        </w:rPr>
        <w:t xml:space="preserve">, </w:t>
      </w:r>
      <w:r w:rsidRPr="00223073">
        <w:rPr>
          <w:lang w:val="en-US"/>
        </w:rPr>
        <w:t>Bruker, Billerica, MA, USA</w:t>
      </w:r>
      <w:r>
        <w:rPr>
          <w:lang w:val="en-US"/>
        </w:rPr>
        <w:t>), integrating the signals of all m/z values from 150 to 600 individually in intervals of 0.5 minutes from minute 1 to 9.5 of chromatographic runtime, forming so called buckets. The fifteen buckets of the previously assessed key-impurities for MDMB-CHMICA were extracted and analyzed via PCA and hierarchical cluster analysis (HCA) using Ward’s method with</w:t>
      </w:r>
      <w:r w:rsidRPr="00223073">
        <w:rPr>
          <w:lang w:val="en-US"/>
        </w:rPr>
        <w:t xml:space="preserve"> the software Unscrambler X (Camo, Oslo, Norway)</w:t>
      </w:r>
      <w:r>
        <w:rPr>
          <w:lang w:val="en-US"/>
        </w:rPr>
        <w:t xml:space="preserve"> </w:t>
      </w:r>
      <w:r>
        <w:t xml:space="preserve">to discriminate </w:t>
      </w:r>
      <w:r>
        <w:lastRenderedPageBreak/>
        <w:t>between individual synthesis pathways or production batches</w:t>
      </w:r>
      <w:r w:rsidRPr="00223073">
        <w:rPr>
          <w:lang w:val="en-US"/>
        </w:rPr>
        <w:t>.</w:t>
      </w:r>
      <w:r>
        <w:rPr>
          <w:lang w:val="en-US"/>
        </w:rPr>
        <w:t xml:space="preserve"> The assessment of the corresponding key-impurities for </w:t>
      </w:r>
      <w:r>
        <w:rPr>
          <w:b/>
          <w:bCs/>
          <w:lang w:val="en-US"/>
        </w:rPr>
        <w:t>1</w:t>
      </w:r>
      <w:r>
        <w:rPr>
          <w:lang w:val="en-US"/>
        </w:rPr>
        <w:t xml:space="preserve"> is described in reference [27].</w:t>
      </w:r>
    </w:p>
    <w:p w14:paraId="03643047" w14:textId="62063238" w:rsidR="0041195F" w:rsidRDefault="0041195F" w:rsidP="00F3279A">
      <w:pPr>
        <w:spacing w:line="480" w:lineRule="auto"/>
        <w:rPr>
          <w:szCs w:val="24"/>
        </w:rPr>
      </w:pPr>
    </w:p>
    <w:p w14:paraId="22C16FD4" w14:textId="6CDEF04B" w:rsidR="004E078E" w:rsidRPr="004E078E" w:rsidRDefault="002D008C" w:rsidP="00F3279A">
      <w:pPr>
        <w:spacing w:line="480" w:lineRule="auto"/>
        <w:rPr>
          <w:i/>
          <w:szCs w:val="24"/>
        </w:rPr>
      </w:pPr>
      <w:r>
        <w:rPr>
          <w:i/>
          <w:szCs w:val="24"/>
        </w:rPr>
        <w:t>2.</w:t>
      </w:r>
      <w:r w:rsidR="00223073">
        <w:rPr>
          <w:i/>
          <w:szCs w:val="24"/>
        </w:rPr>
        <w:t>6</w:t>
      </w:r>
      <w:r>
        <w:rPr>
          <w:i/>
          <w:szCs w:val="24"/>
        </w:rPr>
        <w:t xml:space="preserve"> </w:t>
      </w:r>
      <w:r w:rsidR="004E078E" w:rsidRPr="004E078E">
        <w:rPr>
          <w:i/>
          <w:szCs w:val="24"/>
        </w:rPr>
        <w:t>Isotope ratio mass spectrometry</w:t>
      </w:r>
    </w:p>
    <w:p w14:paraId="12520D96" w14:textId="6F14AEF5" w:rsidR="0041195F" w:rsidRDefault="004E078E" w:rsidP="00F3279A">
      <w:pPr>
        <w:spacing w:line="480" w:lineRule="auto"/>
      </w:pPr>
      <w:r>
        <w:rPr>
          <w:szCs w:val="24"/>
        </w:rPr>
        <w:t xml:space="preserve">Stable isotope ratios were recorded on an EA-IRMS and GC-IRMS. Generally, EA-IRMS is the preferred technique as it is </w:t>
      </w:r>
      <w:r w:rsidR="002F4614">
        <w:rPr>
          <w:szCs w:val="24"/>
        </w:rPr>
        <w:t xml:space="preserve">faster, </w:t>
      </w:r>
      <w:r>
        <w:rPr>
          <w:szCs w:val="24"/>
        </w:rPr>
        <w:t>easier to handle and less prone for malfunction</w:t>
      </w:r>
      <w:r w:rsidR="002F4614">
        <w:rPr>
          <w:szCs w:val="24"/>
        </w:rPr>
        <w:t xml:space="preserve"> compared to GC-IRMS</w:t>
      </w:r>
      <w:r>
        <w:rPr>
          <w:szCs w:val="24"/>
        </w:rPr>
        <w:t xml:space="preserve">. However, in some cases, the quantity of purified main component did not exceed </w:t>
      </w:r>
      <w:r w:rsidR="007D27D1">
        <w:rPr>
          <w:szCs w:val="24"/>
        </w:rPr>
        <w:t>6-8</w:t>
      </w:r>
      <w:r w:rsidR="00C46C5E">
        <w:rPr>
          <w:szCs w:val="24"/>
        </w:rPr>
        <w:t xml:space="preserve"> </w:t>
      </w:r>
      <w:r>
        <w:rPr>
          <w:szCs w:val="24"/>
        </w:rPr>
        <w:t xml:space="preserve">mg, </w:t>
      </w:r>
      <w:r w:rsidR="00C46C5E">
        <w:rPr>
          <w:szCs w:val="24"/>
        </w:rPr>
        <w:t>which was the minimum sample amount for weighting enough solid material into the tin cups (in triplicate)</w:t>
      </w:r>
      <w:r w:rsidR="002F4614">
        <w:rPr>
          <w:szCs w:val="24"/>
        </w:rPr>
        <w:t xml:space="preserve"> for EA</w:t>
      </w:r>
      <w:r w:rsidR="00C46C5E">
        <w:rPr>
          <w:szCs w:val="24"/>
        </w:rPr>
        <w:t xml:space="preserve">. These </w:t>
      </w:r>
      <w:r w:rsidR="007D27D1">
        <w:rPr>
          <w:szCs w:val="24"/>
        </w:rPr>
        <w:t xml:space="preserve">specific </w:t>
      </w:r>
      <w:r w:rsidR="00C46C5E">
        <w:rPr>
          <w:szCs w:val="24"/>
        </w:rPr>
        <w:t>samples were dissolved as whole in acetonitrile and diluted adequately for subsequent analysis via GC-IRMS.</w:t>
      </w:r>
    </w:p>
    <w:p w14:paraId="3B08D268" w14:textId="77777777" w:rsidR="00A91DBD" w:rsidRPr="008E13D5" w:rsidRDefault="00A91DBD" w:rsidP="00F3279A">
      <w:pPr>
        <w:spacing w:line="480" w:lineRule="auto"/>
        <w:rPr>
          <w:iCs/>
          <w:sz w:val="24"/>
          <w:szCs w:val="24"/>
          <w:lang w:eastAsia="en-GB"/>
        </w:rPr>
      </w:pPr>
    </w:p>
    <w:p w14:paraId="22C39D6A" w14:textId="3FB565CE" w:rsidR="0085733C" w:rsidRPr="004E6F99" w:rsidRDefault="004E6F99" w:rsidP="00F3279A">
      <w:pPr>
        <w:spacing w:line="480" w:lineRule="auto"/>
        <w:rPr>
          <w:i/>
        </w:rPr>
      </w:pPr>
      <w:r w:rsidRPr="004E6F99">
        <w:rPr>
          <w:i/>
        </w:rPr>
        <w:t>2.</w:t>
      </w:r>
      <w:r w:rsidR="00223073">
        <w:rPr>
          <w:i/>
        </w:rPr>
        <w:t>6</w:t>
      </w:r>
      <w:r w:rsidRPr="004E6F99">
        <w:rPr>
          <w:i/>
        </w:rPr>
        <w:t xml:space="preserve">.1 </w:t>
      </w:r>
      <w:r w:rsidR="0085733C" w:rsidRPr="004E6F99">
        <w:rPr>
          <w:i/>
        </w:rPr>
        <w:t xml:space="preserve">Elemental </w:t>
      </w:r>
      <w:r w:rsidR="00B223B5" w:rsidRPr="004E6F99">
        <w:rPr>
          <w:i/>
        </w:rPr>
        <w:t>Analyser</w:t>
      </w:r>
      <w:r w:rsidR="0085733C" w:rsidRPr="004E6F99">
        <w:rPr>
          <w:i/>
        </w:rPr>
        <w:t xml:space="preserve"> - Isotope Ratio Mass Spectrometry (EA-IRMS)</w:t>
      </w:r>
    </w:p>
    <w:p w14:paraId="4245571B" w14:textId="1CD3F0EE" w:rsidR="009E684D" w:rsidRPr="008E13D5" w:rsidRDefault="00C46C5E" w:rsidP="00F3279A">
      <w:pPr>
        <w:spacing w:line="480" w:lineRule="auto"/>
      </w:pPr>
      <w:r>
        <w:t>EA-IRMS</w:t>
      </w:r>
      <w:r w:rsidR="00AD09D1">
        <w:t xml:space="preserve"> analysis of pure and extracted material of synthetic cannabinoids was performed in triplicate for </w:t>
      </w:r>
      <w:r w:rsidR="00AD09D1" w:rsidRPr="0026480B">
        <w:t>δ</w:t>
      </w:r>
      <w:r w:rsidR="00AD09D1" w:rsidRPr="0026480B">
        <w:rPr>
          <w:vertAlign w:val="superscript"/>
        </w:rPr>
        <w:t>15</w:t>
      </w:r>
      <w:r w:rsidR="00AD09D1" w:rsidRPr="0026480B">
        <w:t>N and δ</w:t>
      </w:r>
      <w:r w:rsidR="00AD09D1" w:rsidRPr="0026480B">
        <w:rPr>
          <w:vertAlign w:val="superscript"/>
        </w:rPr>
        <w:t>13</w:t>
      </w:r>
      <w:r w:rsidR="00AD09D1" w:rsidRPr="0026480B">
        <w:t>C</w:t>
      </w:r>
      <w:r w:rsidR="00AD09D1">
        <w:t>,</w:t>
      </w:r>
      <w:r w:rsidR="00AD09D1" w:rsidRPr="00AD09D1">
        <w:t xml:space="preserve"> </w:t>
      </w:r>
      <w:r w:rsidR="00AD09D1">
        <w:t xml:space="preserve">expressed as average </w:t>
      </w:r>
      <w:r w:rsidR="00AD09D1">
        <w:rPr>
          <w:rFonts w:cstheme="minorHAnsi"/>
        </w:rPr>
        <w:t>±</w:t>
      </w:r>
      <w:r w:rsidR="00AD09D1">
        <w:t xml:space="preserve"> SD, as reported in our previous study</w:t>
      </w:r>
      <w:r w:rsidR="003B7498">
        <w:t xml:space="preserve"> </w:t>
      </w:r>
      <w:r w:rsidR="00AD09D1">
        <w:fldChar w:fldCharType="begin"/>
      </w:r>
      <w:r w:rsidR="00013CF4">
        <w:instrText xml:space="preserve"> ADDIN EN.CITE &lt;EndNote&gt;&lt;Cite&gt;&lt;Author&gt;Münster-Müller&lt;/Author&gt;&lt;Year&gt;2018&lt;/Year&gt;&lt;RecNum&gt;57&lt;/RecNum&gt;&lt;DisplayText&gt;[21]&lt;/DisplayText&gt;&lt;record&gt;&lt;rec-number&gt;57&lt;/rec-number&gt;&lt;foreign-keys&gt;&lt;key app="EN" db-id="0rddxvvew22rz1e0fxk52w2v5v9ad9et50ep" timestamp="1538046330"&gt;57&lt;/key&gt;&lt;/foreign-keys&gt;&lt;ref-type name="Journal Article"&gt;17&lt;/ref-type&gt;&lt;contributors&gt;&lt;authors&gt;&lt;author&gt;Münster-Müller, S.&lt;/author&gt;&lt;author&gt;Scheid, N.&lt;/author&gt;&lt;author&gt;Holdermann, T.&lt;/author&gt;&lt;author&gt;Schneiders, S.&lt;/author&gt;&lt;author&gt;Pütz, M.&lt;/author&gt;&lt;/authors&gt;&lt;/contributors&gt;&lt;titles&gt;&lt;title&gt;Profiling of new psychoactive substances by using stable isotope ratio mass spectrometry: Study of the synthetic cannabinoid 5F-PB-22&lt;/title&gt;&lt;secondary-title&gt;Drug Testing and Analysis&lt;/secondary-title&gt;&lt;/titles&gt;&lt;periodical&gt;&lt;full-title&gt;Drug Testing and Analysis&lt;/full-title&gt;&lt;abbr-1&gt;Drug. Test. Anal.&lt;/abbr-1&gt;&lt;/periodical&gt;&lt;pages&gt;1323-1327&lt;/pages&gt;&lt;volume&gt;10&lt;/volume&gt;&lt;number&gt;8&lt;/number&gt;&lt;keywords&gt;&lt;keyword&gt;5F-PB-22&lt;/keyword&gt;&lt;keyword&gt;drug profiling&lt;/keyword&gt;&lt;keyword&gt;EA-IRMS&lt;/keyword&gt;&lt;keyword&gt;new psychoactive substances (NPS)&lt;/keyword&gt;&lt;keyword&gt;stable isotope ratio analysis&lt;/keyword&gt;&lt;/keywords&gt;&lt;dates&gt;&lt;year&gt;2018&lt;/year&gt;&lt;/dates&gt;&lt;isbn&gt;1942-7603&lt;/isbn&gt;&lt;urls&gt;&lt;related-urls&gt;&lt;url&gt;https://doi.org/10.1002/dta.2407&lt;/url&gt;&lt;/related-urls&gt;&lt;/urls&gt;&lt;electronic-resource-num&gt;doi:10.1002/dta.2407&lt;/electronic-resource-num&gt;&lt;modified-date&gt;Dta-18-0014.r1&lt;/modified-date&gt;&lt;/record&gt;&lt;/Cite&gt;&lt;/EndNote&gt;</w:instrText>
      </w:r>
      <w:r w:rsidR="00AD09D1">
        <w:fldChar w:fldCharType="separate"/>
      </w:r>
      <w:r w:rsidR="00013CF4">
        <w:rPr>
          <w:noProof/>
        </w:rPr>
        <w:t>[21]</w:t>
      </w:r>
      <w:r w:rsidR="00AD09D1">
        <w:fldChar w:fldCharType="end"/>
      </w:r>
      <w:r w:rsidR="00AD09D1">
        <w:t>.</w:t>
      </w:r>
      <w:r w:rsidR="009E684D">
        <w:t xml:space="preserve"> </w:t>
      </w:r>
    </w:p>
    <w:p w14:paraId="56B2AEDD" w14:textId="36B8C3E6" w:rsidR="006B7B74" w:rsidRDefault="006B7B74" w:rsidP="00F3279A">
      <w:pPr>
        <w:spacing w:line="480" w:lineRule="auto"/>
      </w:pPr>
    </w:p>
    <w:p w14:paraId="093EB533" w14:textId="2D0F73B8" w:rsidR="00952B2B" w:rsidRPr="004E6F99" w:rsidRDefault="004E6F99" w:rsidP="00F3279A">
      <w:pPr>
        <w:spacing w:line="480" w:lineRule="auto"/>
        <w:rPr>
          <w:i/>
        </w:rPr>
      </w:pPr>
      <w:r w:rsidRPr="004E6F99">
        <w:rPr>
          <w:i/>
        </w:rPr>
        <w:t>2.</w:t>
      </w:r>
      <w:r w:rsidR="00223073">
        <w:rPr>
          <w:i/>
        </w:rPr>
        <w:t>6</w:t>
      </w:r>
      <w:r w:rsidRPr="004E6F99">
        <w:rPr>
          <w:i/>
        </w:rPr>
        <w:t xml:space="preserve">.2 </w:t>
      </w:r>
      <w:r w:rsidR="00952B2B" w:rsidRPr="004E6F99">
        <w:rPr>
          <w:i/>
        </w:rPr>
        <w:t>Gas Chromatography - Isotope Ratio Mass Spectrometry (GC-IRMS)</w:t>
      </w:r>
    </w:p>
    <w:p w14:paraId="05770501" w14:textId="29F164A5" w:rsidR="00952B2B" w:rsidRPr="00417F4C" w:rsidRDefault="00C46C5E" w:rsidP="00F3279A">
      <w:pPr>
        <w:spacing w:line="480" w:lineRule="auto"/>
        <w:rPr>
          <w:lang w:val="en-US"/>
        </w:rPr>
      </w:pPr>
      <w:r>
        <w:rPr>
          <w:lang w:val="en-US"/>
        </w:rPr>
        <w:t>For GC-IRMS, t</w:t>
      </w:r>
      <w:r w:rsidR="00952B2B">
        <w:rPr>
          <w:lang w:val="en-US"/>
        </w:rPr>
        <w:t xml:space="preserve">he </w:t>
      </w:r>
      <w:r w:rsidR="00952B2B" w:rsidRPr="00417F4C">
        <w:rPr>
          <w:lang w:val="en-US"/>
        </w:rPr>
        <w:t xml:space="preserve">Isotope ratio mass spectrometer Delta V plus with gas chromatograph TRACE 1310 (including autosampler </w:t>
      </w:r>
      <w:proofErr w:type="spellStart"/>
      <w:r w:rsidR="00952B2B" w:rsidRPr="00417F4C">
        <w:rPr>
          <w:lang w:val="en-US"/>
        </w:rPr>
        <w:t>TriPLUS</w:t>
      </w:r>
      <w:proofErr w:type="spellEnd"/>
      <w:r w:rsidR="00952B2B" w:rsidRPr="00417F4C">
        <w:rPr>
          <w:lang w:val="en-US"/>
        </w:rPr>
        <w:t xml:space="preserve"> RSH), ISQ LT (Single Quadrupole Mass Spectrometer) and Interface </w:t>
      </w:r>
      <w:proofErr w:type="spellStart"/>
      <w:r w:rsidR="00952B2B" w:rsidRPr="00417F4C">
        <w:rPr>
          <w:lang w:val="en-US"/>
        </w:rPr>
        <w:t>Conflo</w:t>
      </w:r>
      <w:proofErr w:type="spellEnd"/>
      <w:r w:rsidR="00952B2B" w:rsidRPr="00417F4C">
        <w:rPr>
          <w:lang w:val="en-US"/>
        </w:rPr>
        <w:t xml:space="preserve"> IV (all Thermo Fisher Scientific, Bremen, Germany)</w:t>
      </w:r>
      <w:r>
        <w:rPr>
          <w:lang w:val="en-US"/>
        </w:rPr>
        <w:t xml:space="preserve"> was used</w:t>
      </w:r>
      <w:r w:rsidR="00952B2B">
        <w:rPr>
          <w:lang w:val="en-US"/>
        </w:rPr>
        <w:t>.</w:t>
      </w:r>
      <w:r w:rsidR="00952B2B" w:rsidRPr="00417F4C">
        <w:rPr>
          <w:lang w:val="en-US"/>
        </w:rPr>
        <w:t xml:space="preserve"> </w:t>
      </w:r>
    </w:p>
    <w:p w14:paraId="12E649C4" w14:textId="7F5E752A" w:rsidR="008E423D" w:rsidRDefault="00952B2B" w:rsidP="00F3279A">
      <w:pPr>
        <w:spacing w:line="480" w:lineRule="auto"/>
        <w:rPr>
          <w:lang w:val="en-US"/>
        </w:rPr>
      </w:pPr>
      <w:r>
        <w:rPr>
          <w:lang w:val="en-US"/>
        </w:rPr>
        <w:t>A</w:t>
      </w:r>
      <w:r w:rsidRPr="00F54AE8">
        <w:rPr>
          <w:lang w:val="en-US"/>
        </w:rPr>
        <w:t xml:space="preserve">ll injections were conducted </w:t>
      </w:r>
      <w:proofErr w:type="spellStart"/>
      <w:r w:rsidRPr="00F54AE8">
        <w:rPr>
          <w:lang w:val="en-US"/>
        </w:rPr>
        <w:t>splitless</w:t>
      </w:r>
      <w:proofErr w:type="spellEnd"/>
      <w:r w:rsidRPr="00F54AE8">
        <w:rPr>
          <w:lang w:val="en-US"/>
        </w:rPr>
        <w:t xml:space="preserve"> into a hot injector (250°C) with constant flow (constant flow 1.5 mL/min). The analytical column was a </w:t>
      </w:r>
      <w:proofErr w:type="spellStart"/>
      <w:r w:rsidRPr="00F54AE8">
        <w:rPr>
          <w:lang w:val="en-US"/>
        </w:rPr>
        <w:t>Zebron</w:t>
      </w:r>
      <w:proofErr w:type="spellEnd"/>
      <w:r w:rsidRPr="00F54AE8">
        <w:rPr>
          <w:lang w:val="en-US"/>
        </w:rPr>
        <w:t xml:space="preserve"> ZB-5MSi (3</w:t>
      </w:r>
      <w:r w:rsidR="00366EA3">
        <w:rPr>
          <w:lang w:val="en-US"/>
        </w:rPr>
        <w:t>0 m x 0.32 mm ID x 0.50µm film th</w:t>
      </w:r>
      <w:r w:rsidRPr="00F54AE8">
        <w:rPr>
          <w:lang w:val="en-US"/>
        </w:rPr>
        <w:t xml:space="preserve">ickness; </w:t>
      </w:r>
      <w:proofErr w:type="spellStart"/>
      <w:r w:rsidRPr="00F54AE8">
        <w:rPr>
          <w:lang w:val="en-US"/>
        </w:rPr>
        <w:t>phenomenex</w:t>
      </w:r>
      <w:proofErr w:type="spellEnd"/>
      <w:r w:rsidRPr="00F54AE8">
        <w:rPr>
          <w:lang w:val="en-US"/>
        </w:rPr>
        <w:t>, Made in USA).</w:t>
      </w:r>
      <w:r>
        <w:rPr>
          <w:lang w:val="en-US"/>
        </w:rPr>
        <w:t xml:space="preserve"> </w:t>
      </w:r>
      <w:r w:rsidR="008E423D">
        <w:rPr>
          <w:lang w:val="en-US"/>
        </w:rPr>
        <w:t>The Combustion r</w:t>
      </w:r>
      <w:r w:rsidR="002356FA" w:rsidRPr="00753D51">
        <w:rPr>
          <w:lang w:val="en-US"/>
        </w:rPr>
        <w:t xml:space="preserve">eactor for </w:t>
      </w:r>
      <w:r w:rsidR="002356FA" w:rsidRPr="00935608">
        <w:rPr>
          <w:rFonts w:ascii="Symbol" w:hAnsi="Symbol"/>
          <w:lang w:val="en-US"/>
        </w:rPr>
        <w:t></w:t>
      </w:r>
      <w:r w:rsidR="002356FA" w:rsidRPr="00935608">
        <w:rPr>
          <w:vertAlign w:val="superscript"/>
          <w:lang w:val="en-US"/>
        </w:rPr>
        <w:t>13</w:t>
      </w:r>
      <w:r w:rsidR="002356FA">
        <w:rPr>
          <w:lang w:val="en-US"/>
        </w:rPr>
        <w:t>C</w:t>
      </w:r>
      <w:r w:rsidR="002356FA" w:rsidRPr="00753D51">
        <w:rPr>
          <w:lang w:val="en-US"/>
        </w:rPr>
        <w:t xml:space="preserve">- and </w:t>
      </w:r>
      <w:r w:rsidR="002356FA" w:rsidRPr="00935608">
        <w:rPr>
          <w:rFonts w:ascii="Symbol" w:hAnsi="Symbol"/>
          <w:lang w:val="en-US"/>
        </w:rPr>
        <w:t></w:t>
      </w:r>
      <w:r w:rsidR="002356FA" w:rsidRPr="00935608">
        <w:rPr>
          <w:vertAlign w:val="superscript"/>
          <w:lang w:val="en-US"/>
        </w:rPr>
        <w:t>15</w:t>
      </w:r>
      <w:r w:rsidR="002356FA">
        <w:rPr>
          <w:lang w:val="en-US"/>
        </w:rPr>
        <w:t>N-</w:t>
      </w:r>
      <w:r w:rsidR="008E423D">
        <w:rPr>
          <w:lang w:val="en-US"/>
        </w:rPr>
        <w:t xml:space="preserve"> measurements was</w:t>
      </w:r>
      <w:r w:rsidR="002356FA" w:rsidRPr="00753D51">
        <w:rPr>
          <w:lang w:val="en-US"/>
        </w:rPr>
        <w:t xml:space="preserve"> a </w:t>
      </w:r>
      <w:proofErr w:type="spellStart"/>
      <w:r w:rsidR="002356FA" w:rsidRPr="00753D51">
        <w:rPr>
          <w:lang w:val="en-US"/>
        </w:rPr>
        <w:t>NiO</w:t>
      </w:r>
      <w:proofErr w:type="spellEnd"/>
      <w:r w:rsidR="002356FA" w:rsidRPr="00753D51">
        <w:rPr>
          <w:lang w:val="en-US"/>
        </w:rPr>
        <w:t xml:space="preserve"> tube/</w:t>
      </w:r>
      <w:proofErr w:type="spellStart"/>
      <w:r w:rsidR="002356FA" w:rsidRPr="00753D51">
        <w:rPr>
          <w:lang w:val="en-US"/>
        </w:rPr>
        <w:t>CuO-NiO</w:t>
      </w:r>
      <w:proofErr w:type="spellEnd"/>
      <w:r w:rsidR="002356FA" w:rsidRPr="00753D51">
        <w:rPr>
          <w:lang w:val="en-US"/>
        </w:rPr>
        <w:t xml:space="preserve"> reactor (Thermo Fisher Scientific, P/N 1255321). This reactor consists of a ceramic tube filled with a Ni-tube and </w:t>
      </w:r>
      <w:proofErr w:type="spellStart"/>
      <w:r w:rsidR="002356FA" w:rsidRPr="00753D51">
        <w:rPr>
          <w:lang w:val="en-US"/>
        </w:rPr>
        <w:t>NiO</w:t>
      </w:r>
      <w:proofErr w:type="spellEnd"/>
      <w:r w:rsidR="002356FA" w:rsidRPr="00753D51">
        <w:rPr>
          <w:lang w:val="en-US"/>
        </w:rPr>
        <w:t>/</w:t>
      </w:r>
      <w:proofErr w:type="spellStart"/>
      <w:r w:rsidR="002356FA" w:rsidRPr="00753D51">
        <w:rPr>
          <w:lang w:val="en-US"/>
        </w:rPr>
        <w:t>CuO</w:t>
      </w:r>
      <w:proofErr w:type="spellEnd"/>
      <w:r w:rsidR="002356FA" w:rsidRPr="00753D51">
        <w:rPr>
          <w:lang w:val="en-US"/>
        </w:rPr>
        <w:t xml:space="preserve"> and Platinum wires. As </w:t>
      </w:r>
      <w:r w:rsidR="00C46C5E">
        <w:rPr>
          <w:lang w:val="en-US"/>
        </w:rPr>
        <w:t>it</w:t>
      </w:r>
      <w:r w:rsidR="002356FA" w:rsidRPr="00753D51">
        <w:rPr>
          <w:lang w:val="en-US"/>
        </w:rPr>
        <w:t xml:space="preserve"> contains both an oxidation and a reduction unit</w:t>
      </w:r>
      <w:r w:rsidR="00C46C5E">
        <w:rPr>
          <w:lang w:val="en-US"/>
        </w:rPr>
        <w:t xml:space="preserve"> in contrast to the EA</w:t>
      </w:r>
      <w:r w:rsidR="002356FA" w:rsidRPr="00753D51">
        <w:rPr>
          <w:lang w:val="en-US"/>
        </w:rPr>
        <w:t xml:space="preserve">, an additional reduction reactor </w:t>
      </w:r>
      <w:r w:rsidR="008E423D">
        <w:rPr>
          <w:lang w:val="en-US"/>
        </w:rPr>
        <w:t>was not</w:t>
      </w:r>
      <w:r w:rsidR="002356FA" w:rsidRPr="00753D51">
        <w:rPr>
          <w:lang w:val="en-US"/>
        </w:rPr>
        <w:t xml:space="preserve"> necessary for nitrogen measurements (NOx reduction to N2). The operating temperature of the reactor was set to 1000°C. The reactor was initially oxidized for 6h at 600°C, 4h at 900°C, and 2h at 1000°C (as recommended by Thermo Fisher Scientific). Repeated oxidation was </w:t>
      </w:r>
      <w:r w:rsidR="002356FA" w:rsidRPr="00753D51">
        <w:rPr>
          <w:lang w:val="en-US"/>
        </w:rPr>
        <w:lastRenderedPageBreak/>
        <w:t xml:space="preserve">routinely performed at the beginning of each sequence [for </w:t>
      </w:r>
      <w:r w:rsidR="002356FA" w:rsidRPr="00935608">
        <w:rPr>
          <w:rFonts w:ascii="Symbol" w:hAnsi="Symbol"/>
          <w:lang w:val="en-US"/>
        </w:rPr>
        <w:t></w:t>
      </w:r>
      <w:r w:rsidR="002356FA" w:rsidRPr="00935608">
        <w:rPr>
          <w:vertAlign w:val="superscript"/>
          <w:lang w:val="en-US"/>
        </w:rPr>
        <w:t>13</w:t>
      </w:r>
      <w:r w:rsidR="002356FA">
        <w:rPr>
          <w:lang w:val="en-US"/>
        </w:rPr>
        <w:t>C</w:t>
      </w:r>
      <w:r w:rsidR="002356FA" w:rsidRPr="00753D51">
        <w:rPr>
          <w:lang w:val="en-US"/>
        </w:rPr>
        <w:t xml:space="preserve"> 30 min oxidation (60 min Backflush mode) and for </w:t>
      </w:r>
      <w:r w:rsidR="002356FA" w:rsidRPr="00935608">
        <w:rPr>
          <w:rFonts w:ascii="Symbol" w:hAnsi="Symbol"/>
          <w:lang w:val="en-US"/>
        </w:rPr>
        <w:t></w:t>
      </w:r>
      <w:r w:rsidR="002356FA" w:rsidRPr="00935608">
        <w:rPr>
          <w:vertAlign w:val="superscript"/>
          <w:lang w:val="en-US"/>
        </w:rPr>
        <w:t>15</w:t>
      </w:r>
      <w:r w:rsidR="002356FA">
        <w:rPr>
          <w:lang w:val="en-US"/>
        </w:rPr>
        <w:t>N</w:t>
      </w:r>
      <w:r w:rsidR="002356FA" w:rsidRPr="00753D51">
        <w:rPr>
          <w:lang w:val="en-US"/>
        </w:rPr>
        <w:t xml:space="preserve"> 1 to 5 min ox</w:t>
      </w:r>
      <w:r w:rsidR="002356FA">
        <w:rPr>
          <w:lang w:val="en-US"/>
        </w:rPr>
        <w:t>idation (30 min Backflush mode)</w:t>
      </w:r>
      <w:r w:rsidR="00C46C5E">
        <w:rPr>
          <w:lang w:val="en-US"/>
        </w:rPr>
        <w:t>]</w:t>
      </w:r>
      <w:r w:rsidR="002356FA" w:rsidRPr="00753D51">
        <w:rPr>
          <w:lang w:val="en-US"/>
        </w:rPr>
        <w:t>.</w:t>
      </w:r>
      <w:r w:rsidR="008E423D" w:rsidRPr="008E423D">
        <w:rPr>
          <w:lang w:val="en-US"/>
        </w:rPr>
        <w:t xml:space="preserve"> </w:t>
      </w:r>
    </w:p>
    <w:p w14:paraId="663AEF8F" w14:textId="4F59A844" w:rsidR="00952B2B" w:rsidRPr="00753D51" w:rsidRDefault="008E423D" w:rsidP="00F3279A">
      <w:pPr>
        <w:spacing w:line="480" w:lineRule="auto"/>
        <w:rPr>
          <w:lang w:val="en-US"/>
        </w:rPr>
      </w:pPr>
      <w:r>
        <w:rPr>
          <w:lang w:val="en-US"/>
        </w:rPr>
        <w:t xml:space="preserve">As validation and </w:t>
      </w:r>
      <w:r w:rsidR="007D27D1">
        <w:rPr>
          <w:lang w:val="en-US"/>
        </w:rPr>
        <w:t>quality control (QC) standards</w:t>
      </w:r>
      <w:r>
        <w:rPr>
          <w:lang w:val="en-US"/>
        </w:rPr>
        <w:t>, MDMB-07 (</w:t>
      </w:r>
      <w:r w:rsidR="007D27D1">
        <w:rPr>
          <w:lang w:val="en-US"/>
        </w:rPr>
        <w:t xml:space="preserve">previously </w:t>
      </w:r>
      <w:r>
        <w:rPr>
          <w:lang w:val="en-US"/>
        </w:rPr>
        <w:t>isotopically characterized by EA-IRMS</w:t>
      </w:r>
      <w:r w:rsidR="007D27D1">
        <w:rPr>
          <w:lang w:val="en-US"/>
        </w:rPr>
        <w:t xml:space="preserve"> for comparative purposes)</w:t>
      </w:r>
      <w:r>
        <w:rPr>
          <w:lang w:val="en-US"/>
        </w:rPr>
        <w:t>, Methyl-N-</w:t>
      </w:r>
      <w:proofErr w:type="spellStart"/>
      <w:r>
        <w:rPr>
          <w:lang w:val="en-US"/>
        </w:rPr>
        <w:t>methylanthranilat</w:t>
      </w:r>
      <w:proofErr w:type="spellEnd"/>
      <w:r>
        <w:rPr>
          <w:lang w:val="en-US"/>
        </w:rPr>
        <w:t xml:space="preserve"> </w:t>
      </w:r>
      <w:r w:rsidR="007D27D1">
        <w:rPr>
          <w:lang w:val="en-US"/>
        </w:rPr>
        <w:t xml:space="preserve">(M-MA) </w:t>
      </w:r>
      <w:r>
        <w:rPr>
          <w:lang w:val="en-US"/>
        </w:rPr>
        <w:t xml:space="preserve">(for </w:t>
      </w:r>
      <w:r w:rsidRPr="00935608">
        <w:rPr>
          <w:rFonts w:ascii="Symbol" w:hAnsi="Symbol"/>
          <w:lang w:val="en-US"/>
        </w:rPr>
        <w:t></w:t>
      </w:r>
      <w:r w:rsidRPr="00935608">
        <w:rPr>
          <w:vertAlign w:val="superscript"/>
          <w:lang w:val="en-US"/>
        </w:rPr>
        <w:t>15</w:t>
      </w:r>
      <w:r>
        <w:rPr>
          <w:lang w:val="en-US"/>
        </w:rPr>
        <w:t xml:space="preserve">N) and Dodecane (for </w:t>
      </w:r>
      <w:r w:rsidRPr="00935608">
        <w:rPr>
          <w:rFonts w:ascii="Symbol" w:hAnsi="Symbol"/>
          <w:lang w:val="en-US"/>
        </w:rPr>
        <w:t></w:t>
      </w:r>
      <w:r w:rsidRPr="00935608">
        <w:rPr>
          <w:vertAlign w:val="superscript"/>
          <w:lang w:val="en-US"/>
        </w:rPr>
        <w:t>13</w:t>
      </w:r>
      <w:r>
        <w:rPr>
          <w:lang w:val="en-US"/>
        </w:rPr>
        <w:t>C) were analyzed.</w:t>
      </w:r>
      <w:r w:rsidRPr="002356FA">
        <w:rPr>
          <w:lang w:val="en-US"/>
        </w:rPr>
        <w:t xml:space="preserve"> </w:t>
      </w:r>
      <w:r w:rsidRPr="00753D51">
        <w:rPr>
          <w:lang w:val="en-US"/>
        </w:rPr>
        <w:t xml:space="preserve">The injection volume is 10 µL for each </w:t>
      </w:r>
      <w:r>
        <w:rPr>
          <w:lang w:val="en-US"/>
        </w:rPr>
        <w:t>run</w:t>
      </w:r>
      <w:r w:rsidRPr="00753D51">
        <w:rPr>
          <w:lang w:val="en-US"/>
        </w:rPr>
        <w:t>.</w:t>
      </w:r>
      <w:r>
        <w:rPr>
          <w:lang w:val="en-US"/>
        </w:rPr>
        <w:t xml:space="preserve"> </w:t>
      </w:r>
      <w:r>
        <w:t xml:space="preserve">The isotope ratios of carbon and nitrogen </w:t>
      </w:r>
      <w:r w:rsidR="007D27D1">
        <w:t>were</w:t>
      </w:r>
      <w:r>
        <w:t xml:space="preserve"> measured in </w:t>
      </w:r>
      <w:r w:rsidR="007D27D1">
        <w:t>separate</w:t>
      </w:r>
      <w:r>
        <w:t xml:space="preserve"> runs. Each sample </w:t>
      </w:r>
      <w:r w:rsidR="00C46C5E">
        <w:t>was</w:t>
      </w:r>
      <w:r>
        <w:t xml:space="preserve"> analysed </w:t>
      </w:r>
      <w:r w:rsidR="00C46C5E">
        <w:t>at least four times</w:t>
      </w:r>
      <w:r>
        <w:t xml:space="preserve"> and averaged. </w:t>
      </w:r>
      <w:r>
        <w:rPr>
          <w:lang w:val="en-US"/>
        </w:rPr>
        <w:t>Cannabinoid samples were dissolved in 1 mL acetonitrile with concentration ranges</w:t>
      </w:r>
      <w:r w:rsidR="007D27D1">
        <w:rPr>
          <w:lang w:val="en-US"/>
        </w:rPr>
        <w:t xml:space="preserve"> of</w:t>
      </w:r>
      <w:r>
        <w:rPr>
          <w:lang w:val="en-US"/>
        </w:rPr>
        <w:t xml:space="preserve"> </w:t>
      </w:r>
      <w:r w:rsidR="007D27D1" w:rsidRPr="00F54AE8">
        <w:rPr>
          <w:lang w:val="en-US"/>
        </w:rPr>
        <w:t>80-100</w:t>
      </w:r>
      <w:r w:rsidR="007D27D1">
        <w:rPr>
          <w:lang w:val="en-US"/>
        </w:rPr>
        <w:t xml:space="preserve"> </w:t>
      </w:r>
      <w:r w:rsidR="007D27D1" w:rsidRPr="00F54AE8">
        <w:rPr>
          <w:lang w:val="en-US"/>
        </w:rPr>
        <w:t>µg</w:t>
      </w:r>
      <w:r w:rsidR="001B0C70">
        <w:rPr>
          <w:lang w:val="en-US"/>
        </w:rPr>
        <w:t xml:space="preserve"> </w:t>
      </w:r>
      <w:r w:rsidR="007D27D1" w:rsidRPr="00F54AE8">
        <w:rPr>
          <w:lang w:val="en-US"/>
        </w:rPr>
        <w:t>mL</w:t>
      </w:r>
      <w:r w:rsidR="001B0C70">
        <w:rPr>
          <w:vertAlign w:val="superscript"/>
          <w:lang w:val="en-US"/>
        </w:rPr>
        <w:t>-1</w:t>
      </w:r>
      <w:r w:rsidR="007D27D1">
        <w:rPr>
          <w:lang w:val="en-US"/>
        </w:rPr>
        <w:t xml:space="preserve"> </w:t>
      </w:r>
      <w:r>
        <w:rPr>
          <w:lang w:val="en-US"/>
        </w:rPr>
        <w:t>f</w:t>
      </w:r>
      <w:r w:rsidRPr="00F54AE8">
        <w:rPr>
          <w:lang w:val="en-US"/>
        </w:rPr>
        <w:t xml:space="preserve">or </w:t>
      </w:r>
      <w:r w:rsidRPr="0026480B">
        <w:t>δ</w:t>
      </w:r>
      <w:r w:rsidRPr="0026480B">
        <w:rPr>
          <w:vertAlign w:val="superscript"/>
        </w:rPr>
        <w:t>13</w:t>
      </w:r>
      <w:r w:rsidRPr="0026480B">
        <w:t>C</w:t>
      </w:r>
      <w:r w:rsidRPr="00F54AE8">
        <w:rPr>
          <w:lang w:val="en-US"/>
        </w:rPr>
        <w:t xml:space="preserve"> </w:t>
      </w:r>
      <w:r>
        <w:rPr>
          <w:lang w:val="en-US"/>
        </w:rPr>
        <w:t xml:space="preserve">and </w:t>
      </w:r>
      <w:r w:rsidR="007D27D1" w:rsidRPr="00F54AE8">
        <w:rPr>
          <w:lang w:val="en-US"/>
        </w:rPr>
        <w:t>600-700</w:t>
      </w:r>
      <w:r w:rsidR="007D27D1">
        <w:rPr>
          <w:lang w:val="en-US"/>
        </w:rPr>
        <w:t xml:space="preserve"> </w:t>
      </w:r>
      <w:r w:rsidR="007D27D1" w:rsidRPr="00F54AE8">
        <w:rPr>
          <w:lang w:val="en-US"/>
        </w:rPr>
        <w:t>µg</w:t>
      </w:r>
      <w:r w:rsidR="001B0C70">
        <w:rPr>
          <w:lang w:val="en-US"/>
        </w:rPr>
        <w:t xml:space="preserve"> </w:t>
      </w:r>
      <w:r w:rsidR="007D27D1" w:rsidRPr="00F54AE8">
        <w:rPr>
          <w:lang w:val="en-US"/>
        </w:rPr>
        <w:t>mL</w:t>
      </w:r>
      <w:r w:rsidR="001B0C70">
        <w:rPr>
          <w:vertAlign w:val="superscript"/>
          <w:lang w:val="en-US"/>
        </w:rPr>
        <w:t>-1</w:t>
      </w:r>
      <w:r w:rsidR="007D27D1" w:rsidRPr="0026480B">
        <w:t xml:space="preserve"> </w:t>
      </w:r>
      <w:r w:rsidR="007D27D1">
        <w:t xml:space="preserve">for </w:t>
      </w:r>
      <w:r w:rsidRPr="0026480B">
        <w:t>δ</w:t>
      </w:r>
      <w:r w:rsidRPr="0026480B">
        <w:rPr>
          <w:vertAlign w:val="superscript"/>
        </w:rPr>
        <w:t>15</w:t>
      </w:r>
      <w:r w:rsidRPr="0026480B">
        <w:t>N</w:t>
      </w:r>
      <w:r w:rsidR="00C46C5E">
        <w:rPr>
          <w:lang w:val="en-US"/>
        </w:rPr>
        <w:t xml:space="preserve">. </w:t>
      </w:r>
      <w:r w:rsidR="00952B2B" w:rsidRPr="00753D51">
        <w:rPr>
          <w:lang w:val="en-US"/>
        </w:rPr>
        <w:t>The GC temperature program</w:t>
      </w:r>
      <w:r w:rsidR="00C46C5E">
        <w:rPr>
          <w:lang w:val="en-US"/>
        </w:rPr>
        <w:t>s</w:t>
      </w:r>
      <w:r w:rsidR="00952B2B" w:rsidRPr="00753D51">
        <w:rPr>
          <w:lang w:val="en-US"/>
        </w:rPr>
        <w:t xml:space="preserve"> for </w:t>
      </w:r>
      <w:r w:rsidR="00C46C5E">
        <w:rPr>
          <w:lang w:val="en-US"/>
        </w:rPr>
        <w:t xml:space="preserve">the samples and QC standards </w:t>
      </w:r>
      <w:r w:rsidR="002356FA">
        <w:rPr>
          <w:lang w:val="en-US"/>
        </w:rPr>
        <w:t xml:space="preserve">are shown </w:t>
      </w:r>
      <w:r w:rsidR="002356FA" w:rsidRPr="009A0A0F">
        <w:rPr>
          <w:lang w:val="en-US"/>
        </w:rPr>
        <w:t xml:space="preserve">in Table </w:t>
      </w:r>
      <w:r w:rsidR="009A0A0F" w:rsidRPr="009A0A0F">
        <w:rPr>
          <w:lang w:val="en-US"/>
        </w:rPr>
        <w:t>1</w:t>
      </w:r>
      <w:r w:rsidR="00952B2B" w:rsidRPr="009A0A0F">
        <w:rPr>
          <w:lang w:val="en-US"/>
        </w:rPr>
        <w:t>.</w:t>
      </w:r>
    </w:p>
    <w:p w14:paraId="32FB4B8E" w14:textId="7D04744F" w:rsidR="00F35D7F" w:rsidRDefault="008E423D" w:rsidP="00F3279A">
      <w:pPr>
        <w:spacing w:line="480" w:lineRule="auto"/>
        <w:rPr>
          <w:b/>
        </w:rPr>
      </w:pPr>
      <w:r w:rsidRPr="008E423D">
        <w:rPr>
          <w:rStyle w:val="Fett"/>
          <w:b w:val="0"/>
        </w:rPr>
        <w:t xml:space="preserve">To validate </w:t>
      </w:r>
      <w:r>
        <w:rPr>
          <w:rStyle w:val="Fett"/>
          <w:b w:val="0"/>
        </w:rPr>
        <w:t>that both IRMS instruments are able to measure isotopic compositions with equal results</w:t>
      </w:r>
      <w:r w:rsidR="00C46C5E">
        <w:rPr>
          <w:rStyle w:val="Fett"/>
          <w:b w:val="0"/>
        </w:rPr>
        <w:t xml:space="preserve"> apart from the </w:t>
      </w:r>
      <w:r w:rsidR="0088347A">
        <w:rPr>
          <w:rStyle w:val="Fett"/>
          <w:b w:val="0"/>
        </w:rPr>
        <w:t xml:space="preserve">regularly checked </w:t>
      </w:r>
      <w:r w:rsidR="00C46C5E">
        <w:rPr>
          <w:rStyle w:val="Fett"/>
          <w:b w:val="0"/>
        </w:rPr>
        <w:t>QC standards</w:t>
      </w:r>
      <w:r>
        <w:rPr>
          <w:rStyle w:val="Fett"/>
          <w:b w:val="0"/>
        </w:rPr>
        <w:t xml:space="preserve">, </w:t>
      </w:r>
      <w:r w:rsidR="0088347A">
        <w:t>thirteen</w:t>
      </w:r>
      <w:r>
        <w:t xml:space="preserve"> </w:t>
      </w:r>
      <w:r w:rsidR="0088347A">
        <w:t xml:space="preserve">randomly chosen </w:t>
      </w:r>
      <w:r>
        <w:t xml:space="preserve">herbal blend samples containing </w:t>
      </w:r>
      <w:r w:rsidRPr="008E423D">
        <w:rPr>
          <w:b/>
        </w:rPr>
        <w:t>1</w:t>
      </w:r>
      <w:r>
        <w:t xml:space="preserve"> were </w:t>
      </w:r>
      <w:r w:rsidRPr="008E423D">
        <w:t>extracted</w:t>
      </w:r>
      <w:r>
        <w:t>, cleaned up and measured with both techniques</w:t>
      </w:r>
      <w:r>
        <w:rPr>
          <w:b/>
        </w:rPr>
        <w:t>.</w:t>
      </w:r>
      <w:r w:rsidR="00533A47">
        <w:rPr>
          <w:b/>
        </w:rPr>
        <w:t xml:space="preserve"> </w:t>
      </w:r>
      <w:r w:rsidR="00366EA3">
        <w:t xml:space="preserve">The corresponding isotopic data can be taken from the supplementary material. </w:t>
      </w:r>
      <w:r w:rsidR="00533A47">
        <w:t xml:space="preserve">EA-IRMS shows a good precision for both elements with a maximum STD of 0.06 </w:t>
      </w:r>
      <w:r w:rsidR="00533A47">
        <w:rPr>
          <w:rFonts w:cstheme="minorHAnsi"/>
        </w:rPr>
        <w:t>‰</w:t>
      </w:r>
      <w:r w:rsidR="00533A47">
        <w:t xml:space="preserve"> for </w:t>
      </w:r>
      <w:r w:rsidR="00533A47" w:rsidRPr="0046549B">
        <w:t>δ</w:t>
      </w:r>
      <w:r w:rsidR="00533A47" w:rsidRPr="0046549B">
        <w:rPr>
          <w:vertAlign w:val="superscript"/>
        </w:rPr>
        <w:t>13</w:t>
      </w:r>
      <w:r w:rsidR="00533A47">
        <w:t>C and</w:t>
      </w:r>
      <w:r w:rsidR="00533A47" w:rsidRPr="0046549B">
        <w:t xml:space="preserve"> </w:t>
      </w:r>
      <w:r w:rsidR="00533A47">
        <w:t xml:space="preserve">0.11 </w:t>
      </w:r>
      <w:r w:rsidR="00533A47">
        <w:rPr>
          <w:rFonts w:cstheme="minorHAnsi"/>
        </w:rPr>
        <w:t xml:space="preserve">‰ </w:t>
      </w:r>
      <w:r w:rsidR="00533A47">
        <w:t xml:space="preserve">for </w:t>
      </w:r>
      <w:r w:rsidR="00533A47" w:rsidRPr="0046549B">
        <w:t>δ</w:t>
      </w:r>
      <w:r w:rsidR="00533A47" w:rsidRPr="0046549B">
        <w:rPr>
          <w:vertAlign w:val="superscript"/>
        </w:rPr>
        <w:t>15</w:t>
      </w:r>
      <w:r w:rsidR="00533A47" w:rsidRPr="0046549B">
        <w:t>N</w:t>
      </w:r>
      <w:r w:rsidR="00533A47">
        <w:t xml:space="preserve">. The GC-IMRS measurements showed increased maximum STDs of 0.24 </w:t>
      </w:r>
      <w:r w:rsidR="00533A47">
        <w:rPr>
          <w:rFonts w:cstheme="minorHAnsi"/>
        </w:rPr>
        <w:t>‰</w:t>
      </w:r>
      <w:r w:rsidR="00533A47">
        <w:t xml:space="preserve"> for </w:t>
      </w:r>
      <w:r w:rsidR="00533A47" w:rsidRPr="0046549B">
        <w:t>δ</w:t>
      </w:r>
      <w:r w:rsidR="00533A47" w:rsidRPr="0046549B">
        <w:rPr>
          <w:vertAlign w:val="superscript"/>
        </w:rPr>
        <w:t>13</w:t>
      </w:r>
      <w:r w:rsidR="00533A47">
        <w:t>C and</w:t>
      </w:r>
      <w:r w:rsidR="00533A47" w:rsidRPr="0046549B">
        <w:t xml:space="preserve"> </w:t>
      </w:r>
      <w:r w:rsidR="00533A47">
        <w:t xml:space="preserve">0.40 </w:t>
      </w:r>
      <w:r w:rsidR="00533A47">
        <w:rPr>
          <w:rFonts w:cstheme="minorHAnsi"/>
        </w:rPr>
        <w:t xml:space="preserve">‰ </w:t>
      </w:r>
      <w:r w:rsidR="00533A47">
        <w:t xml:space="preserve">for </w:t>
      </w:r>
      <w:r w:rsidR="00533A47" w:rsidRPr="0046549B">
        <w:t>δ</w:t>
      </w:r>
      <w:r w:rsidR="00533A47" w:rsidRPr="0046549B">
        <w:rPr>
          <w:vertAlign w:val="superscript"/>
        </w:rPr>
        <w:t>15</w:t>
      </w:r>
      <w:r w:rsidR="00533A47" w:rsidRPr="0046549B">
        <w:t>N</w:t>
      </w:r>
      <w:r w:rsidR="00533A47">
        <w:t xml:space="preserve">. </w:t>
      </w:r>
      <w:r w:rsidR="00295347">
        <w:t xml:space="preserve">The maximum Δ between the averaged values for GC-IRMS and EA-IRMS measurements were 0.18 </w:t>
      </w:r>
      <w:r w:rsidR="00295347">
        <w:rPr>
          <w:rFonts w:cstheme="minorHAnsi"/>
        </w:rPr>
        <w:t>‰</w:t>
      </w:r>
      <w:r w:rsidR="00295347">
        <w:t xml:space="preserve"> for </w:t>
      </w:r>
      <w:r w:rsidR="00295347" w:rsidRPr="0046549B">
        <w:t>δ</w:t>
      </w:r>
      <w:r w:rsidR="00295347" w:rsidRPr="0046549B">
        <w:rPr>
          <w:vertAlign w:val="superscript"/>
        </w:rPr>
        <w:t>13</w:t>
      </w:r>
      <w:r w:rsidR="00295347">
        <w:t>C and 0.34</w:t>
      </w:r>
      <w:r w:rsidR="00295347">
        <w:rPr>
          <w:rFonts w:cstheme="minorHAnsi"/>
        </w:rPr>
        <w:t xml:space="preserve">‰ </w:t>
      </w:r>
      <w:r w:rsidR="00295347">
        <w:t xml:space="preserve">for </w:t>
      </w:r>
      <w:r w:rsidR="00295347" w:rsidRPr="0046549B">
        <w:t>δ</w:t>
      </w:r>
      <w:r w:rsidR="00295347" w:rsidRPr="0046549B">
        <w:rPr>
          <w:vertAlign w:val="superscript"/>
        </w:rPr>
        <w:t>15</w:t>
      </w:r>
      <w:r w:rsidR="00295347" w:rsidRPr="0046549B">
        <w:t>N</w:t>
      </w:r>
      <w:r w:rsidR="00295347">
        <w:t>. D</w:t>
      </w:r>
      <w:r w:rsidR="00533A47">
        <w:t xml:space="preserve">espite the increased measurement uncertainty of the GC-IMRS, on average the results obtained with both instruments are comparable and in acceptable limits for the purposes of this work. </w:t>
      </w:r>
    </w:p>
    <w:p w14:paraId="4C9DA917" w14:textId="77777777" w:rsidR="007979A7" w:rsidRPr="009E684D" w:rsidRDefault="007979A7" w:rsidP="00F3279A">
      <w:pPr>
        <w:spacing w:line="480" w:lineRule="auto"/>
      </w:pPr>
    </w:p>
    <w:p w14:paraId="7C853C8A" w14:textId="4425E822" w:rsidR="006B00AE" w:rsidRPr="00334C54" w:rsidRDefault="002D008C" w:rsidP="00F3279A">
      <w:pPr>
        <w:spacing w:line="480" w:lineRule="auto"/>
        <w:rPr>
          <w:b/>
          <w:bCs/>
        </w:rPr>
      </w:pPr>
      <w:r>
        <w:rPr>
          <w:rStyle w:val="Fett"/>
        </w:rPr>
        <w:t xml:space="preserve">3. </w:t>
      </w:r>
      <w:r w:rsidR="0085733C" w:rsidRPr="008E13D5">
        <w:rPr>
          <w:rStyle w:val="Fett"/>
        </w:rPr>
        <w:t>Results and discussion</w:t>
      </w:r>
    </w:p>
    <w:p w14:paraId="44892DCB" w14:textId="0CFA2330" w:rsidR="00036568" w:rsidRDefault="002D008C" w:rsidP="00F3279A">
      <w:pPr>
        <w:spacing w:line="480" w:lineRule="auto"/>
        <w:rPr>
          <w:i/>
        </w:rPr>
      </w:pPr>
      <w:r>
        <w:rPr>
          <w:i/>
        </w:rPr>
        <w:t xml:space="preserve">3.1 </w:t>
      </w:r>
      <w:r w:rsidR="00673827" w:rsidRPr="008E13D5">
        <w:rPr>
          <w:i/>
        </w:rPr>
        <w:t>Isotope ratios of</w:t>
      </w:r>
      <w:r w:rsidR="00F34FD2" w:rsidRPr="008E13D5">
        <w:rPr>
          <w:i/>
        </w:rPr>
        <w:t xml:space="preserve"> </w:t>
      </w:r>
      <w:r w:rsidR="00B35950">
        <w:rPr>
          <w:i/>
        </w:rPr>
        <w:t>precursor material</w:t>
      </w:r>
      <w:r w:rsidR="00367B93">
        <w:rPr>
          <w:i/>
        </w:rPr>
        <w:t xml:space="preserve"> of </w:t>
      </w:r>
      <w:r w:rsidR="00B57AB1">
        <w:rPr>
          <w:i/>
        </w:rPr>
        <w:t>MDMB-CHMICA</w:t>
      </w:r>
      <w:r w:rsidR="00B35950">
        <w:rPr>
          <w:i/>
        </w:rPr>
        <w:t xml:space="preserve"> and Cumyl-PeGaClone</w:t>
      </w:r>
    </w:p>
    <w:p w14:paraId="46D273CB" w14:textId="44D71231" w:rsidR="00EB4C36" w:rsidRPr="00F3279A" w:rsidRDefault="00D67D04" w:rsidP="00F3279A">
      <w:pPr>
        <w:spacing w:line="480" w:lineRule="auto"/>
        <w:rPr>
          <w:lang w:val="en"/>
        </w:rPr>
      </w:pPr>
      <w:r>
        <w:rPr>
          <w:lang w:val="en"/>
        </w:rPr>
        <w:t xml:space="preserve">Since the identification of JWH-018 in SPs in 2008, the general structure of newly appearing synthetic cannabinoids has followed a recognizable pattern. They can be synthesized by a modular system consisting of a core structure, aliphatic residue, linker and linked residue, following similar synthesis procedures as published in various patents and publications by the pharmaceutical industry </w:t>
      </w:r>
      <w:r>
        <w:rPr>
          <w:lang w:val="en"/>
        </w:rPr>
        <w:fldChar w:fldCharType="begin"/>
      </w:r>
      <w:r w:rsidR="003C396B">
        <w:rPr>
          <w:lang w:val="en"/>
        </w:rPr>
        <w:instrText xml:space="preserve"> ADDIN EN.CITE &lt;EndNote&gt;&lt;Cite&gt;&lt;Author&gt;Buchler&lt;/Author&gt;&lt;Year&gt;2009&lt;/Year&gt;&lt;RecNum&gt;66&lt;/RecNum&gt;&lt;DisplayText&gt;[16, 29]&lt;/DisplayText&gt;&lt;record&gt;&lt;rec-number&gt;66&lt;/rec-number&gt;&lt;foreign-keys&gt;&lt;key app="EN" db-id="wxrp5sarzfpwayefwerxws5exsssx22p5wxf" timestamp="1547572320"&gt;66&lt;/key&gt;&lt;/foreign-keys&gt;&lt;ref-type name="Patent"&gt;25&lt;/ref-type&gt;&lt;contributors&gt;&lt;authors&gt;&lt;author&gt;Buchler, Price&lt;/author&gt;&lt;/authors&gt;&lt;/contributors&gt;&lt;titles&gt;&lt;title&gt;Indazole derivatives&lt;/title&gt;&lt;/titles&gt;&lt;dates&gt;&lt;year&gt;2009&lt;/year&gt;&lt;/dates&gt;&lt;pub-location&gt;US&lt;/pub-location&gt;&lt;isbn&gt;WO2009106980&lt;/isbn&gt;&lt;urls&gt;&lt;/urls&gt;&lt;/record&gt;&lt;/Cite&gt;&lt;Cite&gt;&lt;Author&gt;Huffman&lt;/Author&gt;&lt;Year&gt;1994&lt;/Year&gt;&lt;RecNum&gt;55&lt;/RecNum&gt;&lt;record&gt;&lt;rec-number&gt;55&lt;/rec-number&gt;&lt;foreign-keys&gt;&lt;key app="EN" db-id="wxrp5sarzfpwayefwerxws5exsssx22p5wxf" timestamp="1547567135"&gt;55&lt;/key&gt;&lt;/foreign-keys&gt;&lt;ref-type name="Journal Article"&gt;17&lt;/ref-type&gt;&lt;contributors&gt;&lt;authors&gt;&lt;author&gt;Huffman, John W.&lt;/author&gt;&lt;author&gt;Dai, Dong&lt;/author&gt;&lt;author&gt;Martin, Billy R.&lt;/author&gt;&lt;author&gt;Compton, David R.&lt;/author&gt;&lt;/authors&gt;&lt;/contributors&gt;&lt;titles&gt;&lt;title&gt;Design, Synthesis and Pharmacology of Cannabimimetic Indoles&lt;/title&gt;&lt;secondary-title&gt;Bioorganic &amp;amp; Medicinal Chemistry Letters&lt;/secondary-title&gt;&lt;/titles&gt;&lt;periodical&gt;&lt;full-title&gt;Bioorganic &amp;amp; Medicinal Chemistry Letters&lt;/full-title&gt;&lt;/periodical&gt;&lt;pages&gt;563-566&lt;/pages&gt;&lt;volume&gt;4&lt;/volume&gt;&lt;number&gt;4&lt;/number&gt;&lt;dates&gt;&lt;year&gt;1994&lt;/year&gt;&lt;pub-dates&gt;&lt;date&gt;2/24/&lt;/date&gt;&lt;/pub-dates&gt;&lt;/dates&gt;&lt;isbn&gt;0960-894X&lt;/isbn&gt;&lt;urls&gt;&lt;related-urls&gt;&lt;url&gt;http://www.sciencedirect.com/science/article/pii/S0960894X01801554&lt;/url&gt;&lt;/related-urls&gt;&lt;/urls&gt;&lt;electronic-resource-num&gt;http://dx.doi.org/10.1016/S0960-894X(01)80155-4&lt;/electronic-resource-num&gt;&lt;/record&gt;&lt;/Cite&gt;&lt;/EndNote&gt;</w:instrText>
      </w:r>
      <w:r>
        <w:rPr>
          <w:lang w:val="en"/>
        </w:rPr>
        <w:fldChar w:fldCharType="separate"/>
      </w:r>
      <w:r>
        <w:rPr>
          <w:noProof/>
          <w:lang w:val="en"/>
        </w:rPr>
        <w:t>[16, 29]</w:t>
      </w:r>
      <w:r>
        <w:rPr>
          <w:lang w:val="en"/>
        </w:rPr>
        <w:fldChar w:fldCharType="end"/>
      </w:r>
      <w:r>
        <w:rPr>
          <w:lang w:val="en"/>
        </w:rPr>
        <w:t xml:space="preserve">. Although most of the published syntheses start from the native core molecule like indole or indazole, it is yet unknown which exact precursor material the NPS manufacturers use. However, it is generally considered, that a minimum of two synthesis steps are taken: the coupling of the aliphatic residue to the N-atom of the core structure and the </w:t>
      </w:r>
      <w:r>
        <w:rPr>
          <w:lang w:val="en"/>
        </w:rPr>
        <w:lastRenderedPageBreak/>
        <w:t xml:space="preserve">coupling of the linked residue to the linker (and thus the core), </w:t>
      </w:r>
      <w:r w:rsidRPr="00C55687">
        <w:rPr>
          <w:lang w:val="en"/>
        </w:rPr>
        <w:t>necessitating</w:t>
      </w:r>
      <w:r>
        <w:rPr>
          <w:lang w:val="en"/>
        </w:rPr>
        <w:t xml:space="preserve"> at least three individual precursor substances. Figure </w:t>
      </w:r>
      <w:r w:rsidR="00E11382">
        <w:rPr>
          <w:lang w:val="en"/>
        </w:rPr>
        <w:t xml:space="preserve">2 </w:t>
      </w:r>
      <w:r>
        <w:rPr>
          <w:lang w:val="en"/>
        </w:rPr>
        <w:t xml:space="preserve">shows the structural elements of </w:t>
      </w:r>
      <w:r>
        <w:rPr>
          <w:b/>
          <w:lang w:val="en"/>
        </w:rPr>
        <w:t>1</w:t>
      </w:r>
      <w:r>
        <w:rPr>
          <w:lang w:val="en"/>
        </w:rPr>
        <w:t xml:space="preserve"> and </w:t>
      </w:r>
      <w:r>
        <w:rPr>
          <w:b/>
          <w:lang w:val="en"/>
        </w:rPr>
        <w:t>2</w:t>
      </w:r>
      <w:r>
        <w:rPr>
          <w:lang w:val="en"/>
        </w:rPr>
        <w:t xml:space="preserve"> which are expected to be used in the course of their respective synthesis. In the case of </w:t>
      </w:r>
      <w:r>
        <w:rPr>
          <w:b/>
          <w:lang w:val="en"/>
        </w:rPr>
        <w:t>1</w:t>
      </w:r>
      <w:r>
        <w:rPr>
          <w:lang w:val="en"/>
        </w:rPr>
        <w:t>, these precursors should be indole or an indole derivative (indole-3-carboxylic acid, carboxylate or carbaldehyde), (bromomethyl)cyclohexane and tert-leucine methyl ester (TLME).</w:t>
      </w:r>
      <w:r w:rsidRPr="007A5B0F">
        <w:rPr>
          <w:lang w:val="en"/>
        </w:rPr>
        <w:t xml:space="preserve"> </w:t>
      </w:r>
      <w:r>
        <w:rPr>
          <w:lang w:val="en"/>
        </w:rPr>
        <w:t xml:space="preserve">In the case of </w:t>
      </w:r>
      <w:r w:rsidRPr="007A5B0F">
        <w:rPr>
          <w:b/>
          <w:lang w:val="en"/>
        </w:rPr>
        <w:t>2</w:t>
      </w:r>
      <w:r>
        <w:rPr>
          <w:lang w:val="en"/>
        </w:rPr>
        <w:t>, a 2-methyl-indole or a derivative (2-methyl-indole-3-carboxylic acid, carboxylate or carbaldehyde), 1-bromopentyl and cumylamine.</w:t>
      </w:r>
    </w:p>
    <w:p w14:paraId="17505557" w14:textId="7EE30BAB" w:rsidR="000530F7" w:rsidRDefault="00FC48EF" w:rsidP="00F3279A">
      <w:pPr>
        <w:spacing w:line="480" w:lineRule="auto"/>
      </w:pPr>
      <w:r>
        <w:rPr>
          <w:lang w:val="en"/>
        </w:rPr>
        <w:t>Counting the number of carbon atoms in each precursor</w:t>
      </w:r>
      <w:r w:rsidR="007A5B0F">
        <w:rPr>
          <w:lang w:val="en"/>
        </w:rPr>
        <w:t xml:space="preserve"> for </w:t>
      </w:r>
      <w:r w:rsidR="007A5B0F">
        <w:rPr>
          <w:b/>
          <w:lang w:val="en"/>
        </w:rPr>
        <w:t>1</w:t>
      </w:r>
      <w:r>
        <w:rPr>
          <w:lang w:val="en"/>
        </w:rPr>
        <w:t xml:space="preserve">, their influence on the overall </w:t>
      </w:r>
      <w:r w:rsidR="00C55687" w:rsidRPr="0026480B">
        <w:t>δ</w:t>
      </w:r>
      <w:r w:rsidR="00C55687" w:rsidRPr="0026480B">
        <w:rPr>
          <w:vertAlign w:val="superscript"/>
        </w:rPr>
        <w:t>13</w:t>
      </w:r>
      <w:r w:rsidR="00C55687" w:rsidRPr="0026480B">
        <w:t>C</w:t>
      </w:r>
      <w:r>
        <w:t xml:space="preserve"> </w:t>
      </w:r>
      <w:r w:rsidR="00AF7CE6">
        <w:t xml:space="preserve">value </w:t>
      </w:r>
      <w:r w:rsidR="0063008A">
        <w:t>is</w:t>
      </w:r>
      <w:r>
        <w:t xml:space="preserve"> nearly equal (Indole: C</w:t>
      </w:r>
      <w:r>
        <w:rPr>
          <w:vertAlign w:val="subscript"/>
        </w:rPr>
        <w:t>8</w:t>
      </w:r>
      <w:r>
        <w:t>; Cyclohexyl methyl: C</w:t>
      </w:r>
      <w:r>
        <w:rPr>
          <w:vertAlign w:val="subscript"/>
        </w:rPr>
        <w:t>7</w:t>
      </w:r>
      <w:r>
        <w:t>; TLME: C</w:t>
      </w:r>
      <w:r>
        <w:rPr>
          <w:vertAlign w:val="subscript"/>
        </w:rPr>
        <w:t>7</w:t>
      </w:r>
      <w:r>
        <w:t xml:space="preserve">). </w:t>
      </w:r>
      <w:r w:rsidR="0063008A">
        <w:t>For</w:t>
      </w:r>
      <w:r>
        <w:t xml:space="preserve"> </w:t>
      </w:r>
      <w:r w:rsidR="007A5B0F" w:rsidRPr="0026480B">
        <w:t>δ</w:t>
      </w:r>
      <w:r w:rsidR="007A5B0F" w:rsidRPr="0026480B">
        <w:rPr>
          <w:vertAlign w:val="superscript"/>
        </w:rPr>
        <w:t>15</w:t>
      </w:r>
      <w:r w:rsidR="007A5B0F" w:rsidRPr="0026480B">
        <w:t>N,</w:t>
      </w:r>
      <w:r>
        <w:t xml:space="preserve"> only the indole and TLME</w:t>
      </w:r>
      <w:r w:rsidR="00334C54">
        <w:t xml:space="preserve">, each with one nitrogen, </w:t>
      </w:r>
      <w:r w:rsidR="008C170D">
        <w:t xml:space="preserve">have an impact on the </w:t>
      </w:r>
      <w:r w:rsidR="007A5B0F">
        <w:t xml:space="preserve">corresponding </w:t>
      </w:r>
      <w:r w:rsidR="008C170D">
        <w:t>isotope ratios</w:t>
      </w:r>
      <w:r>
        <w:t>.</w:t>
      </w:r>
      <w:r w:rsidR="00396DFE">
        <w:t xml:space="preserve"> </w:t>
      </w:r>
      <w:r w:rsidR="00003E42">
        <w:t xml:space="preserve">The synthesis of </w:t>
      </w:r>
      <w:r w:rsidR="00003E42">
        <w:rPr>
          <w:b/>
        </w:rPr>
        <w:t>2</w:t>
      </w:r>
      <w:r w:rsidR="00334C54">
        <w:t xml:space="preserve"> is</w:t>
      </w:r>
      <w:r w:rsidR="00003E42">
        <w:t xml:space="preserve"> slightly more complex in comparison to synthetic cannabinoids with indole or indazole core structures. The gamma-carboline-1-one structure is expected to be </w:t>
      </w:r>
      <w:r w:rsidR="006037F4">
        <w:t>synthesized</w:t>
      </w:r>
      <w:r w:rsidR="00003E42">
        <w:t xml:space="preserve"> by ring formation of a 2-methyl-indole derivative, following general synthesis instructions from </w:t>
      </w:r>
      <w:r w:rsidR="00003E42" w:rsidRPr="009A0A0F">
        <w:t>Clark et al.</w:t>
      </w:r>
      <w:r w:rsidR="003B7498" w:rsidRPr="009A0A0F">
        <w:t xml:space="preserve"> </w:t>
      </w:r>
      <w:r w:rsidR="00003E42" w:rsidRPr="009A0A0F">
        <w:fldChar w:fldCharType="begin"/>
      </w:r>
      <w:r w:rsidR="00D67D04">
        <w:instrText xml:space="preserve"> ADDIN EN.CITE &lt;EndNote&gt;&lt;Cite&gt;&lt;Author&gt;Clark&lt;/Author&gt;&lt;Year&gt;1993&lt;/Year&gt;&lt;RecNum&gt;62&lt;/RecNum&gt;&lt;DisplayText&gt;[30]&lt;/DisplayText&gt;&lt;record&gt;&lt;rec-number&gt;62&lt;/rec-number&gt;&lt;foreign-keys&gt;&lt;key app="EN" db-id="0rddxvvew22rz1e0fxk52w2v5v9ad9et50ep" timestamp="1541675763"&gt;62&lt;/key&gt;&lt;/foreign-keys&gt;&lt;ref-type name="Journal Article"&gt;17&lt;/ref-type&gt;&lt;contributors&gt;&lt;authors&gt;&lt;author&gt;Clark, Robin D.&lt;/author&gt;&lt;author&gt;Miller, Aaron B.&lt;/author&gt;&lt;author&gt;Berger, Jacob&lt;/author&gt;&lt;author&gt;Repke, David B.&lt;/author&gt;&lt;author&gt;Weinhardt, Klaus K.&lt;/author&gt;&lt;author&gt;Kowalczyk, Bruce A.&lt;/author&gt;&lt;author&gt;Eglen, Richard M.&lt;/author&gt;&lt;author&gt;Bonhaus, Douglas W.&lt;/author&gt;&lt;author&gt;Lee, Chi Ho&lt;/author&gt;&lt;/authors&gt;&lt;/contributors&gt;&lt;titles&gt;&lt;title&gt;2-(Quinuclidin-3-yl)pyrido[4,3-b]indol-1-ones and isoquinolin-1-ones. Potent conformationally restricted 5-HT3 receptor antagonists&lt;/title&gt;&lt;secondary-title&gt;Journal of Medicinal Chemistry&lt;/secondary-title&gt;&lt;/titles&gt;&lt;periodical&gt;&lt;full-title&gt;Journal of Medicinal Chemistry&lt;/full-title&gt;&lt;abbr-1&gt;J. Med. Chem.&lt;/abbr-1&gt;&lt;abbr-2&gt;J Med Chem&lt;/abbr-2&gt;&lt;/periodical&gt;&lt;pages&gt;2645-2657&lt;/pages&gt;&lt;volume&gt;36&lt;/volume&gt;&lt;number&gt;18&lt;/number&gt;&lt;dates&gt;&lt;year&gt;1993&lt;/year&gt;&lt;pub-dates&gt;&lt;date&gt;1993/09/01&lt;/date&gt;&lt;/pub-dates&gt;&lt;/dates&gt;&lt;publisher&gt;American Chemical Society&lt;/publisher&gt;&lt;isbn&gt;0022-2623&lt;/isbn&gt;&lt;urls&gt;&lt;related-urls&gt;&lt;url&gt;https://doi.org/10.1021/jm00070a008&lt;/url&gt;&lt;/related-urls&gt;&lt;/urls&gt;&lt;electronic-resource-num&gt;10.1021/jm00070a008&lt;/electronic-resource-num&gt;&lt;/record&gt;&lt;/Cite&gt;&lt;/EndNote&gt;</w:instrText>
      </w:r>
      <w:r w:rsidR="00003E42" w:rsidRPr="009A0A0F">
        <w:fldChar w:fldCharType="separate"/>
      </w:r>
      <w:r w:rsidR="00D67D04">
        <w:rPr>
          <w:noProof/>
        </w:rPr>
        <w:t>[30]</w:t>
      </w:r>
      <w:r w:rsidR="00003E42" w:rsidRPr="009A0A0F">
        <w:fldChar w:fldCharType="end"/>
      </w:r>
      <w:r w:rsidR="00003E42" w:rsidRPr="009A0A0F">
        <w:t xml:space="preserve"> (Figure </w:t>
      </w:r>
      <w:r w:rsidR="009A0A0F" w:rsidRPr="009A0A0F">
        <w:t>3</w:t>
      </w:r>
      <w:r w:rsidR="00003E42" w:rsidRPr="009A0A0F">
        <w:t>). Bristol-Meyer</w:t>
      </w:r>
      <w:r w:rsidR="00003E42">
        <w:t xml:space="preserve"> Squibb Co. patented the synthesis of a broad spectrum of gamma-carboline-1-one based cannabinoid receptor agonists similar to </w:t>
      </w:r>
      <w:r w:rsidR="00003E42">
        <w:rPr>
          <w:b/>
        </w:rPr>
        <w:t>2</w:t>
      </w:r>
      <w:r w:rsidR="003B7498">
        <w:rPr>
          <w:b/>
        </w:rPr>
        <w:t xml:space="preserve"> </w:t>
      </w:r>
      <w:r w:rsidR="006037F4" w:rsidRPr="00B72513">
        <w:fldChar w:fldCharType="begin"/>
      </w:r>
      <w:r w:rsidR="00D67D04">
        <w:instrText xml:space="preserve"> ADDIN EN.CITE &lt;EndNote&gt;&lt;Cite&gt;&lt;Author&gt;Wrobleski&lt;/Author&gt;&lt;Year&gt;2003&lt;/Year&gt;&lt;RecNum&gt;90&lt;/RecNum&gt;&lt;DisplayText&gt;[31]&lt;/DisplayText&gt;&lt;record&gt;&lt;rec-number&gt;90&lt;/rec-number&gt;&lt;foreign-keys&gt;&lt;key app="EN" db-id="0rddxvvew22rz1e0fxk52w2v5v9ad9et50ep" timestamp="1552308969"&gt;90&lt;/key&gt;&lt;/foreign-keys&gt;&lt;ref-type name="Journal Article"&gt;17&lt;/ref-type&gt;&lt;contributors&gt;&lt;authors&gt;&lt;author&gt;Wrobleski, Stephen T.&lt;/author&gt;&lt;author&gt;Chen, Ping&lt;/author&gt;&lt;author&gt;Hynes, John&lt;/author&gt;&lt;author&gt;Lin, Shuqun&lt;/author&gt;&lt;author&gt;Norris, Derek J.&lt;/author&gt;&lt;author&gt;Pandit, Chennagiri R.&lt;/author&gt;&lt;author&gt;Spergel, Steven&lt;/author&gt;&lt;author&gt;Wu, Hong&lt;/author&gt;&lt;author&gt;Tokarski, John S.&lt;/author&gt;&lt;author&gt;Chen, Xiaorong&lt;/author&gt;&lt;author&gt;Gillooly, Kathleen M.&lt;/author&gt;&lt;author&gt;Kiener, Peter A.&lt;/author&gt;&lt;author&gt;McIntyre, Kim W.&lt;/author&gt;&lt;author&gt;Patil-koota, Vina&lt;/author&gt;&lt;author&gt;Shuster, David J.&lt;/author&gt;&lt;author&gt;Turk, Lori A.&lt;/author&gt;&lt;author&gt;Yang, Guchen&lt;/author&gt;&lt;author&gt;Leftheris, Katerina&lt;/author&gt;&lt;/authors&gt;&lt;/contributors&gt;&lt;titles&gt;&lt;title&gt;Rational Design and Synthesis of an Orally Active Indolopyridone as a Novel Conformationally Constrained Cannabinoid Ligand Possessing Antiinflammatory Properties&lt;/title&gt;&lt;secondary-title&gt;Journal of Medicinal Chemistry&lt;/secondary-title&gt;&lt;/titles&gt;&lt;periodical&gt;&lt;full-title&gt;Journal of Medicinal Chemistry&lt;/full-title&gt;&lt;abbr-1&gt;J. Med. Chem.&lt;/abbr-1&gt;&lt;abbr-2&gt;J Med Chem&lt;/abbr-2&gt;&lt;/periodical&gt;&lt;pages&gt;2110-2116&lt;/pages&gt;&lt;volume&gt;46&lt;/volume&gt;&lt;number&gt;11&lt;/number&gt;&lt;dates&gt;&lt;year&gt;2003&lt;/year&gt;&lt;pub-dates&gt;&lt;date&gt;2003/05/01&lt;/date&gt;&lt;/pub-dates&gt;&lt;/dates&gt;&lt;publisher&gt;American Chemical Society&lt;/publisher&gt;&lt;isbn&gt;0022-2623&lt;/isbn&gt;&lt;urls&gt;&lt;related-urls&gt;&lt;url&gt;https://doi.org/10.1021/jm020329q&lt;/url&gt;&lt;/related-urls&gt;&lt;/urls&gt;&lt;electronic-resource-num&gt;10.1021/jm020329q&lt;/electronic-resource-num&gt;&lt;/record&gt;&lt;/Cite&gt;&lt;/EndNote&gt;</w:instrText>
      </w:r>
      <w:r w:rsidR="006037F4" w:rsidRPr="00B72513">
        <w:fldChar w:fldCharType="separate"/>
      </w:r>
      <w:r w:rsidR="00D67D04">
        <w:rPr>
          <w:noProof/>
        </w:rPr>
        <w:t>[31]</w:t>
      </w:r>
      <w:r w:rsidR="006037F4" w:rsidRPr="00B72513">
        <w:fldChar w:fldCharType="end"/>
      </w:r>
      <w:r w:rsidR="00003E42" w:rsidRPr="00FB7879">
        <w:t xml:space="preserve">. </w:t>
      </w:r>
      <w:r w:rsidR="00EB4C36">
        <w:t xml:space="preserve">This pathway is considered to be likely used by the NPS manufacturers as it is convenient to adapt the synthesis procedures of indole or indazole based core structures (such as Cuyml-5F-PICA) to 2-methyl-indoles with limited effort.  Thus, in the stated synthesis, cumylamine (2-phenyl-2-propanamine) </w:t>
      </w:r>
      <w:r w:rsidR="00334C54">
        <w:t>should be</w:t>
      </w:r>
      <w:r w:rsidR="00EB4C36">
        <w:t xml:space="preserve"> one of the precursors, contributing one of the two nitrogen and nine of the twenty-five carbon (36%) present in the molecule. </w:t>
      </w:r>
    </w:p>
    <w:p w14:paraId="053CC85E" w14:textId="555F3F6C" w:rsidR="00EB4C36" w:rsidRDefault="000530F7" w:rsidP="00F3279A">
      <w:pPr>
        <w:spacing w:line="480" w:lineRule="auto"/>
      </w:pPr>
      <w:r>
        <w:t xml:space="preserve">Jasper et al. analysed a set of active pharmaceutical ingredients </w:t>
      </w:r>
      <w:r w:rsidR="00B14417">
        <w:t xml:space="preserve">(API) from different manufacturers and lots </w:t>
      </w:r>
      <w:r>
        <w:t xml:space="preserve">for their stable isotope ratios of </w:t>
      </w:r>
      <w:proofErr w:type="spellStart"/>
      <w:r w:rsidRPr="0046549B">
        <w:t>δ</w:t>
      </w:r>
      <w:r>
        <w:t>D</w:t>
      </w:r>
      <w:proofErr w:type="spellEnd"/>
      <w:r>
        <w:t xml:space="preserve">, </w:t>
      </w:r>
      <w:r w:rsidRPr="0046549B">
        <w:t>δ</w:t>
      </w:r>
      <w:r w:rsidRPr="0046549B">
        <w:rPr>
          <w:vertAlign w:val="superscript"/>
        </w:rPr>
        <w:t>13</w:t>
      </w:r>
      <w:r>
        <w:t xml:space="preserve">C, </w:t>
      </w:r>
      <w:r w:rsidRPr="0046549B">
        <w:t>δ</w:t>
      </w:r>
      <w:r w:rsidRPr="0046549B">
        <w:rPr>
          <w:vertAlign w:val="superscript"/>
        </w:rPr>
        <w:t>1</w:t>
      </w:r>
      <w:r>
        <w:rPr>
          <w:vertAlign w:val="superscript"/>
        </w:rPr>
        <w:t>5</w:t>
      </w:r>
      <w:r>
        <w:t xml:space="preserve">N and </w:t>
      </w:r>
      <w:r w:rsidRPr="0046549B">
        <w:t>δ</w:t>
      </w:r>
      <w:r w:rsidRPr="0046549B">
        <w:rPr>
          <w:vertAlign w:val="superscript"/>
        </w:rPr>
        <w:t>1</w:t>
      </w:r>
      <w:r>
        <w:rPr>
          <w:vertAlign w:val="superscript"/>
        </w:rPr>
        <w:t>8</w:t>
      </w:r>
      <w:r>
        <w:t>O</w:t>
      </w:r>
      <w:r w:rsidR="00B14417">
        <w:t xml:space="preserve"> and found that each manufacture synthesized material with a specific isotopic composition, independent from the lot number</w:t>
      </w:r>
      <w:r w:rsidR="003B7498">
        <w:t xml:space="preserve"> </w:t>
      </w:r>
      <w:r w:rsidR="00B14417">
        <w:fldChar w:fldCharType="begin"/>
      </w:r>
      <w:r w:rsidR="00D67D04">
        <w:instrText xml:space="preserve"> ADDIN EN.CITE &lt;EndNote&gt;&lt;Cite&gt;&lt;Author&gt;Jasper&lt;/Author&gt;&lt;Year&gt;2004&lt;/Year&gt;&lt;RecNum&gt;78&lt;/RecNum&gt;&lt;DisplayText&gt;[32]&lt;/DisplayText&gt;&lt;record&gt;&lt;rec-number&gt;78&lt;/rec-number&gt;&lt;foreign-keys&gt;&lt;key app="EN" db-id="0rddxvvew22rz1e0fxk52w2v5v9ad9et50ep" timestamp="1542624828"&gt;78&lt;/key&gt;&lt;/foreign-keys&gt;&lt;ref-type name="Journal Article"&gt;17&lt;/ref-type&gt;&lt;contributors&gt;&lt;authors&gt;&lt;author&gt;Jasper, J. P.&lt;/author&gt;&lt;author&gt;Westenberger, B. J.&lt;/author&gt;&lt;author&gt;Spencer, J. A.&lt;/author&gt;&lt;author&gt;Buhse, L. F.&lt;/author&gt;&lt;author&gt;Nasr, M.&lt;/author&gt;&lt;/authors&gt;&lt;/contributors&gt;&lt;titles&gt;&lt;title&gt;Stable isotopic characterization of active pharmaceutical ingredients&lt;/title&gt;&lt;secondary-title&gt;Journal of Pharmaceutical and Biomedical Analysis&lt;/secondary-title&gt;&lt;/titles&gt;&lt;periodical&gt;&lt;full-title&gt;Journal of Pharmaceutical and Biomedical Analysis&lt;/full-title&gt;&lt;abbr-1&gt;J. Pharm. Biomed. Anal.&lt;/abbr-1&gt;&lt;abbr-2&gt;J Pharm Biomed Anal&lt;/abbr-2&gt;&lt;/periodical&gt;&lt;pages&gt;21-30&lt;/pages&gt;&lt;volume&gt;35&lt;/volume&gt;&lt;number&gt;1&lt;/number&gt;&lt;keywords&gt;&lt;keyword&gt;Pharmaceutical materials&lt;/keyword&gt;&lt;keyword&gt;Active Pharmaceutical Ingredients&lt;/keyword&gt;&lt;keyword&gt;Stable isotopes&lt;/keyword&gt;&lt;keyword&gt;D&lt;/keyword&gt;&lt;keyword&gt;Isotopic fingerprinting&lt;/keyword&gt;&lt;/keywords&gt;&lt;dates&gt;&lt;year&gt;2004&lt;/year&gt;&lt;pub-dates&gt;&lt;date&gt;2004/04/01/&lt;/date&gt;&lt;/pub-dates&gt;&lt;/dates&gt;&lt;isbn&gt;0731-7085&lt;/isbn&gt;&lt;urls&gt;&lt;related-urls&gt;&lt;url&gt;http://www.sciencedirect.com/science/article/pii/S0731708503005818&lt;/url&gt;&lt;/related-urls&gt;&lt;/urls&gt;&lt;electronic-resource-num&gt;https://doi.org/10.1016/S0731-7085(03)00581-8&lt;/electronic-resource-num&gt;&lt;/record&gt;&lt;/Cite&gt;&lt;/EndNote&gt;</w:instrText>
      </w:r>
      <w:r w:rsidR="00B14417">
        <w:fldChar w:fldCharType="separate"/>
      </w:r>
      <w:r w:rsidR="00D67D04">
        <w:rPr>
          <w:noProof/>
        </w:rPr>
        <w:t>[32]</w:t>
      </w:r>
      <w:r w:rsidR="00B14417">
        <w:fldChar w:fldCharType="end"/>
      </w:r>
      <w:r w:rsidR="00B14417">
        <w:t xml:space="preserve">. </w:t>
      </w:r>
      <w:r w:rsidR="006037F4">
        <w:t xml:space="preserve">It is generally agreed, that it is virtually impossible to artificially synthesize compounds with a target isotopic composition, considering the difficulty to even predetermine the ratio of a single isotope. </w:t>
      </w:r>
      <w:proofErr w:type="spellStart"/>
      <w:r w:rsidR="00B72513">
        <w:t>Wokovitch</w:t>
      </w:r>
      <w:proofErr w:type="spellEnd"/>
      <w:r w:rsidR="00B72513">
        <w:t xml:space="preserve"> et al. analysed the isotope ratios of the API </w:t>
      </w:r>
      <w:r w:rsidR="005C7377">
        <w:t>Naproxen® and found a maximum</w:t>
      </w:r>
      <w:r w:rsidR="00B72513">
        <w:t xml:space="preserve"> inter-batch variation of 2.52 </w:t>
      </w:r>
      <w:r w:rsidR="00B72513">
        <w:rPr>
          <w:rFonts w:cstheme="minorHAnsi"/>
        </w:rPr>
        <w:t xml:space="preserve">‰ for </w:t>
      </w:r>
      <w:r w:rsidR="00B72513" w:rsidRPr="0046549B">
        <w:t>δ</w:t>
      </w:r>
      <w:r w:rsidR="00B72513" w:rsidRPr="0046549B">
        <w:rPr>
          <w:vertAlign w:val="superscript"/>
        </w:rPr>
        <w:t>13</w:t>
      </w:r>
      <w:r w:rsidR="00B72513">
        <w:t>C for five different batches form a manufacturer in India</w:t>
      </w:r>
      <w:r w:rsidR="003B7498">
        <w:t xml:space="preserve"> </w:t>
      </w:r>
      <w:r w:rsidR="00B72513">
        <w:fldChar w:fldCharType="begin">
          <w:fldData xml:space="preserve">PEVuZE5vdGU+PENpdGU+PEF1dGhvcj5Xb2tvdmljaDwvQXV0aG9yPjxZZWFyPjIwMDU8L1llYXI+
PFJlY051bT43NzwvUmVjTnVtPjxEaXNwbGF5VGV4dD5bMzNdPC9EaXNwbGF5VGV4dD48cmVjb3Jk
PjxyZWMtbnVtYmVyPjc3PC9yZWMtbnVtYmVyPjxmb3JlaWduLWtleXM+PGtleSBhcHA9IkVOIiBk
Yi1pZD0iMHJkZHh2dmV3MjJyejFlMGZ4azUydzJ2NXY5YWQ5ZXQ1MGVwIiB0aW1lc3RhbXA9IjE1
NDI2MjQ2NzkiPjc3PC9rZXk+PC9mb3JlaWduLWtleXM+PHJlZi10eXBlIG5hbWU9IkpvdXJuYWwg
QXJ0aWNsZSI+MTc8L3JlZi10eXBlPjxjb250cmlidXRvcnM+PGF1dGhvcnM+PGF1dGhvcj5Xb2tv
dmljaCwgQS4gTS48L2F1dGhvcj48YXV0aG9yPlNwZW5jZXIsIEouIEEuPC9hdXRob3I+PGF1dGhv
cj5XZXN0ZW5iZXJnZXIsIEIuIEouPC9hdXRob3I+PGF1dGhvcj5CdWhzZSwgTC4gRi48L2F1dGhv
cj48YXV0aG9yPkphc3BlciwgSi4gUC48L2F1dGhvcj48L2F1dGhvcnM+PC9jb250cmlidXRvcnM+
PGF1dGgtYWRkcmVzcz5Gb29kIGFuZCBEcnVnIEFkbWluaXN0cmF0aW9uLCBDZW50ZXIgZm9yIERy
dWcgRXZhbHVhdGlvbiBhbmQgUmVzZWFyY2gsIERpdmlzaW9uIG9mIFBoYXJtYWNldXRpY2FsIEFu
YWx5c2lzLCBTdC4gTG91aXMsIE1PIDYzMTAxLCBVU0EuIHdva292aWNoYUBjZGVyLmZkYS5nb3Y8
L2F1dGgtYWRkcmVzcz48dGl0bGVzPjx0aXRsZT5TdGFibGUgaXNvdG9waWMgY29tcG9zaXRpb24g
b2YgdGhlIGFjdGl2ZSBwaGFybWFjZXV0aWNhbCBpbmdyZWRpZW50IChBUEkpIG5hcHJveGVuPC90
aXRsZT48c2Vjb25kYXJ5LXRpdGxlPkogUGhhcm0gQmlvbWVkIEFuYWw8L3NlY29uZGFyeS10aXRs
ZT48YWx0LXRpdGxlPkpvdXJuYWwgb2YgcGhhcm1hY2V1dGljYWwgYW5kIGJpb21lZGljYWwgYW5h
bHlzaXM8L2FsdC10aXRsZT48L3RpdGxlcz48cGVyaW9kaWNhbD48ZnVsbC10aXRsZT5Kb3VybmFs
IG9mIFBoYXJtYWNldXRpY2FsIGFuZCBCaW9tZWRpY2FsIEFuYWx5c2lzPC9mdWxsLXRpdGxlPjxh
YmJyLTE+Si4gUGhhcm0uIEJpb21lZC4gQW5hbC48L2FiYnItMT48YWJici0yPkogUGhhcm0gQmlv
bWVkIEFuYWw8L2FiYnItMj48L3BlcmlvZGljYWw+PGFsdC1wZXJpb2RpY2FsPjxmdWxsLXRpdGxl
PkpvdXJuYWwgb2YgUGhhcm1hY2V1dGljYWwgYW5kIEJpb21lZGljYWwgQW5hbHlzaXM8L2Z1bGwt
dGl0bGU+PGFiYnItMT5KLiBQaGFybS4gQmlvbWVkLiBBbmFsLjwvYWJici0xPjxhYmJyLTI+SiBQ
aGFybSBCaW9tZWQgQW5hbDwvYWJici0yPjwvYWx0LXBlcmlvZGljYWw+PHBhZ2VzPjc4MS00PC9w
YWdlcz48dm9sdW1lPjM4PC92b2x1bWU+PG51bWJlcj40PC9udW1iZXI+PGVkaXRpb24+MjAwNS8w
Ni8yMjwvZWRpdGlvbj48a2V5d29yZHM+PGtleXdvcmQ+QW50aS1JbmZsYW1tYXRvcnkgQWdlbnRz
LCBOb24tU3Rlcm9pZGFsLyphbmFseXNpczwva2V5d29yZD48a2V5d29yZD5DYXJib24gSXNvdG9w
ZXM8L2tleXdvcmQ+PGtleXdvcmQ+SHlkcm9nZW4vYW5hbHlzaXM8L2tleXdvcmQ+PGtleXdvcmQ+
TWFzcyBTcGVjdHJvbWV0cnk8L2tleXdvcmQ+PGtleXdvcmQ+TmFwcm94ZW4vKmFuYWx5c2lzPC9r
ZXl3b3JkPjxrZXl3b3JkPk94eWdlbiBJc290b3Blczwva2V5d29yZD48a2V5d29yZD5SZXByb2R1
Y2liaWxpdHkgb2YgUmVzdWx0czwva2V5d29yZD48a2V5d29yZD5Vbml0ZWQgU3RhdGVzPC9rZXl3
b3JkPjxrZXl3b3JkPlVuaXRlZCBTdGF0ZXMgRm9vZCBhbmQgRHJ1ZyBBZG1pbmlzdHJhdGlvbjwv
a2V5d29yZD48L2tleXdvcmRzPjxkYXRlcz48eWVhcj4yMDA1PC95ZWFyPjxwdWItZGF0ZXM+PGRh
dGU+SnVsIDE1PC9kYXRlPjwvcHViLWRhdGVzPjwvZGF0ZXM+PGlzYm4+MDczMS03MDg1IChQcmlu
dCkmI3hEOzA3MzEtNzA4NTwvaXNibj48YWNjZXNzaW9uLW51bT4xNTk2NzMwOTwvYWNjZXNzaW9u
LW51bT48dXJscz48L3VybHM+PGVsZWN0cm9uaWMtcmVzb3VyY2UtbnVtPjEwLjEwMTYvai5qcGJh
LjIwMDUuMDIuMDMzPC9lbGVjdHJvbmljLXJlc291cmNlLW51bT48cmVtb3RlLWRhdGFiYXNlLXBy
b3ZpZGVyPk5MTTwvcmVtb3RlLWRhdGFiYXNlLXByb3ZpZGVyPjxsYW5ndWFnZT5lbmc8L2xhbmd1
YWdlPjwvcmVjb3JkPjwvQ2l0ZT48L0VuZE5vdGU+AG==
</w:fldData>
        </w:fldChar>
      </w:r>
      <w:r w:rsidR="00D67D04">
        <w:instrText xml:space="preserve"> ADDIN EN.CITE </w:instrText>
      </w:r>
      <w:r w:rsidR="00D67D04">
        <w:fldChar w:fldCharType="begin">
          <w:fldData xml:space="preserve">PEVuZE5vdGU+PENpdGU+PEF1dGhvcj5Xb2tvdmljaDwvQXV0aG9yPjxZZWFyPjIwMDU8L1llYXI+
PFJlY051bT43NzwvUmVjTnVtPjxEaXNwbGF5VGV4dD5bMzNdPC9EaXNwbGF5VGV4dD48cmVjb3Jk
PjxyZWMtbnVtYmVyPjc3PC9yZWMtbnVtYmVyPjxmb3JlaWduLWtleXM+PGtleSBhcHA9IkVOIiBk
Yi1pZD0iMHJkZHh2dmV3MjJyejFlMGZ4azUydzJ2NXY5YWQ5ZXQ1MGVwIiB0aW1lc3RhbXA9IjE1
NDI2MjQ2NzkiPjc3PC9rZXk+PC9mb3JlaWduLWtleXM+PHJlZi10eXBlIG5hbWU9IkpvdXJuYWwg
QXJ0aWNsZSI+MTc8L3JlZi10eXBlPjxjb250cmlidXRvcnM+PGF1dGhvcnM+PGF1dGhvcj5Xb2tv
dmljaCwgQS4gTS48L2F1dGhvcj48YXV0aG9yPlNwZW5jZXIsIEouIEEuPC9hdXRob3I+PGF1dGhv
cj5XZXN0ZW5iZXJnZXIsIEIuIEouPC9hdXRob3I+PGF1dGhvcj5CdWhzZSwgTC4gRi48L2F1dGhv
cj48YXV0aG9yPkphc3BlciwgSi4gUC48L2F1dGhvcj48L2F1dGhvcnM+PC9jb250cmlidXRvcnM+
PGF1dGgtYWRkcmVzcz5Gb29kIGFuZCBEcnVnIEFkbWluaXN0cmF0aW9uLCBDZW50ZXIgZm9yIERy
dWcgRXZhbHVhdGlvbiBhbmQgUmVzZWFyY2gsIERpdmlzaW9uIG9mIFBoYXJtYWNldXRpY2FsIEFu
YWx5c2lzLCBTdC4gTG91aXMsIE1PIDYzMTAxLCBVU0EuIHdva292aWNoYUBjZGVyLmZkYS5nb3Y8
L2F1dGgtYWRkcmVzcz48dGl0bGVzPjx0aXRsZT5TdGFibGUgaXNvdG9waWMgY29tcG9zaXRpb24g
b2YgdGhlIGFjdGl2ZSBwaGFybWFjZXV0aWNhbCBpbmdyZWRpZW50IChBUEkpIG5hcHJveGVuPC90
aXRsZT48c2Vjb25kYXJ5LXRpdGxlPkogUGhhcm0gQmlvbWVkIEFuYWw8L3NlY29uZGFyeS10aXRs
ZT48YWx0LXRpdGxlPkpvdXJuYWwgb2YgcGhhcm1hY2V1dGljYWwgYW5kIGJpb21lZGljYWwgYW5h
bHlzaXM8L2FsdC10aXRsZT48L3RpdGxlcz48cGVyaW9kaWNhbD48ZnVsbC10aXRsZT5Kb3VybmFs
IG9mIFBoYXJtYWNldXRpY2FsIGFuZCBCaW9tZWRpY2FsIEFuYWx5c2lzPC9mdWxsLXRpdGxlPjxh
YmJyLTE+Si4gUGhhcm0uIEJpb21lZC4gQW5hbC48L2FiYnItMT48YWJici0yPkogUGhhcm0gQmlv
bWVkIEFuYWw8L2FiYnItMj48L3BlcmlvZGljYWw+PGFsdC1wZXJpb2RpY2FsPjxmdWxsLXRpdGxl
PkpvdXJuYWwgb2YgUGhhcm1hY2V1dGljYWwgYW5kIEJpb21lZGljYWwgQW5hbHlzaXM8L2Z1bGwt
dGl0bGU+PGFiYnItMT5KLiBQaGFybS4gQmlvbWVkLiBBbmFsLjwvYWJici0xPjxhYmJyLTI+SiBQ
aGFybSBCaW9tZWQgQW5hbDwvYWJici0yPjwvYWx0LXBlcmlvZGljYWw+PHBhZ2VzPjc4MS00PC9w
YWdlcz48dm9sdW1lPjM4PC92b2x1bWU+PG51bWJlcj40PC9udW1iZXI+PGVkaXRpb24+MjAwNS8w
Ni8yMjwvZWRpdGlvbj48a2V5d29yZHM+PGtleXdvcmQ+QW50aS1JbmZsYW1tYXRvcnkgQWdlbnRz
LCBOb24tU3Rlcm9pZGFsLyphbmFseXNpczwva2V5d29yZD48a2V5d29yZD5DYXJib24gSXNvdG9w
ZXM8L2tleXdvcmQ+PGtleXdvcmQ+SHlkcm9nZW4vYW5hbHlzaXM8L2tleXdvcmQ+PGtleXdvcmQ+
TWFzcyBTcGVjdHJvbWV0cnk8L2tleXdvcmQ+PGtleXdvcmQ+TmFwcm94ZW4vKmFuYWx5c2lzPC9r
ZXl3b3JkPjxrZXl3b3JkPk94eWdlbiBJc290b3Blczwva2V5d29yZD48a2V5d29yZD5SZXByb2R1
Y2liaWxpdHkgb2YgUmVzdWx0czwva2V5d29yZD48a2V5d29yZD5Vbml0ZWQgU3RhdGVzPC9rZXl3
b3JkPjxrZXl3b3JkPlVuaXRlZCBTdGF0ZXMgRm9vZCBhbmQgRHJ1ZyBBZG1pbmlzdHJhdGlvbjwv
a2V5d29yZD48L2tleXdvcmRzPjxkYXRlcz48eWVhcj4yMDA1PC95ZWFyPjxwdWItZGF0ZXM+PGRh
dGU+SnVsIDE1PC9kYXRlPjwvcHViLWRhdGVzPjwvZGF0ZXM+PGlzYm4+MDczMS03MDg1IChQcmlu
dCkmI3hEOzA3MzEtNzA4NTwvaXNibj48YWNjZXNzaW9uLW51bT4xNTk2NzMwOTwvYWNjZXNzaW9u
LW51bT48dXJscz48L3VybHM+PGVsZWN0cm9uaWMtcmVzb3VyY2UtbnVtPjEwLjEwMTYvai5qcGJh
LjIwMDUuMDIuMDMzPC9lbGVjdHJvbmljLXJlc291cmNlLW51bT48cmVtb3RlLWRhdGFiYXNlLXBy
b3ZpZGVyPk5MTTwvcmVtb3RlLWRhdGFiYXNlLXByb3ZpZGVyPjxsYW5ndWFnZT5lbmc8L2xhbmd1
YWdlPjwvcmVjb3JkPjwvQ2l0ZT48L0VuZE5vdGU+AG==
</w:fldData>
        </w:fldChar>
      </w:r>
      <w:r w:rsidR="00D67D04">
        <w:instrText xml:space="preserve"> ADDIN EN.CITE.DATA </w:instrText>
      </w:r>
      <w:r w:rsidR="00D67D04">
        <w:fldChar w:fldCharType="end"/>
      </w:r>
      <w:r w:rsidR="00B72513">
        <w:fldChar w:fldCharType="separate"/>
      </w:r>
      <w:r w:rsidR="00D67D04">
        <w:rPr>
          <w:noProof/>
        </w:rPr>
        <w:t>[33]</w:t>
      </w:r>
      <w:r w:rsidR="00B72513">
        <w:fldChar w:fldCharType="end"/>
      </w:r>
      <w:r w:rsidR="00B72513">
        <w:t xml:space="preserve">. It is not stated </w:t>
      </w:r>
      <w:r w:rsidR="005C7377">
        <w:t>whether</w:t>
      </w:r>
      <w:r w:rsidR="00B72513">
        <w:t xml:space="preserve"> these differences are the result of an isotopically different precursor material or a poorly conducted or even different synthesis pathway. </w:t>
      </w:r>
      <w:r w:rsidR="005C7377">
        <w:t xml:space="preserve">However, </w:t>
      </w:r>
      <w:r w:rsidR="00BE27C3">
        <w:t xml:space="preserve">it was still possible to clearly discriminate all five batches from material of five other manufactures </w:t>
      </w:r>
      <w:r w:rsidR="00BE27C3">
        <w:lastRenderedPageBreak/>
        <w:t xml:space="preserve">for Naproxen. With a global range of &gt; 140 </w:t>
      </w:r>
      <w:r w:rsidR="00BE27C3">
        <w:rPr>
          <w:rFonts w:cstheme="minorHAnsi"/>
        </w:rPr>
        <w:t>‰</w:t>
      </w:r>
      <w:r w:rsidR="00BE27C3">
        <w:t xml:space="preserve"> </w:t>
      </w:r>
      <w:r w:rsidR="00BE27C3" w:rsidRPr="0046549B">
        <w:t>δ</w:t>
      </w:r>
      <w:r w:rsidR="00BE27C3" w:rsidRPr="0046549B">
        <w:rPr>
          <w:vertAlign w:val="superscript"/>
        </w:rPr>
        <w:t>13</w:t>
      </w:r>
      <w:r w:rsidR="00BE27C3">
        <w:t>C</w:t>
      </w:r>
      <w:r w:rsidR="003B7498">
        <w:t xml:space="preserve"> </w:t>
      </w:r>
      <w:r w:rsidR="00BE27C3">
        <w:fldChar w:fldCharType="begin"/>
      </w:r>
      <w:r w:rsidR="003C396B">
        <w:instrText xml:space="preserve"> ADDIN EN.CITE &lt;EndNote&gt;&lt;Cite&gt;&lt;Author&gt;Coplen&lt;/Author&gt;&lt;Year&gt;2002&lt;/Year&gt;&lt;RecNum&gt;164&lt;/RecNum&gt;&lt;DisplayText&gt;[34]&lt;/DisplayText&gt;&lt;record&gt;&lt;rec-number&gt;164&lt;/rec-number&gt;&lt;foreign-keys&gt;&lt;key app="EN" db-id="wxrp5sarzfpwayefwerxws5exsssx22p5wxf" timestamp="1554709259"&gt;164&lt;/key&gt;&lt;/foreign-keys&gt;&lt;ref-type name="Journal Article"&gt;17&lt;/ref-type&gt;&lt;contributors&gt;&lt;authors&gt;&lt;author&gt;Coplen, Tyler B&lt;/author&gt;&lt;author&gt;Hopple, JA&lt;/author&gt;&lt;author&gt;Boehike, JK&lt;/author&gt;&lt;author&gt;Peiser, HS&lt;/author&gt;&lt;author&gt;Rieder, SE&lt;/author&gt;&lt;/authors&gt;&lt;/contributors&gt;&lt;titles&gt;&lt;title&gt;Compilation of minimum and maximum isotope ratios of selected elements in naturally occurring terrestrial materials and reagents&lt;/title&gt;&lt;secondary-title&gt;US Geology Survey&lt;/secondary-title&gt;&lt;/titles&gt;&lt;periodical&gt;&lt;full-title&gt;US Geology Survey&lt;/full-title&gt;&lt;/periodical&gt;&lt;dates&gt;&lt;year&gt;2002&lt;/year&gt;&lt;/dates&gt;&lt;urls&gt;&lt;/urls&gt;&lt;/record&gt;&lt;/Cite&gt;&lt;/EndNote&gt;</w:instrText>
      </w:r>
      <w:r w:rsidR="00BE27C3">
        <w:fldChar w:fldCharType="separate"/>
      </w:r>
      <w:r w:rsidR="00D67D04">
        <w:rPr>
          <w:noProof/>
        </w:rPr>
        <w:t>[34]</w:t>
      </w:r>
      <w:r w:rsidR="00BE27C3">
        <w:fldChar w:fldCharType="end"/>
      </w:r>
      <w:r w:rsidR="00BE27C3">
        <w:t xml:space="preserve">, 2.52 </w:t>
      </w:r>
      <w:r w:rsidR="00BE27C3">
        <w:rPr>
          <w:rFonts w:cstheme="minorHAnsi"/>
        </w:rPr>
        <w:t xml:space="preserve">‰ only make up for approximately 2 % of the naturally occurring range. </w:t>
      </w:r>
      <w:r w:rsidR="00BE27C3">
        <w:t>Thus</w:t>
      </w:r>
      <w:r w:rsidR="005C7377">
        <w:t xml:space="preserve">, </w:t>
      </w:r>
      <w:r w:rsidR="006037F4">
        <w:t xml:space="preserve">we expect that two samples </w:t>
      </w:r>
      <w:r w:rsidR="006037F4" w:rsidRPr="00EB4C36">
        <w:t xml:space="preserve">of </w:t>
      </w:r>
      <w:r w:rsidR="006037F4">
        <w:t xml:space="preserve">synthetic </w:t>
      </w:r>
      <w:r w:rsidR="006037F4" w:rsidRPr="00EB4C36">
        <w:t>cannabinoids</w:t>
      </w:r>
      <w:r w:rsidR="006037F4">
        <w:t xml:space="preserve"> with </w:t>
      </w:r>
      <w:r w:rsidR="00BE27C3">
        <w:t>similar</w:t>
      </w:r>
      <w:r w:rsidR="006037F4">
        <w:t xml:space="preserve"> isotopic compositions to be produced by a </w:t>
      </w:r>
      <w:r w:rsidR="00BE27C3">
        <w:t xml:space="preserve">single </w:t>
      </w:r>
      <w:r w:rsidR="006037F4">
        <w:t xml:space="preserve">manufacturer, </w:t>
      </w:r>
      <w:r w:rsidR="00BE27C3">
        <w:t xml:space="preserve">and material with indistinguishable isotopic compositions to be produced by a single manufacturer in a single batch or by </w:t>
      </w:r>
      <w:r w:rsidR="006037F4">
        <w:t xml:space="preserve">the same </w:t>
      </w:r>
      <w:r w:rsidR="00BE27C3">
        <w:t xml:space="preserve">combination of </w:t>
      </w:r>
      <w:r w:rsidR="006037F4">
        <w:t xml:space="preserve">precursor material with distinct isotopic composition in multiple batches. </w:t>
      </w:r>
      <w:r w:rsidR="00EB4C36">
        <w:t xml:space="preserve">A scenario, where two individual manufactures produce isotopically </w:t>
      </w:r>
      <w:r w:rsidR="00EB4C36" w:rsidRPr="00EB4C36">
        <w:t xml:space="preserve">equal </w:t>
      </w:r>
      <w:r w:rsidR="00334C54">
        <w:t>synthetic cannabinoids</w:t>
      </w:r>
      <w:r w:rsidR="00EB4C36" w:rsidRPr="00EB4C36">
        <w:t xml:space="preserve"> from</w:t>
      </w:r>
      <w:r w:rsidR="00EB4C36">
        <w:t xml:space="preserve"> precursor material of different sources is considered unlikely.</w:t>
      </w:r>
      <w:r w:rsidR="00EB4C36" w:rsidRPr="00521264">
        <w:t xml:space="preserve"> </w:t>
      </w:r>
    </w:p>
    <w:p w14:paraId="3DE412D8" w14:textId="443F30C1" w:rsidR="00994EC6" w:rsidRDefault="00B35950" w:rsidP="00F3279A">
      <w:pPr>
        <w:spacing w:line="480" w:lineRule="auto"/>
      </w:pPr>
      <w:r>
        <w:rPr>
          <w:lang w:val="en"/>
        </w:rPr>
        <w:t xml:space="preserve">Indole was purchased from eight different </w:t>
      </w:r>
      <w:r w:rsidR="00B92967">
        <w:rPr>
          <w:lang w:val="en"/>
        </w:rPr>
        <w:t xml:space="preserve">global </w:t>
      </w:r>
      <w:r>
        <w:rPr>
          <w:lang w:val="en"/>
        </w:rPr>
        <w:t xml:space="preserve">vendors. Tert-leucine was obtained in </w:t>
      </w:r>
      <w:r w:rsidR="00994EC6">
        <w:rPr>
          <w:lang w:val="en"/>
        </w:rPr>
        <w:t xml:space="preserve">(L) and (D), both from </w:t>
      </w:r>
      <w:proofErr w:type="spellStart"/>
      <w:r w:rsidR="00B92967">
        <w:rPr>
          <w:lang w:val="en"/>
        </w:rPr>
        <w:t>AlfaAeser</w:t>
      </w:r>
      <w:proofErr w:type="spellEnd"/>
      <w:r w:rsidR="00994EC6">
        <w:rPr>
          <w:lang w:val="en"/>
        </w:rPr>
        <w:t xml:space="preserve">. (D)-tert-leucine was purchased </w:t>
      </w:r>
      <w:r w:rsidR="005D27A7">
        <w:rPr>
          <w:lang w:val="en"/>
        </w:rPr>
        <w:t>three-fold</w:t>
      </w:r>
      <w:r w:rsidR="00994EC6">
        <w:rPr>
          <w:lang w:val="en"/>
        </w:rPr>
        <w:t>, whereas the lot number on all three containers were equal, thus they came from a single synthesis or biotransformation batch. TLME was purchased from two different Asian vendors</w:t>
      </w:r>
      <w:r w:rsidR="00EB4C36" w:rsidRPr="00EB4C36">
        <w:t xml:space="preserve"> </w:t>
      </w:r>
      <w:r w:rsidR="00EB4C36">
        <w:t xml:space="preserve">and cumylamine from four different </w:t>
      </w:r>
      <w:r w:rsidR="00EB4C36" w:rsidRPr="009A0A0F">
        <w:t>global vendors</w:t>
      </w:r>
      <w:r w:rsidR="00994EC6" w:rsidRPr="009A0A0F">
        <w:rPr>
          <w:lang w:val="en"/>
        </w:rPr>
        <w:t xml:space="preserve">. </w:t>
      </w:r>
      <w:r w:rsidR="00994EC6" w:rsidRPr="009A0A0F">
        <w:t xml:space="preserve">Table </w:t>
      </w:r>
      <w:r w:rsidR="009A0A0F" w:rsidRPr="009A0A0F">
        <w:t>2</w:t>
      </w:r>
      <w:r w:rsidR="00994EC6" w:rsidRPr="009A0A0F">
        <w:t xml:space="preserve"> shows the δ</w:t>
      </w:r>
      <w:r w:rsidR="00994EC6" w:rsidRPr="009A0A0F">
        <w:rPr>
          <w:vertAlign w:val="superscript"/>
        </w:rPr>
        <w:t>13</w:t>
      </w:r>
      <w:r w:rsidR="00994EC6" w:rsidRPr="009A0A0F">
        <w:t>C and</w:t>
      </w:r>
      <w:r w:rsidR="00994EC6" w:rsidRPr="009A0A0F">
        <w:rPr>
          <w:lang w:val="en"/>
        </w:rPr>
        <w:t xml:space="preserve"> </w:t>
      </w:r>
      <w:r w:rsidR="00994EC6" w:rsidRPr="009A0A0F">
        <w:t>δ</w:t>
      </w:r>
      <w:r w:rsidR="00994EC6" w:rsidRPr="009A0A0F">
        <w:rPr>
          <w:vertAlign w:val="superscript"/>
        </w:rPr>
        <w:t>15</w:t>
      </w:r>
      <w:r w:rsidR="00994EC6" w:rsidRPr="009A0A0F">
        <w:t>N measured via EA-IRMS for all</w:t>
      </w:r>
      <w:r w:rsidR="00247AB7" w:rsidRPr="009A0A0F">
        <w:t xml:space="preserve"> available</w:t>
      </w:r>
      <w:r w:rsidR="00994EC6" w:rsidRPr="009A0A0F">
        <w:t xml:space="preserve"> precursor substances. Whether the manufactur</w:t>
      </w:r>
      <w:r w:rsidR="00994EC6">
        <w:t xml:space="preserve">es obtain their precursors from </w:t>
      </w:r>
      <w:r w:rsidR="00046C96">
        <w:t xml:space="preserve">other </w:t>
      </w:r>
      <w:r w:rsidR="00994EC6">
        <w:t>wholes</w:t>
      </w:r>
      <w:r w:rsidR="00D67D04">
        <w:t>a</w:t>
      </w:r>
      <w:r w:rsidR="00994EC6">
        <w:t>lers or produce them on their own is unknown.</w:t>
      </w:r>
    </w:p>
    <w:p w14:paraId="79BE89E6" w14:textId="2BB0FCB2" w:rsidR="00462729" w:rsidRDefault="00494468" w:rsidP="00F3279A">
      <w:pPr>
        <w:spacing w:line="480" w:lineRule="auto"/>
        <w:rPr>
          <w:rFonts w:cstheme="minorHAnsi"/>
        </w:rPr>
      </w:pPr>
      <w:r>
        <w:t xml:space="preserve">The measured values of </w:t>
      </w:r>
      <w:r w:rsidRPr="0026480B">
        <w:t>δ</w:t>
      </w:r>
      <w:r w:rsidRPr="0026480B">
        <w:rPr>
          <w:vertAlign w:val="superscript"/>
        </w:rPr>
        <w:t>13</w:t>
      </w:r>
      <w:r w:rsidRPr="0026480B">
        <w:t>C</w:t>
      </w:r>
      <w:r>
        <w:t xml:space="preserve"> for all precursors of </w:t>
      </w:r>
      <w:r>
        <w:rPr>
          <w:b/>
        </w:rPr>
        <w:t>1</w:t>
      </w:r>
      <w:r>
        <w:t xml:space="preserve"> ranged from </w:t>
      </w:r>
      <w:r w:rsidR="00E373AA">
        <w:t xml:space="preserve">-32.91 </w:t>
      </w:r>
      <w:r>
        <w:t>to</w:t>
      </w:r>
      <w:r w:rsidR="00E373AA">
        <w:t xml:space="preserve"> -21.04</w:t>
      </w:r>
      <w:r>
        <w:t xml:space="preserve"> </w:t>
      </w:r>
      <w:r>
        <w:rPr>
          <w:rFonts w:cstheme="minorHAnsi"/>
        </w:rPr>
        <w:t>‰</w:t>
      </w:r>
      <w:r w:rsidR="009377E5">
        <w:rPr>
          <w:rFonts w:cstheme="minorHAnsi"/>
        </w:rPr>
        <w:t xml:space="preserve"> (Δ 11.87 ‰)</w:t>
      </w:r>
      <w:r>
        <w:t xml:space="preserve">, which is the typical range of </w:t>
      </w:r>
      <w:proofErr w:type="spellStart"/>
      <w:r>
        <w:t>petro</w:t>
      </w:r>
      <w:proofErr w:type="spellEnd"/>
      <w:r w:rsidR="005B2EF9">
        <w:t>-</w:t>
      </w:r>
      <w:r>
        <w:t xml:space="preserve"> or </w:t>
      </w:r>
      <w:r w:rsidR="005D27A7">
        <w:t>plant-based</w:t>
      </w:r>
      <w:r>
        <w:t xml:space="preserve"> chemicals</w:t>
      </w:r>
      <w:r>
        <w:fldChar w:fldCharType="begin">
          <w:fldData xml:space="preserve">PEVuZE5vdGU+PENpdGU+PEF1dGhvcj5DYWxkZXI8L0F1dGhvcj48WWVhcj4xOTY4PC9ZZWFyPjxS
ZWNOdW0+ODc8L1JlY051bT48RGlzcGxheVRleHQ+WzM1LTM3XTwvRGlzcGxheVRleHQ+PHJlY29y
ZD48cmVjLW51bWJlcj44NzwvcmVjLW51bWJlcj48Zm9yZWlnbi1rZXlzPjxrZXkgYXBwPSJFTiIg
ZGItaWQ9IjByZGR4dnZldzIycnoxZTBmeGs1MncydjV2OWFkOWV0NTBlcCIgdGltZXN0YW1wPSIx
NTUwOTI5MTAyIj44Nzwva2V5PjwvZm9yZWlnbi1rZXlzPjxyZWYtdHlwZSBuYW1lPSJKb3VybmFs
IEFydGljbGUiPjE3PC9yZWYtdHlwZT48Y29udHJpYnV0b3JzPjxhdXRob3JzPjxhdXRob3I+Q2Fs
ZGVyLCBKb2huIEE8L2F1dGhvcj48YXV0aG9yPlBhcmtlciwgUGF0cmljayBMPC9hdXRob3I+PC9h
dXRob3JzPjwvY29udHJpYnV0b3JzPjx0aXRsZXM+PHRpdGxlPlN0YWJsZSBjYXJib24gaXNvdG9w
ZSByYXRpb3MgYXMgaW5kZXhlcyBvZiBwZXRyb2NoZW1pY2FsIHBvbGx1dGlvbiBvZiBhcXVhdGlj
IHN5c3RlbXM8L3RpdGxlPjxzZWNvbmRhcnktdGl0bGU+RW52aXJvbm1lbnRhbCBTY2llbmNlICZh
bXA7IFRlY2hub2xvZ3k8L3NlY29uZGFyeS10aXRsZT48L3RpdGxlcz48cGVyaW9kaWNhbD48ZnVs
bC10aXRsZT5FbnZpcm9ubWVudGFsIFNjaWVuY2UgJmFtcDsgVGVjaG5vbG9neTwvZnVsbC10aXRs
ZT48YWJici0xPkVudmlyb24uIFNjaS4gVGVjaG5vbC48L2FiYnItMT48YWJici0yPkVudmlyb24g
U2NpIFRlY2hub2w8L2FiYnItMj48L3BlcmlvZGljYWw+PHBhZ2VzPjUzNS01Mzk8L3BhZ2VzPjx2
b2x1bWU+Mjwvdm9sdW1lPjxudW1iZXI+NzwvbnVtYmVyPjxkYXRlcz48eWVhcj4xOTY4PC95ZWFy
PjwvZGF0ZXM+PGlzYm4+MDAxMy05MzZYPC9pc2JuPjx1cmxzPjwvdXJscz48L3JlY29yZD48L0Np
dGU+PENpdGU+PEF1dGhvcj5Tb2ZlcjwvQXV0aG9yPjxZZWFyPjE5ODQ8L1llYXI+PFJlY051bT45
MTwvUmVjTnVtPjxyZWNvcmQ+PHJlYy1udW1iZXI+OTE8L3JlYy1udW1iZXI+PGZvcmVpZ24ta2V5
cz48a2V5IGFwcD0iRU4iIGRiLWlkPSIwcmRkeHZ2ZXcyMnJ6MWUwZnhrNTJ3MnY1djlhZDlldDUw
ZXAiIHRpbWVzdGFtcD0iMTU1MjMxMDE0NiI+OTE8L2tleT48L2ZvcmVpZ24ta2V5cz48cmVmLXR5
cGUgbmFtZT0iSm91cm5hbCBBcnRpY2xlIj4xNzwvcmVmLXR5cGU+PGNvbnRyaWJ1dG9ycz48YXV0
aG9ycz48YXV0aG9yPlNvZmVyLCBadmk8L2F1dGhvcj48L2F1dGhvcnM+PC9jb250cmlidXRvcnM+
PHRpdGxlcz48dGl0bGU+U3RhYmxlIGNhcmJvbiBpc290b3BlIGNvbXBvc2l0aW9ucyBvZiBjcnVk
ZSBvaWxzOiBhcHBsaWNhdGlvbiB0byBzb3VyY2UgZGVwb3NpdGlvbmFsIGVudmlyb25tZW50cyBh
bmQgcGV0cm9sZXVtIGFsdGVyYXRpb248L3RpdGxlPjxzZWNvbmRhcnktdGl0bGU+QUFQRyBidWxs
ZXRpbjwvc2Vjb25kYXJ5LXRpdGxlPjwvdGl0bGVzPjxwYWdlcz4zMS00OTwvcGFnZXM+PHZvbHVt
ZT42ODwvdm9sdW1lPjxudW1iZXI+MTwvbnVtYmVyPjxkYXRlcz48eWVhcj4xOTg0PC95ZWFyPjwv
ZGF0ZXM+PGlzYm4+MDE0OS0xNDIzPC9pc2JuPjx1cmxzPjwvdXJscz48L3JlY29yZD48L0NpdGU+
PENpdGU+PEF1dGhvcj5Db3BsZW48L0F1dGhvcj48WWVhcj4yMDAyPC9ZZWFyPjxSZWNOdW0+OTI8
L1JlY051bT48cmVjb3JkPjxyZWMtbnVtYmVyPjkyPC9yZWMtbnVtYmVyPjxmb3JlaWduLWtleXM+
PGtleSBhcHA9IkVOIiBkYi1pZD0iMHJkZHh2dmV3MjJyejFlMGZ4azUydzJ2NXY5YWQ5ZXQ1MGVw
IiB0aW1lc3RhbXA9IjE1NTIzMTAyMzYiPjkyPC9rZXk+PC9mb3JlaWduLWtleXM+PHJlZi10eXBl
IG5hbWU9IkpvdXJuYWwgQXJ0aWNsZSI+MTc8L3JlZi10eXBlPjxjb250cmlidXRvcnM+PGF1dGhv
cnM+PGF1dGhvcj5Db3BsZW4sIFR5bGVyIEI8L2F1dGhvcj48YXV0aG9yPkhvcHBsZSwgSkE8L2F1
dGhvcj48YXV0aG9yPkJvZWhpa2UsIEpLPC9hdXRob3I+PGF1dGhvcj5QZWlzZXIsIEhTPC9hdXRo
b3I+PGF1dGhvcj5SaWVkZXIsIFNFPC9hdXRob3I+PC9hdXRob3JzPjwvY29udHJpYnV0b3JzPjx0
aXRsZXM+PHRpdGxlPkNvbXBpbGF0aW9uIG9mIG1pbmltdW0gYW5kIG1heGltdW0gaXNvdG9wZSBy
YXRpb3Mgb2Ygc2VsZWN0ZWQgZWxlbWVudHMgaW4gbmF0dXJhbGx5IG9jY3VycmluZyB0ZXJyZXN0
cmlhbCBtYXRlcmlhbHMgYW5kIHJlYWdlbnRzPC90aXRsZT48L3RpdGxlcz48ZGF0ZXM+PHllYXI+
MjAwMjwveWVhcj48L2RhdGVzPjx1cmxzPjwvdXJscz48L3JlY29yZD48L0NpdGU+PC9FbmROb3Rl
PgB=
</w:fldData>
        </w:fldChar>
      </w:r>
      <w:r w:rsidR="00D67D04">
        <w:instrText xml:space="preserve"> ADDIN EN.CITE </w:instrText>
      </w:r>
      <w:r w:rsidR="00D67D04">
        <w:fldChar w:fldCharType="begin">
          <w:fldData xml:space="preserve">PEVuZE5vdGU+PENpdGU+PEF1dGhvcj5DYWxkZXI8L0F1dGhvcj48WWVhcj4xOTY4PC9ZZWFyPjxS
ZWNOdW0+ODc8L1JlY051bT48RGlzcGxheVRleHQ+WzM1LTM3XTwvRGlzcGxheVRleHQ+PHJlY29y
ZD48cmVjLW51bWJlcj44NzwvcmVjLW51bWJlcj48Zm9yZWlnbi1rZXlzPjxrZXkgYXBwPSJFTiIg
ZGItaWQ9IjByZGR4dnZldzIycnoxZTBmeGs1MncydjV2OWFkOWV0NTBlcCIgdGltZXN0YW1wPSIx
NTUwOTI5MTAyIj44Nzwva2V5PjwvZm9yZWlnbi1rZXlzPjxyZWYtdHlwZSBuYW1lPSJKb3VybmFs
IEFydGljbGUiPjE3PC9yZWYtdHlwZT48Y29udHJpYnV0b3JzPjxhdXRob3JzPjxhdXRob3I+Q2Fs
ZGVyLCBKb2huIEE8L2F1dGhvcj48YXV0aG9yPlBhcmtlciwgUGF0cmljayBMPC9hdXRob3I+PC9h
dXRob3JzPjwvY29udHJpYnV0b3JzPjx0aXRsZXM+PHRpdGxlPlN0YWJsZSBjYXJib24gaXNvdG9w
ZSByYXRpb3MgYXMgaW5kZXhlcyBvZiBwZXRyb2NoZW1pY2FsIHBvbGx1dGlvbiBvZiBhcXVhdGlj
IHN5c3RlbXM8L3RpdGxlPjxzZWNvbmRhcnktdGl0bGU+RW52aXJvbm1lbnRhbCBTY2llbmNlICZh
bXA7IFRlY2hub2xvZ3k8L3NlY29uZGFyeS10aXRsZT48L3RpdGxlcz48cGVyaW9kaWNhbD48ZnVs
bC10aXRsZT5FbnZpcm9ubWVudGFsIFNjaWVuY2UgJmFtcDsgVGVjaG5vbG9neTwvZnVsbC10aXRs
ZT48YWJici0xPkVudmlyb24uIFNjaS4gVGVjaG5vbC48L2FiYnItMT48YWJici0yPkVudmlyb24g
U2NpIFRlY2hub2w8L2FiYnItMj48L3BlcmlvZGljYWw+PHBhZ2VzPjUzNS01Mzk8L3BhZ2VzPjx2
b2x1bWU+Mjwvdm9sdW1lPjxudW1iZXI+NzwvbnVtYmVyPjxkYXRlcz48eWVhcj4xOTY4PC95ZWFy
PjwvZGF0ZXM+PGlzYm4+MDAxMy05MzZYPC9pc2JuPjx1cmxzPjwvdXJscz48L3JlY29yZD48L0Np
dGU+PENpdGU+PEF1dGhvcj5Tb2ZlcjwvQXV0aG9yPjxZZWFyPjE5ODQ8L1llYXI+PFJlY051bT45
MTwvUmVjTnVtPjxyZWNvcmQ+PHJlYy1udW1iZXI+OTE8L3JlYy1udW1iZXI+PGZvcmVpZ24ta2V5
cz48a2V5IGFwcD0iRU4iIGRiLWlkPSIwcmRkeHZ2ZXcyMnJ6MWUwZnhrNTJ3MnY1djlhZDlldDUw
ZXAiIHRpbWVzdGFtcD0iMTU1MjMxMDE0NiI+OTE8L2tleT48L2ZvcmVpZ24ta2V5cz48cmVmLXR5
cGUgbmFtZT0iSm91cm5hbCBBcnRpY2xlIj4xNzwvcmVmLXR5cGU+PGNvbnRyaWJ1dG9ycz48YXV0
aG9ycz48YXV0aG9yPlNvZmVyLCBadmk8L2F1dGhvcj48L2F1dGhvcnM+PC9jb250cmlidXRvcnM+
PHRpdGxlcz48dGl0bGU+U3RhYmxlIGNhcmJvbiBpc290b3BlIGNvbXBvc2l0aW9ucyBvZiBjcnVk
ZSBvaWxzOiBhcHBsaWNhdGlvbiB0byBzb3VyY2UgZGVwb3NpdGlvbmFsIGVudmlyb25tZW50cyBh
bmQgcGV0cm9sZXVtIGFsdGVyYXRpb248L3RpdGxlPjxzZWNvbmRhcnktdGl0bGU+QUFQRyBidWxs
ZXRpbjwvc2Vjb25kYXJ5LXRpdGxlPjwvdGl0bGVzPjxwYWdlcz4zMS00OTwvcGFnZXM+PHZvbHVt
ZT42ODwvdm9sdW1lPjxudW1iZXI+MTwvbnVtYmVyPjxkYXRlcz48eWVhcj4xOTg0PC95ZWFyPjwv
ZGF0ZXM+PGlzYm4+MDE0OS0xNDIzPC9pc2JuPjx1cmxzPjwvdXJscz48L3JlY29yZD48L0NpdGU+
PENpdGU+PEF1dGhvcj5Db3BsZW48L0F1dGhvcj48WWVhcj4yMDAyPC9ZZWFyPjxSZWNOdW0+OTI8
L1JlY051bT48cmVjb3JkPjxyZWMtbnVtYmVyPjkyPC9yZWMtbnVtYmVyPjxmb3JlaWduLWtleXM+
PGtleSBhcHA9IkVOIiBkYi1pZD0iMHJkZHh2dmV3MjJyejFlMGZ4azUydzJ2NXY5YWQ5ZXQ1MGVw
IiB0aW1lc3RhbXA9IjE1NTIzMTAyMzYiPjkyPC9rZXk+PC9mb3JlaWduLWtleXM+PHJlZi10eXBl
IG5hbWU9IkpvdXJuYWwgQXJ0aWNsZSI+MTc8L3JlZi10eXBlPjxjb250cmlidXRvcnM+PGF1dGhv
cnM+PGF1dGhvcj5Db3BsZW4sIFR5bGVyIEI8L2F1dGhvcj48YXV0aG9yPkhvcHBsZSwgSkE8L2F1
dGhvcj48YXV0aG9yPkJvZWhpa2UsIEpLPC9hdXRob3I+PGF1dGhvcj5QZWlzZXIsIEhTPC9hdXRo
b3I+PGF1dGhvcj5SaWVkZXIsIFNFPC9hdXRob3I+PC9hdXRob3JzPjwvY29udHJpYnV0b3JzPjx0
aXRsZXM+PHRpdGxlPkNvbXBpbGF0aW9uIG9mIG1pbmltdW0gYW5kIG1heGltdW0gaXNvdG9wZSBy
YXRpb3Mgb2Ygc2VsZWN0ZWQgZWxlbWVudHMgaW4gbmF0dXJhbGx5IG9jY3VycmluZyB0ZXJyZXN0
cmlhbCBtYXRlcmlhbHMgYW5kIHJlYWdlbnRzPC90aXRsZT48L3RpdGxlcz48ZGF0ZXM+PHllYXI+
MjAwMjwveWVhcj48L2RhdGVzPjx1cmxzPjwvdXJscz48L3JlY29yZD48L0NpdGU+PC9FbmROb3Rl
PgB=
</w:fldData>
        </w:fldChar>
      </w:r>
      <w:r w:rsidR="00D67D04">
        <w:instrText xml:space="preserve"> ADDIN EN.CITE.DATA </w:instrText>
      </w:r>
      <w:r w:rsidR="00D67D04">
        <w:fldChar w:fldCharType="end"/>
      </w:r>
      <w:r>
        <w:fldChar w:fldCharType="separate"/>
      </w:r>
      <w:r w:rsidR="00D67D04">
        <w:rPr>
          <w:noProof/>
        </w:rPr>
        <w:t>[35-37]</w:t>
      </w:r>
      <w:r>
        <w:fldChar w:fldCharType="end"/>
      </w:r>
      <w:r>
        <w:t xml:space="preserve">. </w:t>
      </w:r>
      <w:r w:rsidRPr="0026480B">
        <w:t>δ</w:t>
      </w:r>
      <w:r w:rsidRPr="0026480B">
        <w:rPr>
          <w:vertAlign w:val="superscript"/>
        </w:rPr>
        <w:t>1</w:t>
      </w:r>
      <w:r>
        <w:rPr>
          <w:vertAlign w:val="superscript"/>
        </w:rPr>
        <w:t>5</w:t>
      </w:r>
      <w:r>
        <w:t xml:space="preserve">N ranged from 2.00 to 9.66 </w:t>
      </w:r>
      <w:r>
        <w:rPr>
          <w:rFonts w:cstheme="minorHAnsi"/>
        </w:rPr>
        <w:t>‰</w:t>
      </w:r>
      <w:r w:rsidR="009377E5">
        <w:rPr>
          <w:rFonts w:cstheme="minorHAnsi"/>
        </w:rPr>
        <w:t xml:space="preserve"> (Δ 7.66 ‰)</w:t>
      </w:r>
      <w:r>
        <w:rPr>
          <w:rFonts w:cstheme="minorHAnsi"/>
        </w:rPr>
        <w:t xml:space="preserve"> for the indoles, and from -2.34 to 0.74 ‰ </w:t>
      </w:r>
      <w:r w:rsidR="009377E5">
        <w:rPr>
          <w:rFonts w:cstheme="minorHAnsi"/>
        </w:rPr>
        <w:t xml:space="preserve">(Δ 3.08 ‰) </w:t>
      </w:r>
      <w:r>
        <w:rPr>
          <w:rFonts w:cstheme="minorHAnsi"/>
        </w:rPr>
        <w:t>for the tert-</w:t>
      </w:r>
      <w:proofErr w:type="spellStart"/>
      <w:r>
        <w:rPr>
          <w:rFonts w:cstheme="minorHAnsi"/>
        </w:rPr>
        <w:t>leucines</w:t>
      </w:r>
      <w:proofErr w:type="spellEnd"/>
      <w:r>
        <w:rPr>
          <w:rFonts w:cstheme="minorHAnsi"/>
        </w:rPr>
        <w:t xml:space="preserve">. </w:t>
      </w:r>
    </w:p>
    <w:p w14:paraId="7E809E32" w14:textId="5CEAB87D" w:rsidR="00932B09" w:rsidRDefault="007F0FF3" w:rsidP="00F3279A">
      <w:pPr>
        <w:spacing w:line="480" w:lineRule="auto"/>
      </w:pPr>
      <w:r>
        <w:rPr>
          <w:rFonts w:cstheme="minorHAnsi"/>
        </w:rPr>
        <w:t>Indol</w:t>
      </w:r>
      <w:r w:rsidR="00483D1F">
        <w:rPr>
          <w:rFonts w:cstheme="minorHAnsi"/>
        </w:rPr>
        <w:t xml:space="preserve">e can be synthesized by several pathways </w:t>
      </w:r>
      <w:r>
        <w:rPr>
          <w:rFonts w:cstheme="minorHAnsi"/>
        </w:rPr>
        <w:t>in industrial scale</w:t>
      </w:r>
      <w:r w:rsidR="005B2EF9">
        <w:rPr>
          <w:rFonts w:cstheme="minorHAnsi"/>
        </w:rPr>
        <w:t>. Thus,</w:t>
      </w:r>
      <w:r>
        <w:rPr>
          <w:rFonts w:cstheme="minorHAnsi"/>
        </w:rPr>
        <w:t xml:space="preserve"> the </w:t>
      </w:r>
      <w:r w:rsidR="00B72513">
        <w:rPr>
          <w:rFonts w:cstheme="minorHAnsi"/>
        </w:rPr>
        <w:t>origin</w:t>
      </w:r>
      <w:r>
        <w:rPr>
          <w:rFonts w:cstheme="minorHAnsi"/>
        </w:rPr>
        <w:t xml:space="preserve"> of the </w:t>
      </w:r>
      <w:r w:rsidR="00E557C6">
        <w:rPr>
          <w:rFonts w:cstheme="minorHAnsi"/>
        </w:rPr>
        <w:t xml:space="preserve">nitrogen cannot be assessed. </w:t>
      </w:r>
      <w:r>
        <w:t xml:space="preserve">Tert-leucine </w:t>
      </w:r>
      <w:r w:rsidR="00DC1861">
        <w:t>can be</w:t>
      </w:r>
      <w:r w:rsidR="00A467D7">
        <w:t xml:space="preserve"> produced on industrial scale</w:t>
      </w:r>
      <w:r w:rsidR="00932B09">
        <w:t xml:space="preserve"> </w:t>
      </w:r>
      <w:r>
        <w:t>by reductive amination of ammonium trimethyl pyruvate by a semi-synthetic route involving leucine dehydrogenase as reducing enzyme, NADH as cofactor and format dehydrogenase for cofactor regeneration</w:t>
      </w:r>
      <w:r>
        <w:fldChar w:fldCharType="begin">
          <w:fldData xml:space="preserve">PEVuZE5vdGU+PENpdGU+PEF1dGhvcj5TbHVzYXJjenlrPC9BdXRob3I+PFllYXI+MjAwMDwvWWVh
cj48UmVjTnVtPjg2PC9SZWNOdW0+PERpc3BsYXlUZXh0PlszOF08L0Rpc3BsYXlUZXh0PjxyZWNv
cmQ+PHJlYy1udW1iZXI+ODY8L3JlYy1udW1iZXI+PGZvcmVpZ24ta2V5cz48a2V5IGFwcD0iRU4i
IGRiLWlkPSIwcmRkeHZ2ZXcyMnJ6MWUwZnhrNTJ3MnY1djlhZDlldDUwZXAiIHRpbWVzdGFtcD0i
MTU1MDkyNjM3NyI+ODY8L2tleT48L2ZvcmVpZ24ta2V5cz48cmVmLXR5cGUgbmFtZT0iSm91cm5h
bCBBcnRpY2xlIj4xNzwvcmVmLXR5cGU+PGNvbnRyaWJ1dG9ycz48YXV0aG9ycz48YXV0aG9yPlNs
dXNhcmN6eWssIEguPC9hdXRob3I+PGF1dGhvcj5GZWxiZXIsIFMuPC9hdXRob3I+PGF1dGhvcj5L
dWxhLCBNLiBSLjwvYXV0aG9yPjxhdXRob3I+UG9obCwgTS48L2F1dGhvcj48L2F1dGhvcnM+PC9j
b250cmlidXRvcnM+PGF1dGgtYWRkcmVzcz5JbnN0aXR1dGUgb2YgRW56eW1lIFRlY2hub2xvZ3ks
IEhlaW5yaWNoLUhlaW5lLVVuaXZlcnNpdHkgRHVzc2VsZG9yZiwgUmVzZWFyY2ggQ2VudHJlIEp1
bGljaCwgR2VybWFueS48L2F1dGgtYWRkcmVzcz48dGl0bGVzPjx0aXRsZT5TdGFiaWxpemF0aW9u
IG9mIE5BRC1kZXBlbmRlbnQgZm9ybWF0ZSBkZWh5ZHJvZ2VuYXNlIGZyb20gQ2FuZGlkYSBib2lk
aW5paSBieSBzaXRlLWRpcmVjdGVkIG11dGFnZW5lc2lzIG9mIGN5c3RlaW5lIHJlc2lkdWVzPC90
aXRsZT48c2Vjb25kYXJ5LXRpdGxlPkV1ciBKIEJpb2NoZW08L3NlY29uZGFyeS10aXRsZT48YWx0
LXRpdGxlPkV1cm9wZWFuIGpvdXJuYWwgb2YgYmlvY2hlbWlzdHJ5PC9hbHQtdGl0bGU+PC90aXRs
ZXM+PHBlcmlvZGljYWw+PGZ1bGwtdGl0bGU+RXVyb3BlYW4gSm91cm5hbCBvZiBCaW9jaGVtaXN0
cnk8L2Z1bGwtdGl0bGU+PGFiYnItMT5FdXIuIEouIEJpb2NoZW0uPC9hYmJyLTE+PGFiYnItMj5F
dXIgSiBCaW9jaGVtPC9hYmJyLTI+PC9wZXJpb2RpY2FsPjxhbHQtcGVyaW9kaWNhbD48ZnVsbC10
aXRsZT5FdXJvcGVhbiBKb3VybmFsIG9mIEJpb2NoZW1pc3RyeTwvZnVsbC10aXRsZT48YWJici0x
PkV1ci4gSi4gQmlvY2hlbS48L2FiYnItMT48YWJici0yPkV1ciBKIEJpb2NoZW08L2FiYnItMj48
L2FsdC1wZXJpb2RpY2FsPjxwYWdlcz4xMjgwLTk8L3BhZ2VzPjx2b2x1bWU+MjY3PC92b2x1bWU+
PG51bWJlcj41PC9udW1iZXI+PGVkaXRpb24+MjAwMC8wMi8yNjwvZWRpdGlvbj48a2V5d29yZHM+
PGtleXdvcmQ+QW1pbm8gQWNpZCBTZXF1ZW5jZTwva2V5d29yZD48a2V5d29yZD5CYXNlIFNlcXVl
bmNlPC9rZXl3b3JkPjxrZXl3b3JkPkNhdGFseXNpczwva2V5d29yZD48a2V5d29yZD5DbG9uaW5n
LCBNb2xlY3VsYXI8L2tleXdvcmQ+PGtleXdvcmQ+Q3lzdGVpbmUvKmdlbmV0aWNzPC9rZXl3b3Jk
PjxrZXl3b3JkPkROQSBQcmltZXJzPC9rZXl3b3JkPjxrZXl3b3JkPkROQSwgRnVuZ2FsPC9rZXl3
b3JkPjxrZXl3b3JkPkVuenltZSBTdGFiaWxpdHk8L2tleXdvcmQ+PGtleXdvcmQ+Rm9ybWF0ZSBE
ZWh5ZHJvZ2VuYXNlcy9jaGVtaXN0cnkvZ2VuZXRpY3MvKm1ldGFib2xpc208L2tleXdvcmQ+PGtl
eXdvcmQ+TW9sZWN1bGFyIFNlcXVlbmNlIERhdGE8L2tleXdvcmQ+PGtleXdvcmQ+TXV0YWdlbmVz
aXMsIFNpdGUtRGlyZWN0ZWQ8L2tleXdvcmQ+PGtleXdvcmQ+TkFELyptZXRhYm9saXNtPC9rZXl3
b3JkPjxrZXl3b3JkPlJlY29tYmluYW50IFByb3RlaW5zL2NoZW1pc3RyeS9nZW5ldGljcy9tZXRh
Ym9saXNtPC9rZXl3b3JkPjxrZXl3b3JkPlNlcXVlbmNlIEhvbW9sb2d5LCBBbWlubyBBY2lkPC9r
ZXl3b3JkPjwva2V5d29yZHM+PGRhdGVzPjx5ZWFyPjIwMDA8L3llYXI+PHB1Yi1kYXRlcz48ZGF0
ZT5NYXI8L2RhdGU+PC9wdWItZGF0ZXM+PC9kYXRlcz48aXNibj4wMDE0LTI5NTYgKFByaW50KSYj
eEQ7MDAxNC0yOTU2PC9pc2JuPjxhY2Nlc3Npb24tbnVtPjEwNjkxOTY0PC9hY2Nlc3Npb24tbnVt
Pjx1cmxzPjwvdXJscz48cmVtb3RlLWRhdGFiYXNlLXByb3ZpZGVyPk5MTTwvcmVtb3RlLWRhdGFi
YXNlLXByb3ZpZGVyPjxsYW5ndWFnZT5lbmc8L2xhbmd1YWdlPjwvcmVjb3JkPjwvQ2l0ZT48L0Vu
ZE5vdGU+AG==
</w:fldData>
        </w:fldChar>
      </w:r>
      <w:r w:rsidR="00D67D04">
        <w:instrText xml:space="preserve"> ADDIN EN.CITE </w:instrText>
      </w:r>
      <w:r w:rsidR="00D67D04">
        <w:fldChar w:fldCharType="begin">
          <w:fldData xml:space="preserve">PEVuZE5vdGU+PENpdGU+PEF1dGhvcj5TbHVzYXJjenlrPC9BdXRob3I+PFllYXI+MjAwMDwvWWVh
cj48UmVjTnVtPjg2PC9SZWNOdW0+PERpc3BsYXlUZXh0PlszOF08L0Rpc3BsYXlUZXh0PjxyZWNv
cmQ+PHJlYy1udW1iZXI+ODY8L3JlYy1udW1iZXI+PGZvcmVpZ24ta2V5cz48a2V5IGFwcD0iRU4i
IGRiLWlkPSIwcmRkeHZ2ZXcyMnJ6MWUwZnhrNTJ3MnY1djlhZDlldDUwZXAiIHRpbWVzdGFtcD0i
MTU1MDkyNjM3NyI+ODY8L2tleT48L2ZvcmVpZ24ta2V5cz48cmVmLXR5cGUgbmFtZT0iSm91cm5h
bCBBcnRpY2xlIj4xNzwvcmVmLXR5cGU+PGNvbnRyaWJ1dG9ycz48YXV0aG9ycz48YXV0aG9yPlNs
dXNhcmN6eWssIEguPC9hdXRob3I+PGF1dGhvcj5GZWxiZXIsIFMuPC9hdXRob3I+PGF1dGhvcj5L
dWxhLCBNLiBSLjwvYXV0aG9yPjxhdXRob3I+UG9obCwgTS48L2F1dGhvcj48L2F1dGhvcnM+PC9j
b250cmlidXRvcnM+PGF1dGgtYWRkcmVzcz5JbnN0aXR1dGUgb2YgRW56eW1lIFRlY2hub2xvZ3ks
IEhlaW5yaWNoLUhlaW5lLVVuaXZlcnNpdHkgRHVzc2VsZG9yZiwgUmVzZWFyY2ggQ2VudHJlIEp1
bGljaCwgR2VybWFueS48L2F1dGgtYWRkcmVzcz48dGl0bGVzPjx0aXRsZT5TdGFiaWxpemF0aW9u
IG9mIE5BRC1kZXBlbmRlbnQgZm9ybWF0ZSBkZWh5ZHJvZ2VuYXNlIGZyb20gQ2FuZGlkYSBib2lk
aW5paSBieSBzaXRlLWRpcmVjdGVkIG11dGFnZW5lc2lzIG9mIGN5c3RlaW5lIHJlc2lkdWVzPC90
aXRsZT48c2Vjb25kYXJ5LXRpdGxlPkV1ciBKIEJpb2NoZW08L3NlY29uZGFyeS10aXRsZT48YWx0
LXRpdGxlPkV1cm9wZWFuIGpvdXJuYWwgb2YgYmlvY2hlbWlzdHJ5PC9hbHQtdGl0bGU+PC90aXRs
ZXM+PHBlcmlvZGljYWw+PGZ1bGwtdGl0bGU+RXVyb3BlYW4gSm91cm5hbCBvZiBCaW9jaGVtaXN0
cnk8L2Z1bGwtdGl0bGU+PGFiYnItMT5FdXIuIEouIEJpb2NoZW0uPC9hYmJyLTE+PGFiYnItMj5F
dXIgSiBCaW9jaGVtPC9hYmJyLTI+PC9wZXJpb2RpY2FsPjxhbHQtcGVyaW9kaWNhbD48ZnVsbC10
aXRsZT5FdXJvcGVhbiBKb3VybmFsIG9mIEJpb2NoZW1pc3RyeTwvZnVsbC10aXRsZT48YWJici0x
PkV1ci4gSi4gQmlvY2hlbS48L2FiYnItMT48YWJici0yPkV1ciBKIEJpb2NoZW08L2FiYnItMj48
L2FsdC1wZXJpb2RpY2FsPjxwYWdlcz4xMjgwLTk8L3BhZ2VzPjx2b2x1bWU+MjY3PC92b2x1bWU+
PG51bWJlcj41PC9udW1iZXI+PGVkaXRpb24+MjAwMC8wMi8yNjwvZWRpdGlvbj48a2V5d29yZHM+
PGtleXdvcmQ+QW1pbm8gQWNpZCBTZXF1ZW5jZTwva2V5d29yZD48a2V5d29yZD5CYXNlIFNlcXVl
bmNlPC9rZXl3b3JkPjxrZXl3b3JkPkNhdGFseXNpczwva2V5d29yZD48a2V5d29yZD5DbG9uaW5n
LCBNb2xlY3VsYXI8L2tleXdvcmQ+PGtleXdvcmQ+Q3lzdGVpbmUvKmdlbmV0aWNzPC9rZXl3b3Jk
PjxrZXl3b3JkPkROQSBQcmltZXJzPC9rZXl3b3JkPjxrZXl3b3JkPkROQSwgRnVuZ2FsPC9rZXl3
b3JkPjxrZXl3b3JkPkVuenltZSBTdGFiaWxpdHk8L2tleXdvcmQ+PGtleXdvcmQ+Rm9ybWF0ZSBE
ZWh5ZHJvZ2VuYXNlcy9jaGVtaXN0cnkvZ2VuZXRpY3MvKm1ldGFib2xpc208L2tleXdvcmQ+PGtl
eXdvcmQ+TW9sZWN1bGFyIFNlcXVlbmNlIERhdGE8L2tleXdvcmQ+PGtleXdvcmQ+TXV0YWdlbmVz
aXMsIFNpdGUtRGlyZWN0ZWQ8L2tleXdvcmQ+PGtleXdvcmQ+TkFELyptZXRhYm9saXNtPC9rZXl3
b3JkPjxrZXl3b3JkPlJlY29tYmluYW50IFByb3RlaW5zL2NoZW1pc3RyeS9nZW5ldGljcy9tZXRh
Ym9saXNtPC9rZXl3b3JkPjxrZXl3b3JkPlNlcXVlbmNlIEhvbW9sb2d5LCBBbWlubyBBY2lkPC9r
ZXl3b3JkPjwva2V5d29yZHM+PGRhdGVzPjx5ZWFyPjIwMDA8L3llYXI+PHB1Yi1kYXRlcz48ZGF0
ZT5NYXI8L2RhdGU+PC9wdWItZGF0ZXM+PC9kYXRlcz48aXNibj4wMDE0LTI5NTYgKFByaW50KSYj
eEQ7MDAxNC0yOTU2PC9pc2JuPjxhY2Nlc3Npb24tbnVtPjEwNjkxOTY0PC9hY2Nlc3Npb24tbnVt
Pjx1cmxzPjwvdXJscz48cmVtb3RlLWRhdGFiYXNlLXByb3ZpZGVyPk5MTTwvcmVtb3RlLWRhdGFi
YXNlLXByb3ZpZGVyPjxsYW5ndWFnZT5lbmc8L2xhbmd1YWdlPjwvcmVjb3JkPjwvQ2l0ZT48L0Vu
ZE5vdGU+AG==
</w:fldData>
        </w:fldChar>
      </w:r>
      <w:r w:rsidR="00D67D04">
        <w:instrText xml:space="preserve"> ADDIN EN.CITE.DATA </w:instrText>
      </w:r>
      <w:r w:rsidR="00D67D04">
        <w:fldChar w:fldCharType="end"/>
      </w:r>
      <w:r>
        <w:fldChar w:fldCharType="separate"/>
      </w:r>
      <w:r w:rsidR="00D67D04">
        <w:rPr>
          <w:noProof/>
        </w:rPr>
        <w:t>[38]</w:t>
      </w:r>
      <w:r>
        <w:fldChar w:fldCharType="end"/>
      </w:r>
      <w:r>
        <w:t xml:space="preserve">. </w:t>
      </w:r>
      <w:r w:rsidR="00C551B8">
        <w:t xml:space="preserve"> Ammoniac or ammonium is the source of nitrogen in this bio catalytic reaction, which itself is most </w:t>
      </w:r>
      <w:r w:rsidR="00D67D04">
        <w:t>probably</w:t>
      </w:r>
      <w:r w:rsidR="00C551B8">
        <w:t xml:space="preserve"> manufactured by the Haber-Bosch </w:t>
      </w:r>
      <w:r w:rsidR="00157495">
        <w:t>process</w:t>
      </w:r>
      <w:r w:rsidR="00C551B8">
        <w:t xml:space="preserve"> from atmospheric nitrogen, explaining the </w:t>
      </w:r>
      <w:r w:rsidR="00C551B8" w:rsidRPr="0026480B">
        <w:t>δ</w:t>
      </w:r>
      <w:r w:rsidR="00C551B8" w:rsidRPr="0026480B">
        <w:rPr>
          <w:vertAlign w:val="superscript"/>
        </w:rPr>
        <w:t>1</w:t>
      </w:r>
      <w:r w:rsidR="00C551B8">
        <w:rPr>
          <w:vertAlign w:val="superscript"/>
        </w:rPr>
        <w:t>5</w:t>
      </w:r>
      <w:r w:rsidR="00C551B8">
        <w:t>N values close to zero (atmospheric N</w:t>
      </w:r>
      <w:r w:rsidR="00C551B8">
        <w:rPr>
          <w:vertAlign w:val="subscript"/>
        </w:rPr>
        <w:t>2</w:t>
      </w:r>
      <w:r w:rsidR="00C551B8">
        <w:t xml:space="preserve"> is defined as standard with 0.0 </w:t>
      </w:r>
      <w:r w:rsidR="00C551B8">
        <w:rPr>
          <w:rFonts w:cstheme="minorHAnsi"/>
        </w:rPr>
        <w:t xml:space="preserve">‰ for </w:t>
      </w:r>
      <w:r w:rsidR="00C551B8" w:rsidRPr="0026480B">
        <w:t>δ</w:t>
      </w:r>
      <w:r w:rsidR="00C551B8" w:rsidRPr="0026480B">
        <w:rPr>
          <w:vertAlign w:val="superscript"/>
        </w:rPr>
        <w:t>1</w:t>
      </w:r>
      <w:r w:rsidR="00C551B8">
        <w:rPr>
          <w:vertAlign w:val="superscript"/>
        </w:rPr>
        <w:t>5</w:t>
      </w:r>
      <w:r w:rsidR="00C551B8">
        <w:t xml:space="preserve">N). </w:t>
      </w:r>
      <w:r w:rsidR="00462729">
        <w:t>All three samples of (</w:t>
      </w:r>
      <w:r w:rsidR="00462729" w:rsidRPr="000E6AAA">
        <w:rPr>
          <w:rFonts w:cstheme="minorHAnsi"/>
          <w:color w:val="000000"/>
          <w:szCs w:val="22"/>
        </w:rPr>
        <w:t>D)-tert-Leucine</w:t>
      </w:r>
      <w:r w:rsidR="00462729">
        <w:rPr>
          <w:rFonts w:cstheme="minorHAnsi"/>
          <w:color w:val="000000"/>
          <w:szCs w:val="22"/>
        </w:rPr>
        <w:t xml:space="preserve"> from the same lot exhibit indistinguishable isotopic composition, indicating batch homogeneity.</w:t>
      </w:r>
    </w:p>
    <w:p w14:paraId="647D700B" w14:textId="29E505FE" w:rsidR="00F3279A" w:rsidRDefault="00247AB7" w:rsidP="00F3279A">
      <w:pPr>
        <w:spacing w:line="480" w:lineRule="auto"/>
      </w:pPr>
      <w:r w:rsidRPr="00025851">
        <w:t xml:space="preserve">The measured </w:t>
      </w:r>
      <w:r w:rsidRPr="00B679C2">
        <w:t xml:space="preserve">values of cumylamine ranged from -26.43 to -40.77 </w:t>
      </w:r>
      <w:r w:rsidRPr="00B679C2">
        <w:rPr>
          <w:rFonts w:cstheme="minorHAnsi"/>
        </w:rPr>
        <w:t xml:space="preserve">‰ </w:t>
      </w:r>
      <w:r w:rsidR="009377E5" w:rsidRPr="00B679C2">
        <w:rPr>
          <w:rFonts w:cstheme="minorHAnsi"/>
        </w:rPr>
        <w:t>(Δ 14.34 ‰)</w:t>
      </w:r>
      <w:r w:rsidR="009377E5" w:rsidRPr="00B679C2">
        <w:t xml:space="preserve"> </w:t>
      </w:r>
      <w:r w:rsidRPr="00B679C2">
        <w:rPr>
          <w:rFonts w:cstheme="minorHAnsi"/>
        </w:rPr>
        <w:t>for</w:t>
      </w:r>
      <w:r w:rsidRPr="00B679C2">
        <w:t xml:space="preserve"> δ</w:t>
      </w:r>
      <w:r w:rsidRPr="00B679C2">
        <w:rPr>
          <w:vertAlign w:val="superscript"/>
        </w:rPr>
        <w:t>13</w:t>
      </w:r>
      <w:r w:rsidRPr="00B679C2">
        <w:t xml:space="preserve">C and </w:t>
      </w:r>
      <w:r w:rsidR="00E373AA" w:rsidRPr="00B679C2">
        <w:t>-19.05 to</w:t>
      </w:r>
      <w:r w:rsidRPr="00B679C2">
        <w:rPr>
          <w:rFonts w:cstheme="minorHAnsi"/>
        </w:rPr>
        <w:t xml:space="preserve"> </w:t>
      </w:r>
      <w:r w:rsidR="00E373AA" w:rsidRPr="00B679C2">
        <w:t xml:space="preserve">8.34 </w:t>
      </w:r>
      <w:r w:rsidRPr="00B679C2">
        <w:rPr>
          <w:rFonts w:cstheme="minorHAnsi"/>
        </w:rPr>
        <w:t>‰</w:t>
      </w:r>
      <w:r w:rsidR="009377E5" w:rsidRPr="00B679C2">
        <w:rPr>
          <w:rFonts w:cstheme="minorHAnsi"/>
        </w:rPr>
        <w:t xml:space="preserve"> (Δ 27.39 ‰)</w:t>
      </w:r>
      <w:r w:rsidRPr="00B679C2">
        <w:rPr>
          <w:rFonts w:cstheme="minorHAnsi"/>
        </w:rPr>
        <w:t xml:space="preserve"> for </w:t>
      </w:r>
      <w:r w:rsidRPr="00B679C2">
        <w:t>δ</w:t>
      </w:r>
      <w:r w:rsidRPr="00B679C2">
        <w:rPr>
          <w:vertAlign w:val="superscript"/>
        </w:rPr>
        <w:t>15</w:t>
      </w:r>
      <w:r w:rsidRPr="00B679C2">
        <w:t>N</w:t>
      </w:r>
      <w:r w:rsidR="00E373AA" w:rsidRPr="00B679C2">
        <w:t>, which is, compared to th</w:t>
      </w:r>
      <w:r w:rsidR="00B72513" w:rsidRPr="00B679C2">
        <w:t xml:space="preserve">e other precursor substances, a </w:t>
      </w:r>
      <w:r w:rsidR="009377E5" w:rsidRPr="00B679C2">
        <w:t>significantly broader</w:t>
      </w:r>
      <w:r w:rsidR="00B72513" w:rsidRPr="00B679C2">
        <w:t xml:space="preserve"> range.</w:t>
      </w:r>
      <w:r w:rsidR="00361D3B" w:rsidRPr="00B679C2">
        <w:t xml:space="preserve"> </w:t>
      </w:r>
      <w:r w:rsidR="004E6F99" w:rsidRPr="00B679C2">
        <w:lastRenderedPageBreak/>
        <w:t xml:space="preserve">The low values for both elements are </w:t>
      </w:r>
      <w:r w:rsidR="00D67D04">
        <w:t>unexpected</w:t>
      </w:r>
      <w:r w:rsidR="004E6F99" w:rsidRPr="00B679C2">
        <w:t xml:space="preserve">, however, agree with the measured values for </w:t>
      </w:r>
      <w:r w:rsidR="004E6F99" w:rsidRPr="00B679C2">
        <w:rPr>
          <w:b/>
        </w:rPr>
        <w:t>2</w:t>
      </w:r>
      <w:r w:rsidR="004E6F99" w:rsidRPr="00B679C2">
        <w:t xml:space="preserve"> as listed in Table </w:t>
      </w:r>
      <w:r w:rsidR="009A0A0F" w:rsidRPr="00B679C2">
        <w:t>A-2</w:t>
      </w:r>
      <w:r w:rsidR="004E6F99" w:rsidRPr="00B679C2">
        <w:t xml:space="preserve"> and shown in Figure </w:t>
      </w:r>
      <w:r w:rsidR="00B679C2" w:rsidRPr="00B679C2">
        <w:t>5</w:t>
      </w:r>
      <w:r w:rsidR="004E6F99" w:rsidRPr="00B679C2">
        <w:t>.</w:t>
      </w:r>
      <w:r w:rsidR="004E6F99">
        <w:t xml:space="preserve"> </w:t>
      </w:r>
    </w:p>
    <w:p w14:paraId="5223A203" w14:textId="77777777" w:rsidR="00F3279A" w:rsidRPr="00F3279A" w:rsidRDefault="00F3279A" w:rsidP="00F3279A">
      <w:pPr>
        <w:spacing w:line="480" w:lineRule="auto"/>
      </w:pPr>
    </w:p>
    <w:p w14:paraId="350FDB66" w14:textId="09AB2C4D" w:rsidR="00F36D00" w:rsidRDefault="002D008C" w:rsidP="00F3279A">
      <w:pPr>
        <w:spacing w:line="480" w:lineRule="auto"/>
        <w:rPr>
          <w:i/>
          <w:lang w:val="en-US"/>
        </w:rPr>
      </w:pPr>
      <w:r>
        <w:rPr>
          <w:i/>
          <w:lang w:val="en-US"/>
        </w:rPr>
        <w:t xml:space="preserve">3.2 </w:t>
      </w:r>
      <w:r w:rsidR="005638A6" w:rsidRPr="005638A6">
        <w:rPr>
          <w:i/>
          <w:lang w:val="en-US"/>
        </w:rPr>
        <w:t>Isotopic composition of</w:t>
      </w:r>
      <w:r w:rsidR="005638A6">
        <w:rPr>
          <w:i/>
          <w:lang w:val="en-US"/>
        </w:rPr>
        <w:t xml:space="preserve"> 40 kg pure MDMB-CHMICA from a large seizure by Luxembourg customs</w:t>
      </w:r>
    </w:p>
    <w:p w14:paraId="2DE615BA" w14:textId="274126A1" w:rsidR="00F722F9" w:rsidRPr="00E359EF" w:rsidRDefault="007309AB" w:rsidP="00F3279A">
      <w:pPr>
        <w:spacing w:line="480" w:lineRule="auto"/>
      </w:pPr>
      <w:r>
        <w:t xml:space="preserve">In a previously published profiling study, forty kilograms of </w:t>
      </w:r>
      <w:r>
        <w:rPr>
          <w:b/>
        </w:rPr>
        <w:t>1</w:t>
      </w:r>
      <w:r>
        <w:t xml:space="preserve"> from a police seizure in Luxembourg in </w:t>
      </w:r>
      <w:r w:rsidR="00A82501">
        <w:t>December</w:t>
      </w:r>
      <w:r>
        <w:t xml:space="preserve"> 2014 (MDMB-01 to 40) were assigned into individual synthesis batches of 5-10 kg due to their organic impurity signatures</w:t>
      </w:r>
      <w:r w:rsidR="003B7498">
        <w:t xml:space="preserve"> </w:t>
      </w:r>
      <w:r>
        <w:fldChar w:fldCharType="begin"/>
      </w:r>
      <w:r w:rsidR="00013CF4">
        <w:instrText xml:space="preserve"> ADDIN EN.CITE &lt;EndNote&gt;&lt;Cite&gt;&lt;Author&gt;Münster-Müller&lt;/Author&gt;&lt;Year&gt;2018&lt;/Year&gt;&lt;RecNum&gt;56&lt;/RecNum&gt;&lt;DisplayText&gt;[22]&lt;/DisplayText&gt;&lt;record&gt;&lt;rec-number&gt;56&lt;/rec-number&gt;&lt;foreign-keys&gt;&lt;key app="EN" db-id="0rddxvvew22rz1e0fxk52w2v5v9ad9et50ep" timestamp="1537963252"&gt;56&lt;/key&gt;&lt;/foreign-keys&gt;&lt;ref-type name="Journal Article"&gt;17&lt;/ref-type&gt;&lt;contributors&gt;&lt;authors&gt;&lt;author&gt;Münster-Müller, Sascha&lt;/author&gt;&lt;author&gt;Zimmermann, Ralf&lt;/author&gt;&lt;author&gt;Pütz, Michael&lt;/author&gt;&lt;/authors&gt;&lt;/contributors&gt;&lt;titles&gt;&lt;title&gt;A Novel Impurity-Profiling Workflow with the Combination of Flash-Chromatography, UHPLC-MS, and Multivariate Data Analysis for Highly Pure Drugs: A Study on the Synthetic Cannabinoid MDMB-CHMICA&lt;/title&gt;&lt;secondary-title&gt;Analytical Chemistry&lt;/secondary-title&gt;&lt;/titles&gt;&lt;periodical&gt;&lt;full-title&gt;Analytical Chemistry&lt;/full-title&gt;&lt;abbr-1&gt;Anal. Chem.&lt;/abbr-1&gt;&lt;abbr-2&gt;Anal Chem&lt;/abbr-2&gt;&lt;/periodical&gt;&lt;pages&gt;10559-10567&lt;/pages&gt;&lt;volume&gt;90&lt;/volume&gt;&lt;number&gt;17&lt;/number&gt;&lt;dates&gt;&lt;year&gt;2018&lt;/year&gt;&lt;pub-dates&gt;&lt;date&gt;2018/09/04&lt;/date&gt;&lt;/pub-dates&gt;&lt;/dates&gt;&lt;publisher&gt;American Chemical Society&lt;/publisher&gt;&lt;isbn&gt;0003-2700&lt;/isbn&gt;&lt;urls&gt;&lt;related-urls&gt;&lt;url&gt;https://doi.org/10.1021/acs.analchem.8b02679&lt;/url&gt;&lt;/related-urls&gt;&lt;/urls&gt;&lt;electronic-resource-num&gt;10.1021/acs.analchem.8b02679&lt;/electronic-resource-num&gt;&lt;/record&gt;&lt;/Cite&gt;&lt;/EndNote&gt;</w:instrText>
      </w:r>
      <w:r>
        <w:fldChar w:fldCharType="separate"/>
      </w:r>
      <w:r w:rsidR="00013CF4">
        <w:rPr>
          <w:noProof/>
        </w:rPr>
        <w:t>[22]</w:t>
      </w:r>
      <w:r>
        <w:fldChar w:fldCharType="end"/>
      </w:r>
      <w:r>
        <w:t xml:space="preserve">. For three of those forty kilograms, the impurity signatures were majorly different to the remaining sample complex, presumably the result of a differently conducted synthesis. After </w:t>
      </w:r>
      <w:r w:rsidR="00EA4B3C">
        <w:t>EA-</w:t>
      </w:r>
      <w:r>
        <w:t xml:space="preserve">IRMS analysis of the </w:t>
      </w:r>
      <w:r w:rsidRPr="00E359EF">
        <w:t>corresponding δ</w:t>
      </w:r>
      <w:r w:rsidRPr="00E359EF">
        <w:rPr>
          <w:vertAlign w:val="superscript"/>
        </w:rPr>
        <w:t>13</w:t>
      </w:r>
      <w:r w:rsidRPr="00E359EF">
        <w:t>C and</w:t>
      </w:r>
      <w:r w:rsidRPr="00E359EF">
        <w:rPr>
          <w:lang w:val="en"/>
        </w:rPr>
        <w:t xml:space="preserve"> </w:t>
      </w:r>
      <w:r w:rsidRPr="00E359EF">
        <w:t>δ</w:t>
      </w:r>
      <w:r w:rsidRPr="00E359EF">
        <w:rPr>
          <w:vertAlign w:val="superscript"/>
        </w:rPr>
        <w:t>15</w:t>
      </w:r>
      <w:r w:rsidRPr="00E359EF">
        <w:t xml:space="preserve">N values, the same three samples (MDMB-14, MDMB-21 and MDMB-37, batch 1 marked black in Figure </w:t>
      </w:r>
      <w:r w:rsidR="009A0A0F" w:rsidRPr="00E359EF">
        <w:t>4</w:t>
      </w:r>
      <w:r w:rsidRPr="00E359EF">
        <w:t xml:space="preserve">) were outliers to the cluster of the remaining thirty-seven samples </w:t>
      </w:r>
      <w:r w:rsidR="00FA4649" w:rsidRPr="00E359EF">
        <w:t xml:space="preserve">(batches 2 to 6 in Figure </w:t>
      </w:r>
      <w:r w:rsidR="009A0A0F" w:rsidRPr="00E359EF">
        <w:t>4</w:t>
      </w:r>
      <w:r w:rsidR="00FA4649" w:rsidRPr="00E359EF">
        <w:t xml:space="preserve">) </w:t>
      </w:r>
      <w:r w:rsidRPr="00E359EF">
        <w:t xml:space="preserve">ranging from -27.87 to -27.51 </w:t>
      </w:r>
      <w:r w:rsidRPr="00E359EF">
        <w:rPr>
          <w:rFonts w:cstheme="minorHAnsi"/>
        </w:rPr>
        <w:t>‰</w:t>
      </w:r>
      <w:r w:rsidRPr="00E359EF">
        <w:t xml:space="preserve"> </w:t>
      </w:r>
      <w:r w:rsidR="00462729" w:rsidRPr="00E359EF">
        <w:rPr>
          <w:rFonts w:cstheme="minorHAnsi"/>
        </w:rPr>
        <w:t xml:space="preserve">(Δ 0.36 ‰) </w:t>
      </w:r>
      <w:bookmarkStart w:id="3" w:name="_Hlk21186767"/>
      <w:r w:rsidRPr="00E359EF">
        <w:t>for δ</w:t>
      </w:r>
      <w:r w:rsidRPr="00E359EF">
        <w:rPr>
          <w:vertAlign w:val="superscript"/>
        </w:rPr>
        <w:t>13</w:t>
      </w:r>
      <w:r w:rsidRPr="00E359EF">
        <w:t xml:space="preserve">C and 3.25 to 3.79 </w:t>
      </w:r>
      <w:r w:rsidRPr="00E359EF">
        <w:rPr>
          <w:rFonts w:cstheme="minorHAnsi"/>
        </w:rPr>
        <w:t>‰</w:t>
      </w:r>
      <w:r w:rsidRPr="00E359EF">
        <w:rPr>
          <w:lang w:val="en"/>
        </w:rPr>
        <w:t xml:space="preserve"> </w:t>
      </w:r>
      <w:r w:rsidR="00462729" w:rsidRPr="00E359EF">
        <w:rPr>
          <w:rFonts w:cstheme="minorHAnsi"/>
        </w:rPr>
        <w:t xml:space="preserve">(Δ 0.54 ‰) </w:t>
      </w:r>
      <w:r w:rsidRPr="00E359EF">
        <w:rPr>
          <w:lang w:val="en"/>
        </w:rPr>
        <w:t xml:space="preserve">for </w:t>
      </w:r>
      <w:r w:rsidRPr="00E359EF">
        <w:t>δ</w:t>
      </w:r>
      <w:r w:rsidRPr="00E359EF">
        <w:rPr>
          <w:vertAlign w:val="superscript"/>
        </w:rPr>
        <w:t>15</w:t>
      </w:r>
      <w:r w:rsidRPr="00E359EF">
        <w:t>N</w:t>
      </w:r>
      <w:bookmarkEnd w:id="3"/>
      <w:r w:rsidRPr="00E359EF">
        <w:t xml:space="preserve">. A similar linear “dilution” pattern of MDMB-21 and MDMB-14 could be observed in the impurity profiling, with MDMB-37 showing the most dissimilar impurity composition to the remaining sample pool. The two “intermediate” samples MDMB-21 and MDMB-14 seem to be blends in varying composition of MDMB-37 with at least one of the thirty-seven other samples. </w:t>
      </w:r>
      <w:r w:rsidR="00FA4649" w:rsidRPr="00E359EF">
        <w:t>Hypothetically, MDMB-37 was mixed with batch 4 (violet), indicated by the increased values for δ</w:t>
      </w:r>
      <w:r w:rsidR="00FA4649" w:rsidRPr="00E359EF">
        <w:rPr>
          <w:vertAlign w:val="superscript"/>
        </w:rPr>
        <w:t>13</w:t>
      </w:r>
      <w:r w:rsidR="00FA4649" w:rsidRPr="00E359EF">
        <w:t>C and</w:t>
      </w:r>
      <w:r w:rsidR="00FA4649" w:rsidRPr="00E359EF">
        <w:rPr>
          <w:lang w:val="en"/>
        </w:rPr>
        <w:t xml:space="preserve"> </w:t>
      </w:r>
      <w:r w:rsidR="00FA4649" w:rsidRPr="00E359EF">
        <w:t>δ</w:t>
      </w:r>
      <w:r w:rsidR="00FA4649" w:rsidRPr="00E359EF">
        <w:rPr>
          <w:vertAlign w:val="superscript"/>
        </w:rPr>
        <w:t>15</w:t>
      </w:r>
      <w:r w:rsidR="00FA4649" w:rsidRPr="00E359EF">
        <w:t xml:space="preserve">N of one of the violet samples in comparison to the remaining samples </w:t>
      </w:r>
      <w:r w:rsidR="000549B8">
        <w:t>from</w:t>
      </w:r>
      <w:r w:rsidR="000549B8" w:rsidRPr="00E359EF">
        <w:t xml:space="preserve"> </w:t>
      </w:r>
      <w:r w:rsidR="00FA4649" w:rsidRPr="00E359EF">
        <w:t xml:space="preserve">batch 4. </w:t>
      </w:r>
      <w:r w:rsidRPr="00E359EF">
        <w:t>Mixing of batches, either with the same or a different isotopic composition might occur, e.g. when the finished products from multiple synthesis batches are stored in larger containers for int</w:t>
      </w:r>
      <w:r w:rsidR="00C82FA7" w:rsidRPr="00E359EF">
        <w:t>erim storage, leading to a blurring of both the corresponding isotopic and impurity composition.</w:t>
      </w:r>
      <w:r w:rsidR="00E364D2" w:rsidRPr="00E359EF">
        <w:t xml:space="preserve"> Considering the isotope ratios of the measured precursor substances for </w:t>
      </w:r>
      <w:r w:rsidR="00E364D2" w:rsidRPr="00E359EF">
        <w:rPr>
          <w:b/>
        </w:rPr>
        <w:t xml:space="preserve">1 </w:t>
      </w:r>
      <w:r w:rsidR="00E364D2" w:rsidRPr="00E359EF">
        <w:t xml:space="preserve">(Table </w:t>
      </w:r>
      <w:r w:rsidR="00E359EF" w:rsidRPr="00E359EF">
        <w:t>2</w:t>
      </w:r>
      <w:r w:rsidR="00E364D2" w:rsidRPr="00E359EF">
        <w:t xml:space="preserve">), it is unlikely </w:t>
      </w:r>
      <w:r w:rsidR="00D82A60" w:rsidRPr="00E359EF">
        <w:t>that material</w:t>
      </w:r>
      <w:r w:rsidR="00E364D2" w:rsidRPr="00E359EF">
        <w:t xml:space="preserve"> </w:t>
      </w:r>
      <w:r w:rsidR="00371754" w:rsidRPr="00E359EF">
        <w:t>from alternative providence was</w:t>
      </w:r>
      <w:r w:rsidR="00E364D2" w:rsidRPr="00E359EF">
        <w:t xml:space="preserve"> used to synthesize</w:t>
      </w:r>
      <w:r w:rsidR="00371754" w:rsidRPr="00E359EF">
        <w:t xml:space="preserve"> the</w:t>
      </w:r>
      <w:r w:rsidR="00E364D2" w:rsidRPr="00E359EF">
        <w:t xml:space="preserve"> batch</w:t>
      </w:r>
      <w:r w:rsidR="00371754" w:rsidRPr="00E359EF">
        <w:t>es</w:t>
      </w:r>
      <w:r w:rsidR="00E364D2" w:rsidRPr="00E359EF">
        <w:t xml:space="preserve"> 2-6 (Figure </w:t>
      </w:r>
      <w:r w:rsidR="00E359EF" w:rsidRPr="00E359EF">
        <w:t>4</w:t>
      </w:r>
      <w:r w:rsidR="00E364D2" w:rsidRPr="00E359EF">
        <w:t xml:space="preserve">), </w:t>
      </w:r>
      <w:r w:rsidR="00371754" w:rsidRPr="00E359EF">
        <w:t xml:space="preserve">as </w:t>
      </w:r>
      <w:r w:rsidR="00E364D2" w:rsidRPr="00E359EF">
        <w:t xml:space="preserve">already the exchange of the indole core would significantly </w:t>
      </w:r>
      <w:r w:rsidR="00371754" w:rsidRPr="00E359EF">
        <w:t xml:space="preserve">influence the isotopic composition, </w:t>
      </w:r>
      <w:r w:rsidR="00D67D04">
        <w:rPr>
          <w:rStyle w:val="tlid-translation"/>
        </w:rPr>
        <w:t>either</w:t>
      </w:r>
      <w:r w:rsidR="00371754" w:rsidRPr="00E359EF">
        <w:rPr>
          <w:rStyle w:val="tlid-translation"/>
        </w:rPr>
        <w:t xml:space="preserve"> by the nitrogen or carbon or both values, </w:t>
      </w:r>
      <w:r w:rsidR="00371754" w:rsidRPr="00E359EF">
        <w:t xml:space="preserve">and </w:t>
      </w:r>
      <w:r w:rsidR="00371754" w:rsidRPr="00E359EF">
        <w:rPr>
          <w:rStyle w:val="tlid-translation"/>
        </w:rPr>
        <w:t>would let the corresponding samples stick out of the collective.</w:t>
      </w:r>
    </w:p>
    <w:p w14:paraId="26D97F09" w14:textId="7A0BD5E8" w:rsidR="007309AB" w:rsidRPr="00C82FA7" w:rsidRDefault="00F722F9" w:rsidP="00F3279A">
      <w:pPr>
        <w:spacing w:line="480" w:lineRule="auto"/>
      </w:pPr>
      <w:r w:rsidRPr="00E359EF">
        <w:t>This seizure is of special interest as it represents a unique collection of samples with previously known connection. In this case, b</w:t>
      </w:r>
      <w:r w:rsidRPr="00E359EF">
        <w:rPr>
          <w:rStyle w:val="tlid-translation"/>
        </w:rPr>
        <w:t xml:space="preserve">oth the impurity profiling and the stable isotope analysis show their individual strengths to draw conclusions about </w:t>
      </w:r>
      <w:r w:rsidR="00C82FA7" w:rsidRPr="00E359EF">
        <w:rPr>
          <w:rStyle w:val="tlid-translation"/>
        </w:rPr>
        <w:t>the sample</w:t>
      </w:r>
      <w:r w:rsidRPr="00E359EF">
        <w:rPr>
          <w:rStyle w:val="tlid-translation"/>
        </w:rPr>
        <w:t xml:space="preserve"> history. IRMS allows to conclude that thirty-seven of the samples were synthesized using the same combination precursor material and three samples seem to be </w:t>
      </w:r>
      <w:r w:rsidRPr="00E359EF">
        <w:rPr>
          <w:rStyle w:val="tlid-translation"/>
        </w:rPr>
        <w:lastRenderedPageBreak/>
        <w:t>different, either by their origin of precursor or by a different synthesis.</w:t>
      </w:r>
      <w:r w:rsidR="00FA4649" w:rsidRPr="00E359EF">
        <w:rPr>
          <w:rStyle w:val="tlid-translation"/>
        </w:rPr>
        <w:t xml:space="preserve"> However, no further information can be extracted at that point.</w:t>
      </w:r>
      <w:r w:rsidRPr="00E359EF">
        <w:rPr>
          <w:rStyle w:val="tlid-translation"/>
        </w:rPr>
        <w:t xml:space="preserve"> Via impurity profiling, the same three samples were identified as outliers with distinct impurity signatures as the result of a different synthesis and the remaining thirty-seven samples could be divided into individual synthesis batches by minor but </w:t>
      </w:r>
      <w:r w:rsidR="00D67D04">
        <w:rPr>
          <w:rStyle w:val="tlid-translation"/>
        </w:rPr>
        <w:t xml:space="preserve">still </w:t>
      </w:r>
      <w:r w:rsidRPr="00E359EF">
        <w:rPr>
          <w:rStyle w:val="tlid-translation"/>
        </w:rPr>
        <w:t>significant variations in their impurity signatures.</w:t>
      </w:r>
      <w:r w:rsidR="00FA4649" w:rsidRPr="00E359EF">
        <w:rPr>
          <w:rStyle w:val="tlid-translation"/>
        </w:rPr>
        <w:t xml:space="preserve"> </w:t>
      </w:r>
      <w:r w:rsidR="00BA4C1F" w:rsidRPr="00E359EF">
        <w:rPr>
          <w:rStyle w:val="tlid-translation"/>
        </w:rPr>
        <w:t>Structural identification of specific impurities can provide valuable i</w:t>
      </w:r>
      <w:r w:rsidR="00561554" w:rsidRPr="00E359EF">
        <w:rPr>
          <w:rStyle w:val="tlid-translation"/>
        </w:rPr>
        <w:t xml:space="preserve">nformation about the </w:t>
      </w:r>
      <w:r w:rsidR="00BA4C1F" w:rsidRPr="00E359EF">
        <w:rPr>
          <w:rStyle w:val="tlid-translation"/>
        </w:rPr>
        <w:t xml:space="preserve">applied </w:t>
      </w:r>
      <w:r w:rsidR="00561554" w:rsidRPr="00E359EF">
        <w:rPr>
          <w:rStyle w:val="tlid-translation"/>
        </w:rPr>
        <w:t>synthesis pathway</w:t>
      </w:r>
      <w:r w:rsidR="00E359EF" w:rsidRPr="00E359EF">
        <w:rPr>
          <w:rStyle w:val="tlid-translation"/>
        </w:rPr>
        <w:fldChar w:fldCharType="begin"/>
      </w:r>
      <w:r w:rsidR="00D67D04">
        <w:rPr>
          <w:rStyle w:val="tlid-translation"/>
        </w:rPr>
        <w:instrText xml:space="preserve"> ADDIN EN.CITE &lt;EndNote&gt;&lt;Cite&gt;&lt;Author&gt;Münster-Müller&lt;/Author&gt;&lt;Year&gt;2019&lt;/Year&gt;&lt;RecNum&gt;98&lt;/RecNum&gt;&lt;DisplayText&gt;[27]&lt;/DisplayText&gt;&lt;record&gt;&lt;rec-number&gt;98&lt;/rec-number&gt;&lt;foreign-keys&gt;&lt;key app="EN" db-id="0rddxvvew22rz1e0fxk52w2v5v9ad9et50ep" timestamp="1570273667"&gt;98&lt;/key&gt;&lt;/foreign-keys&gt;&lt;ref-type name="Journal Article"&gt;17&lt;/ref-type&gt;&lt;contributors&gt;&lt;authors&gt;&lt;author&gt;Münster-Müller, Sascha&lt;/author&gt;&lt;author&gt;Hansen, Steven&lt;/author&gt;&lt;author&gt;Opatz, Till&lt;/author&gt;&lt;author&gt;Zimmermann, Ralf&lt;/author&gt;&lt;author&gt;Pütz, Michael&lt;/author&gt;&lt;/authors&gt;&lt;/contributors&gt;&lt;titles&gt;&lt;title&gt;Chemical profiling of the synthetic cannabinoid MDMB-CHMICA: Identification, assessment, and stability study of synthesis-related impurities in seized and synthesized samples&lt;/title&gt;&lt;secondary-title&gt;Drug Test. Anal.&lt;/secondary-title&gt;&lt;/titles&gt;&lt;pages&gt;1192-1206&lt;/pages&gt;&lt;volume&gt; 11&lt;/volume&gt;&lt;number&gt;8&lt;/number&gt;&lt;dates&gt;&lt;year&gt;2019&lt;/year&gt;&lt;/dates&gt;&lt;isbn&gt;1942-7603&lt;/isbn&gt;&lt;urls&gt;&lt;related-urls&gt;&lt;url&gt;https://onlinelibrary.wiley.com/doi/abs/10.1002/dta.2652&lt;/url&gt;&lt;/related-urls&gt;&lt;/urls&gt;&lt;electronic-resource-num&gt;10.1002/dta.2652&lt;/electronic-resource-num&gt;&lt;/record&gt;&lt;/Cite&gt;&lt;/EndNote&gt;</w:instrText>
      </w:r>
      <w:r w:rsidR="00E359EF" w:rsidRPr="00E359EF">
        <w:rPr>
          <w:rStyle w:val="tlid-translation"/>
        </w:rPr>
        <w:fldChar w:fldCharType="separate"/>
      </w:r>
      <w:r w:rsidR="00D67D04">
        <w:rPr>
          <w:rStyle w:val="tlid-translation"/>
          <w:noProof/>
        </w:rPr>
        <w:t>[27]</w:t>
      </w:r>
      <w:r w:rsidR="00E359EF" w:rsidRPr="00E359EF">
        <w:rPr>
          <w:rStyle w:val="tlid-translation"/>
        </w:rPr>
        <w:fldChar w:fldCharType="end"/>
      </w:r>
      <w:r w:rsidR="00E359EF" w:rsidRPr="00E359EF">
        <w:rPr>
          <w:rStyle w:val="tlid-translation"/>
        </w:rPr>
        <w:t xml:space="preserve">. </w:t>
      </w:r>
      <w:r w:rsidR="007929AC" w:rsidRPr="00E359EF">
        <w:rPr>
          <w:rStyle w:val="tlid-translation"/>
        </w:rPr>
        <w:t>However,</w:t>
      </w:r>
      <w:r w:rsidR="00FA4649" w:rsidRPr="00E359EF">
        <w:rPr>
          <w:rStyle w:val="tlid-translation"/>
        </w:rPr>
        <w:t xml:space="preserve"> no information about the provenance of the precursor material is obtained</w:t>
      </w:r>
      <w:r w:rsidR="007929AC" w:rsidRPr="00E359EF">
        <w:rPr>
          <w:rStyle w:val="tlid-translation"/>
        </w:rPr>
        <w:t xml:space="preserve"> and thus </w:t>
      </w:r>
      <w:r w:rsidR="00561554" w:rsidRPr="00E359EF">
        <w:rPr>
          <w:rStyle w:val="tlid-translation"/>
        </w:rPr>
        <w:t>no</w:t>
      </w:r>
      <w:r w:rsidR="007929AC" w:rsidRPr="00E359EF">
        <w:rPr>
          <w:rStyle w:val="tlid-translation"/>
        </w:rPr>
        <w:t xml:space="preserve"> conclusions about a common origin of the different batches</w:t>
      </w:r>
      <w:r w:rsidR="00561554" w:rsidRPr="00E359EF">
        <w:rPr>
          <w:rStyle w:val="tlid-translation"/>
        </w:rPr>
        <w:t xml:space="preserve"> can be drawn</w:t>
      </w:r>
      <w:r w:rsidR="007929AC" w:rsidRPr="00E359EF">
        <w:rPr>
          <w:rStyle w:val="tlid-translation"/>
        </w:rPr>
        <w:t xml:space="preserve">, although the relatively similar impurity compositions </w:t>
      </w:r>
      <w:r w:rsidR="00BA4C1F" w:rsidRPr="00E359EF">
        <w:rPr>
          <w:rStyle w:val="tlid-translation"/>
        </w:rPr>
        <w:t xml:space="preserve">of the thirty-seven samples </w:t>
      </w:r>
      <w:r w:rsidR="007929AC" w:rsidRPr="00E359EF">
        <w:rPr>
          <w:rStyle w:val="tlid-translation"/>
        </w:rPr>
        <w:t>are highly indicative</w:t>
      </w:r>
      <w:r w:rsidR="00FA4649" w:rsidRPr="00E359EF">
        <w:rPr>
          <w:rStyle w:val="tlid-translation"/>
        </w:rPr>
        <w:t>.</w:t>
      </w:r>
      <w:r w:rsidRPr="00E359EF">
        <w:rPr>
          <w:rStyle w:val="tlid-translation"/>
        </w:rPr>
        <w:t xml:space="preserve"> Combining </w:t>
      </w:r>
      <w:r w:rsidR="007929AC" w:rsidRPr="00E359EF">
        <w:rPr>
          <w:rStyle w:val="tlid-translation"/>
        </w:rPr>
        <w:t xml:space="preserve">the information obtained from both </w:t>
      </w:r>
      <w:r w:rsidRPr="00E359EF">
        <w:rPr>
          <w:rStyle w:val="tlid-translation"/>
        </w:rPr>
        <w:t>techniques in a larger forensic context, also considering the information about the shipment as such (e.g. packaging), provide</w:t>
      </w:r>
      <w:r w:rsidR="00C82FA7" w:rsidRPr="00E359EF">
        <w:rPr>
          <w:rStyle w:val="tlid-translation"/>
        </w:rPr>
        <w:t>s</w:t>
      </w:r>
      <w:r w:rsidRPr="00E359EF">
        <w:rPr>
          <w:rStyle w:val="tlid-translation"/>
        </w:rPr>
        <w:t xml:space="preserve"> unique insights in</w:t>
      </w:r>
      <w:r w:rsidR="005D4F38">
        <w:rPr>
          <w:rStyle w:val="tlid-translation"/>
        </w:rPr>
        <w:t>to</w:t>
      </w:r>
      <w:r w:rsidRPr="00E359EF">
        <w:rPr>
          <w:rStyle w:val="tlid-translation"/>
        </w:rPr>
        <w:t xml:space="preserve"> the manufactu</w:t>
      </w:r>
      <w:r w:rsidR="00C82FA7" w:rsidRPr="00E359EF">
        <w:rPr>
          <w:rStyle w:val="tlid-translation"/>
        </w:rPr>
        <w:t>ring of this sample collective.</w:t>
      </w:r>
      <w:r w:rsidR="00A82501" w:rsidRPr="00E359EF">
        <w:rPr>
          <w:rStyle w:val="tlid-translation"/>
        </w:rPr>
        <w:t xml:space="preserve"> As shown in Figure </w:t>
      </w:r>
      <w:r w:rsidR="00E359EF" w:rsidRPr="00E359EF">
        <w:rPr>
          <w:rStyle w:val="tlid-translation"/>
        </w:rPr>
        <w:t>4</w:t>
      </w:r>
      <w:r w:rsidR="00A82501" w:rsidRPr="00E359EF">
        <w:rPr>
          <w:rStyle w:val="tlid-translation"/>
        </w:rPr>
        <w:t xml:space="preserve">, </w:t>
      </w:r>
      <w:bookmarkStart w:id="4" w:name="_Hlk21186699"/>
      <w:r w:rsidR="00A82501" w:rsidRPr="00E359EF">
        <w:rPr>
          <w:rStyle w:val="tlid-translation"/>
        </w:rPr>
        <w:t>IRMS data provides an overview of the precursor relationship</w:t>
      </w:r>
      <w:r w:rsidR="005D4F38">
        <w:rPr>
          <w:rStyle w:val="tlid-translation"/>
        </w:rPr>
        <w:t>,</w:t>
      </w:r>
      <w:r w:rsidR="00A82501" w:rsidRPr="00E359EF">
        <w:rPr>
          <w:rStyle w:val="tlid-translation"/>
        </w:rPr>
        <w:t xml:space="preserve"> </w:t>
      </w:r>
      <w:r w:rsidR="00A82501">
        <w:rPr>
          <w:rStyle w:val="tlid-translation"/>
        </w:rPr>
        <w:t>impurity profiling</w:t>
      </w:r>
      <w:r w:rsidR="005D4F38">
        <w:rPr>
          <w:rStyle w:val="tlid-translation"/>
        </w:rPr>
        <w:t xml:space="preserve"> reveals</w:t>
      </w:r>
      <w:r w:rsidR="00A82501">
        <w:rPr>
          <w:rStyle w:val="tlid-translation"/>
        </w:rPr>
        <w:t xml:space="preserve"> </w:t>
      </w:r>
      <w:r w:rsidR="00561554">
        <w:rPr>
          <w:rStyle w:val="tlid-translation"/>
        </w:rPr>
        <w:t xml:space="preserve">the </w:t>
      </w:r>
      <w:r w:rsidR="00A82501">
        <w:rPr>
          <w:rStyle w:val="tlid-translation"/>
        </w:rPr>
        <w:t>fine structure of the underlying synthesis batche</w:t>
      </w:r>
      <w:r w:rsidR="005D4F38">
        <w:rPr>
          <w:rStyle w:val="tlid-translation"/>
        </w:rPr>
        <w:t>s</w:t>
      </w:r>
      <w:bookmarkEnd w:id="4"/>
      <w:r w:rsidR="005D4F38">
        <w:rPr>
          <w:rStyle w:val="tlid-translation"/>
        </w:rPr>
        <w:t xml:space="preserve">. </w:t>
      </w:r>
      <w:r>
        <w:rPr>
          <w:rStyle w:val="tlid-translation"/>
        </w:rPr>
        <w:t>It validates our</w:t>
      </w:r>
      <w:r w:rsidR="007309AB">
        <w:t xml:space="preserve"> previous assumption that only one manufacturer synthesized and shipped the forty kg material of </w:t>
      </w:r>
      <w:r w:rsidR="007309AB" w:rsidRPr="00F15207">
        <w:rPr>
          <w:b/>
        </w:rPr>
        <w:t>1</w:t>
      </w:r>
      <w:r w:rsidR="007309AB">
        <w:rPr>
          <w:b/>
        </w:rPr>
        <w:t xml:space="preserve"> </w:t>
      </w:r>
      <w:r w:rsidR="007309AB" w:rsidRPr="00F15207">
        <w:t>seized</w:t>
      </w:r>
      <w:r w:rsidR="007309AB">
        <w:t xml:space="preserve"> by Luxembourg customs. The whole material was packed equally in</w:t>
      </w:r>
      <w:r w:rsidR="005D4F38">
        <w:t>to</w:t>
      </w:r>
      <w:r w:rsidR="007309AB">
        <w:t xml:space="preserve"> 1 kg packages without any visual difference (apart from the colour of the powder). </w:t>
      </w:r>
      <w:r>
        <w:t>T</w:t>
      </w:r>
      <w:r w:rsidR="007309AB">
        <w:t xml:space="preserve">he </w:t>
      </w:r>
      <w:r w:rsidR="00BE3C91">
        <w:t xml:space="preserve">clustering </w:t>
      </w:r>
      <w:r w:rsidR="00FA4649">
        <w:t>thirty-seven</w:t>
      </w:r>
      <w:r w:rsidR="007309AB">
        <w:t xml:space="preserve"> samples were synthesized in multiple batches, repeating a specific synthesis procedure, using the same combination of precursor material (Indole, TLME and cyclohexyl methyl). </w:t>
      </w:r>
      <w:r w:rsidR="00FA4649">
        <w:t>One batch was synthesized by another synthesis procedure and mixed with other batches</w:t>
      </w:r>
      <w:r w:rsidR="007309AB">
        <w:t>, which again indicates a common location of storage and/or packaging</w:t>
      </w:r>
      <w:r w:rsidR="00FA4649">
        <w:t xml:space="preserve"> and thus validates the idea of a common source</w:t>
      </w:r>
      <w:r w:rsidR="00C82FA7">
        <w:t xml:space="preserve"> for this material</w:t>
      </w:r>
      <w:r w:rsidR="007309AB">
        <w:t xml:space="preserve">. </w:t>
      </w:r>
    </w:p>
    <w:p w14:paraId="17F935AC" w14:textId="3EFE3A4A" w:rsidR="005638A6" w:rsidRPr="005638A6" w:rsidRDefault="005638A6" w:rsidP="00F3279A">
      <w:pPr>
        <w:spacing w:line="480" w:lineRule="auto"/>
        <w:rPr>
          <w:highlight w:val="yellow"/>
        </w:rPr>
      </w:pPr>
    </w:p>
    <w:p w14:paraId="3C6098CB" w14:textId="1312AA7F" w:rsidR="00F36D00" w:rsidRDefault="002D008C" w:rsidP="00F3279A">
      <w:pPr>
        <w:spacing w:line="480" w:lineRule="auto"/>
        <w:rPr>
          <w:i/>
        </w:rPr>
      </w:pPr>
      <w:r>
        <w:rPr>
          <w:i/>
        </w:rPr>
        <w:t xml:space="preserve">3.3 </w:t>
      </w:r>
      <w:r w:rsidR="007929AC">
        <w:rPr>
          <w:i/>
        </w:rPr>
        <w:t>I</w:t>
      </w:r>
      <w:r w:rsidR="00F36D00">
        <w:rPr>
          <w:i/>
        </w:rPr>
        <w:t>sotopic data</w:t>
      </w:r>
      <w:r w:rsidR="00B70310">
        <w:rPr>
          <w:i/>
        </w:rPr>
        <w:t xml:space="preserve"> for</w:t>
      </w:r>
      <w:r w:rsidR="007929AC">
        <w:rPr>
          <w:i/>
        </w:rPr>
        <w:t xml:space="preserve"> the</w:t>
      </w:r>
      <w:r w:rsidR="00B70310">
        <w:rPr>
          <w:i/>
        </w:rPr>
        <w:t xml:space="preserve"> </w:t>
      </w:r>
      <w:r w:rsidR="007929AC">
        <w:rPr>
          <w:i/>
        </w:rPr>
        <w:t>complete sample pool of MDMB-CHMICA and Cumyl-PeGaClone</w:t>
      </w:r>
    </w:p>
    <w:p w14:paraId="171594C8" w14:textId="331A141A" w:rsidR="004C7864" w:rsidRDefault="004C7864" w:rsidP="00F3279A">
      <w:pPr>
        <w:spacing w:line="480" w:lineRule="auto"/>
        <w:rPr>
          <w:lang w:val="en"/>
        </w:rPr>
      </w:pPr>
      <w:r>
        <w:rPr>
          <w:lang w:val="en"/>
        </w:rPr>
        <w:t>No IRMS measurements were published for synthetic cannabinoid</w:t>
      </w:r>
      <w:r w:rsidR="001107F1">
        <w:rPr>
          <w:lang w:val="en"/>
        </w:rPr>
        <w:t>s</w:t>
      </w:r>
      <w:r>
        <w:rPr>
          <w:lang w:val="en"/>
        </w:rPr>
        <w:t xml:space="preserve"> so far, apart from our early work on 5F-PB-22</w:t>
      </w:r>
      <w:r w:rsidR="007229D9">
        <w:rPr>
          <w:lang w:val="en"/>
        </w:rPr>
        <w:fldChar w:fldCharType="begin"/>
      </w:r>
      <w:r w:rsidR="00013CF4">
        <w:rPr>
          <w:lang w:val="en"/>
        </w:rPr>
        <w:instrText xml:space="preserve"> ADDIN EN.CITE &lt;EndNote&gt;&lt;Cite&gt;&lt;Author&gt;Münster-Müller&lt;/Author&gt;&lt;Year&gt;2018&lt;/Year&gt;&lt;RecNum&gt;57&lt;/RecNum&gt;&lt;DisplayText&gt;[21]&lt;/DisplayText&gt;&lt;record&gt;&lt;rec-number&gt;57&lt;/rec-number&gt;&lt;foreign-keys&gt;&lt;key app="EN" db-id="0rddxvvew22rz1e0fxk52w2v5v9ad9et50ep" timestamp="1538046330"&gt;57&lt;/key&gt;&lt;/foreign-keys&gt;&lt;ref-type name="Journal Article"&gt;17&lt;/ref-type&gt;&lt;contributors&gt;&lt;authors&gt;&lt;author&gt;Münster-Müller, S.&lt;/author&gt;&lt;author&gt;Scheid, N.&lt;/author&gt;&lt;author&gt;Holdermann, T.&lt;/author&gt;&lt;author&gt;Schneiders, S.&lt;/author&gt;&lt;author&gt;Pütz, M.&lt;/author&gt;&lt;/authors&gt;&lt;/contributors&gt;&lt;titles&gt;&lt;title&gt;Profiling of new psychoactive substances by using stable isotope ratio mass spectrometry: Study of the synthetic cannabinoid 5F-PB-22&lt;/title&gt;&lt;secondary-title&gt;Drug Testing and Analysis&lt;/secondary-title&gt;&lt;/titles&gt;&lt;periodical&gt;&lt;full-title&gt;Drug Testing and Analysis&lt;/full-title&gt;&lt;abbr-1&gt;Drug. Test. Anal.&lt;/abbr-1&gt;&lt;/periodical&gt;&lt;pages&gt;1323-1327&lt;/pages&gt;&lt;volume&gt;10&lt;/volume&gt;&lt;number&gt;8&lt;/number&gt;&lt;keywords&gt;&lt;keyword&gt;5F-PB-22&lt;/keyword&gt;&lt;keyword&gt;drug profiling&lt;/keyword&gt;&lt;keyword&gt;EA-IRMS&lt;/keyword&gt;&lt;keyword&gt;new psychoactive substances (NPS)&lt;/keyword&gt;&lt;keyword&gt;stable isotope ratio analysis&lt;/keyword&gt;&lt;/keywords&gt;&lt;dates&gt;&lt;year&gt;2018&lt;/year&gt;&lt;/dates&gt;&lt;isbn&gt;1942-7603&lt;/isbn&gt;&lt;urls&gt;&lt;related-urls&gt;&lt;url&gt;https://doi.org/10.1002/dta.2407&lt;/url&gt;&lt;/related-urls&gt;&lt;/urls&gt;&lt;electronic-resource-num&gt;doi:10.1002/dta.2407&lt;/electronic-resource-num&gt;&lt;modified-date&gt;Dta-18-0014.r1&lt;/modified-date&gt;&lt;/record&gt;&lt;/Cite&gt;&lt;/EndNote&gt;</w:instrText>
      </w:r>
      <w:r w:rsidR="007229D9">
        <w:rPr>
          <w:lang w:val="en"/>
        </w:rPr>
        <w:fldChar w:fldCharType="separate"/>
      </w:r>
      <w:r w:rsidR="00013CF4">
        <w:rPr>
          <w:noProof/>
          <w:lang w:val="en"/>
        </w:rPr>
        <w:t>[21]</w:t>
      </w:r>
      <w:r w:rsidR="007229D9">
        <w:rPr>
          <w:lang w:val="en"/>
        </w:rPr>
        <w:fldChar w:fldCharType="end"/>
      </w:r>
      <w:r>
        <w:rPr>
          <w:lang w:val="en"/>
        </w:rPr>
        <w:t xml:space="preserve">. Thus, we collected a large sample pool of seized and online test-purchased pure samples and SPs of </w:t>
      </w:r>
      <w:r>
        <w:rPr>
          <w:b/>
          <w:lang w:val="en"/>
        </w:rPr>
        <w:t xml:space="preserve">1 </w:t>
      </w:r>
      <w:r w:rsidR="00E364D2">
        <w:rPr>
          <w:lang w:val="en"/>
        </w:rPr>
        <w:t>(</w:t>
      </w:r>
      <w:r w:rsidR="00BA4C1F" w:rsidRPr="00BA4C1F">
        <w:rPr>
          <w:lang w:val="en"/>
        </w:rPr>
        <w:t>61 pure, 120</w:t>
      </w:r>
      <w:r w:rsidR="00E364D2" w:rsidRPr="00BA4C1F">
        <w:rPr>
          <w:lang w:val="en"/>
        </w:rPr>
        <w:t xml:space="preserve"> SP)</w:t>
      </w:r>
      <w:r w:rsidR="00E364D2">
        <w:rPr>
          <w:lang w:val="en"/>
        </w:rPr>
        <w:t xml:space="preserve"> </w:t>
      </w:r>
      <w:r w:rsidRPr="00943BC4">
        <w:rPr>
          <w:lang w:val="en"/>
        </w:rPr>
        <w:t>and</w:t>
      </w:r>
      <w:r>
        <w:rPr>
          <w:b/>
          <w:lang w:val="en"/>
        </w:rPr>
        <w:t xml:space="preserve"> 2</w:t>
      </w:r>
      <w:r w:rsidR="00E364D2">
        <w:rPr>
          <w:b/>
          <w:lang w:val="en"/>
        </w:rPr>
        <w:t xml:space="preserve"> </w:t>
      </w:r>
      <w:r w:rsidR="00E364D2" w:rsidRPr="00E364D2">
        <w:rPr>
          <w:lang w:val="en"/>
        </w:rPr>
        <w:t>(</w:t>
      </w:r>
      <w:r w:rsidR="00E364D2">
        <w:rPr>
          <w:lang w:val="en"/>
        </w:rPr>
        <w:t>1 pure, 30 SP)</w:t>
      </w:r>
      <w:r w:rsidRPr="004C7864">
        <w:rPr>
          <w:lang w:val="en"/>
        </w:rPr>
        <w:t>,</w:t>
      </w:r>
      <w:r>
        <w:rPr>
          <w:b/>
          <w:lang w:val="en"/>
        </w:rPr>
        <w:t xml:space="preserve"> </w:t>
      </w:r>
      <w:r>
        <w:rPr>
          <w:lang w:val="en"/>
        </w:rPr>
        <w:t>two highly prevalent</w:t>
      </w:r>
      <w:r w:rsidR="00C928D2">
        <w:rPr>
          <w:lang w:val="en"/>
        </w:rPr>
        <w:t xml:space="preserve"> synthetic cannabinoids in Germany from 2014 to 2017, and assessed their isotope ratios for </w:t>
      </w:r>
      <w:r w:rsidR="00C928D2" w:rsidRPr="009D4195">
        <w:t>δ</w:t>
      </w:r>
      <w:r w:rsidR="00C928D2" w:rsidRPr="009D4195">
        <w:rPr>
          <w:vertAlign w:val="superscript"/>
        </w:rPr>
        <w:t>13</w:t>
      </w:r>
      <w:r w:rsidR="00C928D2" w:rsidRPr="009D4195">
        <w:t>C</w:t>
      </w:r>
      <w:r w:rsidR="00C928D2" w:rsidRPr="009D4195">
        <w:rPr>
          <w:lang w:val="en"/>
        </w:rPr>
        <w:t xml:space="preserve"> and </w:t>
      </w:r>
      <w:r w:rsidR="00C928D2" w:rsidRPr="009D4195">
        <w:t>δ</w:t>
      </w:r>
      <w:r w:rsidR="00C928D2" w:rsidRPr="009D4195">
        <w:rPr>
          <w:vertAlign w:val="superscript"/>
        </w:rPr>
        <w:t>15</w:t>
      </w:r>
      <w:r w:rsidR="00C928D2" w:rsidRPr="009D4195">
        <w:t>N</w:t>
      </w:r>
      <w:r w:rsidR="00C928D2" w:rsidRPr="009D4195">
        <w:rPr>
          <w:lang w:val="en"/>
        </w:rPr>
        <w:t xml:space="preserve"> </w:t>
      </w:r>
      <w:r w:rsidR="00BA4C1F">
        <w:rPr>
          <w:lang w:val="en"/>
        </w:rPr>
        <w:t xml:space="preserve">via EA-IRMS and GC-IRMS </w:t>
      </w:r>
      <w:r w:rsidR="00C928D2">
        <w:rPr>
          <w:lang w:val="en"/>
        </w:rPr>
        <w:t xml:space="preserve">with the intention to </w:t>
      </w:r>
      <w:r w:rsidR="00F83C9B">
        <w:rPr>
          <w:lang w:val="en"/>
        </w:rPr>
        <w:t>identify potential</w:t>
      </w:r>
      <w:r w:rsidR="00C928D2">
        <w:rPr>
          <w:lang w:val="en"/>
        </w:rPr>
        <w:t xml:space="preserve"> links between samples that share a common history or origin. Secondly, we wanted to generate an ov</w:t>
      </w:r>
      <w:r w:rsidR="00BA4C1F">
        <w:rPr>
          <w:lang w:val="en"/>
        </w:rPr>
        <w:t>erview of the overall isotopic range</w:t>
      </w:r>
      <w:r w:rsidR="00C928D2">
        <w:rPr>
          <w:lang w:val="en"/>
        </w:rPr>
        <w:t xml:space="preserve"> for these two synthetic cannabinoids and investigate if </w:t>
      </w:r>
      <w:r w:rsidR="00C928D2">
        <w:rPr>
          <w:lang w:val="en"/>
        </w:rPr>
        <w:lastRenderedPageBreak/>
        <w:t>there is a large scattering or tight clustering of samples from different sources</w:t>
      </w:r>
      <w:r w:rsidR="00E364D2">
        <w:rPr>
          <w:lang w:val="en"/>
        </w:rPr>
        <w:t xml:space="preserve"> and dates of receipt</w:t>
      </w:r>
      <w:r w:rsidR="00C928D2">
        <w:rPr>
          <w:lang w:val="en"/>
        </w:rPr>
        <w:t xml:space="preserve">. </w:t>
      </w:r>
      <w:r w:rsidR="00B47BB0">
        <w:t xml:space="preserve">In a previous chapter, we have proven that neither the extraction from the herbal matrix, nor the clean-up via F-LC had an influence on the </w:t>
      </w:r>
      <w:r w:rsidR="00B47BB0" w:rsidRPr="0026480B">
        <w:t>δ</w:t>
      </w:r>
      <w:r w:rsidR="00B47BB0" w:rsidRPr="0026480B">
        <w:rPr>
          <w:vertAlign w:val="superscript"/>
        </w:rPr>
        <w:t>13</w:t>
      </w:r>
      <w:r w:rsidR="00B47BB0" w:rsidRPr="0026480B">
        <w:t>C</w:t>
      </w:r>
      <w:r w:rsidR="00B47BB0">
        <w:t xml:space="preserve"> and</w:t>
      </w:r>
      <w:r w:rsidR="00B47BB0">
        <w:rPr>
          <w:lang w:val="en"/>
        </w:rPr>
        <w:t xml:space="preserve"> </w:t>
      </w:r>
      <w:r w:rsidR="00B47BB0" w:rsidRPr="0026480B">
        <w:t>δ</w:t>
      </w:r>
      <w:r w:rsidR="00B47BB0" w:rsidRPr="0026480B">
        <w:rPr>
          <w:vertAlign w:val="superscript"/>
        </w:rPr>
        <w:t>15</w:t>
      </w:r>
      <w:r w:rsidR="00B47BB0" w:rsidRPr="0026480B">
        <w:t>N</w:t>
      </w:r>
      <w:r w:rsidR="00B47BB0">
        <w:t xml:space="preserve"> values</w:t>
      </w:r>
      <w:r w:rsidR="00B47BB0" w:rsidRPr="00F43370">
        <w:t xml:space="preserve"> </w:t>
      </w:r>
      <w:r w:rsidR="00B47BB0">
        <w:t>of the synthetic cannabinoids.</w:t>
      </w:r>
    </w:p>
    <w:p w14:paraId="00C499BC" w14:textId="0B6FE5BE" w:rsidR="004F2BE6" w:rsidRDefault="004C7864" w:rsidP="00F3279A">
      <w:pPr>
        <w:spacing w:line="480" w:lineRule="auto"/>
        <w:rPr>
          <w:lang w:val="en"/>
        </w:rPr>
      </w:pPr>
      <w:r w:rsidRPr="00B679C2">
        <w:t xml:space="preserve">Figure </w:t>
      </w:r>
      <w:r w:rsidR="00E359EF" w:rsidRPr="00B679C2">
        <w:t>5</w:t>
      </w:r>
      <w:r w:rsidRPr="00B679C2">
        <w:t xml:space="preserve"> </w:t>
      </w:r>
      <w:r w:rsidR="00C928D2" w:rsidRPr="00B679C2">
        <w:t>shows</w:t>
      </w:r>
      <w:r w:rsidR="00C928D2">
        <w:t xml:space="preserve"> the measured </w:t>
      </w:r>
      <w:r w:rsidR="00C928D2" w:rsidRPr="009D4195">
        <w:t>δ</w:t>
      </w:r>
      <w:r w:rsidR="00C928D2" w:rsidRPr="009D4195">
        <w:rPr>
          <w:vertAlign w:val="superscript"/>
        </w:rPr>
        <w:t>13</w:t>
      </w:r>
      <w:r w:rsidR="00C928D2" w:rsidRPr="009D4195">
        <w:t>C</w:t>
      </w:r>
      <w:r w:rsidR="00C928D2" w:rsidRPr="009D4195">
        <w:rPr>
          <w:lang w:val="en"/>
        </w:rPr>
        <w:t xml:space="preserve"> and </w:t>
      </w:r>
      <w:r w:rsidR="00C928D2" w:rsidRPr="009D4195">
        <w:t>δ</w:t>
      </w:r>
      <w:r w:rsidR="00C928D2" w:rsidRPr="009D4195">
        <w:rPr>
          <w:vertAlign w:val="superscript"/>
        </w:rPr>
        <w:t>15</w:t>
      </w:r>
      <w:r w:rsidR="00C928D2" w:rsidRPr="009D4195">
        <w:t>N</w:t>
      </w:r>
      <w:r w:rsidR="00C928D2">
        <w:t xml:space="preserve"> values of all available samples of </w:t>
      </w:r>
      <w:r w:rsidR="00C928D2">
        <w:rPr>
          <w:b/>
        </w:rPr>
        <w:t>1</w:t>
      </w:r>
      <w:r w:rsidR="00C928D2">
        <w:t xml:space="preserve"> and </w:t>
      </w:r>
      <w:r w:rsidR="00C928D2">
        <w:rPr>
          <w:b/>
        </w:rPr>
        <w:t>2</w:t>
      </w:r>
      <w:r w:rsidR="007229D9">
        <w:t xml:space="preserve"> and the previously assed values for 5F-PB-22</w:t>
      </w:r>
      <w:r w:rsidR="003B7498">
        <w:t xml:space="preserve"> </w:t>
      </w:r>
      <w:r w:rsidR="007229D9">
        <w:fldChar w:fldCharType="begin"/>
      </w:r>
      <w:r w:rsidR="00013CF4">
        <w:instrText xml:space="preserve"> ADDIN EN.CITE &lt;EndNote&gt;&lt;Cite&gt;&lt;Author&gt;Münster-Müller&lt;/Author&gt;&lt;Year&gt;2018&lt;/Year&gt;&lt;RecNum&gt;57&lt;/RecNum&gt;&lt;DisplayText&gt;[21]&lt;/DisplayText&gt;&lt;record&gt;&lt;rec-number&gt;57&lt;/rec-number&gt;&lt;foreign-keys&gt;&lt;key app="EN" db-id="0rddxvvew22rz1e0fxk52w2v5v9ad9et50ep" timestamp="1538046330"&gt;57&lt;/key&gt;&lt;/foreign-keys&gt;&lt;ref-type name="Journal Article"&gt;17&lt;/ref-type&gt;&lt;contributors&gt;&lt;authors&gt;&lt;author&gt;Münster-Müller, S.&lt;/author&gt;&lt;author&gt;Scheid, N.&lt;/author&gt;&lt;author&gt;Holdermann, T.&lt;/author&gt;&lt;author&gt;Schneiders, S.&lt;/author&gt;&lt;author&gt;Pütz, M.&lt;/author&gt;&lt;/authors&gt;&lt;/contributors&gt;&lt;titles&gt;&lt;title&gt;Profiling of new psychoactive substances by using stable isotope ratio mass spectrometry: Study of the synthetic cannabinoid 5F-PB-22&lt;/title&gt;&lt;secondary-title&gt;Drug Testing and Analysis&lt;/secondary-title&gt;&lt;/titles&gt;&lt;periodical&gt;&lt;full-title&gt;Drug Testing and Analysis&lt;/full-title&gt;&lt;abbr-1&gt;Drug. Test. Anal.&lt;/abbr-1&gt;&lt;/periodical&gt;&lt;pages&gt;1323-1327&lt;/pages&gt;&lt;volume&gt;10&lt;/volume&gt;&lt;number&gt;8&lt;/number&gt;&lt;keywords&gt;&lt;keyword&gt;5F-PB-22&lt;/keyword&gt;&lt;keyword&gt;drug profiling&lt;/keyword&gt;&lt;keyword&gt;EA-IRMS&lt;/keyword&gt;&lt;keyword&gt;new psychoactive substances (NPS)&lt;/keyword&gt;&lt;keyword&gt;stable isotope ratio analysis&lt;/keyword&gt;&lt;/keywords&gt;&lt;dates&gt;&lt;year&gt;2018&lt;/year&gt;&lt;/dates&gt;&lt;isbn&gt;1942-7603&lt;/isbn&gt;&lt;urls&gt;&lt;related-urls&gt;&lt;url&gt;https://doi.org/10.1002/dta.2407&lt;/url&gt;&lt;/related-urls&gt;&lt;/urls&gt;&lt;electronic-resource-num&gt;doi:10.1002/dta.2407&lt;/electronic-resource-num&gt;&lt;modified-date&gt;Dta-18-0014.r1&lt;/modified-date&gt;&lt;/record&gt;&lt;/Cite&gt;&lt;/EndNote&gt;</w:instrText>
      </w:r>
      <w:r w:rsidR="007229D9">
        <w:fldChar w:fldCharType="separate"/>
      </w:r>
      <w:r w:rsidR="00013CF4">
        <w:rPr>
          <w:noProof/>
        </w:rPr>
        <w:t>[21]</w:t>
      </w:r>
      <w:r w:rsidR="007229D9">
        <w:fldChar w:fldCharType="end"/>
      </w:r>
      <w:r w:rsidR="007229D9">
        <w:t xml:space="preserve">. </w:t>
      </w:r>
      <w:r w:rsidR="005E7E6E">
        <w:t xml:space="preserve">A </w:t>
      </w:r>
      <w:r w:rsidR="00CE571A">
        <w:t xml:space="preserve">clustering of the individual synthetic cannabinoids can be observed. </w:t>
      </w:r>
      <w:r w:rsidR="007929AC">
        <w:t xml:space="preserve">The values for all samples of </w:t>
      </w:r>
      <w:r w:rsidR="007929AC">
        <w:rPr>
          <w:b/>
        </w:rPr>
        <w:t xml:space="preserve">1 </w:t>
      </w:r>
      <w:r w:rsidR="007929AC">
        <w:t xml:space="preserve">ranged from -27.87 to -25.94 </w:t>
      </w:r>
      <w:r w:rsidR="007929AC">
        <w:rPr>
          <w:rFonts w:cstheme="minorHAnsi"/>
        </w:rPr>
        <w:t>‰</w:t>
      </w:r>
      <w:r w:rsidR="007929AC">
        <w:t xml:space="preserve"> (</w:t>
      </w:r>
      <w:r w:rsidR="007929AC">
        <w:rPr>
          <w:rFonts w:cstheme="minorHAnsi"/>
        </w:rPr>
        <w:t>Δ</w:t>
      </w:r>
      <w:r w:rsidR="007929AC">
        <w:t xml:space="preserve"> </w:t>
      </w:r>
      <w:r w:rsidR="007929AC">
        <w:rPr>
          <w:lang w:val="en"/>
        </w:rPr>
        <w:t xml:space="preserve">1.93 </w:t>
      </w:r>
      <w:r w:rsidR="007929AC">
        <w:rPr>
          <w:rFonts w:cstheme="minorHAnsi"/>
          <w:lang w:val="en"/>
        </w:rPr>
        <w:t xml:space="preserve">‰) </w:t>
      </w:r>
      <w:r w:rsidR="007929AC">
        <w:t xml:space="preserve">for </w:t>
      </w:r>
      <w:r w:rsidR="007929AC" w:rsidRPr="009D4195">
        <w:t>δ</w:t>
      </w:r>
      <w:r w:rsidR="007929AC" w:rsidRPr="009D4195">
        <w:rPr>
          <w:vertAlign w:val="superscript"/>
        </w:rPr>
        <w:t>13</w:t>
      </w:r>
      <w:r w:rsidR="007929AC" w:rsidRPr="009D4195">
        <w:t>C</w:t>
      </w:r>
      <w:r w:rsidR="007929AC" w:rsidRPr="009D4195">
        <w:rPr>
          <w:lang w:val="en"/>
        </w:rPr>
        <w:t xml:space="preserve"> and</w:t>
      </w:r>
      <w:r w:rsidR="007929AC">
        <w:rPr>
          <w:lang w:val="en"/>
        </w:rPr>
        <w:t xml:space="preserve"> 2.39 to 6.35 </w:t>
      </w:r>
      <w:r w:rsidR="007929AC">
        <w:rPr>
          <w:rFonts w:cstheme="minorHAnsi"/>
          <w:lang w:val="en"/>
        </w:rPr>
        <w:t>‰</w:t>
      </w:r>
      <w:r w:rsidR="007929AC">
        <w:rPr>
          <w:lang w:val="en"/>
        </w:rPr>
        <w:t xml:space="preserve"> (</w:t>
      </w:r>
      <w:r w:rsidR="007929AC">
        <w:rPr>
          <w:rFonts w:cstheme="minorHAnsi"/>
        </w:rPr>
        <w:t>Δ</w:t>
      </w:r>
      <w:r w:rsidR="007929AC">
        <w:t xml:space="preserve"> 3.97 </w:t>
      </w:r>
      <w:r w:rsidR="007929AC">
        <w:rPr>
          <w:rFonts w:cstheme="minorHAnsi"/>
          <w:lang w:val="en"/>
        </w:rPr>
        <w:t xml:space="preserve">‰) </w:t>
      </w:r>
      <w:r w:rsidR="007929AC">
        <w:rPr>
          <w:lang w:val="en"/>
        </w:rPr>
        <w:t>for</w:t>
      </w:r>
      <w:r w:rsidR="007929AC" w:rsidRPr="009D4195">
        <w:rPr>
          <w:lang w:val="en"/>
        </w:rPr>
        <w:t xml:space="preserve"> </w:t>
      </w:r>
      <w:r w:rsidR="007929AC" w:rsidRPr="009D4195">
        <w:t>δ</w:t>
      </w:r>
      <w:r w:rsidR="007929AC" w:rsidRPr="009D4195">
        <w:rPr>
          <w:vertAlign w:val="superscript"/>
        </w:rPr>
        <w:t>15</w:t>
      </w:r>
      <w:r w:rsidR="007929AC" w:rsidRPr="009D4195">
        <w:t>N</w:t>
      </w:r>
      <w:r w:rsidR="007929AC">
        <w:t xml:space="preserve">. </w:t>
      </w:r>
      <w:r w:rsidR="00CE571A">
        <w:t xml:space="preserve">All samples of </w:t>
      </w:r>
      <w:r w:rsidR="00CE571A">
        <w:rPr>
          <w:b/>
        </w:rPr>
        <w:t>2</w:t>
      </w:r>
      <w:r w:rsidR="00506708">
        <w:t xml:space="preserve"> </w:t>
      </w:r>
      <w:r w:rsidR="000232B0">
        <w:t xml:space="preserve">(December 2016 to July 2017) </w:t>
      </w:r>
      <w:r w:rsidR="00506708">
        <w:t>show</w:t>
      </w:r>
      <w:r w:rsidR="007929AC">
        <w:t>ed</w:t>
      </w:r>
      <w:r w:rsidR="00CE571A">
        <w:t xml:space="preserve"> values ranging from -33.83 to -35.</w:t>
      </w:r>
      <w:r w:rsidR="005E7E6E">
        <w:t xml:space="preserve">26 </w:t>
      </w:r>
      <w:r w:rsidR="005E7E6E">
        <w:rPr>
          <w:rFonts w:cstheme="minorHAnsi"/>
        </w:rPr>
        <w:t>‰</w:t>
      </w:r>
      <w:r w:rsidR="00CE571A">
        <w:t xml:space="preserve"> </w:t>
      </w:r>
      <w:r w:rsidR="007929AC">
        <w:t>(</w:t>
      </w:r>
      <w:r w:rsidR="00035A8C">
        <w:t xml:space="preserve">Δ </w:t>
      </w:r>
      <w:r w:rsidR="007929AC">
        <w:rPr>
          <w:lang w:val="en"/>
        </w:rPr>
        <w:t xml:space="preserve">1.43 </w:t>
      </w:r>
      <w:r w:rsidR="007929AC">
        <w:rPr>
          <w:rFonts w:cstheme="minorHAnsi"/>
          <w:lang w:val="en"/>
        </w:rPr>
        <w:t xml:space="preserve">‰) </w:t>
      </w:r>
      <w:r w:rsidR="00CE571A">
        <w:t xml:space="preserve">for </w:t>
      </w:r>
      <w:r w:rsidR="00CE571A" w:rsidRPr="009D4195">
        <w:t>δ</w:t>
      </w:r>
      <w:r w:rsidR="00CE571A" w:rsidRPr="009D4195">
        <w:rPr>
          <w:vertAlign w:val="superscript"/>
        </w:rPr>
        <w:t>13</w:t>
      </w:r>
      <w:r w:rsidR="00CE571A" w:rsidRPr="009D4195">
        <w:t>C</w:t>
      </w:r>
      <w:r w:rsidR="00CE571A" w:rsidRPr="009D4195">
        <w:rPr>
          <w:lang w:val="en"/>
        </w:rPr>
        <w:t xml:space="preserve"> and</w:t>
      </w:r>
      <w:r w:rsidR="005E7E6E">
        <w:rPr>
          <w:lang w:val="en"/>
        </w:rPr>
        <w:t xml:space="preserve"> -10.34 to -12.70 </w:t>
      </w:r>
      <w:r w:rsidR="005E7E6E">
        <w:rPr>
          <w:rFonts w:cstheme="minorHAnsi"/>
          <w:lang w:val="en"/>
        </w:rPr>
        <w:t>‰</w:t>
      </w:r>
      <w:r w:rsidR="007929AC">
        <w:rPr>
          <w:rFonts w:cstheme="minorHAnsi"/>
          <w:lang w:val="en"/>
        </w:rPr>
        <w:t xml:space="preserve"> (</w:t>
      </w:r>
      <w:r w:rsidR="00035A8C">
        <w:rPr>
          <w:rFonts w:cstheme="minorHAnsi"/>
          <w:lang w:val="en"/>
        </w:rPr>
        <w:t xml:space="preserve">Δ </w:t>
      </w:r>
      <w:r w:rsidR="007929AC">
        <w:t xml:space="preserve">2.36 </w:t>
      </w:r>
      <w:r w:rsidR="007929AC">
        <w:rPr>
          <w:rFonts w:cstheme="minorHAnsi"/>
          <w:lang w:val="en"/>
        </w:rPr>
        <w:t>‰)</w:t>
      </w:r>
      <w:r w:rsidR="005E7E6E">
        <w:rPr>
          <w:lang w:val="en"/>
        </w:rPr>
        <w:t xml:space="preserve"> for</w:t>
      </w:r>
      <w:r w:rsidR="00CE571A" w:rsidRPr="009D4195">
        <w:rPr>
          <w:lang w:val="en"/>
        </w:rPr>
        <w:t xml:space="preserve"> </w:t>
      </w:r>
      <w:r w:rsidR="00CE571A" w:rsidRPr="009D4195">
        <w:t>δ</w:t>
      </w:r>
      <w:r w:rsidR="00CE571A" w:rsidRPr="009D4195">
        <w:rPr>
          <w:vertAlign w:val="superscript"/>
        </w:rPr>
        <w:t>15</w:t>
      </w:r>
      <w:r w:rsidR="00CE571A" w:rsidRPr="009D4195">
        <w:t>N</w:t>
      </w:r>
      <w:r w:rsidR="005E7E6E">
        <w:t>, clearly</w:t>
      </w:r>
      <w:r w:rsidR="005E7E6E" w:rsidRPr="005E7E6E">
        <w:t xml:space="preserve"> </w:t>
      </w:r>
      <w:r w:rsidR="005E7E6E">
        <w:t xml:space="preserve">separating </w:t>
      </w:r>
      <w:r w:rsidR="00AC417D">
        <w:t>them</w:t>
      </w:r>
      <w:r w:rsidR="005E7E6E">
        <w:t xml:space="preserve"> </w:t>
      </w:r>
      <w:r w:rsidR="005E7E6E" w:rsidRPr="00AC417D">
        <w:t xml:space="preserve">from </w:t>
      </w:r>
      <w:r w:rsidR="00AC417D" w:rsidRPr="00AC417D">
        <w:t>the other two synthetic cannabinoids</w:t>
      </w:r>
      <w:r w:rsidR="005E7E6E" w:rsidRPr="00AC417D">
        <w:t>.</w:t>
      </w:r>
      <w:r w:rsidR="005E7E6E" w:rsidRPr="005E7E6E">
        <w:rPr>
          <w:lang w:val="en"/>
        </w:rPr>
        <w:t xml:space="preserve"> </w:t>
      </w:r>
    </w:p>
    <w:p w14:paraId="4B001CD7" w14:textId="2AE5DCE8" w:rsidR="00F36D00" w:rsidRDefault="00AC417D" w:rsidP="00F3279A">
      <w:pPr>
        <w:spacing w:line="480" w:lineRule="auto"/>
      </w:pPr>
      <w:r>
        <w:rPr>
          <w:lang w:val="en"/>
        </w:rPr>
        <w:t xml:space="preserve">Comparing the samples on the outer boarders of the </w:t>
      </w:r>
      <w:r w:rsidR="00862F8D">
        <w:rPr>
          <w:lang w:val="en"/>
        </w:rPr>
        <w:t>respective</w:t>
      </w:r>
      <w:r>
        <w:rPr>
          <w:lang w:val="en"/>
        </w:rPr>
        <w:t xml:space="preserve"> cluster</w:t>
      </w:r>
      <w:r w:rsidR="007929AC">
        <w:rPr>
          <w:lang w:val="en"/>
        </w:rPr>
        <w:t>s</w:t>
      </w:r>
      <w:r>
        <w:rPr>
          <w:lang w:val="en"/>
        </w:rPr>
        <w:t xml:space="preserve"> of </w:t>
      </w:r>
      <w:r w:rsidR="007929AC" w:rsidRPr="007929AC">
        <w:rPr>
          <w:b/>
          <w:lang w:val="en"/>
        </w:rPr>
        <w:t>1</w:t>
      </w:r>
      <w:r w:rsidR="007929AC">
        <w:rPr>
          <w:lang w:val="en"/>
        </w:rPr>
        <w:t xml:space="preserve"> and </w:t>
      </w:r>
      <w:r w:rsidRPr="007929AC">
        <w:rPr>
          <w:b/>
          <w:lang w:val="en"/>
        </w:rPr>
        <w:t>2</w:t>
      </w:r>
      <w:r>
        <w:rPr>
          <w:lang w:val="en"/>
        </w:rPr>
        <w:t>, t</w:t>
      </w:r>
      <w:r w:rsidR="005E7E6E" w:rsidRPr="00AC417D">
        <w:rPr>
          <w:lang w:val="en"/>
        </w:rPr>
        <w:t>he</w:t>
      </w:r>
      <w:r w:rsidR="00E364D2">
        <w:rPr>
          <w:lang w:val="en"/>
        </w:rPr>
        <w:t>ir</w:t>
      </w:r>
      <w:r w:rsidR="00670F0D">
        <w:rPr>
          <w:lang w:val="en"/>
        </w:rPr>
        <w:t xml:space="preserve"> overall</w:t>
      </w:r>
      <w:r w:rsidR="005E7E6E">
        <w:rPr>
          <w:lang w:val="en"/>
        </w:rPr>
        <w:t xml:space="preserve"> </w:t>
      </w:r>
      <w:r w:rsidR="00670F0D">
        <w:rPr>
          <w:lang w:val="en"/>
        </w:rPr>
        <w:t>delta</w:t>
      </w:r>
      <w:r w:rsidR="005E7E6E">
        <w:rPr>
          <w:lang w:val="en"/>
        </w:rPr>
        <w:t xml:space="preserve"> </w:t>
      </w:r>
      <w:r>
        <w:t>is</w:t>
      </w:r>
      <w:r w:rsidR="005E7E6E">
        <w:t xml:space="preserve"> higher than the measurement uncertainty</w:t>
      </w:r>
      <w:r w:rsidR="00E364D2">
        <w:t xml:space="preserve">, indicating multiple reaction batches with precursor material with different isotopic composition or, as already known for </w:t>
      </w:r>
      <w:r w:rsidR="00E364D2">
        <w:rPr>
          <w:b/>
        </w:rPr>
        <w:t>1</w:t>
      </w:r>
      <w:r w:rsidR="00E364D2">
        <w:t>, different synthesis</w:t>
      </w:r>
      <w:r>
        <w:t>. However, despite these significant intra-cluster variations, the individual clustering of the synthetic cannabinoids cannot be considered as pure coincidence. We expect that each of these cannabinoids were synthe</w:t>
      </w:r>
      <w:r w:rsidR="00862F8D">
        <w:t>sized by one manufacturer,</w:t>
      </w:r>
      <w:r w:rsidR="00845A06">
        <w:t xml:space="preserve"> in the case of </w:t>
      </w:r>
      <w:r w:rsidR="00845A06">
        <w:rPr>
          <w:b/>
        </w:rPr>
        <w:t>1</w:t>
      </w:r>
      <w:r w:rsidR="00845A06">
        <w:t xml:space="preserve"> the same that is responsible for the 40kg seizure by Luxembourg customs,</w:t>
      </w:r>
      <w:r w:rsidR="00862F8D">
        <w:t xml:space="preserve"> who</w:t>
      </w:r>
      <w:r>
        <w:t xml:space="preserve"> repeatedly uses bulk material of precursor substances </w:t>
      </w:r>
      <w:r w:rsidR="009C73BE">
        <w:t>from a specific provenance</w:t>
      </w:r>
      <w:r>
        <w:t>.</w:t>
      </w:r>
      <w:r w:rsidR="00862F8D">
        <w:t xml:space="preserve"> </w:t>
      </w:r>
      <w:r w:rsidR="00444D2D">
        <w:t xml:space="preserve">Slight variations </w:t>
      </w:r>
      <w:r w:rsidR="00845A06">
        <w:t xml:space="preserve">in isotopic composition </w:t>
      </w:r>
      <w:r w:rsidR="00444D2D">
        <w:t xml:space="preserve">are most probably the result of </w:t>
      </w:r>
      <w:r w:rsidR="005638A6">
        <w:t>a different synthesis procedure leading to isotopic fractionation</w:t>
      </w:r>
      <w:r w:rsidR="008F6B84" w:rsidRPr="008F6B84">
        <w:t xml:space="preserve"> </w:t>
      </w:r>
      <w:r w:rsidR="008F6B84">
        <w:t>or the manufacturer supplementing his precursor stock</w:t>
      </w:r>
      <w:r w:rsidR="00444D2D">
        <w:t>.</w:t>
      </w:r>
      <w:r w:rsidR="00444D2D" w:rsidRPr="00444D2D">
        <w:rPr>
          <w:rStyle w:val="Zeilennummer"/>
        </w:rPr>
        <w:t xml:space="preserve"> </w:t>
      </w:r>
      <w:r w:rsidR="008F6B84">
        <w:rPr>
          <w:rStyle w:val="Zeilennummer"/>
        </w:rPr>
        <w:t xml:space="preserve">The latter is considered as very likely scenario. We already have proven that the </w:t>
      </w:r>
      <w:r w:rsidR="00AE3DE3">
        <w:rPr>
          <w:rStyle w:val="Zeilennummer"/>
        </w:rPr>
        <w:t xml:space="preserve">40 kg </w:t>
      </w:r>
      <w:r w:rsidR="008F6B84">
        <w:rPr>
          <w:rStyle w:val="Zeilennummer"/>
        </w:rPr>
        <w:t>seizure by Luxembourg customs consisted of multiple reaction batches</w:t>
      </w:r>
      <w:r w:rsidR="00AE3DE3">
        <w:rPr>
          <w:rStyle w:val="Zeilennummer"/>
        </w:rPr>
        <w:t xml:space="preserve">, indicating a successive production of this cannabinoid. As this delivery was taken from the European market, the manufacturers had to substitute the lost material. The high prevalence of </w:t>
      </w:r>
      <w:r w:rsidR="00AE3DE3">
        <w:rPr>
          <w:rStyle w:val="Zeilennummer"/>
          <w:b/>
        </w:rPr>
        <w:t>1</w:t>
      </w:r>
      <w:r w:rsidR="00AE3DE3">
        <w:rPr>
          <w:rStyle w:val="Zeilennummer"/>
        </w:rPr>
        <w:t xml:space="preserve"> </w:t>
      </w:r>
      <w:r w:rsidR="003B7498">
        <w:rPr>
          <w:rStyle w:val="Zeilennummer"/>
        </w:rPr>
        <w:t>through</w:t>
      </w:r>
      <w:r w:rsidR="00AE3DE3">
        <w:rPr>
          <w:rStyle w:val="Zeilennummer"/>
        </w:rPr>
        <w:t xml:space="preserve"> 2015 is evidence for other deliveries reaching the European market, either as large shipments or small packages.</w:t>
      </w:r>
      <w:r w:rsidR="008F6B84">
        <w:rPr>
          <w:rStyle w:val="Zeilennummer"/>
        </w:rPr>
        <w:t xml:space="preserve"> </w:t>
      </w:r>
      <w:r w:rsidR="00AE3DE3">
        <w:t>T</w:t>
      </w:r>
      <w:r w:rsidR="00862F8D">
        <w:t xml:space="preserve">he </w:t>
      </w:r>
      <w:r w:rsidR="005638A6">
        <w:t xml:space="preserve">here presented values of </w:t>
      </w:r>
      <w:r w:rsidR="00862F8D">
        <w:t xml:space="preserve">precursor substances from different global </w:t>
      </w:r>
      <w:r w:rsidR="00A3698E">
        <w:t>vendors</w:t>
      </w:r>
      <w:r w:rsidR="00DC1861">
        <w:t xml:space="preserve">, especially </w:t>
      </w:r>
      <w:r w:rsidR="005638A6">
        <w:t xml:space="preserve">those of </w:t>
      </w:r>
      <w:r w:rsidR="00DC1861">
        <w:t>carbon</w:t>
      </w:r>
      <w:r w:rsidR="00A3698E">
        <w:t xml:space="preserve"> (e.g. the indoles with an overall </w:t>
      </w:r>
      <w:r w:rsidR="00A3698E">
        <w:rPr>
          <w:rFonts w:cstheme="minorHAnsi"/>
        </w:rPr>
        <w:t>Δ</w:t>
      </w:r>
      <w:r w:rsidR="00A3698E">
        <w:t xml:space="preserve"> </w:t>
      </w:r>
      <w:r w:rsidR="00444D2D">
        <w:t xml:space="preserve">of </w:t>
      </w:r>
      <w:r w:rsidR="00A3698E">
        <w:t xml:space="preserve">11.87 </w:t>
      </w:r>
      <w:r w:rsidR="00A3698E">
        <w:rPr>
          <w:rFonts w:cstheme="minorHAnsi"/>
        </w:rPr>
        <w:t xml:space="preserve">‰ for </w:t>
      </w:r>
      <w:r w:rsidR="00A3698E" w:rsidRPr="009D4195">
        <w:t>δ</w:t>
      </w:r>
      <w:r w:rsidR="00A3698E" w:rsidRPr="009D4195">
        <w:rPr>
          <w:vertAlign w:val="superscript"/>
        </w:rPr>
        <w:t>13</w:t>
      </w:r>
      <w:r w:rsidR="00A3698E" w:rsidRPr="009D4195">
        <w:t>C</w:t>
      </w:r>
      <w:r w:rsidR="00A3698E">
        <w:t>)</w:t>
      </w:r>
      <w:r w:rsidR="005638A6">
        <w:t>,</w:t>
      </w:r>
      <w:r w:rsidR="00932B09">
        <w:t xml:space="preserve"> and the comparatively tight clustering of the individual </w:t>
      </w:r>
      <w:r w:rsidR="007953A7">
        <w:t xml:space="preserve">synthetic </w:t>
      </w:r>
      <w:r w:rsidR="00932B09">
        <w:t>cannabinoids</w:t>
      </w:r>
      <w:r w:rsidR="00AE3DE3">
        <w:t xml:space="preserve"> are a clear indication that</w:t>
      </w:r>
      <w:r w:rsidR="00A3698E">
        <w:t xml:space="preserve"> </w:t>
      </w:r>
      <w:r w:rsidR="005638A6">
        <w:t xml:space="preserve">the precursor material for each cannabinoid is </w:t>
      </w:r>
      <w:r w:rsidR="00AE3DE3">
        <w:t>coming</w:t>
      </w:r>
      <w:r w:rsidR="005638A6">
        <w:t xml:space="preserve"> from a single </w:t>
      </w:r>
      <w:r w:rsidR="008462B1">
        <w:t>producer, who synthesizes large batches with only minor isotopic varieties</w:t>
      </w:r>
      <w:r w:rsidR="005638A6">
        <w:t>.</w:t>
      </w:r>
    </w:p>
    <w:p w14:paraId="0A660605" w14:textId="5AA85F38" w:rsidR="00016FA9" w:rsidRPr="00016FA9" w:rsidRDefault="004F2BE6" w:rsidP="00F3279A">
      <w:pPr>
        <w:spacing w:line="480" w:lineRule="auto"/>
        <w:rPr>
          <w:rStyle w:val="tlid-translation"/>
        </w:rPr>
      </w:pPr>
      <w:r w:rsidRPr="00016FA9">
        <w:lastRenderedPageBreak/>
        <w:t xml:space="preserve">The isotopic composition for all samples of </w:t>
      </w:r>
      <w:r w:rsidRPr="00016FA9">
        <w:rPr>
          <w:b/>
        </w:rPr>
        <w:t>1</w:t>
      </w:r>
      <w:r w:rsidRPr="00016FA9">
        <w:t xml:space="preserve"> fit the isotopic range of the corresponding precursor substances if no excessive isotopic fractionation occurs while synthesizing</w:t>
      </w:r>
      <w:r w:rsidR="00016FA9" w:rsidRPr="00016FA9">
        <w:t xml:space="preserve">. </w:t>
      </w:r>
      <w:r w:rsidR="006C664C" w:rsidRPr="00016FA9">
        <w:rPr>
          <w:rStyle w:val="tlid-translation"/>
        </w:rPr>
        <w:t xml:space="preserve">The unusually low levels of </w:t>
      </w:r>
      <w:r w:rsidR="006C664C" w:rsidRPr="00016FA9">
        <w:t>δ</w:t>
      </w:r>
      <w:r w:rsidR="006C664C" w:rsidRPr="00016FA9">
        <w:rPr>
          <w:vertAlign w:val="superscript"/>
        </w:rPr>
        <w:t>15</w:t>
      </w:r>
      <w:r w:rsidR="006C664C" w:rsidRPr="00016FA9">
        <w:t>N</w:t>
      </w:r>
      <w:r w:rsidR="006C664C" w:rsidRPr="00016FA9">
        <w:rPr>
          <w:rStyle w:val="tlid-translation"/>
        </w:rPr>
        <w:t xml:space="preserve"> for both </w:t>
      </w:r>
      <w:r w:rsidR="006C664C" w:rsidRPr="00016FA9">
        <w:rPr>
          <w:rStyle w:val="tlid-translation"/>
          <w:b/>
        </w:rPr>
        <w:t>2</w:t>
      </w:r>
      <w:r w:rsidR="006C664C" w:rsidRPr="00016FA9">
        <w:rPr>
          <w:rStyle w:val="tlid-translation"/>
        </w:rPr>
        <w:t xml:space="preserve"> and three of the four </w:t>
      </w:r>
      <w:proofErr w:type="spellStart"/>
      <w:r w:rsidR="006C664C" w:rsidRPr="00016FA9">
        <w:rPr>
          <w:rStyle w:val="tlid-translation"/>
        </w:rPr>
        <w:t>cumylamines</w:t>
      </w:r>
      <w:proofErr w:type="spellEnd"/>
      <w:r w:rsidR="006C664C" w:rsidRPr="00016FA9">
        <w:rPr>
          <w:rStyle w:val="tlid-translation"/>
        </w:rPr>
        <w:t xml:space="preserve"> </w:t>
      </w:r>
      <w:r w:rsidR="00016FA9">
        <w:rPr>
          <w:rStyle w:val="tlid-translation"/>
        </w:rPr>
        <w:t>validate our assumed synthesis procedure involving this precursor, especially considering the</w:t>
      </w:r>
      <w:r w:rsidR="00016FA9" w:rsidRPr="00016FA9">
        <w:rPr>
          <w:rStyle w:val="tlid-translation"/>
        </w:rPr>
        <w:t xml:space="preserve"> </w:t>
      </w:r>
      <w:r w:rsidR="00016FA9">
        <w:rPr>
          <w:rStyle w:val="tlid-translation"/>
        </w:rPr>
        <w:t>low values of -</w:t>
      </w:r>
      <w:r w:rsidR="00016FA9" w:rsidRPr="00016FA9">
        <w:t xml:space="preserve">40.77 </w:t>
      </w:r>
      <w:r w:rsidR="00016FA9" w:rsidRPr="00016FA9">
        <w:rPr>
          <w:rFonts w:cstheme="minorHAnsi"/>
        </w:rPr>
        <w:t>‰ for</w:t>
      </w:r>
      <w:r w:rsidR="00016FA9" w:rsidRPr="00016FA9">
        <w:t xml:space="preserve"> δ</w:t>
      </w:r>
      <w:r w:rsidR="00016FA9" w:rsidRPr="00016FA9">
        <w:rPr>
          <w:vertAlign w:val="superscript"/>
        </w:rPr>
        <w:t>13</w:t>
      </w:r>
      <w:r w:rsidR="00016FA9" w:rsidRPr="00016FA9">
        <w:t xml:space="preserve">C and -19.05 </w:t>
      </w:r>
      <w:r w:rsidR="00016FA9">
        <w:t>for</w:t>
      </w:r>
      <w:r w:rsidR="00016FA9" w:rsidRPr="00016FA9">
        <w:rPr>
          <w:rFonts w:cstheme="minorHAnsi"/>
        </w:rPr>
        <w:t xml:space="preserve"> </w:t>
      </w:r>
      <w:r w:rsidR="00016FA9" w:rsidRPr="00016FA9">
        <w:t>δ</w:t>
      </w:r>
      <w:r w:rsidR="00016FA9" w:rsidRPr="00016FA9">
        <w:rPr>
          <w:vertAlign w:val="superscript"/>
        </w:rPr>
        <w:t>15</w:t>
      </w:r>
      <w:r w:rsidR="00016FA9" w:rsidRPr="00016FA9">
        <w:t>N</w:t>
      </w:r>
      <w:r w:rsidR="00016FA9">
        <w:t xml:space="preserve"> of the cumylamine from </w:t>
      </w:r>
      <w:proofErr w:type="spellStart"/>
      <w:r w:rsidR="00016FA9">
        <w:t>Acella</w:t>
      </w:r>
      <w:proofErr w:type="spellEnd"/>
      <w:r w:rsidR="00016FA9">
        <w:t xml:space="preserve">. </w:t>
      </w:r>
    </w:p>
    <w:p w14:paraId="2D08FD41" w14:textId="77777777" w:rsidR="004F2BE6" w:rsidRPr="00506708" w:rsidRDefault="004F2BE6" w:rsidP="00F3279A">
      <w:pPr>
        <w:spacing w:line="480" w:lineRule="auto"/>
      </w:pPr>
    </w:p>
    <w:p w14:paraId="080F1DD7" w14:textId="3ADDBC17" w:rsidR="00577CFF" w:rsidRPr="00577CFF" w:rsidRDefault="002D008C" w:rsidP="00F3279A">
      <w:pPr>
        <w:spacing w:line="480" w:lineRule="auto"/>
        <w:rPr>
          <w:i/>
        </w:rPr>
      </w:pPr>
      <w:r>
        <w:rPr>
          <w:i/>
        </w:rPr>
        <w:t xml:space="preserve">3.4 </w:t>
      </w:r>
      <w:r w:rsidR="00D24246">
        <w:rPr>
          <w:i/>
        </w:rPr>
        <w:t xml:space="preserve">Impurity profiling and </w:t>
      </w:r>
      <w:r w:rsidR="00B47BB0">
        <w:rPr>
          <w:i/>
        </w:rPr>
        <w:t>i</w:t>
      </w:r>
      <w:r w:rsidR="00577CFF" w:rsidRPr="008E13D5">
        <w:rPr>
          <w:i/>
        </w:rPr>
        <w:t>sotope ratios</w:t>
      </w:r>
      <w:r w:rsidR="00D24246">
        <w:rPr>
          <w:i/>
        </w:rPr>
        <w:t xml:space="preserve"> and</w:t>
      </w:r>
      <w:r w:rsidR="00577CFF" w:rsidRPr="008E13D5">
        <w:rPr>
          <w:i/>
        </w:rPr>
        <w:t xml:space="preserve"> of </w:t>
      </w:r>
      <w:r w:rsidR="00577CFF">
        <w:rPr>
          <w:i/>
        </w:rPr>
        <w:t>“Spice-Products” of MDMB-CHMICA</w:t>
      </w:r>
    </w:p>
    <w:p w14:paraId="4AB1C2A3" w14:textId="62523F13" w:rsidR="00F43370" w:rsidRDefault="00577CFF" w:rsidP="00F3279A">
      <w:pPr>
        <w:spacing w:line="480" w:lineRule="auto"/>
      </w:pPr>
      <w:r>
        <w:t xml:space="preserve">Via IRMS analysis of </w:t>
      </w:r>
      <w:r w:rsidR="00F43370">
        <w:t xml:space="preserve">police </w:t>
      </w:r>
      <w:r>
        <w:t xml:space="preserve">seizures </w:t>
      </w:r>
      <w:r w:rsidR="00F43370">
        <w:t>and</w:t>
      </w:r>
      <w:r>
        <w:t xml:space="preserve"> online test-purchases of </w:t>
      </w:r>
      <w:r w:rsidR="00F15207">
        <w:t>SPs</w:t>
      </w:r>
      <w:r>
        <w:t xml:space="preserve">, in our case with focus on </w:t>
      </w:r>
      <w:r>
        <w:rPr>
          <w:b/>
        </w:rPr>
        <w:t>1</w:t>
      </w:r>
      <w:r>
        <w:t xml:space="preserve">, links between samples with </w:t>
      </w:r>
      <w:r w:rsidR="00132D60">
        <w:t>synthetic cannabinoids</w:t>
      </w:r>
      <w:r>
        <w:t xml:space="preserve"> of a common source can be generated. </w:t>
      </w:r>
      <w:r w:rsidR="00F43370">
        <w:t>These</w:t>
      </w:r>
      <w:r>
        <w:t xml:space="preserve"> links </w:t>
      </w:r>
      <w:r w:rsidR="0002097F">
        <w:t>do</w:t>
      </w:r>
      <w:r>
        <w:t xml:space="preserve"> not </w:t>
      </w:r>
      <w:r w:rsidR="00F43370">
        <w:t xml:space="preserve">necessary </w:t>
      </w:r>
      <w:r w:rsidR="0002097F">
        <w:t>describe co-operations between</w:t>
      </w:r>
      <w:r>
        <w:t xml:space="preserve"> specific internet-shops or single SP brands, but provide a </w:t>
      </w:r>
      <w:r w:rsidR="00FA10B0">
        <w:t>bigger-picture</w:t>
      </w:r>
      <w:r>
        <w:t xml:space="preserve"> of the relationships between all available</w:t>
      </w:r>
      <w:r w:rsidR="00F15207">
        <w:t xml:space="preserve"> SP</w:t>
      </w:r>
      <w:r>
        <w:t xml:space="preserve"> samples of </w:t>
      </w:r>
      <w:r>
        <w:rPr>
          <w:b/>
        </w:rPr>
        <w:t>1</w:t>
      </w:r>
      <w:r>
        <w:t xml:space="preserve">. </w:t>
      </w:r>
    </w:p>
    <w:p w14:paraId="3198E48E" w14:textId="5E05BB0F" w:rsidR="001E6670" w:rsidRDefault="00F43370" w:rsidP="00F3279A">
      <w:pPr>
        <w:spacing w:line="480" w:lineRule="auto"/>
        <w:rPr>
          <w:rStyle w:val="tlid-translation"/>
        </w:rPr>
      </w:pPr>
      <w:r w:rsidRPr="00F43370">
        <w:t>All samples of</w:t>
      </w:r>
      <w:r>
        <w:rPr>
          <w:b/>
        </w:rPr>
        <w:t xml:space="preserve"> </w:t>
      </w:r>
      <w:r w:rsidRPr="00F43370">
        <w:rPr>
          <w:b/>
        </w:rPr>
        <w:t>1</w:t>
      </w:r>
      <w:r>
        <w:t xml:space="preserve"> extracted from SP </w:t>
      </w:r>
      <w:r w:rsidR="00B34B0C">
        <w:rPr>
          <w:lang w:val="en"/>
        </w:rPr>
        <w:t xml:space="preserve">ranged from </w:t>
      </w:r>
      <w:r w:rsidR="00035A8C">
        <w:t>-27.83 to -26.37</w:t>
      </w:r>
      <w:r w:rsidR="00B8270A">
        <w:t xml:space="preserve"> </w:t>
      </w:r>
      <w:r w:rsidR="00B8270A">
        <w:rPr>
          <w:rFonts w:cstheme="minorHAnsi"/>
        </w:rPr>
        <w:t>‰</w:t>
      </w:r>
      <w:r w:rsidR="00035A8C">
        <w:rPr>
          <w:rFonts w:cstheme="minorHAnsi"/>
        </w:rPr>
        <w:t xml:space="preserve"> </w:t>
      </w:r>
      <w:r w:rsidR="00035A8C">
        <w:rPr>
          <w:rFonts w:cstheme="minorHAnsi"/>
          <w:lang w:val="en"/>
        </w:rPr>
        <w:t xml:space="preserve">(Δ </w:t>
      </w:r>
      <w:r w:rsidR="00035A8C">
        <w:t xml:space="preserve">1.46 </w:t>
      </w:r>
      <w:r w:rsidR="00035A8C">
        <w:rPr>
          <w:rFonts w:cstheme="minorHAnsi"/>
          <w:lang w:val="en"/>
        </w:rPr>
        <w:t>‰)</w:t>
      </w:r>
      <w:r w:rsidR="00B8270A">
        <w:rPr>
          <w:rFonts w:cstheme="minorHAnsi"/>
        </w:rPr>
        <w:t xml:space="preserve"> for </w:t>
      </w:r>
      <w:r w:rsidR="00B8270A" w:rsidRPr="0026480B">
        <w:t>δ</w:t>
      </w:r>
      <w:r w:rsidR="00B8270A" w:rsidRPr="0026480B">
        <w:rPr>
          <w:vertAlign w:val="superscript"/>
        </w:rPr>
        <w:t>13</w:t>
      </w:r>
      <w:r w:rsidR="00B8270A" w:rsidRPr="0026480B">
        <w:t>C</w:t>
      </w:r>
      <w:r w:rsidR="00B8270A">
        <w:t xml:space="preserve"> and </w:t>
      </w:r>
      <w:r w:rsidR="00035A8C">
        <w:t>3.29</w:t>
      </w:r>
      <w:r w:rsidR="00B8270A">
        <w:t xml:space="preserve"> to </w:t>
      </w:r>
      <w:r w:rsidR="00035A8C">
        <w:t>5.39</w:t>
      </w:r>
      <w:r w:rsidR="00B8270A">
        <w:rPr>
          <w:lang w:val="en"/>
        </w:rPr>
        <w:t xml:space="preserve"> </w:t>
      </w:r>
      <w:r w:rsidR="00B8270A">
        <w:rPr>
          <w:rFonts w:cstheme="minorHAnsi"/>
          <w:lang w:val="en"/>
        </w:rPr>
        <w:t>‰</w:t>
      </w:r>
      <w:r w:rsidR="00B8270A">
        <w:rPr>
          <w:lang w:val="en"/>
        </w:rPr>
        <w:t xml:space="preserve"> </w:t>
      </w:r>
      <w:r w:rsidR="00035A8C">
        <w:rPr>
          <w:rFonts w:cstheme="minorHAnsi"/>
          <w:lang w:val="en"/>
        </w:rPr>
        <w:t xml:space="preserve">(Δ </w:t>
      </w:r>
      <w:r w:rsidR="00035A8C">
        <w:t xml:space="preserve">2.10 </w:t>
      </w:r>
      <w:r w:rsidR="00035A8C">
        <w:rPr>
          <w:rFonts w:cstheme="minorHAnsi"/>
          <w:lang w:val="en"/>
        </w:rPr>
        <w:t>‰)</w:t>
      </w:r>
      <w:r w:rsidR="00035A8C">
        <w:rPr>
          <w:lang w:val="en"/>
        </w:rPr>
        <w:t xml:space="preserve"> </w:t>
      </w:r>
      <w:r w:rsidR="00B8270A" w:rsidRPr="00E359EF">
        <w:rPr>
          <w:lang w:val="en"/>
        </w:rPr>
        <w:t xml:space="preserve">for </w:t>
      </w:r>
      <w:r w:rsidR="00B8270A" w:rsidRPr="00E359EF">
        <w:t>δ</w:t>
      </w:r>
      <w:r w:rsidR="00B8270A" w:rsidRPr="00E359EF">
        <w:rPr>
          <w:vertAlign w:val="superscript"/>
        </w:rPr>
        <w:t>15</w:t>
      </w:r>
      <w:r w:rsidR="00B8270A" w:rsidRPr="00E359EF">
        <w:t>N</w:t>
      </w:r>
      <w:r w:rsidR="00B34B0C" w:rsidRPr="00E359EF">
        <w:t xml:space="preserve"> (Table </w:t>
      </w:r>
      <w:r w:rsidR="00E359EF" w:rsidRPr="00E359EF">
        <w:t>A.3</w:t>
      </w:r>
      <w:r w:rsidR="00B34B0C" w:rsidRPr="00E359EF">
        <w:t xml:space="preserve">, Figure </w:t>
      </w:r>
      <w:r w:rsidR="00E359EF" w:rsidRPr="00E359EF">
        <w:t>6</w:t>
      </w:r>
      <w:r w:rsidR="00B34B0C" w:rsidRPr="00E359EF">
        <w:t xml:space="preserve">). </w:t>
      </w:r>
      <w:r w:rsidR="00035A8C" w:rsidRPr="00E359EF">
        <w:t>Three agglomerations of samples can be observed.</w:t>
      </w:r>
      <w:r w:rsidR="00EE265C" w:rsidRPr="00E359EF">
        <w:t xml:space="preserve"> </w:t>
      </w:r>
      <w:r w:rsidR="001E6670" w:rsidRPr="00E359EF">
        <w:rPr>
          <w:rStyle w:val="tlid-translation"/>
        </w:rPr>
        <w:t xml:space="preserve">The agglomerate nomenclature in the following discussion is dependent on which </w:t>
      </w:r>
      <w:r w:rsidR="00190423">
        <w:rPr>
          <w:rStyle w:val="tlid-translation"/>
        </w:rPr>
        <w:t xml:space="preserve">of the following </w:t>
      </w:r>
      <w:r w:rsidR="001E6670" w:rsidRPr="00E359EF">
        <w:rPr>
          <w:rStyle w:val="tlid-translation"/>
        </w:rPr>
        <w:t>Figure</w:t>
      </w:r>
      <w:r w:rsidR="00190423">
        <w:rPr>
          <w:rStyle w:val="tlid-translation"/>
        </w:rPr>
        <w:t xml:space="preserve">s (Figure 6 or Figure 7) </w:t>
      </w:r>
      <w:r w:rsidR="001E6670" w:rsidRPr="00E359EF">
        <w:rPr>
          <w:rStyle w:val="tlid-translation"/>
        </w:rPr>
        <w:t xml:space="preserve"> is referred to</w:t>
      </w:r>
      <w:r w:rsidR="00190423">
        <w:rPr>
          <w:rStyle w:val="tlid-translation"/>
        </w:rPr>
        <w:t>,</w:t>
      </w:r>
      <w:r w:rsidR="001E6670" w:rsidRPr="00E359EF">
        <w:rPr>
          <w:rStyle w:val="tlid-translation"/>
        </w:rPr>
        <w:t xml:space="preserve"> as the combined information of both Figures might be discussed (A-C: The agglomerates as such, A</w:t>
      </w:r>
      <w:r w:rsidR="001E6670" w:rsidRPr="00E359EF">
        <w:rPr>
          <w:rStyle w:val="tlid-translation"/>
          <w:vertAlign w:val="subscript"/>
        </w:rPr>
        <w:t>1</w:t>
      </w:r>
      <w:r w:rsidR="001E6670" w:rsidRPr="00E359EF">
        <w:rPr>
          <w:rStyle w:val="tlid-translation"/>
        </w:rPr>
        <w:t>-C</w:t>
      </w:r>
      <w:r w:rsidR="001E6670" w:rsidRPr="00E359EF">
        <w:rPr>
          <w:rStyle w:val="tlid-translation"/>
          <w:vertAlign w:val="subscript"/>
        </w:rPr>
        <w:t>1</w:t>
      </w:r>
      <w:r w:rsidR="001E6670" w:rsidRPr="00E359EF">
        <w:rPr>
          <w:rStyle w:val="tlid-translation"/>
        </w:rPr>
        <w:t xml:space="preserve">: Figure </w:t>
      </w:r>
      <w:r w:rsidR="00E359EF" w:rsidRPr="00E359EF">
        <w:rPr>
          <w:rStyle w:val="tlid-translation"/>
        </w:rPr>
        <w:t>6</w:t>
      </w:r>
      <w:r w:rsidR="001E6670" w:rsidRPr="00E359EF">
        <w:rPr>
          <w:rStyle w:val="tlid-translation"/>
        </w:rPr>
        <w:t xml:space="preserve"> </w:t>
      </w:r>
      <w:r w:rsidR="007A78ED" w:rsidRPr="00E359EF">
        <w:rPr>
          <w:rStyle w:val="tlid-translation"/>
        </w:rPr>
        <w:t xml:space="preserve">showing the IRMS data including </w:t>
      </w:r>
      <w:r w:rsidR="001E6670" w:rsidRPr="00E359EF">
        <w:rPr>
          <w:rStyle w:val="tlid-translation"/>
        </w:rPr>
        <w:t>the time correlation, A</w:t>
      </w:r>
      <w:r w:rsidR="001E6670" w:rsidRPr="00E359EF">
        <w:rPr>
          <w:rStyle w:val="tlid-translation"/>
          <w:vertAlign w:val="subscript"/>
        </w:rPr>
        <w:t>2</w:t>
      </w:r>
      <w:r w:rsidR="001E6670" w:rsidRPr="00E359EF">
        <w:rPr>
          <w:rStyle w:val="tlid-translation"/>
        </w:rPr>
        <w:t>-C</w:t>
      </w:r>
      <w:r w:rsidR="001E6670" w:rsidRPr="00E359EF">
        <w:rPr>
          <w:rStyle w:val="tlid-translation"/>
          <w:vertAlign w:val="subscript"/>
        </w:rPr>
        <w:t>2</w:t>
      </w:r>
      <w:r w:rsidR="001E6670" w:rsidRPr="00E359EF">
        <w:rPr>
          <w:rStyle w:val="tlid-translation"/>
        </w:rPr>
        <w:t xml:space="preserve">: Figure </w:t>
      </w:r>
      <w:r w:rsidR="00E359EF" w:rsidRPr="00E359EF">
        <w:rPr>
          <w:rStyle w:val="tlid-translation"/>
        </w:rPr>
        <w:t>7</w:t>
      </w:r>
      <w:r w:rsidR="001E6670" w:rsidRPr="00E359EF">
        <w:rPr>
          <w:rStyle w:val="tlid-translation"/>
        </w:rPr>
        <w:t xml:space="preserve"> showing the</w:t>
      </w:r>
      <w:r w:rsidR="007A78ED" w:rsidRPr="00E359EF">
        <w:rPr>
          <w:rStyle w:val="tlid-translation"/>
        </w:rPr>
        <w:t xml:space="preserve"> same IRMS data, this time including sub-clustering according to the</w:t>
      </w:r>
      <w:r w:rsidR="001E6670" w:rsidRPr="00E359EF">
        <w:rPr>
          <w:rStyle w:val="tlid-translation"/>
        </w:rPr>
        <w:t xml:space="preserve"> impurity profiling). For all nomenclatures, the same set</w:t>
      </w:r>
      <w:r w:rsidR="001E6670">
        <w:rPr>
          <w:rStyle w:val="tlid-translation"/>
        </w:rPr>
        <w:t xml:space="preserve"> of samples are described. </w:t>
      </w:r>
    </w:p>
    <w:p w14:paraId="10D2E0AF" w14:textId="36816EC9" w:rsidR="00CB58F8" w:rsidRDefault="00EE265C" w:rsidP="00F3279A">
      <w:pPr>
        <w:spacing w:line="480" w:lineRule="auto"/>
      </w:pPr>
      <w:r>
        <w:t xml:space="preserve">The branding and origin of samples in each of these agglomerates are highly diverse, e.g. some of the SP were police seizures in mail items and </w:t>
      </w:r>
      <w:r w:rsidR="004761B5">
        <w:t>search of persons</w:t>
      </w:r>
      <w:r>
        <w:t xml:space="preserve"> and other were test-purchases in online shops.</w:t>
      </w:r>
      <w:r w:rsidR="004761B5">
        <w:t xml:space="preserve"> Thus, the complete distribution channel between online-shop and customer is displayed</w:t>
      </w:r>
      <w:r w:rsidR="00B47BB0">
        <w:t xml:space="preserve"> by our sample collective</w:t>
      </w:r>
      <w:r w:rsidR="004761B5">
        <w:t>.</w:t>
      </w:r>
      <w:r>
        <w:t xml:space="preserve"> </w:t>
      </w:r>
      <w:r w:rsidR="009B17E7">
        <w:t>Interpretation of isotopic data was aided by implementing the dates of online test-purchase or date of seizure. All SPs were labelled in intervals of five month</w:t>
      </w:r>
      <w:r w:rsidR="00010927">
        <w:t>s</w:t>
      </w:r>
      <w:r w:rsidR="009B17E7">
        <w:t>, starting from September 2014 until December 2015. It should be kept in mind that this</w:t>
      </w:r>
      <w:r w:rsidR="009B17E7">
        <w:rPr>
          <w:lang w:val="en"/>
        </w:rPr>
        <w:t xml:space="preserve"> timely classification is dependent on the acquisition date of samples and is not a description of the actual date of synthesis. The online-market is regulated by demand and some products sell faster than others do, thus SP with “old” material of </w:t>
      </w:r>
      <w:r w:rsidR="009B17E7">
        <w:rPr>
          <w:b/>
          <w:lang w:val="en"/>
        </w:rPr>
        <w:t>1</w:t>
      </w:r>
      <w:r w:rsidR="009B17E7">
        <w:rPr>
          <w:lang w:val="en"/>
        </w:rPr>
        <w:t xml:space="preserve"> might be sold month after the initial production of the SP or </w:t>
      </w:r>
      <w:r w:rsidR="00B47BB0">
        <w:rPr>
          <w:lang w:val="en"/>
        </w:rPr>
        <w:t xml:space="preserve">the corresponding </w:t>
      </w:r>
      <w:r w:rsidR="009B17E7">
        <w:rPr>
          <w:lang w:val="en"/>
        </w:rPr>
        <w:t xml:space="preserve">synthesis. </w:t>
      </w:r>
      <w:r w:rsidR="000773B7">
        <w:rPr>
          <w:rStyle w:val="tlid-translation"/>
        </w:rPr>
        <w:t>Agglomerate B</w:t>
      </w:r>
      <w:r w:rsidR="00AC1AAB" w:rsidRPr="00AC1AAB">
        <w:rPr>
          <w:rStyle w:val="tlid-translation"/>
          <w:vertAlign w:val="subscript"/>
        </w:rPr>
        <w:t>1</w:t>
      </w:r>
      <w:r w:rsidR="009B17E7">
        <w:rPr>
          <w:rStyle w:val="tlid-translation"/>
        </w:rPr>
        <w:t xml:space="preserve"> </w:t>
      </w:r>
      <w:r w:rsidR="00190423">
        <w:rPr>
          <w:rStyle w:val="tlid-translation"/>
        </w:rPr>
        <w:t xml:space="preserve">in Figure 6 </w:t>
      </w:r>
      <w:r w:rsidR="009B17E7">
        <w:rPr>
          <w:rStyle w:val="tlid-translation"/>
        </w:rPr>
        <w:t>show</w:t>
      </w:r>
      <w:r w:rsidR="000773B7">
        <w:rPr>
          <w:rStyle w:val="tlid-translation"/>
        </w:rPr>
        <w:t>s</w:t>
      </w:r>
      <w:r w:rsidR="009B17E7">
        <w:rPr>
          <w:rStyle w:val="tlid-translation"/>
        </w:rPr>
        <w:t xml:space="preserve"> a</w:t>
      </w:r>
      <w:r w:rsidR="008E09E8">
        <w:rPr>
          <w:rStyle w:val="tlid-translation"/>
        </w:rPr>
        <w:t>n</w:t>
      </w:r>
      <w:r w:rsidR="009B17E7">
        <w:rPr>
          <w:rStyle w:val="tlid-translation"/>
        </w:rPr>
        <w:t xml:space="preserve"> isotopic composition within the range of the already identified clusters of the large seizure by Luxembourg customs </w:t>
      </w:r>
      <w:r w:rsidR="009B17E7">
        <w:rPr>
          <w:rStyle w:val="tlid-translation"/>
        </w:rPr>
        <w:lastRenderedPageBreak/>
        <w:t xml:space="preserve">with approximately 3.6 </w:t>
      </w:r>
      <w:r w:rsidR="009B17E7">
        <w:rPr>
          <w:rStyle w:val="tlid-translation"/>
          <w:rFonts w:cstheme="minorHAnsi"/>
        </w:rPr>
        <w:t>‰</w:t>
      </w:r>
      <w:r w:rsidR="009B17E7">
        <w:rPr>
          <w:rStyle w:val="tlid-translation"/>
        </w:rPr>
        <w:t xml:space="preserve"> for </w:t>
      </w:r>
      <w:r w:rsidR="009B17E7" w:rsidRPr="0026480B">
        <w:t>δ</w:t>
      </w:r>
      <w:r w:rsidR="009B17E7" w:rsidRPr="0026480B">
        <w:rPr>
          <w:vertAlign w:val="superscript"/>
        </w:rPr>
        <w:t>15</w:t>
      </w:r>
      <w:r w:rsidR="009B17E7" w:rsidRPr="0026480B">
        <w:t>N</w:t>
      </w:r>
      <w:r w:rsidR="009B17E7">
        <w:t xml:space="preserve">. Aliquots of pure material of </w:t>
      </w:r>
      <w:r w:rsidR="009B17E7">
        <w:rPr>
          <w:b/>
        </w:rPr>
        <w:t>1</w:t>
      </w:r>
      <w:r w:rsidR="009B17E7">
        <w:t xml:space="preserve"> with this distinct isotopic composition, most probably from the same respective manufacturer, </w:t>
      </w:r>
      <w:r w:rsidR="00BA4C1F">
        <w:t>might be</w:t>
      </w:r>
      <w:r w:rsidR="009B17E7">
        <w:t xml:space="preserve"> shipped in larger quantities to Europe either before or after the seizure in Luxembourg was made. The majority of SPs in this isotopic range were bought or seized in the late 2014 and early 2015 (the Luxembourg seizure was December 2014). </w:t>
      </w:r>
      <w:r w:rsidR="002D4DC5">
        <w:t>Agglomerate C</w:t>
      </w:r>
      <w:r w:rsidR="00AC1AAB" w:rsidRPr="00AC1AAB">
        <w:rPr>
          <w:vertAlign w:val="subscript"/>
        </w:rPr>
        <w:t>1</w:t>
      </w:r>
      <w:r w:rsidR="002D4DC5" w:rsidRPr="00AC1AAB">
        <w:rPr>
          <w:vertAlign w:val="subscript"/>
        </w:rPr>
        <w:t xml:space="preserve"> </w:t>
      </w:r>
      <w:r w:rsidR="000424F9">
        <w:t>primarily</w:t>
      </w:r>
      <w:r w:rsidR="002D4DC5">
        <w:t xml:space="preserve"> consists of samples seized or bought between </w:t>
      </w:r>
      <w:r>
        <w:t>March</w:t>
      </w:r>
      <w:r w:rsidR="002D4DC5">
        <w:t xml:space="preserve"> and </w:t>
      </w:r>
      <w:r>
        <w:t>July 2015</w:t>
      </w:r>
      <w:r w:rsidR="000424F9">
        <w:t>, whereas agglomerate A</w:t>
      </w:r>
      <w:r w:rsidR="00AC1AAB">
        <w:rPr>
          <w:vertAlign w:val="subscript"/>
        </w:rPr>
        <w:t>1</w:t>
      </w:r>
      <w:r w:rsidR="000424F9">
        <w:t xml:space="preserve"> mainly comprises samples from the period from August to December 2015. </w:t>
      </w:r>
      <w:r w:rsidR="002754B1">
        <w:t xml:space="preserve">As mentioned before, this timely classification is not exact, however, a tendency of agglomeration of samples from similar periods can be observed. Possibly, each agglomerate represents one or multiple synthesis batches similar to the seizure in Luxembourg, which were delivered </w:t>
      </w:r>
      <w:r w:rsidR="00A126B9">
        <w:t xml:space="preserve">by a single manufacturer </w:t>
      </w:r>
      <w:r w:rsidR="002754B1">
        <w:t xml:space="preserve">to the European market in intervals in the course of the years 2014 and 2015. </w:t>
      </w:r>
      <w:r w:rsidR="007853A4">
        <w:t xml:space="preserve">This conclusion has several implications on larger scale: </w:t>
      </w:r>
      <w:r w:rsidR="002754B1">
        <w:t>Keeping in mind that each agglomerate consists of samples from different internet-shops and seizures, incl</w:t>
      </w:r>
      <w:r w:rsidR="007853A4">
        <w:t>uding a large variability of</w:t>
      </w:r>
      <w:r w:rsidR="002754B1">
        <w:t xml:space="preserve"> product brands, </w:t>
      </w:r>
      <w:r w:rsidR="007853A4">
        <w:t>s</w:t>
      </w:r>
      <w:r w:rsidR="002754B1">
        <w:t xml:space="preserve">ingle larger shipments </w:t>
      </w:r>
      <w:r w:rsidR="007853A4">
        <w:t>would need to</w:t>
      </w:r>
      <w:r w:rsidR="002754B1">
        <w:t xml:space="preserve"> be distributed amongst the European SP </w:t>
      </w:r>
      <w:r w:rsidR="007853A4">
        <w:t xml:space="preserve">producers, who then use this specific </w:t>
      </w:r>
      <w:r w:rsidR="00B47BB0">
        <w:t>delivery/</w:t>
      </w:r>
      <w:r w:rsidR="007853A4">
        <w:t xml:space="preserve">batch of </w:t>
      </w:r>
      <w:r w:rsidR="007853A4">
        <w:rPr>
          <w:b/>
        </w:rPr>
        <w:t>1</w:t>
      </w:r>
      <w:r w:rsidR="007853A4">
        <w:t xml:space="preserve"> for their </w:t>
      </w:r>
      <w:r w:rsidR="00B47BB0">
        <w:t>SP</w:t>
      </w:r>
      <w:r w:rsidR="007853A4">
        <w:t xml:space="preserve"> in a given period</w:t>
      </w:r>
      <w:r w:rsidR="002754B1">
        <w:t xml:space="preserve">. The pre-packaging in 1 kg bags of the 40 kg </w:t>
      </w:r>
      <w:r w:rsidR="00B47BB0">
        <w:t xml:space="preserve">from Luxembourg </w:t>
      </w:r>
      <w:r w:rsidR="002754B1">
        <w:t>is an indication for the intention of reselling or distributing single bags</w:t>
      </w:r>
      <w:r w:rsidR="00D67D04">
        <w:t xml:space="preserve"> of pure material</w:t>
      </w:r>
      <w:r w:rsidR="002754B1">
        <w:t xml:space="preserve"> to </w:t>
      </w:r>
      <w:r w:rsidR="007853A4">
        <w:t>multiple</w:t>
      </w:r>
      <w:r w:rsidR="002754B1">
        <w:t xml:space="preserve"> SP producers. </w:t>
      </w:r>
      <w:r w:rsidR="007853A4">
        <w:t>That again implies that the majority of SP producers have some kind of co-operation or internal distribution network, at least for ordering</w:t>
      </w:r>
      <w:r w:rsidR="00A126B9">
        <w:t xml:space="preserve"> and distributing</w:t>
      </w:r>
      <w:r w:rsidR="007853A4">
        <w:t xml:space="preserve"> new pure material from the original manufacturer. Hypothetically, </w:t>
      </w:r>
      <w:r w:rsidR="00CB58F8">
        <w:t>placing</w:t>
      </w:r>
      <w:r w:rsidR="007853A4">
        <w:t xml:space="preserve"> the </w:t>
      </w:r>
      <w:r w:rsidR="00CB58F8">
        <w:t xml:space="preserve">delivery order of material in each </w:t>
      </w:r>
      <w:r w:rsidR="005B2EF9">
        <w:t>agglomerate</w:t>
      </w:r>
      <w:r w:rsidR="007853A4">
        <w:t xml:space="preserve"> into a rough</w:t>
      </w:r>
      <w:r w:rsidR="00CB58F8">
        <w:t xml:space="preserve"> timeline</w:t>
      </w:r>
      <w:r w:rsidR="00B47BB0">
        <w:t xml:space="preserve"> according to the date of purchase or seizure for their respective samples</w:t>
      </w:r>
      <w:r w:rsidR="00CB58F8">
        <w:t>, B</w:t>
      </w:r>
      <w:r w:rsidR="00AC1AAB">
        <w:rPr>
          <w:vertAlign w:val="subscript"/>
        </w:rPr>
        <w:t>1</w:t>
      </w:r>
      <w:r w:rsidR="00CB58F8">
        <w:t xml:space="preserve"> would be the first</w:t>
      </w:r>
      <w:r w:rsidR="00B47BB0">
        <w:t xml:space="preserve"> delivery that reached Europe</w:t>
      </w:r>
      <w:r w:rsidR="00CB58F8">
        <w:t>, C</w:t>
      </w:r>
      <w:r w:rsidR="00AC1AAB">
        <w:rPr>
          <w:vertAlign w:val="subscript"/>
        </w:rPr>
        <w:t>1</w:t>
      </w:r>
      <w:r w:rsidR="00CB58F8">
        <w:t xml:space="preserve"> the second, and A</w:t>
      </w:r>
      <w:r w:rsidR="00AC1AAB">
        <w:rPr>
          <w:vertAlign w:val="subscript"/>
        </w:rPr>
        <w:t>1</w:t>
      </w:r>
      <w:r w:rsidR="00CB58F8">
        <w:t xml:space="preserve"> the most recent.</w:t>
      </w:r>
      <w:r w:rsidR="007853A4">
        <w:t xml:space="preserve"> </w:t>
      </w:r>
      <w:r w:rsidR="00CB58F8">
        <w:t>However, with this classification and no further data, it is difficult to explain the presence of samples from the period September 2014 to February 2015 in agglomerate A</w:t>
      </w:r>
      <w:r w:rsidR="00AC1AAB">
        <w:rPr>
          <w:vertAlign w:val="subscript"/>
        </w:rPr>
        <w:t>1</w:t>
      </w:r>
      <w:r w:rsidR="00CB58F8">
        <w:t xml:space="preserve">. </w:t>
      </w:r>
    </w:p>
    <w:p w14:paraId="2B09EFE1" w14:textId="09E1AC0F" w:rsidR="0026242D" w:rsidRPr="0026242D" w:rsidRDefault="00A126B9" w:rsidP="00F3279A">
      <w:pPr>
        <w:spacing w:line="480" w:lineRule="auto"/>
      </w:pPr>
      <w:r>
        <w:rPr>
          <w:rStyle w:val="tlid-translation"/>
        </w:rPr>
        <w:t xml:space="preserve">Therefore, as for the seizure of 40 kg pure </w:t>
      </w:r>
      <w:r>
        <w:rPr>
          <w:rStyle w:val="tlid-translation"/>
          <w:b/>
        </w:rPr>
        <w:t>1</w:t>
      </w:r>
      <w:r>
        <w:rPr>
          <w:rStyle w:val="tlid-translation"/>
        </w:rPr>
        <w:t>, an impurity profiling was carried out for all samples shown here in order to determine the fine structure of the dataset, with special interest in agglomerate A. Considering the hypothesis that each agglomerate represents a large shipment like the Luxembourg seizure, this shipment should include multiple synthesis batches. Our target was the identification of the individual batches in the agglomerates of isotopically indistinguishable samples. No reference material of multiple reaction batches under controlled conditions from the original manufacturer</w:t>
      </w:r>
      <w:r w:rsidRPr="00A126B9">
        <w:rPr>
          <w:rStyle w:val="tlid-translation"/>
        </w:rPr>
        <w:t xml:space="preserve"> </w:t>
      </w:r>
      <w:r w:rsidR="007953A7">
        <w:rPr>
          <w:rStyle w:val="tlid-translation"/>
        </w:rPr>
        <w:t>were</w:t>
      </w:r>
      <w:r>
        <w:rPr>
          <w:rStyle w:val="tlid-translation"/>
        </w:rPr>
        <w:t xml:space="preserve"> available which could </w:t>
      </w:r>
      <w:r>
        <w:rPr>
          <w:rStyle w:val="tlid-translation"/>
        </w:rPr>
        <w:lastRenderedPageBreak/>
        <w:t xml:space="preserve">provide a scientific </w:t>
      </w:r>
      <w:r w:rsidR="00017F15">
        <w:rPr>
          <w:rStyle w:val="tlid-translation"/>
        </w:rPr>
        <w:t>basis</w:t>
      </w:r>
      <w:r>
        <w:rPr>
          <w:rStyle w:val="tlid-translation"/>
        </w:rPr>
        <w:t xml:space="preserve"> to classify samples of unknown source into individual batches. Thus, we used the relative distance </w:t>
      </w:r>
      <w:r w:rsidR="00017F15">
        <w:rPr>
          <w:rStyle w:val="tlid-translation"/>
        </w:rPr>
        <w:t>set for the batch discrimination of the Luxembourg seizure as “calibration” for the here presented pool of SPs. The chromatographic impurity signatures of the previously assessed 15 key-impurities for both the Luxembourg seizure (</w:t>
      </w:r>
      <w:r w:rsidR="000919E6">
        <w:rPr>
          <w:rStyle w:val="tlid-translation"/>
        </w:rPr>
        <w:t>excluding</w:t>
      </w:r>
      <w:r w:rsidR="00017F15">
        <w:rPr>
          <w:rStyle w:val="tlid-translation"/>
        </w:rPr>
        <w:t xml:space="preserve"> the three outliers</w:t>
      </w:r>
      <w:r w:rsidR="000919E6">
        <w:rPr>
          <w:rStyle w:val="tlid-translation"/>
        </w:rPr>
        <w:t xml:space="preserve"> MDMB-14, MDMB-21 and MDMB-37</w:t>
      </w:r>
      <w:r w:rsidR="00017F15">
        <w:rPr>
          <w:rStyle w:val="tlid-translation"/>
        </w:rPr>
        <w:t>, as they would disrupt the chemometric model) and the individual SPs were analysed via PCA and</w:t>
      </w:r>
      <w:r w:rsidR="00155E1B">
        <w:rPr>
          <w:rStyle w:val="tlid-translation"/>
        </w:rPr>
        <w:t xml:space="preserve"> hierarchical cluster analysis</w:t>
      </w:r>
      <w:r w:rsidR="00017F15">
        <w:rPr>
          <w:rStyle w:val="tlid-translation"/>
        </w:rPr>
        <w:t xml:space="preserve">. </w:t>
      </w:r>
      <w:r w:rsidR="009F3B71">
        <w:rPr>
          <w:rStyle w:val="tlid-translation"/>
        </w:rPr>
        <w:t>In this model, t</w:t>
      </w:r>
      <w:r w:rsidR="00017F15">
        <w:rPr>
          <w:rStyle w:val="tlid-translation"/>
        </w:rPr>
        <w:t xml:space="preserve">he relative distance at which the </w:t>
      </w:r>
      <w:r w:rsidR="009F3B71">
        <w:rPr>
          <w:rStyle w:val="tlid-translation"/>
        </w:rPr>
        <w:t xml:space="preserve">thirty-seven samples from the </w:t>
      </w:r>
      <w:r w:rsidR="00017F15">
        <w:rPr>
          <w:rStyle w:val="tlid-translation"/>
        </w:rPr>
        <w:t xml:space="preserve">Luxembourg seizure </w:t>
      </w:r>
      <w:r w:rsidR="009F3B71">
        <w:rPr>
          <w:rStyle w:val="tlid-translation"/>
        </w:rPr>
        <w:t>were</w:t>
      </w:r>
      <w:r w:rsidR="00017F15">
        <w:rPr>
          <w:rStyle w:val="tlid-translation"/>
        </w:rPr>
        <w:t xml:space="preserve"> classified</w:t>
      </w:r>
      <w:r w:rsidR="000919E6">
        <w:rPr>
          <w:rStyle w:val="tlid-translation"/>
        </w:rPr>
        <w:t xml:space="preserve"> </w:t>
      </w:r>
      <w:r w:rsidR="00017F15">
        <w:rPr>
          <w:rStyle w:val="tlid-translation"/>
        </w:rPr>
        <w:t>into their individual</w:t>
      </w:r>
      <w:r w:rsidR="009F3B71">
        <w:rPr>
          <w:rStyle w:val="tlid-translation"/>
        </w:rPr>
        <w:t xml:space="preserve"> synthesis</w:t>
      </w:r>
      <w:r w:rsidR="00017F15">
        <w:rPr>
          <w:rStyle w:val="tlid-translation"/>
        </w:rPr>
        <w:t xml:space="preserve"> batches was also set as relative distance for the classification of SPs into individual batches. </w:t>
      </w:r>
      <w:r w:rsidR="008239EB">
        <w:rPr>
          <w:rStyle w:val="tlid-translation"/>
        </w:rPr>
        <w:t xml:space="preserve">This way, fourteen sub-clusters were identified </w:t>
      </w:r>
      <w:r w:rsidR="009F3B71">
        <w:rPr>
          <w:rStyle w:val="tlid-translation"/>
        </w:rPr>
        <w:t>for the 118 SPs,</w:t>
      </w:r>
      <w:r w:rsidR="00CD5909">
        <w:rPr>
          <w:rStyle w:val="tlid-translation"/>
        </w:rPr>
        <w:t xml:space="preserve"> </w:t>
      </w:r>
      <w:r w:rsidR="009F3B71">
        <w:rPr>
          <w:rStyle w:val="tlid-translation"/>
        </w:rPr>
        <w:t>which again were</w:t>
      </w:r>
      <w:r w:rsidR="00CD5909">
        <w:rPr>
          <w:rStyle w:val="tlid-translation"/>
        </w:rPr>
        <w:t xml:space="preserve"> implemented into the IRMS data to reveal the </w:t>
      </w:r>
      <w:r w:rsidR="009F3B71">
        <w:rPr>
          <w:rStyle w:val="tlid-translation"/>
        </w:rPr>
        <w:t>fine structure</w:t>
      </w:r>
      <w:r w:rsidR="00CD5909">
        <w:rPr>
          <w:rStyle w:val="tlid-translation"/>
        </w:rPr>
        <w:t xml:space="preserve"> of the three </w:t>
      </w:r>
      <w:r w:rsidR="009F3B71">
        <w:rPr>
          <w:rStyle w:val="tlid-translation"/>
        </w:rPr>
        <w:t xml:space="preserve">individual </w:t>
      </w:r>
      <w:r w:rsidR="00CD5909">
        <w:rPr>
          <w:rStyle w:val="tlid-translation"/>
        </w:rPr>
        <w:t xml:space="preserve">agglomerates, as shown in </w:t>
      </w:r>
      <w:r w:rsidR="005B2EF9">
        <w:rPr>
          <w:rStyle w:val="tlid-translation"/>
        </w:rPr>
        <w:t>the three zooms of agglomerate A,</w:t>
      </w:r>
      <w:r w:rsidR="007A78ED">
        <w:rPr>
          <w:rStyle w:val="tlid-translation"/>
        </w:rPr>
        <w:t xml:space="preserve"> </w:t>
      </w:r>
      <w:r w:rsidR="005B2EF9">
        <w:rPr>
          <w:rStyle w:val="tlid-translation"/>
        </w:rPr>
        <w:t xml:space="preserve">B </w:t>
      </w:r>
      <w:r w:rsidR="005B2EF9" w:rsidRPr="00E359EF">
        <w:rPr>
          <w:rStyle w:val="tlid-translation"/>
        </w:rPr>
        <w:t xml:space="preserve">and C in </w:t>
      </w:r>
      <w:r w:rsidR="00CD5909" w:rsidRPr="00E359EF">
        <w:rPr>
          <w:rStyle w:val="tlid-translation"/>
        </w:rPr>
        <w:t xml:space="preserve">Figure </w:t>
      </w:r>
      <w:r w:rsidR="00E359EF" w:rsidRPr="00E359EF">
        <w:rPr>
          <w:rStyle w:val="tlid-translation"/>
        </w:rPr>
        <w:t>7</w:t>
      </w:r>
      <w:r w:rsidR="008239EB" w:rsidRPr="00E359EF">
        <w:rPr>
          <w:rStyle w:val="tlid-translation"/>
        </w:rPr>
        <w:t>.</w:t>
      </w:r>
      <w:r w:rsidR="005B2EF9" w:rsidRPr="00E359EF">
        <w:rPr>
          <w:rStyle w:val="tlid-translation"/>
        </w:rPr>
        <w:t xml:space="preserve"> The impurity-profiling sub-cluster are numbered consecutively from 1 to 14 and coloured differently for each zoom, respecti</w:t>
      </w:r>
      <w:r w:rsidR="005B2EF9">
        <w:rPr>
          <w:rStyle w:val="tlid-translation"/>
        </w:rPr>
        <w:t>vely.</w:t>
      </w:r>
      <w:r w:rsidR="007953A7">
        <w:rPr>
          <w:rStyle w:val="tlid-translation"/>
        </w:rPr>
        <w:t xml:space="preserve"> </w:t>
      </w:r>
      <w:r w:rsidR="008239EB">
        <w:rPr>
          <w:rStyle w:val="tlid-translation"/>
        </w:rPr>
        <w:t>The samples located in one of the agglomerates in the IRMS data</w:t>
      </w:r>
      <w:r w:rsidR="007953A7">
        <w:rPr>
          <w:rStyle w:val="tlid-translation"/>
        </w:rPr>
        <w:t xml:space="preserve"> (A, B </w:t>
      </w:r>
      <w:r w:rsidR="005B2EF9">
        <w:rPr>
          <w:rStyle w:val="tlid-translation"/>
        </w:rPr>
        <w:t>or</w:t>
      </w:r>
      <w:r w:rsidR="007953A7">
        <w:rPr>
          <w:rStyle w:val="tlid-translation"/>
        </w:rPr>
        <w:t xml:space="preserve"> C)</w:t>
      </w:r>
      <w:r w:rsidR="008239EB">
        <w:rPr>
          <w:rStyle w:val="tlid-translation"/>
        </w:rPr>
        <w:t xml:space="preserve"> always clustered </w:t>
      </w:r>
      <w:r w:rsidR="004B7831">
        <w:rPr>
          <w:rStyle w:val="tlid-translation"/>
        </w:rPr>
        <w:t xml:space="preserve">in the impurity profiling </w:t>
      </w:r>
      <w:r w:rsidR="008239EB">
        <w:rPr>
          <w:rStyle w:val="tlid-translation"/>
        </w:rPr>
        <w:t xml:space="preserve">with other samples from the same agglomerates and never with </w:t>
      </w:r>
      <w:r w:rsidR="007953A7">
        <w:rPr>
          <w:rStyle w:val="tlid-translation"/>
        </w:rPr>
        <w:t>a</w:t>
      </w:r>
      <w:r w:rsidR="008239EB">
        <w:rPr>
          <w:rStyle w:val="tlid-translation"/>
        </w:rPr>
        <w:t xml:space="preserve"> sample from </w:t>
      </w:r>
      <w:r w:rsidR="007953A7">
        <w:rPr>
          <w:rStyle w:val="tlid-translation"/>
        </w:rPr>
        <w:t>one of the</w:t>
      </w:r>
      <w:r w:rsidR="008239EB">
        <w:rPr>
          <w:rStyle w:val="tlid-translation"/>
        </w:rPr>
        <w:t xml:space="preserve"> other two agglomerates. </w:t>
      </w:r>
      <w:r w:rsidR="004B7831">
        <w:rPr>
          <w:rStyle w:val="tlid-translation"/>
        </w:rPr>
        <w:t xml:space="preserve">That again validates the IRMS measurement </w:t>
      </w:r>
      <w:r w:rsidR="007D3A91">
        <w:rPr>
          <w:rStyle w:val="tlid-translation"/>
        </w:rPr>
        <w:t>accuracy to some extent</w:t>
      </w:r>
      <w:r w:rsidR="00522918">
        <w:rPr>
          <w:rStyle w:val="tlid-translation"/>
        </w:rPr>
        <w:t xml:space="preserve">, although </w:t>
      </w:r>
      <w:r w:rsidR="007D3A91">
        <w:rPr>
          <w:rStyle w:val="tlid-translation"/>
        </w:rPr>
        <w:t>a few deviations between impurity and isotopic data can be found, for example t</w:t>
      </w:r>
      <w:r w:rsidR="00BF66C8">
        <w:rPr>
          <w:rStyle w:val="tlid-translation"/>
        </w:rPr>
        <w:t>he two intermediate samples</w:t>
      </w:r>
      <w:r w:rsidR="007D3A91">
        <w:rPr>
          <w:rStyle w:val="tlid-translation"/>
        </w:rPr>
        <w:t xml:space="preserve"> between agglomerate A and B that are</w:t>
      </w:r>
      <w:r w:rsidR="00BF66C8">
        <w:rPr>
          <w:rStyle w:val="tlid-translation"/>
        </w:rPr>
        <w:t xml:space="preserve"> rated to B</w:t>
      </w:r>
      <w:r w:rsidR="007D3A91">
        <w:rPr>
          <w:rStyle w:val="tlid-translation"/>
          <w:vertAlign w:val="subscript"/>
        </w:rPr>
        <w:t>2</w:t>
      </w:r>
      <w:r w:rsidR="00BF66C8">
        <w:rPr>
          <w:rStyle w:val="tlid-translation"/>
        </w:rPr>
        <w:t xml:space="preserve"> according to the impurity data</w:t>
      </w:r>
      <w:r w:rsidR="007D3A91">
        <w:rPr>
          <w:rStyle w:val="tlid-translation"/>
        </w:rPr>
        <w:t xml:space="preserve"> or the single sample with 5.4</w:t>
      </w:r>
      <w:r w:rsidR="007D3A91">
        <w:rPr>
          <w:lang w:val="en"/>
        </w:rPr>
        <w:t xml:space="preserve"> </w:t>
      </w:r>
      <w:r w:rsidR="007D3A91">
        <w:rPr>
          <w:rFonts w:cstheme="minorHAnsi"/>
          <w:lang w:val="en"/>
        </w:rPr>
        <w:t xml:space="preserve">‰ </w:t>
      </w:r>
      <w:r w:rsidR="007D3A91">
        <w:rPr>
          <w:lang w:val="en"/>
        </w:rPr>
        <w:t>for</w:t>
      </w:r>
      <w:r w:rsidR="007D3A91" w:rsidRPr="009D4195">
        <w:rPr>
          <w:lang w:val="en"/>
        </w:rPr>
        <w:t xml:space="preserve"> </w:t>
      </w:r>
      <w:r w:rsidR="007D3A91" w:rsidRPr="009D4195">
        <w:t>δ</w:t>
      </w:r>
      <w:r w:rsidR="007D3A91" w:rsidRPr="009D4195">
        <w:rPr>
          <w:vertAlign w:val="superscript"/>
        </w:rPr>
        <w:t>15</w:t>
      </w:r>
      <w:r w:rsidR="007D3A91" w:rsidRPr="009D4195">
        <w:t>N</w:t>
      </w:r>
      <w:r w:rsidR="007D3A91">
        <w:t xml:space="preserve"> in agglomerate A</w:t>
      </w:r>
      <w:r w:rsidR="007D3A91">
        <w:rPr>
          <w:vertAlign w:val="subscript"/>
        </w:rPr>
        <w:t>2</w:t>
      </w:r>
      <w:r w:rsidR="007D3A91">
        <w:t xml:space="preserve"> that is rated to samples with </w:t>
      </w:r>
      <w:r w:rsidR="007D3A91" w:rsidRPr="009D4195">
        <w:t>δ</w:t>
      </w:r>
      <w:r w:rsidR="007D3A91" w:rsidRPr="009D4195">
        <w:rPr>
          <w:vertAlign w:val="superscript"/>
        </w:rPr>
        <w:t>15</w:t>
      </w:r>
      <w:r w:rsidR="007D3A91" w:rsidRPr="009D4195">
        <w:t>N</w:t>
      </w:r>
      <w:r w:rsidR="007D3A91">
        <w:t xml:space="preserve"> values of approximately 4.6 </w:t>
      </w:r>
      <w:r w:rsidR="007D3A91">
        <w:rPr>
          <w:rFonts w:cstheme="minorHAnsi"/>
          <w:lang w:val="en"/>
        </w:rPr>
        <w:t>‰.</w:t>
      </w:r>
      <w:r w:rsidR="007D3A91">
        <w:rPr>
          <w:rStyle w:val="tlid-translation"/>
        </w:rPr>
        <w:t xml:space="preserve"> Logically speaking, the impuri</w:t>
      </w:r>
      <w:r w:rsidR="00231417">
        <w:rPr>
          <w:rStyle w:val="tlid-translation"/>
        </w:rPr>
        <w:t xml:space="preserve">ty profiling </w:t>
      </w:r>
      <w:r w:rsidR="007953A7">
        <w:rPr>
          <w:rStyle w:val="tlid-translation"/>
        </w:rPr>
        <w:t>cannot</w:t>
      </w:r>
      <w:r w:rsidR="00231417">
        <w:rPr>
          <w:rStyle w:val="tlid-translation"/>
        </w:rPr>
        <w:t xml:space="preserve"> suggest a batch</w:t>
      </w:r>
      <w:r w:rsidR="007D3A91">
        <w:rPr>
          <w:rStyle w:val="tlid-translation"/>
        </w:rPr>
        <w:t xml:space="preserve"> relationship of two samples that are clearly distinguishable via IRMS as both samples should come from different reaction batches. </w:t>
      </w:r>
      <w:r w:rsidR="00522918">
        <w:rPr>
          <w:rStyle w:val="tlid-translation"/>
        </w:rPr>
        <w:t>A</w:t>
      </w:r>
      <w:r w:rsidR="007D3A91">
        <w:rPr>
          <w:rStyle w:val="tlid-translation"/>
        </w:rPr>
        <w:t>s</w:t>
      </w:r>
      <w:r w:rsidR="007953A7">
        <w:rPr>
          <w:rStyle w:val="tlid-translation"/>
        </w:rPr>
        <w:t xml:space="preserve"> already described</w:t>
      </w:r>
      <w:r w:rsidR="007D3A91">
        <w:rPr>
          <w:rStyle w:val="tlid-translation"/>
        </w:rPr>
        <w:t xml:space="preserve"> for the Luxembourg seizure before, a mixing of batches is always a possibility to consider</w:t>
      </w:r>
      <w:r w:rsidR="009C4D8B">
        <w:rPr>
          <w:rStyle w:val="tlid-translation"/>
        </w:rPr>
        <w:t>, in addition to the measurement uncertainty</w:t>
      </w:r>
      <w:r w:rsidR="007D3A91">
        <w:rPr>
          <w:rStyle w:val="tlid-translation"/>
        </w:rPr>
        <w:t>, which leads to a blurring of both the isotope values and impurity signatures.</w:t>
      </w:r>
      <w:r w:rsidR="00F76A68">
        <w:rPr>
          <w:rStyle w:val="tlid-translation"/>
        </w:rPr>
        <w:t xml:space="preserve"> </w:t>
      </w:r>
    </w:p>
    <w:p w14:paraId="41D66774" w14:textId="02A8FE51" w:rsidR="00353BD1" w:rsidRDefault="00F76A68" w:rsidP="00F3279A">
      <w:pPr>
        <w:spacing w:line="480" w:lineRule="auto"/>
        <w:rPr>
          <w:rStyle w:val="tlid-translation"/>
        </w:rPr>
      </w:pPr>
      <w:r>
        <w:rPr>
          <w:rStyle w:val="tlid-translation"/>
        </w:rPr>
        <w:t>Agglomerate B</w:t>
      </w:r>
      <w:r w:rsidR="00E66079">
        <w:rPr>
          <w:rStyle w:val="tlid-translation"/>
          <w:vertAlign w:val="subscript"/>
        </w:rPr>
        <w:t>2</w:t>
      </w:r>
      <w:r>
        <w:rPr>
          <w:rStyle w:val="tlid-translation"/>
        </w:rPr>
        <w:t xml:space="preserve"> as such is subdivided into four sub-clusters of four, </w:t>
      </w:r>
      <w:r w:rsidR="004870F1">
        <w:rPr>
          <w:rStyle w:val="tlid-translation"/>
        </w:rPr>
        <w:t>five</w:t>
      </w:r>
      <w:r>
        <w:rPr>
          <w:rStyle w:val="tlid-translation"/>
        </w:rPr>
        <w:t xml:space="preserve">, nine and sixteen SP samples. </w:t>
      </w:r>
      <w:r w:rsidR="004413E2">
        <w:rPr>
          <w:rStyle w:val="tlid-translation"/>
        </w:rPr>
        <w:t>Agglomerate C</w:t>
      </w:r>
      <w:r w:rsidR="00E66079">
        <w:rPr>
          <w:rStyle w:val="tlid-translation"/>
          <w:vertAlign w:val="subscript"/>
        </w:rPr>
        <w:t>2</w:t>
      </w:r>
      <w:r w:rsidR="004413E2">
        <w:rPr>
          <w:rStyle w:val="tlid-translation"/>
        </w:rPr>
        <w:t xml:space="preserve"> is divided into two sub-clusters of seven and twenty-two SP samples. The sub-clustering of samples in both B</w:t>
      </w:r>
      <w:r w:rsidR="00E66079">
        <w:rPr>
          <w:rStyle w:val="tlid-translation"/>
          <w:vertAlign w:val="subscript"/>
        </w:rPr>
        <w:t>2</w:t>
      </w:r>
      <w:r w:rsidR="004413E2">
        <w:rPr>
          <w:rStyle w:val="tlid-translation"/>
        </w:rPr>
        <w:t xml:space="preserve"> and C</w:t>
      </w:r>
      <w:r w:rsidR="00E66079">
        <w:rPr>
          <w:rStyle w:val="tlid-translation"/>
          <w:vertAlign w:val="subscript"/>
        </w:rPr>
        <w:t>2</w:t>
      </w:r>
      <w:r w:rsidR="004413E2">
        <w:rPr>
          <w:rStyle w:val="tlid-translation"/>
        </w:rPr>
        <w:t xml:space="preserve"> was due to minor differences in their overall impurity signatures, indicating individual synthesis batches with the same precursor material (evidenced by IRMS analysis) and the same synthesis procedure (evidenced by impurity profiling)</w:t>
      </w:r>
      <w:r w:rsidR="002C4AB9">
        <w:rPr>
          <w:rStyle w:val="tlid-translation"/>
        </w:rPr>
        <w:t xml:space="preserve">, similar to the </w:t>
      </w:r>
      <w:r w:rsidR="004B7831">
        <w:rPr>
          <w:rStyle w:val="tlid-translation"/>
        </w:rPr>
        <w:t xml:space="preserve">thirty-seven </w:t>
      </w:r>
      <w:r w:rsidR="002C4AB9">
        <w:rPr>
          <w:rStyle w:val="tlid-translation"/>
        </w:rPr>
        <w:t>samples from the Luxembourg seizure</w:t>
      </w:r>
      <w:r w:rsidR="004413E2">
        <w:rPr>
          <w:rStyle w:val="tlid-translation"/>
        </w:rPr>
        <w:t>.</w:t>
      </w:r>
      <w:r w:rsidR="002A2039">
        <w:rPr>
          <w:rStyle w:val="tlid-translation"/>
        </w:rPr>
        <w:t xml:space="preserve"> </w:t>
      </w:r>
    </w:p>
    <w:p w14:paraId="4B40109A" w14:textId="0CFED4C2" w:rsidR="00353BD1" w:rsidRDefault="0026242D" w:rsidP="00F3279A">
      <w:pPr>
        <w:spacing w:line="480" w:lineRule="auto"/>
        <w:rPr>
          <w:rStyle w:val="tlid-translation"/>
        </w:rPr>
      </w:pPr>
      <w:r>
        <w:rPr>
          <w:rStyle w:val="tlid-translation"/>
        </w:rPr>
        <w:lastRenderedPageBreak/>
        <w:t>In agglomerate A</w:t>
      </w:r>
      <w:r>
        <w:rPr>
          <w:rStyle w:val="tlid-translation"/>
          <w:vertAlign w:val="subscript"/>
        </w:rPr>
        <w:t>1</w:t>
      </w:r>
      <w:r>
        <w:rPr>
          <w:rStyle w:val="tlid-translation"/>
        </w:rPr>
        <w:t>, eight sub-clusters were identified ranging between four and eighteen samples. However, compared to the agglomerates B</w:t>
      </w:r>
      <w:r>
        <w:rPr>
          <w:rStyle w:val="tlid-translation"/>
          <w:vertAlign w:val="subscript"/>
        </w:rPr>
        <w:t>2</w:t>
      </w:r>
      <w:r>
        <w:rPr>
          <w:rStyle w:val="tlid-translation"/>
        </w:rPr>
        <w:t xml:space="preserve"> and C</w:t>
      </w:r>
      <w:r>
        <w:rPr>
          <w:rStyle w:val="tlid-translation"/>
          <w:vertAlign w:val="subscript"/>
        </w:rPr>
        <w:t>2</w:t>
      </w:r>
      <w:r>
        <w:rPr>
          <w:rStyle w:val="tlid-translation"/>
        </w:rPr>
        <w:t xml:space="preserve">, a major </w:t>
      </w:r>
      <w:r w:rsidRPr="00E359EF">
        <w:rPr>
          <w:rStyle w:val="tlid-translation"/>
        </w:rPr>
        <w:t xml:space="preserve">difference in impurity composition </w:t>
      </w:r>
      <w:r w:rsidR="005841F3" w:rsidRPr="00E359EF">
        <w:rPr>
          <w:rStyle w:val="tlid-translation"/>
        </w:rPr>
        <w:t xml:space="preserve">was observed. Figure </w:t>
      </w:r>
      <w:r w:rsidR="00E359EF" w:rsidRPr="00E359EF">
        <w:rPr>
          <w:rStyle w:val="tlid-translation"/>
        </w:rPr>
        <w:t>8</w:t>
      </w:r>
      <w:r w:rsidR="005841F3" w:rsidRPr="00E359EF">
        <w:rPr>
          <w:rStyle w:val="tlid-translation"/>
        </w:rPr>
        <w:t xml:space="preserve"> shows a PCA </w:t>
      </w:r>
      <w:r w:rsidR="003C396B">
        <w:rPr>
          <w:rStyle w:val="tlid-translation"/>
        </w:rPr>
        <w:t xml:space="preserve">(Scores and Loadings plot) </w:t>
      </w:r>
      <w:r w:rsidR="005841F3" w:rsidRPr="00E359EF">
        <w:rPr>
          <w:rStyle w:val="tlid-translation"/>
        </w:rPr>
        <w:t xml:space="preserve">of the chromatographic impurity signatures for all samples located in agglomerate A, clearly dividing the sample set in (at least) two sections with high and low scores on PC1, respectively. The corresponding </w:t>
      </w:r>
      <w:r w:rsidR="00912FA1" w:rsidRPr="00E359EF">
        <w:rPr>
          <w:rStyle w:val="tlid-translation"/>
        </w:rPr>
        <w:t>L</w:t>
      </w:r>
      <w:r w:rsidR="005841F3" w:rsidRPr="00E359EF">
        <w:rPr>
          <w:rStyle w:val="tlid-translation"/>
        </w:rPr>
        <w:t>oadings plot show</w:t>
      </w:r>
      <w:r w:rsidR="003C396B">
        <w:rPr>
          <w:rStyle w:val="tlid-translation"/>
        </w:rPr>
        <w:t>s</w:t>
      </w:r>
      <w:r w:rsidR="0097331A" w:rsidRPr="00E359EF">
        <w:rPr>
          <w:rStyle w:val="tlid-translation"/>
        </w:rPr>
        <w:t>,</w:t>
      </w:r>
      <w:r w:rsidR="005841F3" w:rsidRPr="00E359EF">
        <w:rPr>
          <w:rStyle w:val="tlid-translation"/>
        </w:rPr>
        <w:t xml:space="preserve"> that </w:t>
      </w:r>
      <w:r w:rsidR="0097331A" w:rsidRPr="00E359EF">
        <w:rPr>
          <w:rStyle w:val="tlid-translation"/>
        </w:rPr>
        <w:t xml:space="preserve">majorly </w:t>
      </w:r>
      <w:r w:rsidR="005841F3" w:rsidRPr="00E359EF">
        <w:rPr>
          <w:rStyle w:val="tlid-translation"/>
        </w:rPr>
        <w:t xml:space="preserve">the two impurities </w:t>
      </w:r>
      <w:r w:rsidR="005841F3" w:rsidRPr="00E359EF">
        <w:rPr>
          <w:rStyle w:val="tlid-translation"/>
          <w:b/>
        </w:rPr>
        <w:t xml:space="preserve">I11 </w:t>
      </w:r>
      <w:r w:rsidR="005841F3" w:rsidRPr="00E359EF">
        <w:t>(methyl 2-(1-(</w:t>
      </w:r>
      <w:proofErr w:type="spellStart"/>
      <w:r w:rsidR="005841F3" w:rsidRPr="00E359EF">
        <w:t>cyclohexylmethyl</w:t>
      </w:r>
      <w:proofErr w:type="spellEnd"/>
      <w:r w:rsidR="005841F3" w:rsidRPr="00E359EF">
        <w:t>)-1H-indole-3-carboxamido)butanoate)</w:t>
      </w:r>
      <w:r w:rsidR="005841F3" w:rsidRPr="00E359EF">
        <w:rPr>
          <w:rStyle w:val="tlid-translation"/>
        </w:rPr>
        <w:t xml:space="preserve"> and </w:t>
      </w:r>
      <w:r w:rsidR="005841F3" w:rsidRPr="00E359EF">
        <w:rPr>
          <w:rStyle w:val="tlid-translation"/>
          <w:b/>
        </w:rPr>
        <w:t>I4</w:t>
      </w:r>
      <w:r w:rsidR="005841F3" w:rsidRPr="00E359EF">
        <w:rPr>
          <w:rStyle w:val="tlid-translation"/>
        </w:rPr>
        <w:t xml:space="preserve"> </w:t>
      </w:r>
      <w:r w:rsidR="005841F3" w:rsidRPr="00E359EF">
        <w:t>(tentatively identified</w:t>
      </w:r>
      <w:r w:rsidR="003C396B">
        <w:t xml:space="preserve"> in a previous work</w:t>
      </w:r>
      <w:r w:rsidR="003C396B" w:rsidRPr="00E359EF">
        <w:fldChar w:fldCharType="begin"/>
      </w:r>
      <w:r w:rsidR="003C396B">
        <w:instrText xml:space="preserve"> ADDIN EN.CITE &lt;EndNote&gt;&lt;Cite&gt;&lt;Author&gt;Münster-Müller&lt;/Author&gt;&lt;Year&gt;2019&lt;/Year&gt;&lt;RecNum&gt;98&lt;/RecNum&gt;&lt;DisplayText&gt;[27]&lt;/DisplayText&gt;&lt;record&gt;&lt;rec-number&gt;98&lt;/rec-number&gt;&lt;foreign-keys&gt;&lt;key app="EN" db-id="0rddxvvew22rz1e0fxk52w2v5v9ad9et50ep" timestamp="1570273667"&gt;98&lt;/key&gt;&lt;/foreign-keys&gt;&lt;ref-type name="Journal Article"&gt;17&lt;/ref-type&gt;&lt;contributors&gt;&lt;authors&gt;&lt;author&gt;Münster-Müller, Sascha&lt;/author&gt;&lt;author&gt;Hansen, Steven&lt;/author&gt;&lt;author&gt;Opatz, Till&lt;/author&gt;&lt;author&gt;Zimmermann, Ralf&lt;/author&gt;&lt;author&gt;Pütz, Michael&lt;/author&gt;&lt;/authors&gt;&lt;/contributors&gt;&lt;titles&gt;&lt;title&gt;Chemical profiling of the synthetic cannabinoid MDMB-CHMICA: Identification, assessment, and stability study of synthesis-related impurities in seized and synthesized samples&lt;/title&gt;&lt;secondary-title&gt;Drug Test. Anal.&lt;/secondary-title&gt;&lt;/titles&gt;&lt;pages&gt;1192-1206&lt;/pages&gt;&lt;volume&gt; 11&lt;/volume&gt;&lt;number&gt;8&lt;/number&gt;&lt;dates&gt;&lt;year&gt;2019&lt;/year&gt;&lt;/dates&gt;&lt;isbn&gt;1942-7603&lt;/isbn&gt;&lt;urls&gt;&lt;related-urls&gt;&lt;url&gt;https://onlinelibrary.wiley.com/doi/abs/10.1002/dta.2652&lt;/url&gt;&lt;/related-urls&gt;&lt;/urls&gt;&lt;electronic-resource-num&gt;10.1002/dta.2652&lt;/electronic-resource-num&gt;&lt;/record&gt;&lt;/Cite&gt;&lt;/EndNote&gt;</w:instrText>
      </w:r>
      <w:r w:rsidR="003C396B" w:rsidRPr="00E359EF">
        <w:fldChar w:fldCharType="separate"/>
      </w:r>
      <w:r w:rsidR="003C396B">
        <w:rPr>
          <w:noProof/>
        </w:rPr>
        <w:t>[27]</w:t>
      </w:r>
      <w:r w:rsidR="003C396B" w:rsidRPr="00E359EF">
        <w:fldChar w:fldCharType="end"/>
      </w:r>
      <w:r w:rsidR="005841F3" w:rsidRPr="00E359EF">
        <w:t xml:space="preserve"> as methyl 2-(1H-indole-3-carboxamido)-3,3-dimethylbutanoate with C</w:t>
      </w:r>
      <w:r w:rsidR="005841F3" w:rsidRPr="00E359EF">
        <w:rPr>
          <w:vertAlign w:val="subscript"/>
        </w:rPr>
        <w:t>2</w:t>
      </w:r>
      <w:r w:rsidR="005841F3" w:rsidRPr="00E359EF">
        <w:t>H</w:t>
      </w:r>
      <w:r w:rsidR="005841F3" w:rsidRPr="00E359EF">
        <w:rPr>
          <w:vertAlign w:val="subscript"/>
        </w:rPr>
        <w:t>5</w:t>
      </w:r>
      <w:r w:rsidR="005841F3" w:rsidRPr="00E359EF">
        <w:t xml:space="preserve"> attached to the indole)</w:t>
      </w:r>
      <w:r w:rsidR="00E359EF" w:rsidRPr="00E359EF">
        <w:t xml:space="preserve"> </w:t>
      </w:r>
      <w:r w:rsidR="005841F3" w:rsidRPr="00E359EF">
        <w:rPr>
          <w:rStyle w:val="tlid-translation"/>
        </w:rPr>
        <w:t xml:space="preserve">were responsible for this division. On the right part of Figure </w:t>
      </w:r>
      <w:r w:rsidR="00E359EF" w:rsidRPr="00E359EF">
        <w:rPr>
          <w:rStyle w:val="tlid-translation"/>
        </w:rPr>
        <w:t>8</w:t>
      </w:r>
      <w:r w:rsidR="0097331A" w:rsidRPr="00E359EF">
        <w:rPr>
          <w:rStyle w:val="tlid-translation"/>
        </w:rPr>
        <w:t>,</w:t>
      </w:r>
      <w:r w:rsidR="005841F3" w:rsidRPr="00E359EF">
        <w:rPr>
          <w:rStyle w:val="tlid-translation"/>
        </w:rPr>
        <w:t xml:space="preserve"> the average relative intensity of </w:t>
      </w:r>
      <w:r w:rsidR="005841F3" w:rsidRPr="00E359EF">
        <w:rPr>
          <w:rStyle w:val="tlid-translation"/>
          <w:b/>
        </w:rPr>
        <w:t>I11</w:t>
      </w:r>
      <w:r w:rsidR="005841F3" w:rsidRPr="00E359EF">
        <w:rPr>
          <w:rStyle w:val="tlid-translation"/>
        </w:rPr>
        <w:t xml:space="preserve"> and </w:t>
      </w:r>
      <w:r w:rsidR="005841F3" w:rsidRPr="00E359EF">
        <w:rPr>
          <w:rStyle w:val="tlid-translation"/>
          <w:b/>
        </w:rPr>
        <w:t>I4</w:t>
      </w:r>
      <w:r w:rsidR="005841F3" w:rsidRPr="00E359EF">
        <w:rPr>
          <w:rStyle w:val="tlid-translation"/>
        </w:rPr>
        <w:t xml:space="preserve"> for </w:t>
      </w:r>
      <w:r w:rsidR="002A2039" w:rsidRPr="00E359EF">
        <w:rPr>
          <w:rStyle w:val="tlid-translation"/>
        </w:rPr>
        <w:t xml:space="preserve">the respective samples of </w:t>
      </w:r>
      <w:r w:rsidR="005841F3" w:rsidRPr="00E359EF">
        <w:rPr>
          <w:rStyle w:val="tlid-translation"/>
        </w:rPr>
        <w:t>both sub-cluster groups are shown</w:t>
      </w:r>
      <w:r w:rsidR="0097331A" w:rsidRPr="00E359EF">
        <w:rPr>
          <w:rStyle w:val="tlid-translation"/>
        </w:rPr>
        <w:t>,</w:t>
      </w:r>
      <w:r w:rsidR="005841F3" w:rsidRPr="00E359EF">
        <w:rPr>
          <w:rStyle w:val="tlid-translation"/>
        </w:rPr>
        <w:t xml:space="preserve"> to visualize the corresponding difference in abunda</w:t>
      </w:r>
      <w:r w:rsidR="005841F3">
        <w:rPr>
          <w:rStyle w:val="tlid-translation"/>
        </w:rPr>
        <w:t>nce</w:t>
      </w:r>
      <w:r w:rsidR="0097331A">
        <w:rPr>
          <w:rStyle w:val="tlid-translation"/>
        </w:rPr>
        <w:t xml:space="preserve">. </w:t>
      </w:r>
      <w:r w:rsidR="002A2039">
        <w:rPr>
          <w:rStyle w:val="tlid-translation"/>
        </w:rPr>
        <w:t xml:space="preserve"> </w:t>
      </w:r>
    </w:p>
    <w:p w14:paraId="3945EB70" w14:textId="17C1F318" w:rsidR="00A82501" w:rsidRPr="00A82501" w:rsidRDefault="00353BD1" w:rsidP="00F3279A">
      <w:pPr>
        <w:spacing w:line="480" w:lineRule="auto"/>
      </w:pPr>
      <w:r>
        <w:rPr>
          <w:rStyle w:val="tlid-translation"/>
        </w:rPr>
        <w:t>We concluded, that</w:t>
      </w:r>
      <w:r w:rsidR="00215C03">
        <w:rPr>
          <w:rStyle w:val="tlid-translation"/>
        </w:rPr>
        <w:t xml:space="preserve"> the</w:t>
      </w:r>
      <w:r>
        <w:rPr>
          <w:rStyle w:val="tlid-translation"/>
        </w:rPr>
        <w:t xml:space="preserve"> </w:t>
      </w:r>
      <w:r w:rsidR="00215C03">
        <w:rPr>
          <w:rStyle w:val="tlid-translation"/>
        </w:rPr>
        <w:t>sub-cluster 1 to 4 and 5 to 8</w:t>
      </w:r>
      <w:r>
        <w:rPr>
          <w:rStyle w:val="tlid-translation"/>
        </w:rPr>
        <w:t xml:space="preserve"> </w:t>
      </w:r>
      <w:r w:rsidR="00912FA1">
        <w:rPr>
          <w:rStyle w:val="tlid-translation"/>
        </w:rPr>
        <w:t>belong to two separate synthesis series</w:t>
      </w:r>
      <w:r w:rsidR="00215C03">
        <w:rPr>
          <w:rStyle w:val="tlid-translation"/>
        </w:rPr>
        <w:t>, although the IRMS data suggests a relationship between both sub-cluster groups.</w:t>
      </w:r>
      <w:r w:rsidR="00022786">
        <w:rPr>
          <w:rStyle w:val="tlid-translation"/>
        </w:rPr>
        <w:t xml:space="preserve"> This conclusion is further validated by including the dates of </w:t>
      </w:r>
      <w:r w:rsidR="00022786" w:rsidRPr="00E359EF">
        <w:rPr>
          <w:rStyle w:val="tlid-translation"/>
        </w:rPr>
        <w:t>purchase for the samples in each sub-cluster.</w:t>
      </w:r>
      <w:r w:rsidR="00215C03" w:rsidRPr="00E359EF">
        <w:rPr>
          <w:rStyle w:val="tlid-translation"/>
        </w:rPr>
        <w:t xml:space="preserve"> All samples in agglomerate A</w:t>
      </w:r>
      <w:r w:rsidR="00215C03" w:rsidRPr="00E359EF">
        <w:rPr>
          <w:rStyle w:val="tlid-translation"/>
          <w:vertAlign w:val="subscript"/>
        </w:rPr>
        <w:t>1</w:t>
      </w:r>
      <w:r w:rsidR="00215C03" w:rsidRPr="00E359EF">
        <w:rPr>
          <w:rStyle w:val="tlid-translation"/>
        </w:rPr>
        <w:t xml:space="preserve"> from the early period of September 2014 to February 2015 (marked black in Figure </w:t>
      </w:r>
      <w:r w:rsidR="00E359EF" w:rsidRPr="00E359EF">
        <w:rPr>
          <w:rStyle w:val="tlid-translation"/>
        </w:rPr>
        <w:t>6</w:t>
      </w:r>
      <w:r w:rsidR="00215C03" w:rsidRPr="00E359EF">
        <w:rPr>
          <w:rStyle w:val="tlid-translation"/>
        </w:rPr>
        <w:t xml:space="preserve">) are included by sub-cluster 4. Furthermore, sub-cluster 1, 2 and 3 primarily consist of SP bought or seized in the period between March and July 2015 (marked red in Figure </w:t>
      </w:r>
      <w:r w:rsidR="00E359EF" w:rsidRPr="00E359EF">
        <w:rPr>
          <w:rStyle w:val="tlid-translation"/>
        </w:rPr>
        <w:t>6</w:t>
      </w:r>
      <w:r w:rsidR="00215C03" w:rsidRPr="00E359EF">
        <w:rPr>
          <w:rStyle w:val="tlid-translation"/>
        </w:rPr>
        <w:t>), and sub-cluster 5 to 8 consist of the majority of SPs from the period between August and December 2015. This</w:t>
      </w:r>
      <w:r w:rsidR="00215C03">
        <w:rPr>
          <w:rStyle w:val="tlid-translation"/>
        </w:rPr>
        <w:t xml:space="preserve"> implies that the previous placement of the agglomerates, presumably representing individual larger shipments of </w:t>
      </w:r>
      <w:r w:rsidR="00215C03">
        <w:rPr>
          <w:rStyle w:val="tlid-translation"/>
          <w:b/>
        </w:rPr>
        <w:t>1</w:t>
      </w:r>
      <w:r w:rsidR="00215C03">
        <w:rPr>
          <w:rStyle w:val="tlid-translation"/>
        </w:rPr>
        <w:t>, on the timeline was not 100% accurate. With the additional information from the impurity profiling, agglomerate A is expected to consist of two larger shipments</w:t>
      </w:r>
      <w:r w:rsidR="00022786">
        <w:rPr>
          <w:rStyle w:val="tlid-translation"/>
        </w:rPr>
        <w:t xml:space="preserve"> of multiple successive synthesis batches</w:t>
      </w:r>
      <w:r w:rsidR="00215C03">
        <w:rPr>
          <w:rStyle w:val="tlid-translation"/>
        </w:rPr>
        <w:t xml:space="preserve">, one reaching the European market in 2014, explaining the seized and bought SP from this period falling into agglomerate A, and another shipment in 2015, which was used to produce the majority of SP from the end of 2015. </w:t>
      </w:r>
    </w:p>
    <w:p w14:paraId="4604772B" w14:textId="1C11C647" w:rsidR="009531B4" w:rsidRDefault="009531B4" w:rsidP="00F3279A">
      <w:pPr>
        <w:spacing w:line="480" w:lineRule="auto"/>
      </w:pPr>
    </w:p>
    <w:p w14:paraId="35120771" w14:textId="1EE4C793" w:rsidR="0085733C" w:rsidRPr="008E13D5" w:rsidRDefault="002D008C" w:rsidP="00F3279A">
      <w:pPr>
        <w:spacing w:line="480" w:lineRule="auto"/>
        <w:rPr>
          <w:rStyle w:val="Fett"/>
        </w:rPr>
      </w:pPr>
      <w:r>
        <w:rPr>
          <w:rStyle w:val="Fett"/>
        </w:rPr>
        <w:t xml:space="preserve">4. </w:t>
      </w:r>
      <w:r w:rsidR="0085733C" w:rsidRPr="008E13D5">
        <w:rPr>
          <w:rStyle w:val="Fett"/>
        </w:rPr>
        <w:t>Conclusion</w:t>
      </w:r>
    </w:p>
    <w:p w14:paraId="43370EE6" w14:textId="4E22F31F" w:rsidR="00BA7E85" w:rsidRDefault="00BA7E85" w:rsidP="00F3279A">
      <w:pPr>
        <w:spacing w:line="480" w:lineRule="auto"/>
      </w:pPr>
      <w:r>
        <w:t>IRMS analysis of a larger sample collective of the two synthetic cannabinoids MDMB-CHMICA and Cumyl-PeGaClone consisting of both Spice-pro</w:t>
      </w:r>
      <w:r w:rsidR="004B7831">
        <w:t>duct extracts and pure material</w:t>
      </w:r>
      <w:r>
        <w:t xml:space="preserve"> suggested that for each of these cannabinoids only one manufacturer is responsible. This hypothesis is validated by the diverse isotope ratios </w:t>
      </w:r>
      <w:r>
        <w:lastRenderedPageBreak/>
        <w:t>of precursor substances, making it virtually impossible for two different manufacturers to synthesize material with</w:t>
      </w:r>
      <w:r w:rsidR="006770BC">
        <w:t>in</w:t>
      </w:r>
      <w:r>
        <w:t xml:space="preserve"> the specific isotopic range as it was found for these two cannabinoids.</w:t>
      </w:r>
    </w:p>
    <w:p w14:paraId="52A67461" w14:textId="038B0229" w:rsidR="00D67D04" w:rsidRDefault="00D67D04" w:rsidP="00F3279A">
      <w:pPr>
        <w:spacing w:line="480" w:lineRule="auto"/>
      </w:pPr>
      <w:r>
        <w:t>From the larger strategic perspective, the time dependant resolution of the data provided the most valuable implication for the supply and distribution of the synthetic cannabinoid MDMB-CHMICA. Larger batches of pure material seem to be delivered consecutively to the European market in intervals of multiple months. These deliveries are then distributed amongst the European Spice-Products producers, indicated by the variety of different sources for the samples (multiple internet-shops, street seizures) and individual products brands that are assigned into the respective agglomerates. On the basis of the synthesis batch discrimination carried out for the seizure of 40 kg pure MDMB-CHMICA by Luxembourg customs, the MDMB-CHMICA in Spice-product samples was assigned to corresponding synthesis batches. After implementation of this fine structure, two larger groups of sub-clusters were identified in one of the agglomerates observed in IRMS, which otherwise would be indistinguishable.</w:t>
      </w:r>
    </w:p>
    <w:p w14:paraId="13A5B9D2" w14:textId="632211DF" w:rsidR="00197A35" w:rsidRDefault="00D67D04" w:rsidP="00F3279A">
      <w:pPr>
        <w:spacing w:line="480" w:lineRule="auto"/>
      </w:pPr>
      <w:r>
        <w:t>Combining IRMS and impurity profiling as analytical tools, generating orthogonal information, provides unique insights into the structure of a sample pool of unknown origin. Both techniques target a different part of the sample history, IRMS the origin of the precursor material and impurity profiling the corresponding synthesis pathway in which these precursors were used. By implementing the batch discrimination of the impurity profiling into the isotope ratio agglomerates or clusters, the fine-structure of the observed sample pool is visualized.</w:t>
      </w:r>
    </w:p>
    <w:p w14:paraId="08D38817" w14:textId="77777777" w:rsidR="00A5519D" w:rsidRPr="008E13D5" w:rsidRDefault="00A5519D" w:rsidP="00F3279A">
      <w:pPr>
        <w:spacing w:line="480" w:lineRule="auto"/>
      </w:pPr>
    </w:p>
    <w:p w14:paraId="0FEE024D" w14:textId="6BC241AE" w:rsidR="00DC21F8" w:rsidRPr="008E13D5" w:rsidRDefault="002D008C" w:rsidP="00F3279A">
      <w:pPr>
        <w:spacing w:line="480" w:lineRule="auto"/>
        <w:rPr>
          <w:rStyle w:val="Fett"/>
        </w:rPr>
      </w:pPr>
      <w:r>
        <w:rPr>
          <w:rStyle w:val="Fett"/>
        </w:rPr>
        <w:t xml:space="preserve">5. </w:t>
      </w:r>
      <w:r w:rsidR="00DC21F8" w:rsidRPr="008E13D5">
        <w:rPr>
          <w:rStyle w:val="Fett"/>
        </w:rPr>
        <w:t>Acknowledgements</w:t>
      </w:r>
    </w:p>
    <w:p w14:paraId="212E3BC8" w14:textId="32E353BA" w:rsidR="008E13D5" w:rsidRPr="00C23A15" w:rsidRDefault="008E13D5" w:rsidP="00F3279A">
      <w:pPr>
        <w:spacing w:line="480" w:lineRule="auto"/>
        <w:rPr>
          <w:rFonts w:cstheme="minorHAnsi"/>
          <w:lang w:val="en-US"/>
        </w:rPr>
      </w:pPr>
      <w:r w:rsidRPr="00913502">
        <w:rPr>
          <w:rFonts w:cs="MbxwxtAdvPTimes"/>
          <w:color w:val="000000"/>
        </w:rPr>
        <w:t>All presented data, if not cited otherwise, were generated within the project “SPICE-profiling”, funded within the EU’s ISEC 2013 programme (</w:t>
      </w:r>
      <w:r w:rsidRPr="009B4A13">
        <w:rPr>
          <w:bCs/>
        </w:rPr>
        <w:t>Directorate-General</w:t>
      </w:r>
      <w:r w:rsidRPr="009B4A13">
        <w:rPr>
          <w:b/>
          <w:bCs/>
        </w:rPr>
        <w:t xml:space="preserve"> </w:t>
      </w:r>
      <w:r w:rsidRPr="00913502">
        <w:rPr>
          <w:rFonts w:cs="MbxwxtAdvPTimes"/>
          <w:color w:val="000000"/>
        </w:rPr>
        <w:t>JUST/2013/ISEC/DRUGS/AG/ISEC/4000006421)</w:t>
      </w:r>
      <w:r>
        <w:rPr>
          <w:rFonts w:cs="MbxwxtAdvPTimes"/>
          <w:color w:val="000000"/>
        </w:rPr>
        <w:t>. Our thanks are due to Serge S</w:t>
      </w:r>
      <w:r w:rsidRPr="007526BE">
        <w:rPr>
          <w:rFonts w:cs="MbxwxtAdvPTimes"/>
          <w:color w:val="000000"/>
        </w:rPr>
        <w:t>chneider</w:t>
      </w:r>
      <w:r w:rsidR="00B57AB1">
        <w:rPr>
          <w:rFonts w:cs="MbxwxtAdvPTimes"/>
          <w:color w:val="000000"/>
        </w:rPr>
        <w:t>,</w:t>
      </w:r>
      <w:r w:rsidR="00B57AB1" w:rsidRPr="00B57AB1">
        <w:rPr>
          <w:rFonts w:cs="MbxwxtAdvPTimes"/>
          <w:color w:val="000000"/>
        </w:rPr>
        <w:t xml:space="preserve"> </w:t>
      </w:r>
      <w:proofErr w:type="spellStart"/>
      <w:r w:rsidR="00B57AB1">
        <w:rPr>
          <w:rFonts w:cs="MbxwxtAdvPTimes"/>
          <w:color w:val="000000"/>
        </w:rPr>
        <w:t>Ilmari</w:t>
      </w:r>
      <w:proofErr w:type="spellEnd"/>
      <w:r w:rsidR="00B57AB1">
        <w:rPr>
          <w:rFonts w:cs="MbxwxtAdvPTimes"/>
          <w:color w:val="000000"/>
        </w:rPr>
        <w:t xml:space="preserve"> </w:t>
      </w:r>
      <w:proofErr w:type="spellStart"/>
      <w:r w:rsidR="00B57AB1">
        <w:rPr>
          <w:rFonts w:cs="MbxwxtAdvPTimes"/>
          <w:color w:val="000000"/>
        </w:rPr>
        <w:t>Szilvay</w:t>
      </w:r>
      <w:proofErr w:type="spellEnd"/>
      <w:r w:rsidR="00B57AB1">
        <w:rPr>
          <w:rFonts w:cs="MbxwxtAdvPTimes"/>
        </w:rPr>
        <w:t xml:space="preserve"> and </w:t>
      </w:r>
      <w:proofErr w:type="spellStart"/>
      <w:r w:rsidR="003868AD">
        <w:rPr>
          <w:rFonts w:cs="MbxwxtAdvPTimes"/>
        </w:rPr>
        <w:t>Dr</w:t>
      </w:r>
      <w:r w:rsidR="003868AD" w:rsidRPr="003868AD">
        <w:rPr>
          <w:rFonts w:cs="MbxwxtAdvPTimes"/>
        </w:rPr>
        <w:t>.</w:t>
      </w:r>
      <w:proofErr w:type="spellEnd"/>
      <w:r w:rsidR="003868AD" w:rsidRPr="003868AD">
        <w:rPr>
          <w:rFonts w:cs="MbxwxtAdvPTimes"/>
        </w:rPr>
        <w:t xml:space="preserve"> </w:t>
      </w:r>
      <w:r w:rsidR="00B57AB1" w:rsidRPr="003868AD">
        <w:rPr>
          <w:rFonts w:cs="MbxwxtAdvPTimes"/>
        </w:rPr>
        <w:t xml:space="preserve">Sonja </w:t>
      </w:r>
      <w:proofErr w:type="spellStart"/>
      <w:r w:rsidR="003868AD" w:rsidRPr="003868AD">
        <w:rPr>
          <w:rFonts w:cs="MbxwxtAdvPTimes"/>
        </w:rPr>
        <w:t>Klemenc</w:t>
      </w:r>
      <w:proofErr w:type="spellEnd"/>
      <w:r>
        <w:rPr>
          <w:rFonts w:cs="MbxwxtAdvPTimes"/>
          <w:color w:val="FF0000"/>
        </w:rPr>
        <w:t xml:space="preserve"> </w:t>
      </w:r>
      <w:r w:rsidRPr="007526BE">
        <w:rPr>
          <w:rFonts w:cs="MbxwxtAdvPTimes"/>
          <w:color w:val="000000"/>
        </w:rPr>
        <w:t xml:space="preserve">who </w:t>
      </w:r>
      <w:r>
        <w:rPr>
          <w:rFonts w:cs="MbxwxtAdvPTimes"/>
          <w:color w:val="000000"/>
        </w:rPr>
        <w:t>kindly provided us with aliquots from seizure</w:t>
      </w:r>
      <w:r w:rsidR="00B57AB1">
        <w:rPr>
          <w:rFonts w:cs="MbxwxtAdvPTimes"/>
          <w:color w:val="000000"/>
        </w:rPr>
        <w:t>s</w:t>
      </w:r>
      <w:r>
        <w:rPr>
          <w:rFonts w:cs="MbxwxtAdvPTimes"/>
          <w:color w:val="000000"/>
        </w:rPr>
        <w:t xml:space="preserve"> of</w:t>
      </w:r>
      <w:r w:rsidRPr="007526BE">
        <w:rPr>
          <w:rFonts w:cs="MbxwxtAdvPTimes"/>
          <w:color w:val="000000"/>
        </w:rPr>
        <w:t xml:space="preserve"> MDMB-CHMICA</w:t>
      </w:r>
      <w:r w:rsidR="00B57AB1">
        <w:rPr>
          <w:rFonts w:cs="MbxwxtAdvPTimes"/>
          <w:color w:val="000000"/>
        </w:rPr>
        <w:t>.</w:t>
      </w:r>
      <w:r>
        <w:rPr>
          <w:rFonts w:cs="MbxwxtAdvPTimes"/>
          <w:color w:val="000000"/>
        </w:rPr>
        <w:t xml:space="preserve"> </w:t>
      </w:r>
      <w:r w:rsidR="00E64E16">
        <w:rPr>
          <w:rFonts w:cstheme="minorHAnsi"/>
          <w:lang w:val="en-US"/>
        </w:rPr>
        <w:t xml:space="preserve">Furthermore, we want to </w:t>
      </w:r>
      <w:r w:rsidR="00E64E16" w:rsidRPr="00EE1926">
        <w:rPr>
          <w:rFonts w:cstheme="minorHAnsi"/>
          <w:lang w:val="en-US"/>
        </w:rPr>
        <w:t xml:space="preserve">thank </w:t>
      </w:r>
      <w:r w:rsidR="003868AD">
        <w:rPr>
          <w:rFonts w:cstheme="minorHAnsi"/>
          <w:lang w:val="en-US"/>
        </w:rPr>
        <w:t xml:space="preserve">Dr. </w:t>
      </w:r>
      <w:r w:rsidR="00B57AB1">
        <w:rPr>
          <w:rFonts w:cstheme="minorHAnsi"/>
          <w:lang w:val="en-US"/>
        </w:rPr>
        <w:t xml:space="preserve">Verena </w:t>
      </w:r>
      <w:proofErr w:type="spellStart"/>
      <w:r w:rsidR="00B57AB1">
        <w:rPr>
          <w:rFonts w:cstheme="minorHAnsi"/>
          <w:lang w:val="en-US"/>
        </w:rPr>
        <w:t>Angerer</w:t>
      </w:r>
      <w:proofErr w:type="spellEnd"/>
      <w:r w:rsidR="00B57AB1">
        <w:rPr>
          <w:rFonts w:cstheme="minorHAnsi"/>
          <w:lang w:val="en-US"/>
        </w:rPr>
        <w:t xml:space="preserve"> and </w:t>
      </w:r>
      <w:r w:rsidR="003868AD">
        <w:rPr>
          <w:rFonts w:cstheme="minorHAnsi"/>
          <w:lang w:val="en-US"/>
        </w:rPr>
        <w:t xml:space="preserve">Prof. </w:t>
      </w:r>
      <w:r w:rsidR="00B57AB1">
        <w:rPr>
          <w:rFonts w:cstheme="minorHAnsi"/>
          <w:lang w:val="en-US"/>
        </w:rPr>
        <w:t xml:space="preserve">Volker </w:t>
      </w:r>
      <w:proofErr w:type="spellStart"/>
      <w:r w:rsidR="00B57AB1">
        <w:rPr>
          <w:rFonts w:cstheme="minorHAnsi"/>
          <w:lang w:val="en-US"/>
        </w:rPr>
        <w:t>Auwärter</w:t>
      </w:r>
      <w:proofErr w:type="spellEnd"/>
      <w:r w:rsidR="00B57AB1">
        <w:rPr>
          <w:rFonts w:cstheme="minorHAnsi"/>
          <w:lang w:val="en-US"/>
        </w:rPr>
        <w:t xml:space="preserve"> from the University Medical Clinic Freiburg for providing us with pure and </w:t>
      </w:r>
      <w:r w:rsidR="003F64F8">
        <w:rPr>
          <w:rFonts w:cstheme="minorHAnsi"/>
          <w:lang w:val="en-US"/>
        </w:rPr>
        <w:t>“Spice-Product”</w:t>
      </w:r>
      <w:r w:rsidR="00B57AB1">
        <w:rPr>
          <w:rFonts w:cstheme="minorHAnsi"/>
          <w:lang w:val="en-US"/>
        </w:rPr>
        <w:t xml:space="preserve"> samples from internet test-purchases and Siegfried </w:t>
      </w:r>
      <w:proofErr w:type="spellStart"/>
      <w:r w:rsidR="00B57AB1">
        <w:rPr>
          <w:rFonts w:cstheme="minorHAnsi"/>
          <w:lang w:val="en-US"/>
        </w:rPr>
        <w:t>Zörntlein</w:t>
      </w:r>
      <w:proofErr w:type="spellEnd"/>
      <w:r w:rsidR="00E64E16" w:rsidRPr="00EE1926">
        <w:rPr>
          <w:rFonts w:cstheme="minorHAnsi"/>
          <w:lang w:val="en-US"/>
        </w:rPr>
        <w:t xml:space="preserve"> and Sonja</w:t>
      </w:r>
      <w:r w:rsidR="00EE1926" w:rsidRPr="00EE1926">
        <w:rPr>
          <w:rFonts w:cstheme="minorHAnsi"/>
          <w:lang w:val="en-US"/>
        </w:rPr>
        <w:t xml:space="preserve"> Metternich</w:t>
      </w:r>
      <w:r w:rsidR="00E64E16">
        <w:rPr>
          <w:rFonts w:cstheme="minorHAnsi"/>
          <w:lang w:val="en-US"/>
        </w:rPr>
        <w:t xml:space="preserve"> for providing us with seizures of “Spice-Products” from Rhineland-Palatine.</w:t>
      </w:r>
    </w:p>
    <w:p w14:paraId="5933FDEA" w14:textId="77777777" w:rsidR="00C56D1A" w:rsidRPr="008E13D5" w:rsidRDefault="00C56D1A" w:rsidP="00F3279A">
      <w:pPr>
        <w:spacing w:line="480" w:lineRule="auto"/>
        <w:rPr>
          <w:lang w:val="en-US"/>
        </w:rPr>
      </w:pPr>
    </w:p>
    <w:p w14:paraId="2F587BFC" w14:textId="6EA4679C" w:rsidR="00C25A7C" w:rsidRPr="008E13D5" w:rsidRDefault="002D008C" w:rsidP="00F3279A">
      <w:pPr>
        <w:spacing w:line="480" w:lineRule="auto"/>
        <w:rPr>
          <w:rStyle w:val="Fett"/>
        </w:rPr>
      </w:pPr>
      <w:r>
        <w:rPr>
          <w:rStyle w:val="Fett"/>
        </w:rPr>
        <w:t xml:space="preserve">6. </w:t>
      </w:r>
      <w:r w:rsidR="0085733C" w:rsidRPr="008E13D5">
        <w:rPr>
          <w:rStyle w:val="Fett"/>
        </w:rPr>
        <w:t>References</w:t>
      </w:r>
    </w:p>
    <w:p w14:paraId="297C152E" w14:textId="7A26B438" w:rsidR="00206599" w:rsidRPr="00206599" w:rsidRDefault="00C25A7C" w:rsidP="00206599">
      <w:pPr>
        <w:pStyle w:val="EndNoteBibliography"/>
      </w:pPr>
      <w:r w:rsidRPr="008E13D5">
        <w:fldChar w:fldCharType="begin"/>
      </w:r>
      <w:r w:rsidRPr="008E13D5">
        <w:instrText xml:space="preserve"> ADDIN EN.REFLIST </w:instrText>
      </w:r>
      <w:r w:rsidRPr="008E13D5">
        <w:fldChar w:fldCharType="separate"/>
      </w:r>
      <w:r w:rsidR="00206599" w:rsidRPr="00206599">
        <w:t xml:space="preserve">[1] UNODC, UNODC World drug report 2018, Access date: 09.10.2019, </w:t>
      </w:r>
      <w:hyperlink r:id="rId8" w:history="1">
        <w:r w:rsidR="00206599" w:rsidRPr="00206599">
          <w:rPr>
            <w:rStyle w:val="Hyperlink"/>
          </w:rPr>
          <w:t>https://www.unodc.org/wdr2018/</w:t>
        </w:r>
      </w:hyperlink>
    </w:p>
    <w:p w14:paraId="6E10211F" w14:textId="77777777" w:rsidR="00206599" w:rsidRPr="00206599" w:rsidRDefault="00206599" w:rsidP="00206599">
      <w:pPr>
        <w:pStyle w:val="EndNoteBibliography"/>
      </w:pPr>
      <w:r w:rsidRPr="00206599">
        <w:t>[2] V. Kunalan, N. Nic Daéid, W.J. Kerr, H.A.S. Buchanan, A.R. McPherson, Characterization of Route Specific Impurities Found in Methamphetamine Synthesized by the Leuckart and Reductive Amination Methods, Analytical Chemistry, 81 (2009) 7342-7348.</w:t>
      </w:r>
    </w:p>
    <w:p w14:paraId="0309CDF2" w14:textId="77777777" w:rsidR="00206599" w:rsidRPr="00206599" w:rsidRDefault="00206599" w:rsidP="00206599">
      <w:pPr>
        <w:pStyle w:val="EndNoteBibliography"/>
      </w:pPr>
      <w:r w:rsidRPr="00206599">
        <w:t>[3] J. Ballany, B. Caddy, M. Cole, Y. Finnon, L. Aalberg, K. Janhunen, E. Sippola, K. Andersson, C. Bertler, J. Dahlen, I. Kopp, L. Dujourdy, E. Lock, P. Margot, H. Huizer, A. Poortman, E. Kaa, A. Lopes, Development of a harmonised pan-European method for the profiling of amphetamines, Sci. Justice, 41 (2001) 193-196.</w:t>
      </w:r>
    </w:p>
    <w:p w14:paraId="7FEC30C3" w14:textId="77777777" w:rsidR="00206599" w:rsidRPr="00206599" w:rsidRDefault="00206599" w:rsidP="00206599">
      <w:pPr>
        <w:pStyle w:val="EndNoteBibliography"/>
      </w:pPr>
      <w:r w:rsidRPr="00206599">
        <w:t>[4] L. Stromberg, L. Lundberg, H. Neumann, B. Bobon, H. Huizer, N.W. van der Stelt, Heroin impurity profiling. A harmonization study for retrospective comparisons, Forensic Sci. Int., 114 (2000) 67-88.</w:t>
      </w:r>
    </w:p>
    <w:p w14:paraId="5FF8E315" w14:textId="77777777" w:rsidR="00206599" w:rsidRPr="00206599" w:rsidRDefault="00206599" w:rsidP="00206599">
      <w:pPr>
        <w:pStyle w:val="EndNoteBibliography"/>
      </w:pPr>
      <w:r w:rsidRPr="00206599">
        <w:t>[5] A.L. Pikkarainen, Systematic approach to the profiling analysis of illicit amphetamine, Forensic Sci. Int., 82 (1996) 141-152.</w:t>
      </w:r>
    </w:p>
    <w:p w14:paraId="3FA1394F" w14:textId="77777777" w:rsidR="00206599" w:rsidRPr="00206599" w:rsidRDefault="00206599" w:rsidP="00206599">
      <w:pPr>
        <w:pStyle w:val="EndNoteBibliography"/>
      </w:pPr>
      <w:r w:rsidRPr="00206599">
        <w:t>[6] J.J. Zacca, T.S. Grobério, A.O. Maldaner, M.L. Vieira, J.W.B. Braga, Correlation of Cocaine Hydrochloride Samples Seized in Brazil Based on Determination of Residual Solvents: An Innovative Chemometric Method for Determination of Linkage Thresholds, Analytical Chemistry, 85 (2013) 2457-2464.</w:t>
      </w:r>
    </w:p>
    <w:p w14:paraId="1FE45C51" w14:textId="77777777" w:rsidR="00206599" w:rsidRPr="00206599" w:rsidRDefault="00206599" w:rsidP="00206599">
      <w:pPr>
        <w:pStyle w:val="EndNoteBibliography"/>
      </w:pPr>
      <w:r w:rsidRPr="00206599">
        <w:t>[7] J.F. Carter, E.L. Titterton, H. Grant, R. Sleeman, Isotopic changes during the synthesis of amphetamines, Chemical Communications, (2002) 2590-2591.</w:t>
      </w:r>
    </w:p>
    <w:p w14:paraId="32F6DA86" w14:textId="77777777" w:rsidR="00206599" w:rsidRPr="00206599" w:rsidRDefault="00206599" w:rsidP="00206599">
      <w:pPr>
        <w:pStyle w:val="EndNoteBibliography"/>
      </w:pPr>
      <w:r w:rsidRPr="00206599">
        <w:t>[8] S. Schneiders, T. Holdermann, R. Dahlenburg, Comparative analysis of 1-phenyl-2-propanone (P2P), an amphetamine-type stimulant precursor, using stable isotope ratio mass spectrometry, Science and Justice, 49 (2009) 94-101.</w:t>
      </w:r>
    </w:p>
    <w:p w14:paraId="3207CD5A" w14:textId="77777777" w:rsidR="00206599" w:rsidRPr="00206599" w:rsidRDefault="00206599" w:rsidP="00206599">
      <w:pPr>
        <w:pStyle w:val="EndNoteBibliography"/>
      </w:pPr>
      <w:r w:rsidRPr="00206599">
        <w:t>[9] N. Kurashima, Y. Makino, S. Sekita, Y. Urano, T. Nagano, Determination of Origin of Ephedrine Used as Precursor for Illicit Methamphetamine by Carbon and Nitrogen Stable Isotope Ratio Analysis, Analytical Chemistry, 76 (2004) 4233-4236.</w:t>
      </w:r>
    </w:p>
    <w:p w14:paraId="093182C8" w14:textId="77777777" w:rsidR="00206599" w:rsidRPr="00206599" w:rsidRDefault="00206599" w:rsidP="00206599">
      <w:pPr>
        <w:pStyle w:val="EndNoteBibliography"/>
      </w:pPr>
      <w:r w:rsidRPr="00206599">
        <w:t>[10] H. Salouros, G.J. Sutton, J. Howes, D.B. Hibbert, M. Collins, Measurement of Stable Isotope Ratios in Methylamphetamine: A Link to Its Precursor Source, Analytical Chemistry, 85 (2013) 9400-9408.</w:t>
      </w:r>
    </w:p>
    <w:p w14:paraId="14D0770C" w14:textId="77777777" w:rsidR="00206599" w:rsidRPr="00206599" w:rsidRDefault="00206599" w:rsidP="00206599">
      <w:pPr>
        <w:pStyle w:val="EndNoteBibliography"/>
      </w:pPr>
      <w:r w:rsidRPr="00206599">
        <w:t>[11] J.R. Ehleringer, J.F. Casale, M.J. Lott, V.L. Ford, Tracing the geographical origin of cocaine, Nature, 408 (2000) 311.</w:t>
      </w:r>
    </w:p>
    <w:p w14:paraId="1330658D" w14:textId="77777777" w:rsidR="00206599" w:rsidRPr="00206599" w:rsidRDefault="00206599" w:rsidP="00206599">
      <w:pPr>
        <w:pStyle w:val="EndNoteBibliography"/>
      </w:pPr>
      <w:r w:rsidRPr="00206599">
        <w:t>[12] J.R. Mallette, J.F. Casale, J. Jordan, D.R. Morello, P.M. Beyer, Geographically Sourcing Cocaine’s Origin – Delineation of the Nineteen Major Coca Growing Regions in South America, Sci. Rep., 6 (2016) 23520.</w:t>
      </w:r>
    </w:p>
    <w:p w14:paraId="46FECB96" w14:textId="77777777" w:rsidR="00206599" w:rsidRPr="00206599" w:rsidRDefault="00206599" w:rsidP="00206599">
      <w:pPr>
        <w:pStyle w:val="EndNoteBibliography"/>
      </w:pPr>
      <w:r w:rsidRPr="00206599">
        <w:t>[13] S. Dautraix, R. Guilluy, H. Chaudron-Thozet, J.L. Brazier, A. Lamotte, 13C Isotopic analysis of an acetaminophen and diacetylmorphine mixture, J. Chromatogr. A, 756 (1996) 203-210.</w:t>
      </w:r>
    </w:p>
    <w:p w14:paraId="5D8B9D59" w14:textId="77777777" w:rsidR="00206599" w:rsidRPr="00206599" w:rsidRDefault="00206599" w:rsidP="00206599">
      <w:pPr>
        <w:pStyle w:val="EndNoteBibliography"/>
      </w:pPr>
      <w:r w:rsidRPr="00206599">
        <w:t>[14] H.A.S. Buchanan, W.J. Kerr, W. Meier-Augenstein, N.N. Daéid, Organic impurities, stable isotopes, or both: A comparison of instrumental and pattern recognition techniques for the profiling of 3,4-methylenedioxymethamphetamine, Analytical Methods, 3 (2011) 2279-2288.</w:t>
      </w:r>
    </w:p>
    <w:p w14:paraId="7FB1197B" w14:textId="77777777" w:rsidR="00206599" w:rsidRPr="00206599" w:rsidRDefault="00206599" w:rsidP="00206599">
      <w:pPr>
        <w:pStyle w:val="EndNoteBibliography"/>
      </w:pPr>
      <w:r w:rsidRPr="00206599">
        <w:t>[15] S.D. Brandt, L.A. King, M. Evans-Brown, The new drug phenomenon, Drug. Test. Anal., 6 (2014) 587-597.</w:t>
      </w:r>
    </w:p>
    <w:p w14:paraId="66483640" w14:textId="77777777" w:rsidR="00206599" w:rsidRPr="00206599" w:rsidRDefault="00206599" w:rsidP="00206599">
      <w:pPr>
        <w:pStyle w:val="EndNoteBibliography"/>
      </w:pPr>
      <w:r w:rsidRPr="00206599">
        <w:t>[16] J.W. Huffman, D. Dai, B.R. Martin, D.R. Compton, Design, Synthesis and Pharmacology of Cannabimimetic Indoles, Bioorganic &amp; Medicinal Chemistry Letters, 4 (1994) 563-566.</w:t>
      </w:r>
    </w:p>
    <w:p w14:paraId="414D4E75" w14:textId="77777777" w:rsidR="00206599" w:rsidRPr="00206599" w:rsidRDefault="00206599" w:rsidP="00206599">
      <w:pPr>
        <w:pStyle w:val="EndNoteBibliography"/>
      </w:pPr>
      <w:r w:rsidRPr="00206599">
        <w:t>[17] R. Mechoulam, J.J. Feigenbaum, N. Lander, M. Segal, T.U.C. Järbe, A.J. Hiltunen, P. Consroe, Enantiomeric cannabinoids: stereospecificity of psychotropic activity, Experientia, 44 (1988) 762-764.</w:t>
      </w:r>
    </w:p>
    <w:p w14:paraId="27EDB776" w14:textId="77777777" w:rsidR="00206599" w:rsidRPr="00206599" w:rsidRDefault="00206599" w:rsidP="00206599">
      <w:pPr>
        <w:pStyle w:val="EndNoteBibliography"/>
      </w:pPr>
      <w:r w:rsidRPr="00206599">
        <w:lastRenderedPageBreak/>
        <w:t>[18] T.M. Brunt, A.M. Atkinson, T. Nefau, M. Martinez, E. Lahaie, A. Malzcewski, M. Pazitny, V. Belackova, S.D. Brandt, Online test purchased new psychoactive substances in 5 different European countries: A snapshot study of chemical composition and price, Int. J. Drug Policy, 44 (2017) 105-114.</w:t>
      </w:r>
    </w:p>
    <w:p w14:paraId="62C3B558" w14:textId="77777777" w:rsidR="00206599" w:rsidRPr="00206599" w:rsidRDefault="00206599" w:rsidP="00206599">
      <w:pPr>
        <w:pStyle w:val="EndNoteBibliography"/>
      </w:pPr>
      <w:r w:rsidRPr="00206599">
        <w:t>[19] V. Auwarter, S. Dresen, W. Weinmann, M. Muller, M. Putz, N. Ferreiros, 'Spice' and other herbal blends: harmless incense or cannabinoid designer drugs?, J. Mass Spectrom., 44 (2009) 832-837.</w:t>
      </w:r>
    </w:p>
    <w:p w14:paraId="79937F3D" w14:textId="625CE401" w:rsidR="00206599" w:rsidRPr="00206599" w:rsidRDefault="00206599" w:rsidP="00206599">
      <w:pPr>
        <w:pStyle w:val="EndNoteBibliography"/>
      </w:pPr>
      <w:r w:rsidRPr="00206599">
        <w:t xml:space="preserve">[20] EMCDDA, Synthetic cannabinoids in Europe (Perspectives on drugs), EMCDDA, Access date: 09.10.2019, </w:t>
      </w:r>
      <w:hyperlink r:id="rId9" w:history="1">
        <w:r w:rsidRPr="00206599">
          <w:rPr>
            <w:rStyle w:val="Hyperlink"/>
          </w:rPr>
          <w:t>http://www.emcdda.europa.eu/system/files/publications/2753/POD_Synthetic%20cannabinoids_0.pdf</w:t>
        </w:r>
      </w:hyperlink>
    </w:p>
    <w:p w14:paraId="186516DA" w14:textId="77777777" w:rsidR="00206599" w:rsidRPr="00206599" w:rsidRDefault="00206599" w:rsidP="00206599">
      <w:pPr>
        <w:pStyle w:val="EndNoteBibliography"/>
      </w:pPr>
      <w:r w:rsidRPr="00206599">
        <w:t>[21] S. Münster-Müller, N. Scheid, T. Holdermann, S. Schneiders, M. Pütz, Profiling of new psychoactive substances by using stable isotope ratio mass spectrometry: Study of the synthetic cannabinoid 5F-PB-22, Drug. Test. Anal., 10 (2018) 1323-1327.</w:t>
      </w:r>
    </w:p>
    <w:p w14:paraId="05BCA483" w14:textId="77777777" w:rsidR="00206599" w:rsidRPr="00206599" w:rsidRDefault="00206599" w:rsidP="00206599">
      <w:pPr>
        <w:pStyle w:val="EndNoteBibliography"/>
      </w:pPr>
      <w:r w:rsidRPr="00206599">
        <w:t>[22] S. Münster-Müller, R. Zimmermann, M. Pütz, A Novel Impurity-Profiling Workflow with the Combination of Flash-Chromatography, UHPLC-MS, and Multivariate Data Analysis for Highly Pure Drugs: A Study on the Synthetic Cannabinoid MDMB-CHMICA, Anal. Chem., 90 (2018) 10559-10567.</w:t>
      </w:r>
    </w:p>
    <w:p w14:paraId="3389A505" w14:textId="77777777" w:rsidR="00206599" w:rsidRPr="00206599" w:rsidRDefault="00206599" w:rsidP="00206599">
      <w:pPr>
        <w:pStyle w:val="EndNoteBibliography"/>
      </w:pPr>
      <w:r w:rsidRPr="00206599">
        <w:t>[23] H.A.S. Buchanan, N.N. Daéid, W. Meier-Augenstein, H.F. Kemp, W.J. Kerr, M. Middleditch, Emerging Use of Isotope Ratio Mass Spectrometry as a Tool for Discrimination of 3,4-Methylenedioxymethamphetamine by Synthetic Route, Anal. Chem., 80 (2008) 3350-3356.</w:t>
      </w:r>
    </w:p>
    <w:p w14:paraId="006215B8" w14:textId="77777777" w:rsidR="00206599" w:rsidRPr="00206599" w:rsidRDefault="00206599" w:rsidP="00206599">
      <w:pPr>
        <w:pStyle w:val="EndNoteBibliography"/>
      </w:pPr>
      <w:r w:rsidRPr="00206599">
        <w:t>[24] N. NicDaeid, W. Meier-Augenstein, H.F. Kemp, O.B. Sutcliffe, Using isotopic fractionation to link precursor to product in the synthesis of (+/-)-mephedrone: a new tool for combating "legal high" drugs, Anal. Chem., 84 (2012) 8691-8696.</w:t>
      </w:r>
    </w:p>
    <w:p w14:paraId="5306F8F5" w14:textId="77777777" w:rsidR="00206599" w:rsidRPr="00206599" w:rsidRDefault="00206599" w:rsidP="00206599">
      <w:pPr>
        <w:pStyle w:val="EndNoteBibliography"/>
      </w:pPr>
      <w:r w:rsidRPr="00206599">
        <w:t>[25] M. Collins, A. Doddridge, H. Salouros, Cathinones: Isotopic profiling as an aid to linking seizures, Drug Testing and Analysis, 8 (2016) 903-909.</w:t>
      </w:r>
    </w:p>
    <w:p w14:paraId="4CF143E2" w14:textId="77777777" w:rsidR="00206599" w:rsidRPr="00206599" w:rsidRDefault="00206599" w:rsidP="00206599">
      <w:pPr>
        <w:pStyle w:val="EndNoteBibliography"/>
      </w:pPr>
      <w:r w:rsidRPr="00206599">
        <w:t>[26] V. Angerer, L. Mogler, J.-P. Steitz, P. Bisel, C. Hess, C.T. Schoeder, C.E. Müller, L.M. Huppertz, F. Westphal, J. Schäper, V. Auwärter, Structural characterization and pharmacological evaluation of the new synthetic cannabinoid CUMYL-PEGACLONE, Drug. Test. Anal., 10 (2018) 597-603.</w:t>
      </w:r>
    </w:p>
    <w:p w14:paraId="78490B2A" w14:textId="77777777" w:rsidR="00206599" w:rsidRPr="00206599" w:rsidRDefault="00206599" w:rsidP="00206599">
      <w:pPr>
        <w:pStyle w:val="EndNoteBibliography"/>
      </w:pPr>
      <w:r w:rsidRPr="00206599">
        <w:t>[27] S. Münster-Müller, S. Hansen, T. Opatz, R. Zimmermann, M. Pütz, Chemical profiling of the synthetic cannabinoid MDMB-CHMICA: Identification, assessment, and stability study of synthesis-related impurities in seized and synthesized samples, Drug Test. Anal., 11 (2019) 1192-1206.</w:t>
      </w:r>
    </w:p>
    <w:p w14:paraId="364AEC89" w14:textId="77777777" w:rsidR="00206599" w:rsidRPr="00206599" w:rsidRDefault="00206599" w:rsidP="00206599">
      <w:pPr>
        <w:pStyle w:val="EndNoteBibliography"/>
      </w:pPr>
      <w:r w:rsidRPr="00206599">
        <w:t>[28] T. Schoenberger, Determination of standard sample purity using the high-precision 1H-NMR process, Anal. Bioanal. Chem., 403 (2012) 247-254.</w:t>
      </w:r>
    </w:p>
    <w:p w14:paraId="7043B522" w14:textId="77777777" w:rsidR="00206599" w:rsidRPr="00206599" w:rsidRDefault="00206599" w:rsidP="00206599">
      <w:pPr>
        <w:pStyle w:val="EndNoteBibliography"/>
      </w:pPr>
      <w:r w:rsidRPr="00206599">
        <w:t>[29] P. Buchler, Indazole derivatives, WO2009106980, US, 2009</w:t>
      </w:r>
    </w:p>
    <w:p w14:paraId="21BF5480" w14:textId="77777777" w:rsidR="00206599" w:rsidRPr="00206599" w:rsidRDefault="00206599" w:rsidP="00206599">
      <w:pPr>
        <w:pStyle w:val="EndNoteBibliography"/>
      </w:pPr>
      <w:r w:rsidRPr="00206599">
        <w:t>[30] R.D. Clark, A.B. Miller, J. Berger, D.B. Repke, K.K. Weinhardt, B.A. Kowalczyk, R.M. Eglen, D.W. Bonhaus, C.H. Lee, 2-(Quinuclidin-3-yl)pyrido[4,3-b]indol-1-ones and isoquinolin-1-ones. Potent conformationally restricted 5-HT3 receptor antagonists, J. Med. Chem., 36 (1993) 2645-2657.</w:t>
      </w:r>
    </w:p>
    <w:p w14:paraId="74F1B469" w14:textId="77777777" w:rsidR="00206599" w:rsidRPr="00206599" w:rsidRDefault="00206599" w:rsidP="00206599">
      <w:pPr>
        <w:pStyle w:val="EndNoteBibliography"/>
      </w:pPr>
      <w:r w:rsidRPr="00206599">
        <w:t>[31] S.T. Wrobleski, P. Chen, J. Hynes, S. Lin, D.J. Norris, C.R. Pandit, S. Spergel, H. Wu, J.S. Tokarski, X. Chen, K.M. Gillooly, P.A. Kiener, K.W. McIntyre, V. Patil-koota, D.J. Shuster, L.A. Turk, G. Yang, K. Leftheris, Rational Design and Synthesis of an Orally Active Indolopyridone as a Novel Conformationally Constrained Cannabinoid Ligand Possessing Antiinflammatory Properties, J. Med. Chem., 46 (2003) 2110-2116.</w:t>
      </w:r>
    </w:p>
    <w:p w14:paraId="230A199E" w14:textId="77777777" w:rsidR="00206599" w:rsidRPr="00206599" w:rsidRDefault="00206599" w:rsidP="00206599">
      <w:pPr>
        <w:pStyle w:val="EndNoteBibliography"/>
      </w:pPr>
      <w:r w:rsidRPr="00206599">
        <w:t>[32] J.P. Jasper, B.J. Westenberger, J.A. Spencer, L.F. Buhse, M. Nasr, Stable isotopic characterization of active pharmaceutical ingredients, J. Pharm. Biomed. Anal., 35 (2004) 21-30.</w:t>
      </w:r>
    </w:p>
    <w:p w14:paraId="1A6696CE" w14:textId="77777777" w:rsidR="00206599" w:rsidRPr="00206599" w:rsidRDefault="00206599" w:rsidP="00206599">
      <w:pPr>
        <w:pStyle w:val="EndNoteBibliography"/>
      </w:pPr>
      <w:r w:rsidRPr="00206599">
        <w:t>[33] A.M. Wokovich, J.A. Spencer, B.J. Westenberger, L.F. Buhse, J.P. Jasper, Stable isotopic composition of the active pharmaceutical ingredient (API) naproxen, J. Pharm. Biomed. Anal., 38 (2005) 781-784.</w:t>
      </w:r>
    </w:p>
    <w:p w14:paraId="541910C4" w14:textId="77777777" w:rsidR="00206599" w:rsidRPr="00206599" w:rsidRDefault="00206599" w:rsidP="00206599">
      <w:pPr>
        <w:pStyle w:val="EndNoteBibliography"/>
      </w:pPr>
      <w:r w:rsidRPr="00206599">
        <w:t>[34] T.B. Coplen, J. Hopple, J. Boehike, H. Peiser, S. Rieder, Compilation of minimum and maximum isotope ratios of selected elements in naturally occurring terrestrial materials and reagents, US Geology Survey, (2002).</w:t>
      </w:r>
    </w:p>
    <w:p w14:paraId="2C4D7FA5" w14:textId="77777777" w:rsidR="00206599" w:rsidRPr="00206599" w:rsidRDefault="00206599" w:rsidP="00206599">
      <w:pPr>
        <w:pStyle w:val="EndNoteBibliography"/>
      </w:pPr>
      <w:r w:rsidRPr="00206599">
        <w:lastRenderedPageBreak/>
        <w:t>[35] J.A. Calder, P.L. Parker, Stable carbon isotope ratios as indexes of petrochemical pollution of aquatic systems, Environ. Sci. Technol., 2 (1968) 535-539.</w:t>
      </w:r>
    </w:p>
    <w:p w14:paraId="0927AD7B" w14:textId="77777777" w:rsidR="00206599" w:rsidRPr="00206599" w:rsidRDefault="00206599" w:rsidP="00206599">
      <w:pPr>
        <w:pStyle w:val="EndNoteBibliography"/>
      </w:pPr>
      <w:r w:rsidRPr="00206599">
        <w:t>[36] Z. Sofer, Stable carbon isotope compositions of crude oils: application to source depositional environments and petroleum alteration, AAPG bulletin, 68 (1984) 31-49.</w:t>
      </w:r>
    </w:p>
    <w:p w14:paraId="77DD43E8" w14:textId="77777777" w:rsidR="00206599" w:rsidRPr="00206599" w:rsidRDefault="00206599" w:rsidP="00206599">
      <w:pPr>
        <w:pStyle w:val="EndNoteBibliography"/>
      </w:pPr>
      <w:r w:rsidRPr="00206599">
        <w:t>[37] T.B. Coplen, J. Hopple, J. Boehike, H. Peiser, S. Rieder, Compilation of minimum and maximum isotope ratios of selected elements in naturally occurring terrestrial materials and reagents, (2002).</w:t>
      </w:r>
    </w:p>
    <w:p w14:paraId="038EFABB" w14:textId="77777777" w:rsidR="00206599" w:rsidRPr="00206599" w:rsidRDefault="00206599" w:rsidP="00206599">
      <w:pPr>
        <w:pStyle w:val="EndNoteBibliography"/>
      </w:pPr>
      <w:r w:rsidRPr="00206599">
        <w:t>[38] H. Slusarczyk, S. Felber, M.R. Kula, M. Pohl, Stabilization of NAD-dependent formate dehydrogenase from Candida boidinii by site-directed mutagenesis of cysteine residues, Eur. J. Biochem., 267 (2000) 1280-1289.</w:t>
      </w:r>
    </w:p>
    <w:p w14:paraId="7A4FBB45" w14:textId="7E830620" w:rsidR="00F3279A" w:rsidRDefault="00C25A7C" w:rsidP="00F3279A">
      <w:pPr>
        <w:spacing w:line="480" w:lineRule="auto"/>
      </w:pPr>
      <w:r w:rsidRPr="008E13D5">
        <w:fldChar w:fldCharType="end"/>
      </w:r>
    </w:p>
    <w:p w14:paraId="11355885" w14:textId="6B3F6698" w:rsidR="00F3279A" w:rsidRDefault="00F3279A" w:rsidP="00F3279A">
      <w:pPr>
        <w:spacing w:line="480" w:lineRule="auto"/>
      </w:pPr>
      <w:r>
        <w:rPr>
          <w:noProof/>
          <w:lang w:eastAsia="en-GB"/>
        </w:rPr>
        <w:drawing>
          <wp:inline distT="0" distB="0" distL="0" distR="0" wp14:anchorId="5A897522" wp14:editId="665F7C8E">
            <wp:extent cx="4333875" cy="217873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0855" cy="2182245"/>
                    </a:xfrm>
                    <a:prstGeom prst="rect">
                      <a:avLst/>
                    </a:prstGeom>
                    <a:noFill/>
                    <a:ln>
                      <a:noFill/>
                    </a:ln>
                  </pic:spPr>
                </pic:pic>
              </a:graphicData>
            </a:graphic>
          </wp:inline>
        </w:drawing>
      </w:r>
    </w:p>
    <w:p w14:paraId="46919838" w14:textId="77777777" w:rsidR="00F3279A" w:rsidRPr="00CC77CD" w:rsidRDefault="00F3279A" w:rsidP="00F3279A">
      <w:pPr>
        <w:pStyle w:val="Beschriftung"/>
        <w:spacing w:line="480" w:lineRule="auto"/>
      </w:pPr>
      <w:r>
        <w:t>Figure 1: Structural formulas of MDMB-CHMICA and Cumyl-PeGaClone</w:t>
      </w:r>
      <w:r w:rsidRPr="008E13D5">
        <w:rPr>
          <w:szCs w:val="24"/>
        </w:rPr>
        <w:t xml:space="preserve"> </w:t>
      </w:r>
    </w:p>
    <w:p w14:paraId="48E2E92A" w14:textId="783A404E" w:rsidR="00F3279A" w:rsidRDefault="00F3279A" w:rsidP="00F3279A">
      <w:pPr>
        <w:spacing w:line="480" w:lineRule="auto"/>
      </w:pPr>
    </w:p>
    <w:p w14:paraId="50AF3EA5" w14:textId="77777777" w:rsidR="00F3279A" w:rsidRDefault="00F3279A" w:rsidP="00F3279A">
      <w:pPr>
        <w:spacing w:line="480" w:lineRule="auto"/>
        <w:jc w:val="left"/>
      </w:pPr>
      <w:r>
        <w:br w:type="page"/>
      </w:r>
    </w:p>
    <w:p w14:paraId="6C77FF6C" w14:textId="5FD02F30" w:rsidR="00F3279A" w:rsidRDefault="00F3279A" w:rsidP="00F3279A">
      <w:pPr>
        <w:spacing w:line="480" w:lineRule="auto"/>
      </w:pPr>
      <w:r>
        <w:rPr>
          <w:noProof/>
        </w:rPr>
        <w:lastRenderedPageBreak/>
        <w:drawing>
          <wp:inline distT="0" distB="0" distL="0" distR="0" wp14:anchorId="47ED5552" wp14:editId="76EEFC02">
            <wp:extent cx="3619500" cy="206603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39" cy="2073304"/>
                    </a:xfrm>
                    <a:prstGeom prst="rect">
                      <a:avLst/>
                    </a:prstGeom>
                    <a:noFill/>
                    <a:ln>
                      <a:noFill/>
                    </a:ln>
                  </pic:spPr>
                </pic:pic>
              </a:graphicData>
            </a:graphic>
          </wp:inline>
        </w:drawing>
      </w:r>
    </w:p>
    <w:p w14:paraId="528EB61D" w14:textId="77777777" w:rsidR="00F3279A" w:rsidRDefault="00F3279A" w:rsidP="00F3279A">
      <w:pPr>
        <w:pStyle w:val="Beschriftung"/>
        <w:spacing w:line="480" w:lineRule="auto"/>
      </w:pPr>
      <w:r>
        <w:t>Figure 2: Potential precursor substances for MDMB-CHMICA (left) and Cumyl-PeGaClone (right)</w:t>
      </w:r>
    </w:p>
    <w:p w14:paraId="6DC1DFAD" w14:textId="391A4B7A" w:rsidR="00F3279A" w:rsidRDefault="00F3279A" w:rsidP="00F3279A">
      <w:pPr>
        <w:spacing w:line="480" w:lineRule="auto"/>
      </w:pPr>
    </w:p>
    <w:p w14:paraId="40CE5446" w14:textId="4683C9CF" w:rsidR="00F3279A" w:rsidRDefault="00F3279A" w:rsidP="00F3279A">
      <w:pPr>
        <w:spacing w:line="480" w:lineRule="auto"/>
      </w:pPr>
    </w:p>
    <w:p w14:paraId="48E1F5DF" w14:textId="77777777" w:rsidR="00F3279A" w:rsidRDefault="00F3279A" w:rsidP="00F3279A">
      <w:pPr>
        <w:spacing w:line="480" w:lineRule="auto"/>
      </w:pPr>
    </w:p>
    <w:p w14:paraId="3D677AEF" w14:textId="45E3F34C" w:rsidR="00F3279A" w:rsidRDefault="00F3279A" w:rsidP="00F3279A">
      <w:pPr>
        <w:spacing w:line="480" w:lineRule="auto"/>
      </w:pPr>
    </w:p>
    <w:p w14:paraId="09796E64" w14:textId="77777777" w:rsidR="00F3279A" w:rsidRDefault="00F3279A" w:rsidP="00F3279A">
      <w:pPr>
        <w:spacing w:line="480" w:lineRule="auto"/>
        <w:jc w:val="left"/>
      </w:pPr>
      <w:r>
        <w:br w:type="page"/>
      </w:r>
    </w:p>
    <w:p w14:paraId="5F96C148" w14:textId="6E032398" w:rsidR="00F3279A" w:rsidRDefault="00F3279A" w:rsidP="00F3279A">
      <w:pPr>
        <w:spacing w:line="480" w:lineRule="auto"/>
      </w:pPr>
      <w:r>
        <w:rPr>
          <w:noProof/>
        </w:rPr>
        <w:lastRenderedPageBreak/>
        <w:drawing>
          <wp:inline distT="0" distB="0" distL="0" distR="0" wp14:anchorId="4DF28704" wp14:editId="6C327AFE">
            <wp:extent cx="4772025" cy="19145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2025" cy="1914525"/>
                    </a:xfrm>
                    <a:prstGeom prst="rect">
                      <a:avLst/>
                    </a:prstGeom>
                    <a:noFill/>
                    <a:ln>
                      <a:noFill/>
                    </a:ln>
                  </pic:spPr>
                </pic:pic>
              </a:graphicData>
            </a:graphic>
          </wp:inline>
        </w:drawing>
      </w:r>
    </w:p>
    <w:p w14:paraId="3581C1BF" w14:textId="77777777" w:rsidR="00F3279A" w:rsidRDefault="00F3279A" w:rsidP="00F3279A">
      <w:pPr>
        <w:pStyle w:val="Beschriftung"/>
        <w:spacing w:line="480" w:lineRule="auto"/>
      </w:pPr>
      <w:r>
        <w:t xml:space="preserve">Figure 3: Sketched synthesis of Cumyl-PeGaClone from a 2-methyl-indole derivative of Cumyl-PICA following the synthesis instructions from Clark et al. </w:t>
      </w:r>
      <w:r>
        <w:fldChar w:fldCharType="begin"/>
      </w:r>
      <w:r>
        <w:instrText xml:space="preserve"> ADDIN EN.CITE &lt;EndNote&gt;&lt;Cite&gt;&lt;Author&gt;Clark&lt;/Author&gt;&lt;Year&gt;1993&lt;/Year&gt;&lt;RecNum&gt;62&lt;/RecNum&gt;&lt;DisplayText&gt;[30]&lt;/DisplayText&gt;&lt;record&gt;&lt;rec-number&gt;62&lt;/rec-number&gt;&lt;foreign-keys&gt;&lt;key app="EN" db-id="0rddxvvew22rz1e0fxk52w2v5v9ad9et50ep" timestamp="1541675763"&gt;62&lt;/key&gt;&lt;/foreign-keys&gt;&lt;ref-type name="Journal Article"&gt;17&lt;/ref-type&gt;&lt;contributors&gt;&lt;authors&gt;&lt;author&gt;Clark, Robin D.&lt;/author&gt;&lt;author&gt;Miller, Aaron B.&lt;/author&gt;&lt;author&gt;Berger, Jacob&lt;/author&gt;&lt;author&gt;Repke, David B.&lt;/author&gt;&lt;author&gt;Weinhardt, Klaus K.&lt;/author&gt;&lt;author&gt;Kowalczyk, Bruce A.&lt;/author&gt;&lt;author&gt;Eglen, Richard M.&lt;/author&gt;&lt;author&gt;Bonhaus, Douglas W.&lt;/author&gt;&lt;author&gt;Lee, Chi Ho&lt;/author&gt;&lt;/authors&gt;&lt;/contributors&gt;&lt;titles&gt;&lt;title&gt;2-(Quinuclidin-3-yl)pyrido[4,3-b]indol-1-ones and isoquinolin-1-ones. Potent conformationally restricted 5-HT3 receptor antagonists&lt;/title&gt;&lt;secondary-title&gt;Journal of Medicinal Chemistry&lt;/secondary-title&gt;&lt;/titles&gt;&lt;periodical&gt;&lt;full-title&gt;Journal of Medicinal Chemistry&lt;/full-title&gt;&lt;abbr-1&gt;J. Med. Chem.&lt;/abbr-1&gt;&lt;abbr-2&gt;J Med Chem&lt;/abbr-2&gt;&lt;/periodical&gt;&lt;pages&gt;2645-2657&lt;/pages&gt;&lt;volume&gt;36&lt;/volume&gt;&lt;number&gt;18&lt;/number&gt;&lt;dates&gt;&lt;year&gt;1993&lt;/year&gt;&lt;pub-dates&gt;&lt;date&gt;1993/09/01&lt;/date&gt;&lt;/pub-dates&gt;&lt;/dates&gt;&lt;publisher&gt;American Chemical Society&lt;/publisher&gt;&lt;isbn&gt;0022-2623&lt;/isbn&gt;&lt;urls&gt;&lt;related-urls&gt;&lt;url&gt;https://doi.org/10.1021/jm00070a008&lt;/url&gt;&lt;/related-urls&gt;&lt;/urls&gt;&lt;electronic-resource-num&gt;10.1021/jm00070a008&lt;/electronic-resource-num&gt;&lt;/record&gt;&lt;/Cite&gt;&lt;/EndNote&gt;</w:instrText>
      </w:r>
      <w:r>
        <w:fldChar w:fldCharType="separate"/>
      </w:r>
      <w:r>
        <w:rPr>
          <w:noProof/>
        </w:rPr>
        <w:t>[30]</w:t>
      </w:r>
      <w:r>
        <w:fldChar w:fldCharType="end"/>
      </w:r>
    </w:p>
    <w:p w14:paraId="54F98798" w14:textId="1FA24687" w:rsidR="00F3279A" w:rsidRDefault="00F3279A" w:rsidP="00F3279A">
      <w:pPr>
        <w:spacing w:line="480" w:lineRule="auto"/>
      </w:pPr>
    </w:p>
    <w:p w14:paraId="2F786CB4" w14:textId="39EF100E" w:rsidR="00F3279A" w:rsidRDefault="00F3279A" w:rsidP="00F3279A">
      <w:pPr>
        <w:spacing w:line="480" w:lineRule="auto"/>
      </w:pPr>
    </w:p>
    <w:p w14:paraId="2347BAAF" w14:textId="77777777" w:rsidR="00F3279A" w:rsidRDefault="00F3279A" w:rsidP="00F3279A">
      <w:pPr>
        <w:spacing w:line="480" w:lineRule="auto"/>
      </w:pPr>
    </w:p>
    <w:p w14:paraId="3848E6F1" w14:textId="77777777" w:rsidR="00F3279A" w:rsidRDefault="00F3279A" w:rsidP="00F3279A">
      <w:pPr>
        <w:spacing w:line="480" w:lineRule="auto"/>
        <w:jc w:val="left"/>
        <w:rPr>
          <w:lang w:val="en-US"/>
        </w:rPr>
      </w:pPr>
      <w:r>
        <w:rPr>
          <w:lang w:val="en-US"/>
        </w:rPr>
        <w:br w:type="page"/>
      </w:r>
    </w:p>
    <w:p w14:paraId="3D6E4FC4" w14:textId="128CA2A9" w:rsidR="00F3279A" w:rsidRPr="005638A6" w:rsidRDefault="00F3279A" w:rsidP="00F3279A">
      <w:pPr>
        <w:spacing w:line="480" w:lineRule="auto"/>
        <w:rPr>
          <w:lang w:val="en-US"/>
        </w:rPr>
      </w:pPr>
      <w:r>
        <w:rPr>
          <w:noProof/>
          <w:lang w:val="en-US"/>
        </w:rPr>
        <w:lastRenderedPageBreak/>
        <w:drawing>
          <wp:inline distT="0" distB="0" distL="0" distR="0" wp14:anchorId="2B141B76" wp14:editId="5C9A5F7D">
            <wp:extent cx="2952750" cy="2619375"/>
            <wp:effectExtent l="0" t="0" r="0" b="9525"/>
            <wp:docPr id="1" name="Grafik 1" descr="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2619375"/>
                    </a:xfrm>
                    <a:prstGeom prst="rect">
                      <a:avLst/>
                    </a:prstGeom>
                    <a:noFill/>
                    <a:ln>
                      <a:noFill/>
                    </a:ln>
                  </pic:spPr>
                </pic:pic>
              </a:graphicData>
            </a:graphic>
          </wp:inline>
        </w:drawing>
      </w:r>
    </w:p>
    <w:p w14:paraId="609CA826" w14:textId="11D19E00" w:rsidR="00F3279A" w:rsidRPr="00F3279A" w:rsidRDefault="00F3279A" w:rsidP="00F3279A">
      <w:pPr>
        <w:pStyle w:val="Beschriftung"/>
        <w:spacing w:line="480" w:lineRule="auto"/>
        <w:rPr>
          <w:lang w:val="en-US"/>
        </w:rPr>
      </w:pPr>
      <w:r>
        <w:t xml:space="preserve">Figure 4: Measured </w:t>
      </w:r>
      <w:r w:rsidRPr="0046549B">
        <w:t>δ</w:t>
      </w:r>
      <w:r w:rsidRPr="0046549B">
        <w:rPr>
          <w:vertAlign w:val="superscript"/>
        </w:rPr>
        <w:t>13</w:t>
      </w:r>
      <w:r>
        <w:t>C and</w:t>
      </w:r>
      <w:r w:rsidRPr="0046549B">
        <w:t xml:space="preserve"> δ</w:t>
      </w:r>
      <w:r w:rsidRPr="0046549B">
        <w:rPr>
          <w:vertAlign w:val="superscript"/>
        </w:rPr>
        <w:t>15</w:t>
      </w:r>
      <w:r w:rsidRPr="0046549B">
        <w:t xml:space="preserve">N values </w:t>
      </w:r>
      <w:r>
        <w:t xml:space="preserve">for the 40 kg seizure (40 individual samples) of MDMB-CHMICA conducted by Luxembourg customs in December 2014. Each samples was coloured according to the batch discrimination by the impurity profiling conducted in a previous study </w:t>
      </w:r>
      <w:r>
        <w:fldChar w:fldCharType="begin"/>
      </w:r>
      <w:r>
        <w:instrText xml:space="preserve"> ADDIN EN.CITE &lt;EndNote&gt;&lt;Cite&gt;&lt;Author&gt;Münster-Müller&lt;/Author&gt;&lt;Year&gt;2018&lt;/Year&gt;&lt;RecNum&gt;56&lt;/RecNum&gt;&lt;DisplayText&gt;[22]&lt;/DisplayText&gt;&lt;record&gt;&lt;rec-number&gt;56&lt;/rec-number&gt;&lt;foreign-keys&gt;&lt;key app="EN" db-id="0rddxvvew22rz1e0fxk52w2v5v9ad9et50ep" timestamp="1537963252"&gt;56&lt;/key&gt;&lt;/foreign-keys&gt;&lt;ref-type name="Journal Article"&gt;17&lt;/ref-type&gt;&lt;contributors&gt;&lt;authors&gt;&lt;author&gt;Münster-Müller, Sascha&lt;/author&gt;&lt;author&gt;Zimmermann, Ralf&lt;/author&gt;&lt;author&gt;Pütz, Michael&lt;/author&gt;&lt;/authors&gt;&lt;/contributors&gt;&lt;titles&gt;&lt;title&gt;A Novel Impurity-Profiling Workflow with the Combination of Flash-Chromatography, UHPLC-MS, and Multivariate Data Analysis for Highly Pure Drugs: A Study on the Synthetic Cannabinoid MDMB-CHMICA&lt;/title&gt;&lt;secondary-title&gt;Analytical Chemistry&lt;/secondary-title&gt;&lt;/titles&gt;&lt;periodical&gt;&lt;full-title&gt;Analytical Chemistry&lt;/full-title&gt;&lt;abbr-1&gt;Anal. Chem.&lt;/abbr-1&gt;&lt;abbr-2&gt;Anal Chem&lt;/abbr-2&gt;&lt;/periodical&gt;&lt;pages&gt;10559-10567&lt;/pages&gt;&lt;volume&gt;90&lt;/volume&gt;&lt;number&gt;17&lt;/number&gt;&lt;dates&gt;&lt;year&gt;2018&lt;/year&gt;&lt;pub-dates&gt;&lt;date&gt;2018/09/04&lt;/date&gt;&lt;/pub-dates&gt;&lt;/dates&gt;&lt;publisher&gt;American Chemical Society&lt;/publisher&gt;&lt;isbn&gt;0003-2700&lt;/isbn&gt;&lt;urls&gt;&lt;related-urls&gt;&lt;url&gt;https://doi.org/10.1021/acs.analchem.8b02679&lt;/url&gt;&lt;/related-urls&gt;&lt;/urls&gt;&lt;electronic-resource-num&gt;10.1021/acs.analchem.8b02679&lt;/electronic-resource-num&gt;&lt;/record&gt;&lt;/Cite&gt;&lt;/EndNote&gt;</w:instrText>
      </w:r>
      <w:r>
        <w:fldChar w:fldCharType="separate"/>
      </w:r>
      <w:r>
        <w:rPr>
          <w:noProof/>
        </w:rPr>
        <w:t>[22]</w:t>
      </w:r>
      <w:r>
        <w:fldChar w:fldCharType="end"/>
      </w:r>
      <w:r>
        <w:t xml:space="preserve">. </w:t>
      </w:r>
    </w:p>
    <w:p w14:paraId="5ABA401B" w14:textId="77777777" w:rsidR="00F3279A" w:rsidRDefault="00F3279A" w:rsidP="00F3279A">
      <w:pPr>
        <w:spacing w:line="480" w:lineRule="auto"/>
        <w:jc w:val="left"/>
        <w:rPr>
          <w:b/>
          <w:bCs/>
          <w:sz w:val="18"/>
        </w:rPr>
      </w:pPr>
      <w:r>
        <w:br w:type="page"/>
      </w:r>
    </w:p>
    <w:p w14:paraId="4F588BC5" w14:textId="5FD07235" w:rsidR="00F3279A" w:rsidRDefault="00F3279A" w:rsidP="00F3279A">
      <w:pPr>
        <w:pStyle w:val="Beschriftung"/>
        <w:spacing w:line="480" w:lineRule="auto"/>
      </w:pPr>
      <w:r>
        <w:rPr>
          <w:noProof/>
          <w:lang w:eastAsia="en-GB"/>
        </w:rPr>
        <w:lastRenderedPageBreak/>
        <w:drawing>
          <wp:inline distT="0" distB="0" distL="0" distR="0" wp14:anchorId="227FFBCF" wp14:editId="22EC0AAB">
            <wp:extent cx="3238500" cy="28765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0" cy="2876550"/>
                    </a:xfrm>
                    <a:prstGeom prst="rect">
                      <a:avLst/>
                    </a:prstGeom>
                    <a:noFill/>
                    <a:ln>
                      <a:noFill/>
                    </a:ln>
                  </pic:spPr>
                </pic:pic>
              </a:graphicData>
            </a:graphic>
          </wp:inline>
        </w:drawing>
      </w:r>
      <w:r w:rsidRPr="00211CCE">
        <w:t xml:space="preserve"> </w:t>
      </w:r>
    </w:p>
    <w:p w14:paraId="12F6D617" w14:textId="31A711FC" w:rsidR="00F3279A" w:rsidRDefault="00F3279A" w:rsidP="00F3279A">
      <w:pPr>
        <w:pStyle w:val="Beschriftung"/>
        <w:spacing w:line="480" w:lineRule="auto"/>
      </w:pPr>
      <w:r>
        <w:t xml:space="preserve">Figure 5: </w:t>
      </w:r>
      <w:r w:rsidRPr="0046549B">
        <w:t>δ</w:t>
      </w:r>
      <w:r w:rsidRPr="0046549B">
        <w:rPr>
          <w:vertAlign w:val="superscript"/>
        </w:rPr>
        <w:t>13</w:t>
      </w:r>
      <w:r>
        <w:t>C and</w:t>
      </w:r>
      <w:r w:rsidRPr="0046549B">
        <w:t xml:space="preserve"> δ</w:t>
      </w:r>
      <w:r w:rsidRPr="0046549B">
        <w:rPr>
          <w:vertAlign w:val="superscript"/>
        </w:rPr>
        <w:t>15</w:t>
      </w:r>
      <w:r w:rsidRPr="0046549B">
        <w:t xml:space="preserve">N values </w:t>
      </w:r>
      <w:r>
        <w:t xml:space="preserve">for all samples of MDMB-CHMICA (green), Cumyl-PeGaClone (red) and 5F-PB-22 </w:t>
      </w:r>
      <w:r>
        <w:fldChar w:fldCharType="begin"/>
      </w:r>
      <w:r>
        <w:instrText xml:space="preserve"> ADDIN EN.CITE &lt;EndNote&gt;&lt;Cite&gt;&lt;Author&gt;Münster-Müller&lt;/Author&gt;&lt;Year&gt;2018&lt;/Year&gt;&lt;RecNum&gt;57&lt;/RecNum&gt;&lt;DisplayText&gt;[21]&lt;/DisplayText&gt;&lt;record&gt;&lt;rec-number&gt;57&lt;/rec-number&gt;&lt;foreign-keys&gt;&lt;key app="EN" db-id="0rddxvvew22rz1e0fxk52w2v5v9ad9et50ep" timestamp="1538046330"&gt;57&lt;/key&gt;&lt;/foreign-keys&gt;&lt;ref-type name="Journal Article"&gt;17&lt;/ref-type&gt;&lt;contributors&gt;&lt;authors&gt;&lt;author&gt;Münster-Müller, S.&lt;/author&gt;&lt;author&gt;Scheid, N.&lt;/author&gt;&lt;author&gt;Holdermann, T.&lt;/author&gt;&lt;author&gt;Schneiders, S.&lt;/author&gt;&lt;author&gt;Pütz, M.&lt;/author&gt;&lt;/authors&gt;&lt;/contributors&gt;&lt;titles&gt;&lt;title&gt;Profiling of new psychoactive substances by using stable isotope ratio mass spectrometry: Study of the synthetic cannabinoid 5F-PB-22&lt;/title&gt;&lt;secondary-title&gt;Drug Testing and Analysis&lt;/secondary-title&gt;&lt;/titles&gt;&lt;periodical&gt;&lt;full-title&gt;Drug Testing and Analysis&lt;/full-title&gt;&lt;abbr-1&gt;Drug. Test. Anal.&lt;/abbr-1&gt;&lt;/periodical&gt;&lt;pages&gt;1323-1327&lt;/pages&gt;&lt;volume&gt;10&lt;/volume&gt;&lt;number&gt;8&lt;/number&gt;&lt;keywords&gt;&lt;keyword&gt;5F-PB-22&lt;/keyword&gt;&lt;keyword&gt;drug profiling&lt;/keyword&gt;&lt;keyword&gt;EA-IRMS&lt;/keyword&gt;&lt;keyword&gt;new psychoactive substances (NPS)&lt;/keyword&gt;&lt;keyword&gt;stable isotope ratio analysis&lt;/keyword&gt;&lt;/keywords&gt;&lt;dates&gt;&lt;year&gt;2018&lt;/year&gt;&lt;/dates&gt;&lt;isbn&gt;1942-7603&lt;/isbn&gt;&lt;urls&gt;&lt;related-urls&gt;&lt;url&gt;https://doi.org/10.1002/dta.2407&lt;/url&gt;&lt;/related-urls&gt;&lt;/urls&gt;&lt;electronic-resource-num&gt;doi:10.1002/dta.2407&lt;/electronic-resource-num&gt;&lt;modified-date&gt;Dta-18-0014.r1&lt;/modified-date&gt;&lt;/record&gt;&lt;/Cite&gt;&lt;/EndNote&gt;</w:instrText>
      </w:r>
      <w:r>
        <w:fldChar w:fldCharType="separate"/>
      </w:r>
      <w:r>
        <w:rPr>
          <w:noProof/>
        </w:rPr>
        <w:t>[21]</w:t>
      </w:r>
      <w:r>
        <w:fldChar w:fldCharType="end"/>
      </w:r>
      <w:r>
        <w:t xml:space="preserve"> (orange). All samples of synthetic cannabinoids of the same type clustered individually.</w:t>
      </w:r>
    </w:p>
    <w:p w14:paraId="7169BBEC" w14:textId="005B429A" w:rsidR="00F3279A" w:rsidRDefault="00F3279A" w:rsidP="00F3279A">
      <w:pPr>
        <w:spacing w:line="480" w:lineRule="auto"/>
      </w:pPr>
    </w:p>
    <w:p w14:paraId="4816B6C8" w14:textId="2A6EF046" w:rsidR="00F3279A" w:rsidRDefault="00F3279A" w:rsidP="00F3279A">
      <w:pPr>
        <w:spacing w:line="480" w:lineRule="auto"/>
      </w:pPr>
    </w:p>
    <w:p w14:paraId="7291C2A4" w14:textId="77777777" w:rsidR="00F3279A" w:rsidRDefault="00F3279A" w:rsidP="00F3279A">
      <w:pPr>
        <w:spacing w:line="480" w:lineRule="auto"/>
        <w:jc w:val="left"/>
      </w:pPr>
      <w:r>
        <w:br w:type="page"/>
      </w:r>
    </w:p>
    <w:p w14:paraId="7C1742A0" w14:textId="363A3861" w:rsidR="00F3279A" w:rsidRDefault="00F3279A" w:rsidP="00F3279A">
      <w:pPr>
        <w:spacing w:line="480" w:lineRule="auto"/>
      </w:pPr>
      <w:r>
        <w:rPr>
          <w:noProof/>
          <w:lang w:eastAsia="en-GB"/>
        </w:rPr>
        <w:lastRenderedPageBreak/>
        <w:drawing>
          <wp:inline distT="0" distB="0" distL="0" distR="0" wp14:anchorId="4FFB707D" wp14:editId="44933BBB">
            <wp:extent cx="3228975" cy="4572000"/>
            <wp:effectExtent l="0" t="0" r="9525" b="0"/>
            <wp:docPr id="6" name="Grafik 6" descr="Zeitein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eiteinteil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8975" cy="4572000"/>
                    </a:xfrm>
                    <a:prstGeom prst="rect">
                      <a:avLst/>
                    </a:prstGeom>
                    <a:noFill/>
                    <a:ln>
                      <a:noFill/>
                    </a:ln>
                  </pic:spPr>
                </pic:pic>
              </a:graphicData>
            </a:graphic>
          </wp:inline>
        </w:drawing>
      </w:r>
    </w:p>
    <w:p w14:paraId="2363DE73" w14:textId="77777777" w:rsidR="00F3279A" w:rsidRPr="00A5519D" w:rsidRDefault="00F3279A" w:rsidP="00F3279A">
      <w:pPr>
        <w:pStyle w:val="Beschriftung"/>
        <w:spacing w:line="480" w:lineRule="auto"/>
      </w:pPr>
      <w:r>
        <w:t xml:space="preserve">Figure 6: (Top) </w:t>
      </w:r>
      <w:r w:rsidRPr="0046549B">
        <w:t>δ</w:t>
      </w:r>
      <w:r w:rsidRPr="0046549B">
        <w:rPr>
          <w:vertAlign w:val="superscript"/>
        </w:rPr>
        <w:t>13</w:t>
      </w:r>
      <w:r>
        <w:t>C and</w:t>
      </w:r>
      <w:r w:rsidRPr="0046549B">
        <w:t xml:space="preserve"> δ</w:t>
      </w:r>
      <w:r w:rsidRPr="0046549B">
        <w:rPr>
          <w:vertAlign w:val="superscript"/>
        </w:rPr>
        <w:t>15</w:t>
      </w:r>
      <w:r w:rsidRPr="0046549B">
        <w:t xml:space="preserve">N values </w:t>
      </w:r>
      <w:r>
        <w:t>for all “Spice-Products” of MDMB-CHMICA, either measured via EA- or GC-IRMS. Colouring of samples is corresponding to the date of purchase or seizure of the “Spice-Products” in intervals of 5 month (</w:t>
      </w:r>
      <w:r>
        <w:rPr>
          <w:rFonts w:cstheme="minorHAnsi"/>
        </w:rPr>
        <w:t xml:space="preserve">● </w:t>
      </w:r>
      <w:r>
        <w:t xml:space="preserve">September 2014 to February 2014; </w:t>
      </w:r>
      <w:r w:rsidRPr="00CC03D1">
        <w:rPr>
          <w:rFonts w:cstheme="minorHAnsi"/>
          <w:color w:val="FF0000"/>
        </w:rPr>
        <w:t>●</w:t>
      </w:r>
      <w:r>
        <w:t xml:space="preserve"> March 2015 to July 2015; </w:t>
      </w:r>
      <w:r w:rsidRPr="00CC03D1">
        <w:rPr>
          <w:rFonts w:cstheme="minorHAnsi"/>
          <w:color w:val="FFC000" w:themeColor="accent4"/>
        </w:rPr>
        <w:t>●</w:t>
      </w:r>
      <w:r>
        <w:t xml:space="preserve"> August 2015 to December 2015). (Bottom) Summarizing overview of the origin for samples located in each corresponding agglomerates A, B and C.</w:t>
      </w:r>
    </w:p>
    <w:p w14:paraId="7D047894" w14:textId="1B793A42" w:rsidR="00F3279A" w:rsidRDefault="00F3279A" w:rsidP="00F3279A">
      <w:pPr>
        <w:spacing w:line="480" w:lineRule="auto"/>
      </w:pPr>
    </w:p>
    <w:p w14:paraId="14BCA6E8" w14:textId="245BDD36" w:rsidR="00F3279A" w:rsidRDefault="00F3279A" w:rsidP="00F3279A">
      <w:pPr>
        <w:spacing w:line="480" w:lineRule="auto"/>
      </w:pPr>
    </w:p>
    <w:p w14:paraId="5B11FA9C" w14:textId="77777777" w:rsidR="00F3279A" w:rsidRDefault="00F3279A" w:rsidP="00F3279A">
      <w:pPr>
        <w:spacing w:line="480" w:lineRule="auto"/>
        <w:jc w:val="left"/>
        <w:rPr>
          <w:rStyle w:val="tlid-translation"/>
        </w:rPr>
      </w:pPr>
      <w:r>
        <w:rPr>
          <w:rStyle w:val="tlid-translation"/>
        </w:rPr>
        <w:br w:type="page"/>
      </w:r>
    </w:p>
    <w:p w14:paraId="6DEA5FFD" w14:textId="5CE512E0" w:rsidR="00F3279A" w:rsidRDefault="00F3279A" w:rsidP="00F3279A">
      <w:pPr>
        <w:spacing w:line="480" w:lineRule="auto"/>
        <w:rPr>
          <w:rStyle w:val="tlid-translation"/>
        </w:rPr>
      </w:pPr>
      <w:r>
        <w:rPr>
          <w:rStyle w:val="tlid-translation"/>
          <w:noProof/>
        </w:rPr>
        <w:lastRenderedPageBreak/>
        <w:drawing>
          <wp:inline distT="0" distB="0" distL="0" distR="0" wp14:anchorId="3D1595AA" wp14:editId="001B79EC">
            <wp:extent cx="6100760" cy="498157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7137" cy="4986782"/>
                    </a:xfrm>
                    <a:prstGeom prst="rect">
                      <a:avLst/>
                    </a:prstGeom>
                    <a:noFill/>
                  </pic:spPr>
                </pic:pic>
              </a:graphicData>
            </a:graphic>
          </wp:inline>
        </w:drawing>
      </w:r>
    </w:p>
    <w:p w14:paraId="53714FF7" w14:textId="77777777" w:rsidR="00F3279A" w:rsidRDefault="00F3279A" w:rsidP="00F3279A">
      <w:pPr>
        <w:pStyle w:val="Beschriftung"/>
        <w:spacing w:line="480" w:lineRule="auto"/>
      </w:pPr>
      <w:r>
        <w:t>Figure 7: Zoom of the sample agglomerations A</w:t>
      </w:r>
      <w:r>
        <w:rPr>
          <w:vertAlign w:val="subscript"/>
        </w:rPr>
        <w:t>2</w:t>
      </w:r>
      <w:r>
        <w:t>, B</w:t>
      </w:r>
      <w:r>
        <w:rPr>
          <w:vertAlign w:val="subscript"/>
        </w:rPr>
        <w:t>2</w:t>
      </w:r>
      <w:r>
        <w:t>, and C</w:t>
      </w:r>
      <w:r>
        <w:rPr>
          <w:vertAlign w:val="subscript"/>
        </w:rPr>
        <w:t>2</w:t>
      </w:r>
      <w:r>
        <w:t xml:space="preserve"> in the IRMS data with implemented sub-clusters according to the organic impurity-profiling. The fourteen assessed sub-clusters were numbered from 1 to 14 and coloured differently in each zoom for better visualisation. Agglomerate A</w:t>
      </w:r>
      <w:r>
        <w:rPr>
          <w:vertAlign w:val="subscript"/>
        </w:rPr>
        <w:t>2</w:t>
      </w:r>
      <w:r>
        <w:t xml:space="preserve"> consist of eight sub-clusters, possibly </w:t>
      </w:r>
      <w:r w:rsidRPr="00E359EF">
        <w:t>representing individual synthesis batches, whereas the impurity signatures of sub-cluster 1-4 were majorly different from sub-cluster 5-8 (refer to Figure 8 for more information). In agglomerate B</w:t>
      </w:r>
      <w:r w:rsidRPr="00E359EF">
        <w:rPr>
          <w:vertAlign w:val="subscript"/>
        </w:rPr>
        <w:t>2</w:t>
      </w:r>
      <w:r w:rsidRPr="00E359EF">
        <w:t>, four sub-cluster were assigned, each possibly representing an individual synthesis batch. In agglomerate C</w:t>
      </w:r>
      <w:r w:rsidRPr="00E359EF">
        <w:rPr>
          <w:vertAlign w:val="subscript"/>
        </w:rPr>
        <w:t>2</w:t>
      </w:r>
      <w:r w:rsidRPr="00E359EF">
        <w:t>, two potential synthesis batches were found.</w:t>
      </w:r>
    </w:p>
    <w:p w14:paraId="73422CAB" w14:textId="77777777" w:rsidR="00F3279A" w:rsidRPr="00F3279A" w:rsidRDefault="00F3279A" w:rsidP="00F3279A">
      <w:pPr>
        <w:spacing w:line="480" w:lineRule="auto"/>
      </w:pPr>
    </w:p>
    <w:p w14:paraId="3DD4E2F8" w14:textId="77777777" w:rsidR="00F3279A" w:rsidRDefault="00F3279A" w:rsidP="00F3279A">
      <w:pPr>
        <w:spacing w:line="480" w:lineRule="auto"/>
      </w:pPr>
    </w:p>
    <w:p w14:paraId="23CE7830" w14:textId="77777777" w:rsidR="00F3279A" w:rsidRDefault="00F3279A" w:rsidP="00F3279A">
      <w:pPr>
        <w:spacing w:line="480" w:lineRule="auto"/>
        <w:jc w:val="left"/>
        <w:rPr>
          <w:rStyle w:val="tlid-translation"/>
        </w:rPr>
      </w:pPr>
      <w:r>
        <w:rPr>
          <w:rStyle w:val="tlid-translation"/>
        </w:rPr>
        <w:br w:type="page"/>
      </w:r>
    </w:p>
    <w:p w14:paraId="4EEFD1BD" w14:textId="0F337D0C" w:rsidR="00F3279A" w:rsidRDefault="006D7324" w:rsidP="00F3279A">
      <w:pPr>
        <w:spacing w:line="480" w:lineRule="auto"/>
        <w:rPr>
          <w:rStyle w:val="tlid-translation"/>
        </w:rPr>
      </w:pPr>
      <w:r>
        <w:rPr>
          <w:rStyle w:val="tlid-translation"/>
          <w:noProof/>
        </w:rPr>
        <w:lastRenderedPageBreak/>
        <w:drawing>
          <wp:inline distT="0" distB="0" distL="0" distR="0" wp14:anchorId="73867264" wp14:editId="32B21D27">
            <wp:extent cx="4676775" cy="396240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76775" cy="3962400"/>
                    </a:xfrm>
                    <a:prstGeom prst="rect">
                      <a:avLst/>
                    </a:prstGeom>
                    <a:noFill/>
                    <a:ln>
                      <a:noFill/>
                    </a:ln>
                  </pic:spPr>
                </pic:pic>
              </a:graphicData>
            </a:graphic>
          </wp:inline>
        </w:drawing>
      </w:r>
    </w:p>
    <w:p w14:paraId="614E15D3" w14:textId="6B340D05" w:rsidR="00F3279A" w:rsidRDefault="00F3279A" w:rsidP="00F3279A">
      <w:pPr>
        <w:pStyle w:val="Beschriftung"/>
        <w:spacing w:line="480" w:lineRule="auto"/>
        <w:rPr>
          <w:rStyle w:val="tlid-translation"/>
        </w:rPr>
      </w:pPr>
      <w:r>
        <w:t xml:space="preserve">Figure 8: On the left a PCA </w:t>
      </w:r>
      <w:r w:rsidR="00F37407">
        <w:t xml:space="preserve">(Scores and Loadings plot) </w:t>
      </w:r>
      <w:r>
        <w:t xml:space="preserve">of the chromatographic impurity signatures for the samples located in the IRMS agglomerate A (referring </w:t>
      </w:r>
      <w:r w:rsidRPr="00E359EF">
        <w:t>to Figure 6 and 7). The sample collective is subdivided into eight individual sub-cluster, each possibly representing an individual synthesis batch. However, between sub-cluster 1 to 4 and 5 to 8 a major difference in abundance of the two impurities I11 and I4 (as numbered and characterized in a previous study</w:t>
      </w:r>
      <w:r w:rsidRPr="00E359EF">
        <w:fldChar w:fldCharType="begin"/>
      </w:r>
      <w:r>
        <w:instrText xml:space="preserve"> ADDIN EN.CITE &lt;EndNote&gt;&lt;Cite&gt;&lt;Author&gt;Münster-Müller&lt;/Author&gt;&lt;Year&gt;2019&lt;/Year&gt;&lt;RecNum&gt;98&lt;/RecNum&gt;&lt;DisplayText&gt;[27]&lt;/DisplayText&gt;&lt;record&gt;&lt;rec-number&gt;98&lt;/rec-number&gt;&lt;foreign-keys&gt;&lt;key app="EN" db-id="0rddxvvew22rz1e0fxk52w2v5v9ad9et50ep" timestamp="1570273667"&gt;98&lt;/key&gt;&lt;/foreign-keys&gt;&lt;ref-type name="Journal Article"&gt;17&lt;/ref-type&gt;&lt;contributors&gt;&lt;authors&gt;&lt;author&gt;Münster-Müller, Sascha&lt;/author&gt;&lt;author&gt;Hansen, Steven&lt;/author&gt;&lt;author&gt;Opatz, Till&lt;/author&gt;&lt;author&gt;Zimmermann, Ralf&lt;/author&gt;&lt;author&gt;Pütz, Michael&lt;/author&gt;&lt;/authors&gt;&lt;/contributors&gt;&lt;titles&gt;&lt;title&gt;Chemical profiling of the synthetic cannabinoid MDMB-CHMICA: Identification, assessment, and stability study of synthesis-related impurities in seized and synthesized samples&lt;/title&gt;&lt;secondary-title&gt;Drug Test. Anal.&lt;/secondary-title&gt;&lt;/titles&gt;&lt;pages&gt;1192-1206&lt;/pages&gt;&lt;volume&gt; 11&lt;/volume&gt;&lt;number&gt;8&lt;/number&gt;&lt;dates&gt;&lt;year&gt;2019&lt;/year&gt;&lt;/dates&gt;&lt;isbn&gt;1942-7603&lt;/isbn&gt;&lt;urls&gt;&lt;related-urls&gt;&lt;url&gt;https://onlinelibrary.wiley.com/doi/abs/10.1002/dta.2652&lt;/url&gt;&lt;/related-urls&gt;&lt;/urls&gt;&lt;electronic-resource-num&gt;10.1002/dta.2652&lt;/electronic-resource-num&gt;&lt;/record&gt;&lt;/Cite&gt;&lt;/EndNote&gt;</w:instrText>
      </w:r>
      <w:r w:rsidRPr="00E359EF">
        <w:fldChar w:fldCharType="separate"/>
      </w:r>
      <w:r>
        <w:rPr>
          <w:noProof/>
        </w:rPr>
        <w:t>[27]</w:t>
      </w:r>
      <w:r w:rsidRPr="00E359EF">
        <w:fldChar w:fldCharType="end"/>
      </w:r>
      <w:r w:rsidRPr="00E359EF">
        <w:t xml:space="preserve">) was found. On the right, the relative </w:t>
      </w:r>
      <w:r w:rsidRPr="00E359EF">
        <w:rPr>
          <w:rStyle w:val="tlid-translation"/>
        </w:rPr>
        <w:t>intensity of I11 and I4 for the respective samples of both sub-cluster groups are shown</w:t>
      </w:r>
      <w:r w:rsidRPr="00E359EF">
        <w:t>). Possibly, the samples assigned to sub-cluster 1 to 4 were synthesized by a different instrumentation, chemist or synthesis pathway than sub-cluster 5 to 8, although the IRMS data (referring again to Figure 6 and 7) suggests</w:t>
      </w:r>
      <w:r>
        <w:t xml:space="preserve"> a relationship between both sub-cluster groups.</w:t>
      </w:r>
    </w:p>
    <w:p w14:paraId="0D9466B8" w14:textId="3D991AB6" w:rsidR="00F3279A" w:rsidRDefault="00F3279A" w:rsidP="00F3279A">
      <w:pPr>
        <w:spacing w:line="480" w:lineRule="auto"/>
      </w:pPr>
    </w:p>
    <w:p w14:paraId="5CE398BB" w14:textId="77777777" w:rsidR="00F3279A" w:rsidRPr="009A0A0F" w:rsidRDefault="00F3279A" w:rsidP="00F3279A">
      <w:pPr>
        <w:pStyle w:val="Textkrper"/>
        <w:spacing w:line="480" w:lineRule="auto"/>
        <w:rPr>
          <w:sz w:val="22"/>
          <w:lang w:val="en-US"/>
        </w:rPr>
      </w:pPr>
    </w:p>
    <w:p w14:paraId="7B43342A" w14:textId="77777777" w:rsidR="00F3279A" w:rsidRDefault="00F3279A" w:rsidP="00F3279A">
      <w:pPr>
        <w:spacing w:line="480" w:lineRule="auto"/>
        <w:jc w:val="left"/>
        <w:rPr>
          <w:b/>
          <w:bCs/>
          <w:sz w:val="18"/>
        </w:rPr>
      </w:pPr>
      <w:r>
        <w:br w:type="page"/>
      </w:r>
    </w:p>
    <w:p w14:paraId="2267184D" w14:textId="42E58C46" w:rsidR="00F3279A" w:rsidRPr="009A0A0F" w:rsidRDefault="00F3279A" w:rsidP="00F3279A">
      <w:pPr>
        <w:pStyle w:val="Beschriftung"/>
        <w:keepNext/>
      </w:pPr>
      <w:r w:rsidRPr="009A0A0F">
        <w:lastRenderedPageBreak/>
        <w:t>Table 1 GC temperature program for synthetic cannabinoids (in Acetonitrile), M-MA (in MTBE) and Dodecane (in hexane)</w:t>
      </w:r>
    </w:p>
    <w:tbl>
      <w:tblPr>
        <w:tblW w:w="7513" w:type="dxa"/>
        <w:tblBorders>
          <w:top w:val="single" w:sz="12" w:space="0" w:color="000000"/>
          <w:bottom w:val="single" w:sz="12" w:space="0" w:color="000000"/>
        </w:tblBorders>
        <w:tblLook w:val="04A0" w:firstRow="1" w:lastRow="0" w:firstColumn="1" w:lastColumn="0" w:noHBand="0" w:noVBand="1"/>
      </w:tblPr>
      <w:tblGrid>
        <w:gridCol w:w="745"/>
        <w:gridCol w:w="969"/>
        <w:gridCol w:w="551"/>
        <w:gridCol w:w="805"/>
        <w:gridCol w:w="969"/>
        <w:gridCol w:w="554"/>
        <w:gridCol w:w="695"/>
        <w:gridCol w:w="975"/>
        <w:gridCol w:w="554"/>
        <w:gridCol w:w="696"/>
      </w:tblGrid>
      <w:tr w:rsidR="00F3279A" w:rsidRPr="00014362" w14:paraId="55A233A7" w14:textId="77777777" w:rsidTr="00E11382">
        <w:tc>
          <w:tcPr>
            <w:tcW w:w="745" w:type="dxa"/>
            <w:tcBorders>
              <w:top w:val="nil"/>
              <w:bottom w:val="nil"/>
              <w:right w:val="single" w:sz="12" w:space="0" w:color="auto"/>
            </w:tcBorders>
            <w:shd w:val="clear" w:color="auto" w:fill="auto"/>
          </w:tcPr>
          <w:p w14:paraId="681BF7B2" w14:textId="77777777" w:rsidR="00F3279A" w:rsidRPr="009A0A0F" w:rsidRDefault="00F3279A" w:rsidP="00F3279A">
            <w:pPr>
              <w:pStyle w:val="Textkrper"/>
              <w:spacing w:line="240" w:lineRule="auto"/>
              <w:rPr>
                <w:sz w:val="22"/>
                <w:lang w:val="en-US"/>
              </w:rPr>
            </w:pPr>
          </w:p>
        </w:tc>
        <w:tc>
          <w:tcPr>
            <w:tcW w:w="2325" w:type="dxa"/>
            <w:gridSpan w:val="3"/>
            <w:tcBorders>
              <w:top w:val="single" w:sz="4" w:space="0" w:color="auto"/>
              <w:left w:val="single" w:sz="12" w:space="0" w:color="auto"/>
              <w:bottom w:val="nil"/>
              <w:right w:val="single" w:sz="4" w:space="0" w:color="auto"/>
            </w:tcBorders>
            <w:shd w:val="clear" w:color="auto" w:fill="auto"/>
          </w:tcPr>
          <w:p w14:paraId="13FA4A93" w14:textId="77777777" w:rsidR="00F3279A" w:rsidRPr="009A0A0F" w:rsidRDefault="00F3279A" w:rsidP="00F3279A">
            <w:pPr>
              <w:pStyle w:val="Textkrper"/>
              <w:spacing w:line="240" w:lineRule="auto"/>
              <w:jc w:val="center"/>
              <w:rPr>
                <w:sz w:val="22"/>
                <w:lang w:val="en-US"/>
              </w:rPr>
            </w:pPr>
            <w:r w:rsidRPr="009A0A0F">
              <w:rPr>
                <w:sz w:val="22"/>
                <w:lang w:val="en-US"/>
              </w:rPr>
              <w:t>Synthetic cannabinoid</w:t>
            </w:r>
          </w:p>
        </w:tc>
        <w:tc>
          <w:tcPr>
            <w:tcW w:w="2218" w:type="dxa"/>
            <w:gridSpan w:val="3"/>
            <w:tcBorders>
              <w:top w:val="single" w:sz="4" w:space="0" w:color="auto"/>
              <w:left w:val="single" w:sz="4" w:space="0" w:color="auto"/>
              <w:bottom w:val="nil"/>
              <w:right w:val="single" w:sz="4" w:space="0" w:color="auto"/>
            </w:tcBorders>
          </w:tcPr>
          <w:p w14:paraId="040B93E4" w14:textId="77777777" w:rsidR="00F3279A" w:rsidRPr="009A0A0F" w:rsidRDefault="00F3279A" w:rsidP="00F3279A">
            <w:pPr>
              <w:pStyle w:val="Textkrper"/>
              <w:spacing w:line="240" w:lineRule="auto"/>
              <w:jc w:val="center"/>
              <w:rPr>
                <w:sz w:val="22"/>
                <w:lang w:val="en-US"/>
              </w:rPr>
            </w:pPr>
            <w:r w:rsidRPr="009A0A0F">
              <w:rPr>
                <w:bCs/>
                <w:sz w:val="22"/>
                <w:lang w:val="en-US"/>
              </w:rPr>
              <w:t>M-MA</w:t>
            </w:r>
          </w:p>
        </w:tc>
        <w:tc>
          <w:tcPr>
            <w:tcW w:w="2225" w:type="dxa"/>
            <w:gridSpan w:val="3"/>
            <w:tcBorders>
              <w:top w:val="single" w:sz="4" w:space="0" w:color="auto"/>
              <w:left w:val="single" w:sz="4" w:space="0" w:color="auto"/>
              <w:bottom w:val="nil"/>
              <w:right w:val="single" w:sz="4" w:space="0" w:color="auto"/>
            </w:tcBorders>
          </w:tcPr>
          <w:p w14:paraId="4B3544EE" w14:textId="77777777" w:rsidR="00F3279A" w:rsidRPr="008B22AA" w:rsidRDefault="00F3279A" w:rsidP="00F3279A">
            <w:pPr>
              <w:pStyle w:val="Textkrper"/>
              <w:spacing w:line="240" w:lineRule="auto"/>
              <w:jc w:val="center"/>
              <w:rPr>
                <w:sz w:val="22"/>
                <w:lang w:val="en-US"/>
              </w:rPr>
            </w:pPr>
            <w:r w:rsidRPr="009A0A0F">
              <w:rPr>
                <w:sz w:val="22"/>
                <w:lang w:val="en-US"/>
              </w:rPr>
              <w:t>Dodecane</w:t>
            </w:r>
          </w:p>
        </w:tc>
      </w:tr>
      <w:tr w:rsidR="00F3279A" w:rsidRPr="00014362" w14:paraId="178B6BF7" w14:textId="77777777" w:rsidTr="00E11382">
        <w:tc>
          <w:tcPr>
            <w:tcW w:w="745" w:type="dxa"/>
            <w:tcBorders>
              <w:top w:val="nil"/>
              <w:bottom w:val="single" w:sz="12" w:space="0" w:color="auto"/>
              <w:right w:val="single" w:sz="12" w:space="0" w:color="auto"/>
            </w:tcBorders>
            <w:shd w:val="clear" w:color="auto" w:fill="auto"/>
          </w:tcPr>
          <w:p w14:paraId="4AA47BAA" w14:textId="77777777" w:rsidR="00F3279A" w:rsidRPr="00753D51" w:rsidRDefault="00F3279A" w:rsidP="00F3279A">
            <w:pPr>
              <w:pStyle w:val="Textkrper"/>
              <w:spacing w:line="240" w:lineRule="auto"/>
              <w:rPr>
                <w:sz w:val="22"/>
                <w:lang w:val="en-US"/>
              </w:rPr>
            </w:pPr>
          </w:p>
        </w:tc>
        <w:tc>
          <w:tcPr>
            <w:tcW w:w="969" w:type="dxa"/>
            <w:tcBorders>
              <w:top w:val="nil"/>
              <w:left w:val="single" w:sz="12" w:space="0" w:color="auto"/>
              <w:bottom w:val="single" w:sz="12" w:space="0" w:color="auto"/>
            </w:tcBorders>
            <w:shd w:val="clear" w:color="auto" w:fill="auto"/>
          </w:tcPr>
          <w:p w14:paraId="2328F51D" w14:textId="77777777" w:rsidR="00F3279A" w:rsidRPr="00753D51" w:rsidRDefault="00F3279A" w:rsidP="00F3279A">
            <w:pPr>
              <w:pStyle w:val="Textkrper"/>
              <w:spacing w:line="240" w:lineRule="auto"/>
              <w:jc w:val="center"/>
              <w:rPr>
                <w:sz w:val="22"/>
                <w:lang w:val="en-US"/>
              </w:rPr>
            </w:pPr>
            <w:r w:rsidRPr="00753D51">
              <w:rPr>
                <w:sz w:val="22"/>
                <w:lang w:val="en-US"/>
              </w:rPr>
              <w:t>Rate (°C</w:t>
            </w:r>
            <w:r>
              <w:rPr>
                <w:sz w:val="22"/>
                <w:lang w:val="en-US"/>
              </w:rPr>
              <w:t xml:space="preserve"> </w:t>
            </w:r>
            <w:r w:rsidRPr="00753D51">
              <w:rPr>
                <w:sz w:val="22"/>
                <w:lang w:val="en-US"/>
              </w:rPr>
              <w:t>min</w:t>
            </w:r>
            <w:r>
              <w:rPr>
                <w:sz w:val="22"/>
                <w:vertAlign w:val="superscript"/>
                <w:lang w:val="en-US"/>
              </w:rPr>
              <w:t>-1</w:t>
            </w:r>
            <w:r w:rsidRPr="00753D51">
              <w:rPr>
                <w:sz w:val="22"/>
                <w:lang w:val="en-US"/>
              </w:rPr>
              <w:t>)</w:t>
            </w:r>
          </w:p>
        </w:tc>
        <w:tc>
          <w:tcPr>
            <w:tcW w:w="551" w:type="dxa"/>
            <w:tcBorders>
              <w:top w:val="nil"/>
              <w:bottom w:val="single" w:sz="12" w:space="0" w:color="auto"/>
            </w:tcBorders>
            <w:shd w:val="clear" w:color="auto" w:fill="auto"/>
          </w:tcPr>
          <w:p w14:paraId="75501088" w14:textId="77777777" w:rsidR="00F3279A" w:rsidRPr="00753D51" w:rsidRDefault="00F3279A" w:rsidP="00F3279A">
            <w:pPr>
              <w:pStyle w:val="Textkrper"/>
              <w:spacing w:line="240" w:lineRule="auto"/>
              <w:jc w:val="center"/>
              <w:rPr>
                <w:sz w:val="22"/>
                <w:lang w:val="en-US"/>
              </w:rPr>
            </w:pPr>
            <w:r w:rsidRPr="00753D51">
              <w:rPr>
                <w:sz w:val="22"/>
                <w:lang w:val="en-US"/>
              </w:rPr>
              <w:t>T (°C)</w:t>
            </w:r>
          </w:p>
        </w:tc>
        <w:tc>
          <w:tcPr>
            <w:tcW w:w="805" w:type="dxa"/>
            <w:tcBorders>
              <w:top w:val="nil"/>
              <w:bottom w:val="single" w:sz="12" w:space="0" w:color="auto"/>
              <w:right w:val="single" w:sz="4" w:space="0" w:color="auto"/>
            </w:tcBorders>
            <w:shd w:val="clear" w:color="auto" w:fill="auto"/>
          </w:tcPr>
          <w:p w14:paraId="1B9717B0" w14:textId="77777777" w:rsidR="00F3279A" w:rsidRPr="00753D51" w:rsidRDefault="00F3279A" w:rsidP="00F3279A">
            <w:pPr>
              <w:pStyle w:val="Textkrper"/>
              <w:spacing w:line="240" w:lineRule="auto"/>
              <w:jc w:val="center"/>
              <w:rPr>
                <w:sz w:val="22"/>
                <w:lang w:val="en-US"/>
              </w:rPr>
            </w:pPr>
            <w:r w:rsidRPr="00753D51">
              <w:rPr>
                <w:sz w:val="22"/>
                <w:lang w:val="en-US"/>
              </w:rPr>
              <w:t>Hold (min)</w:t>
            </w:r>
          </w:p>
        </w:tc>
        <w:tc>
          <w:tcPr>
            <w:tcW w:w="969" w:type="dxa"/>
            <w:tcBorders>
              <w:top w:val="nil"/>
              <w:left w:val="single" w:sz="4" w:space="0" w:color="auto"/>
              <w:bottom w:val="single" w:sz="12" w:space="0" w:color="auto"/>
            </w:tcBorders>
          </w:tcPr>
          <w:p w14:paraId="0E746C2B" w14:textId="77777777" w:rsidR="00F3279A" w:rsidRPr="00753D51" w:rsidRDefault="00F3279A" w:rsidP="00F3279A">
            <w:pPr>
              <w:pStyle w:val="Textkrper"/>
              <w:spacing w:line="240" w:lineRule="auto"/>
              <w:jc w:val="center"/>
              <w:rPr>
                <w:sz w:val="22"/>
                <w:lang w:val="en-US"/>
              </w:rPr>
            </w:pPr>
            <w:r w:rsidRPr="00753D51">
              <w:rPr>
                <w:sz w:val="22"/>
                <w:lang w:val="en-US"/>
              </w:rPr>
              <w:t>Rate (°C</w:t>
            </w:r>
            <w:r>
              <w:rPr>
                <w:sz w:val="22"/>
                <w:lang w:val="en-US"/>
              </w:rPr>
              <w:t xml:space="preserve"> </w:t>
            </w:r>
            <w:r w:rsidRPr="00753D51">
              <w:rPr>
                <w:sz w:val="22"/>
                <w:lang w:val="en-US"/>
              </w:rPr>
              <w:t>min</w:t>
            </w:r>
            <w:r>
              <w:rPr>
                <w:sz w:val="22"/>
                <w:vertAlign w:val="superscript"/>
                <w:lang w:val="en-US"/>
              </w:rPr>
              <w:t>-1</w:t>
            </w:r>
            <w:r w:rsidRPr="00753D51">
              <w:rPr>
                <w:sz w:val="22"/>
                <w:lang w:val="en-US"/>
              </w:rPr>
              <w:t>)</w:t>
            </w:r>
          </w:p>
        </w:tc>
        <w:tc>
          <w:tcPr>
            <w:tcW w:w="554" w:type="dxa"/>
            <w:tcBorders>
              <w:top w:val="nil"/>
              <w:bottom w:val="single" w:sz="12" w:space="0" w:color="auto"/>
            </w:tcBorders>
          </w:tcPr>
          <w:p w14:paraId="23666E10" w14:textId="77777777" w:rsidR="00F3279A" w:rsidRPr="00753D51" w:rsidRDefault="00F3279A" w:rsidP="00F3279A">
            <w:pPr>
              <w:pStyle w:val="Textkrper"/>
              <w:spacing w:line="240" w:lineRule="auto"/>
              <w:jc w:val="center"/>
              <w:rPr>
                <w:sz w:val="22"/>
                <w:lang w:val="en-US"/>
              </w:rPr>
            </w:pPr>
            <w:r w:rsidRPr="00753D51">
              <w:rPr>
                <w:sz w:val="22"/>
                <w:lang w:val="en-US"/>
              </w:rPr>
              <w:t>T (°C)</w:t>
            </w:r>
          </w:p>
        </w:tc>
        <w:tc>
          <w:tcPr>
            <w:tcW w:w="695" w:type="dxa"/>
            <w:tcBorders>
              <w:top w:val="nil"/>
              <w:bottom w:val="single" w:sz="12" w:space="0" w:color="auto"/>
              <w:right w:val="single" w:sz="4" w:space="0" w:color="auto"/>
            </w:tcBorders>
          </w:tcPr>
          <w:p w14:paraId="2B991762" w14:textId="77777777" w:rsidR="00F3279A" w:rsidRPr="00753D51" w:rsidRDefault="00F3279A" w:rsidP="00F3279A">
            <w:pPr>
              <w:pStyle w:val="Textkrper"/>
              <w:spacing w:line="240" w:lineRule="auto"/>
              <w:jc w:val="center"/>
              <w:rPr>
                <w:sz w:val="22"/>
                <w:lang w:val="en-US"/>
              </w:rPr>
            </w:pPr>
            <w:r w:rsidRPr="00753D51">
              <w:rPr>
                <w:sz w:val="22"/>
                <w:lang w:val="en-US"/>
              </w:rPr>
              <w:t>Hold (min)</w:t>
            </w:r>
          </w:p>
        </w:tc>
        <w:tc>
          <w:tcPr>
            <w:tcW w:w="975" w:type="dxa"/>
            <w:tcBorders>
              <w:top w:val="nil"/>
              <w:left w:val="single" w:sz="4" w:space="0" w:color="auto"/>
              <w:bottom w:val="single" w:sz="12" w:space="0" w:color="auto"/>
            </w:tcBorders>
          </w:tcPr>
          <w:p w14:paraId="2B22CD97" w14:textId="77777777" w:rsidR="00F3279A" w:rsidRPr="00753D51" w:rsidRDefault="00F3279A" w:rsidP="00F3279A">
            <w:pPr>
              <w:pStyle w:val="Textkrper"/>
              <w:spacing w:line="240" w:lineRule="auto"/>
              <w:jc w:val="center"/>
              <w:rPr>
                <w:sz w:val="22"/>
                <w:lang w:val="en-US"/>
              </w:rPr>
            </w:pPr>
            <w:r w:rsidRPr="00753D51">
              <w:rPr>
                <w:sz w:val="22"/>
                <w:lang w:val="en-US"/>
              </w:rPr>
              <w:t>Rate (°C</w:t>
            </w:r>
            <w:r>
              <w:rPr>
                <w:sz w:val="22"/>
                <w:lang w:val="en-US"/>
              </w:rPr>
              <w:t xml:space="preserve"> </w:t>
            </w:r>
            <w:r w:rsidRPr="00753D51">
              <w:rPr>
                <w:sz w:val="22"/>
                <w:lang w:val="en-US"/>
              </w:rPr>
              <w:t>min</w:t>
            </w:r>
            <w:r>
              <w:rPr>
                <w:sz w:val="22"/>
                <w:vertAlign w:val="superscript"/>
                <w:lang w:val="en-US"/>
              </w:rPr>
              <w:t>-1</w:t>
            </w:r>
            <w:r w:rsidRPr="00753D51">
              <w:rPr>
                <w:sz w:val="22"/>
                <w:lang w:val="en-US"/>
              </w:rPr>
              <w:t>)</w:t>
            </w:r>
          </w:p>
        </w:tc>
        <w:tc>
          <w:tcPr>
            <w:tcW w:w="554" w:type="dxa"/>
            <w:tcBorders>
              <w:top w:val="nil"/>
              <w:bottom w:val="single" w:sz="12" w:space="0" w:color="auto"/>
            </w:tcBorders>
          </w:tcPr>
          <w:p w14:paraId="7135DC2A" w14:textId="77777777" w:rsidR="00F3279A" w:rsidRPr="00753D51" w:rsidRDefault="00F3279A" w:rsidP="00F3279A">
            <w:pPr>
              <w:pStyle w:val="Textkrper"/>
              <w:spacing w:line="240" w:lineRule="auto"/>
              <w:jc w:val="center"/>
              <w:rPr>
                <w:sz w:val="22"/>
                <w:lang w:val="en-US"/>
              </w:rPr>
            </w:pPr>
            <w:r w:rsidRPr="00753D51">
              <w:rPr>
                <w:sz w:val="22"/>
                <w:lang w:val="en-US"/>
              </w:rPr>
              <w:t>T (°C)</w:t>
            </w:r>
          </w:p>
        </w:tc>
        <w:tc>
          <w:tcPr>
            <w:tcW w:w="696" w:type="dxa"/>
            <w:tcBorders>
              <w:top w:val="nil"/>
              <w:bottom w:val="single" w:sz="12" w:space="0" w:color="auto"/>
              <w:right w:val="single" w:sz="4" w:space="0" w:color="auto"/>
            </w:tcBorders>
          </w:tcPr>
          <w:p w14:paraId="3A4C2DF2" w14:textId="77777777" w:rsidR="00F3279A" w:rsidRPr="00753D51" w:rsidRDefault="00F3279A" w:rsidP="00F3279A">
            <w:pPr>
              <w:pStyle w:val="Textkrper"/>
              <w:spacing w:line="240" w:lineRule="auto"/>
              <w:jc w:val="center"/>
              <w:rPr>
                <w:sz w:val="22"/>
                <w:lang w:val="en-US"/>
              </w:rPr>
            </w:pPr>
            <w:r w:rsidRPr="00753D51">
              <w:rPr>
                <w:sz w:val="22"/>
                <w:lang w:val="en-US"/>
              </w:rPr>
              <w:t>Hold (min)</w:t>
            </w:r>
          </w:p>
        </w:tc>
      </w:tr>
      <w:tr w:rsidR="00F3279A" w:rsidRPr="00014362" w14:paraId="449782A2" w14:textId="77777777" w:rsidTr="00E11382">
        <w:tc>
          <w:tcPr>
            <w:tcW w:w="745" w:type="dxa"/>
            <w:tcBorders>
              <w:top w:val="single" w:sz="12" w:space="0" w:color="auto"/>
              <w:left w:val="single" w:sz="4" w:space="0" w:color="auto"/>
              <w:bottom w:val="nil"/>
              <w:right w:val="single" w:sz="12" w:space="0" w:color="auto"/>
            </w:tcBorders>
            <w:shd w:val="clear" w:color="auto" w:fill="auto"/>
          </w:tcPr>
          <w:p w14:paraId="5AB9AE68" w14:textId="77777777" w:rsidR="00F3279A" w:rsidRPr="00753D51" w:rsidRDefault="00F3279A" w:rsidP="00F3279A">
            <w:pPr>
              <w:pStyle w:val="Textkrper"/>
              <w:spacing w:line="240" w:lineRule="auto"/>
              <w:rPr>
                <w:sz w:val="22"/>
                <w:lang w:val="en-US"/>
              </w:rPr>
            </w:pPr>
            <w:r w:rsidRPr="00753D51">
              <w:rPr>
                <w:sz w:val="22"/>
                <w:lang w:val="en-US"/>
              </w:rPr>
              <w:t>Initial</w:t>
            </w:r>
          </w:p>
        </w:tc>
        <w:tc>
          <w:tcPr>
            <w:tcW w:w="969" w:type="dxa"/>
            <w:tcBorders>
              <w:top w:val="single" w:sz="12" w:space="0" w:color="auto"/>
              <w:left w:val="single" w:sz="12" w:space="0" w:color="auto"/>
              <w:bottom w:val="nil"/>
            </w:tcBorders>
            <w:shd w:val="clear" w:color="auto" w:fill="auto"/>
          </w:tcPr>
          <w:p w14:paraId="2064B728" w14:textId="77777777" w:rsidR="00F3279A" w:rsidRPr="00753D51" w:rsidRDefault="00F3279A" w:rsidP="00F3279A">
            <w:pPr>
              <w:pStyle w:val="Textkrper"/>
              <w:spacing w:line="240" w:lineRule="auto"/>
              <w:jc w:val="center"/>
              <w:rPr>
                <w:sz w:val="22"/>
                <w:lang w:val="en-US"/>
              </w:rPr>
            </w:pPr>
          </w:p>
        </w:tc>
        <w:tc>
          <w:tcPr>
            <w:tcW w:w="551" w:type="dxa"/>
            <w:tcBorders>
              <w:top w:val="single" w:sz="12" w:space="0" w:color="auto"/>
              <w:bottom w:val="nil"/>
            </w:tcBorders>
            <w:shd w:val="clear" w:color="auto" w:fill="auto"/>
          </w:tcPr>
          <w:p w14:paraId="52D3382C" w14:textId="77777777" w:rsidR="00F3279A" w:rsidRPr="00753D51" w:rsidRDefault="00F3279A" w:rsidP="00F3279A">
            <w:pPr>
              <w:pStyle w:val="Textkrper"/>
              <w:spacing w:line="240" w:lineRule="auto"/>
              <w:jc w:val="center"/>
              <w:rPr>
                <w:sz w:val="22"/>
                <w:lang w:val="en-US"/>
              </w:rPr>
            </w:pPr>
            <w:r w:rsidRPr="00753D51">
              <w:rPr>
                <w:sz w:val="22"/>
                <w:lang w:val="en-US"/>
              </w:rPr>
              <w:t>70</w:t>
            </w:r>
          </w:p>
        </w:tc>
        <w:tc>
          <w:tcPr>
            <w:tcW w:w="805" w:type="dxa"/>
            <w:tcBorders>
              <w:top w:val="single" w:sz="12" w:space="0" w:color="auto"/>
              <w:bottom w:val="nil"/>
              <w:right w:val="single" w:sz="4" w:space="0" w:color="auto"/>
            </w:tcBorders>
            <w:shd w:val="clear" w:color="auto" w:fill="auto"/>
          </w:tcPr>
          <w:p w14:paraId="0C1EC422" w14:textId="77777777" w:rsidR="00F3279A" w:rsidRPr="00753D51" w:rsidRDefault="00F3279A" w:rsidP="00F3279A">
            <w:pPr>
              <w:pStyle w:val="Textkrper"/>
              <w:spacing w:line="240" w:lineRule="auto"/>
              <w:jc w:val="center"/>
              <w:rPr>
                <w:sz w:val="22"/>
                <w:lang w:val="en-US"/>
              </w:rPr>
            </w:pPr>
            <w:r w:rsidRPr="00753D51">
              <w:rPr>
                <w:sz w:val="22"/>
                <w:lang w:val="en-US"/>
              </w:rPr>
              <w:t>2</w:t>
            </w:r>
          </w:p>
        </w:tc>
        <w:tc>
          <w:tcPr>
            <w:tcW w:w="969" w:type="dxa"/>
            <w:tcBorders>
              <w:top w:val="single" w:sz="12" w:space="0" w:color="auto"/>
              <w:left w:val="single" w:sz="4" w:space="0" w:color="auto"/>
              <w:bottom w:val="nil"/>
            </w:tcBorders>
          </w:tcPr>
          <w:p w14:paraId="1356FF28" w14:textId="77777777" w:rsidR="00F3279A" w:rsidRPr="00753D51" w:rsidRDefault="00F3279A" w:rsidP="00F3279A">
            <w:pPr>
              <w:pStyle w:val="Textkrper"/>
              <w:spacing w:line="240" w:lineRule="auto"/>
              <w:jc w:val="center"/>
              <w:rPr>
                <w:sz w:val="22"/>
                <w:lang w:val="en-US"/>
              </w:rPr>
            </w:pPr>
          </w:p>
        </w:tc>
        <w:tc>
          <w:tcPr>
            <w:tcW w:w="554" w:type="dxa"/>
            <w:tcBorders>
              <w:top w:val="single" w:sz="12" w:space="0" w:color="auto"/>
              <w:bottom w:val="nil"/>
            </w:tcBorders>
          </w:tcPr>
          <w:p w14:paraId="0B875ADB" w14:textId="77777777" w:rsidR="00F3279A" w:rsidRPr="00753D51" w:rsidRDefault="00F3279A" w:rsidP="00F3279A">
            <w:pPr>
              <w:pStyle w:val="Textkrper"/>
              <w:spacing w:line="240" w:lineRule="auto"/>
              <w:jc w:val="center"/>
              <w:rPr>
                <w:sz w:val="22"/>
                <w:lang w:val="en-US"/>
              </w:rPr>
            </w:pPr>
            <w:r w:rsidRPr="00753D51">
              <w:rPr>
                <w:sz w:val="22"/>
                <w:lang w:val="en-US"/>
              </w:rPr>
              <w:t>40</w:t>
            </w:r>
          </w:p>
        </w:tc>
        <w:tc>
          <w:tcPr>
            <w:tcW w:w="695" w:type="dxa"/>
            <w:tcBorders>
              <w:top w:val="single" w:sz="12" w:space="0" w:color="auto"/>
              <w:bottom w:val="nil"/>
              <w:right w:val="single" w:sz="4" w:space="0" w:color="auto"/>
            </w:tcBorders>
          </w:tcPr>
          <w:p w14:paraId="62B5354F" w14:textId="77777777" w:rsidR="00F3279A" w:rsidRPr="00753D51" w:rsidRDefault="00F3279A" w:rsidP="00F3279A">
            <w:pPr>
              <w:pStyle w:val="Textkrper"/>
              <w:spacing w:line="240" w:lineRule="auto"/>
              <w:jc w:val="center"/>
              <w:rPr>
                <w:sz w:val="22"/>
                <w:lang w:val="en-US"/>
              </w:rPr>
            </w:pPr>
            <w:r w:rsidRPr="00753D51">
              <w:rPr>
                <w:sz w:val="22"/>
                <w:lang w:val="en-US"/>
              </w:rPr>
              <w:t>2</w:t>
            </w:r>
          </w:p>
        </w:tc>
        <w:tc>
          <w:tcPr>
            <w:tcW w:w="975" w:type="dxa"/>
            <w:tcBorders>
              <w:top w:val="single" w:sz="12" w:space="0" w:color="auto"/>
              <w:left w:val="single" w:sz="4" w:space="0" w:color="auto"/>
              <w:bottom w:val="nil"/>
            </w:tcBorders>
          </w:tcPr>
          <w:p w14:paraId="5CCB08EA" w14:textId="77777777" w:rsidR="00F3279A" w:rsidRPr="00753D51" w:rsidRDefault="00F3279A" w:rsidP="00F3279A">
            <w:pPr>
              <w:pStyle w:val="Textkrper"/>
              <w:spacing w:line="240" w:lineRule="auto"/>
              <w:jc w:val="center"/>
              <w:rPr>
                <w:sz w:val="22"/>
                <w:lang w:val="en-US"/>
              </w:rPr>
            </w:pPr>
          </w:p>
        </w:tc>
        <w:tc>
          <w:tcPr>
            <w:tcW w:w="554" w:type="dxa"/>
            <w:tcBorders>
              <w:top w:val="single" w:sz="12" w:space="0" w:color="auto"/>
              <w:bottom w:val="nil"/>
            </w:tcBorders>
          </w:tcPr>
          <w:p w14:paraId="7421E474" w14:textId="77777777" w:rsidR="00F3279A" w:rsidRPr="00753D51" w:rsidRDefault="00F3279A" w:rsidP="00F3279A">
            <w:pPr>
              <w:pStyle w:val="Textkrper"/>
              <w:spacing w:line="240" w:lineRule="auto"/>
              <w:jc w:val="center"/>
              <w:rPr>
                <w:sz w:val="22"/>
                <w:lang w:val="en-US"/>
              </w:rPr>
            </w:pPr>
            <w:r w:rsidRPr="00753D51">
              <w:rPr>
                <w:sz w:val="22"/>
                <w:lang w:val="en-US"/>
              </w:rPr>
              <w:t>80</w:t>
            </w:r>
          </w:p>
        </w:tc>
        <w:tc>
          <w:tcPr>
            <w:tcW w:w="696" w:type="dxa"/>
            <w:tcBorders>
              <w:top w:val="single" w:sz="12" w:space="0" w:color="auto"/>
              <w:bottom w:val="nil"/>
              <w:right w:val="single" w:sz="4" w:space="0" w:color="auto"/>
            </w:tcBorders>
          </w:tcPr>
          <w:p w14:paraId="5346221D" w14:textId="77777777" w:rsidR="00F3279A" w:rsidRPr="00753D51" w:rsidRDefault="00F3279A" w:rsidP="00F3279A">
            <w:pPr>
              <w:pStyle w:val="Textkrper"/>
              <w:spacing w:line="240" w:lineRule="auto"/>
              <w:jc w:val="center"/>
              <w:rPr>
                <w:sz w:val="22"/>
                <w:lang w:val="en-US"/>
              </w:rPr>
            </w:pPr>
            <w:r w:rsidRPr="00753D51">
              <w:rPr>
                <w:sz w:val="22"/>
                <w:lang w:val="en-US"/>
              </w:rPr>
              <w:t>2</w:t>
            </w:r>
          </w:p>
        </w:tc>
      </w:tr>
      <w:tr w:rsidR="00F3279A" w:rsidRPr="00014362" w14:paraId="68E1D220" w14:textId="77777777" w:rsidTr="00E11382">
        <w:tc>
          <w:tcPr>
            <w:tcW w:w="745" w:type="dxa"/>
            <w:tcBorders>
              <w:top w:val="nil"/>
              <w:left w:val="single" w:sz="4" w:space="0" w:color="auto"/>
              <w:bottom w:val="nil"/>
              <w:right w:val="single" w:sz="12" w:space="0" w:color="auto"/>
            </w:tcBorders>
            <w:shd w:val="clear" w:color="auto" w:fill="auto"/>
          </w:tcPr>
          <w:p w14:paraId="037B615D" w14:textId="77777777" w:rsidR="00F3279A" w:rsidRPr="00753D51" w:rsidRDefault="00F3279A" w:rsidP="00F3279A">
            <w:pPr>
              <w:pStyle w:val="Textkrper"/>
              <w:spacing w:line="240" w:lineRule="auto"/>
              <w:rPr>
                <w:sz w:val="22"/>
                <w:lang w:val="en-US"/>
              </w:rPr>
            </w:pPr>
            <w:r w:rsidRPr="00753D51">
              <w:rPr>
                <w:sz w:val="22"/>
                <w:lang w:val="en-US"/>
              </w:rPr>
              <w:t>1</w:t>
            </w:r>
          </w:p>
        </w:tc>
        <w:tc>
          <w:tcPr>
            <w:tcW w:w="969" w:type="dxa"/>
            <w:tcBorders>
              <w:top w:val="nil"/>
              <w:left w:val="single" w:sz="12" w:space="0" w:color="auto"/>
              <w:bottom w:val="nil"/>
            </w:tcBorders>
            <w:shd w:val="clear" w:color="auto" w:fill="auto"/>
          </w:tcPr>
          <w:p w14:paraId="2F52DE77" w14:textId="77777777" w:rsidR="00F3279A" w:rsidRPr="00753D51" w:rsidRDefault="00F3279A" w:rsidP="00F3279A">
            <w:pPr>
              <w:pStyle w:val="Textkrper"/>
              <w:spacing w:line="240" w:lineRule="auto"/>
              <w:jc w:val="center"/>
              <w:rPr>
                <w:sz w:val="22"/>
                <w:lang w:val="en-US"/>
              </w:rPr>
            </w:pPr>
            <w:r w:rsidRPr="00753D51">
              <w:rPr>
                <w:sz w:val="22"/>
                <w:lang w:val="en-US"/>
              </w:rPr>
              <w:t>15</w:t>
            </w:r>
          </w:p>
        </w:tc>
        <w:tc>
          <w:tcPr>
            <w:tcW w:w="551" w:type="dxa"/>
            <w:tcBorders>
              <w:top w:val="nil"/>
              <w:bottom w:val="nil"/>
            </w:tcBorders>
            <w:shd w:val="clear" w:color="auto" w:fill="auto"/>
          </w:tcPr>
          <w:p w14:paraId="192D3F1E" w14:textId="77777777" w:rsidR="00F3279A" w:rsidRPr="00753D51" w:rsidRDefault="00F3279A" w:rsidP="00F3279A">
            <w:pPr>
              <w:pStyle w:val="Textkrper"/>
              <w:spacing w:line="240" w:lineRule="auto"/>
              <w:jc w:val="center"/>
              <w:rPr>
                <w:sz w:val="22"/>
                <w:lang w:val="en-US"/>
              </w:rPr>
            </w:pPr>
            <w:r w:rsidRPr="00753D51">
              <w:rPr>
                <w:sz w:val="22"/>
                <w:lang w:val="en-US"/>
              </w:rPr>
              <w:t>270</w:t>
            </w:r>
          </w:p>
        </w:tc>
        <w:tc>
          <w:tcPr>
            <w:tcW w:w="805" w:type="dxa"/>
            <w:tcBorders>
              <w:top w:val="nil"/>
              <w:bottom w:val="nil"/>
              <w:right w:val="single" w:sz="4" w:space="0" w:color="auto"/>
            </w:tcBorders>
            <w:shd w:val="clear" w:color="auto" w:fill="auto"/>
          </w:tcPr>
          <w:p w14:paraId="77DB2B1A" w14:textId="77777777" w:rsidR="00F3279A" w:rsidRPr="00753D51" w:rsidRDefault="00F3279A" w:rsidP="00F3279A">
            <w:pPr>
              <w:pStyle w:val="Textkrper"/>
              <w:spacing w:line="240" w:lineRule="auto"/>
              <w:jc w:val="center"/>
              <w:rPr>
                <w:sz w:val="22"/>
                <w:lang w:val="en-US"/>
              </w:rPr>
            </w:pPr>
            <w:r w:rsidRPr="00753D51">
              <w:rPr>
                <w:sz w:val="22"/>
                <w:lang w:val="en-US"/>
              </w:rPr>
              <w:t>0</w:t>
            </w:r>
          </w:p>
        </w:tc>
        <w:tc>
          <w:tcPr>
            <w:tcW w:w="969" w:type="dxa"/>
            <w:tcBorders>
              <w:top w:val="nil"/>
              <w:left w:val="single" w:sz="4" w:space="0" w:color="auto"/>
              <w:bottom w:val="nil"/>
            </w:tcBorders>
          </w:tcPr>
          <w:p w14:paraId="2E11700B" w14:textId="77777777" w:rsidR="00F3279A" w:rsidRPr="00753D51" w:rsidRDefault="00F3279A" w:rsidP="00F3279A">
            <w:pPr>
              <w:pStyle w:val="Textkrper"/>
              <w:spacing w:line="240" w:lineRule="auto"/>
              <w:jc w:val="center"/>
              <w:rPr>
                <w:sz w:val="22"/>
                <w:lang w:val="en-US"/>
              </w:rPr>
            </w:pPr>
            <w:r w:rsidRPr="00753D51">
              <w:rPr>
                <w:sz w:val="22"/>
                <w:lang w:val="en-US"/>
              </w:rPr>
              <w:t>15</w:t>
            </w:r>
          </w:p>
        </w:tc>
        <w:tc>
          <w:tcPr>
            <w:tcW w:w="554" w:type="dxa"/>
            <w:tcBorders>
              <w:top w:val="nil"/>
              <w:bottom w:val="nil"/>
            </w:tcBorders>
          </w:tcPr>
          <w:p w14:paraId="6E04298A" w14:textId="77777777" w:rsidR="00F3279A" w:rsidRPr="00753D51" w:rsidRDefault="00F3279A" w:rsidP="00F3279A">
            <w:pPr>
              <w:pStyle w:val="Textkrper"/>
              <w:spacing w:line="240" w:lineRule="auto"/>
              <w:jc w:val="center"/>
              <w:rPr>
                <w:sz w:val="22"/>
                <w:lang w:val="en-US"/>
              </w:rPr>
            </w:pPr>
            <w:r w:rsidRPr="00753D51">
              <w:rPr>
                <w:sz w:val="22"/>
                <w:lang w:val="en-US"/>
              </w:rPr>
              <w:t>280</w:t>
            </w:r>
          </w:p>
        </w:tc>
        <w:tc>
          <w:tcPr>
            <w:tcW w:w="695" w:type="dxa"/>
            <w:tcBorders>
              <w:top w:val="nil"/>
              <w:bottom w:val="nil"/>
              <w:right w:val="single" w:sz="4" w:space="0" w:color="auto"/>
            </w:tcBorders>
          </w:tcPr>
          <w:p w14:paraId="30BA8147" w14:textId="77777777" w:rsidR="00F3279A" w:rsidRPr="00753D51" w:rsidRDefault="00F3279A" w:rsidP="00F3279A">
            <w:pPr>
              <w:pStyle w:val="Textkrper"/>
              <w:spacing w:line="240" w:lineRule="auto"/>
              <w:jc w:val="center"/>
              <w:rPr>
                <w:sz w:val="22"/>
                <w:lang w:val="en-US"/>
              </w:rPr>
            </w:pPr>
            <w:r w:rsidRPr="00753D51">
              <w:rPr>
                <w:sz w:val="22"/>
                <w:lang w:val="en-US"/>
              </w:rPr>
              <w:t>0</w:t>
            </w:r>
          </w:p>
        </w:tc>
        <w:tc>
          <w:tcPr>
            <w:tcW w:w="975" w:type="dxa"/>
            <w:tcBorders>
              <w:top w:val="nil"/>
              <w:left w:val="single" w:sz="4" w:space="0" w:color="auto"/>
              <w:bottom w:val="nil"/>
            </w:tcBorders>
          </w:tcPr>
          <w:p w14:paraId="7DFE5B3A" w14:textId="77777777" w:rsidR="00F3279A" w:rsidRPr="00753D51" w:rsidRDefault="00F3279A" w:rsidP="00F3279A">
            <w:pPr>
              <w:pStyle w:val="Textkrper"/>
              <w:spacing w:line="240" w:lineRule="auto"/>
              <w:jc w:val="center"/>
              <w:rPr>
                <w:sz w:val="22"/>
                <w:lang w:val="en-US"/>
              </w:rPr>
            </w:pPr>
            <w:r w:rsidRPr="00753D51">
              <w:rPr>
                <w:sz w:val="22"/>
                <w:lang w:val="en-US"/>
              </w:rPr>
              <w:t>15</w:t>
            </w:r>
          </w:p>
        </w:tc>
        <w:tc>
          <w:tcPr>
            <w:tcW w:w="554" w:type="dxa"/>
            <w:tcBorders>
              <w:top w:val="nil"/>
              <w:bottom w:val="nil"/>
            </w:tcBorders>
          </w:tcPr>
          <w:p w14:paraId="21FEC97E" w14:textId="77777777" w:rsidR="00F3279A" w:rsidRPr="00753D51" w:rsidRDefault="00F3279A" w:rsidP="00F3279A">
            <w:pPr>
              <w:pStyle w:val="Textkrper"/>
              <w:spacing w:line="240" w:lineRule="auto"/>
              <w:jc w:val="center"/>
              <w:rPr>
                <w:sz w:val="22"/>
                <w:lang w:val="en-US"/>
              </w:rPr>
            </w:pPr>
            <w:r w:rsidRPr="00753D51">
              <w:rPr>
                <w:sz w:val="22"/>
                <w:lang w:val="en-US"/>
              </w:rPr>
              <w:t>250</w:t>
            </w:r>
          </w:p>
        </w:tc>
        <w:tc>
          <w:tcPr>
            <w:tcW w:w="696" w:type="dxa"/>
            <w:tcBorders>
              <w:top w:val="nil"/>
              <w:bottom w:val="nil"/>
              <w:right w:val="single" w:sz="4" w:space="0" w:color="auto"/>
            </w:tcBorders>
          </w:tcPr>
          <w:p w14:paraId="46849F58" w14:textId="77777777" w:rsidR="00F3279A" w:rsidRPr="00753D51" w:rsidRDefault="00F3279A" w:rsidP="00F3279A">
            <w:pPr>
              <w:pStyle w:val="Textkrper"/>
              <w:spacing w:line="240" w:lineRule="auto"/>
              <w:jc w:val="center"/>
              <w:rPr>
                <w:sz w:val="22"/>
                <w:lang w:val="en-US"/>
              </w:rPr>
            </w:pPr>
            <w:r w:rsidRPr="00753D51">
              <w:rPr>
                <w:sz w:val="22"/>
                <w:lang w:val="en-US"/>
              </w:rPr>
              <w:t>1</w:t>
            </w:r>
          </w:p>
        </w:tc>
      </w:tr>
      <w:tr w:rsidR="00F3279A" w:rsidRPr="00014362" w14:paraId="7457A017" w14:textId="77777777" w:rsidTr="00E11382">
        <w:tc>
          <w:tcPr>
            <w:tcW w:w="745" w:type="dxa"/>
            <w:tcBorders>
              <w:top w:val="nil"/>
              <w:left w:val="single" w:sz="4" w:space="0" w:color="auto"/>
              <w:bottom w:val="single" w:sz="4" w:space="0" w:color="auto"/>
              <w:right w:val="single" w:sz="12" w:space="0" w:color="auto"/>
            </w:tcBorders>
            <w:shd w:val="clear" w:color="auto" w:fill="auto"/>
          </w:tcPr>
          <w:p w14:paraId="3A4709B1" w14:textId="77777777" w:rsidR="00F3279A" w:rsidRPr="00753D51" w:rsidRDefault="00F3279A" w:rsidP="00F3279A">
            <w:pPr>
              <w:pStyle w:val="Textkrper"/>
              <w:spacing w:line="240" w:lineRule="auto"/>
              <w:rPr>
                <w:sz w:val="22"/>
                <w:lang w:val="en-US"/>
              </w:rPr>
            </w:pPr>
            <w:r w:rsidRPr="00753D51">
              <w:rPr>
                <w:sz w:val="22"/>
                <w:lang w:val="en-US"/>
              </w:rPr>
              <w:t>2</w:t>
            </w:r>
          </w:p>
        </w:tc>
        <w:tc>
          <w:tcPr>
            <w:tcW w:w="969" w:type="dxa"/>
            <w:tcBorders>
              <w:top w:val="nil"/>
              <w:left w:val="single" w:sz="12" w:space="0" w:color="auto"/>
              <w:bottom w:val="single" w:sz="4" w:space="0" w:color="auto"/>
            </w:tcBorders>
            <w:shd w:val="clear" w:color="auto" w:fill="auto"/>
          </w:tcPr>
          <w:p w14:paraId="524B8CA3" w14:textId="77777777" w:rsidR="00F3279A" w:rsidRPr="00753D51" w:rsidRDefault="00F3279A" w:rsidP="00F3279A">
            <w:pPr>
              <w:pStyle w:val="Textkrper"/>
              <w:spacing w:line="240" w:lineRule="auto"/>
              <w:jc w:val="center"/>
              <w:rPr>
                <w:sz w:val="22"/>
                <w:lang w:val="en-US"/>
              </w:rPr>
            </w:pPr>
            <w:r w:rsidRPr="00753D51">
              <w:rPr>
                <w:sz w:val="22"/>
                <w:lang w:val="en-US"/>
              </w:rPr>
              <w:t>5</w:t>
            </w:r>
          </w:p>
        </w:tc>
        <w:tc>
          <w:tcPr>
            <w:tcW w:w="551" w:type="dxa"/>
            <w:tcBorders>
              <w:top w:val="nil"/>
              <w:bottom w:val="single" w:sz="4" w:space="0" w:color="auto"/>
            </w:tcBorders>
            <w:shd w:val="clear" w:color="auto" w:fill="auto"/>
          </w:tcPr>
          <w:p w14:paraId="375F320A" w14:textId="77777777" w:rsidR="00F3279A" w:rsidRPr="00753D51" w:rsidRDefault="00F3279A" w:rsidP="00F3279A">
            <w:pPr>
              <w:pStyle w:val="Textkrper"/>
              <w:spacing w:line="240" w:lineRule="auto"/>
              <w:jc w:val="center"/>
              <w:rPr>
                <w:sz w:val="22"/>
                <w:lang w:val="en-US"/>
              </w:rPr>
            </w:pPr>
            <w:r w:rsidRPr="00753D51">
              <w:rPr>
                <w:sz w:val="22"/>
                <w:lang w:val="en-US"/>
              </w:rPr>
              <w:t>320</w:t>
            </w:r>
          </w:p>
        </w:tc>
        <w:tc>
          <w:tcPr>
            <w:tcW w:w="805" w:type="dxa"/>
            <w:tcBorders>
              <w:top w:val="nil"/>
              <w:bottom w:val="single" w:sz="4" w:space="0" w:color="auto"/>
              <w:right w:val="single" w:sz="4" w:space="0" w:color="auto"/>
            </w:tcBorders>
            <w:shd w:val="clear" w:color="auto" w:fill="auto"/>
          </w:tcPr>
          <w:p w14:paraId="5A0F87E4" w14:textId="77777777" w:rsidR="00F3279A" w:rsidRPr="00753D51" w:rsidRDefault="00F3279A" w:rsidP="00F3279A">
            <w:pPr>
              <w:pStyle w:val="Textkrper"/>
              <w:spacing w:line="240" w:lineRule="auto"/>
              <w:jc w:val="center"/>
              <w:rPr>
                <w:sz w:val="22"/>
                <w:lang w:val="en-US"/>
              </w:rPr>
            </w:pPr>
            <w:r w:rsidRPr="00753D51">
              <w:rPr>
                <w:sz w:val="22"/>
                <w:lang w:val="en-US"/>
              </w:rPr>
              <w:t>8</w:t>
            </w:r>
          </w:p>
        </w:tc>
        <w:tc>
          <w:tcPr>
            <w:tcW w:w="969" w:type="dxa"/>
            <w:tcBorders>
              <w:top w:val="nil"/>
              <w:left w:val="single" w:sz="4" w:space="0" w:color="auto"/>
              <w:bottom w:val="single" w:sz="4" w:space="0" w:color="auto"/>
            </w:tcBorders>
          </w:tcPr>
          <w:p w14:paraId="20DD2300" w14:textId="77777777" w:rsidR="00F3279A" w:rsidRPr="00753D51" w:rsidRDefault="00F3279A" w:rsidP="00F3279A">
            <w:pPr>
              <w:pStyle w:val="Textkrper"/>
              <w:spacing w:line="240" w:lineRule="auto"/>
              <w:jc w:val="center"/>
              <w:rPr>
                <w:sz w:val="22"/>
                <w:lang w:val="en-US"/>
              </w:rPr>
            </w:pPr>
            <w:r w:rsidRPr="00753D51">
              <w:rPr>
                <w:sz w:val="22"/>
                <w:lang w:val="en-US"/>
              </w:rPr>
              <w:t>50</w:t>
            </w:r>
          </w:p>
        </w:tc>
        <w:tc>
          <w:tcPr>
            <w:tcW w:w="554" w:type="dxa"/>
            <w:tcBorders>
              <w:top w:val="nil"/>
              <w:bottom w:val="single" w:sz="4" w:space="0" w:color="auto"/>
            </w:tcBorders>
          </w:tcPr>
          <w:p w14:paraId="5E94836D" w14:textId="77777777" w:rsidR="00F3279A" w:rsidRPr="00753D51" w:rsidRDefault="00F3279A" w:rsidP="00F3279A">
            <w:pPr>
              <w:pStyle w:val="Textkrper"/>
              <w:spacing w:line="240" w:lineRule="auto"/>
              <w:jc w:val="center"/>
              <w:rPr>
                <w:sz w:val="22"/>
                <w:lang w:val="en-US"/>
              </w:rPr>
            </w:pPr>
            <w:r w:rsidRPr="00753D51">
              <w:rPr>
                <w:sz w:val="22"/>
                <w:lang w:val="en-US"/>
              </w:rPr>
              <w:t>40</w:t>
            </w:r>
          </w:p>
        </w:tc>
        <w:tc>
          <w:tcPr>
            <w:tcW w:w="695" w:type="dxa"/>
            <w:tcBorders>
              <w:top w:val="nil"/>
              <w:bottom w:val="single" w:sz="4" w:space="0" w:color="auto"/>
              <w:right w:val="single" w:sz="4" w:space="0" w:color="auto"/>
            </w:tcBorders>
          </w:tcPr>
          <w:p w14:paraId="0282D0EE" w14:textId="77777777" w:rsidR="00F3279A" w:rsidRPr="00753D51" w:rsidRDefault="00F3279A" w:rsidP="00F3279A">
            <w:pPr>
              <w:pStyle w:val="Textkrper"/>
              <w:spacing w:line="240" w:lineRule="auto"/>
              <w:jc w:val="center"/>
              <w:rPr>
                <w:sz w:val="22"/>
                <w:lang w:val="en-US"/>
              </w:rPr>
            </w:pPr>
            <w:r w:rsidRPr="00753D51">
              <w:rPr>
                <w:sz w:val="22"/>
                <w:lang w:val="en-US"/>
              </w:rPr>
              <w:t>4</w:t>
            </w:r>
          </w:p>
        </w:tc>
        <w:tc>
          <w:tcPr>
            <w:tcW w:w="975" w:type="dxa"/>
            <w:tcBorders>
              <w:top w:val="nil"/>
              <w:left w:val="single" w:sz="4" w:space="0" w:color="auto"/>
              <w:bottom w:val="single" w:sz="4" w:space="0" w:color="auto"/>
            </w:tcBorders>
          </w:tcPr>
          <w:p w14:paraId="6F95F640" w14:textId="77777777" w:rsidR="00F3279A" w:rsidRPr="00753D51" w:rsidRDefault="00F3279A" w:rsidP="00F3279A">
            <w:pPr>
              <w:pStyle w:val="Textkrper"/>
              <w:spacing w:line="240" w:lineRule="auto"/>
              <w:jc w:val="center"/>
              <w:rPr>
                <w:sz w:val="22"/>
                <w:lang w:val="en-US"/>
              </w:rPr>
            </w:pPr>
            <w:r w:rsidRPr="00753D51">
              <w:rPr>
                <w:sz w:val="22"/>
                <w:lang w:val="en-US"/>
              </w:rPr>
              <w:t>70</w:t>
            </w:r>
          </w:p>
        </w:tc>
        <w:tc>
          <w:tcPr>
            <w:tcW w:w="554" w:type="dxa"/>
            <w:tcBorders>
              <w:top w:val="nil"/>
              <w:bottom w:val="single" w:sz="4" w:space="0" w:color="auto"/>
            </w:tcBorders>
          </w:tcPr>
          <w:p w14:paraId="6714F381" w14:textId="77777777" w:rsidR="00F3279A" w:rsidRPr="00753D51" w:rsidRDefault="00F3279A" w:rsidP="00F3279A">
            <w:pPr>
              <w:pStyle w:val="Textkrper"/>
              <w:spacing w:line="240" w:lineRule="auto"/>
              <w:jc w:val="center"/>
              <w:rPr>
                <w:sz w:val="22"/>
                <w:lang w:val="en-US"/>
              </w:rPr>
            </w:pPr>
            <w:r w:rsidRPr="00753D51">
              <w:rPr>
                <w:sz w:val="22"/>
                <w:lang w:val="en-US"/>
              </w:rPr>
              <w:t>40</w:t>
            </w:r>
          </w:p>
        </w:tc>
        <w:tc>
          <w:tcPr>
            <w:tcW w:w="696" w:type="dxa"/>
            <w:tcBorders>
              <w:top w:val="nil"/>
              <w:bottom w:val="single" w:sz="4" w:space="0" w:color="auto"/>
              <w:right w:val="single" w:sz="4" w:space="0" w:color="auto"/>
            </w:tcBorders>
          </w:tcPr>
          <w:p w14:paraId="29CE8F2E" w14:textId="77777777" w:rsidR="00F3279A" w:rsidRPr="00753D51" w:rsidRDefault="00F3279A" w:rsidP="00F3279A">
            <w:pPr>
              <w:pStyle w:val="Textkrper"/>
              <w:spacing w:line="240" w:lineRule="auto"/>
              <w:jc w:val="center"/>
              <w:rPr>
                <w:sz w:val="22"/>
                <w:lang w:val="en-US"/>
              </w:rPr>
            </w:pPr>
            <w:r w:rsidRPr="00753D51">
              <w:rPr>
                <w:sz w:val="22"/>
                <w:lang w:val="en-US"/>
              </w:rPr>
              <w:t>3</w:t>
            </w:r>
          </w:p>
        </w:tc>
      </w:tr>
    </w:tbl>
    <w:p w14:paraId="35A28213" w14:textId="3664D118" w:rsidR="00F3279A" w:rsidRDefault="00F3279A" w:rsidP="00F3279A">
      <w:pPr>
        <w:spacing w:line="240" w:lineRule="auto"/>
      </w:pPr>
    </w:p>
    <w:p w14:paraId="54B6566A" w14:textId="721E1265" w:rsidR="00F3279A" w:rsidRDefault="00F3279A" w:rsidP="00F3279A">
      <w:pPr>
        <w:spacing w:line="240" w:lineRule="auto"/>
      </w:pPr>
    </w:p>
    <w:p w14:paraId="7F39B5E2" w14:textId="77777777" w:rsidR="00F3279A" w:rsidRDefault="00F3279A" w:rsidP="00F3279A">
      <w:pPr>
        <w:spacing w:line="240" w:lineRule="auto"/>
        <w:jc w:val="left"/>
        <w:rPr>
          <w:b/>
          <w:bCs/>
          <w:sz w:val="18"/>
        </w:rPr>
      </w:pPr>
      <w:r>
        <w:br w:type="page"/>
      </w:r>
    </w:p>
    <w:p w14:paraId="04B03C27" w14:textId="5C352E2F" w:rsidR="00F3279A" w:rsidRPr="007B3E22" w:rsidRDefault="00F3279A" w:rsidP="00F3279A">
      <w:pPr>
        <w:pStyle w:val="Beschriftung"/>
      </w:pPr>
      <w:r>
        <w:lastRenderedPageBreak/>
        <w:t xml:space="preserve">Table 2: </w:t>
      </w:r>
      <w:r w:rsidRPr="0046549B">
        <w:t>δ</w:t>
      </w:r>
      <w:r w:rsidRPr="0046549B">
        <w:rPr>
          <w:vertAlign w:val="superscript"/>
        </w:rPr>
        <w:t>13</w:t>
      </w:r>
      <w:r>
        <w:t>C and</w:t>
      </w:r>
      <w:r w:rsidRPr="0046549B">
        <w:t xml:space="preserve"> δ</w:t>
      </w:r>
      <w:r w:rsidRPr="0046549B">
        <w:rPr>
          <w:vertAlign w:val="superscript"/>
        </w:rPr>
        <w:t>15</w:t>
      </w:r>
      <w:r w:rsidRPr="0046549B">
        <w:t>N values</w:t>
      </w:r>
      <w:r>
        <w:t xml:space="preserve"> including standard deviation</w:t>
      </w:r>
      <w:r w:rsidRPr="0046549B">
        <w:t xml:space="preserve"> </w:t>
      </w:r>
      <w:r>
        <w:t xml:space="preserve">of triplicate measurements on EA-IRMS for potential precursor substances of MDMB-CHMICA and Cumyl-PeGaClone, purchased from different global vendors. </w:t>
      </w:r>
    </w:p>
    <w:tbl>
      <w:tblPr>
        <w:tblW w:w="5957" w:type="dxa"/>
        <w:tblLook w:val="04A0" w:firstRow="1" w:lastRow="0" w:firstColumn="1" w:lastColumn="0" w:noHBand="0" w:noVBand="1"/>
      </w:tblPr>
      <w:tblGrid>
        <w:gridCol w:w="1610"/>
        <w:gridCol w:w="1421"/>
        <w:gridCol w:w="1463"/>
        <w:gridCol w:w="1463"/>
      </w:tblGrid>
      <w:tr w:rsidR="00F3279A" w:rsidRPr="001E6670" w14:paraId="57402A23" w14:textId="77777777" w:rsidTr="00E11382">
        <w:trPr>
          <w:trHeight w:val="434"/>
        </w:trPr>
        <w:tc>
          <w:tcPr>
            <w:tcW w:w="1610" w:type="dxa"/>
            <w:tcBorders>
              <w:bottom w:val="single" w:sz="4" w:space="0" w:color="auto"/>
            </w:tcBorders>
            <w:shd w:val="clear" w:color="auto" w:fill="auto"/>
            <w:vAlign w:val="bottom"/>
          </w:tcPr>
          <w:p w14:paraId="780058FD" w14:textId="77777777" w:rsidR="00F3279A" w:rsidRPr="001E6670" w:rsidRDefault="00F3279A" w:rsidP="00F3279A">
            <w:pPr>
              <w:spacing w:line="240" w:lineRule="auto"/>
              <w:rPr>
                <w:rFonts w:cstheme="minorHAnsi"/>
                <w:sz w:val="20"/>
              </w:rPr>
            </w:pPr>
          </w:p>
        </w:tc>
        <w:tc>
          <w:tcPr>
            <w:tcW w:w="1421" w:type="dxa"/>
            <w:tcBorders>
              <w:bottom w:val="single" w:sz="4" w:space="0" w:color="auto"/>
            </w:tcBorders>
            <w:vAlign w:val="bottom"/>
          </w:tcPr>
          <w:p w14:paraId="4062E449" w14:textId="77777777" w:rsidR="00F3279A" w:rsidRPr="001E6670" w:rsidRDefault="00F3279A" w:rsidP="00F3279A">
            <w:pPr>
              <w:spacing w:line="240" w:lineRule="auto"/>
              <w:jc w:val="center"/>
              <w:rPr>
                <w:rFonts w:cstheme="minorHAnsi"/>
                <w:sz w:val="20"/>
              </w:rPr>
            </w:pPr>
            <w:r w:rsidRPr="001E6670">
              <w:rPr>
                <w:rFonts w:cstheme="minorHAnsi"/>
                <w:sz w:val="20"/>
              </w:rPr>
              <w:t>Vendor</w:t>
            </w:r>
          </w:p>
        </w:tc>
        <w:tc>
          <w:tcPr>
            <w:tcW w:w="1463" w:type="dxa"/>
            <w:tcBorders>
              <w:bottom w:val="single" w:sz="4" w:space="0" w:color="auto"/>
            </w:tcBorders>
            <w:shd w:val="clear" w:color="auto" w:fill="auto"/>
          </w:tcPr>
          <w:p w14:paraId="2CDCA075" w14:textId="77777777" w:rsidR="00F3279A" w:rsidRPr="001E6670" w:rsidRDefault="00F3279A" w:rsidP="00F3279A">
            <w:pPr>
              <w:spacing w:line="240" w:lineRule="auto"/>
              <w:jc w:val="center"/>
              <w:rPr>
                <w:rFonts w:cstheme="minorHAnsi"/>
                <w:sz w:val="20"/>
                <w:lang w:val="en-US"/>
              </w:rPr>
            </w:pPr>
            <w:r w:rsidRPr="001E6670">
              <w:rPr>
                <w:rFonts w:cstheme="minorHAnsi"/>
                <w:sz w:val="20"/>
              </w:rPr>
              <w:t>δ</w:t>
            </w:r>
            <w:r w:rsidRPr="001E6670">
              <w:rPr>
                <w:rFonts w:cstheme="minorHAnsi"/>
                <w:sz w:val="20"/>
                <w:vertAlign w:val="superscript"/>
                <w:lang w:val="en-US"/>
              </w:rPr>
              <w:t>13</w:t>
            </w:r>
            <w:r w:rsidRPr="001E6670">
              <w:rPr>
                <w:rFonts w:cstheme="minorHAnsi"/>
                <w:sz w:val="20"/>
                <w:lang w:val="en-US"/>
              </w:rPr>
              <w:t>C</w:t>
            </w:r>
            <w:r w:rsidRPr="001E6670">
              <w:rPr>
                <w:rFonts w:cstheme="minorHAnsi"/>
                <w:sz w:val="20"/>
                <w:vertAlign w:val="subscript"/>
                <w:lang w:val="en-US"/>
              </w:rPr>
              <w:t>V-</w:t>
            </w:r>
            <w:proofErr w:type="gramStart"/>
            <w:r w:rsidRPr="001E6670">
              <w:rPr>
                <w:rFonts w:cstheme="minorHAnsi"/>
                <w:sz w:val="20"/>
                <w:vertAlign w:val="subscript"/>
                <w:lang w:val="en-US"/>
              </w:rPr>
              <w:t>PDB</w:t>
            </w:r>
            <w:r w:rsidRPr="001E6670">
              <w:rPr>
                <w:rFonts w:cstheme="minorHAnsi"/>
                <w:sz w:val="20"/>
                <w:lang w:val="en-US"/>
              </w:rPr>
              <w:t>[</w:t>
            </w:r>
            <w:proofErr w:type="gramEnd"/>
            <w:r w:rsidRPr="001E6670">
              <w:rPr>
                <w:rFonts w:cstheme="minorHAnsi"/>
                <w:sz w:val="20"/>
                <w:lang w:val="en-US"/>
              </w:rPr>
              <w:t>‰]</w:t>
            </w:r>
          </w:p>
          <w:p w14:paraId="27047D79" w14:textId="77777777" w:rsidR="00F3279A" w:rsidRPr="001E6670" w:rsidRDefault="00F3279A" w:rsidP="00F3279A">
            <w:pPr>
              <w:spacing w:line="240" w:lineRule="auto"/>
              <w:jc w:val="center"/>
              <w:rPr>
                <w:rFonts w:cstheme="minorHAnsi"/>
                <w:sz w:val="20"/>
              </w:rPr>
            </w:pPr>
            <w:r w:rsidRPr="001E6670">
              <w:rPr>
                <w:rFonts w:cstheme="minorHAnsi"/>
                <w:sz w:val="20"/>
                <w:lang w:val="en-US"/>
              </w:rPr>
              <w:t>average ± STD</w:t>
            </w:r>
          </w:p>
        </w:tc>
        <w:tc>
          <w:tcPr>
            <w:tcW w:w="1463" w:type="dxa"/>
            <w:tcBorders>
              <w:bottom w:val="single" w:sz="4" w:space="0" w:color="auto"/>
            </w:tcBorders>
            <w:shd w:val="clear" w:color="auto" w:fill="auto"/>
          </w:tcPr>
          <w:p w14:paraId="724E640B" w14:textId="77777777" w:rsidR="00F3279A" w:rsidRPr="001E6670" w:rsidRDefault="00F3279A" w:rsidP="00F3279A">
            <w:pPr>
              <w:spacing w:line="240" w:lineRule="auto"/>
              <w:jc w:val="center"/>
              <w:rPr>
                <w:rFonts w:cstheme="minorHAnsi"/>
                <w:sz w:val="20"/>
                <w:lang w:val="en-US"/>
              </w:rPr>
            </w:pPr>
            <w:r w:rsidRPr="001E6670">
              <w:rPr>
                <w:rFonts w:cstheme="minorHAnsi"/>
                <w:sz w:val="20"/>
              </w:rPr>
              <w:t>δ</w:t>
            </w:r>
            <w:r w:rsidRPr="001E6670">
              <w:rPr>
                <w:rFonts w:cstheme="minorHAnsi"/>
                <w:sz w:val="20"/>
                <w:vertAlign w:val="superscript"/>
                <w:lang w:val="en-US"/>
              </w:rPr>
              <w:t>15</w:t>
            </w:r>
            <w:proofErr w:type="gramStart"/>
            <w:r w:rsidRPr="001E6670">
              <w:rPr>
                <w:rFonts w:cstheme="minorHAnsi"/>
                <w:sz w:val="20"/>
                <w:lang w:val="en-US"/>
              </w:rPr>
              <w:t>N</w:t>
            </w:r>
            <w:r w:rsidRPr="001E6670">
              <w:rPr>
                <w:rFonts w:cstheme="minorHAnsi"/>
                <w:sz w:val="20"/>
                <w:vertAlign w:val="subscript"/>
                <w:lang w:val="en-US"/>
              </w:rPr>
              <w:t>AIR</w:t>
            </w:r>
            <w:r w:rsidRPr="001E6670">
              <w:rPr>
                <w:rFonts w:cstheme="minorHAnsi"/>
                <w:sz w:val="20"/>
                <w:lang w:val="en-US"/>
              </w:rPr>
              <w:t>[</w:t>
            </w:r>
            <w:proofErr w:type="gramEnd"/>
            <w:r w:rsidRPr="001E6670">
              <w:rPr>
                <w:rFonts w:cstheme="minorHAnsi"/>
                <w:sz w:val="20"/>
                <w:lang w:val="en-US"/>
              </w:rPr>
              <w:t>‰]</w:t>
            </w:r>
          </w:p>
          <w:p w14:paraId="4460F913" w14:textId="77777777" w:rsidR="00F3279A" w:rsidRPr="001E6670" w:rsidRDefault="00F3279A" w:rsidP="00F3279A">
            <w:pPr>
              <w:spacing w:line="240" w:lineRule="auto"/>
              <w:jc w:val="center"/>
              <w:rPr>
                <w:rFonts w:cstheme="minorHAnsi"/>
                <w:sz w:val="20"/>
              </w:rPr>
            </w:pPr>
            <w:r w:rsidRPr="001E6670">
              <w:rPr>
                <w:rFonts w:cstheme="minorHAnsi"/>
                <w:sz w:val="20"/>
                <w:lang w:val="en-US"/>
              </w:rPr>
              <w:t>average ± STD</w:t>
            </w:r>
          </w:p>
        </w:tc>
      </w:tr>
      <w:tr w:rsidR="00F3279A" w:rsidRPr="001E6670" w14:paraId="0EDCA4EA" w14:textId="77777777" w:rsidTr="00E11382">
        <w:trPr>
          <w:trHeight w:val="227"/>
        </w:trPr>
        <w:tc>
          <w:tcPr>
            <w:tcW w:w="1610" w:type="dxa"/>
            <w:vMerge w:val="restart"/>
            <w:tcBorders>
              <w:top w:val="single" w:sz="4" w:space="0" w:color="auto"/>
            </w:tcBorders>
            <w:shd w:val="clear" w:color="auto" w:fill="auto"/>
            <w:vAlign w:val="center"/>
          </w:tcPr>
          <w:p w14:paraId="539D718E" w14:textId="77777777" w:rsidR="00F3279A" w:rsidRPr="001E6670" w:rsidRDefault="00F3279A" w:rsidP="00F3279A">
            <w:pPr>
              <w:spacing w:line="240" w:lineRule="auto"/>
              <w:jc w:val="center"/>
              <w:rPr>
                <w:rFonts w:cstheme="minorHAnsi"/>
                <w:sz w:val="20"/>
              </w:rPr>
            </w:pPr>
            <w:r w:rsidRPr="001E6670">
              <w:rPr>
                <w:rFonts w:cstheme="minorHAnsi"/>
                <w:sz w:val="20"/>
              </w:rPr>
              <w:t>Indole</w:t>
            </w:r>
          </w:p>
        </w:tc>
        <w:tc>
          <w:tcPr>
            <w:tcW w:w="1421" w:type="dxa"/>
            <w:tcBorders>
              <w:top w:val="single" w:sz="4" w:space="0" w:color="auto"/>
            </w:tcBorders>
          </w:tcPr>
          <w:p w14:paraId="5A1A438E"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rPr>
              <w:t>Sigma Aldrich</w:t>
            </w:r>
          </w:p>
        </w:tc>
        <w:tc>
          <w:tcPr>
            <w:tcW w:w="1463" w:type="dxa"/>
            <w:tcBorders>
              <w:top w:val="single" w:sz="4" w:space="0" w:color="auto"/>
            </w:tcBorders>
            <w:shd w:val="clear" w:color="auto" w:fill="auto"/>
            <w:vAlign w:val="bottom"/>
          </w:tcPr>
          <w:p w14:paraId="3C9E78CD"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rPr>
              <w:t>-21.04 ± 0.05</w:t>
            </w:r>
          </w:p>
        </w:tc>
        <w:tc>
          <w:tcPr>
            <w:tcW w:w="1463" w:type="dxa"/>
            <w:tcBorders>
              <w:top w:val="single" w:sz="4" w:space="0" w:color="auto"/>
            </w:tcBorders>
            <w:shd w:val="clear" w:color="auto" w:fill="auto"/>
            <w:vAlign w:val="bottom"/>
          </w:tcPr>
          <w:p w14:paraId="268D1EA0"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rPr>
              <w:t>6.83 ± 0.04</w:t>
            </w:r>
          </w:p>
        </w:tc>
      </w:tr>
      <w:tr w:rsidR="00F3279A" w:rsidRPr="001E6670" w14:paraId="5CEAF1D5" w14:textId="77777777" w:rsidTr="00E11382">
        <w:trPr>
          <w:trHeight w:val="227"/>
        </w:trPr>
        <w:tc>
          <w:tcPr>
            <w:tcW w:w="1610" w:type="dxa"/>
            <w:vMerge/>
            <w:shd w:val="clear" w:color="auto" w:fill="auto"/>
            <w:vAlign w:val="bottom"/>
          </w:tcPr>
          <w:p w14:paraId="41AF4EBE" w14:textId="77777777" w:rsidR="00F3279A" w:rsidRPr="001E6670" w:rsidRDefault="00F3279A" w:rsidP="00F3279A">
            <w:pPr>
              <w:spacing w:line="240" w:lineRule="auto"/>
              <w:jc w:val="center"/>
              <w:rPr>
                <w:rFonts w:cstheme="minorHAnsi"/>
                <w:color w:val="000000"/>
                <w:sz w:val="20"/>
              </w:rPr>
            </w:pPr>
          </w:p>
        </w:tc>
        <w:tc>
          <w:tcPr>
            <w:tcW w:w="1421" w:type="dxa"/>
          </w:tcPr>
          <w:p w14:paraId="7D6CAF87"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rPr>
              <w:t>TCI</w:t>
            </w:r>
          </w:p>
        </w:tc>
        <w:tc>
          <w:tcPr>
            <w:tcW w:w="1463" w:type="dxa"/>
            <w:shd w:val="clear" w:color="auto" w:fill="auto"/>
            <w:vAlign w:val="bottom"/>
          </w:tcPr>
          <w:p w14:paraId="4D96CC72"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rPr>
              <w:t>-26.80 ± 0.02</w:t>
            </w:r>
          </w:p>
        </w:tc>
        <w:tc>
          <w:tcPr>
            <w:tcW w:w="1463" w:type="dxa"/>
            <w:shd w:val="clear" w:color="auto" w:fill="auto"/>
            <w:vAlign w:val="bottom"/>
          </w:tcPr>
          <w:p w14:paraId="2D2E1BBD"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rPr>
              <w:t>3.09 ± 0.13</w:t>
            </w:r>
          </w:p>
        </w:tc>
      </w:tr>
      <w:tr w:rsidR="00F3279A" w:rsidRPr="001E6670" w14:paraId="69111392" w14:textId="77777777" w:rsidTr="00E11382">
        <w:trPr>
          <w:trHeight w:val="227"/>
        </w:trPr>
        <w:tc>
          <w:tcPr>
            <w:tcW w:w="1610" w:type="dxa"/>
            <w:vMerge/>
            <w:shd w:val="clear" w:color="auto" w:fill="auto"/>
            <w:noWrap/>
            <w:vAlign w:val="bottom"/>
          </w:tcPr>
          <w:p w14:paraId="3C4C5FDB" w14:textId="77777777" w:rsidR="00F3279A" w:rsidRPr="001E6670" w:rsidRDefault="00F3279A" w:rsidP="00F3279A">
            <w:pPr>
              <w:spacing w:line="240" w:lineRule="auto"/>
              <w:jc w:val="center"/>
              <w:rPr>
                <w:rFonts w:cstheme="minorHAnsi"/>
                <w:color w:val="000000"/>
                <w:sz w:val="20"/>
                <w:lang w:eastAsia="en-GB"/>
              </w:rPr>
            </w:pPr>
          </w:p>
        </w:tc>
        <w:tc>
          <w:tcPr>
            <w:tcW w:w="1421" w:type="dxa"/>
          </w:tcPr>
          <w:p w14:paraId="5906287A"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ABCR</w:t>
            </w:r>
          </w:p>
        </w:tc>
        <w:tc>
          <w:tcPr>
            <w:tcW w:w="1463" w:type="dxa"/>
            <w:shd w:val="clear" w:color="auto" w:fill="auto"/>
            <w:noWrap/>
            <w:vAlign w:val="bottom"/>
            <w:hideMark/>
          </w:tcPr>
          <w:p w14:paraId="5C4BBAF1"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-30.85 ± 0.04</w:t>
            </w:r>
          </w:p>
        </w:tc>
        <w:tc>
          <w:tcPr>
            <w:tcW w:w="1463" w:type="dxa"/>
            <w:shd w:val="clear" w:color="auto" w:fill="auto"/>
            <w:noWrap/>
            <w:vAlign w:val="bottom"/>
            <w:hideMark/>
          </w:tcPr>
          <w:p w14:paraId="604F9B99"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2.08 ± 0.03</w:t>
            </w:r>
          </w:p>
        </w:tc>
      </w:tr>
      <w:tr w:rsidR="00F3279A" w:rsidRPr="001E6670" w14:paraId="18DF188C" w14:textId="77777777" w:rsidTr="00E11382">
        <w:trPr>
          <w:trHeight w:val="227"/>
        </w:trPr>
        <w:tc>
          <w:tcPr>
            <w:tcW w:w="1610" w:type="dxa"/>
            <w:vMerge/>
            <w:shd w:val="clear" w:color="auto" w:fill="auto"/>
            <w:noWrap/>
            <w:vAlign w:val="bottom"/>
          </w:tcPr>
          <w:p w14:paraId="4F28C3D2" w14:textId="77777777" w:rsidR="00F3279A" w:rsidRPr="001E6670" w:rsidRDefault="00F3279A" w:rsidP="00F3279A">
            <w:pPr>
              <w:spacing w:line="240" w:lineRule="auto"/>
              <w:jc w:val="center"/>
              <w:rPr>
                <w:rFonts w:cstheme="minorHAnsi"/>
                <w:color w:val="000000"/>
                <w:sz w:val="20"/>
                <w:lang w:eastAsia="en-GB"/>
              </w:rPr>
            </w:pPr>
          </w:p>
        </w:tc>
        <w:tc>
          <w:tcPr>
            <w:tcW w:w="1421" w:type="dxa"/>
          </w:tcPr>
          <w:p w14:paraId="69ED2BD3"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Merck</w:t>
            </w:r>
          </w:p>
        </w:tc>
        <w:tc>
          <w:tcPr>
            <w:tcW w:w="1463" w:type="dxa"/>
            <w:shd w:val="clear" w:color="auto" w:fill="auto"/>
            <w:noWrap/>
            <w:vAlign w:val="bottom"/>
            <w:hideMark/>
          </w:tcPr>
          <w:p w14:paraId="4AB72401"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-21.81 ± 0.02</w:t>
            </w:r>
          </w:p>
        </w:tc>
        <w:tc>
          <w:tcPr>
            <w:tcW w:w="1463" w:type="dxa"/>
            <w:shd w:val="clear" w:color="auto" w:fill="auto"/>
            <w:noWrap/>
            <w:vAlign w:val="bottom"/>
            <w:hideMark/>
          </w:tcPr>
          <w:p w14:paraId="6EED18D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8.78 ± 0.05</w:t>
            </w:r>
          </w:p>
        </w:tc>
      </w:tr>
      <w:tr w:rsidR="00F3279A" w:rsidRPr="001E6670" w14:paraId="5F6ECAE6" w14:textId="77777777" w:rsidTr="00E11382">
        <w:trPr>
          <w:trHeight w:val="227"/>
        </w:trPr>
        <w:tc>
          <w:tcPr>
            <w:tcW w:w="1610" w:type="dxa"/>
            <w:vMerge/>
            <w:shd w:val="clear" w:color="auto" w:fill="auto"/>
            <w:noWrap/>
            <w:vAlign w:val="bottom"/>
          </w:tcPr>
          <w:p w14:paraId="41BD72EC" w14:textId="77777777" w:rsidR="00F3279A" w:rsidRPr="001E6670" w:rsidRDefault="00F3279A" w:rsidP="00F3279A">
            <w:pPr>
              <w:spacing w:line="240" w:lineRule="auto"/>
              <w:jc w:val="center"/>
              <w:rPr>
                <w:rFonts w:cstheme="minorHAnsi"/>
                <w:color w:val="000000"/>
                <w:sz w:val="20"/>
                <w:lang w:eastAsia="en-GB"/>
              </w:rPr>
            </w:pPr>
          </w:p>
        </w:tc>
        <w:tc>
          <w:tcPr>
            <w:tcW w:w="1421" w:type="dxa"/>
          </w:tcPr>
          <w:p w14:paraId="1BEEAD31" w14:textId="77777777" w:rsidR="00F3279A" w:rsidRPr="001E6670" w:rsidRDefault="00F3279A" w:rsidP="00F3279A">
            <w:pPr>
              <w:spacing w:line="240" w:lineRule="auto"/>
              <w:jc w:val="center"/>
              <w:rPr>
                <w:rFonts w:cstheme="minorHAnsi"/>
                <w:color w:val="000000"/>
                <w:sz w:val="20"/>
                <w:lang w:eastAsia="en-GB"/>
              </w:rPr>
            </w:pPr>
            <w:proofErr w:type="spellStart"/>
            <w:r w:rsidRPr="001E6670">
              <w:rPr>
                <w:rFonts w:cstheme="minorHAnsi"/>
                <w:color w:val="000000"/>
                <w:sz w:val="20"/>
                <w:lang w:eastAsia="en-GB"/>
              </w:rPr>
              <w:t>Acros</w:t>
            </w:r>
            <w:proofErr w:type="spellEnd"/>
            <w:r w:rsidRPr="001E6670">
              <w:rPr>
                <w:rFonts w:cstheme="minorHAnsi"/>
                <w:color w:val="000000"/>
                <w:sz w:val="20"/>
                <w:lang w:eastAsia="en-GB"/>
              </w:rPr>
              <w:t xml:space="preserve"> Chem.</w:t>
            </w:r>
          </w:p>
        </w:tc>
        <w:tc>
          <w:tcPr>
            <w:tcW w:w="1463" w:type="dxa"/>
            <w:shd w:val="clear" w:color="auto" w:fill="auto"/>
            <w:noWrap/>
            <w:vAlign w:val="bottom"/>
            <w:hideMark/>
          </w:tcPr>
          <w:p w14:paraId="2E76E20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-21.56 ± 0.03</w:t>
            </w:r>
          </w:p>
        </w:tc>
        <w:tc>
          <w:tcPr>
            <w:tcW w:w="1463" w:type="dxa"/>
            <w:shd w:val="clear" w:color="auto" w:fill="auto"/>
            <w:noWrap/>
            <w:vAlign w:val="bottom"/>
            <w:hideMark/>
          </w:tcPr>
          <w:p w14:paraId="21CA0D59"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9.15 ± 0.05</w:t>
            </w:r>
          </w:p>
        </w:tc>
      </w:tr>
      <w:tr w:rsidR="00F3279A" w:rsidRPr="001E6670" w14:paraId="10CC8C8A" w14:textId="77777777" w:rsidTr="00E11382">
        <w:trPr>
          <w:trHeight w:val="227"/>
        </w:trPr>
        <w:tc>
          <w:tcPr>
            <w:tcW w:w="1610" w:type="dxa"/>
            <w:vMerge/>
            <w:shd w:val="clear" w:color="auto" w:fill="auto"/>
            <w:noWrap/>
            <w:vAlign w:val="bottom"/>
          </w:tcPr>
          <w:p w14:paraId="386AC2E8" w14:textId="77777777" w:rsidR="00F3279A" w:rsidRPr="001E6670" w:rsidRDefault="00F3279A" w:rsidP="00F3279A">
            <w:pPr>
              <w:spacing w:line="240" w:lineRule="auto"/>
              <w:jc w:val="center"/>
              <w:rPr>
                <w:rFonts w:cstheme="minorHAnsi"/>
                <w:color w:val="000000"/>
                <w:sz w:val="20"/>
                <w:lang w:eastAsia="en-GB"/>
              </w:rPr>
            </w:pPr>
          </w:p>
        </w:tc>
        <w:tc>
          <w:tcPr>
            <w:tcW w:w="1421" w:type="dxa"/>
          </w:tcPr>
          <w:p w14:paraId="72C40097" w14:textId="77777777" w:rsidR="00F3279A" w:rsidRPr="001E6670" w:rsidRDefault="00F3279A" w:rsidP="00F3279A">
            <w:pPr>
              <w:spacing w:line="240" w:lineRule="auto"/>
              <w:jc w:val="center"/>
              <w:rPr>
                <w:rFonts w:cstheme="minorHAnsi"/>
                <w:color w:val="000000"/>
                <w:sz w:val="20"/>
                <w:lang w:eastAsia="en-GB"/>
              </w:rPr>
            </w:pPr>
            <w:proofErr w:type="spellStart"/>
            <w:r w:rsidRPr="001E6670">
              <w:rPr>
                <w:rFonts w:cstheme="minorHAnsi"/>
                <w:color w:val="000000"/>
                <w:sz w:val="20"/>
                <w:lang w:eastAsia="en-GB"/>
              </w:rPr>
              <w:t>AlfaAeser</w:t>
            </w:r>
            <w:proofErr w:type="spellEnd"/>
          </w:p>
        </w:tc>
        <w:tc>
          <w:tcPr>
            <w:tcW w:w="1463" w:type="dxa"/>
            <w:shd w:val="clear" w:color="auto" w:fill="auto"/>
            <w:noWrap/>
            <w:vAlign w:val="bottom"/>
            <w:hideMark/>
          </w:tcPr>
          <w:p w14:paraId="6457978A"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-30.82 ± 0.04</w:t>
            </w:r>
          </w:p>
        </w:tc>
        <w:tc>
          <w:tcPr>
            <w:tcW w:w="1463" w:type="dxa"/>
            <w:shd w:val="clear" w:color="auto" w:fill="auto"/>
            <w:noWrap/>
            <w:vAlign w:val="bottom"/>
            <w:hideMark/>
          </w:tcPr>
          <w:p w14:paraId="0F5D7E8C"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2.00 ± 0.06</w:t>
            </w:r>
          </w:p>
        </w:tc>
      </w:tr>
      <w:tr w:rsidR="00F3279A" w:rsidRPr="001E6670" w14:paraId="518D3B8D" w14:textId="77777777" w:rsidTr="00E11382">
        <w:trPr>
          <w:trHeight w:val="227"/>
        </w:trPr>
        <w:tc>
          <w:tcPr>
            <w:tcW w:w="1610" w:type="dxa"/>
            <w:vMerge/>
            <w:shd w:val="clear" w:color="auto" w:fill="auto"/>
            <w:noWrap/>
            <w:vAlign w:val="bottom"/>
          </w:tcPr>
          <w:p w14:paraId="12384F25" w14:textId="77777777" w:rsidR="00F3279A" w:rsidRPr="001E6670" w:rsidRDefault="00F3279A" w:rsidP="00F3279A">
            <w:pPr>
              <w:spacing w:line="240" w:lineRule="auto"/>
              <w:jc w:val="center"/>
              <w:rPr>
                <w:rFonts w:cstheme="minorHAnsi"/>
                <w:color w:val="000000"/>
                <w:sz w:val="20"/>
                <w:lang w:eastAsia="en-GB"/>
              </w:rPr>
            </w:pPr>
          </w:p>
        </w:tc>
        <w:tc>
          <w:tcPr>
            <w:tcW w:w="1421" w:type="dxa"/>
          </w:tcPr>
          <w:p w14:paraId="1540FD16" w14:textId="77777777" w:rsidR="00F3279A" w:rsidRPr="001E6670" w:rsidRDefault="00F3279A" w:rsidP="00F3279A">
            <w:pPr>
              <w:spacing w:line="240" w:lineRule="auto"/>
              <w:jc w:val="center"/>
              <w:rPr>
                <w:rFonts w:cstheme="minorHAnsi"/>
                <w:color w:val="000000"/>
                <w:sz w:val="20"/>
                <w:lang w:eastAsia="en-GB"/>
              </w:rPr>
            </w:pPr>
            <w:proofErr w:type="spellStart"/>
            <w:r w:rsidRPr="001E6670">
              <w:rPr>
                <w:rFonts w:cstheme="minorHAnsi"/>
                <w:color w:val="000000"/>
                <w:sz w:val="20"/>
                <w:lang w:eastAsia="en-GB"/>
              </w:rPr>
              <w:t>BePharm</w:t>
            </w:r>
            <w:proofErr w:type="spellEnd"/>
          </w:p>
        </w:tc>
        <w:tc>
          <w:tcPr>
            <w:tcW w:w="1463" w:type="dxa"/>
            <w:shd w:val="clear" w:color="auto" w:fill="auto"/>
            <w:noWrap/>
            <w:vAlign w:val="bottom"/>
            <w:hideMark/>
          </w:tcPr>
          <w:p w14:paraId="7939E2C5"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-22.25 ± 0.02</w:t>
            </w:r>
          </w:p>
        </w:tc>
        <w:tc>
          <w:tcPr>
            <w:tcW w:w="1463" w:type="dxa"/>
            <w:shd w:val="clear" w:color="auto" w:fill="auto"/>
            <w:noWrap/>
            <w:vAlign w:val="bottom"/>
            <w:hideMark/>
          </w:tcPr>
          <w:p w14:paraId="3CBD9F1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8.36 ± 0.03</w:t>
            </w:r>
          </w:p>
        </w:tc>
      </w:tr>
      <w:tr w:rsidR="00F3279A" w:rsidRPr="001E6670" w14:paraId="669276E8" w14:textId="77777777" w:rsidTr="00E11382">
        <w:trPr>
          <w:trHeight w:val="227"/>
        </w:trPr>
        <w:tc>
          <w:tcPr>
            <w:tcW w:w="1610" w:type="dxa"/>
            <w:vMerge/>
            <w:tcBorders>
              <w:bottom w:val="single" w:sz="4" w:space="0" w:color="auto"/>
            </w:tcBorders>
            <w:shd w:val="clear" w:color="auto" w:fill="auto"/>
            <w:noWrap/>
            <w:vAlign w:val="bottom"/>
          </w:tcPr>
          <w:p w14:paraId="32327647" w14:textId="77777777" w:rsidR="00F3279A" w:rsidRPr="001E6670" w:rsidRDefault="00F3279A" w:rsidP="00F3279A">
            <w:pPr>
              <w:spacing w:line="240" w:lineRule="auto"/>
              <w:jc w:val="center"/>
              <w:rPr>
                <w:rFonts w:cstheme="minorHAnsi"/>
                <w:color w:val="000000"/>
                <w:sz w:val="20"/>
                <w:lang w:eastAsia="en-GB"/>
              </w:rPr>
            </w:pPr>
          </w:p>
        </w:tc>
        <w:tc>
          <w:tcPr>
            <w:tcW w:w="1421" w:type="dxa"/>
            <w:tcBorders>
              <w:bottom w:val="single" w:sz="4" w:space="0" w:color="auto"/>
            </w:tcBorders>
          </w:tcPr>
          <w:p w14:paraId="54F04467" w14:textId="77777777" w:rsidR="00F3279A" w:rsidRPr="001E6670" w:rsidRDefault="00F3279A" w:rsidP="00F3279A">
            <w:pPr>
              <w:spacing w:line="240" w:lineRule="auto"/>
              <w:jc w:val="center"/>
              <w:rPr>
                <w:rFonts w:cstheme="minorHAnsi"/>
                <w:sz w:val="20"/>
                <w:lang w:eastAsia="en-GB"/>
              </w:rPr>
            </w:pPr>
            <w:r w:rsidRPr="001E6670">
              <w:rPr>
                <w:rFonts w:cstheme="minorHAnsi"/>
                <w:sz w:val="20"/>
                <w:lang w:eastAsia="en-GB"/>
              </w:rPr>
              <w:t>MP Biomed.</w:t>
            </w:r>
          </w:p>
        </w:tc>
        <w:tc>
          <w:tcPr>
            <w:tcW w:w="1463" w:type="dxa"/>
            <w:tcBorders>
              <w:bottom w:val="single" w:sz="4" w:space="0" w:color="auto"/>
            </w:tcBorders>
            <w:shd w:val="clear" w:color="auto" w:fill="auto"/>
            <w:noWrap/>
            <w:vAlign w:val="bottom"/>
            <w:hideMark/>
          </w:tcPr>
          <w:p w14:paraId="207D0F9E"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-28.99 ± 0.02</w:t>
            </w:r>
          </w:p>
        </w:tc>
        <w:tc>
          <w:tcPr>
            <w:tcW w:w="1463" w:type="dxa"/>
            <w:tcBorders>
              <w:bottom w:val="single" w:sz="4" w:space="0" w:color="auto"/>
            </w:tcBorders>
            <w:shd w:val="clear" w:color="auto" w:fill="auto"/>
            <w:noWrap/>
            <w:vAlign w:val="bottom"/>
            <w:hideMark/>
          </w:tcPr>
          <w:p w14:paraId="78CCDEF6"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9.66 ± 0.05</w:t>
            </w:r>
          </w:p>
        </w:tc>
      </w:tr>
      <w:tr w:rsidR="00F3279A" w:rsidRPr="001E6670" w14:paraId="3DFC2D37" w14:textId="77777777" w:rsidTr="00E11382">
        <w:trPr>
          <w:trHeight w:val="227"/>
        </w:trPr>
        <w:tc>
          <w:tcPr>
            <w:tcW w:w="1610" w:type="dxa"/>
            <w:vMerge w:val="restart"/>
            <w:tcBorders>
              <w:top w:val="single" w:sz="4" w:space="0" w:color="auto"/>
            </w:tcBorders>
            <w:shd w:val="clear" w:color="auto" w:fill="auto"/>
            <w:noWrap/>
            <w:vAlign w:val="center"/>
            <w:hideMark/>
          </w:tcPr>
          <w:p w14:paraId="1BE87FB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(D)-tert-Leucine</w:t>
            </w:r>
          </w:p>
        </w:tc>
        <w:tc>
          <w:tcPr>
            <w:tcW w:w="1421" w:type="dxa"/>
            <w:vMerge w:val="restart"/>
            <w:tcBorders>
              <w:top w:val="single" w:sz="4" w:space="0" w:color="auto"/>
            </w:tcBorders>
            <w:vAlign w:val="center"/>
          </w:tcPr>
          <w:p w14:paraId="41787CBA" w14:textId="77777777" w:rsidR="00F3279A" w:rsidRPr="001E6670" w:rsidRDefault="00F3279A" w:rsidP="00F3279A">
            <w:pPr>
              <w:spacing w:line="240" w:lineRule="auto"/>
              <w:jc w:val="center"/>
              <w:rPr>
                <w:rFonts w:cstheme="minorHAnsi"/>
                <w:color w:val="000000"/>
                <w:sz w:val="20"/>
                <w:lang w:eastAsia="en-GB"/>
              </w:rPr>
            </w:pPr>
            <w:proofErr w:type="spellStart"/>
            <w:r w:rsidRPr="001E6670">
              <w:rPr>
                <w:rFonts w:cstheme="minorHAnsi"/>
                <w:color w:val="000000"/>
                <w:sz w:val="20"/>
                <w:lang w:eastAsia="en-GB"/>
              </w:rPr>
              <w:t>AlfaAeser</w:t>
            </w:r>
            <w:proofErr w:type="spellEnd"/>
          </w:p>
          <w:p w14:paraId="4655BEF7"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(same lot)</w:t>
            </w:r>
          </w:p>
        </w:tc>
        <w:tc>
          <w:tcPr>
            <w:tcW w:w="1463" w:type="dxa"/>
            <w:tcBorders>
              <w:top w:val="single" w:sz="4" w:space="0" w:color="auto"/>
            </w:tcBorders>
            <w:shd w:val="clear" w:color="auto" w:fill="auto"/>
            <w:noWrap/>
            <w:vAlign w:val="center"/>
          </w:tcPr>
          <w:p w14:paraId="628BE9F0"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-29.81 </w:t>
            </w:r>
            <w:r w:rsidRPr="001E6670">
              <w:rPr>
                <w:rFonts w:cstheme="minorHAnsi"/>
                <w:color w:val="000000"/>
                <w:sz w:val="20"/>
              </w:rPr>
              <w:t xml:space="preserve">± </w:t>
            </w:r>
            <w:r w:rsidRPr="001E6670">
              <w:rPr>
                <w:rFonts w:cstheme="minorHAnsi"/>
                <w:color w:val="000000"/>
                <w:sz w:val="20"/>
                <w:lang w:eastAsia="en-GB"/>
              </w:rPr>
              <w:t>0.02</w:t>
            </w:r>
          </w:p>
        </w:tc>
        <w:tc>
          <w:tcPr>
            <w:tcW w:w="1463" w:type="dxa"/>
            <w:tcBorders>
              <w:top w:val="single" w:sz="4" w:space="0" w:color="auto"/>
            </w:tcBorders>
            <w:shd w:val="clear" w:color="auto" w:fill="auto"/>
            <w:noWrap/>
            <w:vAlign w:val="center"/>
          </w:tcPr>
          <w:p w14:paraId="2C9A7EB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0.37 </w:t>
            </w:r>
            <w:r w:rsidRPr="001E6670">
              <w:rPr>
                <w:rFonts w:cstheme="minorHAnsi"/>
                <w:color w:val="000000"/>
                <w:sz w:val="20"/>
              </w:rPr>
              <w:t xml:space="preserve">± </w:t>
            </w:r>
            <w:r w:rsidRPr="001E6670">
              <w:rPr>
                <w:rFonts w:cstheme="minorHAnsi"/>
                <w:color w:val="000000"/>
                <w:sz w:val="20"/>
                <w:lang w:eastAsia="en-GB"/>
              </w:rPr>
              <w:t>0.03</w:t>
            </w:r>
          </w:p>
        </w:tc>
      </w:tr>
      <w:tr w:rsidR="00F3279A" w:rsidRPr="001E6670" w14:paraId="31DB30B8" w14:textId="77777777" w:rsidTr="00E11382">
        <w:trPr>
          <w:trHeight w:val="227"/>
        </w:trPr>
        <w:tc>
          <w:tcPr>
            <w:tcW w:w="1610" w:type="dxa"/>
            <w:vMerge/>
            <w:shd w:val="clear" w:color="auto" w:fill="auto"/>
            <w:noWrap/>
            <w:vAlign w:val="bottom"/>
          </w:tcPr>
          <w:p w14:paraId="0E5F5EB1" w14:textId="77777777" w:rsidR="00F3279A" w:rsidRPr="001E6670" w:rsidRDefault="00F3279A" w:rsidP="00F3279A">
            <w:pPr>
              <w:spacing w:line="240" w:lineRule="auto"/>
              <w:jc w:val="center"/>
              <w:rPr>
                <w:rFonts w:cstheme="minorHAnsi"/>
                <w:color w:val="000000"/>
                <w:sz w:val="20"/>
                <w:lang w:eastAsia="en-GB"/>
              </w:rPr>
            </w:pPr>
          </w:p>
        </w:tc>
        <w:tc>
          <w:tcPr>
            <w:tcW w:w="1421" w:type="dxa"/>
            <w:vMerge/>
          </w:tcPr>
          <w:p w14:paraId="7BC05941" w14:textId="77777777" w:rsidR="00F3279A" w:rsidRPr="001E6670" w:rsidRDefault="00F3279A" w:rsidP="00F3279A">
            <w:pPr>
              <w:spacing w:line="240" w:lineRule="auto"/>
              <w:jc w:val="center"/>
              <w:rPr>
                <w:rFonts w:cstheme="minorHAnsi"/>
                <w:color w:val="000000"/>
                <w:sz w:val="20"/>
                <w:lang w:eastAsia="en-GB"/>
              </w:rPr>
            </w:pPr>
          </w:p>
        </w:tc>
        <w:tc>
          <w:tcPr>
            <w:tcW w:w="1463" w:type="dxa"/>
            <w:shd w:val="clear" w:color="auto" w:fill="auto"/>
            <w:noWrap/>
            <w:vAlign w:val="center"/>
          </w:tcPr>
          <w:p w14:paraId="1D2D123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-29.84 </w:t>
            </w:r>
            <w:r w:rsidRPr="001E6670">
              <w:rPr>
                <w:rFonts w:cstheme="minorHAnsi"/>
                <w:color w:val="000000"/>
                <w:sz w:val="20"/>
              </w:rPr>
              <w:t xml:space="preserve">± </w:t>
            </w:r>
            <w:r w:rsidRPr="001E6670">
              <w:rPr>
                <w:rFonts w:cstheme="minorHAnsi"/>
                <w:color w:val="000000"/>
                <w:sz w:val="20"/>
                <w:lang w:eastAsia="en-GB"/>
              </w:rPr>
              <w:t>0.03</w:t>
            </w:r>
          </w:p>
        </w:tc>
        <w:tc>
          <w:tcPr>
            <w:tcW w:w="1463" w:type="dxa"/>
            <w:shd w:val="clear" w:color="auto" w:fill="auto"/>
            <w:noWrap/>
            <w:vAlign w:val="center"/>
          </w:tcPr>
          <w:p w14:paraId="6520AEB5"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0.35 </w:t>
            </w:r>
            <w:r w:rsidRPr="001E6670">
              <w:rPr>
                <w:rFonts w:cstheme="minorHAnsi"/>
                <w:color w:val="000000"/>
                <w:sz w:val="20"/>
              </w:rPr>
              <w:t xml:space="preserve">± </w:t>
            </w:r>
            <w:r w:rsidRPr="001E6670">
              <w:rPr>
                <w:rFonts w:cstheme="minorHAnsi"/>
                <w:color w:val="000000"/>
                <w:sz w:val="20"/>
                <w:lang w:eastAsia="en-GB"/>
              </w:rPr>
              <w:t>0.02</w:t>
            </w:r>
          </w:p>
        </w:tc>
      </w:tr>
      <w:tr w:rsidR="00F3279A" w:rsidRPr="001E6670" w14:paraId="2B889052" w14:textId="77777777" w:rsidTr="00E11382">
        <w:trPr>
          <w:trHeight w:val="227"/>
        </w:trPr>
        <w:tc>
          <w:tcPr>
            <w:tcW w:w="1610" w:type="dxa"/>
            <w:vMerge/>
            <w:tcBorders>
              <w:bottom w:val="single" w:sz="4" w:space="0" w:color="auto"/>
            </w:tcBorders>
            <w:shd w:val="clear" w:color="auto" w:fill="auto"/>
            <w:noWrap/>
            <w:vAlign w:val="bottom"/>
          </w:tcPr>
          <w:p w14:paraId="40E8C9F3" w14:textId="77777777" w:rsidR="00F3279A" w:rsidRPr="001E6670" w:rsidRDefault="00F3279A" w:rsidP="00F3279A">
            <w:pPr>
              <w:spacing w:line="240" w:lineRule="auto"/>
              <w:jc w:val="center"/>
              <w:rPr>
                <w:rFonts w:cstheme="minorHAnsi"/>
                <w:color w:val="000000"/>
                <w:sz w:val="20"/>
                <w:lang w:eastAsia="en-GB"/>
              </w:rPr>
            </w:pPr>
          </w:p>
        </w:tc>
        <w:tc>
          <w:tcPr>
            <w:tcW w:w="1421" w:type="dxa"/>
            <w:vMerge/>
            <w:tcBorders>
              <w:bottom w:val="single" w:sz="4" w:space="0" w:color="auto"/>
            </w:tcBorders>
          </w:tcPr>
          <w:p w14:paraId="3D985794" w14:textId="77777777" w:rsidR="00F3279A" w:rsidRPr="001E6670" w:rsidRDefault="00F3279A" w:rsidP="00F3279A">
            <w:pPr>
              <w:spacing w:line="240" w:lineRule="auto"/>
              <w:jc w:val="center"/>
              <w:rPr>
                <w:rFonts w:cstheme="minorHAnsi"/>
                <w:color w:val="000000"/>
                <w:sz w:val="20"/>
                <w:lang w:eastAsia="en-GB"/>
              </w:rPr>
            </w:pPr>
          </w:p>
        </w:tc>
        <w:tc>
          <w:tcPr>
            <w:tcW w:w="1463" w:type="dxa"/>
            <w:tcBorders>
              <w:bottom w:val="single" w:sz="4" w:space="0" w:color="auto"/>
            </w:tcBorders>
            <w:shd w:val="clear" w:color="auto" w:fill="auto"/>
            <w:noWrap/>
            <w:vAlign w:val="center"/>
          </w:tcPr>
          <w:p w14:paraId="18649C9D"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-29.84 </w:t>
            </w:r>
            <w:r w:rsidRPr="001E6670">
              <w:rPr>
                <w:rFonts w:cstheme="minorHAnsi"/>
                <w:color w:val="000000"/>
                <w:sz w:val="20"/>
              </w:rPr>
              <w:t xml:space="preserve">± </w:t>
            </w:r>
            <w:r w:rsidRPr="001E6670">
              <w:rPr>
                <w:rFonts w:cstheme="minorHAnsi"/>
                <w:color w:val="000000"/>
                <w:sz w:val="20"/>
                <w:lang w:eastAsia="en-GB"/>
              </w:rPr>
              <w:t>0.03</w:t>
            </w:r>
          </w:p>
        </w:tc>
        <w:tc>
          <w:tcPr>
            <w:tcW w:w="1463" w:type="dxa"/>
            <w:tcBorders>
              <w:bottom w:val="single" w:sz="4" w:space="0" w:color="auto"/>
            </w:tcBorders>
            <w:shd w:val="clear" w:color="auto" w:fill="auto"/>
            <w:noWrap/>
            <w:vAlign w:val="center"/>
          </w:tcPr>
          <w:p w14:paraId="66D8F053"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0.34 </w:t>
            </w:r>
            <w:r w:rsidRPr="001E6670">
              <w:rPr>
                <w:rFonts w:cstheme="minorHAnsi"/>
                <w:color w:val="000000"/>
                <w:sz w:val="20"/>
              </w:rPr>
              <w:t xml:space="preserve">± </w:t>
            </w:r>
            <w:r w:rsidRPr="001E6670">
              <w:rPr>
                <w:rFonts w:cstheme="minorHAnsi"/>
                <w:color w:val="000000"/>
                <w:sz w:val="20"/>
                <w:lang w:eastAsia="en-GB"/>
              </w:rPr>
              <w:t>0.05</w:t>
            </w:r>
          </w:p>
        </w:tc>
      </w:tr>
      <w:tr w:rsidR="00F3279A" w:rsidRPr="001E6670" w14:paraId="13F94F47" w14:textId="77777777" w:rsidTr="00E11382">
        <w:trPr>
          <w:trHeight w:val="227"/>
        </w:trPr>
        <w:tc>
          <w:tcPr>
            <w:tcW w:w="1610" w:type="dxa"/>
            <w:tcBorders>
              <w:top w:val="single" w:sz="4" w:space="0" w:color="auto"/>
              <w:bottom w:val="single" w:sz="4" w:space="0" w:color="auto"/>
            </w:tcBorders>
            <w:shd w:val="clear" w:color="auto" w:fill="auto"/>
            <w:noWrap/>
            <w:vAlign w:val="center"/>
          </w:tcPr>
          <w:p w14:paraId="31157068"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(L)-tert-Leucine</w:t>
            </w:r>
          </w:p>
        </w:tc>
        <w:tc>
          <w:tcPr>
            <w:tcW w:w="1421" w:type="dxa"/>
            <w:tcBorders>
              <w:top w:val="single" w:sz="4" w:space="0" w:color="auto"/>
              <w:bottom w:val="single" w:sz="4" w:space="0" w:color="auto"/>
            </w:tcBorders>
          </w:tcPr>
          <w:p w14:paraId="1E861EB9" w14:textId="77777777" w:rsidR="00F3279A" w:rsidRPr="001E6670" w:rsidRDefault="00F3279A" w:rsidP="00F3279A">
            <w:pPr>
              <w:spacing w:line="240" w:lineRule="auto"/>
              <w:jc w:val="center"/>
              <w:rPr>
                <w:rFonts w:cstheme="minorHAnsi"/>
                <w:color w:val="000000"/>
                <w:sz w:val="20"/>
                <w:lang w:eastAsia="en-GB"/>
              </w:rPr>
            </w:pPr>
            <w:proofErr w:type="spellStart"/>
            <w:r w:rsidRPr="001E6670">
              <w:rPr>
                <w:rFonts w:cstheme="minorHAnsi"/>
                <w:color w:val="000000"/>
                <w:sz w:val="20"/>
                <w:lang w:eastAsia="en-GB"/>
              </w:rPr>
              <w:t>AlfaAeser</w:t>
            </w:r>
            <w:proofErr w:type="spellEnd"/>
          </w:p>
        </w:tc>
        <w:tc>
          <w:tcPr>
            <w:tcW w:w="1463" w:type="dxa"/>
            <w:tcBorders>
              <w:top w:val="single" w:sz="4" w:space="0" w:color="auto"/>
              <w:bottom w:val="single" w:sz="4" w:space="0" w:color="auto"/>
            </w:tcBorders>
            <w:shd w:val="clear" w:color="auto" w:fill="auto"/>
            <w:noWrap/>
            <w:vAlign w:val="center"/>
          </w:tcPr>
          <w:p w14:paraId="1A5569FD"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-24.32 </w:t>
            </w:r>
            <w:r w:rsidRPr="001E6670">
              <w:rPr>
                <w:rFonts w:cstheme="minorHAnsi"/>
                <w:color w:val="000000"/>
                <w:sz w:val="20"/>
              </w:rPr>
              <w:t xml:space="preserve">± </w:t>
            </w:r>
            <w:r w:rsidRPr="001E6670">
              <w:rPr>
                <w:rFonts w:cstheme="minorHAnsi"/>
                <w:color w:val="000000"/>
                <w:sz w:val="20"/>
                <w:lang w:eastAsia="en-GB"/>
              </w:rPr>
              <w:t>0.02</w:t>
            </w:r>
          </w:p>
        </w:tc>
        <w:tc>
          <w:tcPr>
            <w:tcW w:w="1463" w:type="dxa"/>
            <w:tcBorders>
              <w:top w:val="single" w:sz="4" w:space="0" w:color="auto"/>
              <w:bottom w:val="single" w:sz="4" w:space="0" w:color="auto"/>
            </w:tcBorders>
            <w:shd w:val="clear" w:color="auto" w:fill="auto"/>
            <w:noWrap/>
            <w:vAlign w:val="center"/>
          </w:tcPr>
          <w:p w14:paraId="59CFCD06"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-2.34 </w:t>
            </w:r>
            <w:r w:rsidRPr="001E6670">
              <w:rPr>
                <w:rFonts w:cstheme="minorHAnsi"/>
                <w:color w:val="000000"/>
                <w:sz w:val="20"/>
              </w:rPr>
              <w:t xml:space="preserve">± </w:t>
            </w:r>
            <w:r w:rsidRPr="001E6670">
              <w:rPr>
                <w:rFonts w:cstheme="minorHAnsi"/>
                <w:color w:val="000000"/>
                <w:sz w:val="20"/>
                <w:lang w:eastAsia="en-GB"/>
              </w:rPr>
              <w:t>0.02</w:t>
            </w:r>
          </w:p>
        </w:tc>
      </w:tr>
      <w:tr w:rsidR="00F3279A" w:rsidRPr="001E6670" w14:paraId="65FF09D8" w14:textId="77777777" w:rsidTr="00E11382">
        <w:trPr>
          <w:trHeight w:val="227"/>
        </w:trPr>
        <w:tc>
          <w:tcPr>
            <w:tcW w:w="1610" w:type="dxa"/>
            <w:vMerge w:val="restart"/>
            <w:tcBorders>
              <w:top w:val="single" w:sz="4" w:space="0" w:color="auto"/>
            </w:tcBorders>
            <w:shd w:val="clear" w:color="auto" w:fill="auto"/>
            <w:noWrap/>
            <w:vAlign w:val="center"/>
            <w:hideMark/>
          </w:tcPr>
          <w:p w14:paraId="5E630014"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(L)-TLME</w:t>
            </w:r>
          </w:p>
        </w:tc>
        <w:tc>
          <w:tcPr>
            <w:tcW w:w="1421" w:type="dxa"/>
            <w:tcBorders>
              <w:top w:val="single" w:sz="4" w:space="0" w:color="auto"/>
            </w:tcBorders>
          </w:tcPr>
          <w:p w14:paraId="1706DC54"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TCI</w:t>
            </w:r>
          </w:p>
        </w:tc>
        <w:tc>
          <w:tcPr>
            <w:tcW w:w="1463" w:type="dxa"/>
            <w:tcBorders>
              <w:top w:val="single" w:sz="4" w:space="0" w:color="auto"/>
            </w:tcBorders>
            <w:shd w:val="clear" w:color="auto" w:fill="auto"/>
            <w:noWrap/>
            <w:vAlign w:val="center"/>
          </w:tcPr>
          <w:p w14:paraId="7D3F4CEA"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-32.91 </w:t>
            </w:r>
            <w:r w:rsidRPr="001E6670">
              <w:rPr>
                <w:rFonts w:cstheme="minorHAnsi"/>
                <w:color w:val="000000"/>
                <w:sz w:val="20"/>
              </w:rPr>
              <w:t xml:space="preserve">± </w:t>
            </w:r>
            <w:r w:rsidRPr="001E6670">
              <w:rPr>
                <w:rFonts w:cstheme="minorHAnsi"/>
                <w:color w:val="000000"/>
                <w:sz w:val="20"/>
                <w:lang w:eastAsia="en-GB"/>
              </w:rPr>
              <w:t>0.02</w:t>
            </w:r>
          </w:p>
        </w:tc>
        <w:tc>
          <w:tcPr>
            <w:tcW w:w="1463" w:type="dxa"/>
            <w:tcBorders>
              <w:top w:val="single" w:sz="4" w:space="0" w:color="auto"/>
            </w:tcBorders>
            <w:shd w:val="clear" w:color="auto" w:fill="auto"/>
            <w:noWrap/>
            <w:vAlign w:val="center"/>
          </w:tcPr>
          <w:p w14:paraId="0076BB60"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0.74 </w:t>
            </w:r>
            <w:r w:rsidRPr="001E6670">
              <w:rPr>
                <w:rFonts w:cstheme="minorHAnsi"/>
                <w:color w:val="000000"/>
                <w:sz w:val="20"/>
              </w:rPr>
              <w:t xml:space="preserve">± </w:t>
            </w:r>
            <w:r w:rsidRPr="001E6670">
              <w:rPr>
                <w:rFonts w:cstheme="minorHAnsi"/>
                <w:color w:val="000000"/>
                <w:sz w:val="20"/>
                <w:lang w:eastAsia="en-GB"/>
              </w:rPr>
              <w:t>0.02</w:t>
            </w:r>
          </w:p>
        </w:tc>
      </w:tr>
      <w:tr w:rsidR="00F3279A" w:rsidRPr="001E6670" w14:paraId="00219EBD" w14:textId="77777777" w:rsidTr="00E11382">
        <w:trPr>
          <w:trHeight w:val="227"/>
        </w:trPr>
        <w:tc>
          <w:tcPr>
            <w:tcW w:w="1610" w:type="dxa"/>
            <w:vMerge/>
            <w:tcBorders>
              <w:bottom w:val="single" w:sz="4" w:space="0" w:color="auto"/>
            </w:tcBorders>
            <w:shd w:val="clear" w:color="auto" w:fill="auto"/>
            <w:noWrap/>
            <w:vAlign w:val="bottom"/>
            <w:hideMark/>
          </w:tcPr>
          <w:p w14:paraId="0429979D" w14:textId="77777777" w:rsidR="00F3279A" w:rsidRPr="001E6670" w:rsidRDefault="00F3279A" w:rsidP="00F3279A">
            <w:pPr>
              <w:spacing w:line="240" w:lineRule="auto"/>
              <w:jc w:val="center"/>
              <w:rPr>
                <w:rFonts w:cstheme="minorHAnsi"/>
                <w:color w:val="000000"/>
                <w:sz w:val="20"/>
                <w:lang w:eastAsia="en-GB"/>
              </w:rPr>
            </w:pPr>
          </w:p>
        </w:tc>
        <w:tc>
          <w:tcPr>
            <w:tcW w:w="1421" w:type="dxa"/>
            <w:tcBorders>
              <w:bottom w:val="single" w:sz="4" w:space="0" w:color="auto"/>
            </w:tcBorders>
          </w:tcPr>
          <w:p w14:paraId="4AAA0F71" w14:textId="77777777" w:rsidR="00F3279A" w:rsidRPr="001E6670" w:rsidRDefault="00F3279A" w:rsidP="00F3279A">
            <w:pPr>
              <w:spacing w:line="240" w:lineRule="auto"/>
              <w:jc w:val="center"/>
              <w:rPr>
                <w:rFonts w:cstheme="minorHAnsi"/>
                <w:color w:val="000000"/>
                <w:sz w:val="20"/>
                <w:lang w:eastAsia="en-GB"/>
              </w:rPr>
            </w:pPr>
            <w:proofErr w:type="spellStart"/>
            <w:r w:rsidRPr="001E6670">
              <w:rPr>
                <w:rFonts w:cstheme="minorHAnsi"/>
                <w:color w:val="000000"/>
                <w:sz w:val="20"/>
                <w:lang w:eastAsia="en-GB"/>
              </w:rPr>
              <w:t>BePharm</w:t>
            </w:r>
            <w:proofErr w:type="spellEnd"/>
          </w:p>
        </w:tc>
        <w:tc>
          <w:tcPr>
            <w:tcW w:w="1463" w:type="dxa"/>
            <w:tcBorders>
              <w:bottom w:val="single" w:sz="4" w:space="0" w:color="auto"/>
            </w:tcBorders>
            <w:shd w:val="clear" w:color="auto" w:fill="auto"/>
            <w:noWrap/>
            <w:vAlign w:val="center"/>
          </w:tcPr>
          <w:p w14:paraId="791F3EBC"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-24.02 </w:t>
            </w:r>
            <w:r w:rsidRPr="001E6670">
              <w:rPr>
                <w:rFonts w:cstheme="minorHAnsi"/>
                <w:color w:val="000000"/>
                <w:sz w:val="20"/>
              </w:rPr>
              <w:t xml:space="preserve">± </w:t>
            </w:r>
            <w:r w:rsidRPr="001E6670">
              <w:rPr>
                <w:rFonts w:cstheme="minorHAnsi"/>
                <w:color w:val="000000"/>
                <w:sz w:val="20"/>
                <w:lang w:eastAsia="en-GB"/>
              </w:rPr>
              <w:t>0.10</w:t>
            </w:r>
          </w:p>
        </w:tc>
        <w:tc>
          <w:tcPr>
            <w:tcW w:w="1463" w:type="dxa"/>
            <w:tcBorders>
              <w:bottom w:val="single" w:sz="4" w:space="0" w:color="auto"/>
            </w:tcBorders>
            <w:shd w:val="clear" w:color="auto" w:fill="auto"/>
            <w:noWrap/>
            <w:vAlign w:val="center"/>
          </w:tcPr>
          <w:p w14:paraId="3EB6A696"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 xml:space="preserve">-1.57 </w:t>
            </w:r>
            <w:r w:rsidRPr="001E6670">
              <w:rPr>
                <w:rFonts w:cstheme="minorHAnsi"/>
                <w:color w:val="000000"/>
                <w:sz w:val="20"/>
              </w:rPr>
              <w:t xml:space="preserve">± </w:t>
            </w:r>
            <w:r w:rsidRPr="001E6670">
              <w:rPr>
                <w:rFonts w:cstheme="minorHAnsi"/>
                <w:color w:val="000000"/>
                <w:sz w:val="20"/>
                <w:lang w:eastAsia="en-GB"/>
              </w:rPr>
              <w:t>0.05</w:t>
            </w:r>
          </w:p>
        </w:tc>
      </w:tr>
      <w:tr w:rsidR="00F3279A" w:rsidRPr="001E6670" w14:paraId="3C1E8932" w14:textId="77777777" w:rsidTr="00E11382">
        <w:trPr>
          <w:trHeight w:val="227"/>
        </w:trPr>
        <w:tc>
          <w:tcPr>
            <w:tcW w:w="1610" w:type="dxa"/>
            <w:vMerge w:val="restart"/>
            <w:tcBorders>
              <w:top w:val="single" w:sz="4" w:space="0" w:color="auto"/>
            </w:tcBorders>
            <w:shd w:val="clear" w:color="auto" w:fill="auto"/>
            <w:noWrap/>
            <w:vAlign w:val="center"/>
          </w:tcPr>
          <w:p w14:paraId="24D36EC3"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Cumyl-amine</w:t>
            </w:r>
          </w:p>
        </w:tc>
        <w:tc>
          <w:tcPr>
            <w:tcW w:w="1421" w:type="dxa"/>
            <w:tcBorders>
              <w:top w:val="single" w:sz="4" w:space="0" w:color="auto"/>
            </w:tcBorders>
            <w:vAlign w:val="center"/>
          </w:tcPr>
          <w:p w14:paraId="5E4CE7DC"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rPr>
              <w:t>ABCR</w:t>
            </w:r>
          </w:p>
        </w:tc>
        <w:tc>
          <w:tcPr>
            <w:tcW w:w="1463" w:type="dxa"/>
            <w:tcBorders>
              <w:top w:val="single" w:sz="4" w:space="0" w:color="auto"/>
            </w:tcBorders>
            <w:shd w:val="clear" w:color="auto" w:fill="auto"/>
            <w:noWrap/>
            <w:vAlign w:val="center"/>
          </w:tcPr>
          <w:p w14:paraId="4767D3EA"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sz w:val="20"/>
              </w:rPr>
              <w:t xml:space="preserve">-26.43 </w:t>
            </w:r>
            <w:r w:rsidRPr="001E6670">
              <w:rPr>
                <w:rFonts w:cstheme="minorHAnsi"/>
                <w:color w:val="000000"/>
                <w:sz w:val="20"/>
              </w:rPr>
              <w:t xml:space="preserve">± </w:t>
            </w:r>
            <w:r w:rsidRPr="001E6670">
              <w:rPr>
                <w:rFonts w:cstheme="minorHAnsi"/>
                <w:sz w:val="20"/>
              </w:rPr>
              <w:t>0.02</w:t>
            </w:r>
          </w:p>
        </w:tc>
        <w:tc>
          <w:tcPr>
            <w:tcW w:w="1463" w:type="dxa"/>
            <w:tcBorders>
              <w:top w:val="single" w:sz="4" w:space="0" w:color="auto"/>
            </w:tcBorders>
            <w:shd w:val="clear" w:color="auto" w:fill="auto"/>
            <w:noWrap/>
            <w:vAlign w:val="center"/>
          </w:tcPr>
          <w:p w14:paraId="75398E8C"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sz w:val="20"/>
              </w:rPr>
              <w:t xml:space="preserve">-13.11 </w:t>
            </w:r>
            <w:r w:rsidRPr="001E6670">
              <w:rPr>
                <w:rFonts w:cstheme="minorHAnsi"/>
                <w:color w:val="000000"/>
                <w:sz w:val="20"/>
              </w:rPr>
              <w:t xml:space="preserve">± </w:t>
            </w:r>
            <w:r w:rsidRPr="001E6670">
              <w:rPr>
                <w:rFonts w:cstheme="minorHAnsi"/>
                <w:sz w:val="20"/>
              </w:rPr>
              <w:t>0.03</w:t>
            </w:r>
          </w:p>
        </w:tc>
      </w:tr>
      <w:tr w:rsidR="00F3279A" w:rsidRPr="001E6670" w14:paraId="58EFF208" w14:textId="77777777" w:rsidTr="00E11382">
        <w:trPr>
          <w:trHeight w:val="227"/>
        </w:trPr>
        <w:tc>
          <w:tcPr>
            <w:tcW w:w="1610" w:type="dxa"/>
            <w:vMerge/>
            <w:shd w:val="clear" w:color="auto" w:fill="auto"/>
            <w:noWrap/>
            <w:vAlign w:val="bottom"/>
          </w:tcPr>
          <w:p w14:paraId="7A821236" w14:textId="77777777" w:rsidR="00F3279A" w:rsidRPr="001E6670" w:rsidRDefault="00F3279A" w:rsidP="00F3279A">
            <w:pPr>
              <w:spacing w:line="240" w:lineRule="auto"/>
              <w:jc w:val="center"/>
              <w:rPr>
                <w:rFonts w:cstheme="minorHAnsi"/>
                <w:sz w:val="20"/>
              </w:rPr>
            </w:pPr>
          </w:p>
        </w:tc>
        <w:tc>
          <w:tcPr>
            <w:tcW w:w="1421" w:type="dxa"/>
            <w:vAlign w:val="center"/>
          </w:tcPr>
          <w:p w14:paraId="6B0193A8" w14:textId="77777777" w:rsidR="00F3279A" w:rsidRPr="001E6670" w:rsidRDefault="00F3279A" w:rsidP="00F3279A">
            <w:pPr>
              <w:spacing w:line="240" w:lineRule="auto"/>
              <w:jc w:val="center"/>
              <w:rPr>
                <w:rFonts w:cstheme="minorHAnsi"/>
                <w:color w:val="000000"/>
                <w:sz w:val="20"/>
              </w:rPr>
            </w:pPr>
            <w:proofErr w:type="spellStart"/>
            <w:r w:rsidRPr="001E6670">
              <w:rPr>
                <w:rFonts w:cstheme="minorHAnsi"/>
                <w:color w:val="000000"/>
                <w:sz w:val="20"/>
              </w:rPr>
              <w:t>Acella</w:t>
            </w:r>
            <w:proofErr w:type="spellEnd"/>
          </w:p>
        </w:tc>
        <w:tc>
          <w:tcPr>
            <w:tcW w:w="1463" w:type="dxa"/>
            <w:shd w:val="clear" w:color="auto" w:fill="auto"/>
            <w:noWrap/>
            <w:vAlign w:val="center"/>
          </w:tcPr>
          <w:p w14:paraId="368A7F8E"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 xml:space="preserve">-40.77 </w:t>
            </w:r>
            <w:r w:rsidRPr="001E6670">
              <w:rPr>
                <w:rFonts w:cstheme="minorHAnsi"/>
                <w:color w:val="000000"/>
                <w:sz w:val="20"/>
              </w:rPr>
              <w:t xml:space="preserve">± </w:t>
            </w:r>
            <w:r w:rsidRPr="001E6670">
              <w:rPr>
                <w:rFonts w:cstheme="minorHAnsi"/>
                <w:sz w:val="20"/>
              </w:rPr>
              <w:t>0.02</w:t>
            </w:r>
          </w:p>
        </w:tc>
        <w:tc>
          <w:tcPr>
            <w:tcW w:w="1463" w:type="dxa"/>
            <w:shd w:val="clear" w:color="auto" w:fill="auto"/>
            <w:noWrap/>
            <w:vAlign w:val="center"/>
          </w:tcPr>
          <w:p w14:paraId="7A4C373C"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 xml:space="preserve">-19.05 </w:t>
            </w:r>
            <w:r w:rsidRPr="001E6670">
              <w:rPr>
                <w:rFonts w:cstheme="minorHAnsi"/>
                <w:color w:val="000000"/>
                <w:sz w:val="20"/>
              </w:rPr>
              <w:t xml:space="preserve">± </w:t>
            </w:r>
            <w:r w:rsidRPr="001E6670">
              <w:rPr>
                <w:rFonts w:cstheme="minorHAnsi"/>
                <w:sz w:val="20"/>
              </w:rPr>
              <w:t>0.07</w:t>
            </w:r>
          </w:p>
        </w:tc>
      </w:tr>
      <w:tr w:rsidR="00F3279A" w:rsidRPr="001E6670" w14:paraId="6C7CDA71" w14:textId="77777777" w:rsidTr="00E11382">
        <w:trPr>
          <w:trHeight w:val="227"/>
        </w:trPr>
        <w:tc>
          <w:tcPr>
            <w:tcW w:w="1610" w:type="dxa"/>
            <w:vMerge/>
            <w:shd w:val="clear" w:color="auto" w:fill="auto"/>
            <w:noWrap/>
            <w:vAlign w:val="bottom"/>
          </w:tcPr>
          <w:p w14:paraId="0824F2DA" w14:textId="77777777" w:rsidR="00F3279A" w:rsidRPr="001E6670" w:rsidRDefault="00F3279A" w:rsidP="00F3279A">
            <w:pPr>
              <w:spacing w:line="240" w:lineRule="auto"/>
              <w:jc w:val="center"/>
              <w:rPr>
                <w:rFonts w:cstheme="minorHAnsi"/>
                <w:sz w:val="20"/>
              </w:rPr>
            </w:pPr>
          </w:p>
        </w:tc>
        <w:tc>
          <w:tcPr>
            <w:tcW w:w="1421" w:type="dxa"/>
            <w:vAlign w:val="center"/>
          </w:tcPr>
          <w:p w14:paraId="0C8555C9" w14:textId="77777777" w:rsidR="00F3279A" w:rsidRPr="001E6670" w:rsidRDefault="00F3279A" w:rsidP="00F3279A">
            <w:pPr>
              <w:spacing w:line="240" w:lineRule="auto"/>
              <w:jc w:val="center"/>
              <w:rPr>
                <w:rFonts w:cstheme="minorHAnsi"/>
                <w:color w:val="000000"/>
                <w:sz w:val="20"/>
              </w:rPr>
            </w:pPr>
            <w:r w:rsidRPr="001E6670">
              <w:rPr>
                <w:rFonts w:cstheme="minorHAnsi"/>
                <w:color w:val="000000"/>
                <w:sz w:val="20"/>
                <w:lang w:eastAsia="en-GB"/>
              </w:rPr>
              <w:t>Enamine</w:t>
            </w:r>
          </w:p>
        </w:tc>
        <w:tc>
          <w:tcPr>
            <w:tcW w:w="1463" w:type="dxa"/>
            <w:shd w:val="clear" w:color="auto" w:fill="auto"/>
            <w:noWrap/>
            <w:vAlign w:val="center"/>
          </w:tcPr>
          <w:p w14:paraId="7238C985"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 xml:space="preserve">-32.23 </w:t>
            </w:r>
            <w:r w:rsidRPr="001E6670">
              <w:rPr>
                <w:rFonts w:cstheme="minorHAnsi"/>
                <w:color w:val="000000"/>
                <w:sz w:val="20"/>
              </w:rPr>
              <w:t xml:space="preserve">± </w:t>
            </w:r>
            <w:r w:rsidRPr="001E6670">
              <w:rPr>
                <w:rFonts w:cstheme="minorHAnsi"/>
                <w:sz w:val="20"/>
              </w:rPr>
              <w:t>0.01</w:t>
            </w:r>
          </w:p>
        </w:tc>
        <w:tc>
          <w:tcPr>
            <w:tcW w:w="1463" w:type="dxa"/>
            <w:shd w:val="clear" w:color="auto" w:fill="auto"/>
            <w:noWrap/>
            <w:vAlign w:val="center"/>
          </w:tcPr>
          <w:p w14:paraId="0797FACA"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 xml:space="preserve">8.34 </w:t>
            </w:r>
            <w:r w:rsidRPr="001E6670">
              <w:rPr>
                <w:rFonts w:cstheme="minorHAnsi"/>
                <w:color w:val="000000"/>
                <w:sz w:val="20"/>
              </w:rPr>
              <w:t xml:space="preserve">± </w:t>
            </w:r>
            <w:r w:rsidRPr="001E6670">
              <w:rPr>
                <w:rFonts w:cstheme="minorHAnsi"/>
                <w:sz w:val="20"/>
              </w:rPr>
              <w:t>0.02</w:t>
            </w:r>
          </w:p>
        </w:tc>
      </w:tr>
      <w:tr w:rsidR="00F3279A" w:rsidRPr="001E6670" w14:paraId="09144FA0" w14:textId="77777777" w:rsidTr="00E11382">
        <w:trPr>
          <w:trHeight w:val="227"/>
        </w:trPr>
        <w:tc>
          <w:tcPr>
            <w:tcW w:w="1610" w:type="dxa"/>
            <w:vMerge/>
            <w:shd w:val="clear" w:color="auto" w:fill="auto"/>
            <w:noWrap/>
            <w:vAlign w:val="bottom"/>
          </w:tcPr>
          <w:p w14:paraId="0CD510B3" w14:textId="77777777" w:rsidR="00F3279A" w:rsidRPr="001E6670" w:rsidRDefault="00F3279A" w:rsidP="00F3279A">
            <w:pPr>
              <w:spacing w:line="240" w:lineRule="auto"/>
              <w:jc w:val="center"/>
              <w:rPr>
                <w:rFonts w:cstheme="minorHAnsi"/>
                <w:sz w:val="20"/>
              </w:rPr>
            </w:pPr>
          </w:p>
        </w:tc>
        <w:tc>
          <w:tcPr>
            <w:tcW w:w="1421" w:type="dxa"/>
            <w:vAlign w:val="center"/>
          </w:tcPr>
          <w:p w14:paraId="64EE4904" w14:textId="77777777" w:rsidR="00F3279A" w:rsidRPr="001E6670" w:rsidRDefault="00F3279A" w:rsidP="00F3279A">
            <w:pPr>
              <w:spacing w:line="240" w:lineRule="auto"/>
              <w:jc w:val="center"/>
              <w:rPr>
                <w:rFonts w:cstheme="minorHAnsi"/>
                <w:color w:val="000000"/>
                <w:sz w:val="20"/>
                <w:lang w:eastAsia="en-GB"/>
              </w:rPr>
            </w:pPr>
            <w:r w:rsidRPr="001E6670">
              <w:rPr>
                <w:rFonts w:cstheme="minorHAnsi"/>
                <w:color w:val="000000"/>
                <w:sz w:val="20"/>
                <w:lang w:eastAsia="en-GB"/>
              </w:rPr>
              <w:t>TCI</w:t>
            </w:r>
          </w:p>
        </w:tc>
        <w:tc>
          <w:tcPr>
            <w:tcW w:w="1463" w:type="dxa"/>
            <w:shd w:val="clear" w:color="auto" w:fill="auto"/>
            <w:noWrap/>
            <w:vAlign w:val="center"/>
          </w:tcPr>
          <w:p w14:paraId="2473FBD1"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 xml:space="preserve">-26.74 </w:t>
            </w:r>
            <w:r w:rsidRPr="001E6670">
              <w:rPr>
                <w:rFonts w:cstheme="minorHAnsi"/>
                <w:color w:val="000000"/>
                <w:sz w:val="20"/>
              </w:rPr>
              <w:t xml:space="preserve">± </w:t>
            </w:r>
            <w:r w:rsidRPr="001E6670">
              <w:rPr>
                <w:rFonts w:cstheme="minorHAnsi"/>
                <w:sz w:val="20"/>
              </w:rPr>
              <w:t>0.02</w:t>
            </w:r>
          </w:p>
        </w:tc>
        <w:tc>
          <w:tcPr>
            <w:tcW w:w="1463" w:type="dxa"/>
            <w:shd w:val="clear" w:color="auto" w:fill="auto"/>
            <w:noWrap/>
            <w:vAlign w:val="center"/>
          </w:tcPr>
          <w:p w14:paraId="109040D8" w14:textId="77777777" w:rsidR="00F3279A" w:rsidRPr="001E6670" w:rsidRDefault="00F3279A" w:rsidP="00F3279A">
            <w:pPr>
              <w:spacing w:line="240" w:lineRule="auto"/>
              <w:jc w:val="center"/>
              <w:rPr>
                <w:rFonts w:cstheme="minorHAnsi"/>
                <w:color w:val="000000"/>
                <w:sz w:val="20"/>
              </w:rPr>
            </w:pPr>
            <w:r w:rsidRPr="001E6670">
              <w:rPr>
                <w:rFonts w:cstheme="minorHAnsi"/>
                <w:sz w:val="20"/>
              </w:rPr>
              <w:t xml:space="preserve">-9.20 </w:t>
            </w:r>
            <w:r w:rsidRPr="001E6670">
              <w:rPr>
                <w:rFonts w:cstheme="minorHAnsi"/>
                <w:color w:val="000000"/>
                <w:sz w:val="20"/>
              </w:rPr>
              <w:t xml:space="preserve">± </w:t>
            </w:r>
            <w:r w:rsidRPr="001E6670">
              <w:rPr>
                <w:rFonts w:cstheme="minorHAnsi"/>
                <w:sz w:val="20"/>
              </w:rPr>
              <w:t>0.04</w:t>
            </w:r>
          </w:p>
        </w:tc>
      </w:tr>
    </w:tbl>
    <w:p w14:paraId="06B4B07E" w14:textId="45696B86" w:rsidR="00F3279A" w:rsidRDefault="00F3279A" w:rsidP="00F3279A">
      <w:pPr>
        <w:spacing w:line="240" w:lineRule="auto"/>
      </w:pPr>
    </w:p>
    <w:p w14:paraId="784EDE39" w14:textId="77777777" w:rsidR="00F3279A" w:rsidRDefault="00F3279A" w:rsidP="00F3279A">
      <w:pPr>
        <w:spacing w:line="240" w:lineRule="auto"/>
      </w:pPr>
    </w:p>
    <w:p w14:paraId="49334521" w14:textId="77777777" w:rsidR="00F3279A" w:rsidRDefault="00F3279A" w:rsidP="00F3279A">
      <w:pPr>
        <w:spacing w:line="240" w:lineRule="auto"/>
      </w:pPr>
    </w:p>
    <w:p w14:paraId="7B08D963" w14:textId="77777777" w:rsidR="00F3279A" w:rsidRDefault="00F3279A" w:rsidP="00F3279A">
      <w:pPr>
        <w:spacing w:line="240" w:lineRule="auto"/>
        <w:jc w:val="left"/>
        <w:rPr>
          <w:b/>
          <w:bCs/>
          <w:sz w:val="18"/>
        </w:rPr>
      </w:pPr>
      <w:r>
        <w:br w:type="page"/>
      </w:r>
    </w:p>
    <w:p w14:paraId="73AEFC55" w14:textId="6403A61F" w:rsidR="009B17E7" w:rsidRPr="009A0A0F" w:rsidRDefault="009B17E7" w:rsidP="00F3279A">
      <w:pPr>
        <w:pStyle w:val="Beschriftung"/>
      </w:pPr>
      <w:r w:rsidRPr="009A0A0F">
        <w:lastRenderedPageBreak/>
        <w:t xml:space="preserve">Table </w:t>
      </w:r>
      <w:r w:rsidR="00316646" w:rsidRPr="009A0A0F">
        <w:t>A.</w:t>
      </w:r>
      <w:r w:rsidR="009A0A0F" w:rsidRPr="009A0A0F">
        <w:t>1</w:t>
      </w:r>
      <w:r w:rsidRPr="009A0A0F">
        <w:t xml:space="preserve"> δ</w:t>
      </w:r>
      <w:r w:rsidRPr="009A0A0F">
        <w:rPr>
          <w:vertAlign w:val="superscript"/>
        </w:rPr>
        <w:t>13</w:t>
      </w:r>
      <w:r w:rsidRPr="009A0A0F">
        <w:t>C and δ</w:t>
      </w:r>
      <w:r w:rsidRPr="009A0A0F">
        <w:rPr>
          <w:vertAlign w:val="superscript"/>
        </w:rPr>
        <w:t>15</w:t>
      </w:r>
      <w:r w:rsidRPr="009A0A0F">
        <w:t>N values including standard deviation of triplicate measurements for all pure samples of MDMB-CHMICA</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3"/>
        <w:gridCol w:w="1463"/>
        <w:gridCol w:w="782"/>
        <w:gridCol w:w="1172"/>
        <w:gridCol w:w="1463"/>
        <w:gridCol w:w="1463"/>
      </w:tblGrid>
      <w:tr w:rsidR="00EA4B3C" w:rsidRPr="009A0A0F" w14:paraId="67447ACC" w14:textId="77777777" w:rsidTr="00EA4B3C">
        <w:trPr>
          <w:trHeight w:val="521"/>
        </w:trPr>
        <w:tc>
          <w:tcPr>
            <w:tcW w:w="1172" w:type="dxa"/>
            <w:tcBorders>
              <w:top w:val="nil"/>
              <w:left w:val="nil"/>
              <w:bottom w:val="nil"/>
              <w:right w:val="nil"/>
            </w:tcBorders>
            <w:shd w:val="clear" w:color="auto" w:fill="auto"/>
            <w:vAlign w:val="bottom"/>
          </w:tcPr>
          <w:p w14:paraId="199C8262" w14:textId="77777777" w:rsidR="00EA4B3C" w:rsidRPr="009A0A0F" w:rsidRDefault="00EA4B3C" w:rsidP="00F3279A">
            <w:pPr>
              <w:spacing w:line="240" w:lineRule="auto"/>
              <w:rPr>
                <w:rFonts w:ascii="Calibri" w:hAnsi="Calibri"/>
                <w:sz w:val="20"/>
              </w:rPr>
            </w:pPr>
          </w:p>
        </w:tc>
        <w:tc>
          <w:tcPr>
            <w:tcW w:w="1463" w:type="dxa"/>
            <w:tcBorders>
              <w:top w:val="nil"/>
              <w:left w:val="nil"/>
              <w:bottom w:val="nil"/>
              <w:right w:val="nil"/>
            </w:tcBorders>
            <w:shd w:val="clear" w:color="auto" w:fill="auto"/>
          </w:tcPr>
          <w:p w14:paraId="2442BB5A"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13</w:t>
            </w:r>
            <w:r w:rsidRPr="009A0A0F">
              <w:rPr>
                <w:rFonts w:ascii="Calibri" w:hAnsi="Calibri"/>
                <w:sz w:val="20"/>
                <w:lang w:val="en-US"/>
              </w:rPr>
              <w:t>C</w:t>
            </w:r>
            <w:r w:rsidRPr="009A0A0F">
              <w:rPr>
                <w:rFonts w:ascii="Calibri" w:hAnsi="Calibri"/>
                <w:sz w:val="20"/>
                <w:vertAlign w:val="subscript"/>
                <w:lang w:val="en-US"/>
              </w:rPr>
              <w:t>V-PDB</w:t>
            </w:r>
            <w:r w:rsidRPr="009A0A0F">
              <w:rPr>
                <w:rFonts w:ascii="Calibri" w:hAnsi="Calibri"/>
                <w:sz w:val="20"/>
                <w:lang w:val="en-US"/>
              </w:rPr>
              <w:t>[‰]</w:t>
            </w:r>
          </w:p>
          <w:p w14:paraId="2F1A25B1"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c>
          <w:tcPr>
            <w:tcW w:w="1463" w:type="dxa"/>
            <w:tcBorders>
              <w:top w:val="nil"/>
              <w:left w:val="nil"/>
              <w:bottom w:val="nil"/>
              <w:right w:val="nil"/>
            </w:tcBorders>
            <w:shd w:val="clear" w:color="auto" w:fill="auto"/>
          </w:tcPr>
          <w:p w14:paraId="1924C168"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15</w:t>
            </w:r>
            <w:r w:rsidRPr="009A0A0F">
              <w:rPr>
                <w:rFonts w:ascii="Calibri" w:hAnsi="Calibri"/>
                <w:sz w:val="20"/>
                <w:lang w:val="en-US"/>
              </w:rPr>
              <w:t>N</w:t>
            </w:r>
            <w:r w:rsidRPr="009A0A0F">
              <w:rPr>
                <w:rFonts w:ascii="Calibri" w:hAnsi="Calibri"/>
                <w:sz w:val="20"/>
                <w:vertAlign w:val="subscript"/>
                <w:lang w:val="en-US"/>
              </w:rPr>
              <w:t>AIR</w:t>
            </w:r>
            <w:r w:rsidRPr="009A0A0F">
              <w:rPr>
                <w:rFonts w:ascii="Calibri" w:hAnsi="Calibri"/>
                <w:sz w:val="20"/>
                <w:lang w:val="en-US"/>
              </w:rPr>
              <w:t>[‰]</w:t>
            </w:r>
          </w:p>
          <w:p w14:paraId="321C7EE9"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c>
          <w:tcPr>
            <w:tcW w:w="782" w:type="dxa"/>
            <w:tcBorders>
              <w:top w:val="nil"/>
              <w:left w:val="nil"/>
              <w:bottom w:val="nil"/>
              <w:right w:val="nil"/>
            </w:tcBorders>
          </w:tcPr>
          <w:p w14:paraId="0A3D791B" w14:textId="77777777" w:rsidR="00EA4B3C" w:rsidRPr="009A0A0F" w:rsidRDefault="00EA4B3C" w:rsidP="00F3279A">
            <w:pPr>
              <w:spacing w:line="240" w:lineRule="auto"/>
              <w:jc w:val="center"/>
              <w:rPr>
                <w:rFonts w:ascii="Calibri" w:hAnsi="Calibri"/>
                <w:sz w:val="20"/>
              </w:rPr>
            </w:pPr>
          </w:p>
        </w:tc>
        <w:tc>
          <w:tcPr>
            <w:tcW w:w="1172" w:type="dxa"/>
            <w:tcBorders>
              <w:top w:val="nil"/>
              <w:left w:val="nil"/>
              <w:bottom w:val="nil"/>
              <w:right w:val="nil"/>
            </w:tcBorders>
          </w:tcPr>
          <w:p w14:paraId="735BA6B8" w14:textId="77777777" w:rsidR="00EA4B3C" w:rsidRPr="009A0A0F" w:rsidRDefault="00EA4B3C" w:rsidP="00F3279A">
            <w:pPr>
              <w:spacing w:line="240" w:lineRule="auto"/>
              <w:jc w:val="center"/>
              <w:rPr>
                <w:rFonts w:ascii="Calibri" w:hAnsi="Calibri"/>
                <w:sz w:val="20"/>
              </w:rPr>
            </w:pPr>
          </w:p>
        </w:tc>
        <w:tc>
          <w:tcPr>
            <w:tcW w:w="1463" w:type="dxa"/>
            <w:tcBorders>
              <w:top w:val="nil"/>
              <w:left w:val="nil"/>
              <w:bottom w:val="nil"/>
              <w:right w:val="nil"/>
            </w:tcBorders>
          </w:tcPr>
          <w:p w14:paraId="1E17DD9A"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13</w:t>
            </w:r>
            <w:r w:rsidRPr="009A0A0F">
              <w:rPr>
                <w:rFonts w:ascii="Calibri" w:hAnsi="Calibri"/>
                <w:sz w:val="20"/>
                <w:lang w:val="en-US"/>
              </w:rPr>
              <w:t>C</w:t>
            </w:r>
            <w:r w:rsidRPr="009A0A0F">
              <w:rPr>
                <w:rFonts w:ascii="Calibri" w:hAnsi="Calibri"/>
                <w:sz w:val="20"/>
                <w:vertAlign w:val="subscript"/>
                <w:lang w:val="en-US"/>
              </w:rPr>
              <w:t>V-PDB</w:t>
            </w:r>
            <w:r w:rsidRPr="009A0A0F">
              <w:rPr>
                <w:rFonts w:ascii="Calibri" w:hAnsi="Calibri"/>
                <w:sz w:val="20"/>
                <w:lang w:val="en-US"/>
              </w:rPr>
              <w:t>[‰]</w:t>
            </w:r>
          </w:p>
          <w:p w14:paraId="149D210F"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c>
          <w:tcPr>
            <w:tcW w:w="1463" w:type="dxa"/>
            <w:tcBorders>
              <w:top w:val="nil"/>
              <w:left w:val="nil"/>
              <w:bottom w:val="nil"/>
              <w:right w:val="nil"/>
            </w:tcBorders>
          </w:tcPr>
          <w:p w14:paraId="6B09F432"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15</w:t>
            </w:r>
            <w:r w:rsidRPr="009A0A0F">
              <w:rPr>
                <w:rFonts w:ascii="Calibri" w:hAnsi="Calibri"/>
                <w:sz w:val="20"/>
                <w:lang w:val="en-US"/>
              </w:rPr>
              <w:t>N</w:t>
            </w:r>
            <w:r w:rsidRPr="009A0A0F">
              <w:rPr>
                <w:rFonts w:ascii="Calibri" w:hAnsi="Calibri"/>
                <w:sz w:val="20"/>
                <w:vertAlign w:val="subscript"/>
                <w:lang w:val="en-US"/>
              </w:rPr>
              <w:t>AIR</w:t>
            </w:r>
            <w:r w:rsidRPr="009A0A0F">
              <w:rPr>
                <w:rFonts w:ascii="Calibri" w:hAnsi="Calibri"/>
                <w:sz w:val="20"/>
                <w:lang w:val="en-US"/>
              </w:rPr>
              <w:t>[‰]</w:t>
            </w:r>
          </w:p>
          <w:p w14:paraId="77EA0165"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r>
      <w:tr w:rsidR="00EA4B3C" w:rsidRPr="009A0A0F" w14:paraId="30080E31" w14:textId="77777777" w:rsidTr="00EA4B3C">
        <w:trPr>
          <w:trHeight w:val="227"/>
        </w:trPr>
        <w:tc>
          <w:tcPr>
            <w:tcW w:w="1172" w:type="dxa"/>
            <w:tcBorders>
              <w:top w:val="nil"/>
              <w:left w:val="nil"/>
              <w:bottom w:val="nil"/>
              <w:right w:val="nil"/>
            </w:tcBorders>
            <w:shd w:val="clear" w:color="auto" w:fill="auto"/>
            <w:vAlign w:val="bottom"/>
          </w:tcPr>
          <w:p w14:paraId="4927CEBB" w14:textId="77777777" w:rsidR="00EA4B3C" w:rsidRPr="009A0A0F" w:rsidRDefault="00EA4B3C" w:rsidP="00F3279A">
            <w:pPr>
              <w:spacing w:line="240" w:lineRule="auto"/>
              <w:jc w:val="center"/>
              <w:rPr>
                <w:rFonts w:ascii="Calibri" w:hAnsi="Calibri"/>
                <w:sz w:val="20"/>
              </w:rPr>
            </w:pPr>
            <w:r w:rsidRPr="009A0A0F">
              <w:rPr>
                <w:rFonts w:ascii="Calibri" w:hAnsi="Calibri"/>
                <w:color w:val="000000"/>
                <w:sz w:val="20"/>
              </w:rPr>
              <w:t>MDMB-01</w:t>
            </w:r>
          </w:p>
        </w:tc>
        <w:tc>
          <w:tcPr>
            <w:tcW w:w="1463" w:type="dxa"/>
            <w:tcBorders>
              <w:top w:val="nil"/>
              <w:left w:val="nil"/>
              <w:bottom w:val="nil"/>
              <w:right w:val="nil"/>
            </w:tcBorders>
            <w:shd w:val="clear" w:color="auto" w:fill="auto"/>
            <w:vAlign w:val="bottom"/>
          </w:tcPr>
          <w:p w14:paraId="1732C7FC"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-27.76 ± 0.01</w:t>
            </w:r>
          </w:p>
        </w:tc>
        <w:tc>
          <w:tcPr>
            <w:tcW w:w="1463" w:type="dxa"/>
            <w:tcBorders>
              <w:top w:val="nil"/>
              <w:left w:val="nil"/>
              <w:bottom w:val="nil"/>
              <w:right w:val="nil"/>
            </w:tcBorders>
            <w:shd w:val="clear" w:color="auto" w:fill="auto"/>
            <w:vAlign w:val="bottom"/>
          </w:tcPr>
          <w:p w14:paraId="122EBF2E"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3.64 ± 0.08</w:t>
            </w:r>
          </w:p>
        </w:tc>
        <w:tc>
          <w:tcPr>
            <w:tcW w:w="782" w:type="dxa"/>
            <w:tcBorders>
              <w:top w:val="nil"/>
              <w:left w:val="nil"/>
              <w:bottom w:val="nil"/>
              <w:right w:val="nil"/>
            </w:tcBorders>
          </w:tcPr>
          <w:p w14:paraId="2668F6C5" w14:textId="77777777" w:rsidR="00EA4B3C" w:rsidRPr="009A0A0F" w:rsidRDefault="00EA4B3C" w:rsidP="00F3279A">
            <w:pPr>
              <w:spacing w:line="240" w:lineRule="auto"/>
              <w:jc w:val="center"/>
              <w:rPr>
                <w:rFonts w:ascii="Calibri" w:hAnsi="Calibri" w:cs="Calibri"/>
                <w:color w:val="000000"/>
                <w:sz w:val="20"/>
              </w:rPr>
            </w:pPr>
          </w:p>
        </w:tc>
        <w:tc>
          <w:tcPr>
            <w:tcW w:w="1172" w:type="dxa"/>
            <w:tcBorders>
              <w:top w:val="nil"/>
              <w:left w:val="nil"/>
              <w:bottom w:val="nil"/>
              <w:right w:val="nil"/>
            </w:tcBorders>
            <w:vAlign w:val="bottom"/>
          </w:tcPr>
          <w:p w14:paraId="23CF99BE"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MDMB-32</w:t>
            </w:r>
          </w:p>
        </w:tc>
        <w:tc>
          <w:tcPr>
            <w:tcW w:w="1463" w:type="dxa"/>
            <w:tcBorders>
              <w:top w:val="nil"/>
              <w:left w:val="nil"/>
              <w:bottom w:val="nil"/>
              <w:right w:val="nil"/>
            </w:tcBorders>
            <w:vAlign w:val="bottom"/>
          </w:tcPr>
          <w:p w14:paraId="6E49CE02"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-27.76 ± 0.03</w:t>
            </w:r>
          </w:p>
        </w:tc>
        <w:tc>
          <w:tcPr>
            <w:tcW w:w="1463" w:type="dxa"/>
            <w:tcBorders>
              <w:top w:val="nil"/>
              <w:left w:val="nil"/>
              <w:bottom w:val="nil"/>
              <w:right w:val="nil"/>
            </w:tcBorders>
            <w:vAlign w:val="bottom"/>
          </w:tcPr>
          <w:p w14:paraId="20712794"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3.32 ± 0.08</w:t>
            </w:r>
          </w:p>
        </w:tc>
      </w:tr>
      <w:tr w:rsidR="00EA4B3C" w:rsidRPr="009A0A0F" w14:paraId="2A6C1E29" w14:textId="77777777" w:rsidTr="00EA4B3C">
        <w:trPr>
          <w:trHeight w:val="227"/>
        </w:trPr>
        <w:tc>
          <w:tcPr>
            <w:tcW w:w="1172" w:type="dxa"/>
            <w:tcBorders>
              <w:top w:val="nil"/>
              <w:left w:val="nil"/>
              <w:bottom w:val="nil"/>
              <w:right w:val="nil"/>
            </w:tcBorders>
            <w:shd w:val="clear" w:color="auto" w:fill="auto"/>
            <w:vAlign w:val="bottom"/>
          </w:tcPr>
          <w:p w14:paraId="401534D5"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MDMB-02</w:t>
            </w:r>
          </w:p>
        </w:tc>
        <w:tc>
          <w:tcPr>
            <w:tcW w:w="1463" w:type="dxa"/>
            <w:tcBorders>
              <w:top w:val="nil"/>
              <w:left w:val="nil"/>
              <w:bottom w:val="nil"/>
              <w:right w:val="nil"/>
            </w:tcBorders>
            <w:shd w:val="clear" w:color="auto" w:fill="auto"/>
            <w:vAlign w:val="bottom"/>
          </w:tcPr>
          <w:p w14:paraId="0898B0B7"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-27.51 ± 0.01</w:t>
            </w:r>
          </w:p>
        </w:tc>
        <w:tc>
          <w:tcPr>
            <w:tcW w:w="1463" w:type="dxa"/>
            <w:tcBorders>
              <w:top w:val="nil"/>
              <w:left w:val="nil"/>
              <w:bottom w:val="nil"/>
              <w:right w:val="nil"/>
            </w:tcBorders>
            <w:shd w:val="clear" w:color="auto" w:fill="auto"/>
            <w:vAlign w:val="bottom"/>
          </w:tcPr>
          <w:p w14:paraId="64C00E15"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3.60 ± 0.10</w:t>
            </w:r>
          </w:p>
        </w:tc>
        <w:tc>
          <w:tcPr>
            <w:tcW w:w="782" w:type="dxa"/>
            <w:tcBorders>
              <w:top w:val="nil"/>
              <w:left w:val="nil"/>
              <w:bottom w:val="nil"/>
              <w:right w:val="nil"/>
            </w:tcBorders>
          </w:tcPr>
          <w:p w14:paraId="36E91EE9" w14:textId="77777777" w:rsidR="00EA4B3C" w:rsidRPr="009A0A0F" w:rsidRDefault="00EA4B3C" w:rsidP="00F3279A">
            <w:pPr>
              <w:spacing w:line="240" w:lineRule="auto"/>
              <w:jc w:val="center"/>
              <w:rPr>
                <w:rFonts w:ascii="Calibri" w:hAnsi="Calibri" w:cs="Calibri"/>
                <w:color w:val="000000"/>
                <w:sz w:val="20"/>
              </w:rPr>
            </w:pPr>
          </w:p>
        </w:tc>
        <w:tc>
          <w:tcPr>
            <w:tcW w:w="1172" w:type="dxa"/>
            <w:tcBorders>
              <w:top w:val="nil"/>
              <w:left w:val="nil"/>
              <w:bottom w:val="nil"/>
              <w:right w:val="nil"/>
            </w:tcBorders>
            <w:vAlign w:val="bottom"/>
          </w:tcPr>
          <w:p w14:paraId="28539DF9"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MDMB-33</w:t>
            </w:r>
          </w:p>
        </w:tc>
        <w:tc>
          <w:tcPr>
            <w:tcW w:w="1463" w:type="dxa"/>
            <w:tcBorders>
              <w:top w:val="nil"/>
              <w:left w:val="nil"/>
              <w:bottom w:val="nil"/>
              <w:right w:val="nil"/>
            </w:tcBorders>
            <w:vAlign w:val="bottom"/>
          </w:tcPr>
          <w:p w14:paraId="2AE01E51"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-27.55 ± 0.03</w:t>
            </w:r>
          </w:p>
        </w:tc>
        <w:tc>
          <w:tcPr>
            <w:tcW w:w="1463" w:type="dxa"/>
            <w:tcBorders>
              <w:top w:val="nil"/>
              <w:left w:val="nil"/>
              <w:bottom w:val="nil"/>
              <w:right w:val="nil"/>
            </w:tcBorders>
            <w:vAlign w:val="bottom"/>
          </w:tcPr>
          <w:p w14:paraId="72F7E07D" w14:textId="77777777" w:rsidR="00EA4B3C" w:rsidRPr="009A0A0F" w:rsidRDefault="00EA4B3C" w:rsidP="00F3279A">
            <w:pPr>
              <w:spacing w:line="240" w:lineRule="auto"/>
              <w:jc w:val="center"/>
              <w:rPr>
                <w:rFonts w:ascii="Calibri" w:hAnsi="Calibri" w:cs="Calibri"/>
                <w:color w:val="000000"/>
                <w:sz w:val="20"/>
              </w:rPr>
            </w:pPr>
            <w:r w:rsidRPr="009A0A0F">
              <w:rPr>
                <w:rFonts w:ascii="Calibri" w:hAnsi="Calibri"/>
                <w:color w:val="000000"/>
                <w:sz w:val="20"/>
              </w:rPr>
              <w:t>3.55 ± 0.07</w:t>
            </w:r>
          </w:p>
        </w:tc>
      </w:tr>
      <w:tr w:rsidR="00EA4B3C" w:rsidRPr="009A0A0F" w14:paraId="774FCC35"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10CDE36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MDMB-03</w:t>
            </w:r>
          </w:p>
        </w:tc>
        <w:tc>
          <w:tcPr>
            <w:tcW w:w="1463" w:type="dxa"/>
            <w:shd w:val="clear" w:color="auto" w:fill="auto"/>
            <w:noWrap/>
            <w:vAlign w:val="bottom"/>
            <w:hideMark/>
          </w:tcPr>
          <w:p w14:paraId="4599144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-27.75 ± 0.05</w:t>
            </w:r>
          </w:p>
        </w:tc>
        <w:tc>
          <w:tcPr>
            <w:tcW w:w="1463" w:type="dxa"/>
            <w:shd w:val="clear" w:color="auto" w:fill="auto"/>
            <w:noWrap/>
            <w:vAlign w:val="bottom"/>
            <w:hideMark/>
          </w:tcPr>
          <w:p w14:paraId="1CAC7E7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3.56 ± 0.14</w:t>
            </w:r>
          </w:p>
        </w:tc>
        <w:tc>
          <w:tcPr>
            <w:tcW w:w="782" w:type="dxa"/>
          </w:tcPr>
          <w:p w14:paraId="207BEFA0"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4DA48B8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MDMB-34</w:t>
            </w:r>
          </w:p>
        </w:tc>
        <w:tc>
          <w:tcPr>
            <w:tcW w:w="1463" w:type="dxa"/>
            <w:vAlign w:val="bottom"/>
          </w:tcPr>
          <w:p w14:paraId="3C8A12B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-27.82 ± 0.02</w:t>
            </w:r>
          </w:p>
        </w:tc>
        <w:tc>
          <w:tcPr>
            <w:tcW w:w="1463" w:type="dxa"/>
            <w:vAlign w:val="bottom"/>
          </w:tcPr>
          <w:p w14:paraId="17FD9BD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3.57 ± 0.04</w:t>
            </w:r>
          </w:p>
        </w:tc>
      </w:tr>
      <w:tr w:rsidR="00EA4B3C" w:rsidRPr="009A0A0F" w14:paraId="5E48D816"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4B5A164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MDMB-04</w:t>
            </w:r>
          </w:p>
        </w:tc>
        <w:tc>
          <w:tcPr>
            <w:tcW w:w="1463" w:type="dxa"/>
            <w:shd w:val="clear" w:color="auto" w:fill="auto"/>
            <w:noWrap/>
            <w:vAlign w:val="bottom"/>
            <w:hideMark/>
          </w:tcPr>
          <w:p w14:paraId="5A1643F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-27.61 ± 0.02</w:t>
            </w:r>
          </w:p>
        </w:tc>
        <w:tc>
          <w:tcPr>
            <w:tcW w:w="1463" w:type="dxa"/>
            <w:shd w:val="clear" w:color="auto" w:fill="auto"/>
            <w:noWrap/>
            <w:vAlign w:val="bottom"/>
            <w:hideMark/>
          </w:tcPr>
          <w:p w14:paraId="233B2DB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3.71 ± 0.03</w:t>
            </w:r>
          </w:p>
        </w:tc>
        <w:tc>
          <w:tcPr>
            <w:tcW w:w="782" w:type="dxa"/>
          </w:tcPr>
          <w:p w14:paraId="305548B4"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52D2F3F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MDMB-35</w:t>
            </w:r>
          </w:p>
        </w:tc>
        <w:tc>
          <w:tcPr>
            <w:tcW w:w="1463" w:type="dxa"/>
            <w:vAlign w:val="bottom"/>
          </w:tcPr>
          <w:p w14:paraId="01E604A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-27.69 ± 0.05</w:t>
            </w:r>
          </w:p>
        </w:tc>
        <w:tc>
          <w:tcPr>
            <w:tcW w:w="1463" w:type="dxa"/>
            <w:vAlign w:val="bottom"/>
          </w:tcPr>
          <w:p w14:paraId="704D3DC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3.58 ± 0.13</w:t>
            </w:r>
          </w:p>
        </w:tc>
      </w:tr>
      <w:tr w:rsidR="00EA4B3C" w:rsidRPr="009A0A0F" w14:paraId="75C92391"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2B96A31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MDMB-05</w:t>
            </w:r>
          </w:p>
        </w:tc>
        <w:tc>
          <w:tcPr>
            <w:tcW w:w="1463" w:type="dxa"/>
            <w:shd w:val="clear" w:color="auto" w:fill="auto"/>
            <w:noWrap/>
            <w:vAlign w:val="bottom"/>
            <w:hideMark/>
          </w:tcPr>
          <w:p w14:paraId="4CFAFCFF"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-27.77 ± 0.02</w:t>
            </w:r>
          </w:p>
        </w:tc>
        <w:tc>
          <w:tcPr>
            <w:tcW w:w="1463" w:type="dxa"/>
            <w:shd w:val="clear" w:color="auto" w:fill="auto"/>
            <w:noWrap/>
            <w:vAlign w:val="bottom"/>
            <w:hideMark/>
          </w:tcPr>
          <w:p w14:paraId="53C8AE7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3.71 ± 0.08</w:t>
            </w:r>
          </w:p>
        </w:tc>
        <w:tc>
          <w:tcPr>
            <w:tcW w:w="782" w:type="dxa"/>
          </w:tcPr>
          <w:p w14:paraId="54D9A6F4"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3CE6C06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MDMB-36</w:t>
            </w:r>
          </w:p>
        </w:tc>
        <w:tc>
          <w:tcPr>
            <w:tcW w:w="1463" w:type="dxa"/>
            <w:vAlign w:val="bottom"/>
          </w:tcPr>
          <w:p w14:paraId="7B70CAA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-27.67 ± 0.01</w:t>
            </w:r>
          </w:p>
        </w:tc>
        <w:tc>
          <w:tcPr>
            <w:tcW w:w="1463" w:type="dxa"/>
            <w:vAlign w:val="bottom"/>
          </w:tcPr>
          <w:p w14:paraId="311B0CD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3.51 ± 0.00</w:t>
            </w:r>
          </w:p>
        </w:tc>
      </w:tr>
      <w:tr w:rsidR="00EA4B3C" w:rsidRPr="009A0A0F" w14:paraId="4AC78004"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4066751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MDMB-06</w:t>
            </w:r>
          </w:p>
        </w:tc>
        <w:tc>
          <w:tcPr>
            <w:tcW w:w="1463" w:type="dxa"/>
            <w:shd w:val="clear" w:color="auto" w:fill="auto"/>
            <w:noWrap/>
            <w:vAlign w:val="bottom"/>
            <w:hideMark/>
          </w:tcPr>
          <w:p w14:paraId="35A7310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-27.77 ± 0.03</w:t>
            </w:r>
          </w:p>
        </w:tc>
        <w:tc>
          <w:tcPr>
            <w:tcW w:w="1463" w:type="dxa"/>
            <w:shd w:val="clear" w:color="auto" w:fill="auto"/>
            <w:noWrap/>
            <w:vAlign w:val="bottom"/>
            <w:hideMark/>
          </w:tcPr>
          <w:p w14:paraId="6A0F9C9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3.71 ± 0.08</w:t>
            </w:r>
          </w:p>
        </w:tc>
        <w:tc>
          <w:tcPr>
            <w:tcW w:w="782" w:type="dxa"/>
          </w:tcPr>
          <w:p w14:paraId="73F6897E"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54059BA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MDMB-37</w:t>
            </w:r>
          </w:p>
        </w:tc>
        <w:tc>
          <w:tcPr>
            <w:tcW w:w="1463" w:type="dxa"/>
            <w:vAlign w:val="bottom"/>
          </w:tcPr>
          <w:p w14:paraId="76318A0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-26.90 ± 0.02</w:t>
            </w:r>
          </w:p>
        </w:tc>
        <w:tc>
          <w:tcPr>
            <w:tcW w:w="1463" w:type="dxa"/>
            <w:vAlign w:val="bottom"/>
          </w:tcPr>
          <w:p w14:paraId="6588C3A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5.02 ± 0.09</w:t>
            </w:r>
          </w:p>
        </w:tc>
      </w:tr>
      <w:tr w:rsidR="00EA4B3C" w:rsidRPr="009A0A0F" w14:paraId="551DF82C"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6286EDD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MDMB-07</w:t>
            </w:r>
          </w:p>
        </w:tc>
        <w:tc>
          <w:tcPr>
            <w:tcW w:w="1463" w:type="dxa"/>
            <w:shd w:val="clear" w:color="auto" w:fill="auto"/>
            <w:noWrap/>
            <w:vAlign w:val="bottom"/>
            <w:hideMark/>
          </w:tcPr>
          <w:p w14:paraId="6D5E7F5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-27.64 ± 0.01</w:t>
            </w:r>
          </w:p>
        </w:tc>
        <w:tc>
          <w:tcPr>
            <w:tcW w:w="1463" w:type="dxa"/>
            <w:shd w:val="clear" w:color="auto" w:fill="auto"/>
            <w:noWrap/>
            <w:vAlign w:val="bottom"/>
            <w:hideMark/>
          </w:tcPr>
          <w:p w14:paraId="5D48BFB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3.45 ± 0.05</w:t>
            </w:r>
          </w:p>
        </w:tc>
        <w:tc>
          <w:tcPr>
            <w:tcW w:w="782" w:type="dxa"/>
          </w:tcPr>
          <w:p w14:paraId="4AF0B543"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0F66B1FF"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MDMB-38</w:t>
            </w:r>
          </w:p>
        </w:tc>
        <w:tc>
          <w:tcPr>
            <w:tcW w:w="1463" w:type="dxa"/>
            <w:vAlign w:val="bottom"/>
          </w:tcPr>
          <w:p w14:paraId="71C7314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-27.56 ± 0.03</w:t>
            </w:r>
          </w:p>
        </w:tc>
        <w:tc>
          <w:tcPr>
            <w:tcW w:w="1463" w:type="dxa"/>
            <w:vAlign w:val="bottom"/>
          </w:tcPr>
          <w:p w14:paraId="01B9EF4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3.48 ± 0.10</w:t>
            </w:r>
          </w:p>
        </w:tc>
      </w:tr>
      <w:tr w:rsidR="00EA4B3C" w:rsidRPr="009A0A0F" w14:paraId="3D1EBDAC"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79C6875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MDMB-08</w:t>
            </w:r>
          </w:p>
        </w:tc>
        <w:tc>
          <w:tcPr>
            <w:tcW w:w="1463" w:type="dxa"/>
            <w:shd w:val="clear" w:color="auto" w:fill="auto"/>
            <w:noWrap/>
            <w:vAlign w:val="bottom"/>
            <w:hideMark/>
          </w:tcPr>
          <w:p w14:paraId="5043709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-27.68 ± 0.02</w:t>
            </w:r>
          </w:p>
        </w:tc>
        <w:tc>
          <w:tcPr>
            <w:tcW w:w="1463" w:type="dxa"/>
            <w:shd w:val="clear" w:color="auto" w:fill="auto"/>
            <w:noWrap/>
            <w:vAlign w:val="bottom"/>
            <w:hideMark/>
          </w:tcPr>
          <w:p w14:paraId="46435C7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3.47 ± 0.09</w:t>
            </w:r>
          </w:p>
        </w:tc>
        <w:tc>
          <w:tcPr>
            <w:tcW w:w="782" w:type="dxa"/>
          </w:tcPr>
          <w:p w14:paraId="213E6A77"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7287240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MDMB-39</w:t>
            </w:r>
          </w:p>
        </w:tc>
        <w:tc>
          <w:tcPr>
            <w:tcW w:w="1463" w:type="dxa"/>
            <w:vAlign w:val="bottom"/>
          </w:tcPr>
          <w:p w14:paraId="457E27B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-27.74 ± 0.03</w:t>
            </w:r>
          </w:p>
        </w:tc>
        <w:tc>
          <w:tcPr>
            <w:tcW w:w="1463" w:type="dxa"/>
            <w:vAlign w:val="bottom"/>
          </w:tcPr>
          <w:p w14:paraId="13C6650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3.25 ± 0.04</w:t>
            </w:r>
          </w:p>
        </w:tc>
      </w:tr>
      <w:tr w:rsidR="00EA4B3C" w:rsidRPr="009A0A0F" w14:paraId="4E835BD2"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5F5F3A3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MDMB-09</w:t>
            </w:r>
          </w:p>
        </w:tc>
        <w:tc>
          <w:tcPr>
            <w:tcW w:w="1463" w:type="dxa"/>
            <w:shd w:val="clear" w:color="auto" w:fill="auto"/>
            <w:noWrap/>
            <w:vAlign w:val="bottom"/>
            <w:hideMark/>
          </w:tcPr>
          <w:p w14:paraId="634820F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-27.53 ± 0.03</w:t>
            </w:r>
          </w:p>
        </w:tc>
        <w:tc>
          <w:tcPr>
            <w:tcW w:w="1463" w:type="dxa"/>
            <w:shd w:val="clear" w:color="auto" w:fill="auto"/>
            <w:noWrap/>
            <w:vAlign w:val="bottom"/>
            <w:hideMark/>
          </w:tcPr>
          <w:p w14:paraId="6124D82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3.64 ± 0.09</w:t>
            </w:r>
          </w:p>
        </w:tc>
        <w:tc>
          <w:tcPr>
            <w:tcW w:w="782" w:type="dxa"/>
          </w:tcPr>
          <w:p w14:paraId="5D843943"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34959FE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MDMB-40</w:t>
            </w:r>
          </w:p>
        </w:tc>
        <w:tc>
          <w:tcPr>
            <w:tcW w:w="1463" w:type="dxa"/>
            <w:vAlign w:val="bottom"/>
          </w:tcPr>
          <w:p w14:paraId="6B24FFB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-27.66 ± 0.03</w:t>
            </w:r>
          </w:p>
        </w:tc>
        <w:tc>
          <w:tcPr>
            <w:tcW w:w="1463" w:type="dxa"/>
            <w:vAlign w:val="bottom"/>
          </w:tcPr>
          <w:p w14:paraId="0574022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3.44 ± 0.09</w:t>
            </w:r>
          </w:p>
        </w:tc>
      </w:tr>
      <w:tr w:rsidR="00EA4B3C" w:rsidRPr="009A0A0F" w14:paraId="6E237D59"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2066765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MDMB-10</w:t>
            </w:r>
          </w:p>
        </w:tc>
        <w:tc>
          <w:tcPr>
            <w:tcW w:w="1463" w:type="dxa"/>
            <w:shd w:val="clear" w:color="auto" w:fill="auto"/>
            <w:noWrap/>
            <w:vAlign w:val="bottom"/>
            <w:hideMark/>
          </w:tcPr>
          <w:p w14:paraId="15D67C1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-27.71 ± 0.03</w:t>
            </w:r>
          </w:p>
        </w:tc>
        <w:tc>
          <w:tcPr>
            <w:tcW w:w="1463" w:type="dxa"/>
            <w:shd w:val="clear" w:color="auto" w:fill="auto"/>
            <w:noWrap/>
            <w:vAlign w:val="bottom"/>
            <w:hideMark/>
          </w:tcPr>
          <w:p w14:paraId="60623BD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3.41 ± 0.04</w:t>
            </w:r>
          </w:p>
        </w:tc>
        <w:tc>
          <w:tcPr>
            <w:tcW w:w="782" w:type="dxa"/>
          </w:tcPr>
          <w:p w14:paraId="339E92A1"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656BF71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MDMB-41</w:t>
            </w:r>
          </w:p>
        </w:tc>
        <w:tc>
          <w:tcPr>
            <w:tcW w:w="1463" w:type="dxa"/>
            <w:vAlign w:val="bottom"/>
          </w:tcPr>
          <w:p w14:paraId="79F2131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-26.65 ± 0.12</w:t>
            </w:r>
          </w:p>
        </w:tc>
        <w:tc>
          <w:tcPr>
            <w:tcW w:w="1463" w:type="dxa"/>
            <w:vAlign w:val="bottom"/>
          </w:tcPr>
          <w:p w14:paraId="56D2C02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2.39 ± 0.30</w:t>
            </w:r>
          </w:p>
        </w:tc>
      </w:tr>
      <w:tr w:rsidR="00EA4B3C" w:rsidRPr="009A0A0F" w14:paraId="2AD0C6D9"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628CBAF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MDMB-11</w:t>
            </w:r>
          </w:p>
        </w:tc>
        <w:tc>
          <w:tcPr>
            <w:tcW w:w="1463" w:type="dxa"/>
            <w:shd w:val="clear" w:color="auto" w:fill="auto"/>
            <w:noWrap/>
            <w:vAlign w:val="bottom"/>
            <w:hideMark/>
          </w:tcPr>
          <w:p w14:paraId="4BED647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-27.64 ± 0.04</w:t>
            </w:r>
          </w:p>
        </w:tc>
        <w:tc>
          <w:tcPr>
            <w:tcW w:w="1463" w:type="dxa"/>
            <w:shd w:val="clear" w:color="auto" w:fill="auto"/>
            <w:noWrap/>
            <w:vAlign w:val="bottom"/>
            <w:hideMark/>
          </w:tcPr>
          <w:p w14:paraId="6D3498D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3.64 ± 0.10</w:t>
            </w:r>
          </w:p>
        </w:tc>
        <w:tc>
          <w:tcPr>
            <w:tcW w:w="782" w:type="dxa"/>
          </w:tcPr>
          <w:p w14:paraId="15D8B8B1"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36321B8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MDMB-42</w:t>
            </w:r>
          </w:p>
        </w:tc>
        <w:tc>
          <w:tcPr>
            <w:tcW w:w="1463" w:type="dxa"/>
            <w:vAlign w:val="bottom"/>
          </w:tcPr>
          <w:p w14:paraId="3B56802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-27.69 ± 0.03</w:t>
            </w:r>
          </w:p>
        </w:tc>
        <w:tc>
          <w:tcPr>
            <w:tcW w:w="1463" w:type="dxa"/>
            <w:vAlign w:val="bottom"/>
          </w:tcPr>
          <w:p w14:paraId="007F32E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5.02 ± 0.06</w:t>
            </w:r>
          </w:p>
        </w:tc>
      </w:tr>
      <w:tr w:rsidR="00EA4B3C" w:rsidRPr="009A0A0F" w14:paraId="4865E53E"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2669412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MDMB-12</w:t>
            </w:r>
          </w:p>
        </w:tc>
        <w:tc>
          <w:tcPr>
            <w:tcW w:w="1463" w:type="dxa"/>
            <w:shd w:val="clear" w:color="auto" w:fill="auto"/>
            <w:noWrap/>
            <w:vAlign w:val="bottom"/>
            <w:hideMark/>
          </w:tcPr>
          <w:p w14:paraId="2EF4939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-27.59 ± 0.01</w:t>
            </w:r>
          </w:p>
        </w:tc>
        <w:tc>
          <w:tcPr>
            <w:tcW w:w="1463" w:type="dxa"/>
            <w:shd w:val="clear" w:color="auto" w:fill="auto"/>
            <w:noWrap/>
            <w:vAlign w:val="bottom"/>
            <w:hideMark/>
          </w:tcPr>
          <w:p w14:paraId="77CE44E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3.60 ± 0.03</w:t>
            </w:r>
          </w:p>
        </w:tc>
        <w:tc>
          <w:tcPr>
            <w:tcW w:w="782" w:type="dxa"/>
          </w:tcPr>
          <w:p w14:paraId="3F3659F3"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2325A37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MDMB-43</w:t>
            </w:r>
          </w:p>
        </w:tc>
        <w:tc>
          <w:tcPr>
            <w:tcW w:w="1463" w:type="dxa"/>
            <w:vAlign w:val="bottom"/>
          </w:tcPr>
          <w:p w14:paraId="75FC93B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-27.45 ± 0.01</w:t>
            </w:r>
          </w:p>
        </w:tc>
        <w:tc>
          <w:tcPr>
            <w:tcW w:w="1463" w:type="dxa"/>
            <w:vAlign w:val="bottom"/>
          </w:tcPr>
          <w:p w14:paraId="75BC005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5.23 ± 0.08</w:t>
            </w:r>
          </w:p>
        </w:tc>
      </w:tr>
      <w:tr w:rsidR="00EA4B3C" w:rsidRPr="009A0A0F" w14:paraId="626E3730"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08185B1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MDMB-13</w:t>
            </w:r>
          </w:p>
        </w:tc>
        <w:tc>
          <w:tcPr>
            <w:tcW w:w="1463" w:type="dxa"/>
            <w:shd w:val="clear" w:color="auto" w:fill="auto"/>
            <w:noWrap/>
            <w:vAlign w:val="bottom"/>
            <w:hideMark/>
          </w:tcPr>
          <w:p w14:paraId="296A18A1"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-27.55 ± 0.01</w:t>
            </w:r>
          </w:p>
        </w:tc>
        <w:tc>
          <w:tcPr>
            <w:tcW w:w="1463" w:type="dxa"/>
            <w:shd w:val="clear" w:color="auto" w:fill="auto"/>
            <w:noWrap/>
            <w:vAlign w:val="bottom"/>
            <w:hideMark/>
          </w:tcPr>
          <w:p w14:paraId="663FAB9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3.59 ± 0.02</w:t>
            </w:r>
          </w:p>
        </w:tc>
        <w:tc>
          <w:tcPr>
            <w:tcW w:w="782" w:type="dxa"/>
          </w:tcPr>
          <w:p w14:paraId="33A65DD4"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106A5AA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MDMB-44</w:t>
            </w:r>
          </w:p>
        </w:tc>
        <w:tc>
          <w:tcPr>
            <w:tcW w:w="1463" w:type="dxa"/>
            <w:vAlign w:val="bottom"/>
          </w:tcPr>
          <w:p w14:paraId="5B2524F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-27.56 ± 0.04</w:t>
            </w:r>
          </w:p>
        </w:tc>
        <w:tc>
          <w:tcPr>
            <w:tcW w:w="1463" w:type="dxa"/>
            <w:vAlign w:val="bottom"/>
          </w:tcPr>
          <w:p w14:paraId="3B08FA11"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4.72 ± 0.07</w:t>
            </w:r>
          </w:p>
        </w:tc>
      </w:tr>
      <w:tr w:rsidR="00EA4B3C" w:rsidRPr="009A0A0F" w14:paraId="2C4BE90E"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3948248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MDMB-14</w:t>
            </w:r>
          </w:p>
        </w:tc>
        <w:tc>
          <w:tcPr>
            <w:tcW w:w="1463" w:type="dxa"/>
            <w:shd w:val="clear" w:color="auto" w:fill="auto"/>
            <w:noWrap/>
            <w:vAlign w:val="bottom"/>
            <w:hideMark/>
          </w:tcPr>
          <w:p w14:paraId="1FAEEF3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-27.43 ± 0.21</w:t>
            </w:r>
          </w:p>
        </w:tc>
        <w:tc>
          <w:tcPr>
            <w:tcW w:w="1463" w:type="dxa"/>
            <w:shd w:val="clear" w:color="auto" w:fill="auto"/>
            <w:noWrap/>
            <w:vAlign w:val="bottom"/>
            <w:hideMark/>
          </w:tcPr>
          <w:p w14:paraId="151C017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4.08 ± 0.27</w:t>
            </w:r>
          </w:p>
        </w:tc>
        <w:tc>
          <w:tcPr>
            <w:tcW w:w="782" w:type="dxa"/>
          </w:tcPr>
          <w:p w14:paraId="6E7064E7"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68DBE0B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MDMB-45</w:t>
            </w:r>
          </w:p>
        </w:tc>
        <w:tc>
          <w:tcPr>
            <w:tcW w:w="1463" w:type="dxa"/>
            <w:vAlign w:val="bottom"/>
          </w:tcPr>
          <w:p w14:paraId="56497F0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-27.56 ± 0.04</w:t>
            </w:r>
          </w:p>
        </w:tc>
        <w:tc>
          <w:tcPr>
            <w:tcW w:w="1463" w:type="dxa"/>
            <w:vAlign w:val="bottom"/>
          </w:tcPr>
          <w:p w14:paraId="5C9A737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4.72 ± 0.04</w:t>
            </w:r>
          </w:p>
        </w:tc>
      </w:tr>
      <w:tr w:rsidR="00EA4B3C" w:rsidRPr="009A0A0F" w14:paraId="35771937"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7738959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MDMB-15</w:t>
            </w:r>
          </w:p>
        </w:tc>
        <w:tc>
          <w:tcPr>
            <w:tcW w:w="1463" w:type="dxa"/>
            <w:shd w:val="clear" w:color="auto" w:fill="auto"/>
            <w:noWrap/>
            <w:vAlign w:val="bottom"/>
            <w:hideMark/>
          </w:tcPr>
          <w:p w14:paraId="50D014C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-27.65 ± 0.01</w:t>
            </w:r>
          </w:p>
        </w:tc>
        <w:tc>
          <w:tcPr>
            <w:tcW w:w="1463" w:type="dxa"/>
            <w:shd w:val="clear" w:color="auto" w:fill="auto"/>
            <w:noWrap/>
            <w:vAlign w:val="bottom"/>
            <w:hideMark/>
          </w:tcPr>
          <w:p w14:paraId="59B9FC6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3.62 ± 0.10</w:t>
            </w:r>
          </w:p>
        </w:tc>
        <w:tc>
          <w:tcPr>
            <w:tcW w:w="782" w:type="dxa"/>
          </w:tcPr>
          <w:p w14:paraId="4F1584D0"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079507A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MDMB-46</w:t>
            </w:r>
          </w:p>
        </w:tc>
        <w:tc>
          <w:tcPr>
            <w:tcW w:w="1463" w:type="dxa"/>
            <w:vAlign w:val="bottom"/>
          </w:tcPr>
          <w:p w14:paraId="7B52DD8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-27.53 ± 0.03</w:t>
            </w:r>
          </w:p>
        </w:tc>
        <w:tc>
          <w:tcPr>
            <w:tcW w:w="1463" w:type="dxa"/>
            <w:vAlign w:val="bottom"/>
          </w:tcPr>
          <w:p w14:paraId="350900F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4.82 ± 0.07</w:t>
            </w:r>
          </w:p>
        </w:tc>
      </w:tr>
      <w:tr w:rsidR="00EA4B3C" w:rsidRPr="009A0A0F" w14:paraId="52ADE442"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hideMark/>
          </w:tcPr>
          <w:p w14:paraId="350F14C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MDMB-16</w:t>
            </w:r>
          </w:p>
        </w:tc>
        <w:tc>
          <w:tcPr>
            <w:tcW w:w="1463" w:type="dxa"/>
            <w:shd w:val="clear" w:color="auto" w:fill="auto"/>
            <w:noWrap/>
            <w:vAlign w:val="bottom"/>
            <w:hideMark/>
          </w:tcPr>
          <w:p w14:paraId="1E9C8F7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-27.71 ± 0.03</w:t>
            </w:r>
          </w:p>
        </w:tc>
        <w:tc>
          <w:tcPr>
            <w:tcW w:w="1463" w:type="dxa"/>
            <w:shd w:val="clear" w:color="auto" w:fill="auto"/>
            <w:noWrap/>
            <w:vAlign w:val="bottom"/>
            <w:hideMark/>
          </w:tcPr>
          <w:p w14:paraId="773900D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3.42 ± 0.07</w:t>
            </w:r>
          </w:p>
        </w:tc>
        <w:tc>
          <w:tcPr>
            <w:tcW w:w="782" w:type="dxa"/>
          </w:tcPr>
          <w:p w14:paraId="60E29A9D"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705256C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MDMB-47</w:t>
            </w:r>
          </w:p>
        </w:tc>
        <w:tc>
          <w:tcPr>
            <w:tcW w:w="1463" w:type="dxa"/>
            <w:vAlign w:val="bottom"/>
          </w:tcPr>
          <w:p w14:paraId="21D7A65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-27.55 ± 0.02</w:t>
            </w:r>
          </w:p>
        </w:tc>
        <w:tc>
          <w:tcPr>
            <w:tcW w:w="1463" w:type="dxa"/>
            <w:vAlign w:val="bottom"/>
          </w:tcPr>
          <w:p w14:paraId="6914813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4.72 ± 0.16</w:t>
            </w:r>
          </w:p>
        </w:tc>
      </w:tr>
      <w:tr w:rsidR="00EA4B3C" w:rsidRPr="009A0A0F" w14:paraId="36D28B2D"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741AAA8A"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MDMB-17</w:t>
            </w:r>
          </w:p>
        </w:tc>
        <w:tc>
          <w:tcPr>
            <w:tcW w:w="1463" w:type="dxa"/>
            <w:shd w:val="clear" w:color="auto" w:fill="auto"/>
            <w:noWrap/>
            <w:vAlign w:val="bottom"/>
          </w:tcPr>
          <w:p w14:paraId="3E0D65E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-27.73 ± 0.01</w:t>
            </w:r>
          </w:p>
        </w:tc>
        <w:tc>
          <w:tcPr>
            <w:tcW w:w="1463" w:type="dxa"/>
            <w:shd w:val="clear" w:color="auto" w:fill="auto"/>
            <w:noWrap/>
            <w:vAlign w:val="bottom"/>
          </w:tcPr>
          <w:p w14:paraId="230BD6E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3.57 ± 0.04</w:t>
            </w:r>
          </w:p>
        </w:tc>
        <w:tc>
          <w:tcPr>
            <w:tcW w:w="782" w:type="dxa"/>
          </w:tcPr>
          <w:p w14:paraId="183FBF99"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60A6111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MDMB-48</w:t>
            </w:r>
          </w:p>
        </w:tc>
        <w:tc>
          <w:tcPr>
            <w:tcW w:w="1463" w:type="dxa"/>
            <w:vAlign w:val="bottom"/>
          </w:tcPr>
          <w:p w14:paraId="5DEAAE9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-27.57 ± 0.04</w:t>
            </w:r>
          </w:p>
        </w:tc>
        <w:tc>
          <w:tcPr>
            <w:tcW w:w="1463" w:type="dxa"/>
            <w:vAlign w:val="bottom"/>
          </w:tcPr>
          <w:p w14:paraId="0F39C8A1"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4.82 ± 0.21</w:t>
            </w:r>
          </w:p>
        </w:tc>
      </w:tr>
      <w:tr w:rsidR="00EA4B3C" w:rsidRPr="009A0A0F" w14:paraId="42D2C59D"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46320A26"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MDMB-18</w:t>
            </w:r>
          </w:p>
        </w:tc>
        <w:tc>
          <w:tcPr>
            <w:tcW w:w="1463" w:type="dxa"/>
            <w:shd w:val="clear" w:color="auto" w:fill="auto"/>
            <w:noWrap/>
            <w:vAlign w:val="bottom"/>
          </w:tcPr>
          <w:p w14:paraId="08BC349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-27.52 ± 0.19</w:t>
            </w:r>
          </w:p>
        </w:tc>
        <w:tc>
          <w:tcPr>
            <w:tcW w:w="1463" w:type="dxa"/>
            <w:shd w:val="clear" w:color="auto" w:fill="auto"/>
            <w:noWrap/>
            <w:vAlign w:val="bottom"/>
          </w:tcPr>
          <w:p w14:paraId="373B389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3.79 ± 0.29</w:t>
            </w:r>
          </w:p>
        </w:tc>
        <w:tc>
          <w:tcPr>
            <w:tcW w:w="782" w:type="dxa"/>
          </w:tcPr>
          <w:p w14:paraId="75F6AC41"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133B2AAF"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MDMB-49</w:t>
            </w:r>
          </w:p>
        </w:tc>
        <w:tc>
          <w:tcPr>
            <w:tcW w:w="1463" w:type="dxa"/>
            <w:vAlign w:val="bottom"/>
          </w:tcPr>
          <w:p w14:paraId="5FE132C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-27.66 ± 0.01</w:t>
            </w:r>
          </w:p>
        </w:tc>
        <w:tc>
          <w:tcPr>
            <w:tcW w:w="1463" w:type="dxa"/>
            <w:vAlign w:val="bottom"/>
          </w:tcPr>
          <w:p w14:paraId="5D6690E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3.57 ± 0.10</w:t>
            </w:r>
          </w:p>
        </w:tc>
      </w:tr>
      <w:tr w:rsidR="00EA4B3C" w:rsidRPr="009A0A0F" w14:paraId="55BA607E"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2AF3F8FE"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MDMB-19</w:t>
            </w:r>
          </w:p>
        </w:tc>
        <w:tc>
          <w:tcPr>
            <w:tcW w:w="1463" w:type="dxa"/>
            <w:shd w:val="clear" w:color="auto" w:fill="auto"/>
            <w:noWrap/>
            <w:vAlign w:val="bottom"/>
          </w:tcPr>
          <w:p w14:paraId="6CA403C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-27.67 ± 0.01</w:t>
            </w:r>
          </w:p>
        </w:tc>
        <w:tc>
          <w:tcPr>
            <w:tcW w:w="1463" w:type="dxa"/>
            <w:shd w:val="clear" w:color="auto" w:fill="auto"/>
            <w:noWrap/>
            <w:vAlign w:val="bottom"/>
          </w:tcPr>
          <w:p w14:paraId="6B31215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3.74 ± 0.15</w:t>
            </w:r>
          </w:p>
        </w:tc>
        <w:tc>
          <w:tcPr>
            <w:tcW w:w="782" w:type="dxa"/>
          </w:tcPr>
          <w:p w14:paraId="56D9B83D"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797DD2B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MDMB-50</w:t>
            </w:r>
          </w:p>
        </w:tc>
        <w:tc>
          <w:tcPr>
            <w:tcW w:w="1463" w:type="dxa"/>
            <w:vAlign w:val="bottom"/>
          </w:tcPr>
          <w:p w14:paraId="6B09155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-27.61 ± 0.02</w:t>
            </w:r>
          </w:p>
        </w:tc>
        <w:tc>
          <w:tcPr>
            <w:tcW w:w="1463" w:type="dxa"/>
            <w:vAlign w:val="bottom"/>
          </w:tcPr>
          <w:p w14:paraId="56855FD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3.59 ± 0.02</w:t>
            </w:r>
          </w:p>
        </w:tc>
      </w:tr>
      <w:tr w:rsidR="00EA4B3C" w:rsidRPr="009A0A0F" w14:paraId="3E2F2603"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6A14B41D"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MDMB-20</w:t>
            </w:r>
          </w:p>
        </w:tc>
        <w:tc>
          <w:tcPr>
            <w:tcW w:w="1463" w:type="dxa"/>
            <w:shd w:val="clear" w:color="auto" w:fill="auto"/>
            <w:noWrap/>
            <w:vAlign w:val="bottom"/>
          </w:tcPr>
          <w:p w14:paraId="374E9D6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-27.65 ± 0.07</w:t>
            </w:r>
          </w:p>
        </w:tc>
        <w:tc>
          <w:tcPr>
            <w:tcW w:w="1463" w:type="dxa"/>
            <w:shd w:val="clear" w:color="auto" w:fill="auto"/>
            <w:noWrap/>
            <w:vAlign w:val="bottom"/>
          </w:tcPr>
          <w:p w14:paraId="5DF9E66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3.65 ± 0.05</w:t>
            </w:r>
          </w:p>
        </w:tc>
        <w:tc>
          <w:tcPr>
            <w:tcW w:w="782" w:type="dxa"/>
          </w:tcPr>
          <w:p w14:paraId="57085FF8"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77569E8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MDMB-51</w:t>
            </w:r>
          </w:p>
        </w:tc>
        <w:tc>
          <w:tcPr>
            <w:tcW w:w="1463" w:type="dxa"/>
            <w:vAlign w:val="bottom"/>
          </w:tcPr>
          <w:p w14:paraId="510CC7C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-26.95 ± 0.04</w:t>
            </w:r>
          </w:p>
        </w:tc>
        <w:tc>
          <w:tcPr>
            <w:tcW w:w="1463" w:type="dxa"/>
            <w:vAlign w:val="bottom"/>
          </w:tcPr>
          <w:p w14:paraId="72583D2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6.22 ± 0.04</w:t>
            </w:r>
          </w:p>
        </w:tc>
      </w:tr>
      <w:tr w:rsidR="00EA4B3C" w:rsidRPr="009A0A0F" w14:paraId="373CBC62"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31D20BF2"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MDMB-21</w:t>
            </w:r>
          </w:p>
        </w:tc>
        <w:tc>
          <w:tcPr>
            <w:tcW w:w="1463" w:type="dxa"/>
            <w:shd w:val="clear" w:color="auto" w:fill="auto"/>
            <w:noWrap/>
            <w:vAlign w:val="bottom"/>
          </w:tcPr>
          <w:p w14:paraId="622107FF"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-27.18 ± 0.07</w:t>
            </w:r>
          </w:p>
        </w:tc>
        <w:tc>
          <w:tcPr>
            <w:tcW w:w="1463" w:type="dxa"/>
            <w:shd w:val="clear" w:color="auto" w:fill="auto"/>
            <w:noWrap/>
            <w:vAlign w:val="bottom"/>
          </w:tcPr>
          <w:p w14:paraId="283CAD9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4.61 ± 0.22</w:t>
            </w:r>
          </w:p>
        </w:tc>
        <w:tc>
          <w:tcPr>
            <w:tcW w:w="782" w:type="dxa"/>
          </w:tcPr>
          <w:p w14:paraId="3ADD09B2"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4CC9CB3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MDMB-52</w:t>
            </w:r>
          </w:p>
        </w:tc>
        <w:tc>
          <w:tcPr>
            <w:tcW w:w="1463" w:type="dxa"/>
            <w:vAlign w:val="bottom"/>
          </w:tcPr>
          <w:p w14:paraId="7485660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-26.98 ± 0.01</w:t>
            </w:r>
          </w:p>
        </w:tc>
        <w:tc>
          <w:tcPr>
            <w:tcW w:w="1463" w:type="dxa"/>
            <w:vAlign w:val="bottom"/>
          </w:tcPr>
          <w:p w14:paraId="3CA8EA9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6.25 ± 0.05</w:t>
            </w:r>
          </w:p>
        </w:tc>
      </w:tr>
      <w:tr w:rsidR="00EA4B3C" w:rsidRPr="009A0A0F" w14:paraId="00A06088"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3013DC69"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MDMB-22</w:t>
            </w:r>
          </w:p>
        </w:tc>
        <w:tc>
          <w:tcPr>
            <w:tcW w:w="1463" w:type="dxa"/>
            <w:shd w:val="clear" w:color="auto" w:fill="auto"/>
            <w:noWrap/>
            <w:vAlign w:val="bottom"/>
          </w:tcPr>
          <w:p w14:paraId="04FB75B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-27.64 ± 0.00</w:t>
            </w:r>
          </w:p>
        </w:tc>
        <w:tc>
          <w:tcPr>
            <w:tcW w:w="1463" w:type="dxa"/>
            <w:shd w:val="clear" w:color="auto" w:fill="auto"/>
            <w:noWrap/>
            <w:vAlign w:val="bottom"/>
          </w:tcPr>
          <w:p w14:paraId="3DDF076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3.66 ± 0.05</w:t>
            </w:r>
          </w:p>
        </w:tc>
        <w:tc>
          <w:tcPr>
            <w:tcW w:w="782" w:type="dxa"/>
          </w:tcPr>
          <w:p w14:paraId="302CD1AA"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4274444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MDMB-53</w:t>
            </w:r>
          </w:p>
        </w:tc>
        <w:tc>
          <w:tcPr>
            <w:tcW w:w="1463" w:type="dxa"/>
            <w:vAlign w:val="bottom"/>
          </w:tcPr>
          <w:p w14:paraId="016BD8E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-26.95 ± 0.02</w:t>
            </w:r>
          </w:p>
        </w:tc>
        <w:tc>
          <w:tcPr>
            <w:tcW w:w="1463" w:type="dxa"/>
            <w:vAlign w:val="bottom"/>
          </w:tcPr>
          <w:p w14:paraId="216D7EA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6.20 ± 0.06</w:t>
            </w:r>
          </w:p>
        </w:tc>
      </w:tr>
      <w:tr w:rsidR="00EA4B3C" w:rsidRPr="009A0A0F" w14:paraId="490C12EB"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23A3DF31"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MDMB-23</w:t>
            </w:r>
          </w:p>
        </w:tc>
        <w:tc>
          <w:tcPr>
            <w:tcW w:w="1463" w:type="dxa"/>
            <w:shd w:val="clear" w:color="auto" w:fill="auto"/>
            <w:noWrap/>
            <w:vAlign w:val="bottom"/>
          </w:tcPr>
          <w:p w14:paraId="60B6293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-27.83 ± 0.04</w:t>
            </w:r>
          </w:p>
        </w:tc>
        <w:tc>
          <w:tcPr>
            <w:tcW w:w="1463" w:type="dxa"/>
            <w:shd w:val="clear" w:color="auto" w:fill="auto"/>
            <w:noWrap/>
            <w:vAlign w:val="bottom"/>
          </w:tcPr>
          <w:p w14:paraId="4757F87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3.51 ± 0.08</w:t>
            </w:r>
          </w:p>
        </w:tc>
        <w:tc>
          <w:tcPr>
            <w:tcW w:w="782" w:type="dxa"/>
          </w:tcPr>
          <w:p w14:paraId="14E41D77"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0E4B1A1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MDMB-54</w:t>
            </w:r>
          </w:p>
        </w:tc>
        <w:tc>
          <w:tcPr>
            <w:tcW w:w="1463" w:type="dxa"/>
            <w:vAlign w:val="bottom"/>
          </w:tcPr>
          <w:p w14:paraId="72350FF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-27.48 ± 0.01</w:t>
            </w:r>
          </w:p>
        </w:tc>
        <w:tc>
          <w:tcPr>
            <w:tcW w:w="1463" w:type="dxa"/>
            <w:vAlign w:val="bottom"/>
          </w:tcPr>
          <w:p w14:paraId="78B168B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4.90 ± 0.05</w:t>
            </w:r>
          </w:p>
        </w:tc>
      </w:tr>
      <w:tr w:rsidR="00EA4B3C" w:rsidRPr="009A0A0F" w14:paraId="63BFA7C4"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6F3EAFBD"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MDMB-24</w:t>
            </w:r>
          </w:p>
        </w:tc>
        <w:tc>
          <w:tcPr>
            <w:tcW w:w="1463" w:type="dxa"/>
            <w:shd w:val="clear" w:color="auto" w:fill="auto"/>
            <w:noWrap/>
            <w:vAlign w:val="bottom"/>
          </w:tcPr>
          <w:p w14:paraId="52E8D4D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-27.70 ± 0.03</w:t>
            </w:r>
          </w:p>
        </w:tc>
        <w:tc>
          <w:tcPr>
            <w:tcW w:w="1463" w:type="dxa"/>
            <w:shd w:val="clear" w:color="auto" w:fill="auto"/>
            <w:noWrap/>
            <w:vAlign w:val="bottom"/>
          </w:tcPr>
          <w:p w14:paraId="493A9E50"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3.51 ± 0.03</w:t>
            </w:r>
          </w:p>
        </w:tc>
        <w:tc>
          <w:tcPr>
            <w:tcW w:w="782" w:type="dxa"/>
          </w:tcPr>
          <w:p w14:paraId="68D84B36"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4CCA42E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MDMB-55</w:t>
            </w:r>
          </w:p>
        </w:tc>
        <w:tc>
          <w:tcPr>
            <w:tcW w:w="1463" w:type="dxa"/>
            <w:vAlign w:val="bottom"/>
          </w:tcPr>
          <w:p w14:paraId="0674EA5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-27.47 ± 0.01</w:t>
            </w:r>
          </w:p>
        </w:tc>
        <w:tc>
          <w:tcPr>
            <w:tcW w:w="1463" w:type="dxa"/>
            <w:vAlign w:val="bottom"/>
          </w:tcPr>
          <w:p w14:paraId="4E4FBAD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5.01 ± 0.09</w:t>
            </w:r>
          </w:p>
        </w:tc>
      </w:tr>
      <w:tr w:rsidR="00EA4B3C" w:rsidRPr="009A0A0F" w14:paraId="0388D750"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4A93E5FD"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MDMB-25</w:t>
            </w:r>
          </w:p>
        </w:tc>
        <w:tc>
          <w:tcPr>
            <w:tcW w:w="1463" w:type="dxa"/>
            <w:shd w:val="clear" w:color="auto" w:fill="auto"/>
            <w:noWrap/>
            <w:vAlign w:val="bottom"/>
          </w:tcPr>
          <w:p w14:paraId="26EB084F"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-27.71 ± 0.04</w:t>
            </w:r>
          </w:p>
        </w:tc>
        <w:tc>
          <w:tcPr>
            <w:tcW w:w="1463" w:type="dxa"/>
            <w:shd w:val="clear" w:color="auto" w:fill="auto"/>
            <w:noWrap/>
            <w:vAlign w:val="bottom"/>
          </w:tcPr>
          <w:p w14:paraId="21AA79A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3.61 ± 0.05</w:t>
            </w:r>
          </w:p>
        </w:tc>
        <w:tc>
          <w:tcPr>
            <w:tcW w:w="782" w:type="dxa"/>
          </w:tcPr>
          <w:p w14:paraId="240A6D17"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3F07C84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MDMB-56</w:t>
            </w:r>
          </w:p>
        </w:tc>
        <w:tc>
          <w:tcPr>
            <w:tcW w:w="1463" w:type="dxa"/>
            <w:vAlign w:val="bottom"/>
          </w:tcPr>
          <w:p w14:paraId="289AF2C2"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-27.65 ± 0.02</w:t>
            </w:r>
          </w:p>
        </w:tc>
        <w:tc>
          <w:tcPr>
            <w:tcW w:w="1463" w:type="dxa"/>
            <w:vAlign w:val="bottom"/>
          </w:tcPr>
          <w:p w14:paraId="5B5FC156"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5.36 ± 0.00</w:t>
            </w:r>
          </w:p>
        </w:tc>
      </w:tr>
      <w:tr w:rsidR="00EA4B3C" w:rsidRPr="009A0A0F" w14:paraId="75FD6D2F"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33B8CE16"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MDMB-26</w:t>
            </w:r>
          </w:p>
        </w:tc>
        <w:tc>
          <w:tcPr>
            <w:tcW w:w="1463" w:type="dxa"/>
            <w:shd w:val="clear" w:color="auto" w:fill="auto"/>
            <w:noWrap/>
            <w:vAlign w:val="bottom"/>
          </w:tcPr>
          <w:p w14:paraId="53C6FA6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-27.87 ± 0.04</w:t>
            </w:r>
          </w:p>
        </w:tc>
        <w:tc>
          <w:tcPr>
            <w:tcW w:w="1463" w:type="dxa"/>
            <w:shd w:val="clear" w:color="auto" w:fill="auto"/>
            <w:noWrap/>
            <w:vAlign w:val="bottom"/>
          </w:tcPr>
          <w:p w14:paraId="13814E8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3.61 ± 0.02</w:t>
            </w:r>
          </w:p>
        </w:tc>
        <w:tc>
          <w:tcPr>
            <w:tcW w:w="782" w:type="dxa"/>
          </w:tcPr>
          <w:p w14:paraId="62ADAC30"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3BB39AE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MDMB-57</w:t>
            </w:r>
          </w:p>
        </w:tc>
        <w:tc>
          <w:tcPr>
            <w:tcW w:w="1463" w:type="dxa"/>
            <w:vAlign w:val="bottom"/>
          </w:tcPr>
          <w:p w14:paraId="744A9E9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-25.94 ± 0.01</w:t>
            </w:r>
          </w:p>
        </w:tc>
        <w:tc>
          <w:tcPr>
            <w:tcW w:w="1463" w:type="dxa"/>
            <w:vAlign w:val="bottom"/>
          </w:tcPr>
          <w:p w14:paraId="6DB28DF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6.35 ± 0.01</w:t>
            </w:r>
          </w:p>
        </w:tc>
      </w:tr>
      <w:tr w:rsidR="00EA4B3C" w:rsidRPr="009A0A0F" w14:paraId="6773C421"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16529B4A"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MDMB-27</w:t>
            </w:r>
          </w:p>
        </w:tc>
        <w:tc>
          <w:tcPr>
            <w:tcW w:w="1463" w:type="dxa"/>
            <w:shd w:val="clear" w:color="auto" w:fill="auto"/>
            <w:noWrap/>
            <w:vAlign w:val="bottom"/>
          </w:tcPr>
          <w:p w14:paraId="7A1C190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-27.59 ± 0.00</w:t>
            </w:r>
          </w:p>
        </w:tc>
        <w:tc>
          <w:tcPr>
            <w:tcW w:w="1463" w:type="dxa"/>
            <w:shd w:val="clear" w:color="auto" w:fill="auto"/>
            <w:noWrap/>
            <w:vAlign w:val="bottom"/>
          </w:tcPr>
          <w:p w14:paraId="22FA309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3.52 ± 0.06</w:t>
            </w:r>
          </w:p>
        </w:tc>
        <w:tc>
          <w:tcPr>
            <w:tcW w:w="782" w:type="dxa"/>
          </w:tcPr>
          <w:p w14:paraId="7327BAB1"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5632195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MDMB-58</w:t>
            </w:r>
          </w:p>
        </w:tc>
        <w:tc>
          <w:tcPr>
            <w:tcW w:w="1463" w:type="dxa"/>
            <w:vAlign w:val="bottom"/>
          </w:tcPr>
          <w:p w14:paraId="5B027D4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-27.71 ± 0.01</w:t>
            </w:r>
          </w:p>
        </w:tc>
        <w:tc>
          <w:tcPr>
            <w:tcW w:w="1463" w:type="dxa"/>
            <w:vAlign w:val="bottom"/>
          </w:tcPr>
          <w:p w14:paraId="098C53B4"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3.63 ± 0.18</w:t>
            </w:r>
          </w:p>
        </w:tc>
      </w:tr>
      <w:tr w:rsidR="00EA4B3C" w:rsidRPr="009A0A0F" w14:paraId="469FD17F"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5F38187A"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MDMB-28</w:t>
            </w:r>
          </w:p>
        </w:tc>
        <w:tc>
          <w:tcPr>
            <w:tcW w:w="1463" w:type="dxa"/>
            <w:shd w:val="clear" w:color="auto" w:fill="auto"/>
            <w:noWrap/>
            <w:vAlign w:val="bottom"/>
          </w:tcPr>
          <w:p w14:paraId="060FEF25"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-27.86 ± 0.01</w:t>
            </w:r>
          </w:p>
        </w:tc>
        <w:tc>
          <w:tcPr>
            <w:tcW w:w="1463" w:type="dxa"/>
            <w:shd w:val="clear" w:color="auto" w:fill="auto"/>
            <w:noWrap/>
            <w:vAlign w:val="bottom"/>
          </w:tcPr>
          <w:p w14:paraId="2C56045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3.58 ± 0.07</w:t>
            </w:r>
          </w:p>
        </w:tc>
        <w:tc>
          <w:tcPr>
            <w:tcW w:w="782" w:type="dxa"/>
          </w:tcPr>
          <w:p w14:paraId="7AF1ED73"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2E2F3F2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MDMB-59</w:t>
            </w:r>
          </w:p>
        </w:tc>
        <w:tc>
          <w:tcPr>
            <w:tcW w:w="1463" w:type="dxa"/>
            <w:vAlign w:val="bottom"/>
          </w:tcPr>
          <w:p w14:paraId="6597787D"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-27.67 ± 0.04</w:t>
            </w:r>
          </w:p>
        </w:tc>
        <w:tc>
          <w:tcPr>
            <w:tcW w:w="1463" w:type="dxa"/>
            <w:vAlign w:val="bottom"/>
          </w:tcPr>
          <w:p w14:paraId="7EF636C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3.66 ± 0.04</w:t>
            </w:r>
          </w:p>
        </w:tc>
      </w:tr>
      <w:tr w:rsidR="00EA4B3C" w:rsidRPr="009A0A0F" w14:paraId="0E0A8A3B"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7C34DC4F"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MDMB-29</w:t>
            </w:r>
          </w:p>
        </w:tc>
        <w:tc>
          <w:tcPr>
            <w:tcW w:w="1463" w:type="dxa"/>
            <w:shd w:val="clear" w:color="auto" w:fill="auto"/>
            <w:noWrap/>
            <w:vAlign w:val="bottom"/>
          </w:tcPr>
          <w:p w14:paraId="12F4C77A"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-27.86 ± 0.02</w:t>
            </w:r>
          </w:p>
        </w:tc>
        <w:tc>
          <w:tcPr>
            <w:tcW w:w="1463" w:type="dxa"/>
            <w:shd w:val="clear" w:color="auto" w:fill="auto"/>
            <w:noWrap/>
            <w:vAlign w:val="bottom"/>
          </w:tcPr>
          <w:p w14:paraId="539541B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3.62 ± 0.06</w:t>
            </w:r>
          </w:p>
        </w:tc>
        <w:tc>
          <w:tcPr>
            <w:tcW w:w="782" w:type="dxa"/>
          </w:tcPr>
          <w:p w14:paraId="20065A94"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2ECD9E7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MDMB-60</w:t>
            </w:r>
          </w:p>
        </w:tc>
        <w:tc>
          <w:tcPr>
            <w:tcW w:w="1463" w:type="dxa"/>
            <w:vAlign w:val="bottom"/>
          </w:tcPr>
          <w:p w14:paraId="2145AFCC"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-27.46 ± 0.03</w:t>
            </w:r>
          </w:p>
        </w:tc>
        <w:tc>
          <w:tcPr>
            <w:tcW w:w="1463" w:type="dxa"/>
            <w:vAlign w:val="bottom"/>
          </w:tcPr>
          <w:p w14:paraId="0975FA2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4.88 ± 0.08</w:t>
            </w:r>
          </w:p>
        </w:tc>
      </w:tr>
      <w:tr w:rsidR="00EA4B3C" w:rsidRPr="009A0A0F" w14:paraId="2AD9FAE7"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4565A7AA"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MDMB-30</w:t>
            </w:r>
          </w:p>
        </w:tc>
        <w:tc>
          <w:tcPr>
            <w:tcW w:w="1463" w:type="dxa"/>
            <w:shd w:val="clear" w:color="auto" w:fill="auto"/>
            <w:noWrap/>
            <w:vAlign w:val="bottom"/>
          </w:tcPr>
          <w:p w14:paraId="67DE015E"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-27.70 ± 0.01</w:t>
            </w:r>
          </w:p>
        </w:tc>
        <w:tc>
          <w:tcPr>
            <w:tcW w:w="1463" w:type="dxa"/>
            <w:shd w:val="clear" w:color="auto" w:fill="auto"/>
            <w:noWrap/>
            <w:vAlign w:val="bottom"/>
          </w:tcPr>
          <w:p w14:paraId="4AE76078"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3.49 ± 0.02</w:t>
            </w:r>
          </w:p>
        </w:tc>
        <w:tc>
          <w:tcPr>
            <w:tcW w:w="782" w:type="dxa"/>
          </w:tcPr>
          <w:p w14:paraId="296CB5F5"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vAlign w:val="bottom"/>
          </w:tcPr>
          <w:p w14:paraId="4A8D5417"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MDMB-61</w:t>
            </w:r>
          </w:p>
        </w:tc>
        <w:tc>
          <w:tcPr>
            <w:tcW w:w="1463" w:type="dxa"/>
            <w:vAlign w:val="bottom"/>
          </w:tcPr>
          <w:p w14:paraId="2ADFD943"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-27.04 ± 0.01</w:t>
            </w:r>
          </w:p>
        </w:tc>
        <w:tc>
          <w:tcPr>
            <w:tcW w:w="1463" w:type="dxa"/>
            <w:vAlign w:val="bottom"/>
          </w:tcPr>
          <w:p w14:paraId="689EB02F"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4.62 ± 0.04</w:t>
            </w:r>
          </w:p>
        </w:tc>
      </w:tr>
      <w:tr w:rsidR="00EA4B3C" w:rsidRPr="009A0A0F" w14:paraId="48043716" w14:textId="77777777" w:rsidTr="00EA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bottom"/>
          </w:tcPr>
          <w:p w14:paraId="077B451D" w14:textId="77777777" w:rsidR="00EA4B3C" w:rsidRPr="009A0A0F" w:rsidRDefault="00EA4B3C" w:rsidP="00F3279A">
            <w:pPr>
              <w:spacing w:line="240" w:lineRule="auto"/>
              <w:jc w:val="center"/>
              <w:rPr>
                <w:rFonts w:ascii="Calibri" w:hAnsi="Calibri"/>
                <w:color w:val="000000"/>
                <w:sz w:val="20"/>
              </w:rPr>
            </w:pPr>
            <w:r w:rsidRPr="009A0A0F">
              <w:rPr>
                <w:rFonts w:ascii="Calibri" w:hAnsi="Calibri"/>
                <w:color w:val="000000"/>
                <w:sz w:val="20"/>
              </w:rPr>
              <w:t>MDMB-31</w:t>
            </w:r>
          </w:p>
        </w:tc>
        <w:tc>
          <w:tcPr>
            <w:tcW w:w="1463" w:type="dxa"/>
            <w:shd w:val="clear" w:color="auto" w:fill="auto"/>
            <w:noWrap/>
            <w:vAlign w:val="bottom"/>
          </w:tcPr>
          <w:p w14:paraId="1F17312B"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-27.65 ± 0.03</w:t>
            </w:r>
          </w:p>
        </w:tc>
        <w:tc>
          <w:tcPr>
            <w:tcW w:w="1463" w:type="dxa"/>
            <w:shd w:val="clear" w:color="auto" w:fill="auto"/>
            <w:noWrap/>
            <w:vAlign w:val="bottom"/>
          </w:tcPr>
          <w:p w14:paraId="57C60AF9" w14:textId="77777777" w:rsidR="00EA4B3C" w:rsidRPr="009A0A0F" w:rsidRDefault="00EA4B3C" w:rsidP="00F3279A">
            <w:pPr>
              <w:spacing w:line="240" w:lineRule="auto"/>
              <w:jc w:val="center"/>
              <w:rPr>
                <w:rFonts w:ascii="Calibri" w:hAnsi="Calibri" w:cs="Calibri"/>
                <w:color w:val="000000"/>
                <w:sz w:val="20"/>
                <w:lang w:eastAsia="en-GB"/>
              </w:rPr>
            </w:pPr>
            <w:r w:rsidRPr="009A0A0F">
              <w:rPr>
                <w:rFonts w:ascii="Calibri" w:hAnsi="Calibri"/>
                <w:color w:val="000000"/>
                <w:sz w:val="20"/>
              </w:rPr>
              <w:t>3.49 ± 0.05</w:t>
            </w:r>
          </w:p>
        </w:tc>
        <w:tc>
          <w:tcPr>
            <w:tcW w:w="782" w:type="dxa"/>
          </w:tcPr>
          <w:p w14:paraId="639FCFD1" w14:textId="77777777" w:rsidR="00EA4B3C" w:rsidRPr="009A0A0F" w:rsidRDefault="00EA4B3C" w:rsidP="00F3279A">
            <w:pPr>
              <w:spacing w:line="240" w:lineRule="auto"/>
              <w:jc w:val="center"/>
              <w:rPr>
                <w:rFonts w:ascii="Calibri" w:hAnsi="Calibri" w:cs="Calibri"/>
                <w:color w:val="000000"/>
                <w:sz w:val="20"/>
                <w:lang w:eastAsia="en-GB"/>
              </w:rPr>
            </w:pPr>
          </w:p>
        </w:tc>
        <w:tc>
          <w:tcPr>
            <w:tcW w:w="1172" w:type="dxa"/>
          </w:tcPr>
          <w:p w14:paraId="04F46B35" w14:textId="77777777" w:rsidR="00EA4B3C" w:rsidRPr="009A0A0F" w:rsidRDefault="00EA4B3C" w:rsidP="00F3279A">
            <w:pPr>
              <w:spacing w:line="240" w:lineRule="auto"/>
              <w:jc w:val="center"/>
              <w:rPr>
                <w:rFonts w:ascii="Calibri" w:hAnsi="Calibri" w:cs="Calibri"/>
                <w:color w:val="000000"/>
                <w:sz w:val="20"/>
                <w:lang w:eastAsia="en-GB"/>
              </w:rPr>
            </w:pPr>
          </w:p>
        </w:tc>
        <w:tc>
          <w:tcPr>
            <w:tcW w:w="1463" w:type="dxa"/>
          </w:tcPr>
          <w:p w14:paraId="2FC18168" w14:textId="77777777" w:rsidR="00EA4B3C" w:rsidRPr="009A0A0F" w:rsidRDefault="00EA4B3C" w:rsidP="00F3279A">
            <w:pPr>
              <w:spacing w:line="240" w:lineRule="auto"/>
              <w:jc w:val="center"/>
              <w:rPr>
                <w:rFonts w:ascii="Calibri" w:hAnsi="Calibri" w:cs="Calibri"/>
                <w:color w:val="000000"/>
                <w:sz w:val="20"/>
                <w:lang w:eastAsia="en-GB"/>
              </w:rPr>
            </w:pPr>
          </w:p>
        </w:tc>
        <w:tc>
          <w:tcPr>
            <w:tcW w:w="1463" w:type="dxa"/>
          </w:tcPr>
          <w:p w14:paraId="2D8E529E" w14:textId="77777777" w:rsidR="00EA4B3C" w:rsidRPr="009A0A0F" w:rsidRDefault="00EA4B3C" w:rsidP="00F3279A">
            <w:pPr>
              <w:spacing w:line="240" w:lineRule="auto"/>
              <w:jc w:val="center"/>
              <w:rPr>
                <w:rFonts w:ascii="Calibri" w:hAnsi="Calibri" w:cs="Calibri"/>
                <w:color w:val="000000"/>
                <w:sz w:val="20"/>
                <w:lang w:eastAsia="en-GB"/>
              </w:rPr>
            </w:pPr>
          </w:p>
        </w:tc>
      </w:tr>
    </w:tbl>
    <w:p w14:paraId="6165B9A1" w14:textId="605BA95B" w:rsidR="00EA4B3C" w:rsidRPr="009A0A0F" w:rsidRDefault="00EA4B3C" w:rsidP="00F3279A">
      <w:pPr>
        <w:spacing w:line="240" w:lineRule="auto"/>
      </w:pPr>
    </w:p>
    <w:p w14:paraId="324254D7" w14:textId="77777777" w:rsidR="00F3279A" w:rsidRDefault="00F3279A">
      <w:pPr>
        <w:spacing w:line="240" w:lineRule="auto"/>
        <w:jc w:val="left"/>
        <w:rPr>
          <w:b/>
          <w:bCs/>
          <w:sz w:val="18"/>
        </w:rPr>
      </w:pPr>
      <w:r>
        <w:br w:type="page"/>
      </w:r>
    </w:p>
    <w:p w14:paraId="377CF9E0" w14:textId="25686DA0" w:rsidR="009B17E7" w:rsidRPr="009A0A0F" w:rsidRDefault="009B17E7" w:rsidP="00F3279A">
      <w:pPr>
        <w:pStyle w:val="Beschriftung"/>
      </w:pPr>
      <w:r w:rsidRPr="009A0A0F">
        <w:lastRenderedPageBreak/>
        <w:t xml:space="preserve">Table </w:t>
      </w:r>
      <w:r w:rsidR="00316646" w:rsidRPr="009A0A0F">
        <w:t>A.</w:t>
      </w:r>
      <w:r w:rsidR="009A0A0F" w:rsidRPr="009A0A0F">
        <w:t>2</w:t>
      </w:r>
      <w:r w:rsidRPr="009A0A0F">
        <w:t xml:space="preserve"> δ</w:t>
      </w:r>
      <w:r w:rsidRPr="009A0A0F">
        <w:rPr>
          <w:vertAlign w:val="superscript"/>
        </w:rPr>
        <w:t>13</w:t>
      </w:r>
      <w:r w:rsidRPr="009A0A0F">
        <w:t>C and δ</w:t>
      </w:r>
      <w:r w:rsidRPr="009A0A0F">
        <w:rPr>
          <w:vertAlign w:val="superscript"/>
        </w:rPr>
        <w:t>15</w:t>
      </w:r>
      <w:r w:rsidRPr="009A0A0F">
        <w:t>N values including standard deviation of triplicate measurements for one pure sample and all “Spice-Products” of Cumyl-PeGaClone</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63"/>
        <w:gridCol w:w="1463"/>
        <w:gridCol w:w="782"/>
        <w:gridCol w:w="1172"/>
        <w:gridCol w:w="1463"/>
        <w:gridCol w:w="1463"/>
      </w:tblGrid>
      <w:tr w:rsidR="00EA4B3C" w:rsidRPr="009A0A0F" w14:paraId="540B81FE" w14:textId="5FCA3104" w:rsidTr="009B17E7">
        <w:trPr>
          <w:trHeight w:val="521"/>
        </w:trPr>
        <w:tc>
          <w:tcPr>
            <w:tcW w:w="1172" w:type="dxa"/>
            <w:tcBorders>
              <w:top w:val="nil"/>
              <w:left w:val="nil"/>
              <w:bottom w:val="nil"/>
              <w:right w:val="nil"/>
            </w:tcBorders>
            <w:shd w:val="clear" w:color="auto" w:fill="auto"/>
            <w:vAlign w:val="bottom"/>
          </w:tcPr>
          <w:p w14:paraId="14CACD3A" w14:textId="77777777" w:rsidR="00EA4B3C" w:rsidRPr="009A0A0F" w:rsidRDefault="00EA4B3C" w:rsidP="00F3279A">
            <w:pPr>
              <w:spacing w:line="240" w:lineRule="auto"/>
              <w:rPr>
                <w:sz w:val="20"/>
                <w:szCs w:val="18"/>
              </w:rPr>
            </w:pPr>
          </w:p>
        </w:tc>
        <w:tc>
          <w:tcPr>
            <w:tcW w:w="1463" w:type="dxa"/>
            <w:tcBorders>
              <w:top w:val="nil"/>
              <w:left w:val="nil"/>
              <w:bottom w:val="nil"/>
              <w:right w:val="nil"/>
            </w:tcBorders>
            <w:shd w:val="clear" w:color="auto" w:fill="auto"/>
          </w:tcPr>
          <w:p w14:paraId="432FDD8C" w14:textId="77777777" w:rsidR="00EA4B3C" w:rsidRPr="009A0A0F" w:rsidRDefault="00EA4B3C" w:rsidP="00F3279A">
            <w:pPr>
              <w:spacing w:line="240" w:lineRule="auto"/>
              <w:jc w:val="center"/>
              <w:rPr>
                <w:sz w:val="20"/>
                <w:szCs w:val="18"/>
                <w:lang w:val="en-US"/>
              </w:rPr>
            </w:pPr>
            <w:r w:rsidRPr="009A0A0F">
              <w:rPr>
                <w:sz w:val="20"/>
                <w:szCs w:val="18"/>
              </w:rPr>
              <w:t>δ</w:t>
            </w:r>
            <w:r w:rsidRPr="009A0A0F">
              <w:rPr>
                <w:sz w:val="20"/>
                <w:szCs w:val="18"/>
                <w:vertAlign w:val="superscript"/>
                <w:lang w:val="en-US"/>
              </w:rPr>
              <w:t>13</w:t>
            </w:r>
            <w:r w:rsidRPr="009A0A0F">
              <w:rPr>
                <w:sz w:val="20"/>
                <w:szCs w:val="18"/>
                <w:lang w:val="en-US"/>
              </w:rPr>
              <w:t>C</w:t>
            </w:r>
            <w:r w:rsidRPr="009A0A0F">
              <w:rPr>
                <w:sz w:val="20"/>
                <w:szCs w:val="18"/>
                <w:vertAlign w:val="subscript"/>
                <w:lang w:val="en-US"/>
              </w:rPr>
              <w:t>V-PDB</w:t>
            </w:r>
            <w:r w:rsidRPr="009A0A0F">
              <w:rPr>
                <w:sz w:val="20"/>
                <w:szCs w:val="18"/>
                <w:lang w:val="en-US"/>
              </w:rPr>
              <w:t>[‰]</w:t>
            </w:r>
          </w:p>
          <w:p w14:paraId="1E531589" w14:textId="77777777" w:rsidR="00EA4B3C" w:rsidRPr="009A0A0F" w:rsidRDefault="00EA4B3C" w:rsidP="00F3279A">
            <w:pPr>
              <w:spacing w:line="240" w:lineRule="auto"/>
              <w:jc w:val="center"/>
              <w:rPr>
                <w:sz w:val="20"/>
                <w:szCs w:val="18"/>
              </w:rPr>
            </w:pPr>
            <w:r w:rsidRPr="009A0A0F">
              <w:rPr>
                <w:sz w:val="20"/>
                <w:szCs w:val="18"/>
                <w:lang w:val="en-US"/>
              </w:rPr>
              <w:t>average ± STD</w:t>
            </w:r>
          </w:p>
        </w:tc>
        <w:tc>
          <w:tcPr>
            <w:tcW w:w="1463" w:type="dxa"/>
            <w:tcBorders>
              <w:top w:val="nil"/>
              <w:left w:val="nil"/>
              <w:bottom w:val="nil"/>
              <w:right w:val="nil"/>
            </w:tcBorders>
            <w:shd w:val="clear" w:color="auto" w:fill="auto"/>
          </w:tcPr>
          <w:p w14:paraId="746DDBCB" w14:textId="77777777" w:rsidR="00EA4B3C" w:rsidRPr="009A0A0F" w:rsidRDefault="00EA4B3C" w:rsidP="00F3279A">
            <w:pPr>
              <w:spacing w:line="240" w:lineRule="auto"/>
              <w:jc w:val="center"/>
              <w:rPr>
                <w:sz w:val="20"/>
                <w:szCs w:val="18"/>
                <w:lang w:val="en-US"/>
              </w:rPr>
            </w:pPr>
            <w:r w:rsidRPr="009A0A0F">
              <w:rPr>
                <w:sz w:val="20"/>
                <w:szCs w:val="18"/>
              </w:rPr>
              <w:t>δ</w:t>
            </w:r>
            <w:r w:rsidRPr="009A0A0F">
              <w:rPr>
                <w:sz w:val="20"/>
                <w:szCs w:val="18"/>
                <w:vertAlign w:val="superscript"/>
                <w:lang w:val="en-US"/>
              </w:rPr>
              <w:t>15</w:t>
            </w:r>
            <w:r w:rsidRPr="009A0A0F">
              <w:rPr>
                <w:sz w:val="20"/>
                <w:szCs w:val="18"/>
                <w:lang w:val="en-US"/>
              </w:rPr>
              <w:t>N</w:t>
            </w:r>
            <w:r w:rsidRPr="009A0A0F">
              <w:rPr>
                <w:sz w:val="20"/>
                <w:szCs w:val="18"/>
                <w:vertAlign w:val="subscript"/>
                <w:lang w:val="en-US"/>
              </w:rPr>
              <w:t>AIR</w:t>
            </w:r>
            <w:r w:rsidRPr="009A0A0F">
              <w:rPr>
                <w:sz w:val="20"/>
                <w:szCs w:val="18"/>
                <w:lang w:val="en-US"/>
              </w:rPr>
              <w:t>[‰]</w:t>
            </w:r>
          </w:p>
          <w:p w14:paraId="3595EF56" w14:textId="77777777" w:rsidR="00EA4B3C" w:rsidRPr="009A0A0F" w:rsidRDefault="00EA4B3C" w:rsidP="00F3279A">
            <w:pPr>
              <w:spacing w:line="240" w:lineRule="auto"/>
              <w:jc w:val="center"/>
              <w:rPr>
                <w:sz w:val="20"/>
                <w:szCs w:val="18"/>
              </w:rPr>
            </w:pPr>
            <w:r w:rsidRPr="009A0A0F">
              <w:rPr>
                <w:sz w:val="20"/>
                <w:szCs w:val="18"/>
                <w:lang w:val="en-US"/>
              </w:rPr>
              <w:t>average ± STD</w:t>
            </w:r>
          </w:p>
        </w:tc>
        <w:tc>
          <w:tcPr>
            <w:tcW w:w="782" w:type="dxa"/>
            <w:tcBorders>
              <w:top w:val="nil"/>
              <w:left w:val="nil"/>
              <w:bottom w:val="nil"/>
              <w:right w:val="nil"/>
            </w:tcBorders>
          </w:tcPr>
          <w:p w14:paraId="5D58D602" w14:textId="77777777" w:rsidR="00EA4B3C" w:rsidRPr="009A0A0F" w:rsidRDefault="00EA4B3C" w:rsidP="00F3279A">
            <w:pPr>
              <w:spacing w:line="240" w:lineRule="auto"/>
              <w:jc w:val="center"/>
              <w:rPr>
                <w:sz w:val="20"/>
                <w:szCs w:val="18"/>
              </w:rPr>
            </w:pPr>
          </w:p>
        </w:tc>
        <w:tc>
          <w:tcPr>
            <w:tcW w:w="1172" w:type="dxa"/>
            <w:tcBorders>
              <w:top w:val="nil"/>
              <w:left w:val="nil"/>
              <w:bottom w:val="nil"/>
              <w:right w:val="nil"/>
            </w:tcBorders>
          </w:tcPr>
          <w:p w14:paraId="36D7F04F" w14:textId="77777777" w:rsidR="00EA4B3C" w:rsidRPr="009A0A0F" w:rsidRDefault="00EA4B3C" w:rsidP="00F3279A">
            <w:pPr>
              <w:spacing w:line="240" w:lineRule="auto"/>
              <w:jc w:val="center"/>
              <w:rPr>
                <w:sz w:val="20"/>
                <w:szCs w:val="18"/>
              </w:rPr>
            </w:pPr>
          </w:p>
        </w:tc>
        <w:tc>
          <w:tcPr>
            <w:tcW w:w="1463" w:type="dxa"/>
            <w:tcBorders>
              <w:top w:val="nil"/>
              <w:left w:val="nil"/>
              <w:bottom w:val="nil"/>
              <w:right w:val="nil"/>
            </w:tcBorders>
          </w:tcPr>
          <w:p w14:paraId="0097B7DC" w14:textId="77777777" w:rsidR="00EA4B3C" w:rsidRPr="009A0A0F" w:rsidRDefault="00EA4B3C" w:rsidP="00F3279A">
            <w:pPr>
              <w:spacing w:line="240" w:lineRule="auto"/>
              <w:jc w:val="center"/>
              <w:rPr>
                <w:sz w:val="20"/>
                <w:szCs w:val="18"/>
                <w:lang w:val="en-US"/>
              </w:rPr>
            </w:pPr>
            <w:r w:rsidRPr="009A0A0F">
              <w:rPr>
                <w:sz w:val="20"/>
                <w:szCs w:val="18"/>
              </w:rPr>
              <w:t>δ</w:t>
            </w:r>
            <w:r w:rsidRPr="009A0A0F">
              <w:rPr>
                <w:sz w:val="20"/>
                <w:szCs w:val="18"/>
                <w:vertAlign w:val="superscript"/>
                <w:lang w:val="en-US"/>
              </w:rPr>
              <w:t>13</w:t>
            </w:r>
            <w:r w:rsidRPr="009A0A0F">
              <w:rPr>
                <w:sz w:val="20"/>
                <w:szCs w:val="18"/>
                <w:lang w:val="en-US"/>
              </w:rPr>
              <w:t>C</w:t>
            </w:r>
            <w:r w:rsidRPr="009A0A0F">
              <w:rPr>
                <w:sz w:val="20"/>
                <w:szCs w:val="18"/>
                <w:vertAlign w:val="subscript"/>
                <w:lang w:val="en-US"/>
              </w:rPr>
              <w:t>V-PDB</w:t>
            </w:r>
            <w:r w:rsidRPr="009A0A0F">
              <w:rPr>
                <w:sz w:val="20"/>
                <w:szCs w:val="18"/>
                <w:lang w:val="en-US"/>
              </w:rPr>
              <w:t>[‰]</w:t>
            </w:r>
          </w:p>
          <w:p w14:paraId="36D8435E" w14:textId="57752C51" w:rsidR="00EA4B3C" w:rsidRPr="009A0A0F" w:rsidRDefault="00EA4B3C" w:rsidP="00F3279A">
            <w:pPr>
              <w:spacing w:line="240" w:lineRule="auto"/>
              <w:jc w:val="center"/>
              <w:rPr>
                <w:sz w:val="20"/>
                <w:szCs w:val="18"/>
              </w:rPr>
            </w:pPr>
            <w:r w:rsidRPr="009A0A0F">
              <w:rPr>
                <w:sz w:val="20"/>
                <w:szCs w:val="18"/>
                <w:lang w:val="en-US"/>
              </w:rPr>
              <w:t>average ± STD</w:t>
            </w:r>
          </w:p>
        </w:tc>
        <w:tc>
          <w:tcPr>
            <w:tcW w:w="1463" w:type="dxa"/>
            <w:tcBorders>
              <w:top w:val="nil"/>
              <w:left w:val="nil"/>
              <w:bottom w:val="nil"/>
              <w:right w:val="nil"/>
            </w:tcBorders>
          </w:tcPr>
          <w:p w14:paraId="4531FE83" w14:textId="77777777" w:rsidR="00EA4B3C" w:rsidRPr="009A0A0F" w:rsidRDefault="00EA4B3C" w:rsidP="00F3279A">
            <w:pPr>
              <w:spacing w:line="240" w:lineRule="auto"/>
              <w:jc w:val="center"/>
              <w:rPr>
                <w:sz w:val="20"/>
                <w:szCs w:val="18"/>
                <w:lang w:val="en-US"/>
              </w:rPr>
            </w:pPr>
            <w:r w:rsidRPr="009A0A0F">
              <w:rPr>
                <w:sz w:val="20"/>
                <w:szCs w:val="18"/>
              </w:rPr>
              <w:t>δ</w:t>
            </w:r>
            <w:r w:rsidRPr="009A0A0F">
              <w:rPr>
                <w:sz w:val="20"/>
                <w:szCs w:val="18"/>
                <w:vertAlign w:val="superscript"/>
                <w:lang w:val="en-US"/>
              </w:rPr>
              <w:t>15</w:t>
            </w:r>
            <w:r w:rsidRPr="009A0A0F">
              <w:rPr>
                <w:sz w:val="20"/>
                <w:szCs w:val="18"/>
                <w:lang w:val="en-US"/>
              </w:rPr>
              <w:t>N</w:t>
            </w:r>
            <w:r w:rsidRPr="009A0A0F">
              <w:rPr>
                <w:sz w:val="20"/>
                <w:szCs w:val="18"/>
                <w:vertAlign w:val="subscript"/>
                <w:lang w:val="en-US"/>
              </w:rPr>
              <w:t>AIR</w:t>
            </w:r>
            <w:r w:rsidRPr="009A0A0F">
              <w:rPr>
                <w:sz w:val="20"/>
                <w:szCs w:val="18"/>
                <w:lang w:val="en-US"/>
              </w:rPr>
              <w:t>[‰]</w:t>
            </w:r>
          </w:p>
          <w:p w14:paraId="6AC7532C" w14:textId="29FDB9CA" w:rsidR="00EA4B3C" w:rsidRPr="009A0A0F" w:rsidRDefault="00EA4B3C" w:rsidP="00F3279A">
            <w:pPr>
              <w:spacing w:line="240" w:lineRule="auto"/>
              <w:jc w:val="center"/>
              <w:rPr>
                <w:sz w:val="20"/>
                <w:szCs w:val="18"/>
              </w:rPr>
            </w:pPr>
            <w:r w:rsidRPr="009A0A0F">
              <w:rPr>
                <w:sz w:val="20"/>
                <w:szCs w:val="18"/>
                <w:lang w:val="en-US"/>
              </w:rPr>
              <w:t>average ± STD</w:t>
            </w:r>
          </w:p>
        </w:tc>
      </w:tr>
      <w:tr w:rsidR="00EA4B3C" w:rsidRPr="009A0A0F" w14:paraId="0BBF397A" w14:textId="7BCEAE53" w:rsidTr="009B17E7">
        <w:trPr>
          <w:trHeight w:val="108"/>
        </w:trPr>
        <w:tc>
          <w:tcPr>
            <w:tcW w:w="1172" w:type="dxa"/>
            <w:tcBorders>
              <w:top w:val="nil"/>
              <w:left w:val="nil"/>
              <w:bottom w:val="nil"/>
              <w:right w:val="nil"/>
            </w:tcBorders>
            <w:shd w:val="clear" w:color="auto" w:fill="auto"/>
            <w:vAlign w:val="center"/>
          </w:tcPr>
          <w:p w14:paraId="5886DF9D" w14:textId="77777777" w:rsidR="00EA4B3C" w:rsidRPr="009A0A0F" w:rsidRDefault="00EA4B3C" w:rsidP="00F3279A">
            <w:pPr>
              <w:spacing w:line="240" w:lineRule="auto"/>
              <w:jc w:val="center"/>
              <w:rPr>
                <w:sz w:val="20"/>
                <w:szCs w:val="18"/>
              </w:rPr>
            </w:pPr>
            <w:r w:rsidRPr="009A0A0F">
              <w:rPr>
                <w:rFonts w:ascii="Calibri" w:hAnsi="Calibri" w:cs="Calibri"/>
                <w:color w:val="000000"/>
                <w:sz w:val="20"/>
                <w:szCs w:val="18"/>
              </w:rPr>
              <w:t>Peg-01</w:t>
            </w:r>
          </w:p>
        </w:tc>
        <w:tc>
          <w:tcPr>
            <w:tcW w:w="1463" w:type="dxa"/>
            <w:tcBorders>
              <w:top w:val="nil"/>
              <w:left w:val="nil"/>
              <w:bottom w:val="nil"/>
              <w:right w:val="nil"/>
            </w:tcBorders>
            <w:shd w:val="clear" w:color="auto" w:fill="auto"/>
            <w:vAlign w:val="center"/>
          </w:tcPr>
          <w:p w14:paraId="493D6AEB" w14:textId="77777777" w:rsidR="00EA4B3C" w:rsidRPr="009A0A0F" w:rsidRDefault="00EA4B3C" w:rsidP="00F3279A">
            <w:pPr>
              <w:spacing w:line="240" w:lineRule="auto"/>
              <w:jc w:val="center"/>
              <w:rPr>
                <w:color w:val="000000"/>
                <w:sz w:val="20"/>
                <w:szCs w:val="18"/>
              </w:rPr>
            </w:pPr>
            <w:r w:rsidRPr="009A0A0F">
              <w:rPr>
                <w:rFonts w:ascii="Calibri" w:hAnsi="Calibri" w:cs="Calibri"/>
                <w:color w:val="000000"/>
                <w:sz w:val="20"/>
                <w:szCs w:val="18"/>
              </w:rPr>
              <w:t>-34.65 ± 0.09</w:t>
            </w:r>
          </w:p>
        </w:tc>
        <w:tc>
          <w:tcPr>
            <w:tcW w:w="1463" w:type="dxa"/>
            <w:tcBorders>
              <w:top w:val="nil"/>
              <w:left w:val="nil"/>
              <w:bottom w:val="nil"/>
              <w:right w:val="nil"/>
            </w:tcBorders>
            <w:shd w:val="clear" w:color="auto" w:fill="auto"/>
            <w:vAlign w:val="center"/>
          </w:tcPr>
          <w:p w14:paraId="543B8DE4" w14:textId="77777777" w:rsidR="00EA4B3C" w:rsidRPr="009A0A0F" w:rsidRDefault="00EA4B3C" w:rsidP="00F3279A">
            <w:pPr>
              <w:spacing w:line="240" w:lineRule="auto"/>
              <w:jc w:val="center"/>
              <w:rPr>
                <w:color w:val="000000"/>
                <w:sz w:val="20"/>
                <w:szCs w:val="18"/>
              </w:rPr>
            </w:pPr>
            <w:r w:rsidRPr="009A0A0F">
              <w:rPr>
                <w:rFonts w:ascii="Calibri" w:hAnsi="Calibri" w:cs="Calibri"/>
                <w:color w:val="000000"/>
                <w:sz w:val="20"/>
                <w:szCs w:val="18"/>
              </w:rPr>
              <w:t>-11.83 ± 0.05</w:t>
            </w:r>
          </w:p>
        </w:tc>
        <w:tc>
          <w:tcPr>
            <w:tcW w:w="782" w:type="dxa"/>
            <w:tcBorders>
              <w:top w:val="nil"/>
              <w:left w:val="nil"/>
              <w:bottom w:val="nil"/>
              <w:right w:val="nil"/>
            </w:tcBorders>
          </w:tcPr>
          <w:p w14:paraId="70E616D5" w14:textId="77777777" w:rsidR="00EA4B3C" w:rsidRPr="009A0A0F" w:rsidRDefault="00EA4B3C" w:rsidP="00F3279A">
            <w:pPr>
              <w:spacing w:line="240" w:lineRule="auto"/>
              <w:jc w:val="center"/>
              <w:rPr>
                <w:rFonts w:ascii="Calibri" w:hAnsi="Calibri" w:cs="Calibri"/>
                <w:color w:val="000000"/>
                <w:sz w:val="20"/>
                <w:szCs w:val="18"/>
              </w:rPr>
            </w:pPr>
          </w:p>
        </w:tc>
        <w:tc>
          <w:tcPr>
            <w:tcW w:w="1172" w:type="dxa"/>
            <w:tcBorders>
              <w:top w:val="nil"/>
              <w:left w:val="nil"/>
              <w:bottom w:val="nil"/>
              <w:right w:val="nil"/>
            </w:tcBorders>
            <w:vAlign w:val="center"/>
          </w:tcPr>
          <w:p w14:paraId="29CC761B" w14:textId="15BF248D"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lang w:eastAsia="en-GB"/>
              </w:rPr>
              <w:t>SP_Peg-16</w:t>
            </w:r>
          </w:p>
        </w:tc>
        <w:tc>
          <w:tcPr>
            <w:tcW w:w="1463" w:type="dxa"/>
            <w:tcBorders>
              <w:top w:val="nil"/>
              <w:left w:val="nil"/>
              <w:bottom w:val="nil"/>
              <w:right w:val="nil"/>
            </w:tcBorders>
            <w:vAlign w:val="center"/>
          </w:tcPr>
          <w:p w14:paraId="2B291908" w14:textId="60EA02D9"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lang w:eastAsia="en-GB"/>
              </w:rPr>
              <w:t>-34.73 ± 0.19</w:t>
            </w:r>
          </w:p>
        </w:tc>
        <w:tc>
          <w:tcPr>
            <w:tcW w:w="1463" w:type="dxa"/>
            <w:tcBorders>
              <w:top w:val="nil"/>
              <w:left w:val="nil"/>
              <w:bottom w:val="nil"/>
              <w:right w:val="nil"/>
            </w:tcBorders>
            <w:vAlign w:val="center"/>
          </w:tcPr>
          <w:p w14:paraId="4302A35C" w14:textId="0C7C1F91"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lang w:eastAsia="en-GB"/>
              </w:rPr>
              <w:t>-10.80 ± 0.12</w:t>
            </w:r>
          </w:p>
        </w:tc>
      </w:tr>
      <w:tr w:rsidR="00EA4B3C" w:rsidRPr="009A0A0F" w14:paraId="48F657A4" w14:textId="5741C7FA" w:rsidTr="009B17E7">
        <w:trPr>
          <w:trHeight w:val="227"/>
        </w:trPr>
        <w:tc>
          <w:tcPr>
            <w:tcW w:w="1172" w:type="dxa"/>
            <w:tcBorders>
              <w:top w:val="nil"/>
              <w:left w:val="nil"/>
              <w:bottom w:val="nil"/>
              <w:right w:val="nil"/>
            </w:tcBorders>
            <w:shd w:val="clear" w:color="auto" w:fill="auto"/>
            <w:vAlign w:val="center"/>
          </w:tcPr>
          <w:p w14:paraId="420CA209" w14:textId="77777777"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rPr>
              <w:t>SP_Peg-01</w:t>
            </w:r>
          </w:p>
        </w:tc>
        <w:tc>
          <w:tcPr>
            <w:tcW w:w="1463" w:type="dxa"/>
            <w:tcBorders>
              <w:top w:val="nil"/>
              <w:left w:val="nil"/>
              <w:bottom w:val="nil"/>
              <w:right w:val="nil"/>
            </w:tcBorders>
            <w:shd w:val="clear" w:color="auto" w:fill="auto"/>
            <w:vAlign w:val="center"/>
          </w:tcPr>
          <w:p w14:paraId="79B10D41" w14:textId="77777777"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rPr>
              <w:t>-34.21 ± 0.01</w:t>
            </w:r>
          </w:p>
        </w:tc>
        <w:tc>
          <w:tcPr>
            <w:tcW w:w="1463" w:type="dxa"/>
            <w:tcBorders>
              <w:top w:val="nil"/>
              <w:left w:val="nil"/>
              <w:bottom w:val="nil"/>
              <w:right w:val="nil"/>
            </w:tcBorders>
            <w:shd w:val="clear" w:color="auto" w:fill="auto"/>
            <w:vAlign w:val="center"/>
          </w:tcPr>
          <w:p w14:paraId="18567C96" w14:textId="77777777"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rPr>
              <w:t>-12.69 ± 0.07</w:t>
            </w:r>
          </w:p>
        </w:tc>
        <w:tc>
          <w:tcPr>
            <w:tcW w:w="782" w:type="dxa"/>
            <w:tcBorders>
              <w:top w:val="nil"/>
              <w:left w:val="nil"/>
              <w:bottom w:val="nil"/>
              <w:right w:val="nil"/>
            </w:tcBorders>
          </w:tcPr>
          <w:p w14:paraId="0F648BAC" w14:textId="77777777" w:rsidR="00EA4B3C" w:rsidRPr="009A0A0F" w:rsidRDefault="00EA4B3C" w:rsidP="00F3279A">
            <w:pPr>
              <w:spacing w:line="240" w:lineRule="auto"/>
              <w:jc w:val="center"/>
              <w:rPr>
                <w:rFonts w:ascii="Calibri" w:hAnsi="Calibri" w:cs="Calibri"/>
                <w:color w:val="000000"/>
                <w:sz w:val="20"/>
                <w:szCs w:val="18"/>
              </w:rPr>
            </w:pPr>
          </w:p>
        </w:tc>
        <w:tc>
          <w:tcPr>
            <w:tcW w:w="1172" w:type="dxa"/>
            <w:tcBorders>
              <w:top w:val="nil"/>
              <w:left w:val="nil"/>
              <w:bottom w:val="nil"/>
              <w:right w:val="nil"/>
            </w:tcBorders>
            <w:vAlign w:val="center"/>
          </w:tcPr>
          <w:p w14:paraId="4088ED81" w14:textId="10D3C443"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lang w:eastAsia="en-GB"/>
              </w:rPr>
              <w:t>SP_Peg-17</w:t>
            </w:r>
          </w:p>
        </w:tc>
        <w:tc>
          <w:tcPr>
            <w:tcW w:w="1463" w:type="dxa"/>
            <w:tcBorders>
              <w:top w:val="nil"/>
              <w:left w:val="nil"/>
              <w:bottom w:val="nil"/>
              <w:right w:val="nil"/>
            </w:tcBorders>
            <w:vAlign w:val="center"/>
          </w:tcPr>
          <w:p w14:paraId="6264607E" w14:textId="271CF5DD"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lang w:eastAsia="en-GB"/>
              </w:rPr>
              <w:t>-34.74 ± 0.03</w:t>
            </w:r>
          </w:p>
        </w:tc>
        <w:tc>
          <w:tcPr>
            <w:tcW w:w="1463" w:type="dxa"/>
            <w:tcBorders>
              <w:top w:val="nil"/>
              <w:left w:val="nil"/>
              <w:bottom w:val="nil"/>
              <w:right w:val="nil"/>
            </w:tcBorders>
            <w:vAlign w:val="center"/>
          </w:tcPr>
          <w:p w14:paraId="11A1AD92" w14:textId="1D10E99E" w:rsidR="00EA4B3C" w:rsidRPr="009A0A0F" w:rsidRDefault="00EA4B3C" w:rsidP="00F3279A">
            <w:pPr>
              <w:spacing w:line="240" w:lineRule="auto"/>
              <w:jc w:val="center"/>
              <w:rPr>
                <w:rFonts w:ascii="Calibri" w:hAnsi="Calibri" w:cs="Calibri"/>
                <w:color w:val="000000"/>
                <w:sz w:val="20"/>
                <w:szCs w:val="18"/>
              </w:rPr>
            </w:pPr>
            <w:r w:rsidRPr="009A0A0F">
              <w:rPr>
                <w:rFonts w:ascii="Calibri" w:hAnsi="Calibri" w:cs="Calibri"/>
                <w:color w:val="000000"/>
                <w:sz w:val="20"/>
                <w:szCs w:val="18"/>
                <w:lang w:eastAsia="en-GB"/>
              </w:rPr>
              <w:t>-10.91 ± 0.01</w:t>
            </w:r>
          </w:p>
        </w:tc>
      </w:tr>
      <w:tr w:rsidR="00EA4B3C" w:rsidRPr="009A0A0F" w14:paraId="7E799049" w14:textId="028C7529"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2D8CFD8E"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SP_Peg-02</w:t>
            </w:r>
          </w:p>
        </w:tc>
        <w:tc>
          <w:tcPr>
            <w:tcW w:w="1463" w:type="dxa"/>
            <w:shd w:val="clear" w:color="auto" w:fill="auto"/>
            <w:noWrap/>
            <w:vAlign w:val="center"/>
            <w:hideMark/>
          </w:tcPr>
          <w:p w14:paraId="14E7F54C"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-34.23 ± 0.27</w:t>
            </w:r>
          </w:p>
        </w:tc>
        <w:tc>
          <w:tcPr>
            <w:tcW w:w="1463" w:type="dxa"/>
            <w:shd w:val="clear" w:color="auto" w:fill="auto"/>
            <w:noWrap/>
            <w:vAlign w:val="center"/>
            <w:hideMark/>
          </w:tcPr>
          <w:p w14:paraId="21BA2DBE"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-12.70 ± 0.22</w:t>
            </w:r>
          </w:p>
        </w:tc>
        <w:tc>
          <w:tcPr>
            <w:tcW w:w="782" w:type="dxa"/>
          </w:tcPr>
          <w:p w14:paraId="36BCC3FE"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50B4C6BF" w14:textId="2CDF0D1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SP_Peg-18</w:t>
            </w:r>
          </w:p>
        </w:tc>
        <w:tc>
          <w:tcPr>
            <w:tcW w:w="1463" w:type="dxa"/>
            <w:vAlign w:val="center"/>
          </w:tcPr>
          <w:p w14:paraId="2C2FED41" w14:textId="040527A3"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-34.98 ± 0.21</w:t>
            </w:r>
          </w:p>
        </w:tc>
        <w:tc>
          <w:tcPr>
            <w:tcW w:w="1463" w:type="dxa"/>
            <w:vAlign w:val="center"/>
          </w:tcPr>
          <w:p w14:paraId="6177656F" w14:textId="54CE3F40"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-10.87 ± 0.11</w:t>
            </w:r>
          </w:p>
        </w:tc>
      </w:tr>
      <w:tr w:rsidR="00EA4B3C" w:rsidRPr="009A0A0F" w14:paraId="4D46C544" w14:textId="3C7B2E5D"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18A13E8D"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SP_Peg-03</w:t>
            </w:r>
          </w:p>
        </w:tc>
        <w:tc>
          <w:tcPr>
            <w:tcW w:w="1463" w:type="dxa"/>
            <w:shd w:val="clear" w:color="auto" w:fill="auto"/>
            <w:noWrap/>
            <w:vAlign w:val="center"/>
            <w:hideMark/>
          </w:tcPr>
          <w:p w14:paraId="7CE96EC7"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-34.69 ± 0.16</w:t>
            </w:r>
          </w:p>
        </w:tc>
        <w:tc>
          <w:tcPr>
            <w:tcW w:w="1463" w:type="dxa"/>
            <w:shd w:val="clear" w:color="auto" w:fill="auto"/>
            <w:noWrap/>
            <w:vAlign w:val="center"/>
            <w:hideMark/>
          </w:tcPr>
          <w:p w14:paraId="224BB40B"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-10.54 ± 0.12</w:t>
            </w:r>
          </w:p>
        </w:tc>
        <w:tc>
          <w:tcPr>
            <w:tcW w:w="782" w:type="dxa"/>
          </w:tcPr>
          <w:p w14:paraId="5DC32F5A"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2E56D7F6" w14:textId="075D6C7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SP_Peg-19</w:t>
            </w:r>
          </w:p>
        </w:tc>
        <w:tc>
          <w:tcPr>
            <w:tcW w:w="1463" w:type="dxa"/>
            <w:vAlign w:val="center"/>
          </w:tcPr>
          <w:p w14:paraId="30158951" w14:textId="2615FE00"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-34.64 ± 0.01</w:t>
            </w:r>
          </w:p>
        </w:tc>
        <w:tc>
          <w:tcPr>
            <w:tcW w:w="1463" w:type="dxa"/>
            <w:vAlign w:val="center"/>
          </w:tcPr>
          <w:p w14:paraId="5CAE8ADD" w14:textId="34BDFC66"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-10.56 ± 0.02</w:t>
            </w:r>
          </w:p>
        </w:tc>
      </w:tr>
      <w:tr w:rsidR="00EA4B3C" w:rsidRPr="009A0A0F" w14:paraId="22482BDC" w14:textId="2F121B66"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2F0A8F2E"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SP_Peg-04</w:t>
            </w:r>
          </w:p>
        </w:tc>
        <w:tc>
          <w:tcPr>
            <w:tcW w:w="1463" w:type="dxa"/>
            <w:shd w:val="clear" w:color="auto" w:fill="auto"/>
            <w:noWrap/>
            <w:vAlign w:val="center"/>
            <w:hideMark/>
          </w:tcPr>
          <w:p w14:paraId="4323AA82"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-34.43 ± 0.28</w:t>
            </w:r>
          </w:p>
        </w:tc>
        <w:tc>
          <w:tcPr>
            <w:tcW w:w="1463" w:type="dxa"/>
            <w:shd w:val="clear" w:color="auto" w:fill="auto"/>
            <w:noWrap/>
            <w:vAlign w:val="center"/>
            <w:hideMark/>
          </w:tcPr>
          <w:p w14:paraId="4A510C0D"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-10.77 ± 0.10</w:t>
            </w:r>
          </w:p>
        </w:tc>
        <w:tc>
          <w:tcPr>
            <w:tcW w:w="782" w:type="dxa"/>
          </w:tcPr>
          <w:p w14:paraId="29C20366"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4232CFB7" w14:textId="7788A9F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SP_Peg-20</w:t>
            </w:r>
          </w:p>
        </w:tc>
        <w:tc>
          <w:tcPr>
            <w:tcW w:w="1463" w:type="dxa"/>
            <w:vAlign w:val="center"/>
          </w:tcPr>
          <w:p w14:paraId="07957311" w14:textId="50ECA166"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-34.25 ± 0.03</w:t>
            </w:r>
          </w:p>
        </w:tc>
        <w:tc>
          <w:tcPr>
            <w:tcW w:w="1463" w:type="dxa"/>
            <w:vAlign w:val="center"/>
          </w:tcPr>
          <w:p w14:paraId="64B1ED19" w14:textId="20F8A2E5"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-12.58 ± 0.04</w:t>
            </w:r>
          </w:p>
        </w:tc>
      </w:tr>
      <w:tr w:rsidR="00EA4B3C" w:rsidRPr="009A0A0F" w14:paraId="23346080" w14:textId="18E1B825"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45C7684B"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SP_Peg-05</w:t>
            </w:r>
          </w:p>
        </w:tc>
        <w:tc>
          <w:tcPr>
            <w:tcW w:w="1463" w:type="dxa"/>
            <w:shd w:val="clear" w:color="auto" w:fill="auto"/>
            <w:noWrap/>
            <w:vAlign w:val="center"/>
            <w:hideMark/>
          </w:tcPr>
          <w:p w14:paraId="0DF8E921"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-34.39 ± 0.15</w:t>
            </w:r>
          </w:p>
        </w:tc>
        <w:tc>
          <w:tcPr>
            <w:tcW w:w="1463" w:type="dxa"/>
            <w:shd w:val="clear" w:color="auto" w:fill="auto"/>
            <w:noWrap/>
            <w:vAlign w:val="center"/>
            <w:hideMark/>
          </w:tcPr>
          <w:p w14:paraId="21144F56"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-10.34 ± 0.02</w:t>
            </w:r>
          </w:p>
        </w:tc>
        <w:tc>
          <w:tcPr>
            <w:tcW w:w="782" w:type="dxa"/>
          </w:tcPr>
          <w:p w14:paraId="5F478E2E"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602C7817" w14:textId="7D8DE0B0"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SP_Peg-21</w:t>
            </w:r>
          </w:p>
        </w:tc>
        <w:tc>
          <w:tcPr>
            <w:tcW w:w="1463" w:type="dxa"/>
            <w:vAlign w:val="center"/>
          </w:tcPr>
          <w:p w14:paraId="4BBDB587" w14:textId="46F1B44D"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-34.89 ± 0.08</w:t>
            </w:r>
          </w:p>
        </w:tc>
        <w:tc>
          <w:tcPr>
            <w:tcW w:w="1463" w:type="dxa"/>
            <w:vAlign w:val="center"/>
          </w:tcPr>
          <w:p w14:paraId="266211AD" w14:textId="419ECB4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-10.91 ± 0.06</w:t>
            </w:r>
          </w:p>
        </w:tc>
      </w:tr>
      <w:tr w:rsidR="00EA4B3C" w:rsidRPr="009A0A0F" w14:paraId="19AD4618" w14:textId="1B4CD019"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2B66C234"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SP_Peg-06</w:t>
            </w:r>
          </w:p>
        </w:tc>
        <w:tc>
          <w:tcPr>
            <w:tcW w:w="1463" w:type="dxa"/>
            <w:shd w:val="clear" w:color="auto" w:fill="auto"/>
            <w:noWrap/>
            <w:vAlign w:val="center"/>
            <w:hideMark/>
          </w:tcPr>
          <w:p w14:paraId="2035051B"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-33.88 ± 0.01</w:t>
            </w:r>
          </w:p>
        </w:tc>
        <w:tc>
          <w:tcPr>
            <w:tcW w:w="1463" w:type="dxa"/>
            <w:shd w:val="clear" w:color="auto" w:fill="auto"/>
            <w:noWrap/>
            <w:vAlign w:val="center"/>
            <w:hideMark/>
          </w:tcPr>
          <w:p w14:paraId="2D11A9D6"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-10.68 ± 0.01</w:t>
            </w:r>
          </w:p>
        </w:tc>
        <w:tc>
          <w:tcPr>
            <w:tcW w:w="782" w:type="dxa"/>
          </w:tcPr>
          <w:p w14:paraId="7521AFE8"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3CAA2E3D" w14:textId="03E8824A"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SP_Peg-22</w:t>
            </w:r>
          </w:p>
        </w:tc>
        <w:tc>
          <w:tcPr>
            <w:tcW w:w="1463" w:type="dxa"/>
            <w:vAlign w:val="center"/>
          </w:tcPr>
          <w:p w14:paraId="70E18F38" w14:textId="09DB0629"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-35.21 ± 0.02</w:t>
            </w:r>
          </w:p>
        </w:tc>
        <w:tc>
          <w:tcPr>
            <w:tcW w:w="1463" w:type="dxa"/>
            <w:vAlign w:val="center"/>
          </w:tcPr>
          <w:p w14:paraId="6CD81609" w14:textId="32880BFE"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-10.59 ± 0.02</w:t>
            </w:r>
          </w:p>
        </w:tc>
      </w:tr>
      <w:tr w:rsidR="00EA4B3C" w:rsidRPr="009A0A0F" w14:paraId="076943B0" w14:textId="38D257FF"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2766C7E8"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SP_Peg-07</w:t>
            </w:r>
          </w:p>
        </w:tc>
        <w:tc>
          <w:tcPr>
            <w:tcW w:w="1463" w:type="dxa"/>
            <w:shd w:val="clear" w:color="auto" w:fill="auto"/>
            <w:noWrap/>
            <w:vAlign w:val="center"/>
            <w:hideMark/>
          </w:tcPr>
          <w:p w14:paraId="2D0FEA2C"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-34.49 ± 0.13</w:t>
            </w:r>
          </w:p>
        </w:tc>
        <w:tc>
          <w:tcPr>
            <w:tcW w:w="1463" w:type="dxa"/>
            <w:shd w:val="clear" w:color="auto" w:fill="auto"/>
            <w:noWrap/>
            <w:vAlign w:val="center"/>
            <w:hideMark/>
          </w:tcPr>
          <w:p w14:paraId="56975A1F"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-10.51 ± 0.13</w:t>
            </w:r>
          </w:p>
        </w:tc>
        <w:tc>
          <w:tcPr>
            <w:tcW w:w="782" w:type="dxa"/>
          </w:tcPr>
          <w:p w14:paraId="7A4AF560"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4D9A1270" w14:textId="2840D27C"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SP_Peg-23</w:t>
            </w:r>
          </w:p>
        </w:tc>
        <w:tc>
          <w:tcPr>
            <w:tcW w:w="1463" w:type="dxa"/>
            <w:vAlign w:val="center"/>
          </w:tcPr>
          <w:p w14:paraId="75B0BB85" w14:textId="59D7B643"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-35.01 ± 0.10</w:t>
            </w:r>
          </w:p>
        </w:tc>
        <w:tc>
          <w:tcPr>
            <w:tcW w:w="1463" w:type="dxa"/>
            <w:vAlign w:val="center"/>
          </w:tcPr>
          <w:p w14:paraId="7886ADDF" w14:textId="437812AA"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-10.58 ± 0.03</w:t>
            </w:r>
          </w:p>
        </w:tc>
      </w:tr>
      <w:tr w:rsidR="00EA4B3C" w:rsidRPr="009A0A0F" w14:paraId="0C0A5E4F" w14:textId="61C934DA"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6C56640B"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SP_Peg-08</w:t>
            </w:r>
          </w:p>
        </w:tc>
        <w:tc>
          <w:tcPr>
            <w:tcW w:w="1463" w:type="dxa"/>
            <w:shd w:val="clear" w:color="auto" w:fill="auto"/>
            <w:noWrap/>
            <w:vAlign w:val="center"/>
            <w:hideMark/>
          </w:tcPr>
          <w:p w14:paraId="4948E12C"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-34.77 ± 0.29</w:t>
            </w:r>
          </w:p>
        </w:tc>
        <w:tc>
          <w:tcPr>
            <w:tcW w:w="1463" w:type="dxa"/>
            <w:shd w:val="clear" w:color="auto" w:fill="auto"/>
            <w:noWrap/>
            <w:vAlign w:val="center"/>
            <w:hideMark/>
          </w:tcPr>
          <w:p w14:paraId="0BF33379"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-10.85 ± 0.08</w:t>
            </w:r>
          </w:p>
        </w:tc>
        <w:tc>
          <w:tcPr>
            <w:tcW w:w="782" w:type="dxa"/>
          </w:tcPr>
          <w:p w14:paraId="2A9E4E88"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77F094AB" w14:textId="7070D3EE"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SP_Peg-24</w:t>
            </w:r>
          </w:p>
        </w:tc>
        <w:tc>
          <w:tcPr>
            <w:tcW w:w="1463" w:type="dxa"/>
            <w:vAlign w:val="center"/>
          </w:tcPr>
          <w:p w14:paraId="3E967C00" w14:textId="337F38F0"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-34.98 ± 0.16</w:t>
            </w:r>
          </w:p>
        </w:tc>
        <w:tc>
          <w:tcPr>
            <w:tcW w:w="1463" w:type="dxa"/>
            <w:vAlign w:val="center"/>
          </w:tcPr>
          <w:p w14:paraId="7EFD7E4F" w14:textId="32B8232F"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-10.98 ± 0.02</w:t>
            </w:r>
          </w:p>
        </w:tc>
      </w:tr>
      <w:tr w:rsidR="00EA4B3C" w:rsidRPr="009A0A0F" w14:paraId="730F768A" w14:textId="5DE3AB36"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04D0BCC4"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SP_Peg-09</w:t>
            </w:r>
          </w:p>
        </w:tc>
        <w:tc>
          <w:tcPr>
            <w:tcW w:w="1463" w:type="dxa"/>
            <w:shd w:val="clear" w:color="auto" w:fill="auto"/>
            <w:noWrap/>
            <w:vAlign w:val="center"/>
            <w:hideMark/>
          </w:tcPr>
          <w:p w14:paraId="56E66A4B"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-34.67 ± 0.22</w:t>
            </w:r>
          </w:p>
        </w:tc>
        <w:tc>
          <w:tcPr>
            <w:tcW w:w="1463" w:type="dxa"/>
            <w:shd w:val="clear" w:color="auto" w:fill="auto"/>
            <w:noWrap/>
            <w:vAlign w:val="center"/>
            <w:hideMark/>
          </w:tcPr>
          <w:p w14:paraId="608896D6"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-10.97 ± 0.08</w:t>
            </w:r>
          </w:p>
        </w:tc>
        <w:tc>
          <w:tcPr>
            <w:tcW w:w="782" w:type="dxa"/>
          </w:tcPr>
          <w:p w14:paraId="6828C4F8"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653B21AA" w14:textId="5D2A8D4D"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SP_Peg-25</w:t>
            </w:r>
          </w:p>
        </w:tc>
        <w:tc>
          <w:tcPr>
            <w:tcW w:w="1463" w:type="dxa"/>
            <w:vAlign w:val="center"/>
          </w:tcPr>
          <w:p w14:paraId="177C6965" w14:textId="447BAAE6"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-34.75 ± 0.12</w:t>
            </w:r>
          </w:p>
        </w:tc>
        <w:tc>
          <w:tcPr>
            <w:tcW w:w="1463" w:type="dxa"/>
            <w:vAlign w:val="center"/>
          </w:tcPr>
          <w:p w14:paraId="022C230B" w14:textId="575810EC"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-10.46 ± 0.01</w:t>
            </w:r>
          </w:p>
        </w:tc>
      </w:tr>
      <w:tr w:rsidR="00EA4B3C" w:rsidRPr="009A0A0F" w14:paraId="217C6912" w14:textId="72490A1A"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3343946E"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SP_Peg-10</w:t>
            </w:r>
          </w:p>
        </w:tc>
        <w:tc>
          <w:tcPr>
            <w:tcW w:w="1463" w:type="dxa"/>
            <w:shd w:val="clear" w:color="auto" w:fill="auto"/>
            <w:noWrap/>
            <w:vAlign w:val="center"/>
            <w:hideMark/>
          </w:tcPr>
          <w:p w14:paraId="42A20306"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-34.57 ± 0.09</w:t>
            </w:r>
          </w:p>
        </w:tc>
        <w:tc>
          <w:tcPr>
            <w:tcW w:w="1463" w:type="dxa"/>
            <w:shd w:val="clear" w:color="auto" w:fill="auto"/>
            <w:noWrap/>
            <w:vAlign w:val="center"/>
            <w:hideMark/>
          </w:tcPr>
          <w:p w14:paraId="5C5AC675"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-10.62 ± 0.08</w:t>
            </w:r>
          </w:p>
        </w:tc>
        <w:tc>
          <w:tcPr>
            <w:tcW w:w="782" w:type="dxa"/>
          </w:tcPr>
          <w:p w14:paraId="078BE618"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6C7ED47B" w14:textId="688DFFA1"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SP_Peg-26</w:t>
            </w:r>
          </w:p>
        </w:tc>
        <w:tc>
          <w:tcPr>
            <w:tcW w:w="1463" w:type="dxa"/>
            <w:vAlign w:val="center"/>
          </w:tcPr>
          <w:p w14:paraId="37E249E3" w14:textId="2A94B1C9"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-34.86 ± 0.03</w:t>
            </w:r>
          </w:p>
        </w:tc>
        <w:tc>
          <w:tcPr>
            <w:tcW w:w="1463" w:type="dxa"/>
            <w:vAlign w:val="center"/>
          </w:tcPr>
          <w:p w14:paraId="77156E9F" w14:textId="25752DE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-12.04 ± 0.11</w:t>
            </w:r>
          </w:p>
        </w:tc>
      </w:tr>
      <w:tr w:rsidR="00EA4B3C" w:rsidRPr="009A0A0F" w14:paraId="7D7AEE4F" w14:textId="0C41BF2E"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3CD7A6F7"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SP_Peg-11</w:t>
            </w:r>
          </w:p>
        </w:tc>
        <w:tc>
          <w:tcPr>
            <w:tcW w:w="1463" w:type="dxa"/>
            <w:shd w:val="clear" w:color="auto" w:fill="auto"/>
            <w:noWrap/>
            <w:vAlign w:val="center"/>
            <w:hideMark/>
          </w:tcPr>
          <w:p w14:paraId="382D19E3"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-34.34 ± 0.23</w:t>
            </w:r>
          </w:p>
        </w:tc>
        <w:tc>
          <w:tcPr>
            <w:tcW w:w="1463" w:type="dxa"/>
            <w:shd w:val="clear" w:color="auto" w:fill="auto"/>
            <w:noWrap/>
            <w:vAlign w:val="center"/>
            <w:hideMark/>
          </w:tcPr>
          <w:p w14:paraId="3546F03C"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-10.38 ± 0.02</w:t>
            </w:r>
          </w:p>
        </w:tc>
        <w:tc>
          <w:tcPr>
            <w:tcW w:w="782" w:type="dxa"/>
          </w:tcPr>
          <w:p w14:paraId="28529FD7"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1C993090" w14:textId="1B6E03FB"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SP_Peg-27</w:t>
            </w:r>
          </w:p>
        </w:tc>
        <w:tc>
          <w:tcPr>
            <w:tcW w:w="1463" w:type="dxa"/>
            <w:vAlign w:val="center"/>
          </w:tcPr>
          <w:p w14:paraId="57AC189E" w14:textId="669B7598"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-35.26 ± 0.02</w:t>
            </w:r>
          </w:p>
        </w:tc>
        <w:tc>
          <w:tcPr>
            <w:tcW w:w="1463" w:type="dxa"/>
            <w:vAlign w:val="center"/>
          </w:tcPr>
          <w:p w14:paraId="514FED19" w14:textId="74FB380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-10.63 ± 0.02</w:t>
            </w:r>
          </w:p>
        </w:tc>
      </w:tr>
      <w:tr w:rsidR="00EA4B3C" w:rsidRPr="009A0A0F" w14:paraId="5F5EA4FF" w14:textId="0247CA6D"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70153599"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SP_Peg-12</w:t>
            </w:r>
          </w:p>
        </w:tc>
        <w:tc>
          <w:tcPr>
            <w:tcW w:w="1463" w:type="dxa"/>
            <w:shd w:val="clear" w:color="auto" w:fill="auto"/>
            <w:noWrap/>
            <w:vAlign w:val="center"/>
            <w:hideMark/>
          </w:tcPr>
          <w:p w14:paraId="78B613CF"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-34.43 ± 0.14</w:t>
            </w:r>
          </w:p>
        </w:tc>
        <w:tc>
          <w:tcPr>
            <w:tcW w:w="1463" w:type="dxa"/>
            <w:shd w:val="clear" w:color="auto" w:fill="auto"/>
            <w:noWrap/>
            <w:vAlign w:val="center"/>
            <w:hideMark/>
          </w:tcPr>
          <w:p w14:paraId="7C22D552"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-10.46 ± 0.02</w:t>
            </w:r>
          </w:p>
        </w:tc>
        <w:tc>
          <w:tcPr>
            <w:tcW w:w="782" w:type="dxa"/>
          </w:tcPr>
          <w:p w14:paraId="73D3DF88"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6D800848" w14:textId="64A0A53A"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SP_Peg-28</w:t>
            </w:r>
          </w:p>
        </w:tc>
        <w:tc>
          <w:tcPr>
            <w:tcW w:w="1463" w:type="dxa"/>
            <w:vAlign w:val="center"/>
          </w:tcPr>
          <w:p w14:paraId="3312EC9B" w14:textId="01EF8FB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-35.11 ± 0.13</w:t>
            </w:r>
          </w:p>
        </w:tc>
        <w:tc>
          <w:tcPr>
            <w:tcW w:w="1463" w:type="dxa"/>
            <w:vAlign w:val="center"/>
          </w:tcPr>
          <w:p w14:paraId="172D721F" w14:textId="5E68492C"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-10.51 ± 0.16</w:t>
            </w:r>
          </w:p>
        </w:tc>
      </w:tr>
      <w:tr w:rsidR="00EA4B3C" w:rsidRPr="009A0A0F" w14:paraId="33331CC0" w14:textId="457FBD6B"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4CECAE5E"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SP_Peg-13</w:t>
            </w:r>
          </w:p>
        </w:tc>
        <w:tc>
          <w:tcPr>
            <w:tcW w:w="1463" w:type="dxa"/>
            <w:shd w:val="clear" w:color="auto" w:fill="auto"/>
            <w:noWrap/>
            <w:vAlign w:val="center"/>
            <w:hideMark/>
          </w:tcPr>
          <w:p w14:paraId="2EEA1CEC"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-34.54 ± 0.08</w:t>
            </w:r>
          </w:p>
        </w:tc>
        <w:tc>
          <w:tcPr>
            <w:tcW w:w="1463" w:type="dxa"/>
            <w:shd w:val="clear" w:color="auto" w:fill="auto"/>
            <w:noWrap/>
            <w:vAlign w:val="center"/>
            <w:hideMark/>
          </w:tcPr>
          <w:p w14:paraId="66645C3A"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-10.49 ± 0.06</w:t>
            </w:r>
          </w:p>
        </w:tc>
        <w:tc>
          <w:tcPr>
            <w:tcW w:w="782" w:type="dxa"/>
          </w:tcPr>
          <w:p w14:paraId="28400B13"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6E15D409" w14:textId="61CC0EF3"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SP_Peg-29</w:t>
            </w:r>
          </w:p>
        </w:tc>
        <w:tc>
          <w:tcPr>
            <w:tcW w:w="1463" w:type="dxa"/>
            <w:vAlign w:val="center"/>
          </w:tcPr>
          <w:p w14:paraId="73ED5385" w14:textId="6C667BAF"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-35.00 ± 0.03</w:t>
            </w:r>
          </w:p>
        </w:tc>
        <w:tc>
          <w:tcPr>
            <w:tcW w:w="1463" w:type="dxa"/>
            <w:vAlign w:val="center"/>
          </w:tcPr>
          <w:p w14:paraId="50929E84" w14:textId="32A3C8A2"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-11.47 ± 0.07</w:t>
            </w:r>
          </w:p>
        </w:tc>
      </w:tr>
      <w:tr w:rsidR="00EA4B3C" w:rsidRPr="009A0A0F" w14:paraId="2B307B57" w14:textId="23D81655"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4AE2B902"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SP_Peg-14</w:t>
            </w:r>
          </w:p>
        </w:tc>
        <w:tc>
          <w:tcPr>
            <w:tcW w:w="1463" w:type="dxa"/>
            <w:shd w:val="clear" w:color="auto" w:fill="auto"/>
            <w:noWrap/>
            <w:vAlign w:val="center"/>
            <w:hideMark/>
          </w:tcPr>
          <w:p w14:paraId="76E05199"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-34.41 ± 0.13</w:t>
            </w:r>
          </w:p>
        </w:tc>
        <w:tc>
          <w:tcPr>
            <w:tcW w:w="1463" w:type="dxa"/>
            <w:shd w:val="clear" w:color="auto" w:fill="auto"/>
            <w:noWrap/>
            <w:vAlign w:val="center"/>
            <w:hideMark/>
          </w:tcPr>
          <w:p w14:paraId="16A74C8D"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-10.87 ± 0.03</w:t>
            </w:r>
          </w:p>
        </w:tc>
        <w:tc>
          <w:tcPr>
            <w:tcW w:w="782" w:type="dxa"/>
          </w:tcPr>
          <w:p w14:paraId="5BE7353D"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vAlign w:val="center"/>
          </w:tcPr>
          <w:p w14:paraId="4918DDF1" w14:textId="5054C398"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SP_Peg-30</w:t>
            </w:r>
          </w:p>
        </w:tc>
        <w:tc>
          <w:tcPr>
            <w:tcW w:w="1463" w:type="dxa"/>
            <w:vAlign w:val="center"/>
          </w:tcPr>
          <w:p w14:paraId="02B4D94F" w14:textId="5EE088C4"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-35.26 ± 0.02</w:t>
            </w:r>
          </w:p>
        </w:tc>
        <w:tc>
          <w:tcPr>
            <w:tcW w:w="1463" w:type="dxa"/>
            <w:vAlign w:val="center"/>
          </w:tcPr>
          <w:p w14:paraId="33DD6F54" w14:textId="66EBAC48"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-10.83 ± 0.05</w:t>
            </w:r>
          </w:p>
        </w:tc>
      </w:tr>
      <w:tr w:rsidR="00EA4B3C" w:rsidRPr="009A0A0F" w14:paraId="4552AC1A" w14:textId="5104C90C"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172" w:type="dxa"/>
            <w:shd w:val="clear" w:color="auto" w:fill="auto"/>
            <w:noWrap/>
            <w:vAlign w:val="center"/>
            <w:hideMark/>
          </w:tcPr>
          <w:p w14:paraId="7DF88255"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SP_Peg-15</w:t>
            </w:r>
          </w:p>
        </w:tc>
        <w:tc>
          <w:tcPr>
            <w:tcW w:w="1463" w:type="dxa"/>
            <w:shd w:val="clear" w:color="auto" w:fill="auto"/>
            <w:noWrap/>
            <w:vAlign w:val="center"/>
            <w:hideMark/>
          </w:tcPr>
          <w:p w14:paraId="41ACECE4"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-33.83 ± 0.14</w:t>
            </w:r>
          </w:p>
        </w:tc>
        <w:tc>
          <w:tcPr>
            <w:tcW w:w="1463" w:type="dxa"/>
            <w:shd w:val="clear" w:color="auto" w:fill="auto"/>
            <w:noWrap/>
            <w:vAlign w:val="center"/>
            <w:hideMark/>
          </w:tcPr>
          <w:p w14:paraId="2208C3F7" w14:textId="77777777" w:rsidR="00EA4B3C" w:rsidRPr="009A0A0F" w:rsidRDefault="00EA4B3C" w:rsidP="00F3279A">
            <w:pPr>
              <w:spacing w:line="240" w:lineRule="auto"/>
              <w:jc w:val="center"/>
              <w:rPr>
                <w:rFonts w:ascii="Calibri" w:hAnsi="Calibri" w:cs="Calibri"/>
                <w:color w:val="000000"/>
                <w:sz w:val="20"/>
                <w:szCs w:val="18"/>
                <w:lang w:eastAsia="en-GB"/>
              </w:rPr>
            </w:pPr>
            <w:r w:rsidRPr="009A0A0F">
              <w:rPr>
                <w:rFonts w:ascii="Calibri" w:hAnsi="Calibri" w:cs="Calibri"/>
                <w:color w:val="000000"/>
                <w:sz w:val="20"/>
                <w:szCs w:val="18"/>
                <w:lang w:eastAsia="en-GB"/>
              </w:rPr>
              <w:t>-11.36 ± 0.11</w:t>
            </w:r>
          </w:p>
        </w:tc>
        <w:tc>
          <w:tcPr>
            <w:tcW w:w="782" w:type="dxa"/>
          </w:tcPr>
          <w:p w14:paraId="1B1A182B"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172" w:type="dxa"/>
          </w:tcPr>
          <w:p w14:paraId="651298EB" w14:textId="77777777" w:rsidR="00EA4B3C" w:rsidRPr="009A0A0F" w:rsidRDefault="00EA4B3C" w:rsidP="00F3279A">
            <w:pPr>
              <w:spacing w:line="240" w:lineRule="auto"/>
              <w:jc w:val="center"/>
              <w:rPr>
                <w:rFonts w:ascii="Calibri" w:hAnsi="Calibri" w:cs="Calibri"/>
                <w:color w:val="000000"/>
                <w:sz w:val="20"/>
                <w:szCs w:val="18"/>
                <w:lang w:eastAsia="en-GB"/>
              </w:rPr>
            </w:pPr>
          </w:p>
        </w:tc>
        <w:tc>
          <w:tcPr>
            <w:tcW w:w="1463" w:type="dxa"/>
          </w:tcPr>
          <w:p w14:paraId="211AA521" w14:textId="5A074C9A" w:rsidR="00EA4B3C" w:rsidRPr="009A0A0F" w:rsidRDefault="00EA4B3C" w:rsidP="00F3279A">
            <w:pPr>
              <w:spacing w:line="240" w:lineRule="auto"/>
              <w:jc w:val="center"/>
              <w:rPr>
                <w:rFonts w:ascii="Calibri" w:hAnsi="Calibri" w:cs="Calibri"/>
                <w:color w:val="000000"/>
                <w:sz w:val="20"/>
                <w:szCs w:val="18"/>
                <w:lang w:eastAsia="en-GB"/>
              </w:rPr>
            </w:pPr>
          </w:p>
        </w:tc>
        <w:tc>
          <w:tcPr>
            <w:tcW w:w="1463" w:type="dxa"/>
          </w:tcPr>
          <w:p w14:paraId="3FA1C1E7" w14:textId="77777777" w:rsidR="00EA4B3C" w:rsidRPr="009A0A0F" w:rsidRDefault="00EA4B3C" w:rsidP="00F3279A">
            <w:pPr>
              <w:spacing w:line="240" w:lineRule="auto"/>
              <w:jc w:val="center"/>
              <w:rPr>
                <w:rFonts w:ascii="Calibri" w:hAnsi="Calibri" w:cs="Calibri"/>
                <w:color w:val="000000"/>
                <w:sz w:val="20"/>
                <w:szCs w:val="18"/>
                <w:lang w:eastAsia="en-GB"/>
              </w:rPr>
            </w:pPr>
          </w:p>
        </w:tc>
      </w:tr>
    </w:tbl>
    <w:p w14:paraId="0769C993" w14:textId="1D889AE9" w:rsidR="00EA4B3C" w:rsidRDefault="00EA4B3C" w:rsidP="00F3279A">
      <w:pPr>
        <w:spacing w:line="240" w:lineRule="auto"/>
      </w:pPr>
    </w:p>
    <w:p w14:paraId="1CAB9E82" w14:textId="77777777" w:rsidR="00F3279A" w:rsidRPr="009A0A0F" w:rsidRDefault="00F3279A" w:rsidP="00F3279A">
      <w:pPr>
        <w:spacing w:line="240" w:lineRule="auto"/>
      </w:pPr>
    </w:p>
    <w:p w14:paraId="41264504" w14:textId="77777777" w:rsidR="00F3279A" w:rsidRDefault="00F3279A">
      <w:pPr>
        <w:spacing w:line="240" w:lineRule="auto"/>
        <w:jc w:val="left"/>
        <w:rPr>
          <w:b/>
          <w:bCs/>
          <w:sz w:val="18"/>
        </w:rPr>
      </w:pPr>
      <w:r>
        <w:br w:type="page"/>
      </w:r>
    </w:p>
    <w:p w14:paraId="17263CC0" w14:textId="35BD7B0C" w:rsidR="009B17E7" w:rsidRPr="009A0A0F" w:rsidRDefault="009B17E7" w:rsidP="00F3279A">
      <w:pPr>
        <w:pStyle w:val="Beschriftung"/>
      </w:pPr>
      <w:r w:rsidRPr="009A0A0F">
        <w:lastRenderedPageBreak/>
        <w:t xml:space="preserve">Table </w:t>
      </w:r>
      <w:r w:rsidR="00316646" w:rsidRPr="009A0A0F">
        <w:t>A.</w:t>
      </w:r>
      <w:r w:rsidR="009A0A0F" w:rsidRPr="009A0A0F">
        <w:t>3</w:t>
      </w:r>
      <w:r w:rsidRPr="009A0A0F">
        <w:t xml:space="preserve"> δ</w:t>
      </w:r>
      <w:r w:rsidRPr="009A0A0F">
        <w:rPr>
          <w:vertAlign w:val="superscript"/>
        </w:rPr>
        <w:t>13</w:t>
      </w:r>
      <w:r w:rsidRPr="009A0A0F">
        <w:t>C and δ</w:t>
      </w:r>
      <w:r w:rsidRPr="009A0A0F">
        <w:rPr>
          <w:vertAlign w:val="superscript"/>
        </w:rPr>
        <w:t>15</w:t>
      </w:r>
      <w:r w:rsidRPr="009A0A0F">
        <w:t>N values including standard deviation of triplicate measurements for all “Spice-Products” of MDMB-CHMICA</w:t>
      </w:r>
    </w:p>
    <w:tbl>
      <w:tblPr>
        <w:tblpPr w:leftFromText="180" w:rightFromText="180" w:vertAnchor="text" w:tblpY="1"/>
        <w:tblOverlap w:val="neve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463"/>
        <w:gridCol w:w="1463"/>
        <w:gridCol w:w="445"/>
        <w:gridCol w:w="1550"/>
        <w:gridCol w:w="1463"/>
        <w:gridCol w:w="1463"/>
      </w:tblGrid>
      <w:tr w:rsidR="00EA4B3C" w:rsidRPr="009A0A0F" w14:paraId="4B8700C7" w14:textId="77777777" w:rsidTr="009B17E7">
        <w:trPr>
          <w:trHeight w:val="521"/>
        </w:trPr>
        <w:tc>
          <w:tcPr>
            <w:tcW w:w="1449" w:type="dxa"/>
            <w:tcBorders>
              <w:top w:val="nil"/>
              <w:left w:val="nil"/>
              <w:bottom w:val="nil"/>
              <w:right w:val="nil"/>
            </w:tcBorders>
            <w:shd w:val="clear" w:color="auto" w:fill="auto"/>
            <w:vAlign w:val="bottom"/>
          </w:tcPr>
          <w:p w14:paraId="51B5F739" w14:textId="77777777" w:rsidR="00EA4B3C" w:rsidRPr="009A0A0F" w:rsidRDefault="00EA4B3C" w:rsidP="00F3279A">
            <w:pPr>
              <w:spacing w:line="240" w:lineRule="auto"/>
              <w:rPr>
                <w:rFonts w:ascii="Calibri" w:hAnsi="Calibri"/>
                <w:sz w:val="20"/>
              </w:rPr>
            </w:pPr>
          </w:p>
        </w:tc>
        <w:tc>
          <w:tcPr>
            <w:tcW w:w="1463" w:type="dxa"/>
            <w:tcBorders>
              <w:top w:val="nil"/>
              <w:left w:val="nil"/>
              <w:bottom w:val="nil"/>
              <w:right w:val="nil"/>
            </w:tcBorders>
            <w:shd w:val="clear" w:color="auto" w:fill="auto"/>
          </w:tcPr>
          <w:p w14:paraId="4CDA19B4"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13</w:t>
            </w:r>
            <w:r w:rsidRPr="009A0A0F">
              <w:rPr>
                <w:rFonts w:ascii="Calibri" w:hAnsi="Calibri"/>
                <w:sz w:val="20"/>
                <w:lang w:val="en-US"/>
              </w:rPr>
              <w:t>C</w:t>
            </w:r>
            <w:r w:rsidRPr="009A0A0F">
              <w:rPr>
                <w:rFonts w:ascii="Calibri" w:hAnsi="Calibri"/>
                <w:sz w:val="20"/>
                <w:vertAlign w:val="subscript"/>
                <w:lang w:val="en-US"/>
              </w:rPr>
              <w:t>V-PDB</w:t>
            </w:r>
            <w:r w:rsidRPr="009A0A0F">
              <w:rPr>
                <w:rFonts w:ascii="Calibri" w:hAnsi="Calibri"/>
                <w:sz w:val="20"/>
                <w:lang w:val="en-US"/>
              </w:rPr>
              <w:t>[‰]</w:t>
            </w:r>
          </w:p>
          <w:p w14:paraId="6618D99E"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c>
          <w:tcPr>
            <w:tcW w:w="1463" w:type="dxa"/>
            <w:tcBorders>
              <w:top w:val="nil"/>
              <w:left w:val="nil"/>
              <w:bottom w:val="nil"/>
              <w:right w:val="nil"/>
            </w:tcBorders>
            <w:shd w:val="clear" w:color="auto" w:fill="auto"/>
          </w:tcPr>
          <w:p w14:paraId="62616A52"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15</w:t>
            </w:r>
            <w:r w:rsidRPr="009A0A0F">
              <w:rPr>
                <w:rFonts w:ascii="Calibri" w:hAnsi="Calibri"/>
                <w:sz w:val="20"/>
                <w:lang w:val="en-US"/>
              </w:rPr>
              <w:t>N</w:t>
            </w:r>
            <w:r w:rsidRPr="009A0A0F">
              <w:rPr>
                <w:rFonts w:ascii="Calibri" w:hAnsi="Calibri"/>
                <w:sz w:val="20"/>
                <w:vertAlign w:val="subscript"/>
                <w:lang w:val="en-US"/>
              </w:rPr>
              <w:t>AIR</w:t>
            </w:r>
            <w:r w:rsidRPr="009A0A0F">
              <w:rPr>
                <w:rFonts w:ascii="Calibri" w:hAnsi="Calibri"/>
                <w:sz w:val="20"/>
                <w:lang w:val="en-US"/>
              </w:rPr>
              <w:t>[‰]</w:t>
            </w:r>
          </w:p>
          <w:p w14:paraId="4E38C985"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c>
          <w:tcPr>
            <w:tcW w:w="445" w:type="dxa"/>
            <w:tcBorders>
              <w:top w:val="nil"/>
              <w:left w:val="nil"/>
              <w:bottom w:val="nil"/>
              <w:right w:val="nil"/>
            </w:tcBorders>
          </w:tcPr>
          <w:p w14:paraId="7397C536" w14:textId="77777777" w:rsidR="00EA4B3C" w:rsidRPr="009A0A0F" w:rsidRDefault="00EA4B3C" w:rsidP="00F3279A">
            <w:pPr>
              <w:spacing w:line="240" w:lineRule="auto"/>
              <w:jc w:val="center"/>
              <w:rPr>
                <w:rFonts w:ascii="Calibri" w:hAnsi="Calibri"/>
                <w:sz w:val="20"/>
              </w:rPr>
            </w:pPr>
          </w:p>
        </w:tc>
        <w:tc>
          <w:tcPr>
            <w:tcW w:w="1550" w:type="dxa"/>
            <w:tcBorders>
              <w:top w:val="nil"/>
              <w:left w:val="nil"/>
              <w:bottom w:val="nil"/>
              <w:right w:val="nil"/>
            </w:tcBorders>
          </w:tcPr>
          <w:p w14:paraId="207596EA" w14:textId="77777777" w:rsidR="00EA4B3C" w:rsidRPr="009A0A0F" w:rsidRDefault="00EA4B3C" w:rsidP="00F3279A">
            <w:pPr>
              <w:spacing w:line="240" w:lineRule="auto"/>
              <w:jc w:val="center"/>
              <w:rPr>
                <w:rFonts w:ascii="Calibri" w:hAnsi="Calibri"/>
                <w:sz w:val="20"/>
              </w:rPr>
            </w:pPr>
          </w:p>
        </w:tc>
        <w:tc>
          <w:tcPr>
            <w:tcW w:w="1463" w:type="dxa"/>
            <w:tcBorders>
              <w:top w:val="nil"/>
              <w:left w:val="nil"/>
              <w:bottom w:val="nil"/>
              <w:right w:val="nil"/>
            </w:tcBorders>
          </w:tcPr>
          <w:p w14:paraId="5A2B50DE"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13</w:t>
            </w:r>
            <w:r w:rsidRPr="009A0A0F">
              <w:rPr>
                <w:rFonts w:ascii="Calibri" w:hAnsi="Calibri"/>
                <w:sz w:val="20"/>
                <w:lang w:val="en-US"/>
              </w:rPr>
              <w:t>C</w:t>
            </w:r>
            <w:r w:rsidRPr="009A0A0F">
              <w:rPr>
                <w:rFonts w:ascii="Calibri" w:hAnsi="Calibri"/>
                <w:sz w:val="20"/>
                <w:vertAlign w:val="subscript"/>
                <w:lang w:val="en-US"/>
              </w:rPr>
              <w:t>V-PDB</w:t>
            </w:r>
            <w:r w:rsidRPr="009A0A0F">
              <w:rPr>
                <w:rFonts w:ascii="Calibri" w:hAnsi="Calibri"/>
                <w:sz w:val="20"/>
                <w:lang w:val="en-US"/>
              </w:rPr>
              <w:t>[‰]</w:t>
            </w:r>
          </w:p>
          <w:p w14:paraId="4ACA47E3"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c>
          <w:tcPr>
            <w:tcW w:w="1463" w:type="dxa"/>
            <w:tcBorders>
              <w:top w:val="nil"/>
              <w:left w:val="nil"/>
              <w:bottom w:val="nil"/>
              <w:right w:val="nil"/>
            </w:tcBorders>
          </w:tcPr>
          <w:p w14:paraId="4D34B73D" w14:textId="77777777" w:rsidR="00EA4B3C" w:rsidRPr="009A0A0F" w:rsidRDefault="00EA4B3C" w:rsidP="00F3279A">
            <w:pPr>
              <w:spacing w:line="240" w:lineRule="auto"/>
              <w:jc w:val="center"/>
              <w:rPr>
                <w:rFonts w:ascii="Calibri" w:hAnsi="Calibri"/>
                <w:sz w:val="20"/>
                <w:lang w:val="en-US"/>
              </w:rPr>
            </w:pPr>
            <w:r w:rsidRPr="009A0A0F">
              <w:rPr>
                <w:rFonts w:ascii="Calibri" w:hAnsi="Calibri"/>
                <w:sz w:val="20"/>
              </w:rPr>
              <w:t>δ</w:t>
            </w:r>
            <w:r w:rsidRPr="009A0A0F">
              <w:rPr>
                <w:rFonts w:ascii="Calibri" w:hAnsi="Calibri"/>
                <w:sz w:val="20"/>
                <w:vertAlign w:val="superscript"/>
                <w:lang w:val="en-US"/>
              </w:rPr>
              <w:t>15</w:t>
            </w:r>
            <w:r w:rsidRPr="009A0A0F">
              <w:rPr>
                <w:rFonts w:ascii="Calibri" w:hAnsi="Calibri"/>
                <w:sz w:val="20"/>
                <w:lang w:val="en-US"/>
              </w:rPr>
              <w:t>N</w:t>
            </w:r>
            <w:r w:rsidRPr="009A0A0F">
              <w:rPr>
                <w:rFonts w:ascii="Calibri" w:hAnsi="Calibri"/>
                <w:sz w:val="20"/>
                <w:vertAlign w:val="subscript"/>
                <w:lang w:val="en-US"/>
              </w:rPr>
              <w:t>AIR</w:t>
            </w:r>
            <w:r w:rsidRPr="009A0A0F">
              <w:rPr>
                <w:rFonts w:ascii="Calibri" w:hAnsi="Calibri"/>
                <w:sz w:val="20"/>
                <w:lang w:val="en-US"/>
              </w:rPr>
              <w:t>[‰]</w:t>
            </w:r>
          </w:p>
          <w:p w14:paraId="7A668EF3" w14:textId="77777777" w:rsidR="00EA4B3C" w:rsidRPr="009A0A0F" w:rsidRDefault="00EA4B3C" w:rsidP="00F3279A">
            <w:pPr>
              <w:spacing w:line="240" w:lineRule="auto"/>
              <w:jc w:val="center"/>
              <w:rPr>
                <w:rFonts w:ascii="Calibri" w:hAnsi="Calibri"/>
                <w:sz w:val="20"/>
              </w:rPr>
            </w:pPr>
            <w:r w:rsidRPr="009A0A0F">
              <w:rPr>
                <w:rFonts w:ascii="Calibri" w:hAnsi="Calibri"/>
                <w:sz w:val="20"/>
                <w:lang w:val="en-US"/>
              </w:rPr>
              <w:t>average ± STD</w:t>
            </w:r>
          </w:p>
        </w:tc>
      </w:tr>
      <w:tr w:rsidR="00C839D4" w:rsidRPr="009A0A0F" w14:paraId="12A01DE6" w14:textId="77777777" w:rsidTr="009B17E7">
        <w:trPr>
          <w:trHeight w:val="227"/>
        </w:trPr>
        <w:tc>
          <w:tcPr>
            <w:tcW w:w="1449" w:type="dxa"/>
            <w:tcBorders>
              <w:top w:val="nil"/>
              <w:left w:val="nil"/>
              <w:bottom w:val="nil"/>
              <w:right w:val="nil"/>
            </w:tcBorders>
            <w:shd w:val="clear" w:color="auto" w:fill="auto"/>
            <w:vAlign w:val="bottom"/>
          </w:tcPr>
          <w:p w14:paraId="1535BFEA" w14:textId="04F2155A" w:rsidR="00C839D4" w:rsidRPr="009A0A0F" w:rsidRDefault="00C839D4" w:rsidP="00F3279A">
            <w:pPr>
              <w:spacing w:line="240" w:lineRule="auto"/>
              <w:jc w:val="center"/>
              <w:rPr>
                <w:rFonts w:ascii="Calibri" w:hAnsi="Calibri"/>
                <w:sz w:val="20"/>
              </w:rPr>
            </w:pPr>
            <w:r w:rsidRPr="009A0A0F">
              <w:rPr>
                <w:rFonts w:ascii="Calibri" w:hAnsi="Calibri"/>
                <w:color w:val="000000"/>
                <w:sz w:val="20"/>
              </w:rPr>
              <w:t>SP_MDMB-01</w:t>
            </w:r>
          </w:p>
        </w:tc>
        <w:tc>
          <w:tcPr>
            <w:tcW w:w="1463" w:type="dxa"/>
            <w:tcBorders>
              <w:top w:val="nil"/>
              <w:left w:val="nil"/>
              <w:bottom w:val="nil"/>
              <w:right w:val="nil"/>
            </w:tcBorders>
            <w:shd w:val="clear" w:color="auto" w:fill="auto"/>
            <w:vAlign w:val="bottom"/>
          </w:tcPr>
          <w:p w14:paraId="4A1043E2" w14:textId="7AA4DAE3" w:rsidR="00C839D4" w:rsidRPr="009A0A0F" w:rsidRDefault="00C839D4" w:rsidP="00F3279A">
            <w:pPr>
              <w:spacing w:line="240" w:lineRule="auto"/>
              <w:jc w:val="center"/>
              <w:rPr>
                <w:rFonts w:ascii="Calibri" w:hAnsi="Calibri"/>
                <w:color w:val="000000"/>
                <w:sz w:val="20"/>
              </w:rPr>
            </w:pPr>
            <w:r w:rsidRPr="009A0A0F">
              <w:rPr>
                <w:rFonts w:ascii="Calibri" w:hAnsi="Calibri" w:cs="Calibri"/>
                <w:color w:val="000000"/>
                <w:sz w:val="20"/>
              </w:rPr>
              <w:t>-27.67 ± 0.02</w:t>
            </w:r>
          </w:p>
        </w:tc>
        <w:tc>
          <w:tcPr>
            <w:tcW w:w="1463" w:type="dxa"/>
            <w:tcBorders>
              <w:top w:val="nil"/>
              <w:left w:val="nil"/>
              <w:bottom w:val="nil"/>
              <w:right w:val="nil"/>
            </w:tcBorders>
            <w:shd w:val="clear" w:color="auto" w:fill="auto"/>
            <w:vAlign w:val="bottom"/>
          </w:tcPr>
          <w:p w14:paraId="6D0900B4" w14:textId="1BACF5E0" w:rsidR="00C839D4" w:rsidRPr="009A0A0F" w:rsidRDefault="00C839D4" w:rsidP="00F3279A">
            <w:pPr>
              <w:spacing w:line="240" w:lineRule="auto"/>
              <w:jc w:val="center"/>
              <w:rPr>
                <w:rFonts w:ascii="Calibri" w:hAnsi="Calibri"/>
                <w:color w:val="000000"/>
                <w:sz w:val="20"/>
              </w:rPr>
            </w:pPr>
            <w:r w:rsidRPr="009A0A0F">
              <w:rPr>
                <w:rFonts w:ascii="Calibri" w:hAnsi="Calibri" w:cs="Calibri"/>
                <w:color w:val="000000"/>
                <w:sz w:val="20"/>
              </w:rPr>
              <w:t>3.54 ± 0.05</w:t>
            </w:r>
          </w:p>
        </w:tc>
        <w:tc>
          <w:tcPr>
            <w:tcW w:w="445" w:type="dxa"/>
            <w:tcBorders>
              <w:top w:val="nil"/>
              <w:left w:val="nil"/>
              <w:bottom w:val="nil"/>
              <w:right w:val="nil"/>
            </w:tcBorders>
          </w:tcPr>
          <w:p w14:paraId="0D6CDDCC" w14:textId="77777777" w:rsidR="00C839D4" w:rsidRPr="009A0A0F" w:rsidRDefault="00C839D4" w:rsidP="00F3279A">
            <w:pPr>
              <w:spacing w:line="240" w:lineRule="auto"/>
              <w:jc w:val="center"/>
              <w:rPr>
                <w:rFonts w:ascii="Calibri" w:hAnsi="Calibri" w:cs="Calibri"/>
                <w:color w:val="000000"/>
                <w:sz w:val="20"/>
              </w:rPr>
            </w:pPr>
          </w:p>
        </w:tc>
        <w:tc>
          <w:tcPr>
            <w:tcW w:w="1550" w:type="dxa"/>
            <w:tcBorders>
              <w:top w:val="nil"/>
              <w:left w:val="nil"/>
              <w:bottom w:val="nil"/>
              <w:right w:val="nil"/>
            </w:tcBorders>
            <w:vAlign w:val="bottom"/>
          </w:tcPr>
          <w:p w14:paraId="24859DDF" w14:textId="6F27F82C"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SP_MDMB-60</w:t>
            </w:r>
          </w:p>
        </w:tc>
        <w:tc>
          <w:tcPr>
            <w:tcW w:w="1463" w:type="dxa"/>
            <w:tcBorders>
              <w:top w:val="nil"/>
              <w:left w:val="nil"/>
              <w:bottom w:val="nil"/>
              <w:right w:val="nil"/>
            </w:tcBorders>
            <w:vAlign w:val="bottom"/>
          </w:tcPr>
          <w:p w14:paraId="350647C8" w14:textId="28BD0CB6"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-27.54 ± 0.01</w:t>
            </w:r>
          </w:p>
        </w:tc>
        <w:tc>
          <w:tcPr>
            <w:tcW w:w="1463" w:type="dxa"/>
            <w:tcBorders>
              <w:top w:val="nil"/>
              <w:left w:val="nil"/>
              <w:bottom w:val="nil"/>
              <w:right w:val="nil"/>
            </w:tcBorders>
            <w:vAlign w:val="bottom"/>
          </w:tcPr>
          <w:p w14:paraId="4CFCA058" w14:textId="6BC3C48D"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4.89 ± 0.02</w:t>
            </w:r>
          </w:p>
        </w:tc>
      </w:tr>
      <w:tr w:rsidR="00C839D4" w:rsidRPr="009A0A0F" w14:paraId="4A3D2553" w14:textId="77777777" w:rsidTr="009B17E7">
        <w:trPr>
          <w:trHeight w:val="227"/>
        </w:trPr>
        <w:tc>
          <w:tcPr>
            <w:tcW w:w="1449" w:type="dxa"/>
            <w:tcBorders>
              <w:top w:val="nil"/>
              <w:left w:val="nil"/>
              <w:bottom w:val="nil"/>
              <w:right w:val="nil"/>
            </w:tcBorders>
            <w:shd w:val="clear" w:color="auto" w:fill="auto"/>
            <w:vAlign w:val="bottom"/>
          </w:tcPr>
          <w:p w14:paraId="23A7B070" w14:textId="5629C0D6" w:rsidR="00C839D4" w:rsidRPr="009A0A0F" w:rsidRDefault="00C839D4" w:rsidP="00F3279A">
            <w:pPr>
              <w:spacing w:line="240" w:lineRule="auto"/>
              <w:jc w:val="center"/>
              <w:rPr>
                <w:rFonts w:ascii="Calibri" w:hAnsi="Calibri" w:cs="Calibri"/>
                <w:color w:val="000000"/>
                <w:sz w:val="20"/>
              </w:rPr>
            </w:pPr>
            <w:r w:rsidRPr="009A0A0F">
              <w:rPr>
                <w:rFonts w:ascii="Calibri" w:hAnsi="Calibri"/>
                <w:color w:val="000000"/>
                <w:sz w:val="20"/>
              </w:rPr>
              <w:t>SP_MDMB-02</w:t>
            </w:r>
          </w:p>
        </w:tc>
        <w:tc>
          <w:tcPr>
            <w:tcW w:w="1463" w:type="dxa"/>
            <w:tcBorders>
              <w:top w:val="nil"/>
              <w:left w:val="nil"/>
              <w:bottom w:val="nil"/>
              <w:right w:val="nil"/>
            </w:tcBorders>
            <w:shd w:val="clear" w:color="auto" w:fill="auto"/>
            <w:vAlign w:val="bottom"/>
          </w:tcPr>
          <w:p w14:paraId="73286EC8" w14:textId="0FF82B6A"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-27.62 ± 0.04</w:t>
            </w:r>
          </w:p>
        </w:tc>
        <w:tc>
          <w:tcPr>
            <w:tcW w:w="1463" w:type="dxa"/>
            <w:tcBorders>
              <w:top w:val="nil"/>
              <w:left w:val="nil"/>
              <w:bottom w:val="nil"/>
              <w:right w:val="nil"/>
            </w:tcBorders>
            <w:shd w:val="clear" w:color="auto" w:fill="auto"/>
            <w:vAlign w:val="bottom"/>
          </w:tcPr>
          <w:p w14:paraId="712EF467" w14:textId="08FDDCB7"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3.51 ± 0.06</w:t>
            </w:r>
          </w:p>
        </w:tc>
        <w:tc>
          <w:tcPr>
            <w:tcW w:w="445" w:type="dxa"/>
            <w:tcBorders>
              <w:top w:val="nil"/>
              <w:left w:val="nil"/>
              <w:bottom w:val="nil"/>
              <w:right w:val="nil"/>
            </w:tcBorders>
          </w:tcPr>
          <w:p w14:paraId="3162F61A" w14:textId="77777777" w:rsidR="00C839D4" w:rsidRPr="009A0A0F" w:rsidRDefault="00C839D4" w:rsidP="00F3279A">
            <w:pPr>
              <w:spacing w:line="240" w:lineRule="auto"/>
              <w:jc w:val="center"/>
              <w:rPr>
                <w:rFonts w:ascii="Calibri" w:hAnsi="Calibri" w:cs="Calibri"/>
                <w:color w:val="000000"/>
                <w:sz w:val="20"/>
              </w:rPr>
            </w:pPr>
          </w:p>
        </w:tc>
        <w:tc>
          <w:tcPr>
            <w:tcW w:w="1550" w:type="dxa"/>
            <w:tcBorders>
              <w:top w:val="nil"/>
              <w:left w:val="nil"/>
              <w:bottom w:val="nil"/>
              <w:right w:val="nil"/>
            </w:tcBorders>
            <w:vAlign w:val="bottom"/>
          </w:tcPr>
          <w:p w14:paraId="3C87FF77" w14:textId="2802CCCB"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SP_MDMB-61</w:t>
            </w:r>
          </w:p>
        </w:tc>
        <w:tc>
          <w:tcPr>
            <w:tcW w:w="1463" w:type="dxa"/>
            <w:tcBorders>
              <w:top w:val="nil"/>
              <w:left w:val="nil"/>
              <w:bottom w:val="nil"/>
              <w:right w:val="nil"/>
            </w:tcBorders>
            <w:vAlign w:val="bottom"/>
          </w:tcPr>
          <w:p w14:paraId="48603EAA" w14:textId="639938F8"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-27.54 ± 0.02</w:t>
            </w:r>
          </w:p>
        </w:tc>
        <w:tc>
          <w:tcPr>
            <w:tcW w:w="1463" w:type="dxa"/>
            <w:tcBorders>
              <w:top w:val="nil"/>
              <w:left w:val="nil"/>
              <w:bottom w:val="nil"/>
              <w:right w:val="nil"/>
            </w:tcBorders>
            <w:vAlign w:val="bottom"/>
          </w:tcPr>
          <w:p w14:paraId="2F50CFB5" w14:textId="05ABAC62" w:rsidR="00C839D4" w:rsidRPr="009A0A0F" w:rsidRDefault="00C839D4" w:rsidP="00F3279A">
            <w:pPr>
              <w:spacing w:line="240" w:lineRule="auto"/>
              <w:jc w:val="center"/>
              <w:rPr>
                <w:rFonts w:ascii="Calibri" w:hAnsi="Calibri" w:cs="Calibri"/>
                <w:color w:val="000000"/>
                <w:sz w:val="20"/>
              </w:rPr>
            </w:pPr>
            <w:r w:rsidRPr="009A0A0F">
              <w:rPr>
                <w:rFonts w:ascii="Calibri" w:hAnsi="Calibri" w:cs="Calibri"/>
                <w:color w:val="000000"/>
                <w:sz w:val="20"/>
              </w:rPr>
              <w:t>4.82 ± 0.02</w:t>
            </w:r>
          </w:p>
        </w:tc>
      </w:tr>
      <w:tr w:rsidR="00C839D4" w:rsidRPr="009A0A0F" w14:paraId="58124764"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26CDC170" w14:textId="1AD7B2DA"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SP_MDMB-03</w:t>
            </w:r>
          </w:p>
        </w:tc>
        <w:tc>
          <w:tcPr>
            <w:tcW w:w="1463" w:type="dxa"/>
            <w:shd w:val="clear" w:color="auto" w:fill="auto"/>
            <w:noWrap/>
            <w:vAlign w:val="bottom"/>
          </w:tcPr>
          <w:p w14:paraId="3E82A8D3" w14:textId="0B78AF0D"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-27.65 ± 0.04</w:t>
            </w:r>
          </w:p>
        </w:tc>
        <w:tc>
          <w:tcPr>
            <w:tcW w:w="1463" w:type="dxa"/>
            <w:shd w:val="clear" w:color="auto" w:fill="auto"/>
            <w:noWrap/>
            <w:vAlign w:val="bottom"/>
          </w:tcPr>
          <w:p w14:paraId="359376E7" w14:textId="48A303D4"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3.58 ± 0.09</w:t>
            </w:r>
          </w:p>
        </w:tc>
        <w:tc>
          <w:tcPr>
            <w:tcW w:w="445" w:type="dxa"/>
          </w:tcPr>
          <w:p w14:paraId="754543FF"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7D4E83CC" w14:textId="11B16E28"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SP_MDMB-62</w:t>
            </w:r>
          </w:p>
        </w:tc>
        <w:tc>
          <w:tcPr>
            <w:tcW w:w="1463" w:type="dxa"/>
            <w:vAlign w:val="bottom"/>
          </w:tcPr>
          <w:p w14:paraId="4823142F" w14:textId="0B63A977"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-27.54 ± 0.06</w:t>
            </w:r>
          </w:p>
        </w:tc>
        <w:tc>
          <w:tcPr>
            <w:tcW w:w="1463" w:type="dxa"/>
            <w:vAlign w:val="bottom"/>
          </w:tcPr>
          <w:p w14:paraId="04CA1848" w14:textId="1B1A976B"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4.79 ± 0.05</w:t>
            </w:r>
          </w:p>
        </w:tc>
      </w:tr>
      <w:tr w:rsidR="00C839D4" w:rsidRPr="009A0A0F" w14:paraId="0011ED7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0499ADF" w14:textId="5FF51841"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SP_MDMB-04</w:t>
            </w:r>
          </w:p>
        </w:tc>
        <w:tc>
          <w:tcPr>
            <w:tcW w:w="1463" w:type="dxa"/>
            <w:shd w:val="clear" w:color="auto" w:fill="auto"/>
            <w:noWrap/>
            <w:vAlign w:val="bottom"/>
          </w:tcPr>
          <w:p w14:paraId="32C74B28" w14:textId="37450D28"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-27.65 ± 0.04</w:t>
            </w:r>
          </w:p>
        </w:tc>
        <w:tc>
          <w:tcPr>
            <w:tcW w:w="1463" w:type="dxa"/>
            <w:shd w:val="clear" w:color="auto" w:fill="auto"/>
            <w:noWrap/>
            <w:vAlign w:val="bottom"/>
          </w:tcPr>
          <w:p w14:paraId="229B17D2" w14:textId="4C6142E3"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3.53 ± 0.04</w:t>
            </w:r>
          </w:p>
        </w:tc>
        <w:tc>
          <w:tcPr>
            <w:tcW w:w="445" w:type="dxa"/>
          </w:tcPr>
          <w:p w14:paraId="32EDA869"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626284CE" w14:textId="2A1FB98A"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SP_MDMB-63</w:t>
            </w:r>
          </w:p>
        </w:tc>
        <w:tc>
          <w:tcPr>
            <w:tcW w:w="1463" w:type="dxa"/>
            <w:vAlign w:val="bottom"/>
          </w:tcPr>
          <w:p w14:paraId="788DC9AB" w14:textId="4BF055F1"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-27.61 ± 0.04</w:t>
            </w:r>
          </w:p>
        </w:tc>
        <w:tc>
          <w:tcPr>
            <w:tcW w:w="1463" w:type="dxa"/>
            <w:vAlign w:val="bottom"/>
          </w:tcPr>
          <w:p w14:paraId="727EA878" w14:textId="3ACF5CD2"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4.67 ± 0.07</w:t>
            </w:r>
          </w:p>
        </w:tc>
      </w:tr>
      <w:tr w:rsidR="00C839D4" w:rsidRPr="009A0A0F" w14:paraId="1A1F05DE"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ACFE165" w14:textId="58B06541"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SP_MDMB-05</w:t>
            </w:r>
          </w:p>
        </w:tc>
        <w:tc>
          <w:tcPr>
            <w:tcW w:w="1463" w:type="dxa"/>
            <w:shd w:val="clear" w:color="auto" w:fill="auto"/>
            <w:noWrap/>
            <w:vAlign w:val="bottom"/>
          </w:tcPr>
          <w:p w14:paraId="2406C081" w14:textId="73FBFC13"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-27.63 ± 0.03</w:t>
            </w:r>
          </w:p>
        </w:tc>
        <w:tc>
          <w:tcPr>
            <w:tcW w:w="1463" w:type="dxa"/>
            <w:shd w:val="clear" w:color="auto" w:fill="auto"/>
            <w:noWrap/>
            <w:vAlign w:val="bottom"/>
          </w:tcPr>
          <w:p w14:paraId="3213C9B0" w14:textId="663E61F4"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3.51 ± 0.06</w:t>
            </w:r>
          </w:p>
        </w:tc>
        <w:tc>
          <w:tcPr>
            <w:tcW w:w="445" w:type="dxa"/>
          </w:tcPr>
          <w:p w14:paraId="3C2D40F3"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2F218637" w14:textId="7540B5A0"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SP_MDMB-64</w:t>
            </w:r>
          </w:p>
        </w:tc>
        <w:tc>
          <w:tcPr>
            <w:tcW w:w="1463" w:type="dxa"/>
            <w:vAlign w:val="bottom"/>
          </w:tcPr>
          <w:p w14:paraId="3426C0F3" w14:textId="7266D3F2"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-27.63 ± 0.03</w:t>
            </w:r>
          </w:p>
        </w:tc>
        <w:tc>
          <w:tcPr>
            <w:tcW w:w="1463" w:type="dxa"/>
            <w:vAlign w:val="bottom"/>
          </w:tcPr>
          <w:p w14:paraId="4DC5035E" w14:textId="763B4816"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4.71 ± 0.00</w:t>
            </w:r>
          </w:p>
        </w:tc>
      </w:tr>
      <w:tr w:rsidR="00C839D4" w:rsidRPr="009A0A0F" w14:paraId="7208FE5F"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330CB86" w14:textId="0229612F"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SP_MDMB-06</w:t>
            </w:r>
          </w:p>
        </w:tc>
        <w:tc>
          <w:tcPr>
            <w:tcW w:w="1463" w:type="dxa"/>
            <w:shd w:val="clear" w:color="auto" w:fill="auto"/>
            <w:noWrap/>
            <w:vAlign w:val="bottom"/>
          </w:tcPr>
          <w:p w14:paraId="71FC9E28" w14:textId="0706B89B"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-27.65 ± 0.02</w:t>
            </w:r>
          </w:p>
        </w:tc>
        <w:tc>
          <w:tcPr>
            <w:tcW w:w="1463" w:type="dxa"/>
            <w:shd w:val="clear" w:color="auto" w:fill="auto"/>
            <w:noWrap/>
            <w:vAlign w:val="bottom"/>
          </w:tcPr>
          <w:p w14:paraId="034C5381" w14:textId="10E31D67"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3.69 ± 0.07</w:t>
            </w:r>
          </w:p>
        </w:tc>
        <w:tc>
          <w:tcPr>
            <w:tcW w:w="445" w:type="dxa"/>
          </w:tcPr>
          <w:p w14:paraId="222C2FCA"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14322D82" w14:textId="565548C7"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SP_MDMB-65</w:t>
            </w:r>
          </w:p>
        </w:tc>
        <w:tc>
          <w:tcPr>
            <w:tcW w:w="1463" w:type="dxa"/>
            <w:vAlign w:val="bottom"/>
          </w:tcPr>
          <w:p w14:paraId="64088587" w14:textId="2C1272E1"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-27.65 ± 0.02</w:t>
            </w:r>
          </w:p>
        </w:tc>
        <w:tc>
          <w:tcPr>
            <w:tcW w:w="1463" w:type="dxa"/>
            <w:vAlign w:val="bottom"/>
          </w:tcPr>
          <w:p w14:paraId="35F779D0" w14:textId="27427C17"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4.85 ± 0.02</w:t>
            </w:r>
          </w:p>
        </w:tc>
      </w:tr>
      <w:tr w:rsidR="00C839D4" w:rsidRPr="009A0A0F" w14:paraId="4962CAD8"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E136C3C" w14:textId="0881F123"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SP_MDMB-07</w:t>
            </w:r>
          </w:p>
        </w:tc>
        <w:tc>
          <w:tcPr>
            <w:tcW w:w="1463" w:type="dxa"/>
            <w:shd w:val="clear" w:color="auto" w:fill="auto"/>
            <w:noWrap/>
            <w:vAlign w:val="bottom"/>
          </w:tcPr>
          <w:p w14:paraId="2A2C1F07" w14:textId="3163C67E"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-27.70 ± 0.04</w:t>
            </w:r>
          </w:p>
        </w:tc>
        <w:tc>
          <w:tcPr>
            <w:tcW w:w="1463" w:type="dxa"/>
            <w:shd w:val="clear" w:color="auto" w:fill="auto"/>
            <w:noWrap/>
            <w:vAlign w:val="bottom"/>
          </w:tcPr>
          <w:p w14:paraId="79AF123A" w14:textId="53C9D689"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3.66 ± 0.12</w:t>
            </w:r>
          </w:p>
        </w:tc>
        <w:tc>
          <w:tcPr>
            <w:tcW w:w="445" w:type="dxa"/>
          </w:tcPr>
          <w:p w14:paraId="4C5B2E3C"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610994AD" w14:textId="470404D7"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SP_MDMB-66</w:t>
            </w:r>
          </w:p>
        </w:tc>
        <w:tc>
          <w:tcPr>
            <w:tcW w:w="1463" w:type="dxa"/>
            <w:vAlign w:val="bottom"/>
          </w:tcPr>
          <w:p w14:paraId="4799ABBB" w14:textId="47802DEA"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-27.30 ± 0.07</w:t>
            </w:r>
          </w:p>
        </w:tc>
        <w:tc>
          <w:tcPr>
            <w:tcW w:w="1463" w:type="dxa"/>
            <w:vAlign w:val="bottom"/>
          </w:tcPr>
          <w:p w14:paraId="6D5DFA93" w14:textId="70644B0B"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4.48 ± 0.29</w:t>
            </w:r>
          </w:p>
        </w:tc>
      </w:tr>
      <w:tr w:rsidR="00C839D4" w:rsidRPr="009A0A0F" w14:paraId="5A0F97F6"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6E0C9A9B" w14:textId="7C0C93DF"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SP_MDMB-08</w:t>
            </w:r>
          </w:p>
        </w:tc>
        <w:tc>
          <w:tcPr>
            <w:tcW w:w="1463" w:type="dxa"/>
            <w:shd w:val="clear" w:color="auto" w:fill="auto"/>
            <w:noWrap/>
            <w:vAlign w:val="bottom"/>
          </w:tcPr>
          <w:p w14:paraId="749419DA" w14:textId="64A80CBC"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-27.72 ± 0.02</w:t>
            </w:r>
          </w:p>
        </w:tc>
        <w:tc>
          <w:tcPr>
            <w:tcW w:w="1463" w:type="dxa"/>
            <w:shd w:val="clear" w:color="auto" w:fill="auto"/>
            <w:noWrap/>
            <w:vAlign w:val="bottom"/>
          </w:tcPr>
          <w:p w14:paraId="70B0AF9C" w14:textId="1E2624C8"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3.40 ± 0.10</w:t>
            </w:r>
          </w:p>
        </w:tc>
        <w:tc>
          <w:tcPr>
            <w:tcW w:w="445" w:type="dxa"/>
          </w:tcPr>
          <w:p w14:paraId="454DF7C5"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5B272365" w14:textId="62452EA9"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SP_MDMB-67</w:t>
            </w:r>
          </w:p>
        </w:tc>
        <w:tc>
          <w:tcPr>
            <w:tcW w:w="1463" w:type="dxa"/>
            <w:vAlign w:val="bottom"/>
          </w:tcPr>
          <w:p w14:paraId="0785C9F0" w14:textId="5ADB0AB1"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-26.71 ± 0.02</w:t>
            </w:r>
          </w:p>
        </w:tc>
        <w:tc>
          <w:tcPr>
            <w:tcW w:w="1463" w:type="dxa"/>
            <w:vAlign w:val="bottom"/>
          </w:tcPr>
          <w:p w14:paraId="32A0B369" w14:textId="5259181F"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4.10 ± 0.07</w:t>
            </w:r>
          </w:p>
        </w:tc>
      </w:tr>
      <w:tr w:rsidR="00C839D4" w:rsidRPr="009A0A0F" w14:paraId="63E64437"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2345A9E3" w14:textId="0991BFC7"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SP_MDMB-09</w:t>
            </w:r>
          </w:p>
        </w:tc>
        <w:tc>
          <w:tcPr>
            <w:tcW w:w="1463" w:type="dxa"/>
            <w:shd w:val="clear" w:color="auto" w:fill="auto"/>
            <w:noWrap/>
            <w:vAlign w:val="bottom"/>
          </w:tcPr>
          <w:p w14:paraId="4293240F" w14:textId="03132253"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-27.71 ± 0.02</w:t>
            </w:r>
          </w:p>
        </w:tc>
        <w:tc>
          <w:tcPr>
            <w:tcW w:w="1463" w:type="dxa"/>
            <w:shd w:val="clear" w:color="auto" w:fill="auto"/>
            <w:noWrap/>
            <w:vAlign w:val="bottom"/>
          </w:tcPr>
          <w:p w14:paraId="21DB2EF0" w14:textId="16A6BA85"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3.56 ± 0.04</w:t>
            </w:r>
          </w:p>
        </w:tc>
        <w:tc>
          <w:tcPr>
            <w:tcW w:w="445" w:type="dxa"/>
          </w:tcPr>
          <w:p w14:paraId="70A47EB5"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719DD791" w14:textId="3092ED3A"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SP_MDMB-68</w:t>
            </w:r>
          </w:p>
        </w:tc>
        <w:tc>
          <w:tcPr>
            <w:tcW w:w="1463" w:type="dxa"/>
            <w:vAlign w:val="bottom"/>
          </w:tcPr>
          <w:p w14:paraId="4F63D295" w14:textId="60958ABE"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-27.56 ± 0.04</w:t>
            </w:r>
          </w:p>
        </w:tc>
        <w:tc>
          <w:tcPr>
            <w:tcW w:w="1463" w:type="dxa"/>
            <w:vAlign w:val="bottom"/>
          </w:tcPr>
          <w:p w14:paraId="4392702D" w14:textId="52A17AAA"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4.86 ± 0.07</w:t>
            </w:r>
          </w:p>
        </w:tc>
      </w:tr>
      <w:tr w:rsidR="00C839D4" w:rsidRPr="009B17E7" w14:paraId="6C3B1753"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3D3D1F7" w14:textId="3776DD88"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olor w:val="000000"/>
                <w:sz w:val="20"/>
              </w:rPr>
              <w:t>SP_MDMB-10</w:t>
            </w:r>
          </w:p>
        </w:tc>
        <w:tc>
          <w:tcPr>
            <w:tcW w:w="1463" w:type="dxa"/>
            <w:shd w:val="clear" w:color="auto" w:fill="auto"/>
            <w:noWrap/>
            <w:vAlign w:val="bottom"/>
          </w:tcPr>
          <w:p w14:paraId="402ABE5B" w14:textId="7470810D"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-27.59 ± 0.05</w:t>
            </w:r>
          </w:p>
        </w:tc>
        <w:tc>
          <w:tcPr>
            <w:tcW w:w="1463" w:type="dxa"/>
            <w:shd w:val="clear" w:color="auto" w:fill="auto"/>
            <w:noWrap/>
            <w:vAlign w:val="bottom"/>
          </w:tcPr>
          <w:p w14:paraId="42D589CB" w14:textId="633BFBE9"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4.01 ± 0.01</w:t>
            </w:r>
          </w:p>
        </w:tc>
        <w:tc>
          <w:tcPr>
            <w:tcW w:w="445" w:type="dxa"/>
          </w:tcPr>
          <w:p w14:paraId="1513F755" w14:textId="77777777" w:rsidR="00C839D4" w:rsidRPr="009A0A0F" w:rsidRDefault="00C839D4" w:rsidP="00F3279A">
            <w:pPr>
              <w:spacing w:line="240" w:lineRule="auto"/>
              <w:jc w:val="center"/>
              <w:rPr>
                <w:rFonts w:ascii="Calibri" w:hAnsi="Calibri" w:cs="Calibri"/>
                <w:color w:val="000000"/>
                <w:sz w:val="20"/>
                <w:lang w:eastAsia="en-GB"/>
              </w:rPr>
            </w:pPr>
          </w:p>
        </w:tc>
        <w:tc>
          <w:tcPr>
            <w:tcW w:w="1550" w:type="dxa"/>
            <w:vAlign w:val="bottom"/>
          </w:tcPr>
          <w:p w14:paraId="3A042F67" w14:textId="111972BF"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SP_MDMB-69</w:t>
            </w:r>
          </w:p>
        </w:tc>
        <w:tc>
          <w:tcPr>
            <w:tcW w:w="1463" w:type="dxa"/>
            <w:vAlign w:val="bottom"/>
          </w:tcPr>
          <w:p w14:paraId="4D9B4CBF" w14:textId="4889F5BE" w:rsidR="00C839D4" w:rsidRPr="009A0A0F"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-27.51 ± 0.04</w:t>
            </w:r>
          </w:p>
        </w:tc>
        <w:tc>
          <w:tcPr>
            <w:tcW w:w="1463" w:type="dxa"/>
            <w:vAlign w:val="bottom"/>
          </w:tcPr>
          <w:p w14:paraId="59DC1C6B" w14:textId="345E3928" w:rsidR="00C839D4" w:rsidRPr="00C839D4" w:rsidRDefault="00C839D4" w:rsidP="00F3279A">
            <w:pPr>
              <w:spacing w:line="240" w:lineRule="auto"/>
              <w:jc w:val="center"/>
              <w:rPr>
                <w:rFonts w:ascii="Calibri" w:hAnsi="Calibri" w:cs="Calibri"/>
                <w:color w:val="000000"/>
                <w:sz w:val="20"/>
                <w:lang w:eastAsia="en-GB"/>
              </w:rPr>
            </w:pPr>
            <w:r w:rsidRPr="009A0A0F">
              <w:rPr>
                <w:rFonts w:ascii="Calibri" w:hAnsi="Calibri" w:cs="Calibri"/>
                <w:color w:val="000000"/>
                <w:sz w:val="20"/>
              </w:rPr>
              <w:t>4.66 ± 0.08</w:t>
            </w:r>
          </w:p>
        </w:tc>
      </w:tr>
      <w:tr w:rsidR="00C839D4" w:rsidRPr="009B17E7" w14:paraId="67AE8FCA"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1FABEEB" w14:textId="661D72A3" w:rsidR="00C839D4" w:rsidRPr="009B17E7" w:rsidRDefault="00C839D4" w:rsidP="00F3279A">
            <w:pPr>
              <w:spacing w:line="240" w:lineRule="auto"/>
              <w:jc w:val="center"/>
              <w:rPr>
                <w:rFonts w:ascii="Calibri" w:hAnsi="Calibri" w:cs="Calibri"/>
                <w:color w:val="000000"/>
                <w:sz w:val="20"/>
                <w:lang w:eastAsia="en-GB"/>
              </w:rPr>
            </w:pPr>
            <w:r w:rsidRPr="009B17E7">
              <w:rPr>
                <w:rFonts w:ascii="Calibri" w:hAnsi="Calibri"/>
                <w:color w:val="000000"/>
                <w:sz w:val="20"/>
              </w:rPr>
              <w:t>SP_MDMB-11</w:t>
            </w:r>
          </w:p>
        </w:tc>
        <w:tc>
          <w:tcPr>
            <w:tcW w:w="1463" w:type="dxa"/>
            <w:shd w:val="clear" w:color="auto" w:fill="auto"/>
            <w:noWrap/>
            <w:vAlign w:val="bottom"/>
          </w:tcPr>
          <w:p w14:paraId="7B7B0945" w14:textId="0C6E316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-27.66 ± 0.01</w:t>
            </w:r>
          </w:p>
        </w:tc>
        <w:tc>
          <w:tcPr>
            <w:tcW w:w="1463" w:type="dxa"/>
            <w:shd w:val="clear" w:color="auto" w:fill="auto"/>
            <w:noWrap/>
            <w:vAlign w:val="bottom"/>
          </w:tcPr>
          <w:p w14:paraId="3A1F9C58" w14:textId="4A0E796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3.63 ± 0.04</w:t>
            </w:r>
          </w:p>
        </w:tc>
        <w:tc>
          <w:tcPr>
            <w:tcW w:w="445" w:type="dxa"/>
          </w:tcPr>
          <w:p w14:paraId="69BDB49B"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DC699F1" w14:textId="600855E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SP_MDMB-70</w:t>
            </w:r>
          </w:p>
        </w:tc>
        <w:tc>
          <w:tcPr>
            <w:tcW w:w="1463" w:type="dxa"/>
            <w:vAlign w:val="bottom"/>
          </w:tcPr>
          <w:p w14:paraId="370C8127" w14:textId="7105135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-27.58 ± 0.01</w:t>
            </w:r>
          </w:p>
        </w:tc>
        <w:tc>
          <w:tcPr>
            <w:tcW w:w="1463" w:type="dxa"/>
            <w:vAlign w:val="bottom"/>
          </w:tcPr>
          <w:p w14:paraId="75C37D65" w14:textId="74B8C37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4.74 ± 0.07</w:t>
            </w:r>
          </w:p>
        </w:tc>
      </w:tr>
      <w:tr w:rsidR="00C839D4" w:rsidRPr="009B17E7" w14:paraId="046B119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2ECF1B37" w14:textId="12C3B4F4" w:rsidR="00C839D4" w:rsidRPr="009B17E7" w:rsidRDefault="00C839D4" w:rsidP="00F3279A">
            <w:pPr>
              <w:spacing w:line="240" w:lineRule="auto"/>
              <w:jc w:val="center"/>
              <w:rPr>
                <w:rFonts w:ascii="Calibri" w:hAnsi="Calibri" w:cs="Calibri"/>
                <w:color w:val="000000"/>
                <w:sz w:val="20"/>
                <w:lang w:eastAsia="en-GB"/>
              </w:rPr>
            </w:pPr>
            <w:r w:rsidRPr="009B17E7">
              <w:rPr>
                <w:rFonts w:ascii="Calibri" w:hAnsi="Calibri"/>
                <w:color w:val="000000"/>
                <w:sz w:val="20"/>
              </w:rPr>
              <w:t>SP_MDMB-12</w:t>
            </w:r>
          </w:p>
        </w:tc>
        <w:tc>
          <w:tcPr>
            <w:tcW w:w="1463" w:type="dxa"/>
            <w:shd w:val="clear" w:color="auto" w:fill="auto"/>
            <w:noWrap/>
            <w:vAlign w:val="bottom"/>
          </w:tcPr>
          <w:p w14:paraId="5A53D6DC" w14:textId="68718B2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-27.74 ± 0.03</w:t>
            </w:r>
          </w:p>
        </w:tc>
        <w:tc>
          <w:tcPr>
            <w:tcW w:w="1463" w:type="dxa"/>
            <w:shd w:val="clear" w:color="auto" w:fill="auto"/>
            <w:noWrap/>
            <w:vAlign w:val="bottom"/>
          </w:tcPr>
          <w:p w14:paraId="5D669381" w14:textId="6DB3A8F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3.41 ± 0.10</w:t>
            </w:r>
          </w:p>
        </w:tc>
        <w:tc>
          <w:tcPr>
            <w:tcW w:w="445" w:type="dxa"/>
          </w:tcPr>
          <w:p w14:paraId="4335B70C"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EBC1282" w14:textId="5C864D7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SP_MDMB-71</w:t>
            </w:r>
          </w:p>
        </w:tc>
        <w:tc>
          <w:tcPr>
            <w:tcW w:w="1463" w:type="dxa"/>
            <w:vAlign w:val="bottom"/>
          </w:tcPr>
          <w:p w14:paraId="101F0C8D" w14:textId="158372C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-27.69 ± 0.03</w:t>
            </w:r>
          </w:p>
        </w:tc>
        <w:tc>
          <w:tcPr>
            <w:tcW w:w="1463" w:type="dxa"/>
            <w:vAlign w:val="bottom"/>
          </w:tcPr>
          <w:p w14:paraId="12313280" w14:textId="5D8A237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4.66 ± 0.03</w:t>
            </w:r>
          </w:p>
        </w:tc>
      </w:tr>
      <w:tr w:rsidR="00C839D4" w:rsidRPr="009B17E7" w14:paraId="213A66D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A8EDDCC" w14:textId="7901B108" w:rsidR="00C839D4" w:rsidRPr="009B17E7" w:rsidRDefault="00C839D4" w:rsidP="00F3279A">
            <w:pPr>
              <w:spacing w:line="240" w:lineRule="auto"/>
              <w:jc w:val="center"/>
              <w:rPr>
                <w:rFonts w:ascii="Calibri" w:hAnsi="Calibri" w:cs="Calibri"/>
                <w:color w:val="000000"/>
                <w:sz w:val="20"/>
                <w:lang w:eastAsia="en-GB"/>
              </w:rPr>
            </w:pPr>
            <w:r w:rsidRPr="009B17E7">
              <w:rPr>
                <w:rFonts w:ascii="Calibri" w:hAnsi="Calibri"/>
                <w:color w:val="000000"/>
                <w:sz w:val="20"/>
              </w:rPr>
              <w:t>SP_MDMB-13</w:t>
            </w:r>
          </w:p>
        </w:tc>
        <w:tc>
          <w:tcPr>
            <w:tcW w:w="1463" w:type="dxa"/>
            <w:shd w:val="clear" w:color="auto" w:fill="auto"/>
            <w:noWrap/>
            <w:vAlign w:val="bottom"/>
          </w:tcPr>
          <w:p w14:paraId="75DF8BF6" w14:textId="5BB8075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-27.61 ± 0.03</w:t>
            </w:r>
          </w:p>
        </w:tc>
        <w:tc>
          <w:tcPr>
            <w:tcW w:w="1463" w:type="dxa"/>
            <w:shd w:val="clear" w:color="auto" w:fill="auto"/>
            <w:noWrap/>
            <w:vAlign w:val="bottom"/>
          </w:tcPr>
          <w:p w14:paraId="1C0946B1" w14:textId="4618DF9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3.70 ± 0.13</w:t>
            </w:r>
          </w:p>
        </w:tc>
        <w:tc>
          <w:tcPr>
            <w:tcW w:w="445" w:type="dxa"/>
          </w:tcPr>
          <w:p w14:paraId="2AE9C48D"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65261D4D" w14:textId="2790623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SP_MDMB-72</w:t>
            </w:r>
          </w:p>
        </w:tc>
        <w:tc>
          <w:tcPr>
            <w:tcW w:w="1463" w:type="dxa"/>
            <w:vAlign w:val="bottom"/>
          </w:tcPr>
          <w:p w14:paraId="023F0923" w14:textId="74D32E3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-26.42 ± 0.02</w:t>
            </w:r>
          </w:p>
        </w:tc>
        <w:tc>
          <w:tcPr>
            <w:tcW w:w="1463" w:type="dxa"/>
            <w:vAlign w:val="bottom"/>
          </w:tcPr>
          <w:p w14:paraId="474E4859" w14:textId="019E4CC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4.04 ± 0.14</w:t>
            </w:r>
          </w:p>
        </w:tc>
      </w:tr>
      <w:tr w:rsidR="00C839D4" w:rsidRPr="009B17E7" w14:paraId="22A2F1A0"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888DF4F" w14:textId="50F1692E" w:rsidR="00C839D4" w:rsidRPr="009B17E7" w:rsidRDefault="00C839D4" w:rsidP="00F3279A">
            <w:pPr>
              <w:spacing w:line="240" w:lineRule="auto"/>
              <w:jc w:val="center"/>
              <w:rPr>
                <w:rFonts w:ascii="Calibri" w:hAnsi="Calibri" w:cs="Calibri"/>
                <w:color w:val="000000"/>
                <w:sz w:val="20"/>
                <w:lang w:eastAsia="en-GB"/>
              </w:rPr>
            </w:pPr>
            <w:r w:rsidRPr="009B17E7">
              <w:rPr>
                <w:rFonts w:ascii="Calibri" w:hAnsi="Calibri"/>
                <w:color w:val="000000"/>
                <w:sz w:val="20"/>
              </w:rPr>
              <w:t>SP_MDMB-14</w:t>
            </w:r>
          </w:p>
        </w:tc>
        <w:tc>
          <w:tcPr>
            <w:tcW w:w="1463" w:type="dxa"/>
            <w:shd w:val="clear" w:color="auto" w:fill="auto"/>
            <w:noWrap/>
            <w:vAlign w:val="bottom"/>
          </w:tcPr>
          <w:p w14:paraId="15EBCE4A" w14:textId="624DB80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-27.69 ± 0.01</w:t>
            </w:r>
          </w:p>
        </w:tc>
        <w:tc>
          <w:tcPr>
            <w:tcW w:w="1463" w:type="dxa"/>
            <w:shd w:val="clear" w:color="auto" w:fill="auto"/>
            <w:noWrap/>
            <w:vAlign w:val="bottom"/>
          </w:tcPr>
          <w:p w14:paraId="1255B8A3" w14:textId="6F958DF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3.43 ± 0.06</w:t>
            </w:r>
          </w:p>
        </w:tc>
        <w:tc>
          <w:tcPr>
            <w:tcW w:w="445" w:type="dxa"/>
          </w:tcPr>
          <w:p w14:paraId="7D99113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43565AE" w14:textId="4B779DE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SP_MDMB-73</w:t>
            </w:r>
          </w:p>
        </w:tc>
        <w:tc>
          <w:tcPr>
            <w:tcW w:w="1463" w:type="dxa"/>
            <w:vAlign w:val="bottom"/>
          </w:tcPr>
          <w:p w14:paraId="3F8ABF2B" w14:textId="008F270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-27.47 ± 0.02</w:t>
            </w:r>
          </w:p>
        </w:tc>
        <w:tc>
          <w:tcPr>
            <w:tcW w:w="1463" w:type="dxa"/>
            <w:vAlign w:val="bottom"/>
          </w:tcPr>
          <w:p w14:paraId="48D4B14F" w14:textId="28C5D34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3.63 ± 0.15</w:t>
            </w:r>
          </w:p>
        </w:tc>
      </w:tr>
      <w:tr w:rsidR="00C839D4" w:rsidRPr="009B17E7" w14:paraId="75BFEE5B"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601C5D5E" w14:textId="585CEB7E" w:rsidR="00C839D4" w:rsidRPr="009B17E7" w:rsidRDefault="00C839D4" w:rsidP="00F3279A">
            <w:pPr>
              <w:spacing w:line="240" w:lineRule="auto"/>
              <w:jc w:val="center"/>
              <w:rPr>
                <w:rFonts w:ascii="Calibri" w:hAnsi="Calibri" w:cs="Calibri"/>
                <w:color w:val="000000"/>
                <w:sz w:val="20"/>
                <w:lang w:eastAsia="en-GB"/>
              </w:rPr>
            </w:pPr>
            <w:r w:rsidRPr="009B17E7">
              <w:rPr>
                <w:rFonts w:ascii="Calibri" w:hAnsi="Calibri"/>
                <w:color w:val="000000"/>
                <w:sz w:val="20"/>
              </w:rPr>
              <w:t>SP_MDMB-15</w:t>
            </w:r>
          </w:p>
        </w:tc>
        <w:tc>
          <w:tcPr>
            <w:tcW w:w="1463" w:type="dxa"/>
            <w:shd w:val="clear" w:color="auto" w:fill="auto"/>
            <w:noWrap/>
            <w:vAlign w:val="bottom"/>
          </w:tcPr>
          <w:p w14:paraId="3B36BB9C" w14:textId="400DEC8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-27.77 ± 0.02</w:t>
            </w:r>
          </w:p>
        </w:tc>
        <w:tc>
          <w:tcPr>
            <w:tcW w:w="1463" w:type="dxa"/>
            <w:shd w:val="clear" w:color="auto" w:fill="auto"/>
            <w:noWrap/>
            <w:vAlign w:val="bottom"/>
          </w:tcPr>
          <w:p w14:paraId="3DC82F0E" w14:textId="0AEF9F3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4.75 ± 0.08</w:t>
            </w:r>
          </w:p>
        </w:tc>
        <w:tc>
          <w:tcPr>
            <w:tcW w:w="445" w:type="dxa"/>
          </w:tcPr>
          <w:p w14:paraId="43C20EB1"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06BA77A4" w14:textId="54BE4EE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SP_MDMB-74</w:t>
            </w:r>
          </w:p>
        </w:tc>
        <w:tc>
          <w:tcPr>
            <w:tcW w:w="1463" w:type="dxa"/>
            <w:vAlign w:val="bottom"/>
          </w:tcPr>
          <w:p w14:paraId="3A8C922A" w14:textId="5BCDEAE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-26.47 ± 0.08</w:t>
            </w:r>
          </w:p>
        </w:tc>
        <w:tc>
          <w:tcPr>
            <w:tcW w:w="1463" w:type="dxa"/>
            <w:vAlign w:val="bottom"/>
          </w:tcPr>
          <w:p w14:paraId="3DD028F4" w14:textId="26E8584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4.30 ± 0.31</w:t>
            </w:r>
          </w:p>
        </w:tc>
      </w:tr>
      <w:tr w:rsidR="00C839D4" w:rsidRPr="009B17E7" w14:paraId="1FAD697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F281177" w14:textId="7FC31C2F" w:rsidR="00C839D4" w:rsidRPr="009B17E7" w:rsidRDefault="00C839D4" w:rsidP="00F3279A">
            <w:pPr>
              <w:spacing w:line="240" w:lineRule="auto"/>
              <w:jc w:val="center"/>
              <w:rPr>
                <w:rFonts w:ascii="Calibri" w:hAnsi="Calibri" w:cs="Calibri"/>
                <w:color w:val="000000"/>
                <w:sz w:val="20"/>
                <w:lang w:eastAsia="en-GB"/>
              </w:rPr>
            </w:pPr>
            <w:r w:rsidRPr="009B17E7">
              <w:rPr>
                <w:rFonts w:ascii="Calibri" w:hAnsi="Calibri"/>
                <w:color w:val="000000"/>
                <w:sz w:val="20"/>
              </w:rPr>
              <w:t>SP_MDMB-16</w:t>
            </w:r>
          </w:p>
        </w:tc>
        <w:tc>
          <w:tcPr>
            <w:tcW w:w="1463" w:type="dxa"/>
            <w:shd w:val="clear" w:color="auto" w:fill="auto"/>
            <w:noWrap/>
            <w:vAlign w:val="bottom"/>
          </w:tcPr>
          <w:p w14:paraId="1F32FE8A" w14:textId="577E151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-27.81 ± 0.03</w:t>
            </w:r>
          </w:p>
        </w:tc>
        <w:tc>
          <w:tcPr>
            <w:tcW w:w="1463" w:type="dxa"/>
            <w:shd w:val="clear" w:color="auto" w:fill="auto"/>
            <w:noWrap/>
            <w:vAlign w:val="bottom"/>
          </w:tcPr>
          <w:p w14:paraId="025BB4BA" w14:textId="29AB08C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4.59 ± 0.09</w:t>
            </w:r>
          </w:p>
        </w:tc>
        <w:tc>
          <w:tcPr>
            <w:tcW w:w="445" w:type="dxa"/>
          </w:tcPr>
          <w:p w14:paraId="1330E6B7"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560FB53A" w14:textId="6B23643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SP_MDMB-75</w:t>
            </w:r>
          </w:p>
        </w:tc>
        <w:tc>
          <w:tcPr>
            <w:tcW w:w="1463" w:type="dxa"/>
            <w:vAlign w:val="bottom"/>
          </w:tcPr>
          <w:p w14:paraId="33A84C23" w14:textId="423B20B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-27.52 ± 0.10</w:t>
            </w:r>
          </w:p>
        </w:tc>
        <w:tc>
          <w:tcPr>
            <w:tcW w:w="1463" w:type="dxa"/>
            <w:vAlign w:val="bottom"/>
          </w:tcPr>
          <w:p w14:paraId="5A7D9AED" w14:textId="64F1DDE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4.75 ± 0.30</w:t>
            </w:r>
          </w:p>
        </w:tc>
      </w:tr>
      <w:tr w:rsidR="00C839D4" w:rsidRPr="009B17E7" w14:paraId="671D1BB7"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AB4AFC2" w14:textId="7B1D27F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SP_MDMB-17</w:t>
            </w:r>
          </w:p>
        </w:tc>
        <w:tc>
          <w:tcPr>
            <w:tcW w:w="1463" w:type="dxa"/>
            <w:shd w:val="clear" w:color="auto" w:fill="auto"/>
            <w:noWrap/>
            <w:vAlign w:val="bottom"/>
          </w:tcPr>
          <w:p w14:paraId="60C78D07" w14:textId="17EE617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-27.76 ± 0.05</w:t>
            </w:r>
          </w:p>
        </w:tc>
        <w:tc>
          <w:tcPr>
            <w:tcW w:w="1463" w:type="dxa"/>
            <w:shd w:val="clear" w:color="auto" w:fill="auto"/>
            <w:noWrap/>
            <w:vAlign w:val="bottom"/>
          </w:tcPr>
          <w:p w14:paraId="627A206E" w14:textId="401AC12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4.73 ± 0.10</w:t>
            </w:r>
          </w:p>
        </w:tc>
        <w:tc>
          <w:tcPr>
            <w:tcW w:w="445" w:type="dxa"/>
          </w:tcPr>
          <w:p w14:paraId="023B0278"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CDA554A" w14:textId="5E75860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SP_MDMB-76</w:t>
            </w:r>
          </w:p>
        </w:tc>
        <w:tc>
          <w:tcPr>
            <w:tcW w:w="1463" w:type="dxa"/>
            <w:vAlign w:val="bottom"/>
          </w:tcPr>
          <w:p w14:paraId="4F06CB5B" w14:textId="2539ABF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-27.39 ± 0.07</w:t>
            </w:r>
          </w:p>
        </w:tc>
        <w:tc>
          <w:tcPr>
            <w:tcW w:w="1463" w:type="dxa"/>
            <w:vAlign w:val="bottom"/>
          </w:tcPr>
          <w:p w14:paraId="52B439E0" w14:textId="51D171B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4.86 ± 0.27</w:t>
            </w:r>
          </w:p>
        </w:tc>
      </w:tr>
      <w:tr w:rsidR="00C839D4" w:rsidRPr="009B17E7" w14:paraId="042FE35A"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62BD3769" w14:textId="28940AE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SP_MDMB-18</w:t>
            </w:r>
          </w:p>
        </w:tc>
        <w:tc>
          <w:tcPr>
            <w:tcW w:w="1463" w:type="dxa"/>
            <w:shd w:val="clear" w:color="auto" w:fill="auto"/>
            <w:noWrap/>
            <w:vAlign w:val="bottom"/>
          </w:tcPr>
          <w:p w14:paraId="1003A19F" w14:textId="74E0B7C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-27.37 ± 0.07</w:t>
            </w:r>
          </w:p>
        </w:tc>
        <w:tc>
          <w:tcPr>
            <w:tcW w:w="1463" w:type="dxa"/>
            <w:shd w:val="clear" w:color="auto" w:fill="auto"/>
            <w:noWrap/>
            <w:vAlign w:val="bottom"/>
          </w:tcPr>
          <w:p w14:paraId="765C0881" w14:textId="2F641D3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3.47 ± 0.19</w:t>
            </w:r>
          </w:p>
        </w:tc>
        <w:tc>
          <w:tcPr>
            <w:tcW w:w="445" w:type="dxa"/>
          </w:tcPr>
          <w:p w14:paraId="43BF4276"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B657D9D" w14:textId="1170823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SP_MDMB-77</w:t>
            </w:r>
          </w:p>
        </w:tc>
        <w:tc>
          <w:tcPr>
            <w:tcW w:w="1463" w:type="dxa"/>
            <w:vAlign w:val="bottom"/>
          </w:tcPr>
          <w:p w14:paraId="1F90B439" w14:textId="4D65B77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-27.29 ± 0.04</w:t>
            </w:r>
          </w:p>
        </w:tc>
        <w:tc>
          <w:tcPr>
            <w:tcW w:w="1463" w:type="dxa"/>
            <w:vAlign w:val="bottom"/>
          </w:tcPr>
          <w:p w14:paraId="0D5EAD6D" w14:textId="6C799FE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5.01 ± 0.17</w:t>
            </w:r>
          </w:p>
        </w:tc>
      </w:tr>
      <w:tr w:rsidR="00C839D4" w:rsidRPr="009B17E7" w14:paraId="7AAE3CEF"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C31A260" w14:textId="5273DCDF"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SP_MDMB-19</w:t>
            </w:r>
          </w:p>
        </w:tc>
        <w:tc>
          <w:tcPr>
            <w:tcW w:w="1463" w:type="dxa"/>
            <w:shd w:val="clear" w:color="auto" w:fill="auto"/>
            <w:noWrap/>
            <w:vAlign w:val="bottom"/>
          </w:tcPr>
          <w:p w14:paraId="572F1CEF" w14:textId="01476F0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-27.49 ± 0.05</w:t>
            </w:r>
          </w:p>
        </w:tc>
        <w:tc>
          <w:tcPr>
            <w:tcW w:w="1463" w:type="dxa"/>
            <w:shd w:val="clear" w:color="auto" w:fill="auto"/>
            <w:noWrap/>
            <w:vAlign w:val="bottom"/>
          </w:tcPr>
          <w:p w14:paraId="4575D16B" w14:textId="6B3B8A8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3.61 ± 0.05</w:t>
            </w:r>
          </w:p>
        </w:tc>
        <w:tc>
          <w:tcPr>
            <w:tcW w:w="445" w:type="dxa"/>
          </w:tcPr>
          <w:p w14:paraId="53EFD27B"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326AA601" w14:textId="7977D6D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SP_MDMB-78</w:t>
            </w:r>
          </w:p>
        </w:tc>
        <w:tc>
          <w:tcPr>
            <w:tcW w:w="1463" w:type="dxa"/>
            <w:vAlign w:val="bottom"/>
          </w:tcPr>
          <w:p w14:paraId="406F4EBA" w14:textId="474ADA0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-27.65 ± 0.02</w:t>
            </w:r>
          </w:p>
        </w:tc>
        <w:tc>
          <w:tcPr>
            <w:tcW w:w="1463" w:type="dxa"/>
            <w:vAlign w:val="bottom"/>
          </w:tcPr>
          <w:p w14:paraId="092C11A9" w14:textId="7CB3E5D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4.63 ± 0.06</w:t>
            </w:r>
          </w:p>
        </w:tc>
      </w:tr>
      <w:tr w:rsidR="00C839D4" w:rsidRPr="009B17E7" w14:paraId="272677F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964940A" w14:textId="41ED2862"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SP_MDMB-20</w:t>
            </w:r>
          </w:p>
        </w:tc>
        <w:tc>
          <w:tcPr>
            <w:tcW w:w="1463" w:type="dxa"/>
            <w:shd w:val="clear" w:color="auto" w:fill="auto"/>
            <w:noWrap/>
            <w:vAlign w:val="bottom"/>
          </w:tcPr>
          <w:p w14:paraId="728FF6CE" w14:textId="190DCCE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-27.49 ± 0.13</w:t>
            </w:r>
          </w:p>
        </w:tc>
        <w:tc>
          <w:tcPr>
            <w:tcW w:w="1463" w:type="dxa"/>
            <w:shd w:val="clear" w:color="auto" w:fill="auto"/>
            <w:noWrap/>
            <w:vAlign w:val="bottom"/>
          </w:tcPr>
          <w:p w14:paraId="17FC3F5D" w14:textId="3B26C52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3.51 ± 0.16</w:t>
            </w:r>
          </w:p>
        </w:tc>
        <w:tc>
          <w:tcPr>
            <w:tcW w:w="445" w:type="dxa"/>
          </w:tcPr>
          <w:p w14:paraId="43179672"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AF36E13" w14:textId="375A737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SP_MDMB-79</w:t>
            </w:r>
          </w:p>
        </w:tc>
        <w:tc>
          <w:tcPr>
            <w:tcW w:w="1463" w:type="dxa"/>
            <w:vAlign w:val="bottom"/>
          </w:tcPr>
          <w:p w14:paraId="67D2C6DC" w14:textId="659BF7A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-27.23 ± 0.08</w:t>
            </w:r>
          </w:p>
        </w:tc>
        <w:tc>
          <w:tcPr>
            <w:tcW w:w="1463" w:type="dxa"/>
            <w:vAlign w:val="bottom"/>
          </w:tcPr>
          <w:p w14:paraId="1C23DEC9" w14:textId="3A85901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5.03 ± 0.21</w:t>
            </w:r>
          </w:p>
        </w:tc>
      </w:tr>
      <w:tr w:rsidR="00C839D4" w:rsidRPr="009B17E7" w14:paraId="1D846BB7"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9D552B8" w14:textId="42331B7B"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SP_MDMB-21</w:t>
            </w:r>
          </w:p>
        </w:tc>
        <w:tc>
          <w:tcPr>
            <w:tcW w:w="1463" w:type="dxa"/>
            <w:shd w:val="clear" w:color="auto" w:fill="auto"/>
            <w:noWrap/>
            <w:vAlign w:val="bottom"/>
          </w:tcPr>
          <w:p w14:paraId="57D3065A" w14:textId="4B99F40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-27.70 ± 0.02</w:t>
            </w:r>
          </w:p>
        </w:tc>
        <w:tc>
          <w:tcPr>
            <w:tcW w:w="1463" w:type="dxa"/>
            <w:shd w:val="clear" w:color="auto" w:fill="auto"/>
            <w:noWrap/>
            <w:vAlign w:val="bottom"/>
          </w:tcPr>
          <w:p w14:paraId="55A79CA9" w14:textId="7FA4035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3.73 ± 0.11</w:t>
            </w:r>
          </w:p>
        </w:tc>
        <w:tc>
          <w:tcPr>
            <w:tcW w:w="445" w:type="dxa"/>
          </w:tcPr>
          <w:p w14:paraId="1A31E3CD"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06FCF23D" w14:textId="6466570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SP_MDMB-80</w:t>
            </w:r>
          </w:p>
        </w:tc>
        <w:tc>
          <w:tcPr>
            <w:tcW w:w="1463" w:type="dxa"/>
            <w:vAlign w:val="bottom"/>
          </w:tcPr>
          <w:p w14:paraId="30E5BB91" w14:textId="08FDB86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-27.44 ± 0.14</w:t>
            </w:r>
          </w:p>
        </w:tc>
        <w:tc>
          <w:tcPr>
            <w:tcW w:w="1463" w:type="dxa"/>
            <w:vAlign w:val="bottom"/>
          </w:tcPr>
          <w:p w14:paraId="7859865C" w14:textId="4B1082E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4.72 ± 0.15</w:t>
            </w:r>
          </w:p>
        </w:tc>
      </w:tr>
      <w:tr w:rsidR="00C839D4" w:rsidRPr="009B17E7" w14:paraId="2F9B6C6A"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C24FB5B" w14:textId="3DB21C65"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SP_MDMB-22</w:t>
            </w:r>
          </w:p>
        </w:tc>
        <w:tc>
          <w:tcPr>
            <w:tcW w:w="1463" w:type="dxa"/>
            <w:shd w:val="clear" w:color="auto" w:fill="auto"/>
            <w:noWrap/>
            <w:vAlign w:val="bottom"/>
          </w:tcPr>
          <w:p w14:paraId="31CBD4E2" w14:textId="3C67225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-27.66 ± 0.04</w:t>
            </w:r>
          </w:p>
        </w:tc>
        <w:tc>
          <w:tcPr>
            <w:tcW w:w="1463" w:type="dxa"/>
            <w:shd w:val="clear" w:color="auto" w:fill="auto"/>
            <w:noWrap/>
            <w:vAlign w:val="bottom"/>
          </w:tcPr>
          <w:p w14:paraId="73B2C1A2" w14:textId="4BAFA7C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3.58 ± 0.13</w:t>
            </w:r>
          </w:p>
        </w:tc>
        <w:tc>
          <w:tcPr>
            <w:tcW w:w="445" w:type="dxa"/>
          </w:tcPr>
          <w:p w14:paraId="2BBB5465"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CA179F0" w14:textId="3BE3EAE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SP_MDMB-81</w:t>
            </w:r>
          </w:p>
        </w:tc>
        <w:tc>
          <w:tcPr>
            <w:tcW w:w="1463" w:type="dxa"/>
            <w:vAlign w:val="bottom"/>
          </w:tcPr>
          <w:p w14:paraId="69CFBE75" w14:textId="0E56964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-27.46 ± 0.08</w:t>
            </w:r>
          </w:p>
        </w:tc>
        <w:tc>
          <w:tcPr>
            <w:tcW w:w="1463" w:type="dxa"/>
            <w:vAlign w:val="bottom"/>
          </w:tcPr>
          <w:p w14:paraId="61CA7946" w14:textId="6A7BBB0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4.93 ± 0.10</w:t>
            </w:r>
          </w:p>
        </w:tc>
      </w:tr>
      <w:tr w:rsidR="00C839D4" w:rsidRPr="009B17E7" w14:paraId="2A8690E7"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89AED41" w14:textId="74F818F1"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SP_MDMB-23</w:t>
            </w:r>
          </w:p>
        </w:tc>
        <w:tc>
          <w:tcPr>
            <w:tcW w:w="1463" w:type="dxa"/>
            <w:shd w:val="clear" w:color="auto" w:fill="auto"/>
            <w:noWrap/>
            <w:vAlign w:val="bottom"/>
          </w:tcPr>
          <w:p w14:paraId="6A8CD324" w14:textId="69F7C8E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-27.70 ± 0.04</w:t>
            </w:r>
          </w:p>
        </w:tc>
        <w:tc>
          <w:tcPr>
            <w:tcW w:w="1463" w:type="dxa"/>
            <w:shd w:val="clear" w:color="auto" w:fill="auto"/>
            <w:noWrap/>
            <w:vAlign w:val="bottom"/>
          </w:tcPr>
          <w:p w14:paraId="378D0816" w14:textId="6F4C659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3.41 ± 0.12</w:t>
            </w:r>
          </w:p>
        </w:tc>
        <w:tc>
          <w:tcPr>
            <w:tcW w:w="445" w:type="dxa"/>
          </w:tcPr>
          <w:p w14:paraId="387BFF12"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07F52F88" w14:textId="05CD13D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SP_MDMB-82</w:t>
            </w:r>
          </w:p>
        </w:tc>
        <w:tc>
          <w:tcPr>
            <w:tcW w:w="1463" w:type="dxa"/>
            <w:vAlign w:val="bottom"/>
          </w:tcPr>
          <w:p w14:paraId="642D2DA6" w14:textId="55D7518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-26.47 ± 0.11</w:t>
            </w:r>
          </w:p>
        </w:tc>
        <w:tc>
          <w:tcPr>
            <w:tcW w:w="1463" w:type="dxa"/>
            <w:vAlign w:val="bottom"/>
          </w:tcPr>
          <w:p w14:paraId="343D30D1" w14:textId="063AD49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4.08 ± 0.39</w:t>
            </w:r>
          </w:p>
        </w:tc>
      </w:tr>
      <w:tr w:rsidR="00C839D4" w:rsidRPr="009B17E7" w14:paraId="44EC5BE5"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771B2A2" w14:textId="6CE1D5FA"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SP_MDMB-24</w:t>
            </w:r>
          </w:p>
        </w:tc>
        <w:tc>
          <w:tcPr>
            <w:tcW w:w="1463" w:type="dxa"/>
            <w:shd w:val="clear" w:color="auto" w:fill="auto"/>
            <w:noWrap/>
            <w:vAlign w:val="bottom"/>
          </w:tcPr>
          <w:p w14:paraId="2FDE939F" w14:textId="0CA5B7C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-27.70 ± 0.02</w:t>
            </w:r>
          </w:p>
        </w:tc>
        <w:tc>
          <w:tcPr>
            <w:tcW w:w="1463" w:type="dxa"/>
            <w:shd w:val="clear" w:color="auto" w:fill="auto"/>
            <w:noWrap/>
            <w:vAlign w:val="bottom"/>
          </w:tcPr>
          <w:p w14:paraId="08D1F908" w14:textId="3748158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4.40 ± 0.09</w:t>
            </w:r>
          </w:p>
        </w:tc>
        <w:tc>
          <w:tcPr>
            <w:tcW w:w="445" w:type="dxa"/>
          </w:tcPr>
          <w:p w14:paraId="7A4B5935"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37AA3406" w14:textId="316DCCA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SP_MDMB-83</w:t>
            </w:r>
          </w:p>
        </w:tc>
        <w:tc>
          <w:tcPr>
            <w:tcW w:w="1463" w:type="dxa"/>
            <w:vAlign w:val="bottom"/>
          </w:tcPr>
          <w:p w14:paraId="179AA811" w14:textId="22EAAC8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-26.50 ± 0.10</w:t>
            </w:r>
          </w:p>
        </w:tc>
        <w:tc>
          <w:tcPr>
            <w:tcW w:w="1463" w:type="dxa"/>
            <w:vAlign w:val="bottom"/>
          </w:tcPr>
          <w:p w14:paraId="232E5E82" w14:textId="7DBEB6D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4.04 ± 0.24</w:t>
            </w:r>
          </w:p>
        </w:tc>
      </w:tr>
      <w:tr w:rsidR="00C839D4" w:rsidRPr="009B17E7" w14:paraId="2864FA65"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A87BA6D" w14:textId="2EDABE8C"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SP_MDMB-25</w:t>
            </w:r>
          </w:p>
        </w:tc>
        <w:tc>
          <w:tcPr>
            <w:tcW w:w="1463" w:type="dxa"/>
            <w:shd w:val="clear" w:color="auto" w:fill="auto"/>
            <w:noWrap/>
            <w:vAlign w:val="bottom"/>
          </w:tcPr>
          <w:p w14:paraId="5407C854" w14:textId="301B020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-27.73 ± 0.02</w:t>
            </w:r>
          </w:p>
        </w:tc>
        <w:tc>
          <w:tcPr>
            <w:tcW w:w="1463" w:type="dxa"/>
            <w:shd w:val="clear" w:color="auto" w:fill="auto"/>
            <w:noWrap/>
            <w:vAlign w:val="bottom"/>
          </w:tcPr>
          <w:p w14:paraId="499D2B76" w14:textId="1F40248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3.39 ± 0.10</w:t>
            </w:r>
          </w:p>
        </w:tc>
        <w:tc>
          <w:tcPr>
            <w:tcW w:w="445" w:type="dxa"/>
          </w:tcPr>
          <w:p w14:paraId="2D992BC1"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68305571" w14:textId="0D32441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SP_MDMB-84</w:t>
            </w:r>
          </w:p>
        </w:tc>
        <w:tc>
          <w:tcPr>
            <w:tcW w:w="1463" w:type="dxa"/>
            <w:vAlign w:val="bottom"/>
          </w:tcPr>
          <w:p w14:paraId="214AB116" w14:textId="663205E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-26.37 ± 0.09</w:t>
            </w:r>
          </w:p>
        </w:tc>
        <w:tc>
          <w:tcPr>
            <w:tcW w:w="1463" w:type="dxa"/>
            <w:vAlign w:val="bottom"/>
          </w:tcPr>
          <w:p w14:paraId="49785516" w14:textId="1D7C7E1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3.92 ± 0.25</w:t>
            </w:r>
          </w:p>
        </w:tc>
      </w:tr>
      <w:tr w:rsidR="00C839D4" w:rsidRPr="009B17E7" w14:paraId="0F8E163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A8E42A6" w14:textId="18CCDBE6"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SP_MDMB-26</w:t>
            </w:r>
          </w:p>
        </w:tc>
        <w:tc>
          <w:tcPr>
            <w:tcW w:w="1463" w:type="dxa"/>
            <w:shd w:val="clear" w:color="auto" w:fill="auto"/>
            <w:noWrap/>
            <w:vAlign w:val="bottom"/>
          </w:tcPr>
          <w:p w14:paraId="7E9FA7B4" w14:textId="754D794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-27.83 ± 0.06</w:t>
            </w:r>
          </w:p>
        </w:tc>
        <w:tc>
          <w:tcPr>
            <w:tcW w:w="1463" w:type="dxa"/>
            <w:shd w:val="clear" w:color="auto" w:fill="auto"/>
            <w:noWrap/>
            <w:vAlign w:val="bottom"/>
          </w:tcPr>
          <w:p w14:paraId="4DF19695" w14:textId="5F73150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4.45 ± 0.07</w:t>
            </w:r>
          </w:p>
        </w:tc>
        <w:tc>
          <w:tcPr>
            <w:tcW w:w="445" w:type="dxa"/>
          </w:tcPr>
          <w:p w14:paraId="482AA513"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70BA6AA" w14:textId="21BF62D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SP_MDMB-85</w:t>
            </w:r>
          </w:p>
        </w:tc>
        <w:tc>
          <w:tcPr>
            <w:tcW w:w="1463" w:type="dxa"/>
            <w:vAlign w:val="bottom"/>
          </w:tcPr>
          <w:p w14:paraId="05059CA8" w14:textId="06B5125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-27.64 ± 0.06</w:t>
            </w:r>
          </w:p>
        </w:tc>
        <w:tc>
          <w:tcPr>
            <w:tcW w:w="1463" w:type="dxa"/>
            <w:vAlign w:val="bottom"/>
          </w:tcPr>
          <w:p w14:paraId="435784CA" w14:textId="17B885E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4.35 ± 0.09</w:t>
            </w:r>
          </w:p>
        </w:tc>
      </w:tr>
      <w:tr w:rsidR="00C839D4" w:rsidRPr="009B17E7" w14:paraId="7AF4BB0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8F73E34" w14:textId="061CD4A2"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SP_MDMB-27</w:t>
            </w:r>
          </w:p>
        </w:tc>
        <w:tc>
          <w:tcPr>
            <w:tcW w:w="1463" w:type="dxa"/>
            <w:shd w:val="clear" w:color="auto" w:fill="auto"/>
            <w:noWrap/>
            <w:vAlign w:val="bottom"/>
          </w:tcPr>
          <w:p w14:paraId="201A4542" w14:textId="42D57BA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-26.72 ± 0.01</w:t>
            </w:r>
          </w:p>
        </w:tc>
        <w:tc>
          <w:tcPr>
            <w:tcW w:w="1463" w:type="dxa"/>
            <w:shd w:val="clear" w:color="auto" w:fill="auto"/>
            <w:noWrap/>
            <w:vAlign w:val="bottom"/>
          </w:tcPr>
          <w:p w14:paraId="2ADFABD3" w14:textId="67DE8F8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4.02 ± 0.01</w:t>
            </w:r>
          </w:p>
        </w:tc>
        <w:tc>
          <w:tcPr>
            <w:tcW w:w="445" w:type="dxa"/>
          </w:tcPr>
          <w:p w14:paraId="61CF95FE"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3BA1107" w14:textId="291DDDF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SP_MDMB-86</w:t>
            </w:r>
          </w:p>
        </w:tc>
        <w:tc>
          <w:tcPr>
            <w:tcW w:w="1463" w:type="dxa"/>
            <w:vAlign w:val="bottom"/>
          </w:tcPr>
          <w:p w14:paraId="442C3EFE" w14:textId="15B1966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-27.67 ± 0.10</w:t>
            </w:r>
          </w:p>
        </w:tc>
        <w:tc>
          <w:tcPr>
            <w:tcW w:w="1463" w:type="dxa"/>
            <w:vAlign w:val="bottom"/>
          </w:tcPr>
          <w:p w14:paraId="70795D14" w14:textId="169BE30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3.66 ± 0.13</w:t>
            </w:r>
          </w:p>
        </w:tc>
      </w:tr>
      <w:tr w:rsidR="00C839D4" w:rsidRPr="009B17E7" w14:paraId="76FA2A3C"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9B8EC6B" w14:textId="1B1608AC"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SP_MDMB-28</w:t>
            </w:r>
          </w:p>
        </w:tc>
        <w:tc>
          <w:tcPr>
            <w:tcW w:w="1463" w:type="dxa"/>
            <w:shd w:val="clear" w:color="auto" w:fill="auto"/>
            <w:noWrap/>
            <w:vAlign w:val="bottom"/>
          </w:tcPr>
          <w:p w14:paraId="665280BD" w14:textId="4EFA3A2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-27.63 ± 0.04</w:t>
            </w:r>
          </w:p>
        </w:tc>
        <w:tc>
          <w:tcPr>
            <w:tcW w:w="1463" w:type="dxa"/>
            <w:shd w:val="clear" w:color="auto" w:fill="auto"/>
            <w:noWrap/>
            <w:vAlign w:val="bottom"/>
          </w:tcPr>
          <w:p w14:paraId="0621B186" w14:textId="3BB5BC1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4.69 ± 0.01</w:t>
            </w:r>
          </w:p>
        </w:tc>
        <w:tc>
          <w:tcPr>
            <w:tcW w:w="445" w:type="dxa"/>
          </w:tcPr>
          <w:p w14:paraId="55A41382"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28D340D" w14:textId="15B01A0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SP_MDMB-87</w:t>
            </w:r>
          </w:p>
        </w:tc>
        <w:tc>
          <w:tcPr>
            <w:tcW w:w="1463" w:type="dxa"/>
            <w:vAlign w:val="bottom"/>
          </w:tcPr>
          <w:p w14:paraId="4E1297AF" w14:textId="0CE7445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-27.56 ± 0.08</w:t>
            </w:r>
          </w:p>
        </w:tc>
        <w:tc>
          <w:tcPr>
            <w:tcW w:w="1463" w:type="dxa"/>
            <w:vAlign w:val="bottom"/>
          </w:tcPr>
          <w:p w14:paraId="3A5200EC" w14:textId="38E7C97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4.50 ± 0.14</w:t>
            </w:r>
          </w:p>
        </w:tc>
      </w:tr>
      <w:tr w:rsidR="00C839D4" w:rsidRPr="009B17E7" w14:paraId="57353AC4"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6332B17" w14:textId="37575C57"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SP_MDMB-29</w:t>
            </w:r>
          </w:p>
        </w:tc>
        <w:tc>
          <w:tcPr>
            <w:tcW w:w="1463" w:type="dxa"/>
            <w:shd w:val="clear" w:color="auto" w:fill="auto"/>
            <w:noWrap/>
            <w:vAlign w:val="bottom"/>
          </w:tcPr>
          <w:p w14:paraId="240915C1" w14:textId="3889004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-26.64 ± 0.06</w:t>
            </w:r>
          </w:p>
        </w:tc>
        <w:tc>
          <w:tcPr>
            <w:tcW w:w="1463" w:type="dxa"/>
            <w:shd w:val="clear" w:color="auto" w:fill="auto"/>
            <w:noWrap/>
            <w:vAlign w:val="bottom"/>
          </w:tcPr>
          <w:p w14:paraId="0B946575" w14:textId="1CA6991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3.99 ± 0.03</w:t>
            </w:r>
          </w:p>
        </w:tc>
        <w:tc>
          <w:tcPr>
            <w:tcW w:w="445" w:type="dxa"/>
          </w:tcPr>
          <w:p w14:paraId="5704F2E6"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3E740A3" w14:textId="4AD7227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SP_MDMB-88</w:t>
            </w:r>
          </w:p>
        </w:tc>
        <w:tc>
          <w:tcPr>
            <w:tcW w:w="1463" w:type="dxa"/>
            <w:vAlign w:val="bottom"/>
          </w:tcPr>
          <w:p w14:paraId="09A79A50" w14:textId="3E56128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-26.78 ± 0.05</w:t>
            </w:r>
          </w:p>
        </w:tc>
        <w:tc>
          <w:tcPr>
            <w:tcW w:w="1463" w:type="dxa"/>
            <w:vAlign w:val="bottom"/>
          </w:tcPr>
          <w:p w14:paraId="7DD7B485" w14:textId="3A73494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4.19 ± 0.14</w:t>
            </w:r>
          </w:p>
        </w:tc>
      </w:tr>
      <w:tr w:rsidR="00C839D4" w:rsidRPr="009B17E7" w14:paraId="7A87AE00"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01C5323" w14:textId="2D7E55B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SP_MDMB-30</w:t>
            </w:r>
          </w:p>
        </w:tc>
        <w:tc>
          <w:tcPr>
            <w:tcW w:w="1463" w:type="dxa"/>
            <w:shd w:val="clear" w:color="auto" w:fill="auto"/>
            <w:noWrap/>
            <w:vAlign w:val="bottom"/>
          </w:tcPr>
          <w:p w14:paraId="49AE28B3" w14:textId="6B84793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-26.79 ± 0.07</w:t>
            </w:r>
          </w:p>
        </w:tc>
        <w:tc>
          <w:tcPr>
            <w:tcW w:w="1463" w:type="dxa"/>
            <w:shd w:val="clear" w:color="auto" w:fill="auto"/>
            <w:noWrap/>
            <w:vAlign w:val="bottom"/>
          </w:tcPr>
          <w:p w14:paraId="395C43B4" w14:textId="3CE0FEF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4.06 ± 0.06</w:t>
            </w:r>
          </w:p>
        </w:tc>
        <w:tc>
          <w:tcPr>
            <w:tcW w:w="445" w:type="dxa"/>
          </w:tcPr>
          <w:p w14:paraId="239E20B7"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0459DB89" w14:textId="274A6AD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SP_MDMB-89</w:t>
            </w:r>
          </w:p>
        </w:tc>
        <w:tc>
          <w:tcPr>
            <w:tcW w:w="1463" w:type="dxa"/>
            <w:vAlign w:val="bottom"/>
          </w:tcPr>
          <w:p w14:paraId="0647BC16" w14:textId="68290C9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-27.60 ± 0.02</w:t>
            </w:r>
          </w:p>
        </w:tc>
        <w:tc>
          <w:tcPr>
            <w:tcW w:w="1463" w:type="dxa"/>
            <w:vAlign w:val="bottom"/>
          </w:tcPr>
          <w:p w14:paraId="09075D01" w14:textId="2E83421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3.76 ± 0.05</w:t>
            </w:r>
          </w:p>
        </w:tc>
      </w:tr>
      <w:tr w:rsidR="00C839D4" w:rsidRPr="009B17E7" w14:paraId="3DA315D2"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22B3082" w14:textId="62AC0F39"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SP_MDMB-31</w:t>
            </w:r>
          </w:p>
        </w:tc>
        <w:tc>
          <w:tcPr>
            <w:tcW w:w="1463" w:type="dxa"/>
            <w:shd w:val="clear" w:color="auto" w:fill="auto"/>
            <w:noWrap/>
            <w:vAlign w:val="bottom"/>
          </w:tcPr>
          <w:p w14:paraId="0DF0C478" w14:textId="7908D13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-26.78 ± 0.04</w:t>
            </w:r>
          </w:p>
        </w:tc>
        <w:tc>
          <w:tcPr>
            <w:tcW w:w="1463" w:type="dxa"/>
            <w:shd w:val="clear" w:color="auto" w:fill="auto"/>
            <w:noWrap/>
            <w:vAlign w:val="bottom"/>
          </w:tcPr>
          <w:p w14:paraId="68ADEFE1" w14:textId="065A249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4.08 ± 0.05</w:t>
            </w:r>
          </w:p>
        </w:tc>
        <w:tc>
          <w:tcPr>
            <w:tcW w:w="445" w:type="dxa"/>
          </w:tcPr>
          <w:p w14:paraId="73D88518"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5476DB4F" w14:textId="6AED6B5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SP_MDMB-90</w:t>
            </w:r>
          </w:p>
        </w:tc>
        <w:tc>
          <w:tcPr>
            <w:tcW w:w="1463" w:type="dxa"/>
            <w:vAlign w:val="bottom"/>
          </w:tcPr>
          <w:p w14:paraId="6EC84D9F" w14:textId="086C62A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-27.54 ± 0.06</w:t>
            </w:r>
          </w:p>
        </w:tc>
        <w:tc>
          <w:tcPr>
            <w:tcW w:w="1463" w:type="dxa"/>
            <w:vAlign w:val="bottom"/>
          </w:tcPr>
          <w:p w14:paraId="1556CA7F" w14:textId="7B8C752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4.11 ± 0.40</w:t>
            </w:r>
          </w:p>
        </w:tc>
      </w:tr>
      <w:tr w:rsidR="00C839D4" w:rsidRPr="009B17E7" w14:paraId="3B748130"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488EF28" w14:textId="7DD0D632"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SP_MDMB-32</w:t>
            </w:r>
          </w:p>
        </w:tc>
        <w:tc>
          <w:tcPr>
            <w:tcW w:w="1463" w:type="dxa"/>
            <w:shd w:val="clear" w:color="auto" w:fill="auto"/>
            <w:noWrap/>
            <w:vAlign w:val="bottom"/>
          </w:tcPr>
          <w:p w14:paraId="044BB185" w14:textId="25A878F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-26.74 ± 0.03</w:t>
            </w:r>
          </w:p>
        </w:tc>
        <w:tc>
          <w:tcPr>
            <w:tcW w:w="1463" w:type="dxa"/>
            <w:shd w:val="clear" w:color="auto" w:fill="auto"/>
            <w:noWrap/>
            <w:vAlign w:val="bottom"/>
          </w:tcPr>
          <w:p w14:paraId="66E5E294" w14:textId="6C56E22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4.09 ± 0.13</w:t>
            </w:r>
          </w:p>
        </w:tc>
        <w:tc>
          <w:tcPr>
            <w:tcW w:w="445" w:type="dxa"/>
          </w:tcPr>
          <w:p w14:paraId="1C32288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B487D15" w14:textId="718D701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SP_MDMB-91</w:t>
            </w:r>
          </w:p>
        </w:tc>
        <w:tc>
          <w:tcPr>
            <w:tcW w:w="1463" w:type="dxa"/>
            <w:vAlign w:val="bottom"/>
          </w:tcPr>
          <w:p w14:paraId="36F36C84" w14:textId="3DB78BB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-27.50 ± 0.08</w:t>
            </w:r>
          </w:p>
        </w:tc>
        <w:tc>
          <w:tcPr>
            <w:tcW w:w="1463" w:type="dxa"/>
            <w:vAlign w:val="bottom"/>
          </w:tcPr>
          <w:p w14:paraId="3396CE48" w14:textId="2828A14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3.83 ± 0.27</w:t>
            </w:r>
          </w:p>
        </w:tc>
      </w:tr>
      <w:tr w:rsidR="00C839D4" w:rsidRPr="009B17E7" w14:paraId="7DCAD78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4154CC5" w14:textId="4FB629DC"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SP_MDMB-33</w:t>
            </w:r>
          </w:p>
        </w:tc>
        <w:tc>
          <w:tcPr>
            <w:tcW w:w="1463" w:type="dxa"/>
            <w:shd w:val="clear" w:color="auto" w:fill="auto"/>
            <w:noWrap/>
            <w:vAlign w:val="bottom"/>
          </w:tcPr>
          <w:p w14:paraId="702F1028" w14:textId="01B2BE0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-26.76 ± 0.07</w:t>
            </w:r>
          </w:p>
        </w:tc>
        <w:tc>
          <w:tcPr>
            <w:tcW w:w="1463" w:type="dxa"/>
            <w:shd w:val="clear" w:color="auto" w:fill="auto"/>
            <w:noWrap/>
            <w:vAlign w:val="bottom"/>
          </w:tcPr>
          <w:p w14:paraId="588BD2A1" w14:textId="646EAF7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4.15 ± 0.12</w:t>
            </w:r>
          </w:p>
        </w:tc>
        <w:tc>
          <w:tcPr>
            <w:tcW w:w="445" w:type="dxa"/>
          </w:tcPr>
          <w:p w14:paraId="071C4D53"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63CF0CAB" w14:textId="0A257BD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SP_MDMB-92</w:t>
            </w:r>
          </w:p>
        </w:tc>
        <w:tc>
          <w:tcPr>
            <w:tcW w:w="1463" w:type="dxa"/>
            <w:vAlign w:val="bottom"/>
          </w:tcPr>
          <w:p w14:paraId="1925D9B6" w14:textId="6C61DE4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-26.52 ± 0.11</w:t>
            </w:r>
          </w:p>
        </w:tc>
        <w:tc>
          <w:tcPr>
            <w:tcW w:w="1463" w:type="dxa"/>
            <w:vAlign w:val="bottom"/>
          </w:tcPr>
          <w:p w14:paraId="5C1DC992" w14:textId="0508835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4.34 ± 0.19</w:t>
            </w:r>
          </w:p>
        </w:tc>
      </w:tr>
      <w:tr w:rsidR="00C839D4" w:rsidRPr="009B17E7" w14:paraId="4A3DFA84"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97DB950" w14:textId="1A70B3C4"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SP_MDMB-34</w:t>
            </w:r>
          </w:p>
        </w:tc>
        <w:tc>
          <w:tcPr>
            <w:tcW w:w="1463" w:type="dxa"/>
            <w:shd w:val="clear" w:color="auto" w:fill="auto"/>
            <w:noWrap/>
            <w:vAlign w:val="bottom"/>
          </w:tcPr>
          <w:p w14:paraId="473B17E4" w14:textId="536176D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-26.76 ± 0.05</w:t>
            </w:r>
          </w:p>
        </w:tc>
        <w:tc>
          <w:tcPr>
            <w:tcW w:w="1463" w:type="dxa"/>
            <w:shd w:val="clear" w:color="auto" w:fill="auto"/>
            <w:noWrap/>
            <w:vAlign w:val="bottom"/>
          </w:tcPr>
          <w:p w14:paraId="411059E6" w14:textId="1E52C44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3.99 ± 0.01</w:t>
            </w:r>
          </w:p>
        </w:tc>
        <w:tc>
          <w:tcPr>
            <w:tcW w:w="445" w:type="dxa"/>
          </w:tcPr>
          <w:p w14:paraId="2B559EC1"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0EB80F8F" w14:textId="7BBB854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SP_MDMB-93</w:t>
            </w:r>
          </w:p>
        </w:tc>
        <w:tc>
          <w:tcPr>
            <w:tcW w:w="1463" w:type="dxa"/>
            <w:vAlign w:val="bottom"/>
          </w:tcPr>
          <w:p w14:paraId="46399254" w14:textId="5F6AAFE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-27.51 ± 0.17</w:t>
            </w:r>
          </w:p>
        </w:tc>
        <w:tc>
          <w:tcPr>
            <w:tcW w:w="1463" w:type="dxa"/>
            <w:vAlign w:val="bottom"/>
          </w:tcPr>
          <w:p w14:paraId="29AF6EE4" w14:textId="27E1116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3.84 ± 0.11</w:t>
            </w:r>
          </w:p>
        </w:tc>
      </w:tr>
      <w:tr w:rsidR="00C839D4" w:rsidRPr="009B17E7" w14:paraId="7BC70277"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387577BD" w14:textId="380E206F"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SP_MDMB-35</w:t>
            </w:r>
          </w:p>
        </w:tc>
        <w:tc>
          <w:tcPr>
            <w:tcW w:w="1463" w:type="dxa"/>
            <w:shd w:val="clear" w:color="auto" w:fill="auto"/>
            <w:noWrap/>
            <w:vAlign w:val="bottom"/>
          </w:tcPr>
          <w:p w14:paraId="0D7F6E8C" w14:textId="7DC9EFE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-26.76 ± 0.02</w:t>
            </w:r>
          </w:p>
        </w:tc>
        <w:tc>
          <w:tcPr>
            <w:tcW w:w="1463" w:type="dxa"/>
            <w:shd w:val="clear" w:color="auto" w:fill="auto"/>
            <w:noWrap/>
            <w:vAlign w:val="bottom"/>
          </w:tcPr>
          <w:p w14:paraId="6CC09F03" w14:textId="60A7E22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4.05 ± 0.15</w:t>
            </w:r>
          </w:p>
        </w:tc>
        <w:tc>
          <w:tcPr>
            <w:tcW w:w="445" w:type="dxa"/>
          </w:tcPr>
          <w:p w14:paraId="34A13219"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70BB43D" w14:textId="6251D65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SP_MDMB-94</w:t>
            </w:r>
          </w:p>
        </w:tc>
        <w:tc>
          <w:tcPr>
            <w:tcW w:w="1463" w:type="dxa"/>
            <w:vAlign w:val="bottom"/>
          </w:tcPr>
          <w:p w14:paraId="070E42C2" w14:textId="62E373E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-27.53 ± 0.10</w:t>
            </w:r>
          </w:p>
        </w:tc>
        <w:tc>
          <w:tcPr>
            <w:tcW w:w="1463" w:type="dxa"/>
            <w:vAlign w:val="bottom"/>
          </w:tcPr>
          <w:p w14:paraId="4923C19A" w14:textId="76A8280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4.95 ± 0.10</w:t>
            </w:r>
          </w:p>
        </w:tc>
      </w:tr>
      <w:tr w:rsidR="00C839D4" w:rsidRPr="009B17E7" w14:paraId="2F3C6F9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7226A5C" w14:textId="10FF046A"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SP_MDMB-36</w:t>
            </w:r>
          </w:p>
        </w:tc>
        <w:tc>
          <w:tcPr>
            <w:tcW w:w="1463" w:type="dxa"/>
            <w:shd w:val="clear" w:color="auto" w:fill="auto"/>
            <w:noWrap/>
            <w:vAlign w:val="bottom"/>
          </w:tcPr>
          <w:p w14:paraId="1E570FD5" w14:textId="1933669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-27.67 ± 0.02</w:t>
            </w:r>
          </w:p>
        </w:tc>
        <w:tc>
          <w:tcPr>
            <w:tcW w:w="1463" w:type="dxa"/>
            <w:shd w:val="clear" w:color="auto" w:fill="auto"/>
            <w:noWrap/>
            <w:vAlign w:val="bottom"/>
          </w:tcPr>
          <w:p w14:paraId="0D073201" w14:textId="258D177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4.76 ± 0.09</w:t>
            </w:r>
          </w:p>
        </w:tc>
        <w:tc>
          <w:tcPr>
            <w:tcW w:w="445" w:type="dxa"/>
          </w:tcPr>
          <w:p w14:paraId="6815F8BF"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DF4B3EB" w14:textId="6D15329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SP_MDMB-95</w:t>
            </w:r>
          </w:p>
        </w:tc>
        <w:tc>
          <w:tcPr>
            <w:tcW w:w="1463" w:type="dxa"/>
            <w:vAlign w:val="bottom"/>
          </w:tcPr>
          <w:p w14:paraId="1FA713DE" w14:textId="58DE775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-27.55 ± 0.07</w:t>
            </w:r>
          </w:p>
        </w:tc>
        <w:tc>
          <w:tcPr>
            <w:tcW w:w="1463" w:type="dxa"/>
            <w:vAlign w:val="bottom"/>
          </w:tcPr>
          <w:p w14:paraId="67B1E8CA" w14:textId="0B97C48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3.58 ± 0.22</w:t>
            </w:r>
          </w:p>
        </w:tc>
      </w:tr>
      <w:tr w:rsidR="00C839D4" w:rsidRPr="009B17E7" w14:paraId="6404DEA8"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A83FFF2" w14:textId="225911EE"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SP_MDMB-37</w:t>
            </w:r>
          </w:p>
        </w:tc>
        <w:tc>
          <w:tcPr>
            <w:tcW w:w="1463" w:type="dxa"/>
            <w:shd w:val="clear" w:color="auto" w:fill="auto"/>
            <w:noWrap/>
            <w:vAlign w:val="bottom"/>
          </w:tcPr>
          <w:p w14:paraId="44FEBAAF" w14:textId="5B069D9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-26.80 ± 0.02</w:t>
            </w:r>
          </w:p>
        </w:tc>
        <w:tc>
          <w:tcPr>
            <w:tcW w:w="1463" w:type="dxa"/>
            <w:shd w:val="clear" w:color="auto" w:fill="auto"/>
            <w:noWrap/>
            <w:vAlign w:val="bottom"/>
          </w:tcPr>
          <w:p w14:paraId="7B4CA842" w14:textId="32FCF1F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3.89 ± 0.06</w:t>
            </w:r>
          </w:p>
        </w:tc>
        <w:tc>
          <w:tcPr>
            <w:tcW w:w="445" w:type="dxa"/>
          </w:tcPr>
          <w:p w14:paraId="46DFE044"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5AB66F3" w14:textId="74E35FC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SP_MDMB-96</w:t>
            </w:r>
          </w:p>
        </w:tc>
        <w:tc>
          <w:tcPr>
            <w:tcW w:w="1463" w:type="dxa"/>
            <w:vAlign w:val="bottom"/>
          </w:tcPr>
          <w:p w14:paraId="6B992E60" w14:textId="3FC3066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-27.61 ± 0.07</w:t>
            </w:r>
          </w:p>
        </w:tc>
        <w:tc>
          <w:tcPr>
            <w:tcW w:w="1463" w:type="dxa"/>
            <w:vAlign w:val="bottom"/>
          </w:tcPr>
          <w:p w14:paraId="6E94F842" w14:textId="167CD11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4.91 ± 0.20</w:t>
            </w:r>
          </w:p>
        </w:tc>
      </w:tr>
      <w:tr w:rsidR="00C839D4" w:rsidRPr="009B17E7" w14:paraId="15BE074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E6AD046" w14:textId="4E118C82"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SP_MDMB-38</w:t>
            </w:r>
          </w:p>
        </w:tc>
        <w:tc>
          <w:tcPr>
            <w:tcW w:w="1463" w:type="dxa"/>
            <w:shd w:val="clear" w:color="auto" w:fill="auto"/>
            <w:noWrap/>
            <w:vAlign w:val="bottom"/>
          </w:tcPr>
          <w:p w14:paraId="02C4BE10" w14:textId="1D31EEF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-26.64 ± 0.03</w:t>
            </w:r>
          </w:p>
        </w:tc>
        <w:tc>
          <w:tcPr>
            <w:tcW w:w="1463" w:type="dxa"/>
            <w:shd w:val="clear" w:color="auto" w:fill="auto"/>
            <w:noWrap/>
            <w:vAlign w:val="bottom"/>
          </w:tcPr>
          <w:p w14:paraId="50BC1ADE" w14:textId="532805A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4.19 ± 0.09</w:t>
            </w:r>
          </w:p>
        </w:tc>
        <w:tc>
          <w:tcPr>
            <w:tcW w:w="445" w:type="dxa"/>
          </w:tcPr>
          <w:p w14:paraId="5B5F933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C9E6F6D" w14:textId="3E7BD21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SP_MDMB-97</w:t>
            </w:r>
          </w:p>
        </w:tc>
        <w:tc>
          <w:tcPr>
            <w:tcW w:w="1463" w:type="dxa"/>
            <w:vAlign w:val="bottom"/>
          </w:tcPr>
          <w:p w14:paraId="6525A461" w14:textId="29DCDDC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-27.46 ± 0.08</w:t>
            </w:r>
          </w:p>
        </w:tc>
        <w:tc>
          <w:tcPr>
            <w:tcW w:w="1463" w:type="dxa"/>
            <w:vAlign w:val="bottom"/>
          </w:tcPr>
          <w:p w14:paraId="701FF9C6" w14:textId="45FF91A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5.08 ± 0.18</w:t>
            </w:r>
          </w:p>
        </w:tc>
      </w:tr>
      <w:tr w:rsidR="00C839D4" w:rsidRPr="009B17E7" w14:paraId="717132A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7A9D663" w14:textId="12484826"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SP_MDMB-39</w:t>
            </w:r>
          </w:p>
        </w:tc>
        <w:tc>
          <w:tcPr>
            <w:tcW w:w="1463" w:type="dxa"/>
            <w:shd w:val="clear" w:color="auto" w:fill="auto"/>
            <w:noWrap/>
            <w:vAlign w:val="bottom"/>
          </w:tcPr>
          <w:p w14:paraId="59927632" w14:textId="469F1C1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-26.72 ± 0.02</w:t>
            </w:r>
          </w:p>
        </w:tc>
        <w:tc>
          <w:tcPr>
            <w:tcW w:w="1463" w:type="dxa"/>
            <w:shd w:val="clear" w:color="auto" w:fill="auto"/>
            <w:noWrap/>
            <w:vAlign w:val="bottom"/>
          </w:tcPr>
          <w:p w14:paraId="62CD3B05" w14:textId="0F80B7A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4.05 ± 0.02</w:t>
            </w:r>
          </w:p>
        </w:tc>
        <w:tc>
          <w:tcPr>
            <w:tcW w:w="445" w:type="dxa"/>
          </w:tcPr>
          <w:p w14:paraId="765E2D5E"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5FF6756" w14:textId="0B77070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SP_MDMB-98</w:t>
            </w:r>
          </w:p>
        </w:tc>
        <w:tc>
          <w:tcPr>
            <w:tcW w:w="1463" w:type="dxa"/>
            <w:vAlign w:val="bottom"/>
          </w:tcPr>
          <w:p w14:paraId="022C0F36" w14:textId="4F27D94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-27.57 ± 0.10</w:t>
            </w:r>
          </w:p>
        </w:tc>
        <w:tc>
          <w:tcPr>
            <w:tcW w:w="1463" w:type="dxa"/>
            <w:vAlign w:val="bottom"/>
          </w:tcPr>
          <w:p w14:paraId="6F502A3C" w14:textId="11E0BD0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4.81 ± 0.14</w:t>
            </w:r>
          </w:p>
        </w:tc>
      </w:tr>
      <w:tr w:rsidR="00C839D4" w:rsidRPr="009B17E7" w14:paraId="01F21180"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C8D917C" w14:textId="7A048303"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SP_MDMB-40</w:t>
            </w:r>
          </w:p>
        </w:tc>
        <w:tc>
          <w:tcPr>
            <w:tcW w:w="1463" w:type="dxa"/>
            <w:shd w:val="clear" w:color="auto" w:fill="auto"/>
            <w:noWrap/>
            <w:vAlign w:val="bottom"/>
          </w:tcPr>
          <w:p w14:paraId="2E12ED5B" w14:textId="2729B84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-27.15 ± 0.04</w:t>
            </w:r>
          </w:p>
        </w:tc>
        <w:tc>
          <w:tcPr>
            <w:tcW w:w="1463" w:type="dxa"/>
            <w:shd w:val="clear" w:color="auto" w:fill="auto"/>
            <w:noWrap/>
            <w:vAlign w:val="bottom"/>
          </w:tcPr>
          <w:p w14:paraId="27289573" w14:textId="4559081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4.55 ± 0.07</w:t>
            </w:r>
          </w:p>
        </w:tc>
        <w:tc>
          <w:tcPr>
            <w:tcW w:w="445" w:type="dxa"/>
          </w:tcPr>
          <w:p w14:paraId="5AFA2B0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A50911E" w14:textId="10CD4BC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SP_MDMB-99</w:t>
            </w:r>
          </w:p>
        </w:tc>
        <w:tc>
          <w:tcPr>
            <w:tcW w:w="1463" w:type="dxa"/>
            <w:vAlign w:val="bottom"/>
          </w:tcPr>
          <w:p w14:paraId="0FDBF7E1" w14:textId="013681F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-26.44 ± 0.21</w:t>
            </w:r>
          </w:p>
        </w:tc>
        <w:tc>
          <w:tcPr>
            <w:tcW w:w="1463" w:type="dxa"/>
            <w:vAlign w:val="bottom"/>
          </w:tcPr>
          <w:p w14:paraId="04C12D43" w14:textId="3C454B8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4.05 ± 0.24</w:t>
            </w:r>
          </w:p>
        </w:tc>
      </w:tr>
      <w:tr w:rsidR="00C839D4" w:rsidRPr="009B17E7" w14:paraId="3E2D856A"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DB28402" w14:textId="1A23068C"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SP_MDMB-41</w:t>
            </w:r>
          </w:p>
        </w:tc>
        <w:tc>
          <w:tcPr>
            <w:tcW w:w="1463" w:type="dxa"/>
            <w:shd w:val="clear" w:color="auto" w:fill="auto"/>
            <w:noWrap/>
            <w:vAlign w:val="bottom"/>
          </w:tcPr>
          <w:p w14:paraId="247F24C2" w14:textId="5BA4C32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-27.54 ± 0.01</w:t>
            </w:r>
          </w:p>
        </w:tc>
        <w:tc>
          <w:tcPr>
            <w:tcW w:w="1463" w:type="dxa"/>
            <w:shd w:val="clear" w:color="auto" w:fill="auto"/>
            <w:noWrap/>
            <w:vAlign w:val="bottom"/>
          </w:tcPr>
          <w:p w14:paraId="3CB1ECC3" w14:textId="36FA7C5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4.82 ± 0.02</w:t>
            </w:r>
          </w:p>
        </w:tc>
        <w:tc>
          <w:tcPr>
            <w:tcW w:w="445" w:type="dxa"/>
          </w:tcPr>
          <w:p w14:paraId="10D4B6DB"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B77A402" w14:textId="03AF5FC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SP_MDMB-100</w:t>
            </w:r>
          </w:p>
        </w:tc>
        <w:tc>
          <w:tcPr>
            <w:tcW w:w="1463" w:type="dxa"/>
            <w:vAlign w:val="bottom"/>
          </w:tcPr>
          <w:p w14:paraId="47DBC043" w14:textId="29F9909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-27.40 ± 0.16</w:t>
            </w:r>
          </w:p>
        </w:tc>
        <w:tc>
          <w:tcPr>
            <w:tcW w:w="1463" w:type="dxa"/>
            <w:vAlign w:val="bottom"/>
          </w:tcPr>
          <w:p w14:paraId="546B9485" w14:textId="064E205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3.82 ± 0.32</w:t>
            </w:r>
          </w:p>
        </w:tc>
      </w:tr>
      <w:tr w:rsidR="00C839D4" w:rsidRPr="009B17E7" w14:paraId="53B26CF0"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EBD7710" w14:textId="4CBEF775"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SP_MDMB-42</w:t>
            </w:r>
          </w:p>
        </w:tc>
        <w:tc>
          <w:tcPr>
            <w:tcW w:w="1463" w:type="dxa"/>
            <w:shd w:val="clear" w:color="auto" w:fill="auto"/>
            <w:noWrap/>
            <w:vAlign w:val="bottom"/>
          </w:tcPr>
          <w:p w14:paraId="258D96FA" w14:textId="7763625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-27.27 ± 0.01</w:t>
            </w:r>
          </w:p>
        </w:tc>
        <w:tc>
          <w:tcPr>
            <w:tcW w:w="1463" w:type="dxa"/>
            <w:shd w:val="clear" w:color="auto" w:fill="auto"/>
            <w:noWrap/>
            <w:vAlign w:val="bottom"/>
          </w:tcPr>
          <w:p w14:paraId="43E5B974" w14:textId="5F52291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4.67 ± 0.06</w:t>
            </w:r>
          </w:p>
        </w:tc>
        <w:tc>
          <w:tcPr>
            <w:tcW w:w="445" w:type="dxa"/>
          </w:tcPr>
          <w:p w14:paraId="5F087FAA"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64168581" w14:textId="18D33F9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SP_MDMB-101</w:t>
            </w:r>
          </w:p>
        </w:tc>
        <w:tc>
          <w:tcPr>
            <w:tcW w:w="1463" w:type="dxa"/>
            <w:vAlign w:val="bottom"/>
          </w:tcPr>
          <w:p w14:paraId="4F0CA384" w14:textId="5CBB7F7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-26.43 ± 0.22</w:t>
            </w:r>
          </w:p>
        </w:tc>
        <w:tc>
          <w:tcPr>
            <w:tcW w:w="1463" w:type="dxa"/>
            <w:vAlign w:val="bottom"/>
          </w:tcPr>
          <w:p w14:paraId="32E9F03F" w14:textId="7863A7B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4.42 ± 0.27</w:t>
            </w:r>
          </w:p>
        </w:tc>
      </w:tr>
      <w:tr w:rsidR="00C839D4" w:rsidRPr="009B17E7" w14:paraId="5B82F45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FACBCA7" w14:textId="55283219"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SP_MDMB-43</w:t>
            </w:r>
          </w:p>
        </w:tc>
        <w:tc>
          <w:tcPr>
            <w:tcW w:w="1463" w:type="dxa"/>
            <w:shd w:val="clear" w:color="auto" w:fill="auto"/>
            <w:noWrap/>
            <w:vAlign w:val="bottom"/>
          </w:tcPr>
          <w:p w14:paraId="20CE4409" w14:textId="0C3B8F6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-26.85 ± 0.04</w:t>
            </w:r>
          </w:p>
        </w:tc>
        <w:tc>
          <w:tcPr>
            <w:tcW w:w="1463" w:type="dxa"/>
            <w:shd w:val="clear" w:color="auto" w:fill="auto"/>
            <w:noWrap/>
            <w:vAlign w:val="bottom"/>
          </w:tcPr>
          <w:p w14:paraId="2414E05E" w14:textId="46AF6A1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4.14 ± 0.07</w:t>
            </w:r>
          </w:p>
        </w:tc>
        <w:tc>
          <w:tcPr>
            <w:tcW w:w="445" w:type="dxa"/>
          </w:tcPr>
          <w:p w14:paraId="4FF03A7B"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E0073B3" w14:textId="1D109BF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SP_MDMB-102</w:t>
            </w:r>
          </w:p>
        </w:tc>
        <w:tc>
          <w:tcPr>
            <w:tcW w:w="1463" w:type="dxa"/>
            <w:vAlign w:val="bottom"/>
          </w:tcPr>
          <w:p w14:paraId="02636CE7" w14:textId="154599B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-26.64 ± 0.22</w:t>
            </w:r>
          </w:p>
        </w:tc>
        <w:tc>
          <w:tcPr>
            <w:tcW w:w="1463" w:type="dxa"/>
            <w:vAlign w:val="bottom"/>
          </w:tcPr>
          <w:p w14:paraId="3B558959" w14:textId="2BEA364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4.33 ± 0.04</w:t>
            </w:r>
          </w:p>
        </w:tc>
      </w:tr>
      <w:tr w:rsidR="00C839D4" w:rsidRPr="009B17E7" w14:paraId="15E93E15"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1A6CB61" w14:textId="0216C6D2"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SP_MDMB-44</w:t>
            </w:r>
          </w:p>
        </w:tc>
        <w:tc>
          <w:tcPr>
            <w:tcW w:w="1463" w:type="dxa"/>
            <w:shd w:val="clear" w:color="auto" w:fill="auto"/>
            <w:noWrap/>
            <w:vAlign w:val="bottom"/>
          </w:tcPr>
          <w:p w14:paraId="36D51378" w14:textId="7B28BF6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-27.44 ± 0.05</w:t>
            </w:r>
          </w:p>
        </w:tc>
        <w:tc>
          <w:tcPr>
            <w:tcW w:w="1463" w:type="dxa"/>
            <w:shd w:val="clear" w:color="auto" w:fill="auto"/>
            <w:noWrap/>
            <w:vAlign w:val="bottom"/>
          </w:tcPr>
          <w:p w14:paraId="2758A428" w14:textId="7B2F733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4.76 ± 0.05</w:t>
            </w:r>
          </w:p>
        </w:tc>
        <w:tc>
          <w:tcPr>
            <w:tcW w:w="445" w:type="dxa"/>
          </w:tcPr>
          <w:p w14:paraId="0E9E69E7"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6E516E73" w14:textId="0331D27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SP_MDMB-103</w:t>
            </w:r>
          </w:p>
        </w:tc>
        <w:tc>
          <w:tcPr>
            <w:tcW w:w="1463" w:type="dxa"/>
            <w:vAlign w:val="bottom"/>
          </w:tcPr>
          <w:p w14:paraId="45072012" w14:textId="42CF5F7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-27.42 ± 0.05</w:t>
            </w:r>
          </w:p>
        </w:tc>
        <w:tc>
          <w:tcPr>
            <w:tcW w:w="1463" w:type="dxa"/>
            <w:vAlign w:val="bottom"/>
          </w:tcPr>
          <w:p w14:paraId="3D663AC4" w14:textId="70B69EA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3.80 ± 0.35</w:t>
            </w:r>
          </w:p>
        </w:tc>
      </w:tr>
      <w:tr w:rsidR="00C839D4" w:rsidRPr="009B17E7" w14:paraId="01F4FA26"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7D8A616" w14:textId="3ED622AF"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SP_MDMB-45</w:t>
            </w:r>
          </w:p>
        </w:tc>
        <w:tc>
          <w:tcPr>
            <w:tcW w:w="1463" w:type="dxa"/>
            <w:shd w:val="clear" w:color="auto" w:fill="auto"/>
            <w:noWrap/>
            <w:vAlign w:val="bottom"/>
          </w:tcPr>
          <w:p w14:paraId="1D684E12" w14:textId="4949F91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-27.41 ± 0.01</w:t>
            </w:r>
          </w:p>
        </w:tc>
        <w:tc>
          <w:tcPr>
            <w:tcW w:w="1463" w:type="dxa"/>
            <w:shd w:val="clear" w:color="auto" w:fill="auto"/>
            <w:noWrap/>
            <w:vAlign w:val="bottom"/>
          </w:tcPr>
          <w:p w14:paraId="4587C53B" w14:textId="43AB57F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4.79 ± 0.07</w:t>
            </w:r>
          </w:p>
        </w:tc>
        <w:tc>
          <w:tcPr>
            <w:tcW w:w="445" w:type="dxa"/>
          </w:tcPr>
          <w:p w14:paraId="04A64739"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A070090" w14:textId="02FF610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SP_MDMB-104</w:t>
            </w:r>
          </w:p>
        </w:tc>
        <w:tc>
          <w:tcPr>
            <w:tcW w:w="1463" w:type="dxa"/>
            <w:vAlign w:val="bottom"/>
          </w:tcPr>
          <w:p w14:paraId="79AD909E" w14:textId="320C7C5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-26.59 ± 0.11</w:t>
            </w:r>
          </w:p>
        </w:tc>
        <w:tc>
          <w:tcPr>
            <w:tcW w:w="1463" w:type="dxa"/>
            <w:vAlign w:val="bottom"/>
          </w:tcPr>
          <w:p w14:paraId="1291E46E" w14:textId="61D32A5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3.89 ± 0.21</w:t>
            </w:r>
          </w:p>
        </w:tc>
      </w:tr>
      <w:tr w:rsidR="00C839D4" w:rsidRPr="009B17E7" w14:paraId="68D03E78"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9968BD9" w14:textId="37FD567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SP_MDMB-46</w:t>
            </w:r>
          </w:p>
        </w:tc>
        <w:tc>
          <w:tcPr>
            <w:tcW w:w="1463" w:type="dxa"/>
            <w:shd w:val="clear" w:color="auto" w:fill="auto"/>
            <w:noWrap/>
            <w:vAlign w:val="bottom"/>
          </w:tcPr>
          <w:p w14:paraId="3F7FC698" w14:textId="7A9D0BC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-27.50 ± 0.31</w:t>
            </w:r>
          </w:p>
        </w:tc>
        <w:tc>
          <w:tcPr>
            <w:tcW w:w="1463" w:type="dxa"/>
            <w:shd w:val="clear" w:color="auto" w:fill="auto"/>
            <w:noWrap/>
            <w:vAlign w:val="bottom"/>
          </w:tcPr>
          <w:p w14:paraId="23F288FE" w14:textId="2ED6AFC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3.40 ± 0.11</w:t>
            </w:r>
          </w:p>
        </w:tc>
        <w:tc>
          <w:tcPr>
            <w:tcW w:w="445" w:type="dxa"/>
          </w:tcPr>
          <w:p w14:paraId="2A7E2E99"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5CE7182" w14:textId="2E4D4B8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SP_MDMB-105</w:t>
            </w:r>
          </w:p>
        </w:tc>
        <w:tc>
          <w:tcPr>
            <w:tcW w:w="1463" w:type="dxa"/>
            <w:vAlign w:val="bottom"/>
          </w:tcPr>
          <w:p w14:paraId="1BE55E79" w14:textId="4A88BC6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-27.38 ± 0.11</w:t>
            </w:r>
          </w:p>
        </w:tc>
        <w:tc>
          <w:tcPr>
            <w:tcW w:w="1463" w:type="dxa"/>
            <w:vAlign w:val="bottom"/>
          </w:tcPr>
          <w:p w14:paraId="4965FE0E" w14:textId="4BAF674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4.84 ± 0.14</w:t>
            </w:r>
          </w:p>
        </w:tc>
      </w:tr>
      <w:tr w:rsidR="00C839D4" w:rsidRPr="009B17E7" w14:paraId="34584B63"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FECE485" w14:textId="0CEBCBC3"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SP_MDMB-47</w:t>
            </w:r>
          </w:p>
        </w:tc>
        <w:tc>
          <w:tcPr>
            <w:tcW w:w="1463" w:type="dxa"/>
            <w:shd w:val="clear" w:color="auto" w:fill="auto"/>
            <w:noWrap/>
            <w:vAlign w:val="bottom"/>
          </w:tcPr>
          <w:p w14:paraId="3E07BB53" w14:textId="4963B3D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-27.21 ± 0.02</w:t>
            </w:r>
          </w:p>
        </w:tc>
        <w:tc>
          <w:tcPr>
            <w:tcW w:w="1463" w:type="dxa"/>
            <w:shd w:val="clear" w:color="auto" w:fill="auto"/>
            <w:noWrap/>
            <w:vAlign w:val="bottom"/>
          </w:tcPr>
          <w:p w14:paraId="49AA467A" w14:textId="6D66088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4.57 ± 0.03</w:t>
            </w:r>
          </w:p>
        </w:tc>
        <w:tc>
          <w:tcPr>
            <w:tcW w:w="445" w:type="dxa"/>
          </w:tcPr>
          <w:p w14:paraId="245EA2AB"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5D93469F" w14:textId="4E73A76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SP_MDMB-106</w:t>
            </w:r>
          </w:p>
        </w:tc>
        <w:tc>
          <w:tcPr>
            <w:tcW w:w="1463" w:type="dxa"/>
            <w:vAlign w:val="bottom"/>
          </w:tcPr>
          <w:p w14:paraId="76092D0E" w14:textId="25430A3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-27.18 ± 0.09</w:t>
            </w:r>
          </w:p>
        </w:tc>
        <w:tc>
          <w:tcPr>
            <w:tcW w:w="1463" w:type="dxa"/>
            <w:vAlign w:val="bottom"/>
          </w:tcPr>
          <w:p w14:paraId="5912767C" w14:textId="31D84CB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4.62 ± 0.20</w:t>
            </w:r>
          </w:p>
        </w:tc>
      </w:tr>
      <w:tr w:rsidR="00C839D4" w:rsidRPr="009B17E7" w14:paraId="5DED105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94E4AC9" w14:textId="4CF49CDB"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SP_MDMB-48</w:t>
            </w:r>
          </w:p>
        </w:tc>
        <w:tc>
          <w:tcPr>
            <w:tcW w:w="1463" w:type="dxa"/>
            <w:shd w:val="clear" w:color="auto" w:fill="auto"/>
            <w:noWrap/>
            <w:vAlign w:val="bottom"/>
          </w:tcPr>
          <w:p w14:paraId="2B97F8C2" w14:textId="3E04EBF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-27.16 ± 0.02</w:t>
            </w:r>
          </w:p>
        </w:tc>
        <w:tc>
          <w:tcPr>
            <w:tcW w:w="1463" w:type="dxa"/>
            <w:shd w:val="clear" w:color="auto" w:fill="auto"/>
            <w:noWrap/>
            <w:vAlign w:val="bottom"/>
          </w:tcPr>
          <w:p w14:paraId="002EE7FF" w14:textId="670DE17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4.57 ± 0.07</w:t>
            </w:r>
          </w:p>
        </w:tc>
        <w:tc>
          <w:tcPr>
            <w:tcW w:w="445" w:type="dxa"/>
          </w:tcPr>
          <w:p w14:paraId="2286D9FC"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A6562CE" w14:textId="42E941F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SP_MDMB-107</w:t>
            </w:r>
          </w:p>
        </w:tc>
        <w:tc>
          <w:tcPr>
            <w:tcW w:w="1463" w:type="dxa"/>
            <w:vAlign w:val="bottom"/>
          </w:tcPr>
          <w:p w14:paraId="0E8C3AED" w14:textId="173465B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-26.65 ± 0.15</w:t>
            </w:r>
          </w:p>
        </w:tc>
        <w:tc>
          <w:tcPr>
            <w:tcW w:w="1463" w:type="dxa"/>
            <w:vAlign w:val="bottom"/>
          </w:tcPr>
          <w:p w14:paraId="34BD5184" w14:textId="4C84059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4.09 ± 0.10</w:t>
            </w:r>
          </w:p>
        </w:tc>
      </w:tr>
      <w:tr w:rsidR="00C839D4" w:rsidRPr="009B17E7" w14:paraId="26CD8FA5"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587D85DC" w14:textId="5F324D0E"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SP_MDMB-49</w:t>
            </w:r>
          </w:p>
        </w:tc>
        <w:tc>
          <w:tcPr>
            <w:tcW w:w="1463" w:type="dxa"/>
            <w:shd w:val="clear" w:color="auto" w:fill="auto"/>
            <w:noWrap/>
            <w:vAlign w:val="bottom"/>
          </w:tcPr>
          <w:p w14:paraId="62853B30" w14:textId="0FE909E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-27.56 ± 0.03</w:t>
            </w:r>
          </w:p>
        </w:tc>
        <w:tc>
          <w:tcPr>
            <w:tcW w:w="1463" w:type="dxa"/>
            <w:shd w:val="clear" w:color="auto" w:fill="auto"/>
            <w:noWrap/>
            <w:vAlign w:val="bottom"/>
          </w:tcPr>
          <w:p w14:paraId="2C3C7A5A" w14:textId="3B71FD1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4.79 ± 0.12</w:t>
            </w:r>
          </w:p>
        </w:tc>
        <w:tc>
          <w:tcPr>
            <w:tcW w:w="445" w:type="dxa"/>
          </w:tcPr>
          <w:p w14:paraId="272EA756"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3D66383" w14:textId="2114FA5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SP_MDMB-108</w:t>
            </w:r>
          </w:p>
        </w:tc>
        <w:tc>
          <w:tcPr>
            <w:tcW w:w="1463" w:type="dxa"/>
            <w:vAlign w:val="bottom"/>
          </w:tcPr>
          <w:p w14:paraId="12B46731" w14:textId="77E32C0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-26.61 ± 0.06</w:t>
            </w:r>
          </w:p>
        </w:tc>
        <w:tc>
          <w:tcPr>
            <w:tcW w:w="1463" w:type="dxa"/>
            <w:vAlign w:val="bottom"/>
          </w:tcPr>
          <w:p w14:paraId="2DE78B08" w14:textId="3D14585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4.15 ± 0.15</w:t>
            </w:r>
          </w:p>
        </w:tc>
      </w:tr>
      <w:tr w:rsidR="00C839D4" w:rsidRPr="009B17E7" w14:paraId="3B2B4C54"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990BB42" w14:textId="27C30793"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SP_MDMB-50</w:t>
            </w:r>
          </w:p>
        </w:tc>
        <w:tc>
          <w:tcPr>
            <w:tcW w:w="1463" w:type="dxa"/>
            <w:shd w:val="clear" w:color="auto" w:fill="auto"/>
            <w:noWrap/>
            <w:vAlign w:val="bottom"/>
          </w:tcPr>
          <w:p w14:paraId="606C974F" w14:textId="1581FE6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-27.56 ± 0.03</w:t>
            </w:r>
          </w:p>
        </w:tc>
        <w:tc>
          <w:tcPr>
            <w:tcW w:w="1463" w:type="dxa"/>
            <w:shd w:val="clear" w:color="auto" w:fill="auto"/>
            <w:noWrap/>
            <w:vAlign w:val="bottom"/>
          </w:tcPr>
          <w:p w14:paraId="40F5A4B7" w14:textId="5AC54C9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4.66 ± 0.05</w:t>
            </w:r>
          </w:p>
        </w:tc>
        <w:tc>
          <w:tcPr>
            <w:tcW w:w="445" w:type="dxa"/>
          </w:tcPr>
          <w:p w14:paraId="2ABCD35A"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904F97D" w14:textId="6C04C0A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SP_MDMB-109</w:t>
            </w:r>
          </w:p>
        </w:tc>
        <w:tc>
          <w:tcPr>
            <w:tcW w:w="1463" w:type="dxa"/>
            <w:vAlign w:val="bottom"/>
          </w:tcPr>
          <w:p w14:paraId="3EE4096D" w14:textId="572F132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-26.75 ± 0.04</w:t>
            </w:r>
          </w:p>
        </w:tc>
        <w:tc>
          <w:tcPr>
            <w:tcW w:w="1463" w:type="dxa"/>
            <w:vAlign w:val="bottom"/>
          </w:tcPr>
          <w:p w14:paraId="4D4A6C58" w14:textId="3CF8780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4.37 ± 0.23</w:t>
            </w:r>
          </w:p>
        </w:tc>
      </w:tr>
      <w:tr w:rsidR="00C839D4" w:rsidRPr="009B17E7" w14:paraId="22010045"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7047634" w14:textId="0006650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SP_MDMB-51</w:t>
            </w:r>
          </w:p>
        </w:tc>
        <w:tc>
          <w:tcPr>
            <w:tcW w:w="1463" w:type="dxa"/>
            <w:shd w:val="clear" w:color="auto" w:fill="auto"/>
            <w:noWrap/>
            <w:vAlign w:val="bottom"/>
          </w:tcPr>
          <w:p w14:paraId="51376582" w14:textId="1619FC1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w:t>
            </w:r>
            <w:r w:rsidR="00340055">
              <w:rPr>
                <w:rFonts w:ascii="Calibri" w:hAnsi="Calibri" w:cs="Calibri"/>
                <w:color w:val="000000"/>
                <w:sz w:val="20"/>
              </w:rPr>
              <w:t>0</w:t>
            </w:r>
            <w:r w:rsidRPr="00C839D4">
              <w:rPr>
                <w:rFonts w:ascii="Calibri" w:hAnsi="Calibri" w:cs="Calibri"/>
                <w:color w:val="000000"/>
                <w:sz w:val="20"/>
              </w:rPr>
              <w:t xml:space="preserve"> ± 0.03</w:t>
            </w:r>
          </w:p>
        </w:tc>
        <w:tc>
          <w:tcPr>
            <w:tcW w:w="1463" w:type="dxa"/>
            <w:shd w:val="clear" w:color="auto" w:fill="auto"/>
            <w:noWrap/>
            <w:vAlign w:val="bottom"/>
          </w:tcPr>
          <w:p w14:paraId="553E040B" w14:textId="3080113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4.79 ± 0.03</w:t>
            </w:r>
          </w:p>
        </w:tc>
        <w:tc>
          <w:tcPr>
            <w:tcW w:w="445" w:type="dxa"/>
          </w:tcPr>
          <w:p w14:paraId="472DEF57"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4843B22C" w14:textId="47058EC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SP_MDMB-110</w:t>
            </w:r>
          </w:p>
        </w:tc>
        <w:tc>
          <w:tcPr>
            <w:tcW w:w="1463" w:type="dxa"/>
            <w:vAlign w:val="bottom"/>
          </w:tcPr>
          <w:p w14:paraId="68172C75" w14:textId="41965DA4"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-26.71 ± 0.18</w:t>
            </w:r>
          </w:p>
        </w:tc>
        <w:tc>
          <w:tcPr>
            <w:tcW w:w="1463" w:type="dxa"/>
            <w:vAlign w:val="bottom"/>
          </w:tcPr>
          <w:p w14:paraId="5C11629D" w14:textId="6876713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3.86 ± 0.04</w:t>
            </w:r>
          </w:p>
        </w:tc>
      </w:tr>
      <w:tr w:rsidR="00C839D4" w:rsidRPr="009B17E7" w14:paraId="1668629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4231AB25" w14:textId="105F649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SP_MDMB-52</w:t>
            </w:r>
          </w:p>
        </w:tc>
        <w:tc>
          <w:tcPr>
            <w:tcW w:w="1463" w:type="dxa"/>
            <w:shd w:val="clear" w:color="auto" w:fill="auto"/>
            <w:noWrap/>
            <w:vAlign w:val="bottom"/>
          </w:tcPr>
          <w:p w14:paraId="067F7C31" w14:textId="54CCA59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-27.58 ± 0.01</w:t>
            </w:r>
          </w:p>
        </w:tc>
        <w:tc>
          <w:tcPr>
            <w:tcW w:w="1463" w:type="dxa"/>
            <w:shd w:val="clear" w:color="auto" w:fill="auto"/>
            <w:noWrap/>
            <w:vAlign w:val="bottom"/>
          </w:tcPr>
          <w:p w14:paraId="63CC1DCB" w14:textId="5F579CE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4.60 ± 0.10</w:t>
            </w:r>
          </w:p>
        </w:tc>
        <w:tc>
          <w:tcPr>
            <w:tcW w:w="445" w:type="dxa"/>
          </w:tcPr>
          <w:p w14:paraId="289FE537"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9293B1C" w14:textId="031DBD2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SP_MDMB-111</w:t>
            </w:r>
          </w:p>
        </w:tc>
        <w:tc>
          <w:tcPr>
            <w:tcW w:w="1463" w:type="dxa"/>
            <w:vAlign w:val="bottom"/>
          </w:tcPr>
          <w:p w14:paraId="5DCD69A0" w14:textId="03D20CF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-27.56 ± 0.08</w:t>
            </w:r>
          </w:p>
        </w:tc>
        <w:tc>
          <w:tcPr>
            <w:tcW w:w="1463" w:type="dxa"/>
            <w:vAlign w:val="bottom"/>
          </w:tcPr>
          <w:p w14:paraId="2C5A11C4" w14:textId="6509FEE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3.73 ± 0.23</w:t>
            </w:r>
          </w:p>
        </w:tc>
      </w:tr>
      <w:tr w:rsidR="00C839D4" w:rsidRPr="009B17E7" w14:paraId="0AFD53F9"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0E463354" w14:textId="36A39A0D"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SP_MDMB-53</w:t>
            </w:r>
          </w:p>
        </w:tc>
        <w:tc>
          <w:tcPr>
            <w:tcW w:w="1463" w:type="dxa"/>
            <w:shd w:val="clear" w:color="auto" w:fill="auto"/>
            <w:noWrap/>
            <w:vAlign w:val="bottom"/>
          </w:tcPr>
          <w:p w14:paraId="362BD437" w14:textId="09BC2CA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-27.41 ± 0.01</w:t>
            </w:r>
          </w:p>
        </w:tc>
        <w:tc>
          <w:tcPr>
            <w:tcW w:w="1463" w:type="dxa"/>
            <w:shd w:val="clear" w:color="auto" w:fill="auto"/>
            <w:noWrap/>
            <w:vAlign w:val="bottom"/>
          </w:tcPr>
          <w:p w14:paraId="4A792363" w14:textId="188C344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4.85 ± 0.04</w:t>
            </w:r>
          </w:p>
        </w:tc>
        <w:tc>
          <w:tcPr>
            <w:tcW w:w="445" w:type="dxa"/>
          </w:tcPr>
          <w:p w14:paraId="244F6BE7"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5EB35B7" w14:textId="737B9B5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SP_MDMB-112</w:t>
            </w:r>
          </w:p>
        </w:tc>
        <w:tc>
          <w:tcPr>
            <w:tcW w:w="1463" w:type="dxa"/>
            <w:vAlign w:val="bottom"/>
          </w:tcPr>
          <w:p w14:paraId="7B787B2E" w14:textId="6B9CA4D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-27.67 ± 0.06</w:t>
            </w:r>
          </w:p>
        </w:tc>
        <w:tc>
          <w:tcPr>
            <w:tcW w:w="1463" w:type="dxa"/>
            <w:vAlign w:val="bottom"/>
          </w:tcPr>
          <w:p w14:paraId="581A7B69" w14:textId="572AE01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3.59 ± 0.05</w:t>
            </w:r>
          </w:p>
        </w:tc>
      </w:tr>
      <w:tr w:rsidR="00C839D4" w:rsidRPr="009B17E7" w14:paraId="02B7851C"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B98E4AB" w14:textId="3D59C300"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SP_MDMB-54</w:t>
            </w:r>
          </w:p>
        </w:tc>
        <w:tc>
          <w:tcPr>
            <w:tcW w:w="1463" w:type="dxa"/>
            <w:shd w:val="clear" w:color="auto" w:fill="auto"/>
            <w:noWrap/>
            <w:vAlign w:val="bottom"/>
          </w:tcPr>
          <w:p w14:paraId="33896B7C" w14:textId="17047716"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-27.53 ± 0.01</w:t>
            </w:r>
          </w:p>
        </w:tc>
        <w:tc>
          <w:tcPr>
            <w:tcW w:w="1463" w:type="dxa"/>
            <w:shd w:val="clear" w:color="auto" w:fill="auto"/>
            <w:noWrap/>
            <w:vAlign w:val="bottom"/>
          </w:tcPr>
          <w:p w14:paraId="39ED3529" w14:textId="786C908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4.85 ± 0.02</w:t>
            </w:r>
          </w:p>
        </w:tc>
        <w:tc>
          <w:tcPr>
            <w:tcW w:w="445" w:type="dxa"/>
          </w:tcPr>
          <w:p w14:paraId="5C1D39D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683FCB2F" w14:textId="08A8E25D"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SP_MDMB-113</w:t>
            </w:r>
          </w:p>
        </w:tc>
        <w:tc>
          <w:tcPr>
            <w:tcW w:w="1463" w:type="dxa"/>
            <w:vAlign w:val="bottom"/>
          </w:tcPr>
          <w:p w14:paraId="7262B61E" w14:textId="3D7E661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-27.57 ± 0.09</w:t>
            </w:r>
          </w:p>
        </w:tc>
        <w:tc>
          <w:tcPr>
            <w:tcW w:w="1463" w:type="dxa"/>
            <w:vAlign w:val="bottom"/>
          </w:tcPr>
          <w:p w14:paraId="4FF19A41" w14:textId="0C05622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4.77 ± 0.13</w:t>
            </w:r>
          </w:p>
        </w:tc>
      </w:tr>
      <w:tr w:rsidR="00C839D4" w:rsidRPr="009B17E7" w14:paraId="2C3C6FAD"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8A90DB8" w14:textId="379ABC4E"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SP_MDMB-55</w:t>
            </w:r>
          </w:p>
        </w:tc>
        <w:tc>
          <w:tcPr>
            <w:tcW w:w="1463" w:type="dxa"/>
            <w:shd w:val="clear" w:color="auto" w:fill="auto"/>
            <w:noWrap/>
            <w:vAlign w:val="bottom"/>
          </w:tcPr>
          <w:p w14:paraId="088047DB" w14:textId="7B7CD72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-27.55 ± 0.03</w:t>
            </w:r>
          </w:p>
        </w:tc>
        <w:tc>
          <w:tcPr>
            <w:tcW w:w="1463" w:type="dxa"/>
            <w:shd w:val="clear" w:color="auto" w:fill="auto"/>
            <w:noWrap/>
            <w:vAlign w:val="bottom"/>
          </w:tcPr>
          <w:p w14:paraId="3C514159" w14:textId="254A4B4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4.74 ± 0.03</w:t>
            </w:r>
          </w:p>
        </w:tc>
        <w:tc>
          <w:tcPr>
            <w:tcW w:w="445" w:type="dxa"/>
          </w:tcPr>
          <w:p w14:paraId="1444D44B"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F90F65F" w14:textId="0269598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SP_MDMB-114</w:t>
            </w:r>
          </w:p>
        </w:tc>
        <w:tc>
          <w:tcPr>
            <w:tcW w:w="1463" w:type="dxa"/>
            <w:vAlign w:val="bottom"/>
          </w:tcPr>
          <w:p w14:paraId="67486C08" w14:textId="54F0BBE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-26.54 ± 0.08</w:t>
            </w:r>
          </w:p>
        </w:tc>
        <w:tc>
          <w:tcPr>
            <w:tcW w:w="1463" w:type="dxa"/>
            <w:vAlign w:val="bottom"/>
          </w:tcPr>
          <w:p w14:paraId="606560B8" w14:textId="5DBDD6A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3.96 ± 0.16</w:t>
            </w:r>
          </w:p>
        </w:tc>
      </w:tr>
      <w:tr w:rsidR="00C839D4" w:rsidRPr="009B17E7" w14:paraId="68CD1C97"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62C6F009" w14:textId="4636C5FE"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lastRenderedPageBreak/>
              <w:t>SP_MDMB-56</w:t>
            </w:r>
          </w:p>
        </w:tc>
        <w:tc>
          <w:tcPr>
            <w:tcW w:w="1463" w:type="dxa"/>
            <w:shd w:val="clear" w:color="auto" w:fill="auto"/>
            <w:noWrap/>
            <w:vAlign w:val="bottom"/>
          </w:tcPr>
          <w:p w14:paraId="04F3856E" w14:textId="787E73D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-27.36 ± 0.07</w:t>
            </w:r>
          </w:p>
        </w:tc>
        <w:tc>
          <w:tcPr>
            <w:tcW w:w="1463" w:type="dxa"/>
            <w:shd w:val="clear" w:color="auto" w:fill="auto"/>
            <w:noWrap/>
            <w:vAlign w:val="bottom"/>
          </w:tcPr>
          <w:p w14:paraId="0D527F9E" w14:textId="4BD85A2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5.39 ± 0.06</w:t>
            </w:r>
          </w:p>
        </w:tc>
        <w:tc>
          <w:tcPr>
            <w:tcW w:w="445" w:type="dxa"/>
          </w:tcPr>
          <w:p w14:paraId="30F67BC8"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7AF78803" w14:textId="4BCE27F5"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SP_MDMB-115</w:t>
            </w:r>
          </w:p>
        </w:tc>
        <w:tc>
          <w:tcPr>
            <w:tcW w:w="1463" w:type="dxa"/>
            <w:vAlign w:val="bottom"/>
          </w:tcPr>
          <w:p w14:paraId="0529CB90" w14:textId="300922B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-27.52 ± 0.09</w:t>
            </w:r>
          </w:p>
        </w:tc>
        <w:tc>
          <w:tcPr>
            <w:tcW w:w="1463" w:type="dxa"/>
            <w:vAlign w:val="bottom"/>
          </w:tcPr>
          <w:p w14:paraId="2F72F927" w14:textId="5EFB603C"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4.53 ± 0.39</w:t>
            </w:r>
          </w:p>
        </w:tc>
      </w:tr>
      <w:tr w:rsidR="00C839D4" w:rsidRPr="009B17E7" w14:paraId="0CCB9225"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7347248F" w14:textId="3E5669F4"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SP_MDMB-57</w:t>
            </w:r>
          </w:p>
        </w:tc>
        <w:tc>
          <w:tcPr>
            <w:tcW w:w="1463" w:type="dxa"/>
            <w:shd w:val="clear" w:color="auto" w:fill="auto"/>
            <w:noWrap/>
            <w:vAlign w:val="bottom"/>
          </w:tcPr>
          <w:p w14:paraId="0B5264DC" w14:textId="44586489"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-27.52 ± 0.03</w:t>
            </w:r>
          </w:p>
        </w:tc>
        <w:tc>
          <w:tcPr>
            <w:tcW w:w="1463" w:type="dxa"/>
            <w:shd w:val="clear" w:color="auto" w:fill="auto"/>
            <w:noWrap/>
            <w:vAlign w:val="bottom"/>
          </w:tcPr>
          <w:p w14:paraId="72F3F667" w14:textId="726C0D43"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4.85 ± 0.03</w:t>
            </w:r>
          </w:p>
        </w:tc>
        <w:tc>
          <w:tcPr>
            <w:tcW w:w="445" w:type="dxa"/>
          </w:tcPr>
          <w:p w14:paraId="1440CD4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150EBF3C" w14:textId="28921B01"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SP_MDMB-116</w:t>
            </w:r>
          </w:p>
        </w:tc>
        <w:tc>
          <w:tcPr>
            <w:tcW w:w="1463" w:type="dxa"/>
            <w:vAlign w:val="bottom"/>
          </w:tcPr>
          <w:p w14:paraId="71CB1000" w14:textId="7D758942"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-27.52 ± 0.07</w:t>
            </w:r>
          </w:p>
        </w:tc>
        <w:tc>
          <w:tcPr>
            <w:tcW w:w="1463" w:type="dxa"/>
            <w:vAlign w:val="bottom"/>
          </w:tcPr>
          <w:p w14:paraId="1631BA7A" w14:textId="545FB5D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3.69 ± 0.14</w:t>
            </w:r>
          </w:p>
        </w:tc>
      </w:tr>
      <w:tr w:rsidR="00C839D4" w:rsidRPr="009B17E7" w14:paraId="2E55146A"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EA4BEA0" w14:textId="142B96D3"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SP_MDMB-58</w:t>
            </w:r>
          </w:p>
        </w:tc>
        <w:tc>
          <w:tcPr>
            <w:tcW w:w="1463" w:type="dxa"/>
            <w:shd w:val="clear" w:color="auto" w:fill="auto"/>
            <w:noWrap/>
            <w:vAlign w:val="bottom"/>
          </w:tcPr>
          <w:p w14:paraId="3131B088" w14:textId="2D12612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-27.47 ± 0.02</w:t>
            </w:r>
          </w:p>
        </w:tc>
        <w:tc>
          <w:tcPr>
            <w:tcW w:w="1463" w:type="dxa"/>
            <w:shd w:val="clear" w:color="auto" w:fill="auto"/>
            <w:noWrap/>
            <w:vAlign w:val="bottom"/>
          </w:tcPr>
          <w:p w14:paraId="5A4E11EB" w14:textId="2FA1EF0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4.77 ± 0.11</w:t>
            </w:r>
          </w:p>
        </w:tc>
        <w:tc>
          <w:tcPr>
            <w:tcW w:w="445" w:type="dxa"/>
          </w:tcPr>
          <w:p w14:paraId="00124D46"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592B354B" w14:textId="37DEAD4F"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SP_MDMB-117</w:t>
            </w:r>
          </w:p>
        </w:tc>
        <w:tc>
          <w:tcPr>
            <w:tcW w:w="1463" w:type="dxa"/>
            <w:vAlign w:val="bottom"/>
          </w:tcPr>
          <w:p w14:paraId="69A8674B" w14:textId="1E57FA0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-27.21 ± 0.07</w:t>
            </w:r>
          </w:p>
        </w:tc>
        <w:tc>
          <w:tcPr>
            <w:tcW w:w="1463" w:type="dxa"/>
            <w:vAlign w:val="bottom"/>
          </w:tcPr>
          <w:p w14:paraId="7C8FA90B" w14:textId="4853C2EB"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4.98 ± 0.09</w:t>
            </w:r>
          </w:p>
        </w:tc>
      </w:tr>
      <w:tr w:rsidR="00C839D4" w:rsidRPr="009B17E7" w14:paraId="75212FF2" w14:textId="77777777" w:rsidTr="009B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449" w:type="dxa"/>
            <w:shd w:val="clear" w:color="auto" w:fill="auto"/>
            <w:noWrap/>
            <w:vAlign w:val="bottom"/>
          </w:tcPr>
          <w:p w14:paraId="1E27A6B4" w14:textId="6745E6AE" w:rsidR="00C839D4" w:rsidRPr="009B17E7" w:rsidRDefault="00C839D4" w:rsidP="00F3279A">
            <w:pPr>
              <w:spacing w:line="240" w:lineRule="auto"/>
              <w:jc w:val="center"/>
              <w:rPr>
                <w:rFonts w:ascii="Calibri" w:hAnsi="Calibri"/>
                <w:color w:val="000000"/>
                <w:sz w:val="20"/>
              </w:rPr>
            </w:pPr>
            <w:r w:rsidRPr="009B17E7">
              <w:rPr>
                <w:rFonts w:ascii="Calibri" w:hAnsi="Calibri"/>
                <w:color w:val="000000"/>
                <w:sz w:val="20"/>
              </w:rPr>
              <w:t>SP_MDMB-59</w:t>
            </w:r>
          </w:p>
        </w:tc>
        <w:tc>
          <w:tcPr>
            <w:tcW w:w="1463" w:type="dxa"/>
            <w:shd w:val="clear" w:color="auto" w:fill="auto"/>
            <w:noWrap/>
            <w:vAlign w:val="bottom"/>
          </w:tcPr>
          <w:p w14:paraId="72331277" w14:textId="46A3F697"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-27.50 ± 0.01</w:t>
            </w:r>
          </w:p>
        </w:tc>
        <w:tc>
          <w:tcPr>
            <w:tcW w:w="1463" w:type="dxa"/>
            <w:shd w:val="clear" w:color="auto" w:fill="auto"/>
            <w:noWrap/>
            <w:vAlign w:val="bottom"/>
          </w:tcPr>
          <w:p w14:paraId="2C585F96" w14:textId="469E0C10"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4.81 ± 0.10</w:t>
            </w:r>
          </w:p>
        </w:tc>
        <w:tc>
          <w:tcPr>
            <w:tcW w:w="445" w:type="dxa"/>
          </w:tcPr>
          <w:p w14:paraId="5557B6D0" w14:textId="77777777" w:rsidR="00C839D4" w:rsidRPr="009B17E7" w:rsidRDefault="00C839D4" w:rsidP="00F3279A">
            <w:pPr>
              <w:spacing w:line="240" w:lineRule="auto"/>
              <w:jc w:val="center"/>
              <w:rPr>
                <w:rFonts w:ascii="Calibri" w:hAnsi="Calibri" w:cs="Calibri"/>
                <w:color w:val="000000"/>
                <w:sz w:val="20"/>
                <w:lang w:eastAsia="en-GB"/>
              </w:rPr>
            </w:pPr>
          </w:p>
        </w:tc>
        <w:tc>
          <w:tcPr>
            <w:tcW w:w="1550" w:type="dxa"/>
            <w:vAlign w:val="bottom"/>
          </w:tcPr>
          <w:p w14:paraId="210D21AE" w14:textId="7207D8FA"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SP_MDMB-118</w:t>
            </w:r>
          </w:p>
        </w:tc>
        <w:tc>
          <w:tcPr>
            <w:tcW w:w="1463" w:type="dxa"/>
            <w:vAlign w:val="bottom"/>
          </w:tcPr>
          <w:p w14:paraId="0FD1DB11" w14:textId="79A18438"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-27.14 ± 0.10</w:t>
            </w:r>
          </w:p>
        </w:tc>
        <w:tc>
          <w:tcPr>
            <w:tcW w:w="1463" w:type="dxa"/>
            <w:vAlign w:val="bottom"/>
          </w:tcPr>
          <w:p w14:paraId="00CDE044" w14:textId="5A1D77EE" w:rsidR="00C839D4" w:rsidRPr="00C839D4" w:rsidRDefault="00C839D4" w:rsidP="00F3279A">
            <w:pPr>
              <w:spacing w:line="240" w:lineRule="auto"/>
              <w:jc w:val="center"/>
              <w:rPr>
                <w:rFonts w:ascii="Calibri" w:hAnsi="Calibri" w:cs="Calibri"/>
                <w:color w:val="000000"/>
                <w:sz w:val="20"/>
                <w:lang w:eastAsia="en-GB"/>
              </w:rPr>
            </w:pPr>
            <w:r w:rsidRPr="00C839D4">
              <w:rPr>
                <w:rFonts w:ascii="Calibri" w:hAnsi="Calibri" w:cs="Calibri"/>
                <w:color w:val="000000"/>
                <w:sz w:val="20"/>
              </w:rPr>
              <w:t>4.82 ± 0.19</w:t>
            </w:r>
          </w:p>
        </w:tc>
      </w:tr>
    </w:tbl>
    <w:p w14:paraId="654E462E" w14:textId="1E948077" w:rsidR="00EA4B3C" w:rsidRDefault="00EA4B3C" w:rsidP="00F3279A">
      <w:pPr>
        <w:spacing w:line="240" w:lineRule="auto"/>
      </w:pPr>
    </w:p>
    <w:p w14:paraId="368EA423" w14:textId="77777777" w:rsidR="00EA4B3C" w:rsidRPr="00EA4B3C" w:rsidRDefault="00EA4B3C" w:rsidP="00F3279A">
      <w:pPr>
        <w:spacing w:line="240" w:lineRule="auto"/>
      </w:pPr>
    </w:p>
    <w:p w14:paraId="1EB6F386" w14:textId="77777777" w:rsidR="00EA4B3C" w:rsidRPr="00EA4B3C" w:rsidRDefault="00EA4B3C" w:rsidP="00F3279A">
      <w:pPr>
        <w:spacing w:line="240" w:lineRule="auto"/>
      </w:pPr>
    </w:p>
    <w:p w14:paraId="506F3AED" w14:textId="77777777" w:rsidR="00EA4B3C" w:rsidRPr="00EA4B3C" w:rsidRDefault="00EA4B3C" w:rsidP="00F3279A">
      <w:pPr>
        <w:spacing w:line="240" w:lineRule="auto"/>
      </w:pPr>
    </w:p>
    <w:p w14:paraId="3563941A" w14:textId="77777777" w:rsidR="00EA4B3C" w:rsidRPr="00EA4B3C" w:rsidRDefault="00EA4B3C" w:rsidP="00F3279A">
      <w:pPr>
        <w:spacing w:line="240" w:lineRule="auto"/>
      </w:pPr>
    </w:p>
    <w:p w14:paraId="4559B774" w14:textId="77777777" w:rsidR="00EA4B3C" w:rsidRPr="00EA4B3C" w:rsidRDefault="00EA4B3C" w:rsidP="00F3279A">
      <w:pPr>
        <w:spacing w:line="240" w:lineRule="auto"/>
      </w:pPr>
    </w:p>
    <w:p w14:paraId="2B338495" w14:textId="77777777" w:rsidR="00EA4B3C" w:rsidRPr="00EA4B3C" w:rsidRDefault="00EA4B3C" w:rsidP="00F3279A">
      <w:pPr>
        <w:spacing w:line="240" w:lineRule="auto"/>
      </w:pPr>
    </w:p>
    <w:p w14:paraId="1A74F37B" w14:textId="77777777" w:rsidR="00EA4B3C" w:rsidRPr="00EA4B3C" w:rsidRDefault="00EA4B3C" w:rsidP="00F3279A">
      <w:pPr>
        <w:spacing w:line="240" w:lineRule="auto"/>
      </w:pPr>
    </w:p>
    <w:p w14:paraId="604FC0F4" w14:textId="5F86C7A5" w:rsidR="002C4CDB" w:rsidRDefault="00EA4B3C" w:rsidP="00F3279A">
      <w:pPr>
        <w:spacing w:line="240" w:lineRule="auto"/>
      </w:pPr>
      <w:r>
        <w:br w:type="textWrapping" w:clear="all"/>
      </w:r>
    </w:p>
    <w:p w14:paraId="6167E8A0" w14:textId="31C2B675" w:rsidR="00EA4B3C" w:rsidRDefault="00EA4B3C" w:rsidP="00F3279A">
      <w:pPr>
        <w:spacing w:line="240" w:lineRule="auto"/>
      </w:pPr>
    </w:p>
    <w:p w14:paraId="15DE7915" w14:textId="71DA479B" w:rsidR="00EA4B3C" w:rsidRDefault="00EA4B3C" w:rsidP="00F3279A">
      <w:pPr>
        <w:spacing w:line="240" w:lineRule="auto"/>
      </w:pPr>
    </w:p>
    <w:p w14:paraId="5DFA0A74" w14:textId="0FC88F3A" w:rsidR="00EA4B3C" w:rsidRPr="008E13D5" w:rsidRDefault="00E11382" w:rsidP="00F3279A">
      <w:pPr>
        <w:spacing w:line="240" w:lineRule="auto"/>
      </w:pPr>
      <w:r>
        <w:fldChar w:fldCharType="begin"/>
      </w:r>
      <w:r>
        <w:instrText xml:space="preserve"> ADDIN </w:instrText>
      </w:r>
      <w:r>
        <w:fldChar w:fldCharType="end"/>
      </w:r>
    </w:p>
    <w:sectPr w:rsidR="00EA4B3C" w:rsidRPr="008E13D5" w:rsidSect="00EB58CA">
      <w:footerReference w:type="even" r:id="rId18"/>
      <w:footerReference w:type="default" r:id="rId19"/>
      <w:pgSz w:w="11906" w:h="16838" w:code="9"/>
      <w:pgMar w:top="1418" w:right="851"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05319" w14:textId="77777777" w:rsidR="00D91E83" w:rsidRDefault="00D91E83">
      <w:r>
        <w:separator/>
      </w:r>
    </w:p>
  </w:endnote>
  <w:endnote w:type="continuationSeparator" w:id="0">
    <w:p w14:paraId="5AF8C51A" w14:textId="77777777" w:rsidR="00D91E83" w:rsidRDefault="00D9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bxwxt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7D7D2" w14:textId="77777777" w:rsidR="006D7324" w:rsidRDefault="006D732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14:paraId="170F809D" w14:textId="77777777" w:rsidR="006D7324" w:rsidRDefault="006D732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CF091" w14:textId="15D9FDF9" w:rsidR="006D7324" w:rsidRDefault="006D732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19</w:t>
    </w:r>
    <w:r>
      <w:rPr>
        <w:rStyle w:val="Seitenzahl"/>
      </w:rPr>
      <w:fldChar w:fldCharType="end"/>
    </w:r>
  </w:p>
  <w:p w14:paraId="1685E33D" w14:textId="77777777" w:rsidR="006D7324" w:rsidRDefault="006D732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A4633" w14:textId="77777777" w:rsidR="00D91E83" w:rsidRDefault="00D91E83">
      <w:r>
        <w:separator/>
      </w:r>
    </w:p>
  </w:footnote>
  <w:footnote w:type="continuationSeparator" w:id="0">
    <w:p w14:paraId="271D467B" w14:textId="77777777" w:rsidR="00D91E83" w:rsidRDefault="00D9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D1389"/>
    <w:multiLevelType w:val="singleLevel"/>
    <w:tmpl w:val="2EC47820"/>
    <w:lvl w:ilvl="0">
      <w:numFmt w:val="bullet"/>
      <w:lvlText w:val="-"/>
      <w:lvlJc w:val="left"/>
      <w:pPr>
        <w:tabs>
          <w:tab w:val="num" w:pos="360"/>
        </w:tabs>
        <w:ind w:left="360" w:hanging="360"/>
      </w:pPr>
      <w:rPr>
        <w:rFonts w:hint="default"/>
      </w:rPr>
    </w:lvl>
  </w:abstractNum>
  <w:abstractNum w:abstractNumId="1" w15:restartNumberingAfterBreak="0">
    <w:nsid w:val="18D2566D"/>
    <w:multiLevelType w:val="hybridMultilevel"/>
    <w:tmpl w:val="443C3E0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14B6519"/>
    <w:multiLevelType w:val="hybridMultilevel"/>
    <w:tmpl w:val="1206ACDC"/>
    <w:lvl w:ilvl="0" w:tplc="DEBC62AE">
      <w:start w:val="1"/>
      <w:numFmt w:val="bullet"/>
      <w:lvlText w:val="-"/>
      <w:lvlJc w:val="left"/>
      <w:pPr>
        <w:ind w:left="1065" w:hanging="360"/>
      </w:pPr>
      <w:rPr>
        <w:rFonts w:ascii="Times New Roman" w:eastAsia="Times New Roman" w:hAnsi="Times New Roman"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 w15:restartNumberingAfterBreak="0">
    <w:nsid w:val="2CCB2354"/>
    <w:multiLevelType w:val="hybridMultilevel"/>
    <w:tmpl w:val="D9227DDE"/>
    <w:lvl w:ilvl="0" w:tplc="40F8C31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1667C"/>
    <w:multiLevelType w:val="hybridMultilevel"/>
    <w:tmpl w:val="DF402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A43270"/>
    <w:multiLevelType w:val="multilevel"/>
    <w:tmpl w:val="FB22E59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F181228"/>
    <w:multiLevelType w:val="hybridMultilevel"/>
    <w:tmpl w:val="60D0615C"/>
    <w:lvl w:ilvl="0" w:tplc="3DA6966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031BDC"/>
    <w:multiLevelType w:val="hybridMultilevel"/>
    <w:tmpl w:val="FFDA07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7E0AAA"/>
    <w:multiLevelType w:val="hybridMultilevel"/>
    <w:tmpl w:val="9CA4D268"/>
    <w:lvl w:ilvl="0" w:tplc="E05822F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7"/>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9" w:dllVersion="512" w:checkStyle="1"/>
  <w:activeWritingStyle w:appName="MSWord" w:lang="en-GB" w:vendorID="8" w:dllVersion="513" w:checkStyle="1"/>
  <w:activeWritingStyle w:appName="MSWord" w:lang="en-US" w:vendorID="8" w:dllVersion="513" w:checkStyle="1"/>
  <w:activeWritingStyle w:appName="MSWord" w:lang="pl-PL" w:vendorID="12" w:dllVersion="512"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alytica Chemica Acta Copy&lt;/Style&gt;&lt;LeftDelim&gt;{&lt;/LeftDelim&gt;&lt;RightDelim&gt;}&lt;/RightDelim&gt;&lt;FontName&gt;Times New Roman&lt;/FontName&gt;&lt;FontSize&gt;12&lt;/FontSize&gt;&lt;ReflistTitle&gt;&lt;/ReflistTitle&gt;&lt;StartingRefnum&gt;1&lt;/StartingRefnum&gt;&lt;FirstLineIndent&gt;0&lt;/FirstLineIndent&gt;&lt;HangingIndent&gt;17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p5sarzfpwayefwerxws5exsssx22p5wxf&quot;&gt;Doc&lt;record-ids&gt;&lt;item&gt;51&lt;/item&gt;&lt;item&gt;55&lt;/item&gt;&lt;item&gt;66&lt;/item&gt;&lt;item&gt;101&lt;/item&gt;&lt;item&gt;106&lt;/item&gt;&lt;item&gt;116&lt;/item&gt;&lt;item&gt;128&lt;/item&gt;&lt;item&gt;129&lt;/item&gt;&lt;item&gt;130&lt;/item&gt;&lt;item&gt;131&lt;/item&gt;&lt;item&gt;136&lt;/item&gt;&lt;item&gt;138&lt;/item&gt;&lt;item&gt;164&lt;/item&gt;&lt;/record-ids&gt;&lt;/item&gt;&lt;/Libraries&gt;"/>
  </w:docVars>
  <w:rsids>
    <w:rsidRoot w:val="00BA274A"/>
    <w:rsid w:val="00002035"/>
    <w:rsid w:val="00002904"/>
    <w:rsid w:val="00003E42"/>
    <w:rsid w:val="00003FC8"/>
    <w:rsid w:val="00004E57"/>
    <w:rsid w:val="00006CED"/>
    <w:rsid w:val="00010927"/>
    <w:rsid w:val="00011640"/>
    <w:rsid w:val="00012A65"/>
    <w:rsid w:val="00013CF4"/>
    <w:rsid w:val="0001608E"/>
    <w:rsid w:val="00016FA9"/>
    <w:rsid w:val="00017F15"/>
    <w:rsid w:val="0002097F"/>
    <w:rsid w:val="000215C0"/>
    <w:rsid w:val="00021A2F"/>
    <w:rsid w:val="0002244D"/>
    <w:rsid w:val="00022786"/>
    <w:rsid w:val="000232B0"/>
    <w:rsid w:val="0002375B"/>
    <w:rsid w:val="000243A4"/>
    <w:rsid w:val="00025851"/>
    <w:rsid w:val="000261E7"/>
    <w:rsid w:val="00026BF6"/>
    <w:rsid w:val="00027936"/>
    <w:rsid w:val="00027BCA"/>
    <w:rsid w:val="000322B3"/>
    <w:rsid w:val="00032F1E"/>
    <w:rsid w:val="000337EB"/>
    <w:rsid w:val="00033B3C"/>
    <w:rsid w:val="00035A8C"/>
    <w:rsid w:val="00036568"/>
    <w:rsid w:val="000402C9"/>
    <w:rsid w:val="000424F9"/>
    <w:rsid w:val="00044295"/>
    <w:rsid w:val="00044801"/>
    <w:rsid w:val="00045BD8"/>
    <w:rsid w:val="00046C96"/>
    <w:rsid w:val="000529C8"/>
    <w:rsid w:val="000530F7"/>
    <w:rsid w:val="000549B8"/>
    <w:rsid w:val="000551F3"/>
    <w:rsid w:val="0005691C"/>
    <w:rsid w:val="00057334"/>
    <w:rsid w:val="0006146B"/>
    <w:rsid w:val="0006572D"/>
    <w:rsid w:val="00066F43"/>
    <w:rsid w:val="00071EED"/>
    <w:rsid w:val="00073991"/>
    <w:rsid w:val="00075D3B"/>
    <w:rsid w:val="000773B7"/>
    <w:rsid w:val="00081962"/>
    <w:rsid w:val="000868EE"/>
    <w:rsid w:val="000919E6"/>
    <w:rsid w:val="000935F9"/>
    <w:rsid w:val="0009418A"/>
    <w:rsid w:val="000965E6"/>
    <w:rsid w:val="000A09C7"/>
    <w:rsid w:val="000A1765"/>
    <w:rsid w:val="000A6000"/>
    <w:rsid w:val="000A63FA"/>
    <w:rsid w:val="000A71A0"/>
    <w:rsid w:val="000B2EA8"/>
    <w:rsid w:val="000B3415"/>
    <w:rsid w:val="000B4609"/>
    <w:rsid w:val="000B480A"/>
    <w:rsid w:val="000B5189"/>
    <w:rsid w:val="000C0DD5"/>
    <w:rsid w:val="000C324C"/>
    <w:rsid w:val="000C5B4B"/>
    <w:rsid w:val="000D0BFB"/>
    <w:rsid w:val="000D2273"/>
    <w:rsid w:val="000D6062"/>
    <w:rsid w:val="000D7648"/>
    <w:rsid w:val="000E0824"/>
    <w:rsid w:val="000E28B2"/>
    <w:rsid w:val="000E49AD"/>
    <w:rsid w:val="000E6AAA"/>
    <w:rsid w:val="000E78DB"/>
    <w:rsid w:val="000F1DEE"/>
    <w:rsid w:val="000F494F"/>
    <w:rsid w:val="000F67D1"/>
    <w:rsid w:val="00102134"/>
    <w:rsid w:val="001021F4"/>
    <w:rsid w:val="001043B4"/>
    <w:rsid w:val="001053CF"/>
    <w:rsid w:val="00105A2D"/>
    <w:rsid w:val="00105D92"/>
    <w:rsid w:val="00105E47"/>
    <w:rsid w:val="0010693C"/>
    <w:rsid w:val="00107787"/>
    <w:rsid w:val="001107F1"/>
    <w:rsid w:val="00111363"/>
    <w:rsid w:val="0011361B"/>
    <w:rsid w:val="001143D4"/>
    <w:rsid w:val="001200D2"/>
    <w:rsid w:val="0012119D"/>
    <w:rsid w:val="0012340D"/>
    <w:rsid w:val="00123582"/>
    <w:rsid w:val="0012586B"/>
    <w:rsid w:val="00127735"/>
    <w:rsid w:val="00127A2E"/>
    <w:rsid w:val="001309B9"/>
    <w:rsid w:val="00132D60"/>
    <w:rsid w:val="001359FC"/>
    <w:rsid w:val="00155536"/>
    <w:rsid w:val="00155E1B"/>
    <w:rsid w:val="00157495"/>
    <w:rsid w:val="00157631"/>
    <w:rsid w:val="0016055B"/>
    <w:rsid w:val="00166F38"/>
    <w:rsid w:val="001706EB"/>
    <w:rsid w:val="00171A83"/>
    <w:rsid w:val="001729D4"/>
    <w:rsid w:val="00173C84"/>
    <w:rsid w:val="001741A5"/>
    <w:rsid w:val="00174349"/>
    <w:rsid w:val="00175B39"/>
    <w:rsid w:val="001833D1"/>
    <w:rsid w:val="00183A52"/>
    <w:rsid w:val="001857BB"/>
    <w:rsid w:val="001903E6"/>
    <w:rsid w:val="00190423"/>
    <w:rsid w:val="0019143B"/>
    <w:rsid w:val="00194CCC"/>
    <w:rsid w:val="0019520A"/>
    <w:rsid w:val="00195A5C"/>
    <w:rsid w:val="00197A35"/>
    <w:rsid w:val="00197D0B"/>
    <w:rsid w:val="001A05AF"/>
    <w:rsid w:val="001A177A"/>
    <w:rsid w:val="001A3145"/>
    <w:rsid w:val="001A3FF4"/>
    <w:rsid w:val="001A47EF"/>
    <w:rsid w:val="001A4B6C"/>
    <w:rsid w:val="001A7A5D"/>
    <w:rsid w:val="001A7C56"/>
    <w:rsid w:val="001B0C70"/>
    <w:rsid w:val="001B2C4C"/>
    <w:rsid w:val="001C137E"/>
    <w:rsid w:val="001C4501"/>
    <w:rsid w:val="001C477D"/>
    <w:rsid w:val="001C4C0F"/>
    <w:rsid w:val="001C7BB5"/>
    <w:rsid w:val="001D138F"/>
    <w:rsid w:val="001D54A1"/>
    <w:rsid w:val="001E066B"/>
    <w:rsid w:val="001E266E"/>
    <w:rsid w:val="001E6670"/>
    <w:rsid w:val="001F0D7C"/>
    <w:rsid w:val="001F129F"/>
    <w:rsid w:val="001F1867"/>
    <w:rsid w:val="001F57AA"/>
    <w:rsid w:val="0020197B"/>
    <w:rsid w:val="00201CC9"/>
    <w:rsid w:val="002030D0"/>
    <w:rsid w:val="00203DED"/>
    <w:rsid w:val="00206599"/>
    <w:rsid w:val="00206DD7"/>
    <w:rsid w:val="00207CCA"/>
    <w:rsid w:val="00211228"/>
    <w:rsid w:val="00211CCE"/>
    <w:rsid w:val="002130B4"/>
    <w:rsid w:val="0021526D"/>
    <w:rsid w:val="00215C03"/>
    <w:rsid w:val="00217F7A"/>
    <w:rsid w:val="00221A0A"/>
    <w:rsid w:val="00223073"/>
    <w:rsid w:val="002235D9"/>
    <w:rsid w:val="00227BB9"/>
    <w:rsid w:val="00231417"/>
    <w:rsid w:val="00232DAB"/>
    <w:rsid w:val="002356FA"/>
    <w:rsid w:val="00236604"/>
    <w:rsid w:val="002366F2"/>
    <w:rsid w:val="00237109"/>
    <w:rsid w:val="00237E59"/>
    <w:rsid w:val="00237E87"/>
    <w:rsid w:val="002474BE"/>
    <w:rsid w:val="00247AB7"/>
    <w:rsid w:val="00256728"/>
    <w:rsid w:val="002567AE"/>
    <w:rsid w:val="0026242D"/>
    <w:rsid w:val="002711A1"/>
    <w:rsid w:val="002718F3"/>
    <w:rsid w:val="00271CD2"/>
    <w:rsid w:val="0027232C"/>
    <w:rsid w:val="002754B1"/>
    <w:rsid w:val="002863E9"/>
    <w:rsid w:val="0029241C"/>
    <w:rsid w:val="002936F5"/>
    <w:rsid w:val="00294FCF"/>
    <w:rsid w:val="00295347"/>
    <w:rsid w:val="00295383"/>
    <w:rsid w:val="00295A83"/>
    <w:rsid w:val="00295D3B"/>
    <w:rsid w:val="00297FAB"/>
    <w:rsid w:val="002A023D"/>
    <w:rsid w:val="002A1523"/>
    <w:rsid w:val="002A2039"/>
    <w:rsid w:val="002A6E46"/>
    <w:rsid w:val="002B00A6"/>
    <w:rsid w:val="002B0581"/>
    <w:rsid w:val="002B0F1B"/>
    <w:rsid w:val="002B2335"/>
    <w:rsid w:val="002B2503"/>
    <w:rsid w:val="002B7A48"/>
    <w:rsid w:val="002C41AE"/>
    <w:rsid w:val="002C43D7"/>
    <w:rsid w:val="002C4712"/>
    <w:rsid w:val="002C4AB9"/>
    <w:rsid w:val="002C4CDB"/>
    <w:rsid w:val="002D008C"/>
    <w:rsid w:val="002D0E7C"/>
    <w:rsid w:val="002D1871"/>
    <w:rsid w:val="002D2009"/>
    <w:rsid w:val="002D21C9"/>
    <w:rsid w:val="002D4DC5"/>
    <w:rsid w:val="002D4FE0"/>
    <w:rsid w:val="002D6F86"/>
    <w:rsid w:val="002E066D"/>
    <w:rsid w:val="002E38A1"/>
    <w:rsid w:val="002E449A"/>
    <w:rsid w:val="002E4F4F"/>
    <w:rsid w:val="002E638C"/>
    <w:rsid w:val="002F13CE"/>
    <w:rsid w:val="002F22E3"/>
    <w:rsid w:val="002F3320"/>
    <w:rsid w:val="002F4433"/>
    <w:rsid w:val="002F4614"/>
    <w:rsid w:val="002F4AD0"/>
    <w:rsid w:val="002F6CFA"/>
    <w:rsid w:val="002F6E14"/>
    <w:rsid w:val="002F78AF"/>
    <w:rsid w:val="002F7C7B"/>
    <w:rsid w:val="003008F1"/>
    <w:rsid w:val="003032A8"/>
    <w:rsid w:val="00304079"/>
    <w:rsid w:val="00312867"/>
    <w:rsid w:val="003138C8"/>
    <w:rsid w:val="00316646"/>
    <w:rsid w:val="00316852"/>
    <w:rsid w:val="0031748A"/>
    <w:rsid w:val="003222E4"/>
    <w:rsid w:val="003229E3"/>
    <w:rsid w:val="00322F9E"/>
    <w:rsid w:val="00325CE6"/>
    <w:rsid w:val="00325F85"/>
    <w:rsid w:val="003260B7"/>
    <w:rsid w:val="0032630D"/>
    <w:rsid w:val="00327286"/>
    <w:rsid w:val="00330721"/>
    <w:rsid w:val="0033099E"/>
    <w:rsid w:val="00330D95"/>
    <w:rsid w:val="00331249"/>
    <w:rsid w:val="0033144F"/>
    <w:rsid w:val="0033153F"/>
    <w:rsid w:val="00331D66"/>
    <w:rsid w:val="0033260E"/>
    <w:rsid w:val="00334C54"/>
    <w:rsid w:val="003353B6"/>
    <w:rsid w:val="00337130"/>
    <w:rsid w:val="0033753A"/>
    <w:rsid w:val="00340055"/>
    <w:rsid w:val="003417E6"/>
    <w:rsid w:val="003455D1"/>
    <w:rsid w:val="003501D9"/>
    <w:rsid w:val="00351BA2"/>
    <w:rsid w:val="00351BFA"/>
    <w:rsid w:val="00353BD1"/>
    <w:rsid w:val="00355104"/>
    <w:rsid w:val="003554A2"/>
    <w:rsid w:val="0035561A"/>
    <w:rsid w:val="00355689"/>
    <w:rsid w:val="003556A9"/>
    <w:rsid w:val="00360458"/>
    <w:rsid w:val="003609B4"/>
    <w:rsid w:val="00361D3B"/>
    <w:rsid w:val="003624A0"/>
    <w:rsid w:val="00362C53"/>
    <w:rsid w:val="003647C3"/>
    <w:rsid w:val="00365D96"/>
    <w:rsid w:val="00366EA3"/>
    <w:rsid w:val="00367B93"/>
    <w:rsid w:val="00371754"/>
    <w:rsid w:val="00380187"/>
    <w:rsid w:val="00382D99"/>
    <w:rsid w:val="003841D5"/>
    <w:rsid w:val="003851D2"/>
    <w:rsid w:val="003868AD"/>
    <w:rsid w:val="0039082B"/>
    <w:rsid w:val="0039347D"/>
    <w:rsid w:val="00394EF2"/>
    <w:rsid w:val="00396DFE"/>
    <w:rsid w:val="003A0AF4"/>
    <w:rsid w:val="003A4384"/>
    <w:rsid w:val="003A7899"/>
    <w:rsid w:val="003B1436"/>
    <w:rsid w:val="003B3D7C"/>
    <w:rsid w:val="003B4909"/>
    <w:rsid w:val="003B4DA4"/>
    <w:rsid w:val="003B63F2"/>
    <w:rsid w:val="003B7498"/>
    <w:rsid w:val="003B7F28"/>
    <w:rsid w:val="003C0B74"/>
    <w:rsid w:val="003C396B"/>
    <w:rsid w:val="003C3D51"/>
    <w:rsid w:val="003C4B34"/>
    <w:rsid w:val="003D116D"/>
    <w:rsid w:val="003D2FF7"/>
    <w:rsid w:val="003D3E17"/>
    <w:rsid w:val="003D3EE2"/>
    <w:rsid w:val="003D4466"/>
    <w:rsid w:val="003D6375"/>
    <w:rsid w:val="003D733B"/>
    <w:rsid w:val="003D7875"/>
    <w:rsid w:val="003E0875"/>
    <w:rsid w:val="003E2D7E"/>
    <w:rsid w:val="003E3349"/>
    <w:rsid w:val="003E395C"/>
    <w:rsid w:val="003E4CC5"/>
    <w:rsid w:val="003E6E27"/>
    <w:rsid w:val="003F1087"/>
    <w:rsid w:val="003F2B98"/>
    <w:rsid w:val="003F39AC"/>
    <w:rsid w:val="003F64F8"/>
    <w:rsid w:val="00400BD1"/>
    <w:rsid w:val="004036BE"/>
    <w:rsid w:val="00405042"/>
    <w:rsid w:val="00407D88"/>
    <w:rsid w:val="0041195F"/>
    <w:rsid w:val="004156A1"/>
    <w:rsid w:val="004156F5"/>
    <w:rsid w:val="00417123"/>
    <w:rsid w:val="0041729C"/>
    <w:rsid w:val="00417437"/>
    <w:rsid w:val="00417D5C"/>
    <w:rsid w:val="00423952"/>
    <w:rsid w:val="00425BAA"/>
    <w:rsid w:val="004260F0"/>
    <w:rsid w:val="00427522"/>
    <w:rsid w:val="00427720"/>
    <w:rsid w:val="00432DBA"/>
    <w:rsid w:val="0043317E"/>
    <w:rsid w:val="00435194"/>
    <w:rsid w:val="004367DE"/>
    <w:rsid w:val="00440402"/>
    <w:rsid w:val="00440A76"/>
    <w:rsid w:val="004413E2"/>
    <w:rsid w:val="004416B8"/>
    <w:rsid w:val="00443D60"/>
    <w:rsid w:val="00444197"/>
    <w:rsid w:val="00444D2D"/>
    <w:rsid w:val="00447E01"/>
    <w:rsid w:val="00455938"/>
    <w:rsid w:val="00455EF1"/>
    <w:rsid w:val="0045638B"/>
    <w:rsid w:val="00457584"/>
    <w:rsid w:val="00457BC9"/>
    <w:rsid w:val="00462729"/>
    <w:rsid w:val="00463C4E"/>
    <w:rsid w:val="00463C76"/>
    <w:rsid w:val="0046532A"/>
    <w:rsid w:val="0046549B"/>
    <w:rsid w:val="00467B47"/>
    <w:rsid w:val="0047116A"/>
    <w:rsid w:val="00471AB7"/>
    <w:rsid w:val="00472B42"/>
    <w:rsid w:val="004761B5"/>
    <w:rsid w:val="004808B9"/>
    <w:rsid w:val="00481597"/>
    <w:rsid w:val="00481779"/>
    <w:rsid w:val="00483D1F"/>
    <w:rsid w:val="00485105"/>
    <w:rsid w:val="00486F78"/>
    <w:rsid w:val="004870F1"/>
    <w:rsid w:val="004872A4"/>
    <w:rsid w:val="00487CB3"/>
    <w:rsid w:val="0049182B"/>
    <w:rsid w:val="004939EC"/>
    <w:rsid w:val="00493C5B"/>
    <w:rsid w:val="00494468"/>
    <w:rsid w:val="004949BB"/>
    <w:rsid w:val="00495741"/>
    <w:rsid w:val="004978D2"/>
    <w:rsid w:val="004A02AB"/>
    <w:rsid w:val="004A0433"/>
    <w:rsid w:val="004B0040"/>
    <w:rsid w:val="004B163C"/>
    <w:rsid w:val="004B479C"/>
    <w:rsid w:val="004B618A"/>
    <w:rsid w:val="004B6AC7"/>
    <w:rsid w:val="004B7831"/>
    <w:rsid w:val="004C1526"/>
    <w:rsid w:val="004C280E"/>
    <w:rsid w:val="004C4D0C"/>
    <w:rsid w:val="004C4FB6"/>
    <w:rsid w:val="004C57AB"/>
    <w:rsid w:val="004C5A88"/>
    <w:rsid w:val="004C7864"/>
    <w:rsid w:val="004D269F"/>
    <w:rsid w:val="004D29CA"/>
    <w:rsid w:val="004D365F"/>
    <w:rsid w:val="004D3974"/>
    <w:rsid w:val="004D45DE"/>
    <w:rsid w:val="004D5CF7"/>
    <w:rsid w:val="004E078E"/>
    <w:rsid w:val="004E1FB9"/>
    <w:rsid w:val="004E2C9D"/>
    <w:rsid w:val="004E3E9A"/>
    <w:rsid w:val="004E5C46"/>
    <w:rsid w:val="004E6BDC"/>
    <w:rsid w:val="004E6F99"/>
    <w:rsid w:val="004F25BD"/>
    <w:rsid w:val="004F2BE6"/>
    <w:rsid w:val="004F75B7"/>
    <w:rsid w:val="00503948"/>
    <w:rsid w:val="00505BBB"/>
    <w:rsid w:val="00506708"/>
    <w:rsid w:val="00507431"/>
    <w:rsid w:val="00513275"/>
    <w:rsid w:val="00513FF1"/>
    <w:rsid w:val="0052007B"/>
    <w:rsid w:val="0052111D"/>
    <w:rsid w:val="00521264"/>
    <w:rsid w:val="00522918"/>
    <w:rsid w:val="00522DE8"/>
    <w:rsid w:val="005239EE"/>
    <w:rsid w:val="0052498E"/>
    <w:rsid w:val="00524B2F"/>
    <w:rsid w:val="00527E19"/>
    <w:rsid w:val="00533A47"/>
    <w:rsid w:val="00534BB9"/>
    <w:rsid w:val="00536C11"/>
    <w:rsid w:val="005407AF"/>
    <w:rsid w:val="0054281F"/>
    <w:rsid w:val="00543C2B"/>
    <w:rsid w:val="00546556"/>
    <w:rsid w:val="005477B2"/>
    <w:rsid w:val="00547DC4"/>
    <w:rsid w:val="00550AC0"/>
    <w:rsid w:val="00551D21"/>
    <w:rsid w:val="00551E65"/>
    <w:rsid w:val="005551CD"/>
    <w:rsid w:val="00561554"/>
    <w:rsid w:val="0056163B"/>
    <w:rsid w:val="00562100"/>
    <w:rsid w:val="005629F2"/>
    <w:rsid w:val="005638A6"/>
    <w:rsid w:val="00571766"/>
    <w:rsid w:val="00571F0F"/>
    <w:rsid w:val="00576ECC"/>
    <w:rsid w:val="00577CFF"/>
    <w:rsid w:val="00583C6E"/>
    <w:rsid w:val="005841F3"/>
    <w:rsid w:val="0059093E"/>
    <w:rsid w:val="00591344"/>
    <w:rsid w:val="00594BD9"/>
    <w:rsid w:val="00595417"/>
    <w:rsid w:val="00597CB4"/>
    <w:rsid w:val="005A5E97"/>
    <w:rsid w:val="005A7078"/>
    <w:rsid w:val="005A786E"/>
    <w:rsid w:val="005B005B"/>
    <w:rsid w:val="005B10A0"/>
    <w:rsid w:val="005B1863"/>
    <w:rsid w:val="005B2EF9"/>
    <w:rsid w:val="005B6502"/>
    <w:rsid w:val="005B7129"/>
    <w:rsid w:val="005C2288"/>
    <w:rsid w:val="005C3C36"/>
    <w:rsid w:val="005C44BB"/>
    <w:rsid w:val="005C5993"/>
    <w:rsid w:val="005C67BE"/>
    <w:rsid w:val="005C7377"/>
    <w:rsid w:val="005C747D"/>
    <w:rsid w:val="005D05FA"/>
    <w:rsid w:val="005D22B0"/>
    <w:rsid w:val="005D27A7"/>
    <w:rsid w:val="005D4F38"/>
    <w:rsid w:val="005D5EB7"/>
    <w:rsid w:val="005E1616"/>
    <w:rsid w:val="005E5D1E"/>
    <w:rsid w:val="005E5DDB"/>
    <w:rsid w:val="005E6B5E"/>
    <w:rsid w:val="005E7E6E"/>
    <w:rsid w:val="005F00E8"/>
    <w:rsid w:val="005F1D8C"/>
    <w:rsid w:val="005F714F"/>
    <w:rsid w:val="00601C4B"/>
    <w:rsid w:val="006037F4"/>
    <w:rsid w:val="00603A43"/>
    <w:rsid w:val="0060421A"/>
    <w:rsid w:val="00604350"/>
    <w:rsid w:val="006049D1"/>
    <w:rsid w:val="00610F2D"/>
    <w:rsid w:val="00612C43"/>
    <w:rsid w:val="00613685"/>
    <w:rsid w:val="006149C2"/>
    <w:rsid w:val="006248E0"/>
    <w:rsid w:val="00624ED8"/>
    <w:rsid w:val="00625958"/>
    <w:rsid w:val="0063008A"/>
    <w:rsid w:val="00631F2C"/>
    <w:rsid w:val="00634D1F"/>
    <w:rsid w:val="006354EB"/>
    <w:rsid w:val="0063725A"/>
    <w:rsid w:val="00643A3F"/>
    <w:rsid w:val="00643D93"/>
    <w:rsid w:val="0064566B"/>
    <w:rsid w:val="0064621E"/>
    <w:rsid w:val="00646BD8"/>
    <w:rsid w:val="0065021D"/>
    <w:rsid w:val="00651A94"/>
    <w:rsid w:val="006536CE"/>
    <w:rsid w:val="00655E24"/>
    <w:rsid w:val="00656C50"/>
    <w:rsid w:val="006603FA"/>
    <w:rsid w:val="006608A4"/>
    <w:rsid w:val="00664DC5"/>
    <w:rsid w:val="006653A0"/>
    <w:rsid w:val="006665C7"/>
    <w:rsid w:val="00667C81"/>
    <w:rsid w:val="00670F0D"/>
    <w:rsid w:val="00673827"/>
    <w:rsid w:val="00674A2B"/>
    <w:rsid w:val="006770BC"/>
    <w:rsid w:val="00686898"/>
    <w:rsid w:val="00691E34"/>
    <w:rsid w:val="00693536"/>
    <w:rsid w:val="00693A14"/>
    <w:rsid w:val="00695028"/>
    <w:rsid w:val="006A4F1E"/>
    <w:rsid w:val="006A5512"/>
    <w:rsid w:val="006A6D56"/>
    <w:rsid w:val="006B00AE"/>
    <w:rsid w:val="006B1646"/>
    <w:rsid w:val="006B7815"/>
    <w:rsid w:val="006B7B74"/>
    <w:rsid w:val="006C664C"/>
    <w:rsid w:val="006D0079"/>
    <w:rsid w:val="006D14C2"/>
    <w:rsid w:val="006D28E2"/>
    <w:rsid w:val="006D41D1"/>
    <w:rsid w:val="006D505B"/>
    <w:rsid w:val="006D61F5"/>
    <w:rsid w:val="006D6DCD"/>
    <w:rsid w:val="006D7324"/>
    <w:rsid w:val="006E00B8"/>
    <w:rsid w:val="006E0492"/>
    <w:rsid w:val="006E252B"/>
    <w:rsid w:val="006E2D42"/>
    <w:rsid w:val="006E4520"/>
    <w:rsid w:val="006E4EFE"/>
    <w:rsid w:val="006E59D5"/>
    <w:rsid w:val="006E6423"/>
    <w:rsid w:val="006E68C7"/>
    <w:rsid w:val="006F1837"/>
    <w:rsid w:val="006F3B47"/>
    <w:rsid w:val="006F4556"/>
    <w:rsid w:val="006F4D4E"/>
    <w:rsid w:val="006F5DC7"/>
    <w:rsid w:val="006F6121"/>
    <w:rsid w:val="006F7CC2"/>
    <w:rsid w:val="0070010E"/>
    <w:rsid w:val="00702BFF"/>
    <w:rsid w:val="007033DA"/>
    <w:rsid w:val="00703B3A"/>
    <w:rsid w:val="007101C9"/>
    <w:rsid w:val="007123F7"/>
    <w:rsid w:val="00712BEE"/>
    <w:rsid w:val="00715050"/>
    <w:rsid w:val="00716799"/>
    <w:rsid w:val="00721624"/>
    <w:rsid w:val="0072277A"/>
    <w:rsid w:val="007229D9"/>
    <w:rsid w:val="0072474C"/>
    <w:rsid w:val="007309AB"/>
    <w:rsid w:val="0073250A"/>
    <w:rsid w:val="0073267C"/>
    <w:rsid w:val="00732C28"/>
    <w:rsid w:val="00732DF9"/>
    <w:rsid w:val="00737A71"/>
    <w:rsid w:val="007409F6"/>
    <w:rsid w:val="007415D9"/>
    <w:rsid w:val="00742976"/>
    <w:rsid w:val="007435EA"/>
    <w:rsid w:val="0075440C"/>
    <w:rsid w:val="0075683E"/>
    <w:rsid w:val="007614F0"/>
    <w:rsid w:val="007646C9"/>
    <w:rsid w:val="00765554"/>
    <w:rsid w:val="007716F8"/>
    <w:rsid w:val="00771D7D"/>
    <w:rsid w:val="00776D03"/>
    <w:rsid w:val="007802F1"/>
    <w:rsid w:val="00783342"/>
    <w:rsid w:val="00784105"/>
    <w:rsid w:val="007853A4"/>
    <w:rsid w:val="0078566C"/>
    <w:rsid w:val="00787CD9"/>
    <w:rsid w:val="00790347"/>
    <w:rsid w:val="007929AC"/>
    <w:rsid w:val="00793907"/>
    <w:rsid w:val="00793E94"/>
    <w:rsid w:val="0079447F"/>
    <w:rsid w:val="007953A7"/>
    <w:rsid w:val="00795482"/>
    <w:rsid w:val="0079741A"/>
    <w:rsid w:val="007979A7"/>
    <w:rsid w:val="007A0560"/>
    <w:rsid w:val="007A1FAE"/>
    <w:rsid w:val="007A29C0"/>
    <w:rsid w:val="007A48E7"/>
    <w:rsid w:val="007A5B0F"/>
    <w:rsid w:val="007A73A2"/>
    <w:rsid w:val="007A78ED"/>
    <w:rsid w:val="007B1FDA"/>
    <w:rsid w:val="007B223B"/>
    <w:rsid w:val="007B230D"/>
    <w:rsid w:val="007B2EA0"/>
    <w:rsid w:val="007B3E22"/>
    <w:rsid w:val="007B4E65"/>
    <w:rsid w:val="007B5CA9"/>
    <w:rsid w:val="007B7A10"/>
    <w:rsid w:val="007C0D4C"/>
    <w:rsid w:val="007C26AD"/>
    <w:rsid w:val="007C2EF0"/>
    <w:rsid w:val="007D11CF"/>
    <w:rsid w:val="007D27D1"/>
    <w:rsid w:val="007D381E"/>
    <w:rsid w:val="007D3A91"/>
    <w:rsid w:val="007D5843"/>
    <w:rsid w:val="007D5A95"/>
    <w:rsid w:val="007D6392"/>
    <w:rsid w:val="007D6E3B"/>
    <w:rsid w:val="007D76E6"/>
    <w:rsid w:val="007E0791"/>
    <w:rsid w:val="007E346C"/>
    <w:rsid w:val="007E530B"/>
    <w:rsid w:val="007F0170"/>
    <w:rsid w:val="007F0FF3"/>
    <w:rsid w:val="007F1CF8"/>
    <w:rsid w:val="007F45D2"/>
    <w:rsid w:val="007F4C44"/>
    <w:rsid w:val="007F4DFB"/>
    <w:rsid w:val="007F5A63"/>
    <w:rsid w:val="008005B0"/>
    <w:rsid w:val="00804804"/>
    <w:rsid w:val="00810DAB"/>
    <w:rsid w:val="00810FAB"/>
    <w:rsid w:val="00811250"/>
    <w:rsid w:val="00811B67"/>
    <w:rsid w:val="008125BA"/>
    <w:rsid w:val="008152B7"/>
    <w:rsid w:val="00815B2F"/>
    <w:rsid w:val="008173C0"/>
    <w:rsid w:val="00817C15"/>
    <w:rsid w:val="0082111A"/>
    <w:rsid w:val="008223A7"/>
    <w:rsid w:val="008239EB"/>
    <w:rsid w:val="008246FB"/>
    <w:rsid w:val="00825D1E"/>
    <w:rsid w:val="0082646F"/>
    <w:rsid w:val="00827547"/>
    <w:rsid w:val="008305AD"/>
    <w:rsid w:val="00833581"/>
    <w:rsid w:val="0083680B"/>
    <w:rsid w:val="00837542"/>
    <w:rsid w:val="008377C0"/>
    <w:rsid w:val="008400B7"/>
    <w:rsid w:val="00840371"/>
    <w:rsid w:val="00841E1E"/>
    <w:rsid w:val="00842F36"/>
    <w:rsid w:val="0084317C"/>
    <w:rsid w:val="00845A06"/>
    <w:rsid w:val="008462B1"/>
    <w:rsid w:val="0084736C"/>
    <w:rsid w:val="00853F6B"/>
    <w:rsid w:val="00856BD6"/>
    <w:rsid w:val="0085733C"/>
    <w:rsid w:val="00861376"/>
    <w:rsid w:val="00861BC4"/>
    <w:rsid w:val="00862F8D"/>
    <w:rsid w:val="008653A5"/>
    <w:rsid w:val="00866B25"/>
    <w:rsid w:val="00867E45"/>
    <w:rsid w:val="008704F5"/>
    <w:rsid w:val="0087250D"/>
    <w:rsid w:val="00872604"/>
    <w:rsid w:val="00872B2F"/>
    <w:rsid w:val="008768CB"/>
    <w:rsid w:val="00877D38"/>
    <w:rsid w:val="0088206E"/>
    <w:rsid w:val="0088347A"/>
    <w:rsid w:val="008836A1"/>
    <w:rsid w:val="00885D3E"/>
    <w:rsid w:val="008873B4"/>
    <w:rsid w:val="00890034"/>
    <w:rsid w:val="008934CC"/>
    <w:rsid w:val="008948B9"/>
    <w:rsid w:val="00894D32"/>
    <w:rsid w:val="008A00B3"/>
    <w:rsid w:val="008A46F3"/>
    <w:rsid w:val="008A7331"/>
    <w:rsid w:val="008B07E2"/>
    <w:rsid w:val="008B22AA"/>
    <w:rsid w:val="008B4ECB"/>
    <w:rsid w:val="008B7A0B"/>
    <w:rsid w:val="008B7D28"/>
    <w:rsid w:val="008C1687"/>
    <w:rsid w:val="008C170D"/>
    <w:rsid w:val="008C3462"/>
    <w:rsid w:val="008D219B"/>
    <w:rsid w:val="008D2B53"/>
    <w:rsid w:val="008D647E"/>
    <w:rsid w:val="008E0000"/>
    <w:rsid w:val="008E09E8"/>
    <w:rsid w:val="008E1185"/>
    <w:rsid w:val="008E13D5"/>
    <w:rsid w:val="008E2D69"/>
    <w:rsid w:val="008E2D6D"/>
    <w:rsid w:val="008E34D3"/>
    <w:rsid w:val="008E423D"/>
    <w:rsid w:val="008F1DD8"/>
    <w:rsid w:val="008F1EC8"/>
    <w:rsid w:val="008F6B84"/>
    <w:rsid w:val="00901E61"/>
    <w:rsid w:val="00902B44"/>
    <w:rsid w:val="009037F8"/>
    <w:rsid w:val="00903F26"/>
    <w:rsid w:val="009103A5"/>
    <w:rsid w:val="009115BD"/>
    <w:rsid w:val="00912AE1"/>
    <w:rsid w:val="00912FA1"/>
    <w:rsid w:val="009214B4"/>
    <w:rsid w:val="009235D5"/>
    <w:rsid w:val="00932077"/>
    <w:rsid w:val="00932B09"/>
    <w:rsid w:val="00936674"/>
    <w:rsid w:val="009368FD"/>
    <w:rsid w:val="009374F2"/>
    <w:rsid w:val="009377E5"/>
    <w:rsid w:val="009424EC"/>
    <w:rsid w:val="00943BC4"/>
    <w:rsid w:val="0094429B"/>
    <w:rsid w:val="009448F7"/>
    <w:rsid w:val="00952B2B"/>
    <w:rsid w:val="00953051"/>
    <w:rsid w:val="009531B4"/>
    <w:rsid w:val="0095342A"/>
    <w:rsid w:val="0095359C"/>
    <w:rsid w:val="009536F1"/>
    <w:rsid w:val="00955DA4"/>
    <w:rsid w:val="00962B8D"/>
    <w:rsid w:val="00963ACB"/>
    <w:rsid w:val="0096618D"/>
    <w:rsid w:val="0097136E"/>
    <w:rsid w:val="0097331A"/>
    <w:rsid w:val="009767AB"/>
    <w:rsid w:val="00977602"/>
    <w:rsid w:val="0097772D"/>
    <w:rsid w:val="009777CD"/>
    <w:rsid w:val="0098242B"/>
    <w:rsid w:val="0098369C"/>
    <w:rsid w:val="009842DD"/>
    <w:rsid w:val="00986AAD"/>
    <w:rsid w:val="00987D72"/>
    <w:rsid w:val="0099409F"/>
    <w:rsid w:val="00994EC6"/>
    <w:rsid w:val="00995CFB"/>
    <w:rsid w:val="009979A4"/>
    <w:rsid w:val="009A0A0F"/>
    <w:rsid w:val="009A30F4"/>
    <w:rsid w:val="009A3C07"/>
    <w:rsid w:val="009A7D48"/>
    <w:rsid w:val="009B1766"/>
    <w:rsid w:val="009B17E7"/>
    <w:rsid w:val="009B3E00"/>
    <w:rsid w:val="009B42F9"/>
    <w:rsid w:val="009B55B1"/>
    <w:rsid w:val="009C0759"/>
    <w:rsid w:val="009C1DC8"/>
    <w:rsid w:val="009C352C"/>
    <w:rsid w:val="009C4D8B"/>
    <w:rsid w:val="009C5107"/>
    <w:rsid w:val="009C6C26"/>
    <w:rsid w:val="009C73BE"/>
    <w:rsid w:val="009C7AF2"/>
    <w:rsid w:val="009D071E"/>
    <w:rsid w:val="009D0FC1"/>
    <w:rsid w:val="009D18A8"/>
    <w:rsid w:val="009D1B20"/>
    <w:rsid w:val="009D2C07"/>
    <w:rsid w:val="009D3BE7"/>
    <w:rsid w:val="009D4195"/>
    <w:rsid w:val="009E0D70"/>
    <w:rsid w:val="009E2251"/>
    <w:rsid w:val="009E3460"/>
    <w:rsid w:val="009E406B"/>
    <w:rsid w:val="009E44B9"/>
    <w:rsid w:val="009E684D"/>
    <w:rsid w:val="009F3B71"/>
    <w:rsid w:val="009F4C1D"/>
    <w:rsid w:val="009F576A"/>
    <w:rsid w:val="009F5F11"/>
    <w:rsid w:val="009F7307"/>
    <w:rsid w:val="00A00E09"/>
    <w:rsid w:val="00A015B9"/>
    <w:rsid w:val="00A029E2"/>
    <w:rsid w:val="00A02FD0"/>
    <w:rsid w:val="00A056BA"/>
    <w:rsid w:val="00A05983"/>
    <w:rsid w:val="00A1060B"/>
    <w:rsid w:val="00A10B7D"/>
    <w:rsid w:val="00A11CEE"/>
    <w:rsid w:val="00A126B9"/>
    <w:rsid w:val="00A13DBC"/>
    <w:rsid w:val="00A21D94"/>
    <w:rsid w:val="00A233C1"/>
    <w:rsid w:val="00A2471A"/>
    <w:rsid w:val="00A24802"/>
    <w:rsid w:val="00A275DC"/>
    <w:rsid w:val="00A353D8"/>
    <w:rsid w:val="00A3698E"/>
    <w:rsid w:val="00A42F97"/>
    <w:rsid w:val="00A44E5F"/>
    <w:rsid w:val="00A461B5"/>
    <w:rsid w:val="00A467D7"/>
    <w:rsid w:val="00A51AB4"/>
    <w:rsid w:val="00A52313"/>
    <w:rsid w:val="00A52357"/>
    <w:rsid w:val="00A54AB8"/>
    <w:rsid w:val="00A5519D"/>
    <w:rsid w:val="00A601AD"/>
    <w:rsid w:val="00A61384"/>
    <w:rsid w:val="00A628A1"/>
    <w:rsid w:val="00A634AD"/>
    <w:rsid w:val="00A66221"/>
    <w:rsid w:val="00A67FCD"/>
    <w:rsid w:val="00A70238"/>
    <w:rsid w:val="00A718FF"/>
    <w:rsid w:val="00A740E3"/>
    <w:rsid w:val="00A77264"/>
    <w:rsid w:val="00A7783E"/>
    <w:rsid w:val="00A81C1C"/>
    <w:rsid w:val="00A82501"/>
    <w:rsid w:val="00A84967"/>
    <w:rsid w:val="00A85646"/>
    <w:rsid w:val="00A91DBD"/>
    <w:rsid w:val="00A93000"/>
    <w:rsid w:val="00A93207"/>
    <w:rsid w:val="00A94703"/>
    <w:rsid w:val="00A969CD"/>
    <w:rsid w:val="00AA0554"/>
    <w:rsid w:val="00AA2055"/>
    <w:rsid w:val="00AA29CA"/>
    <w:rsid w:val="00AA6105"/>
    <w:rsid w:val="00AB1AA5"/>
    <w:rsid w:val="00AB1BAF"/>
    <w:rsid w:val="00AB334F"/>
    <w:rsid w:val="00AB48F9"/>
    <w:rsid w:val="00AB6DAA"/>
    <w:rsid w:val="00AC0A3F"/>
    <w:rsid w:val="00AC1216"/>
    <w:rsid w:val="00AC1AAB"/>
    <w:rsid w:val="00AC1D22"/>
    <w:rsid w:val="00AC37A4"/>
    <w:rsid w:val="00AC3E59"/>
    <w:rsid w:val="00AC4058"/>
    <w:rsid w:val="00AC417D"/>
    <w:rsid w:val="00AC6724"/>
    <w:rsid w:val="00AC73B7"/>
    <w:rsid w:val="00AD09D1"/>
    <w:rsid w:val="00AD1926"/>
    <w:rsid w:val="00AD4D58"/>
    <w:rsid w:val="00AE000D"/>
    <w:rsid w:val="00AE0860"/>
    <w:rsid w:val="00AE3986"/>
    <w:rsid w:val="00AE3DE3"/>
    <w:rsid w:val="00AE6DC2"/>
    <w:rsid w:val="00AF118B"/>
    <w:rsid w:val="00AF54F6"/>
    <w:rsid w:val="00AF5DF1"/>
    <w:rsid w:val="00AF6AA9"/>
    <w:rsid w:val="00AF70EE"/>
    <w:rsid w:val="00AF738A"/>
    <w:rsid w:val="00AF7CE6"/>
    <w:rsid w:val="00B016EF"/>
    <w:rsid w:val="00B02DDD"/>
    <w:rsid w:val="00B03D59"/>
    <w:rsid w:val="00B05DCA"/>
    <w:rsid w:val="00B06D74"/>
    <w:rsid w:val="00B07727"/>
    <w:rsid w:val="00B10E44"/>
    <w:rsid w:val="00B116CA"/>
    <w:rsid w:val="00B141BB"/>
    <w:rsid w:val="00B14417"/>
    <w:rsid w:val="00B14797"/>
    <w:rsid w:val="00B178AA"/>
    <w:rsid w:val="00B2098E"/>
    <w:rsid w:val="00B21F46"/>
    <w:rsid w:val="00B223B5"/>
    <w:rsid w:val="00B22B9D"/>
    <w:rsid w:val="00B278C8"/>
    <w:rsid w:val="00B314BA"/>
    <w:rsid w:val="00B33D3B"/>
    <w:rsid w:val="00B34B0C"/>
    <w:rsid w:val="00B34CEE"/>
    <w:rsid w:val="00B35950"/>
    <w:rsid w:val="00B373E5"/>
    <w:rsid w:val="00B41A9B"/>
    <w:rsid w:val="00B455BF"/>
    <w:rsid w:val="00B46828"/>
    <w:rsid w:val="00B47BB0"/>
    <w:rsid w:val="00B53F9C"/>
    <w:rsid w:val="00B54202"/>
    <w:rsid w:val="00B5461F"/>
    <w:rsid w:val="00B554A6"/>
    <w:rsid w:val="00B5629E"/>
    <w:rsid w:val="00B56370"/>
    <w:rsid w:val="00B56FC2"/>
    <w:rsid w:val="00B57AB1"/>
    <w:rsid w:val="00B610D0"/>
    <w:rsid w:val="00B620FC"/>
    <w:rsid w:val="00B645B5"/>
    <w:rsid w:val="00B679C2"/>
    <w:rsid w:val="00B70310"/>
    <w:rsid w:val="00B72513"/>
    <w:rsid w:val="00B735A7"/>
    <w:rsid w:val="00B74722"/>
    <w:rsid w:val="00B759D0"/>
    <w:rsid w:val="00B75E6E"/>
    <w:rsid w:val="00B8270A"/>
    <w:rsid w:val="00B84107"/>
    <w:rsid w:val="00B843A8"/>
    <w:rsid w:val="00B848A7"/>
    <w:rsid w:val="00B87101"/>
    <w:rsid w:val="00B91A5A"/>
    <w:rsid w:val="00B92967"/>
    <w:rsid w:val="00B933B2"/>
    <w:rsid w:val="00B94AA6"/>
    <w:rsid w:val="00B94B3D"/>
    <w:rsid w:val="00B95B65"/>
    <w:rsid w:val="00B962B1"/>
    <w:rsid w:val="00B96755"/>
    <w:rsid w:val="00B96949"/>
    <w:rsid w:val="00BA1FBF"/>
    <w:rsid w:val="00BA274A"/>
    <w:rsid w:val="00BA4C1F"/>
    <w:rsid w:val="00BA4CA8"/>
    <w:rsid w:val="00BA5784"/>
    <w:rsid w:val="00BA6225"/>
    <w:rsid w:val="00BA7E85"/>
    <w:rsid w:val="00BB4EB3"/>
    <w:rsid w:val="00BB7E3E"/>
    <w:rsid w:val="00BC36CB"/>
    <w:rsid w:val="00BC4E2D"/>
    <w:rsid w:val="00BD2776"/>
    <w:rsid w:val="00BD2B86"/>
    <w:rsid w:val="00BD2DF5"/>
    <w:rsid w:val="00BD2F99"/>
    <w:rsid w:val="00BD640F"/>
    <w:rsid w:val="00BD7B40"/>
    <w:rsid w:val="00BE0312"/>
    <w:rsid w:val="00BE265C"/>
    <w:rsid w:val="00BE27C3"/>
    <w:rsid w:val="00BE3145"/>
    <w:rsid w:val="00BE3C91"/>
    <w:rsid w:val="00BE42D6"/>
    <w:rsid w:val="00BE47FC"/>
    <w:rsid w:val="00BE53F9"/>
    <w:rsid w:val="00BE6E5D"/>
    <w:rsid w:val="00BE7BE9"/>
    <w:rsid w:val="00BF0401"/>
    <w:rsid w:val="00BF0C18"/>
    <w:rsid w:val="00BF216A"/>
    <w:rsid w:val="00BF2696"/>
    <w:rsid w:val="00BF2A23"/>
    <w:rsid w:val="00BF3313"/>
    <w:rsid w:val="00BF4EFF"/>
    <w:rsid w:val="00BF601D"/>
    <w:rsid w:val="00BF66C8"/>
    <w:rsid w:val="00BF7FBA"/>
    <w:rsid w:val="00C07F5E"/>
    <w:rsid w:val="00C10915"/>
    <w:rsid w:val="00C10ECF"/>
    <w:rsid w:val="00C119FC"/>
    <w:rsid w:val="00C12E18"/>
    <w:rsid w:val="00C13607"/>
    <w:rsid w:val="00C14A38"/>
    <w:rsid w:val="00C15646"/>
    <w:rsid w:val="00C22F89"/>
    <w:rsid w:val="00C25A7C"/>
    <w:rsid w:val="00C26BB7"/>
    <w:rsid w:val="00C275EE"/>
    <w:rsid w:val="00C309EE"/>
    <w:rsid w:val="00C316DF"/>
    <w:rsid w:val="00C33A40"/>
    <w:rsid w:val="00C35A92"/>
    <w:rsid w:val="00C42D47"/>
    <w:rsid w:val="00C46752"/>
    <w:rsid w:val="00C46C5E"/>
    <w:rsid w:val="00C51032"/>
    <w:rsid w:val="00C52AF5"/>
    <w:rsid w:val="00C551B8"/>
    <w:rsid w:val="00C55687"/>
    <w:rsid w:val="00C55936"/>
    <w:rsid w:val="00C56D1A"/>
    <w:rsid w:val="00C5748C"/>
    <w:rsid w:val="00C57757"/>
    <w:rsid w:val="00C5778B"/>
    <w:rsid w:val="00C63CBE"/>
    <w:rsid w:val="00C65EEF"/>
    <w:rsid w:val="00C728D9"/>
    <w:rsid w:val="00C739AA"/>
    <w:rsid w:val="00C75553"/>
    <w:rsid w:val="00C75EAB"/>
    <w:rsid w:val="00C76D3F"/>
    <w:rsid w:val="00C82FA7"/>
    <w:rsid w:val="00C839D4"/>
    <w:rsid w:val="00C84543"/>
    <w:rsid w:val="00C846E8"/>
    <w:rsid w:val="00C87236"/>
    <w:rsid w:val="00C8777F"/>
    <w:rsid w:val="00C90796"/>
    <w:rsid w:val="00C90B93"/>
    <w:rsid w:val="00C9112B"/>
    <w:rsid w:val="00C928D2"/>
    <w:rsid w:val="00C93F41"/>
    <w:rsid w:val="00C95705"/>
    <w:rsid w:val="00C9598E"/>
    <w:rsid w:val="00CA4F64"/>
    <w:rsid w:val="00CA61A7"/>
    <w:rsid w:val="00CA6934"/>
    <w:rsid w:val="00CB0FDF"/>
    <w:rsid w:val="00CB12CF"/>
    <w:rsid w:val="00CB131E"/>
    <w:rsid w:val="00CB1696"/>
    <w:rsid w:val="00CB336D"/>
    <w:rsid w:val="00CB36E1"/>
    <w:rsid w:val="00CB40BD"/>
    <w:rsid w:val="00CB58F8"/>
    <w:rsid w:val="00CB60A0"/>
    <w:rsid w:val="00CB62E0"/>
    <w:rsid w:val="00CB69EB"/>
    <w:rsid w:val="00CB6CE0"/>
    <w:rsid w:val="00CC0122"/>
    <w:rsid w:val="00CC03D1"/>
    <w:rsid w:val="00CC1F4F"/>
    <w:rsid w:val="00CC2F3B"/>
    <w:rsid w:val="00CC77CD"/>
    <w:rsid w:val="00CD32D4"/>
    <w:rsid w:val="00CD37A5"/>
    <w:rsid w:val="00CD5909"/>
    <w:rsid w:val="00CD5DF0"/>
    <w:rsid w:val="00CD5E63"/>
    <w:rsid w:val="00CD606F"/>
    <w:rsid w:val="00CD7EE0"/>
    <w:rsid w:val="00CE3B96"/>
    <w:rsid w:val="00CE5217"/>
    <w:rsid w:val="00CE571A"/>
    <w:rsid w:val="00CF1317"/>
    <w:rsid w:val="00D006C9"/>
    <w:rsid w:val="00D0192D"/>
    <w:rsid w:val="00D035D4"/>
    <w:rsid w:val="00D048F6"/>
    <w:rsid w:val="00D049D4"/>
    <w:rsid w:val="00D07056"/>
    <w:rsid w:val="00D07B73"/>
    <w:rsid w:val="00D10D56"/>
    <w:rsid w:val="00D12689"/>
    <w:rsid w:val="00D128A6"/>
    <w:rsid w:val="00D134DF"/>
    <w:rsid w:val="00D13CD5"/>
    <w:rsid w:val="00D13DF7"/>
    <w:rsid w:val="00D14F9B"/>
    <w:rsid w:val="00D156B6"/>
    <w:rsid w:val="00D16984"/>
    <w:rsid w:val="00D206C3"/>
    <w:rsid w:val="00D21D54"/>
    <w:rsid w:val="00D21D86"/>
    <w:rsid w:val="00D22546"/>
    <w:rsid w:val="00D24246"/>
    <w:rsid w:val="00D2655E"/>
    <w:rsid w:val="00D26DA3"/>
    <w:rsid w:val="00D27F50"/>
    <w:rsid w:val="00D369DE"/>
    <w:rsid w:val="00D37557"/>
    <w:rsid w:val="00D407C4"/>
    <w:rsid w:val="00D40D17"/>
    <w:rsid w:val="00D43481"/>
    <w:rsid w:val="00D46A19"/>
    <w:rsid w:val="00D50BE3"/>
    <w:rsid w:val="00D52D72"/>
    <w:rsid w:val="00D56902"/>
    <w:rsid w:val="00D5746E"/>
    <w:rsid w:val="00D624B1"/>
    <w:rsid w:val="00D67D04"/>
    <w:rsid w:val="00D71FCE"/>
    <w:rsid w:val="00D74BF5"/>
    <w:rsid w:val="00D757CE"/>
    <w:rsid w:val="00D81377"/>
    <w:rsid w:val="00D8161D"/>
    <w:rsid w:val="00D825EC"/>
    <w:rsid w:val="00D82A60"/>
    <w:rsid w:val="00D87B78"/>
    <w:rsid w:val="00D87DA4"/>
    <w:rsid w:val="00D9068D"/>
    <w:rsid w:val="00D916F1"/>
    <w:rsid w:val="00D91E83"/>
    <w:rsid w:val="00D92D3E"/>
    <w:rsid w:val="00D9521E"/>
    <w:rsid w:val="00DA0EC7"/>
    <w:rsid w:val="00DA1E83"/>
    <w:rsid w:val="00DA5C6C"/>
    <w:rsid w:val="00DA6489"/>
    <w:rsid w:val="00DA683D"/>
    <w:rsid w:val="00DA6BC7"/>
    <w:rsid w:val="00DB0792"/>
    <w:rsid w:val="00DB2525"/>
    <w:rsid w:val="00DB313D"/>
    <w:rsid w:val="00DB6F4D"/>
    <w:rsid w:val="00DB7340"/>
    <w:rsid w:val="00DB78C8"/>
    <w:rsid w:val="00DC0A01"/>
    <w:rsid w:val="00DC1789"/>
    <w:rsid w:val="00DC1861"/>
    <w:rsid w:val="00DC21F8"/>
    <w:rsid w:val="00DC2A6F"/>
    <w:rsid w:val="00DC2B7A"/>
    <w:rsid w:val="00DC2F0D"/>
    <w:rsid w:val="00DC2FE5"/>
    <w:rsid w:val="00DC30C3"/>
    <w:rsid w:val="00DC7277"/>
    <w:rsid w:val="00DC75B8"/>
    <w:rsid w:val="00DC75FD"/>
    <w:rsid w:val="00DD1D3F"/>
    <w:rsid w:val="00DD21D1"/>
    <w:rsid w:val="00DD2809"/>
    <w:rsid w:val="00DD31D1"/>
    <w:rsid w:val="00DD4071"/>
    <w:rsid w:val="00DD41EB"/>
    <w:rsid w:val="00DD6D68"/>
    <w:rsid w:val="00DD75A3"/>
    <w:rsid w:val="00DD7BFB"/>
    <w:rsid w:val="00DE08D3"/>
    <w:rsid w:val="00DE2A8A"/>
    <w:rsid w:val="00DE511E"/>
    <w:rsid w:val="00DF087C"/>
    <w:rsid w:val="00DF1960"/>
    <w:rsid w:val="00DF1EF0"/>
    <w:rsid w:val="00DF6AE9"/>
    <w:rsid w:val="00DF6DD4"/>
    <w:rsid w:val="00DF775F"/>
    <w:rsid w:val="00E00239"/>
    <w:rsid w:val="00E00BF0"/>
    <w:rsid w:val="00E01E4F"/>
    <w:rsid w:val="00E0277E"/>
    <w:rsid w:val="00E05F4F"/>
    <w:rsid w:val="00E10E29"/>
    <w:rsid w:val="00E11382"/>
    <w:rsid w:val="00E14CCF"/>
    <w:rsid w:val="00E15E74"/>
    <w:rsid w:val="00E2078E"/>
    <w:rsid w:val="00E21A78"/>
    <w:rsid w:val="00E221CD"/>
    <w:rsid w:val="00E23A66"/>
    <w:rsid w:val="00E25223"/>
    <w:rsid w:val="00E26580"/>
    <w:rsid w:val="00E2664B"/>
    <w:rsid w:val="00E26BEC"/>
    <w:rsid w:val="00E359EF"/>
    <w:rsid w:val="00E364D2"/>
    <w:rsid w:val="00E373AA"/>
    <w:rsid w:val="00E37EB5"/>
    <w:rsid w:val="00E403B4"/>
    <w:rsid w:val="00E4164D"/>
    <w:rsid w:val="00E42770"/>
    <w:rsid w:val="00E4551D"/>
    <w:rsid w:val="00E47839"/>
    <w:rsid w:val="00E557C6"/>
    <w:rsid w:val="00E56820"/>
    <w:rsid w:val="00E56EC0"/>
    <w:rsid w:val="00E61E2B"/>
    <w:rsid w:val="00E62D52"/>
    <w:rsid w:val="00E64E16"/>
    <w:rsid w:val="00E65BD6"/>
    <w:rsid w:val="00E66079"/>
    <w:rsid w:val="00E74846"/>
    <w:rsid w:val="00E80AC5"/>
    <w:rsid w:val="00E83487"/>
    <w:rsid w:val="00E868E7"/>
    <w:rsid w:val="00E92D10"/>
    <w:rsid w:val="00E955F2"/>
    <w:rsid w:val="00EA2225"/>
    <w:rsid w:val="00EA2826"/>
    <w:rsid w:val="00EA42E9"/>
    <w:rsid w:val="00EA4B3C"/>
    <w:rsid w:val="00EB0E36"/>
    <w:rsid w:val="00EB3306"/>
    <w:rsid w:val="00EB45BF"/>
    <w:rsid w:val="00EB45C6"/>
    <w:rsid w:val="00EB4C36"/>
    <w:rsid w:val="00EB58CA"/>
    <w:rsid w:val="00EB652C"/>
    <w:rsid w:val="00EC1502"/>
    <w:rsid w:val="00EC1789"/>
    <w:rsid w:val="00EC406A"/>
    <w:rsid w:val="00EC44AA"/>
    <w:rsid w:val="00EC7617"/>
    <w:rsid w:val="00EC7862"/>
    <w:rsid w:val="00ED02BE"/>
    <w:rsid w:val="00ED1C50"/>
    <w:rsid w:val="00ED5BF0"/>
    <w:rsid w:val="00EE18A7"/>
    <w:rsid w:val="00EE1926"/>
    <w:rsid w:val="00EE265C"/>
    <w:rsid w:val="00EE30BB"/>
    <w:rsid w:val="00EE5126"/>
    <w:rsid w:val="00EE538C"/>
    <w:rsid w:val="00EE6CA7"/>
    <w:rsid w:val="00EF036F"/>
    <w:rsid w:val="00EF0869"/>
    <w:rsid w:val="00EF3083"/>
    <w:rsid w:val="00EF30E4"/>
    <w:rsid w:val="00EF4688"/>
    <w:rsid w:val="00EF4E5E"/>
    <w:rsid w:val="00EF7C33"/>
    <w:rsid w:val="00F02311"/>
    <w:rsid w:val="00F065E1"/>
    <w:rsid w:val="00F114E9"/>
    <w:rsid w:val="00F124FD"/>
    <w:rsid w:val="00F13C63"/>
    <w:rsid w:val="00F1462C"/>
    <w:rsid w:val="00F14ECB"/>
    <w:rsid w:val="00F15207"/>
    <w:rsid w:val="00F227B0"/>
    <w:rsid w:val="00F2361A"/>
    <w:rsid w:val="00F249BB"/>
    <w:rsid w:val="00F263E6"/>
    <w:rsid w:val="00F27BA3"/>
    <w:rsid w:val="00F317A2"/>
    <w:rsid w:val="00F3279A"/>
    <w:rsid w:val="00F341AF"/>
    <w:rsid w:val="00F34FD2"/>
    <w:rsid w:val="00F352D6"/>
    <w:rsid w:val="00F35D7F"/>
    <w:rsid w:val="00F360AA"/>
    <w:rsid w:val="00F36D00"/>
    <w:rsid w:val="00F37407"/>
    <w:rsid w:val="00F41357"/>
    <w:rsid w:val="00F43370"/>
    <w:rsid w:val="00F44301"/>
    <w:rsid w:val="00F44EBE"/>
    <w:rsid w:val="00F44F03"/>
    <w:rsid w:val="00F6324C"/>
    <w:rsid w:val="00F6466E"/>
    <w:rsid w:val="00F647F8"/>
    <w:rsid w:val="00F6741E"/>
    <w:rsid w:val="00F7026E"/>
    <w:rsid w:val="00F71D27"/>
    <w:rsid w:val="00F722F9"/>
    <w:rsid w:val="00F75A7E"/>
    <w:rsid w:val="00F75E90"/>
    <w:rsid w:val="00F76A68"/>
    <w:rsid w:val="00F77B95"/>
    <w:rsid w:val="00F801F7"/>
    <w:rsid w:val="00F83C9B"/>
    <w:rsid w:val="00F83F50"/>
    <w:rsid w:val="00F848B3"/>
    <w:rsid w:val="00F85F17"/>
    <w:rsid w:val="00F862FD"/>
    <w:rsid w:val="00F87E18"/>
    <w:rsid w:val="00F9212C"/>
    <w:rsid w:val="00F94458"/>
    <w:rsid w:val="00F9776E"/>
    <w:rsid w:val="00F977EB"/>
    <w:rsid w:val="00FA10B0"/>
    <w:rsid w:val="00FA1260"/>
    <w:rsid w:val="00FA4649"/>
    <w:rsid w:val="00FA5102"/>
    <w:rsid w:val="00FB0C1D"/>
    <w:rsid w:val="00FB10D3"/>
    <w:rsid w:val="00FB7879"/>
    <w:rsid w:val="00FC2066"/>
    <w:rsid w:val="00FC3625"/>
    <w:rsid w:val="00FC48EF"/>
    <w:rsid w:val="00FC4C72"/>
    <w:rsid w:val="00FC4D5A"/>
    <w:rsid w:val="00FD2FDF"/>
    <w:rsid w:val="00FD634C"/>
    <w:rsid w:val="00FD71F3"/>
    <w:rsid w:val="00FD75AE"/>
    <w:rsid w:val="00FE0CF6"/>
    <w:rsid w:val="00FE1482"/>
    <w:rsid w:val="00FE3CBF"/>
    <w:rsid w:val="00FE40D9"/>
    <w:rsid w:val="00FE69AD"/>
    <w:rsid w:val="00FE74F9"/>
    <w:rsid w:val="00FF001A"/>
    <w:rsid w:val="00FF32C7"/>
    <w:rsid w:val="00FF4B4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E3876"/>
  <w15:docId w15:val="{4D76AA13-81B4-4531-963C-260956A3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21CD"/>
    <w:pPr>
      <w:spacing w:line="276" w:lineRule="auto"/>
      <w:jc w:val="both"/>
    </w:pPr>
    <w:rPr>
      <w:rFonts w:asciiTheme="minorHAnsi" w:hAnsiTheme="minorHAnsi"/>
      <w:sz w:val="22"/>
      <w:lang w:val="en-GB"/>
    </w:rPr>
  </w:style>
  <w:style w:type="paragraph" w:styleId="berschrift1">
    <w:name w:val="heading 1"/>
    <w:basedOn w:val="Standard"/>
    <w:next w:val="Standard"/>
    <w:qFormat/>
    <w:pPr>
      <w:keepNext/>
      <w:spacing w:line="300" w:lineRule="auto"/>
      <w:outlineLvl w:val="0"/>
    </w:pPr>
    <w:rPr>
      <w:sz w:val="24"/>
    </w:rPr>
  </w:style>
  <w:style w:type="paragraph" w:styleId="berschrift2">
    <w:name w:val="heading 2"/>
    <w:basedOn w:val="Standard"/>
    <w:next w:val="Standard"/>
    <w:qFormat/>
    <w:pPr>
      <w:keepNext/>
      <w:spacing w:line="480" w:lineRule="auto"/>
      <w:jc w:val="center"/>
      <w:outlineLvl w:val="1"/>
    </w:pPr>
    <w:rPr>
      <w:sz w:val="24"/>
      <w:lang w:val="en-US"/>
    </w:rPr>
  </w:style>
  <w:style w:type="paragraph" w:styleId="berschrift3">
    <w:name w:val="heading 3"/>
    <w:basedOn w:val="Standard"/>
    <w:next w:val="Standard"/>
    <w:qFormat/>
    <w:pPr>
      <w:keepNext/>
      <w:spacing w:line="480" w:lineRule="auto"/>
      <w:outlineLvl w:val="2"/>
    </w:pPr>
    <w:rPr>
      <w:i/>
      <w:sz w:val="24"/>
      <w:lang w:val="en-US"/>
    </w:rPr>
  </w:style>
  <w:style w:type="paragraph" w:styleId="berschrift4">
    <w:name w:val="heading 4"/>
    <w:basedOn w:val="Standard"/>
    <w:next w:val="Standard"/>
    <w:qFormat/>
    <w:pPr>
      <w:keepNext/>
      <w:spacing w:line="480" w:lineRule="auto"/>
      <w:outlineLvl w:val="3"/>
    </w:pPr>
    <w:rPr>
      <w:sz w:val="24"/>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style>
  <w:style w:type="paragraph" w:styleId="Textkrper">
    <w:name w:val="Body Text"/>
    <w:basedOn w:val="Standard"/>
    <w:pPr>
      <w:spacing w:line="300" w:lineRule="auto"/>
    </w:pPr>
    <w:rPr>
      <w:sz w:val="24"/>
    </w:rPr>
  </w:style>
  <w:style w:type="paragraph" w:styleId="Textkrper2">
    <w:name w:val="Body Text 2"/>
    <w:basedOn w:val="Standard"/>
    <w:link w:val="Textkrper2Zchn"/>
    <w:pPr>
      <w:spacing w:line="480" w:lineRule="auto"/>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sid w:val="002E449A"/>
    <w:rPr>
      <w:color w:val="0000FF"/>
      <w:u w:val="single"/>
    </w:rPr>
  </w:style>
  <w:style w:type="paragraph" w:customStyle="1" w:styleId="Default">
    <w:name w:val="Default"/>
    <w:rsid w:val="00686898"/>
    <w:pPr>
      <w:autoSpaceDE w:val="0"/>
      <w:autoSpaceDN w:val="0"/>
      <w:adjustRightInd w:val="0"/>
    </w:pPr>
    <w:rPr>
      <w:color w:val="000000"/>
      <w:sz w:val="24"/>
      <w:szCs w:val="24"/>
    </w:rPr>
  </w:style>
  <w:style w:type="paragraph" w:styleId="Dokumentstruktur">
    <w:name w:val="Document Map"/>
    <w:basedOn w:val="Standard"/>
    <w:semiHidden/>
    <w:rsid w:val="00B21F46"/>
    <w:pPr>
      <w:shd w:val="clear" w:color="auto" w:fill="000080"/>
    </w:pPr>
    <w:rPr>
      <w:rFonts w:ascii="Tahoma" w:hAnsi="Tahoma" w:cs="Tahoma"/>
    </w:rPr>
  </w:style>
  <w:style w:type="paragraph" w:styleId="Sprechblasentext">
    <w:name w:val="Balloon Text"/>
    <w:basedOn w:val="Standard"/>
    <w:link w:val="SprechblasentextZchn"/>
    <w:uiPriority w:val="99"/>
    <w:rsid w:val="00006CED"/>
    <w:rPr>
      <w:rFonts w:ascii="Tahoma" w:hAnsi="Tahoma" w:cs="Tahoma"/>
      <w:sz w:val="16"/>
      <w:szCs w:val="16"/>
    </w:rPr>
  </w:style>
  <w:style w:type="character" w:customStyle="1" w:styleId="SprechblasentextZchn">
    <w:name w:val="Sprechblasentext Zchn"/>
    <w:link w:val="Sprechblasentext"/>
    <w:uiPriority w:val="99"/>
    <w:rsid w:val="00006CED"/>
    <w:rPr>
      <w:rFonts w:ascii="Tahoma" w:hAnsi="Tahoma" w:cs="Tahoma"/>
      <w:sz w:val="16"/>
      <w:szCs w:val="16"/>
      <w:lang w:eastAsia="de-DE"/>
    </w:rPr>
  </w:style>
  <w:style w:type="paragraph" w:styleId="Endnotentext">
    <w:name w:val="endnote text"/>
    <w:basedOn w:val="Standard"/>
    <w:link w:val="EndnotentextZchn"/>
    <w:rsid w:val="00867E45"/>
  </w:style>
  <w:style w:type="character" w:customStyle="1" w:styleId="EndnotentextZchn">
    <w:name w:val="Endnotentext Zchn"/>
    <w:link w:val="Endnotentext"/>
    <w:rsid w:val="00867E45"/>
    <w:rPr>
      <w:lang w:eastAsia="de-DE"/>
    </w:rPr>
  </w:style>
  <w:style w:type="character" w:styleId="Endnotenzeichen">
    <w:name w:val="endnote reference"/>
    <w:rsid w:val="00867E45"/>
    <w:rPr>
      <w:vertAlign w:val="superscript"/>
    </w:rPr>
  </w:style>
  <w:style w:type="paragraph" w:styleId="Literaturverzeichnis">
    <w:name w:val="Bibliography"/>
    <w:basedOn w:val="Standard"/>
    <w:next w:val="Standard"/>
    <w:uiPriority w:val="37"/>
    <w:unhideWhenUsed/>
    <w:rsid w:val="00867E45"/>
  </w:style>
  <w:style w:type="character" w:customStyle="1" w:styleId="Textkrper2Zchn">
    <w:name w:val="Textkörper 2 Zchn"/>
    <w:link w:val="Textkrper2"/>
    <w:rsid w:val="009E3460"/>
    <w:rPr>
      <w:sz w:val="24"/>
      <w:lang w:val="en-GB" w:eastAsia="de-DE"/>
    </w:rPr>
  </w:style>
  <w:style w:type="paragraph" w:styleId="Beschriftung">
    <w:name w:val="caption"/>
    <w:basedOn w:val="Standard"/>
    <w:next w:val="Standard"/>
    <w:unhideWhenUsed/>
    <w:qFormat/>
    <w:rsid w:val="008E13D5"/>
    <w:pPr>
      <w:spacing w:line="240" w:lineRule="auto"/>
    </w:pPr>
    <w:rPr>
      <w:b/>
      <w:bCs/>
      <w:sz w:val="18"/>
    </w:rPr>
  </w:style>
  <w:style w:type="character" w:styleId="BesuchterLink">
    <w:name w:val="FollowedHyperlink"/>
    <w:rsid w:val="00FF001A"/>
    <w:rPr>
      <w:color w:val="800080"/>
      <w:u w:val="single"/>
    </w:rPr>
  </w:style>
  <w:style w:type="character" w:styleId="Kommentarzeichen">
    <w:name w:val="annotation reference"/>
    <w:rsid w:val="006E4EFE"/>
    <w:rPr>
      <w:sz w:val="16"/>
      <w:szCs w:val="16"/>
    </w:rPr>
  </w:style>
  <w:style w:type="paragraph" w:styleId="Kommentartext">
    <w:name w:val="annotation text"/>
    <w:basedOn w:val="Standard"/>
    <w:link w:val="KommentartextZchn"/>
    <w:rsid w:val="006E4EFE"/>
  </w:style>
  <w:style w:type="character" w:customStyle="1" w:styleId="KommentartextZchn">
    <w:name w:val="Kommentartext Zchn"/>
    <w:link w:val="Kommentartext"/>
    <w:rsid w:val="006E4EFE"/>
    <w:rPr>
      <w:lang w:eastAsia="de-DE"/>
    </w:rPr>
  </w:style>
  <w:style w:type="paragraph" w:styleId="Kommentarthema">
    <w:name w:val="annotation subject"/>
    <w:basedOn w:val="Kommentartext"/>
    <w:next w:val="Kommentartext"/>
    <w:link w:val="KommentarthemaZchn"/>
    <w:rsid w:val="006E4EFE"/>
    <w:rPr>
      <w:b/>
      <w:bCs/>
    </w:rPr>
  </w:style>
  <w:style w:type="character" w:customStyle="1" w:styleId="KommentarthemaZchn">
    <w:name w:val="Kommentarthema Zchn"/>
    <w:link w:val="Kommentarthema"/>
    <w:rsid w:val="006E4EFE"/>
    <w:rPr>
      <w:b/>
      <w:bCs/>
      <w:lang w:eastAsia="de-DE"/>
    </w:rPr>
  </w:style>
  <w:style w:type="paragraph" w:customStyle="1" w:styleId="EndNoteBibliographyTitle">
    <w:name w:val="EndNote Bibliography Title"/>
    <w:basedOn w:val="Standard"/>
    <w:link w:val="EndNoteBibliographyTitleZchn"/>
    <w:rsid w:val="00C25A7C"/>
    <w:pPr>
      <w:jc w:val="center"/>
    </w:pPr>
    <w:rPr>
      <w:rFonts w:ascii="Times New Roman" w:hAnsi="Times New Roman"/>
      <w:noProof/>
      <w:sz w:val="24"/>
    </w:rPr>
  </w:style>
  <w:style w:type="character" w:customStyle="1" w:styleId="EndNoteBibliographyTitleZchn">
    <w:name w:val="EndNote Bibliography Title Zchn"/>
    <w:link w:val="EndNoteBibliographyTitle"/>
    <w:rsid w:val="00C25A7C"/>
    <w:rPr>
      <w:noProof/>
      <w:sz w:val="24"/>
      <w:lang w:val="en-GB"/>
    </w:rPr>
  </w:style>
  <w:style w:type="paragraph" w:customStyle="1" w:styleId="EndNoteBibliography">
    <w:name w:val="EndNote Bibliography"/>
    <w:basedOn w:val="Standard"/>
    <w:link w:val="EndNoteBibliographyZchn"/>
    <w:rsid w:val="00C25A7C"/>
    <w:pPr>
      <w:spacing w:line="240" w:lineRule="auto"/>
    </w:pPr>
    <w:rPr>
      <w:rFonts w:ascii="Times New Roman" w:hAnsi="Times New Roman"/>
      <w:noProof/>
      <w:sz w:val="24"/>
    </w:rPr>
  </w:style>
  <w:style w:type="character" w:customStyle="1" w:styleId="EndNoteBibliographyZchn">
    <w:name w:val="EndNote Bibliography Zchn"/>
    <w:link w:val="EndNoteBibliography"/>
    <w:rsid w:val="00C25A7C"/>
    <w:rPr>
      <w:noProof/>
      <w:sz w:val="24"/>
      <w:lang w:val="en-GB"/>
    </w:rPr>
  </w:style>
  <w:style w:type="table" w:styleId="Tabellenraster">
    <w:name w:val="Table Grid"/>
    <w:basedOn w:val="NormaleTabelle"/>
    <w:rsid w:val="00FD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B2EA0"/>
  </w:style>
  <w:style w:type="character" w:styleId="Fett">
    <w:name w:val="Strong"/>
    <w:basedOn w:val="Absatz-Standardschriftart"/>
    <w:qFormat/>
    <w:rsid w:val="008E13D5"/>
    <w:rPr>
      <w:b/>
      <w:bCs/>
    </w:rPr>
  </w:style>
  <w:style w:type="paragraph" w:styleId="Titel">
    <w:name w:val="Title"/>
    <w:basedOn w:val="Standard"/>
    <w:next w:val="Standard"/>
    <w:link w:val="TitelZchn"/>
    <w:qFormat/>
    <w:rsid w:val="008E13D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E13D5"/>
    <w:rPr>
      <w:rFonts w:asciiTheme="majorHAnsi" w:eastAsiaTheme="majorEastAsia" w:hAnsiTheme="majorHAnsi" w:cstheme="majorBidi"/>
      <w:spacing w:val="-10"/>
      <w:kern w:val="28"/>
      <w:sz w:val="56"/>
      <w:szCs w:val="56"/>
      <w:lang w:val="en-GB"/>
    </w:rPr>
  </w:style>
  <w:style w:type="paragraph" w:styleId="Listenabsatz">
    <w:name w:val="List Paragraph"/>
    <w:basedOn w:val="Standard"/>
    <w:uiPriority w:val="34"/>
    <w:qFormat/>
    <w:rsid w:val="00E221CD"/>
    <w:pPr>
      <w:ind w:left="720"/>
      <w:contextualSpacing/>
    </w:pPr>
  </w:style>
  <w:style w:type="character" w:customStyle="1" w:styleId="tlid-translation">
    <w:name w:val="tlid-translation"/>
    <w:basedOn w:val="Absatz-Standardschriftart"/>
    <w:rsid w:val="00BF3313"/>
  </w:style>
  <w:style w:type="character" w:styleId="Platzhaltertext">
    <w:name w:val="Placeholder Text"/>
    <w:basedOn w:val="Absatz-Standardschriftart"/>
    <w:uiPriority w:val="99"/>
    <w:semiHidden/>
    <w:rsid w:val="00A10B7D"/>
    <w:rPr>
      <w:color w:val="808080"/>
    </w:rPr>
  </w:style>
  <w:style w:type="character" w:styleId="Hervorhebung">
    <w:name w:val="Emphasis"/>
    <w:basedOn w:val="Absatz-Standardschriftart"/>
    <w:qFormat/>
    <w:rsid w:val="002C4AB9"/>
    <w:rPr>
      <w:i/>
      <w:iCs/>
    </w:rPr>
  </w:style>
  <w:style w:type="paragraph" w:styleId="Funotentext">
    <w:name w:val="footnote text"/>
    <w:basedOn w:val="Standard"/>
    <w:link w:val="FunotentextZchn"/>
    <w:semiHidden/>
    <w:unhideWhenUsed/>
    <w:rsid w:val="007A1FAE"/>
    <w:pPr>
      <w:spacing w:line="240" w:lineRule="auto"/>
    </w:pPr>
    <w:rPr>
      <w:sz w:val="20"/>
    </w:rPr>
  </w:style>
  <w:style w:type="character" w:customStyle="1" w:styleId="FunotentextZchn">
    <w:name w:val="Fußnotentext Zchn"/>
    <w:basedOn w:val="Absatz-Standardschriftart"/>
    <w:link w:val="Funotentext"/>
    <w:semiHidden/>
    <w:rsid w:val="007A1FAE"/>
    <w:rPr>
      <w:rFonts w:asciiTheme="minorHAnsi" w:hAnsiTheme="minorHAnsi"/>
      <w:lang w:val="en-GB"/>
    </w:rPr>
  </w:style>
  <w:style w:type="character" w:styleId="Funotenzeichen">
    <w:name w:val="footnote reference"/>
    <w:basedOn w:val="Absatz-Standardschriftart"/>
    <w:semiHidden/>
    <w:unhideWhenUsed/>
    <w:rsid w:val="007A1FAE"/>
    <w:rPr>
      <w:vertAlign w:val="superscript"/>
    </w:rPr>
  </w:style>
  <w:style w:type="character" w:styleId="NichtaufgelsteErwhnung">
    <w:name w:val="Unresolved Mention"/>
    <w:basedOn w:val="Absatz-Standardschriftart"/>
    <w:uiPriority w:val="99"/>
    <w:semiHidden/>
    <w:unhideWhenUsed/>
    <w:rsid w:val="00F7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8156">
      <w:bodyDiv w:val="1"/>
      <w:marLeft w:val="0"/>
      <w:marRight w:val="0"/>
      <w:marTop w:val="0"/>
      <w:marBottom w:val="0"/>
      <w:divBdr>
        <w:top w:val="none" w:sz="0" w:space="0" w:color="auto"/>
        <w:left w:val="none" w:sz="0" w:space="0" w:color="auto"/>
        <w:bottom w:val="none" w:sz="0" w:space="0" w:color="auto"/>
        <w:right w:val="none" w:sz="0" w:space="0" w:color="auto"/>
      </w:divBdr>
    </w:div>
    <w:div w:id="154415668">
      <w:bodyDiv w:val="1"/>
      <w:marLeft w:val="0"/>
      <w:marRight w:val="0"/>
      <w:marTop w:val="0"/>
      <w:marBottom w:val="0"/>
      <w:divBdr>
        <w:top w:val="none" w:sz="0" w:space="0" w:color="auto"/>
        <w:left w:val="none" w:sz="0" w:space="0" w:color="auto"/>
        <w:bottom w:val="none" w:sz="0" w:space="0" w:color="auto"/>
        <w:right w:val="none" w:sz="0" w:space="0" w:color="auto"/>
      </w:divBdr>
    </w:div>
    <w:div w:id="186407449">
      <w:bodyDiv w:val="1"/>
      <w:marLeft w:val="0"/>
      <w:marRight w:val="0"/>
      <w:marTop w:val="0"/>
      <w:marBottom w:val="0"/>
      <w:divBdr>
        <w:top w:val="none" w:sz="0" w:space="0" w:color="auto"/>
        <w:left w:val="none" w:sz="0" w:space="0" w:color="auto"/>
        <w:bottom w:val="none" w:sz="0" w:space="0" w:color="auto"/>
        <w:right w:val="none" w:sz="0" w:space="0" w:color="auto"/>
      </w:divBdr>
    </w:div>
    <w:div w:id="194732171">
      <w:bodyDiv w:val="1"/>
      <w:marLeft w:val="0"/>
      <w:marRight w:val="0"/>
      <w:marTop w:val="0"/>
      <w:marBottom w:val="0"/>
      <w:divBdr>
        <w:top w:val="none" w:sz="0" w:space="0" w:color="auto"/>
        <w:left w:val="none" w:sz="0" w:space="0" w:color="auto"/>
        <w:bottom w:val="none" w:sz="0" w:space="0" w:color="auto"/>
        <w:right w:val="none" w:sz="0" w:space="0" w:color="auto"/>
      </w:divBdr>
    </w:div>
    <w:div w:id="248272737">
      <w:bodyDiv w:val="1"/>
      <w:marLeft w:val="0"/>
      <w:marRight w:val="0"/>
      <w:marTop w:val="0"/>
      <w:marBottom w:val="0"/>
      <w:divBdr>
        <w:top w:val="none" w:sz="0" w:space="0" w:color="auto"/>
        <w:left w:val="none" w:sz="0" w:space="0" w:color="auto"/>
        <w:bottom w:val="none" w:sz="0" w:space="0" w:color="auto"/>
        <w:right w:val="none" w:sz="0" w:space="0" w:color="auto"/>
      </w:divBdr>
    </w:div>
    <w:div w:id="544295100">
      <w:bodyDiv w:val="1"/>
      <w:marLeft w:val="0"/>
      <w:marRight w:val="0"/>
      <w:marTop w:val="0"/>
      <w:marBottom w:val="0"/>
      <w:divBdr>
        <w:top w:val="none" w:sz="0" w:space="0" w:color="auto"/>
        <w:left w:val="none" w:sz="0" w:space="0" w:color="auto"/>
        <w:bottom w:val="none" w:sz="0" w:space="0" w:color="auto"/>
        <w:right w:val="none" w:sz="0" w:space="0" w:color="auto"/>
      </w:divBdr>
    </w:div>
    <w:div w:id="742289616">
      <w:bodyDiv w:val="1"/>
      <w:marLeft w:val="0"/>
      <w:marRight w:val="0"/>
      <w:marTop w:val="0"/>
      <w:marBottom w:val="0"/>
      <w:divBdr>
        <w:top w:val="none" w:sz="0" w:space="0" w:color="auto"/>
        <w:left w:val="none" w:sz="0" w:space="0" w:color="auto"/>
        <w:bottom w:val="none" w:sz="0" w:space="0" w:color="auto"/>
        <w:right w:val="none" w:sz="0" w:space="0" w:color="auto"/>
      </w:divBdr>
    </w:div>
    <w:div w:id="1220555736">
      <w:bodyDiv w:val="1"/>
      <w:marLeft w:val="0"/>
      <w:marRight w:val="0"/>
      <w:marTop w:val="0"/>
      <w:marBottom w:val="0"/>
      <w:divBdr>
        <w:top w:val="none" w:sz="0" w:space="0" w:color="auto"/>
        <w:left w:val="none" w:sz="0" w:space="0" w:color="auto"/>
        <w:bottom w:val="none" w:sz="0" w:space="0" w:color="auto"/>
        <w:right w:val="none" w:sz="0" w:space="0" w:color="auto"/>
      </w:divBdr>
    </w:div>
    <w:div w:id="1359159272">
      <w:bodyDiv w:val="1"/>
      <w:marLeft w:val="0"/>
      <w:marRight w:val="0"/>
      <w:marTop w:val="0"/>
      <w:marBottom w:val="0"/>
      <w:divBdr>
        <w:top w:val="none" w:sz="0" w:space="0" w:color="auto"/>
        <w:left w:val="none" w:sz="0" w:space="0" w:color="auto"/>
        <w:bottom w:val="none" w:sz="0" w:space="0" w:color="auto"/>
        <w:right w:val="none" w:sz="0" w:space="0" w:color="auto"/>
      </w:divBdr>
    </w:div>
    <w:div w:id="1537426810">
      <w:bodyDiv w:val="1"/>
      <w:marLeft w:val="0"/>
      <w:marRight w:val="0"/>
      <w:marTop w:val="0"/>
      <w:marBottom w:val="0"/>
      <w:divBdr>
        <w:top w:val="none" w:sz="0" w:space="0" w:color="auto"/>
        <w:left w:val="none" w:sz="0" w:space="0" w:color="auto"/>
        <w:bottom w:val="none" w:sz="0" w:space="0" w:color="auto"/>
        <w:right w:val="none" w:sz="0" w:space="0" w:color="auto"/>
      </w:divBdr>
    </w:div>
    <w:div w:id="1645769244">
      <w:bodyDiv w:val="1"/>
      <w:marLeft w:val="0"/>
      <w:marRight w:val="0"/>
      <w:marTop w:val="0"/>
      <w:marBottom w:val="0"/>
      <w:divBdr>
        <w:top w:val="none" w:sz="0" w:space="0" w:color="auto"/>
        <w:left w:val="none" w:sz="0" w:space="0" w:color="auto"/>
        <w:bottom w:val="none" w:sz="0" w:space="0" w:color="auto"/>
        <w:right w:val="none" w:sz="0" w:space="0" w:color="auto"/>
      </w:divBdr>
    </w:div>
    <w:div w:id="1688675019">
      <w:bodyDiv w:val="1"/>
      <w:marLeft w:val="0"/>
      <w:marRight w:val="0"/>
      <w:marTop w:val="0"/>
      <w:marBottom w:val="0"/>
      <w:divBdr>
        <w:top w:val="none" w:sz="0" w:space="0" w:color="auto"/>
        <w:left w:val="none" w:sz="0" w:space="0" w:color="auto"/>
        <w:bottom w:val="none" w:sz="0" w:space="0" w:color="auto"/>
        <w:right w:val="none" w:sz="0" w:space="0" w:color="auto"/>
      </w:divBdr>
    </w:div>
    <w:div w:id="1988780485">
      <w:bodyDiv w:val="1"/>
      <w:marLeft w:val="0"/>
      <w:marRight w:val="0"/>
      <w:marTop w:val="0"/>
      <w:marBottom w:val="0"/>
      <w:divBdr>
        <w:top w:val="none" w:sz="0" w:space="0" w:color="auto"/>
        <w:left w:val="none" w:sz="0" w:space="0" w:color="auto"/>
        <w:bottom w:val="none" w:sz="0" w:space="0" w:color="auto"/>
        <w:right w:val="none" w:sz="0" w:space="0" w:color="auto"/>
      </w:divBdr>
    </w:div>
    <w:div w:id="19894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wdr2018/"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image" Target="media/image8.tif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tif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cdda.europa.eu/system/files/publications/2753/POD_Synthetic%20cannabinoids_0.pdf" TargetMode="Externa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MPü15</b:Tag>
    <b:SourceType>ConferenceProceedings</b:SourceType>
    <b:Guid>{2FBAE9CE-BA86-49C0-9424-08891B0B1543}</b:Guid>
    <b:Title>The EU-project 'SPICE-profiling' (2015-2017) - objectives and results of a first study on Spice products containing 5F-PB-22</b:Title>
    <b:Year>2015</b:Year>
    <b:City>Mosbach (16. - 18.April 2015)</b:City>
    <b:Author>
      <b:Author>
        <b:NameList>
          <b:Person>
            <b:Last>Pütz</b:Last>
            <b:First>M.</b:First>
          </b:Person>
        </b:NameList>
      </b:Author>
    </b:Author>
    <b:ConferenceName>Proceedings of the XIX. GTFCh-Symposium</b:ConferenceName>
    <b:RefOrder>1</b:RefOrder>
  </b:Source>
</b:Sources>
</file>

<file path=customXml/itemProps1.xml><?xml version="1.0" encoding="utf-8"?>
<ds:datastoreItem xmlns:ds="http://schemas.openxmlformats.org/officeDocument/2006/customXml" ds:itemID="{B4096432-8B2B-482C-B717-67D85EA3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16066</Words>
  <Characters>91581</Characters>
  <Application>Microsoft Office Word</Application>
  <DocSecurity>0</DocSecurity>
  <Lines>763</Lines>
  <Paragraphs>214</Paragraphs>
  <ScaleCrop>false</ScaleCrop>
  <HeadingPairs>
    <vt:vector size="2" baseType="variant">
      <vt:variant>
        <vt:lpstr>Titel</vt:lpstr>
      </vt:variant>
      <vt:variant>
        <vt:i4>1</vt:i4>
      </vt:variant>
    </vt:vector>
  </HeadingPairs>
  <TitlesOfParts>
    <vt:vector size="1" baseType="lpstr">
      <vt:lpstr>Determination of 13CV-PDB and15NAIR-values by stable isotope ratio mass spectrometry of cocaine from a big seizure in Germany</vt:lpstr>
    </vt:vector>
  </TitlesOfParts>
  <Company>Bundeskriminalamt Wiesbaden</Company>
  <LinksUpToDate>false</LinksUpToDate>
  <CharactersWithSpaces>107433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13CV-PDB and15NAIR-values by stable isotope ratio mass spectrometry of cocaine from a big seizure in Germany</dc:title>
  <dc:creator>seweni01</dc:creator>
  <cp:lastModifiedBy>Sascha Münster-Müller</cp:lastModifiedBy>
  <cp:revision>5</cp:revision>
  <cp:lastPrinted>2015-11-12T07:32:00Z</cp:lastPrinted>
  <dcterms:created xsi:type="dcterms:W3CDTF">2020-01-10T14:30:00Z</dcterms:created>
  <dcterms:modified xsi:type="dcterms:W3CDTF">2020-04-22T19:09:00Z</dcterms:modified>
</cp:coreProperties>
</file>