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rFonts w:ascii="Times New Roman" w:hAnsi="Times New Roman" w:cs="Times New Roman"/>
          <w:sz w:val="28"/>
          <w:szCs w:val="28"/>
        </w:rPr>
      </w:pPr>
      <w:r>
        <w:rPr>
          <w:rFonts w:ascii="Times New Roman" w:hAnsi="Times New Roman" w:cs="Times New Roman"/>
          <w:sz w:val="28"/>
          <w:szCs w:val="28"/>
        </w:rPr>
        <w:t xml:space="preserve">Der </w:t>
      </w:r>
      <w:proofErr w:type="spellStart"/>
      <w:r>
        <w:rPr>
          <w:rFonts w:ascii="Times New Roman" w:hAnsi="Times New Roman" w:cs="Times New Roman"/>
          <w:sz w:val="28"/>
          <w:szCs w:val="28"/>
        </w:rPr>
        <w:t>dggö</w:t>
      </w:r>
      <w:proofErr w:type="spellEnd"/>
      <w:r>
        <w:rPr>
          <w:rFonts w:ascii="Times New Roman" w:hAnsi="Times New Roman" w:cs="Times New Roman"/>
          <w:sz w:val="28"/>
          <w:szCs w:val="28"/>
        </w:rPr>
        <w:t>-Ausschuss Allokation und Verteilung</w:t>
      </w:r>
    </w:p>
    <w:p>
      <w:pPr>
        <w:jc w:val="center"/>
        <w:rPr>
          <w:rFonts w:ascii="Times New Roman" w:hAnsi="Times New Roman" w:cs="Times New Roman"/>
          <w:b/>
          <w:bCs/>
          <w:sz w:val="28"/>
          <w:szCs w:val="28"/>
        </w:rPr>
      </w:pPr>
      <w:r>
        <w:rPr>
          <w:rFonts w:ascii="Times New Roman" w:hAnsi="Times New Roman" w:cs="Times New Roman"/>
          <w:b/>
          <w:bCs/>
          <w:sz w:val="28"/>
          <w:szCs w:val="28"/>
        </w:rPr>
        <w:t>10-jähriger Jubiläumsworkshop</w:t>
      </w:r>
    </w:p>
    <w:p>
      <w:pPr>
        <w:jc w:val="center"/>
        <w:rPr>
          <w:rFonts w:ascii="Times New Roman" w:hAnsi="Times New Roman" w:cs="Times New Roman"/>
        </w:rPr>
      </w:pPr>
    </w:p>
    <w:p>
      <w:pPr>
        <w:jc w:val="center"/>
        <w:rPr>
          <w:rFonts w:ascii="Times New Roman" w:hAnsi="Times New Roman" w:cs="Times New Roman"/>
          <w:i/>
          <w:iCs/>
          <w:sz w:val="28"/>
          <w:szCs w:val="28"/>
        </w:rPr>
      </w:pPr>
      <w:r>
        <w:rPr>
          <w:rFonts w:ascii="Times New Roman" w:hAnsi="Times New Roman" w:cs="Times New Roman"/>
          <w:i/>
          <w:iCs/>
          <w:sz w:val="28"/>
          <w:szCs w:val="28"/>
        </w:rPr>
        <w:t>Lars Schwettmann, Amelie Wuppermann</w:t>
      </w:r>
    </w:p>
    <w:p>
      <w:pPr>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Korrespondenzadresse:</w:t>
      </w:r>
    </w:p>
    <w:p>
      <w:pPr>
        <w:spacing w:line="360" w:lineRule="auto"/>
        <w:rPr>
          <w:rFonts w:ascii="Times New Roman" w:hAnsi="Times New Roman" w:cs="Times New Roman"/>
          <w:sz w:val="24"/>
          <w:szCs w:val="24"/>
        </w:rPr>
      </w:pPr>
      <w:r>
        <w:rPr>
          <w:rFonts w:ascii="Times New Roman" w:hAnsi="Times New Roman" w:cs="Times New Roman"/>
          <w:sz w:val="24"/>
          <w:szCs w:val="24"/>
        </w:rPr>
        <w:t>Lars Schwettmann</w:t>
      </w:r>
    </w:p>
    <w:p>
      <w:pPr>
        <w:spacing w:line="360" w:lineRule="auto"/>
        <w:rPr>
          <w:rFonts w:ascii="Times New Roman" w:hAnsi="Times New Roman" w:cs="Times New Roman"/>
          <w:sz w:val="24"/>
          <w:szCs w:val="24"/>
        </w:rPr>
      </w:pPr>
      <w:r>
        <w:rPr>
          <w:rFonts w:ascii="Times New Roman" w:hAnsi="Times New Roman" w:cs="Times New Roman"/>
          <w:sz w:val="24"/>
          <w:szCs w:val="24"/>
        </w:rPr>
        <w:t>Helmholtz Zentrum München – Deutsches Forschungszentrum für Gesundheit und Umwelt (GmbH)</w:t>
      </w:r>
    </w:p>
    <w:p>
      <w:pPr>
        <w:spacing w:line="360" w:lineRule="auto"/>
        <w:rPr>
          <w:rFonts w:ascii="Times New Roman" w:hAnsi="Times New Roman" w:cs="Times New Roman"/>
          <w:sz w:val="24"/>
          <w:szCs w:val="24"/>
        </w:rPr>
      </w:pPr>
      <w:r>
        <w:rPr>
          <w:rFonts w:ascii="Times New Roman" w:hAnsi="Times New Roman" w:cs="Times New Roman"/>
          <w:sz w:val="24"/>
          <w:szCs w:val="24"/>
        </w:rPr>
        <w:t>Institut für Gesundheitsökonomie und Management im Gesundheitswesen</w:t>
      </w:r>
    </w:p>
    <w:p>
      <w:pPr>
        <w:spacing w:line="360" w:lineRule="auto"/>
        <w:rPr>
          <w:rFonts w:ascii="Times New Roman" w:hAnsi="Times New Roman" w:cs="Times New Roman"/>
          <w:sz w:val="24"/>
          <w:szCs w:val="24"/>
        </w:rPr>
      </w:pPr>
      <w:r>
        <w:rPr>
          <w:rFonts w:ascii="Times New Roman" w:hAnsi="Times New Roman" w:cs="Times New Roman"/>
          <w:sz w:val="24"/>
          <w:szCs w:val="24"/>
        </w:rPr>
        <w:t>Ingolstädter Landstraße 1</w:t>
      </w:r>
    </w:p>
    <w:p>
      <w:pPr>
        <w:spacing w:line="360" w:lineRule="auto"/>
        <w:rPr>
          <w:rFonts w:ascii="Times New Roman" w:hAnsi="Times New Roman" w:cs="Times New Roman"/>
          <w:sz w:val="24"/>
          <w:szCs w:val="24"/>
        </w:rPr>
      </w:pPr>
      <w:r>
        <w:rPr>
          <w:rFonts w:ascii="Times New Roman" w:hAnsi="Times New Roman" w:cs="Times New Roman"/>
          <w:sz w:val="24"/>
          <w:szCs w:val="24"/>
        </w:rPr>
        <w:t>85764 Neuherberg</w:t>
      </w:r>
    </w:p>
    <w:p>
      <w:pPr>
        <w:spacing w:line="360" w:lineRule="auto"/>
        <w:rPr>
          <w:rFonts w:ascii="Times New Roman" w:hAnsi="Times New Roman" w:cs="Times New Roman"/>
          <w:sz w:val="24"/>
          <w:szCs w:val="24"/>
        </w:rPr>
      </w:pPr>
      <w:hyperlink r:id="rId6" w:history="1">
        <w:r>
          <w:rPr>
            <w:rStyle w:val="Hyperlink"/>
            <w:rFonts w:ascii="Times New Roman" w:hAnsi="Times New Roman" w:cs="Times New Roman"/>
            <w:sz w:val="24"/>
            <w:szCs w:val="24"/>
          </w:rPr>
          <w:t>Lars.schwettmann@helmholtz-muenchen.de</w:t>
        </w:r>
      </w:hyperlink>
    </w:p>
    <w:p>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Der 10-jährige Jubiläumsworkshop des </w:t>
      </w:r>
      <w:proofErr w:type="spellStart"/>
      <w:r>
        <w:rPr>
          <w:rFonts w:ascii="Times New Roman" w:hAnsi="Times New Roman" w:cs="Times New Roman"/>
          <w:sz w:val="24"/>
          <w:szCs w:val="24"/>
        </w:rPr>
        <w:t>dggö</w:t>
      </w:r>
      <w:proofErr w:type="spellEnd"/>
      <w:r>
        <w:rPr>
          <w:rFonts w:ascii="Times New Roman" w:hAnsi="Times New Roman" w:cs="Times New Roman"/>
          <w:sz w:val="24"/>
          <w:szCs w:val="24"/>
        </w:rPr>
        <w:t>-Ausschusses Allokation und Verteilung fand am 15. und 16. November 2019 an der Universität Konstanz statt und wurde von Friedrich Breyer (Lehrstuhl für Wirtschafts- und Sozialpolitik) und seinem Lehrstuhlteam ausgerichtet.</w:t>
      </w: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Zu Beginn des X. Workshops blickte der Ausschussvorsitzende, Lars Schwettmann (Helmholtz Zentrum München), auf die Entwicklung des Ausschusses zurück. Ausgangspunkt der Gründung war im Dezember 2009 die internationale Konferenz „Distributive Justice in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Health</w:t>
      </w:r>
      <w:proofErr w:type="spellEnd"/>
      <w:r>
        <w:rPr>
          <w:rFonts w:ascii="Times New Roman" w:hAnsi="Times New Roman" w:cs="Times New Roman"/>
          <w:sz w:val="24"/>
          <w:szCs w:val="24"/>
        </w:rPr>
        <w:t xml:space="preserve"> System – </w:t>
      </w:r>
      <w:proofErr w:type="spellStart"/>
      <w:r>
        <w:rPr>
          <w:rFonts w:ascii="Times New Roman" w:hAnsi="Times New Roman" w:cs="Times New Roman"/>
          <w:sz w:val="24"/>
          <w:szCs w:val="24"/>
        </w:rPr>
        <w:t>Theory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Empirics</w:t>
      </w:r>
      <w:proofErr w:type="spellEnd"/>
      <w:r>
        <w:rPr>
          <w:rFonts w:ascii="Times New Roman" w:hAnsi="Times New Roman" w:cs="Times New Roman"/>
          <w:sz w:val="24"/>
          <w:szCs w:val="24"/>
        </w:rPr>
        <w:t xml:space="preserve">“ an der Martin-Luther-Universität Halle-Wittenberg. Einige der seinerzeit diskutierten Themen, etwa normativ-ethische oder empirische Aspekte bei der Messung und Bewältigung gesundheitlicher Ungleichheiten, bildeten von Beginn an die Grundlage für die Workshops, die sich im jährlichen Rhythmus an die Konferenz anschlossen. Mittlerweile hat sich der Workshop des Ausschusses als gesundheitsökonomische Plattform zur Vorstellung und Diskussion neuer empirisch-methodischer und normativ-theoretischer Arbeiten zu Verteilungs- und Allokationsfragen im Gesundheitssystem etabliert. Hierzu trug auch das Format der Veranstaltung bei, zu der die Begleitung sämtlicher Beiträge durch Korreferate ebenso gehört wie die Einladung externer Hauptredner. Inzwischen zeugen 71 Vorträge von 44 Forscherinnen und Forschern aus dem In- und Ausland sowohl von der Attraktivität als auch der methodischen und inhaltlichen Vielfalt der Veranstaltung. </w:t>
      </w:r>
    </w:p>
    <w:p>
      <w:pPr>
        <w:spacing w:line="360" w:lineRule="auto"/>
        <w:rPr>
          <w:rFonts w:ascii="Times New Roman" w:hAnsi="Times New Roman" w:cs="Times New Roman"/>
          <w:sz w:val="24"/>
          <w:szCs w:val="24"/>
        </w:rPr>
      </w:pPr>
      <w:r>
        <w:rPr>
          <w:rFonts w:ascii="Times New Roman" w:hAnsi="Times New Roman" w:cs="Times New Roman"/>
          <w:sz w:val="24"/>
          <w:szCs w:val="24"/>
        </w:rPr>
        <w:t>So reflektierte auch der X. Workshop in Konstanz die ganze inhaltliche Bandbreite des Ausschusses.</w:t>
      </w:r>
    </w:p>
    <w:p>
      <w:pPr>
        <w:spacing w:line="360" w:lineRule="auto"/>
        <w:rPr>
          <w:rFonts w:ascii="Times New Roman" w:hAnsi="Times New Roman" w:cs="Times New Roman"/>
          <w:sz w:val="24"/>
          <w:szCs w:val="24"/>
        </w:rPr>
      </w:pPr>
    </w:p>
    <w:p>
      <w:pPr>
        <w:spacing w:line="360" w:lineRule="auto"/>
        <w:rPr>
          <w:rFonts w:ascii="Times New Roman" w:hAnsi="Times New Roman" w:cs="Times New Roman"/>
          <w:b/>
          <w:bCs/>
          <w:sz w:val="24"/>
          <w:szCs w:val="24"/>
        </w:rPr>
      </w:pPr>
      <w:r>
        <w:rPr>
          <w:rFonts w:ascii="Times New Roman" w:hAnsi="Times New Roman" w:cs="Times New Roman"/>
          <w:b/>
          <w:bCs/>
          <w:sz w:val="24"/>
          <w:szCs w:val="24"/>
        </w:rPr>
        <w:t>Allokation und Verteilungsethik</w:t>
      </w: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In seinem Eröffnungsvortrag zum Thema „Allokation und Verteilungsethik in den Grenzen der Ökonomik“ diskutierte Hartmut Kliemt (Justus-Liebig-Universität Gießen) den gegenwärtigen Umgang der (Gesundheits-)Ökonomik mit der normativen Ethik. Ausgangspunkt der Überlegungen war seine Beobachtung, dass heutige Ökonomen vielfach über die vom Postulat der Wertfreiheit der Wissenschaft geforderten Beschränkungen hinausgehen und sich selbst wissenschaftlich zu Werten und Zielen äußern wollen. Herr Kliemt erinnerte jedoch an die Meta-Ethik der Ökonomik, nach der die Kompetenz der Ökonomen darauf beschränkt ist, denjenigen, die nach wissenschaftlicher Beratung suchen, Mittel und Wege zur Erreichung der von den Beratungssuchenden vorgegebenen Ziele aufzuzeigen, während sie zu diesen Zielen </w:t>
      </w:r>
      <w:r>
        <w:rPr>
          <w:rFonts w:ascii="Times New Roman" w:hAnsi="Times New Roman" w:cs="Times New Roman"/>
          <w:i/>
          <w:iCs/>
          <w:sz w:val="24"/>
          <w:szCs w:val="24"/>
        </w:rPr>
        <w:t>als Wissenschaftler</w:t>
      </w:r>
      <w:r>
        <w:rPr>
          <w:rFonts w:ascii="Times New Roman" w:hAnsi="Times New Roman" w:cs="Times New Roman"/>
          <w:sz w:val="24"/>
          <w:szCs w:val="24"/>
        </w:rPr>
        <w:t xml:space="preserve"> zu schweigen haben. Ihre </w:t>
      </w:r>
      <w:r>
        <w:rPr>
          <w:rFonts w:ascii="Times New Roman" w:hAnsi="Times New Roman" w:cs="Times New Roman"/>
          <w:sz w:val="24"/>
          <w:szCs w:val="24"/>
        </w:rPr>
        <w:lastRenderedPageBreak/>
        <w:t>Wissenschaftler-Rolle beschränkt sich auf die eines „technologischen Beraters“. In seinem Vortrag beschrieb Hartmut Kliemt, welche Überlegungen diesem Postulat zugrunde liegen, und erläuterte, inwiefern er sowohl im Bereich der Gesundheits- als auch in der Wohlfahrtsökonomik eine Abkehr von dem Postulat sieht.</w:t>
      </w:r>
    </w:p>
    <w:p>
      <w:pPr>
        <w:spacing w:line="360" w:lineRule="auto"/>
        <w:rPr>
          <w:rFonts w:ascii="Times New Roman" w:hAnsi="Times New Roman" w:cs="Times New Roman"/>
          <w:sz w:val="24"/>
          <w:szCs w:val="24"/>
        </w:rPr>
      </w:pPr>
      <w:r>
        <w:rPr>
          <w:rFonts w:ascii="Times New Roman" w:hAnsi="Times New Roman" w:cs="Times New Roman"/>
          <w:sz w:val="24"/>
          <w:szCs w:val="24"/>
        </w:rPr>
        <w:t>In der Diskussion zum Vortrag wurde der Punkt des Korreferenten, dass es gerade bei aktuellen Fragen zum Gesundheitswesen eine große Nachfrage nach Expertenmeinungen gibt, der sich Gesundheitsökonomen nur schwer verschließen können, kontrovers besprochen. Einig waren sich die Teilnehmenden zwar darin, dass Ökonomen bei ihren Äußerungen strikt zwischen wissenschaftlichen Erkenntnissen und eigener (Experten-)Meinung beziehungsweise Werturteilen trennen sowie Fakten unverzerrt darstellen sollten. Die Frage, inwieweit diese Norm angesichts der Nachfrage nach wertenden Expertenmeinungen durchgesetzt werden könnte und sollte, blieb aber offen.</w:t>
      </w:r>
    </w:p>
    <w:p>
      <w:pPr>
        <w:spacing w:line="360" w:lineRule="auto"/>
        <w:rPr>
          <w:rFonts w:ascii="Times New Roman" w:hAnsi="Times New Roman" w:cs="Times New Roman"/>
          <w:sz w:val="24"/>
          <w:szCs w:val="24"/>
        </w:rPr>
      </w:pPr>
    </w:p>
    <w:p>
      <w:pPr>
        <w:spacing w:line="360" w:lineRule="auto"/>
        <w:rPr>
          <w:rFonts w:ascii="Times New Roman" w:hAnsi="Times New Roman" w:cs="Times New Roman"/>
          <w:b/>
          <w:bCs/>
          <w:sz w:val="24"/>
          <w:szCs w:val="24"/>
        </w:rPr>
      </w:pPr>
      <w:r>
        <w:rPr>
          <w:rFonts w:ascii="Times New Roman" w:hAnsi="Times New Roman" w:cs="Times New Roman"/>
          <w:b/>
          <w:bCs/>
          <w:sz w:val="24"/>
          <w:szCs w:val="24"/>
        </w:rPr>
        <w:t>Priorisierungskriterien bei der Organallokation</w:t>
      </w:r>
    </w:p>
    <w:p>
      <w:pPr>
        <w:spacing w:line="360" w:lineRule="auto"/>
        <w:rPr>
          <w:rFonts w:ascii="Times New Roman" w:hAnsi="Times New Roman" w:cs="Times New Roman"/>
          <w:sz w:val="24"/>
          <w:szCs w:val="24"/>
        </w:rPr>
      </w:pPr>
      <w:r>
        <w:rPr>
          <w:rFonts w:ascii="Times New Roman" w:hAnsi="Times New Roman" w:cs="Times New Roman"/>
          <w:sz w:val="24"/>
          <w:szCs w:val="24"/>
        </w:rPr>
        <w:t>Anschließend widmete sich Marlies Ahlert (Martin-Luther-Universität Halle-Wittenberg) in ihrem Beitrag aus dem Bereich der Transplantationsmedizin Allokationsregeln für postmortal gespendete Organe auf potenzielle Empfänger. Das deutsche Transplantationsgesetz gibt zwar die Kriterien Dringlichkeit und Erfolgsaussicht vor, definiert aber keine Allokationsregeln zur Aggregation der beiden Kriterien, die mitunter gegenläufig sind, etwa wenn eine Transplantation bei Patienten mit einer höheren Dringlichkeitsstufe statistisch mit einer höheren Komplikationsrate oder einer geringeren Erfolgsaussicht einhergeht. Diese Aggregation findet daher in den allgemeinen und organspezifischen Transplantationsrichtlinien statt, die von der Ständigen Kommission Organtransplantation der Bundesärztekammer (</w:t>
      </w:r>
      <w:proofErr w:type="spellStart"/>
      <w:r>
        <w:rPr>
          <w:rFonts w:ascii="Times New Roman" w:hAnsi="Times New Roman" w:cs="Times New Roman"/>
          <w:sz w:val="24"/>
          <w:szCs w:val="24"/>
        </w:rPr>
        <w:t>StäKO</w:t>
      </w:r>
      <w:proofErr w:type="spellEnd"/>
      <w:r>
        <w:rPr>
          <w:rFonts w:ascii="Times New Roman" w:hAnsi="Times New Roman" w:cs="Times New Roman"/>
          <w:sz w:val="24"/>
          <w:szCs w:val="24"/>
        </w:rPr>
        <w:t>) entwickelt und vom Bundesministerium für Gesundheit (BMG) genehmigt werden müssen.</w:t>
      </w:r>
    </w:p>
    <w:p>
      <w:pPr>
        <w:spacing w:line="360" w:lineRule="auto"/>
        <w:rPr>
          <w:rFonts w:ascii="Times New Roman" w:hAnsi="Times New Roman" w:cs="Times New Roman"/>
          <w:sz w:val="24"/>
          <w:szCs w:val="24"/>
        </w:rPr>
      </w:pPr>
      <w:r>
        <w:rPr>
          <w:rFonts w:ascii="Times New Roman" w:hAnsi="Times New Roman" w:cs="Times New Roman"/>
          <w:sz w:val="24"/>
          <w:szCs w:val="24"/>
        </w:rPr>
        <w:t>In ihrer Studie „Dringlichkeit und Erfolgsaussicht in den Richtlinien zur Organtransplantation“ führt Frau Ahlert eine strukturelle Analyse der Umsetzung der Kriterien in den einzelnen Richtlinien durch und zeigt, dass organspezifische Regeln mit den Kriterien unterschiedlich umgehen. Die meisten Regeln bestimmen die Priorität vor allem nach Dringlichkeitsstufen der Patienten und weniger nach der Erfolgsaussicht, wie beispielsweise der Funktionsdauer des Organs. Bei einer niedrigen Zahl an Spenderorganen führt dies regelmäßig dazu, dass Patienten mit sehr hoher Dringlichkeit die Organe erhalten.</w:t>
      </w:r>
    </w:p>
    <w:p>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Frau Ahlert erläuterte, dass Scores, in die Maßzahlen für Dringlichkeit und Erfolgsaussicht auf der Basis von Überlebenswahrscheinlichkeiten gewichtet eingehen, einen Kompromiss darstellen und im Bereich der Lunge bereits eingeführt wurden. Neben der Schaffung einer verbesserten Datengrundlage in Deutschland sind allerdings normative Setzungen, etwa in Bezug auf die Gewichtung, für die Scores erforderlich. Diese müssten transparent gemacht und öffentlich diskutiert werden.</w:t>
      </w:r>
    </w:p>
    <w:p>
      <w:pPr>
        <w:spacing w:line="360" w:lineRule="auto"/>
        <w:rPr>
          <w:rFonts w:ascii="Times New Roman" w:hAnsi="Times New Roman" w:cs="Times New Roman"/>
          <w:sz w:val="24"/>
          <w:szCs w:val="24"/>
        </w:rPr>
      </w:pPr>
    </w:p>
    <w:p>
      <w:pPr>
        <w:spacing w:line="360" w:lineRule="auto"/>
        <w:rPr>
          <w:rFonts w:ascii="Times New Roman" w:hAnsi="Times New Roman" w:cs="Times New Roman"/>
          <w:b/>
          <w:bCs/>
          <w:sz w:val="24"/>
          <w:szCs w:val="24"/>
        </w:rPr>
      </w:pPr>
      <w:r>
        <w:rPr>
          <w:rFonts w:ascii="Times New Roman" w:hAnsi="Times New Roman" w:cs="Times New Roman"/>
          <w:b/>
          <w:bCs/>
          <w:sz w:val="24"/>
          <w:szCs w:val="24"/>
        </w:rPr>
        <w:t>Behandlungsentscheidungen und offenbarte Präferenzen</w:t>
      </w: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Im nächsten Vortrag berichtete Stefan Felder (Universität Basel) über seine Studie „Behandlungsentscheidungen und offenbarte Präferenzen“, in der er unter Verwendung eines Erwartungsnutzenmodells aufzeigt, dass Schwellenwerte in medizinischen Behandlungsentscheidungen und Leitlinien implizit Informationen über die Bewertung der Gesundheitszustände und Sterberisiken der Behandelten enthalten. </w:t>
      </w:r>
    </w:p>
    <w:p>
      <w:pPr>
        <w:spacing w:line="360" w:lineRule="auto"/>
        <w:rPr>
          <w:rFonts w:ascii="Times New Roman" w:hAnsi="Times New Roman" w:cs="Times New Roman"/>
          <w:sz w:val="24"/>
          <w:szCs w:val="24"/>
        </w:rPr>
      </w:pPr>
      <w:r>
        <w:rPr>
          <w:rFonts w:ascii="Times New Roman" w:hAnsi="Times New Roman" w:cs="Times New Roman"/>
          <w:sz w:val="24"/>
          <w:szCs w:val="24"/>
        </w:rPr>
        <w:t>Herr Felder verdeutlichte diesen Zusammenhang anhand der Beispiele der Altersgrenzen in der Kostenübernahme einer Amniozentese und des Schwellenwerts, ab welchem nach einem PSA-Test eine Biopsie der Prostata empfohlen wird. Interessanterweise liegt letzterer in den Leitlinien der deutschen Arbeitsgemeinschaft der Wissenschaftlichen Medizinischen Fachgesellschaften deutlich unter dem Schwellenwert in anderen Ländern und reflektiert eine über 500 mal so starke Gewichtung des Nutzengewinns aus einer Prostata-Biopsie als des Nutzenverlusts der Biopsie bei einem falsch positiven Ergebnis des PSA-Tests. Im Falle der Amniozentese verdeutlichte Herr Felder, dass der derzeit gültige Schwellenwert von 35 Jahren bei den bekannten Risiken der Amniozentese auf einer Gleichbewertung der Entdeckung eines Fötus mit Trisomie 21 und dem Verlust eines gesunden Fötus liegt. Neue medizinische Möglichkeiten, wie beispielsweise der Bluttest für Trisomie 21, dessen Kosten die Krankenkassen in Deutschland ab 2020 in begründeten Einzelfällen übernehmen sollen, ändern die Vorteile der Amniozentese und müssten daher zu einer Anpassung des Schwellenwertes zur Kostenübernahme führen.</w:t>
      </w:r>
    </w:p>
    <w:p>
      <w:pPr>
        <w:spacing w:line="360" w:lineRule="auto"/>
        <w:rPr>
          <w:rFonts w:ascii="Times New Roman" w:hAnsi="Times New Roman" w:cs="Times New Roman"/>
          <w:sz w:val="24"/>
          <w:szCs w:val="24"/>
        </w:rPr>
      </w:pPr>
    </w:p>
    <w:p>
      <w:pPr>
        <w:spacing w:line="360" w:lineRule="auto"/>
        <w:rPr>
          <w:rFonts w:ascii="Times New Roman" w:hAnsi="Times New Roman" w:cs="Times New Roman"/>
          <w:b/>
          <w:bCs/>
          <w:sz w:val="24"/>
          <w:szCs w:val="24"/>
        </w:rPr>
      </w:pPr>
      <w:r>
        <w:rPr>
          <w:rFonts w:ascii="Times New Roman" w:hAnsi="Times New Roman" w:cs="Times New Roman"/>
          <w:b/>
          <w:bCs/>
          <w:sz w:val="24"/>
          <w:szCs w:val="24"/>
        </w:rPr>
        <w:t>Adhärenz von Abrechnungsbestimmungen beim Brust-MRT</w:t>
      </w: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Danach präsentierte Katharina </w:t>
      </w:r>
      <w:proofErr w:type="spellStart"/>
      <w:r>
        <w:rPr>
          <w:rFonts w:ascii="Times New Roman" w:hAnsi="Times New Roman" w:cs="Times New Roman"/>
          <w:sz w:val="24"/>
          <w:szCs w:val="24"/>
        </w:rPr>
        <w:t>Beenk</w:t>
      </w:r>
      <w:proofErr w:type="spellEnd"/>
      <w:r>
        <w:rPr>
          <w:rFonts w:ascii="Times New Roman" w:hAnsi="Times New Roman" w:cs="Times New Roman"/>
          <w:sz w:val="24"/>
          <w:szCs w:val="24"/>
        </w:rPr>
        <w:t xml:space="preserve"> (Hamburg Center </w:t>
      </w:r>
      <w:proofErr w:type="spellStart"/>
      <w:r>
        <w:rPr>
          <w:rFonts w:ascii="Times New Roman" w:hAnsi="Times New Roman" w:cs="Times New Roman"/>
          <w:sz w:val="24"/>
          <w:szCs w:val="24"/>
        </w:rPr>
        <w:t>for</w:t>
      </w:r>
      <w:proofErr w:type="spellEnd"/>
      <w:r>
        <w:rPr>
          <w:rFonts w:ascii="Times New Roman" w:hAnsi="Times New Roman" w:cs="Times New Roman"/>
          <w:sz w:val="24"/>
          <w:szCs w:val="24"/>
        </w:rPr>
        <w:t xml:space="preserve"> Health Economics, HCHE) ihre Forschungsarbeit mit dem Titel „MRI </w:t>
      </w:r>
      <w:proofErr w:type="spellStart"/>
      <w:r>
        <w:rPr>
          <w:rFonts w:ascii="Times New Roman" w:hAnsi="Times New Roman" w:cs="Times New Roman"/>
          <w:sz w:val="24"/>
          <w:szCs w:val="24"/>
        </w:rPr>
        <w:t>Exams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Breast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Adherence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Billing</w:t>
      </w:r>
      <w:proofErr w:type="spellEnd"/>
      <w:r>
        <w:rPr>
          <w:rFonts w:ascii="Times New Roman" w:hAnsi="Times New Roman" w:cs="Times New Roman"/>
          <w:sz w:val="24"/>
          <w:szCs w:val="24"/>
        </w:rPr>
        <w:t xml:space="preserve"> Terms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its</w:t>
      </w:r>
      <w:proofErr w:type="spellEnd"/>
      <w:r>
        <w:rPr>
          <w:rFonts w:ascii="Times New Roman" w:hAnsi="Times New Roman" w:cs="Times New Roman"/>
          <w:sz w:val="24"/>
          <w:szCs w:val="24"/>
        </w:rPr>
        <w:t xml:space="preserve"> Impact on Outcomes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Cost</w:t>
      </w:r>
      <w:proofErr w:type="spellEnd"/>
      <w:r>
        <w:rPr>
          <w:rFonts w:ascii="Times New Roman" w:hAnsi="Times New Roman" w:cs="Times New Roman"/>
          <w:sz w:val="24"/>
          <w:szCs w:val="24"/>
        </w:rPr>
        <w:t xml:space="preserve">“, welche in Zusammenarbeit mit Mathias Kifmann (ebenfalls HCHE) sowie Dirk </w:t>
      </w:r>
      <w:proofErr w:type="spellStart"/>
      <w:r>
        <w:rPr>
          <w:rFonts w:ascii="Times New Roman" w:hAnsi="Times New Roman" w:cs="Times New Roman"/>
          <w:sz w:val="24"/>
          <w:szCs w:val="24"/>
        </w:rPr>
        <w:t>Horenkamp</w:t>
      </w:r>
      <w:proofErr w:type="spellEnd"/>
      <w:r>
        <w:rPr>
          <w:rFonts w:ascii="Times New Roman" w:hAnsi="Times New Roman" w:cs="Times New Roman"/>
          <w:sz w:val="24"/>
          <w:szCs w:val="24"/>
        </w:rPr>
        <w:t>-Sonntag und Udo Schneider (beide Techniker Krankenkasse) entstanden ist. Ausgangspunkt der Arbeit ist die Beobachtung, dass Ärzte mitunter von den GKV-Abrechnungsbestimmungen für die Magnetresonanztomographie (MRT) zur Diagnostik von Brustkrebs abweichen, indem sie ein MRT zu früh oder anstelle von konventionellen Bildgebungsverfahren, welche mit geringeren Kosten verbunden sind, durchführen.</w:t>
      </w: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Im Rahmen der Studie wurde daher untersucht, in welchem Umfang sich Ärzte nicht-konform mit den Bestimmungen verhalten und welche Konsequenzen sich etwa im Hinblick auf die medizinischen Kosten daraus ergeben. Zur Beantwortung dieser Fragestellungen wurden Sekundärdaten der Techniker Krankenkasse (2014-2018) mit Hilfe eines Differenzen-in-Differenzen Ansatzes nach </w:t>
      </w:r>
      <w:proofErr w:type="spellStart"/>
      <w:r>
        <w:rPr>
          <w:rFonts w:ascii="Times New Roman" w:hAnsi="Times New Roman" w:cs="Times New Roman"/>
          <w:sz w:val="24"/>
          <w:szCs w:val="24"/>
        </w:rPr>
        <w:t>Propensity</w:t>
      </w:r>
      <w:proofErr w:type="spellEnd"/>
      <w:r>
        <w:rPr>
          <w:rFonts w:ascii="Times New Roman" w:hAnsi="Times New Roman" w:cs="Times New Roman"/>
          <w:sz w:val="24"/>
          <w:szCs w:val="24"/>
        </w:rPr>
        <w:t xml:space="preserve"> Score </w:t>
      </w:r>
      <w:proofErr w:type="spellStart"/>
      <w:r>
        <w:rPr>
          <w:rFonts w:ascii="Times New Roman" w:hAnsi="Times New Roman" w:cs="Times New Roman"/>
          <w:sz w:val="24"/>
          <w:szCs w:val="24"/>
        </w:rPr>
        <w:t>Matching</w:t>
      </w:r>
      <w:proofErr w:type="spellEnd"/>
      <w:r>
        <w:rPr>
          <w:rFonts w:ascii="Times New Roman" w:hAnsi="Times New Roman" w:cs="Times New Roman"/>
          <w:sz w:val="24"/>
          <w:szCs w:val="24"/>
        </w:rPr>
        <w:t xml:space="preserve"> ausgewertet. Die Studie kommt zu dem Ergebnis, dass sich mindestens ein Drittel der 2016 durchgeführten Brust-MRTs als nicht-konform mit den Abrechnungsbestimmungen klassifizieren ließen. Weiterhin verursachten Frauen, die ein solches MRT erhielten, im Durchschnitt 27% höhere direkte medizinische Kosten und profitierten von einer 1,3 Prozentpunkte höheren 2-Jahres-Überlebenswahrscheinlichkeit als die Kontrollgruppe, die in dem entsprechenden Zeitraum kein MRT erhielt.</w:t>
      </w: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Frau </w:t>
      </w:r>
      <w:proofErr w:type="spellStart"/>
      <w:r>
        <w:rPr>
          <w:rFonts w:ascii="Times New Roman" w:hAnsi="Times New Roman" w:cs="Times New Roman"/>
          <w:sz w:val="24"/>
          <w:szCs w:val="24"/>
        </w:rPr>
        <w:t>Beenk</w:t>
      </w:r>
      <w:proofErr w:type="spellEnd"/>
      <w:r>
        <w:rPr>
          <w:rFonts w:ascii="Times New Roman" w:hAnsi="Times New Roman" w:cs="Times New Roman"/>
          <w:sz w:val="24"/>
          <w:szCs w:val="24"/>
        </w:rPr>
        <w:t xml:space="preserve"> machte abschließend jedoch deutlich, dass weitere Forschungsarbeit notwendig ist. So wäre unter anderem zu untersuchen, welche Gründe für ein nicht-konformes Abrechnungsverhalten vorliegen. </w:t>
      </w:r>
    </w:p>
    <w:p>
      <w:pPr>
        <w:spacing w:line="360" w:lineRule="auto"/>
        <w:rPr>
          <w:rFonts w:ascii="Times New Roman" w:hAnsi="Times New Roman" w:cs="Times New Roman"/>
          <w:sz w:val="24"/>
          <w:szCs w:val="24"/>
        </w:rPr>
      </w:pPr>
    </w:p>
    <w:p>
      <w:pPr>
        <w:spacing w:line="360" w:lineRule="auto"/>
        <w:rPr>
          <w:rFonts w:ascii="Times New Roman" w:hAnsi="Times New Roman" w:cs="Times New Roman"/>
          <w:b/>
          <w:bCs/>
          <w:sz w:val="24"/>
          <w:szCs w:val="24"/>
        </w:rPr>
      </w:pPr>
      <w:r>
        <w:rPr>
          <w:rFonts w:ascii="Times New Roman" w:hAnsi="Times New Roman" w:cs="Times New Roman"/>
          <w:b/>
          <w:bCs/>
          <w:sz w:val="24"/>
          <w:szCs w:val="24"/>
        </w:rPr>
        <w:t>Selbstbehalt, Rabatte und Behandlungsentscheidungen</w:t>
      </w:r>
    </w:p>
    <w:p>
      <w:pPr>
        <w:spacing w:line="360" w:lineRule="auto"/>
        <w:rPr>
          <w:rFonts w:ascii="Times New Roman" w:hAnsi="Times New Roman" w:cs="Times New Roman"/>
          <w:sz w:val="24"/>
          <w:szCs w:val="24"/>
        </w:rPr>
      </w:pPr>
      <w:r>
        <w:rPr>
          <w:rFonts w:ascii="Times New Roman" w:hAnsi="Times New Roman" w:cs="Times New Roman"/>
          <w:sz w:val="24"/>
          <w:szCs w:val="24"/>
        </w:rPr>
        <w:t>Im nächsten Vortrag präsentierte Christian Waibel (ETH Zürich) Ergebnisse eines Laborexperiments zum Thema „</w:t>
      </w:r>
      <w:proofErr w:type="spellStart"/>
      <w:r>
        <w:rPr>
          <w:rFonts w:ascii="Times New Roman" w:hAnsi="Times New Roman" w:cs="Times New Roman"/>
          <w:sz w:val="24"/>
          <w:szCs w:val="24"/>
        </w:rPr>
        <w:t>Cost</w:t>
      </w:r>
      <w:proofErr w:type="spellEnd"/>
      <w:r>
        <w:rPr>
          <w:rFonts w:ascii="Times New Roman" w:hAnsi="Times New Roman" w:cs="Times New Roman"/>
          <w:sz w:val="24"/>
          <w:szCs w:val="24"/>
        </w:rPr>
        <w:t xml:space="preserve">-Sharing </w:t>
      </w:r>
      <w:proofErr w:type="spellStart"/>
      <w:r>
        <w:rPr>
          <w:rFonts w:ascii="Times New Roman" w:hAnsi="Times New Roman" w:cs="Times New Roman"/>
          <w:sz w:val="24"/>
          <w:szCs w:val="24"/>
        </w:rPr>
        <w: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Rebate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What</w:t>
      </w:r>
      <w:proofErr w:type="spellEnd"/>
      <w:r>
        <w:rPr>
          <w:rFonts w:ascii="Times New Roman" w:hAnsi="Times New Roman" w:cs="Times New Roman"/>
          <w:sz w:val="24"/>
          <w:szCs w:val="24"/>
        </w:rPr>
        <w:t xml:space="preserve"> Drives </w:t>
      </w:r>
      <w:proofErr w:type="spellStart"/>
      <w:r>
        <w:rPr>
          <w:rFonts w:ascii="Times New Roman" w:hAnsi="Times New Roman" w:cs="Times New Roman"/>
          <w:sz w:val="24"/>
          <w:szCs w:val="24"/>
        </w:rPr>
        <w:t>Patients</w:t>
      </w:r>
      <w:proofErr w:type="spellEnd"/>
      <w:r>
        <w:rPr>
          <w:rFonts w:ascii="Times New Roman" w:hAnsi="Times New Roman" w:cs="Times New Roman"/>
          <w:sz w:val="24"/>
          <w:szCs w:val="24"/>
        </w:rPr>
        <w:t xml:space="preserve">‘ Treatment </w:t>
      </w:r>
      <w:proofErr w:type="spellStart"/>
      <w:r>
        <w:rPr>
          <w:rFonts w:ascii="Times New Roman" w:hAnsi="Times New Roman" w:cs="Times New Roman"/>
          <w:sz w:val="24"/>
          <w:szCs w:val="24"/>
        </w:rPr>
        <w:t>Decisions</w:t>
      </w:r>
      <w:proofErr w:type="spellEnd"/>
      <w:r>
        <w:rPr>
          <w:rFonts w:ascii="Times New Roman" w:hAnsi="Times New Roman" w:cs="Times New Roman"/>
          <w:sz w:val="24"/>
          <w:szCs w:val="24"/>
        </w:rPr>
        <w:t xml:space="preserve">?“, welches er 2018 gemeinsam mit Markus Fels (Technische Universität Dortmund) und Nadja Kairies-Schwarz (CINCH, Universität Duisburg-Essen) am Essen Laboratory </w:t>
      </w:r>
      <w:proofErr w:type="spellStart"/>
      <w:r>
        <w:rPr>
          <w:rFonts w:ascii="Times New Roman" w:hAnsi="Times New Roman" w:cs="Times New Roman"/>
          <w:sz w:val="24"/>
          <w:szCs w:val="24"/>
        </w:rPr>
        <w:t>for</w:t>
      </w:r>
      <w:proofErr w:type="spellEnd"/>
      <w:r>
        <w:rPr>
          <w:rFonts w:ascii="Times New Roman" w:hAnsi="Times New Roman" w:cs="Times New Roman"/>
          <w:sz w:val="24"/>
          <w:szCs w:val="24"/>
        </w:rPr>
        <w:t xml:space="preserve"> Experimental Economics (</w:t>
      </w:r>
      <w:proofErr w:type="spellStart"/>
      <w:r>
        <w:rPr>
          <w:rFonts w:ascii="Times New Roman" w:hAnsi="Times New Roman" w:cs="Times New Roman"/>
          <w:sz w:val="24"/>
          <w:szCs w:val="24"/>
        </w:rPr>
        <w:t>elfe</w:t>
      </w:r>
      <w:proofErr w:type="spellEnd"/>
      <w:r>
        <w:rPr>
          <w:rFonts w:ascii="Times New Roman" w:hAnsi="Times New Roman" w:cs="Times New Roman"/>
          <w:sz w:val="24"/>
          <w:szCs w:val="24"/>
        </w:rPr>
        <w:t xml:space="preserve">) durchgeführt hat. Ausgangspunkt des Experiments war die Frage, welchen Einfluss das Framing von Anreizen für Patienten zur Kostenreduktion – entweder als Kostenbeteiligung über einen Selbstbehalt oder als Rabatt in Abhängigkeit von verursachten Kosten – auf die Entscheidungen zur Inanspruchnahme von ineffizienten und effizienten medizinischen Leistungen hat. Neben der Unterscheidung des </w:t>
      </w:r>
      <w:r>
        <w:rPr>
          <w:rFonts w:ascii="Times New Roman" w:hAnsi="Times New Roman" w:cs="Times New Roman"/>
          <w:sz w:val="24"/>
          <w:szCs w:val="24"/>
        </w:rPr>
        <w:lastRenderedPageBreak/>
        <w:t>Framings erlaubte es das Experiment auch, drei mögliche verhaltensökonomisch fundierte Kanäle für den Einfluss des Framings zu unterscheiden: (1) Verlustaversion; (2) Mental Accounting und relatives Denken, wonach Teilnehmende Änderungen des Einkommens oder Bonus relativ zum entsprechend verbleibenden Betrag unterschiedlich bewerten; (3) Salienz hinsichtlich der dynamischen Struktur der Anreize für eine frühe Entscheidung zur Behandlung.</w:t>
      </w:r>
    </w:p>
    <w:p>
      <w:pPr>
        <w:spacing w:line="360" w:lineRule="auto"/>
        <w:rPr>
          <w:rFonts w:ascii="Times New Roman" w:hAnsi="Times New Roman" w:cs="Times New Roman"/>
          <w:sz w:val="24"/>
          <w:szCs w:val="24"/>
        </w:rPr>
      </w:pPr>
      <w:r>
        <w:rPr>
          <w:rFonts w:ascii="Times New Roman" w:hAnsi="Times New Roman" w:cs="Times New Roman"/>
          <w:sz w:val="24"/>
          <w:szCs w:val="24"/>
        </w:rPr>
        <w:t>Die Ergebnisse der Studie zeigen, dass Rabatte zu einer stärkeren Reduzierung von ineffizienten Behandlungen führten als Selbstbehalte. Es konnte kein Zusammenhang zwischen Verlustaversion und Inanspruchnahme festgestellt werden. Stattdessen scheint sowohl Mental Accounting und relatives Denken als auch Salienz hinsichtlich der Anreizstruktur für das beobachtete Verhalten entscheidend zu sein.</w:t>
      </w:r>
    </w:p>
    <w:p>
      <w:pPr>
        <w:spacing w:line="360" w:lineRule="auto"/>
        <w:rPr>
          <w:rFonts w:ascii="Times New Roman" w:hAnsi="Times New Roman" w:cs="Times New Roman"/>
          <w:sz w:val="24"/>
          <w:szCs w:val="24"/>
        </w:rPr>
      </w:pPr>
    </w:p>
    <w:p>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Neues vom </w:t>
      </w:r>
      <w:proofErr w:type="spellStart"/>
      <w:r>
        <w:rPr>
          <w:rFonts w:ascii="Times New Roman" w:hAnsi="Times New Roman" w:cs="Times New Roman"/>
          <w:b/>
          <w:bCs/>
          <w:sz w:val="24"/>
          <w:szCs w:val="24"/>
        </w:rPr>
        <w:t>Red</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Herring</w:t>
      </w:r>
      <w:proofErr w:type="spellEnd"/>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Zu Beginn des zweiten Tages referierte Friedrich Breyer (Universität Konstanz) als Hauptredner zum Thema „Neues vom </w:t>
      </w:r>
      <w:proofErr w:type="spellStart"/>
      <w:r>
        <w:rPr>
          <w:rFonts w:ascii="Times New Roman" w:hAnsi="Times New Roman" w:cs="Times New Roman"/>
          <w:sz w:val="24"/>
          <w:szCs w:val="24"/>
        </w:rPr>
        <w:t>Red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Herring</w:t>
      </w:r>
      <w:proofErr w:type="spellEnd"/>
      <w:r>
        <w:rPr>
          <w:rFonts w:ascii="Times New Roman" w:hAnsi="Times New Roman" w:cs="Times New Roman"/>
          <w:sz w:val="24"/>
          <w:szCs w:val="24"/>
        </w:rPr>
        <w:t>: Alterung und Gesundheitsausgaben in der GKV“. Bezugnehmend auf die vor 20 Jahren in Health Economics veröffentlichten These von Zweifel, Felder und Meier, der zufolge es sich bei dem Einfluss der Alterung auf die Gesundheitsausgaben um einen „</w:t>
      </w:r>
      <w:proofErr w:type="spellStart"/>
      <w:r>
        <w:rPr>
          <w:rFonts w:ascii="Times New Roman" w:hAnsi="Times New Roman" w:cs="Times New Roman"/>
          <w:sz w:val="24"/>
          <w:szCs w:val="24"/>
        </w:rPr>
        <w:t>red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herring</w:t>
      </w:r>
      <w:proofErr w:type="spellEnd"/>
      <w:r>
        <w:rPr>
          <w:rFonts w:ascii="Times New Roman" w:hAnsi="Times New Roman" w:cs="Times New Roman"/>
          <w:sz w:val="24"/>
          <w:szCs w:val="24"/>
        </w:rPr>
        <w:t>“ – also eine falsche Fährte – handelt, berichtete Herr Breyer kurz über die große Zahl an Studien, die sich seither der Analyse der „</w:t>
      </w:r>
      <w:proofErr w:type="spellStart"/>
      <w:r>
        <w:rPr>
          <w:rFonts w:ascii="Times New Roman" w:hAnsi="Times New Roman" w:cs="Times New Roman"/>
          <w:sz w:val="24"/>
          <w:szCs w:val="24"/>
        </w:rPr>
        <w:t>red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herring</w:t>
      </w:r>
      <w:proofErr w:type="spellEnd"/>
      <w:r>
        <w:rPr>
          <w:rFonts w:ascii="Times New Roman" w:hAnsi="Times New Roman" w:cs="Times New Roman"/>
          <w:sz w:val="24"/>
          <w:szCs w:val="24"/>
        </w:rPr>
        <w:t xml:space="preserve">“-Hypothese gewidmet und dabei sehr unterschiedliche Ergebnisse erzielt haben. </w:t>
      </w: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Anschließend stellte er die Ergebnisse empirischer Analysen auf Basis von GKV-Abrechnungsdaten vor, in denen er gemeinsam mit Normann Lorenz (Universität Trier) den Zusammenhang von Alterung und Ausgaben geschätzt und anschließend unter Nutzung der Bevölkerungsvorausberechnung des Statistischen Bundesamts die Entwicklungen der Ausgaben für die Zukunft simuliert hat. </w:t>
      </w: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Die Ergebnisse dieser Untersuchungen legen nahe, dass die demographische Entwicklung sehr wohl einen Einfluss auf die Gesundheitsausgaben haben wird, vor allem wenn dabei auch die Ausgaben für die Pflege mit einbezogen werden, da gerade letztere stark mit dem Alter ansteigen. </w:t>
      </w:r>
    </w:p>
    <w:p>
      <w:pPr>
        <w:spacing w:line="360" w:lineRule="auto"/>
        <w:rPr>
          <w:rFonts w:ascii="Times New Roman" w:hAnsi="Times New Roman" w:cs="Times New Roman"/>
          <w:sz w:val="24"/>
          <w:szCs w:val="24"/>
        </w:rPr>
      </w:pPr>
    </w:p>
    <w:p>
      <w:pPr>
        <w:spacing w:line="360" w:lineRule="auto"/>
        <w:rPr>
          <w:rFonts w:ascii="Times New Roman" w:hAnsi="Times New Roman" w:cs="Times New Roman"/>
          <w:sz w:val="24"/>
          <w:szCs w:val="24"/>
        </w:rPr>
      </w:pPr>
      <w:bookmarkStart w:id="0" w:name="_GoBack"/>
      <w:bookmarkEnd w:id="0"/>
    </w:p>
    <w:p>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Selektionseffekte in der Pflegeversicherung</w:t>
      </w: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Thomas </w:t>
      </w:r>
      <w:proofErr w:type="spellStart"/>
      <w:r>
        <w:rPr>
          <w:rFonts w:ascii="Times New Roman" w:hAnsi="Times New Roman" w:cs="Times New Roman"/>
          <w:sz w:val="24"/>
          <w:szCs w:val="24"/>
        </w:rPr>
        <w:t>Neusius</w:t>
      </w:r>
      <w:proofErr w:type="spellEnd"/>
      <w:r>
        <w:rPr>
          <w:rFonts w:ascii="Times New Roman" w:hAnsi="Times New Roman" w:cs="Times New Roman"/>
          <w:sz w:val="24"/>
          <w:szCs w:val="24"/>
        </w:rPr>
        <w:t xml:space="preserve"> (Wiesbaden Business School) berichtete in seinem Vortrag über mögliche Ursachen des Unterschieds in den Ausgaben je Versicherten zwischen der gesetzlichen und der privaten Pflegeversicherung. Während die gesetzliche Pflegeversicherung derzeit (2017) im Mittel 488,31 Euro pro Versicherten ausgibt, sind es nur 138,29 Euro in der privaten Pflegeversicherung. Dieser Unterschied wird zum Beispiel von der Partei die Linke als Anzeichen für Selektion zwischen den Systemen interpretiert und als Ausgangspunkt für die Forderung eines Ausgleichsmechanismus herangezogen.</w:t>
      </w:r>
    </w:p>
    <w:p>
      <w:pPr>
        <w:spacing w:line="360" w:lineRule="auto"/>
        <w:rPr>
          <w:rFonts w:ascii="Times New Roman" w:hAnsi="Times New Roman" w:cs="Times New Roman"/>
          <w:sz w:val="24"/>
          <w:szCs w:val="24"/>
        </w:rPr>
      </w:pPr>
      <w:r>
        <w:rPr>
          <w:rFonts w:ascii="Times New Roman" w:hAnsi="Times New Roman" w:cs="Times New Roman"/>
          <w:sz w:val="24"/>
          <w:szCs w:val="24"/>
        </w:rPr>
        <w:t>In seiner Studie „</w:t>
      </w:r>
      <w:proofErr w:type="spellStart"/>
      <w:r>
        <w:rPr>
          <w:rFonts w:ascii="Times New Roman" w:hAnsi="Times New Roman" w:cs="Times New Roman"/>
          <w:sz w:val="24"/>
          <w:szCs w:val="24"/>
        </w:rPr>
        <w:t>Inhomogenous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risk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exposure</w:t>
      </w:r>
      <w:proofErr w:type="spellEnd"/>
      <w:r>
        <w:rPr>
          <w:rFonts w:ascii="Times New Roman" w:hAnsi="Times New Roman" w:cs="Times New Roman"/>
          <w:sz w:val="24"/>
          <w:szCs w:val="24"/>
        </w:rPr>
        <w:t xml:space="preserve"> in dual </w:t>
      </w:r>
      <w:proofErr w:type="spellStart"/>
      <w:r>
        <w:rPr>
          <w:rFonts w:ascii="Times New Roman" w:hAnsi="Times New Roman" w:cs="Times New Roman"/>
          <w:sz w:val="24"/>
          <w:szCs w:val="24"/>
        </w:rPr>
        <w:t>insurance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Selection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effects</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Germany’s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long</w:t>
      </w:r>
      <w:proofErr w:type="spellEnd"/>
      <w:r>
        <w:rPr>
          <w:rFonts w:ascii="Times New Roman" w:hAnsi="Times New Roman" w:cs="Times New Roman"/>
          <w:sz w:val="24"/>
          <w:szCs w:val="24"/>
        </w:rPr>
        <w:t xml:space="preserve">-term care </w:t>
      </w:r>
      <w:proofErr w:type="spellStart"/>
      <w:r>
        <w:rPr>
          <w:rFonts w:ascii="Times New Roman" w:hAnsi="Times New Roman" w:cs="Times New Roman"/>
          <w:sz w:val="24"/>
          <w:szCs w:val="24"/>
        </w:rPr>
        <w:t>plans</w:t>
      </w:r>
      <w:proofErr w:type="spellEnd"/>
      <w:r>
        <w:rPr>
          <w:rFonts w:ascii="Times New Roman" w:hAnsi="Times New Roman" w:cs="Times New Roman"/>
          <w:sz w:val="24"/>
          <w:szCs w:val="24"/>
        </w:rPr>
        <w:t xml:space="preserve">” zeigt Herr </w:t>
      </w:r>
      <w:proofErr w:type="spellStart"/>
      <w:r>
        <w:rPr>
          <w:rFonts w:ascii="Times New Roman" w:hAnsi="Times New Roman" w:cs="Times New Roman"/>
          <w:sz w:val="24"/>
          <w:szCs w:val="24"/>
        </w:rPr>
        <w:t>Neusius</w:t>
      </w:r>
      <w:proofErr w:type="spellEnd"/>
      <w:r>
        <w:rPr>
          <w:rFonts w:ascii="Times New Roman" w:hAnsi="Times New Roman" w:cs="Times New Roman"/>
          <w:sz w:val="24"/>
          <w:szCs w:val="24"/>
        </w:rPr>
        <w:t xml:space="preserve"> auf, dass ein Großteil des beobachteten Unterschieds in den Ausgaben auf eine Vernachlässigung der durch die Beihilfe getragenen Kosten für Privatversicherte sowie auf eine unter anderem in Geschlecht und Alter unterschiedliche Zusammensetzung der Versichertengemeinschaften zurückgeführt werden kann. Auf Grundlage dieser Erkenntnisse schlägt er verschiedene Mechanismen zum finanziellen Ausgleich zur Kompensation der unterschiedlichen Risiken vor und untersucht deren Wirkung. Dabei wird deutlich, dass diese Mechanismen zwar heute zu einem Transfer von der privaten an die gesetzliche Versicherung führen, aber langfristig zu Lasten der gesetzlichen Pflegeversicherung gehen würden. Dies lässt sich damit erklären, dass derzeit weniger Versicherte in pflegerelevantem Alter in der privaten Versicherung versichert sind. Ausgleichsmechanismen zwischen den Systemen scheinen aufgrund dieser Ergebnisse nicht langfristig zu einer Stabilisierung der finanziellen Situation des gesetzlichen Versicherungssystems geeignet.</w:t>
      </w:r>
    </w:p>
    <w:p>
      <w:pPr>
        <w:spacing w:line="360" w:lineRule="auto"/>
        <w:rPr>
          <w:rFonts w:ascii="Times New Roman" w:hAnsi="Times New Roman" w:cs="Times New Roman"/>
          <w:sz w:val="24"/>
          <w:szCs w:val="24"/>
        </w:rPr>
      </w:pPr>
    </w:p>
    <w:p>
      <w:pPr>
        <w:tabs>
          <w:tab w:val="left" w:pos="2880"/>
        </w:tabs>
        <w:spacing w:line="360" w:lineRule="auto"/>
        <w:rPr>
          <w:rFonts w:ascii="Times New Roman" w:hAnsi="Times New Roman" w:cs="Times New Roman"/>
          <w:b/>
          <w:bCs/>
          <w:sz w:val="24"/>
          <w:szCs w:val="24"/>
        </w:rPr>
      </w:pPr>
      <w:r>
        <w:rPr>
          <w:rFonts w:ascii="Times New Roman" w:hAnsi="Times New Roman" w:cs="Times New Roman"/>
          <w:b/>
          <w:bCs/>
          <w:sz w:val="24"/>
          <w:szCs w:val="24"/>
        </w:rPr>
        <w:t>Zahlungsbereitschaft für private Pflegezusatzversicherung</w:t>
      </w:r>
    </w:p>
    <w:p>
      <w:pPr>
        <w:tabs>
          <w:tab w:val="left" w:pos="2880"/>
        </w:tabs>
        <w:spacing w:line="360" w:lineRule="auto"/>
        <w:rPr>
          <w:rFonts w:ascii="Times New Roman" w:hAnsi="Times New Roman" w:cs="Times New Roman"/>
          <w:sz w:val="24"/>
          <w:szCs w:val="24"/>
        </w:rPr>
      </w:pPr>
      <w:r>
        <w:rPr>
          <w:rFonts w:ascii="Times New Roman" w:hAnsi="Times New Roman" w:cs="Times New Roman"/>
          <w:sz w:val="24"/>
          <w:szCs w:val="24"/>
        </w:rPr>
        <w:t>Als letzter Vortragender des diesjährigen Workshops stellte Simon Binder (Universität Augsburg) Ergebnisse seines Projekts „</w:t>
      </w:r>
      <w:proofErr w:type="spellStart"/>
      <w:r>
        <w:rPr>
          <w:rFonts w:ascii="Times New Roman" w:hAnsi="Times New Roman" w:cs="Times New Roman"/>
          <w:sz w:val="24"/>
          <w:szCs w:val="24"/>
        </w:rPr>
        <w:t>Willingness</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-Pay </w:t>
      </w:r>
      <w:proofErr w:type="spellStart"/>
      <w:r>
        <w:rPr>
          <w:rFonts w:ascii="Times New Roman" w:hAnsi="Times New Roman" w:cs="Times New Roman"/>
          <w:sz w:val="24"/>
          <w:szCs w:val="24"/>
        </w:rPr>
        <w:t>for</w:t>
      </w:r>
      <w:proofErr w:type="spellEnd"/>
      <w:r>
        <w:rPr>
          <w:rFonts w:ascii="Times New Roman" w:hAnsi="Times New Roman" w:cs="Times New Roman"/>
          <w:sz w:val="24"/>
          <w:szCs w:val="24"/>
        </w:rPr>
        <w:t xml:space="preserve"> Insurance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Nature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Loss – </w:t>
      </w:r>
      <w:proofErr w:type="spellStart"/>
      <w:r>
        <w:rPr>
          <w:rFonts w:ascii="Times New Roman" w:hAnsi="Times New Roman" w:cs="Times New Roman"/>
          <w:sz w:val="24"/>
          <w:szCs w:val="24"/>
        </w:rPr>
        <w:t>Evidence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from</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Framed</w:t>
      </w:r>
      <w:proofErr w:type="spellEnd"/>
      <w:r>
        <w:rPr>
          <w:rFonts w:ascii="Times New Roman" w:hAnsi="Times New Roman" w:cs="Times New Roman"/>
          <w:sz w:val="24"/>
          <w:szCs w:val="24"/>
        </w:rPr>
        <w:t xml:space="preserve"> Laboratory Experiment“ vor. Ausgangspunkt für sein Forschungsvorhaben war die Beobachtung, dass der Markt für private Pflegezusatzversicherung in Deutschland im Vergleich zu anderen gesundheitsbezogenen Zusatzversicherungen, etwa für Zahnersatz, erstaunlich klein ist. Mit Hilfe eines ökonomischen Laborexperiments sollte daher untersucht werden, inwieweit die Art der Zusatzversicherung (Pflege oder Zahnersatz) sowie die erwartete Häufigkeit des Auftretens </w:t>
      </w:r>
      <w:r>
        <w:rPr>
          <w:rFonts w:ascii="Times New Roman" w:hAnsi="Times New Roman" w:cs="Times New Roman"/>
          <w:sz w:val="24"/>
          <w:szCs w:val="24"/>
        </w:rPr>
        <w:lastRenderedPageBreak/>
        <w:t>von Versicherungsfällen (einmalig oder wiederkehrend) die Zahlungsbereitschaft für entsprechende Versicherungsdeckung beeinflussen.</w:t>
      </w:r>
    </w:p>
    <w:p>
      <w:pPr>
        <w:tabs>
          <w:tab w:val="left" w:pos="2880"/>
        </w:tabs>
        <w:spacing w:line="360" w:lineRule="auto"/>
        <w:rPr>
          <w:rFonts w:ascii="Times New Roman" w:hAnsi="Times New Roman" w:cs="Times New Roman"/>
          <w:sz w:val="24"/>
          <w:szCs w:val="24"/>
        </w:rPr>
      </w:pPr>
      <w:r>
        <w:rPr>
          <w:rFonts w:ascii="Times New Roman" w:hAnsi="Times New Roman" w:cs="Times New Roman"/>
          <w:sz w:val="24"/>
          <w:szCs w:val="24"/>
        </w:rPr>
        <w:t xml:space="preserve">Das zugrundeliegende Experiment wurde im Dezember 2018 im Laboratory </w:t>
      </w:r>
      <w:proofErr w:type="spellStart"/>
      <w:r>
        <w:rPr>
          <w:rFonts w:ascii="Times New Roman" w:hAnsi="Times New Roman" w:cs="Times New Roman"/>
          <w:sz w:val="24"/>
          <w:szCs w:val="24"/>
        </w:rPr>
        <w:t>for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Economic</w:t>
      </w:r>
      <w:proofErr w:type="spellEnd"/>
      <w:r>
        <w:rPr>
          <w:rFonts w:ascii="Times New Roman" w:hAnsi="Times New Roman" w:cs="Times New Roman"/>
          <w:sz w:val="24"/>
          <w:szCs w:val="24"/>
        </w:rPr>
        <w:t xml:space="preserve"> Experiments on Human </w:t>
      </w:r>
      <w:proofErr w:type="spellStart"/>
      <w:r>
        <w:rPr>
          <w:rFonts w:ascii="Times New Roman" w:hAnsi="Times New Roman" w:cs="Times New Roman"/>
          <w:sz w:val="24"/>
          <w:szCs w:val="24"/>
        </w:rPr>
        <w:t>Behavior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LEcH</w:t>
      </w:r>
      <w:proofErr w:type="spellEnd"/>
      <w:r>
        <w:rPr>
          <w:rFonts w:ascii="Times New Roman" w:hAnsi="Times New Roman" w:cs="Times New Roman"/>
          <w:sz w:val="24"/>
          <w:szCs w:val="24"/>
        </w:rPr>
        <w:t>) der Universität Augsburg mit 120 Studierenden durchgeführt. Neben den Verhaltensbeobachtungen liegen zahlreiche individuelle Information etwa hinsichtlich sozio-demografischer Charakteristika, gesundheitsrelevantem Verhalten und verschiedener Einstellungsdimensionen, wie beispielsweise unterschiedliche Maße für die Risikoaversion der Teilnehmenden, vor. Erste Ergebnisse der Studie zeigen, dass die Zahlungsbereitschaft bei wiederkehrenden Kosten im Rahmen einer Zahnzusatzversicherung signifikant höher liegt als bei einmaligen Kosten. Dieser zu erwartende Effekt findet sich jedoch nicht im Falle einer Pflegezusatzversicherung. Zudem konnte ein deutlicher Zusammenhang zwischen den einzelnen Zahlungsbereitschaften und verschiedenen Risikomaßen gefunden werden. Weitere mögliche Analysen, wie etwa diverse stratifizierte Betrachtungen, wurden im Anschluss an den Vortrag diskutiert.</w:t>
      </w:r>
    </w:p>
    <w:p>
      <w:pPr>
        <w:tabs>
          <w:tab w:val="left" w:pos="2880"/>
        </w:tabs>
        <w:spacing w:line="360" w:lineRule="auto"/>
        <w:rPr>
          <w:rFonts w:ascii="Times New Roman" w:hAnsi="Times New Roman" w:cs="Times New Roman"/>
          <w:sz w:val="24"/>
          <w:szCs w:val="24"/>
        </w:rPr>
      </w:pPr>
    </w:p>
    <w:p>
      <w:pPr>
        <w:tabs>
          <w:tab w:val="left" w:pos="2880"/>
        </w:tabs>
        <w:spacing w:line="360" w:lineRule="auto"/>
        <w:rPr>
          <w:rFonts w:ascii="Times New Roman" w:hAnsi="Times New Roman" w:cs="Times New Roman"/>
          <w:sz w:val="24"/>
          <w:szCs w:val="24"/>
        </w:rPr>
      </w:pPr>
      <w:r>
        <w:rPr>
          <w:rFonts w:ascii="Times New Roman" w:hAnsi="Times New Roman" w:cs="Times New Roman"/>
          <w:sz w:val="24"/>
          <w:szCs w:val="24"/>
        </w:rPr>
        <w:t>Abschließend dankte der Vorsitzende des Ausschusses, Lars Schwettmann, den Teilnehmenden für die Beiträge und lebhaften Diskussionen sowie Friedrich Breyer und seinem Team für die hervorragende Organisation der Veranstaltung. Der XI. Workshop des Ausschusses wird am 13. und 14. November 2020 an der Martin-Luther-Universität Halle-Wittenberg stattfinden.</w:t>
      </w:r>
    </w:p>
    <w:sectPr>
      <w:footerReference w:type="default" r:id="rId7"/>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8469782"/>
      <w:docPartObj>
        <w:docPartGallery w:val="Page Numbers (Bottom of Page)"/>
        <w:docPartUnique/>
      </w:docPartObj>
    </w:sdtPr>
    <w:sdtContent>
      <w:p>
        <w:pPr>
          <w:pStyle w:val="Fuzeile"/>
          <w:jc w:val="right"/>
        </w:pPr>
        <w:r>
          <w:fldChar w:fldCharType="begin"/>
        </w:r>
        <w:r>
          <w:instrText>PAGE   \* MERGEFORMAT</w:instrText>
        </w:r>
        <w:r>
          <w:fldChar w:fldCharType="separate"/>
        </w:r>
        <w:r>
          <w:rPr>
            <w:noProof/>
          </w:rPr>
          <w:t>8</w:t>
        </w:r>
        <w:r>
          <w:fldChar w:fldCharType="end"/>
        </w:r>
      </w:p>
    </w:sdtContent>
  </w:sdt>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de-DE" w:vendorID="64" w:dllVersion="4096" w:nlCheck="1" w:checkStyle="0"/>
  <w:activeWritingStyle w:appName="MSWord" w:lang="de-DE"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FC1B2589-BC10-4646-80C1-9E2A8FB7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Pr>
      <w:color w:val="0563C1" w:themeColor="hyperlink"/>
      <w:u w:val="single"/>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Kopfzeile">
    <w:name w:val="header"/>
    <w:basedOn w:val="Standard"/>
    <w:link w:val="KopfzeileZchn"/>
    <w:uiPriority w:val="99"/>
    <w:unhideWhenUsed/>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680"/>
        <w:tab w:val="right" w:pos="9360"/>
      </w:tabs>
      <w:spacing w:after="0" w:line="240" w:lineRule="auto"/>
    </w:pPr>
  </w:style>
  <w:style w:type="character" w:customStyle="1" w:styleId="FuzeileZchn">
    <w:name w:val="Fußzeile Zchn"/>
    <w:basedOn w:val="Absatz-Standardschriftart"/>
    <w:link w:val="Fuzeil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172031">
      <w:bodyDiv w:val="1"/>
      <w:marLeft w:val="0"/>
      <w:marRight w:val="0"/>
      <w:marTop w:val="0"/>
      <w:marBottom w:val="0"/>
      <w:divBdr>
        <w:top w:val="none" w:sz="0" w:space="0" w:color="auto"/>
        <w:left w:val="none" w:sz="0" w:space="0" w:color="auto"/>
        <w:bottom w:val="none" w:sz="0" w:space="0" w:color="auto"/>
        <w:right w:val="none" w:sz="0" w:space="0" w:color="auto"/>
      </w:divBdr>
    </w:div>
    <w:div w:id="141512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rs.schwettmann@helmholtz-muenchen.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2426</Words>
  <Characters>13833</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Wuppermann</dc:creator>
  <cp:keywords/>
  <dc:description/>
  <cp:lastModifiedBy>lars.schwettmann</cp:lastModifiedBy>
  <cp:revision>3</cp:revision>
  <dcterms:created xsi:type="dcterms:W3CDTF">2020-04-07T04:44:00Z</dcterms:created>
  <dcterms:modified xsi:type="dcterms:W3CDTF">2020-04-07T04:45:00Z</dcterms:modified>
</cp:coreProperties>
</file>