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SupplementaryMaterial"/>
        <w:rPr>
          <w:b w:val="0"/>
        </w:rPr>
      </w:pPr>
      <w:r>
        <w:t>Supplementary Material</w:t>
      </w:r>
    </w:p>
    <w:p>
      <w:pPr>
        <w:keepNext/>
        <w:rPr>
          <w:rFonts w:cs="Times New Roman"/>
          <w:szCs w:val="24"/>
        </w:rPr>
      </w:pPr>
    </w:p>
    <w:p>
      <w:pPr>
        <w:keepNext/>
        <w:jc w:val="center"/>
        <w:rPr>
          <w:rFonts w:cs="Times New Roman"/>
          <w:szCs w:val="24"/>
        </w:rPr>
      </w:pPr>
      <w:r>
        <w:rPr>
          <w:noProof/>
        </w:rPr>
        <w:drawing>
          <wp:inline distT="0" distB="0" distL="0" distR="0">
            <wp:extent cx="5943600" cy="4084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084320"/>
                    </a:xfrm>
                    <a:prstGeom prst="rect">
                      <a:avLst/>
                    </a:prstGeom>
                  </pic:spPr>
                </pic:pic>
              </a:graphicData>
            </a:graphic>
          </wp:inline>
        </w:drawing>
      </w:r>
    </w:p>
    <w:p>
      <w:pPr>
        <w:keepNext/>
        <w:jc w:val="both"/>
        <w:rPr>
          <w:rFonts w:cs="Times New Roman"/>
          <w:szCs w:val="24"/>
        </w:rPr>
        <w:sectPr>
          <w:headerReference w:type="even" r:id="rId9"/>
          <w:footerReference w:type="even" r:id="rId10"/>
          <w:footerReference w:type="default" r:id="rId11"/>
          <w:headerReference w:type="first" r:id="rId12"/>
          <w:pgSz w:w="12240" w:h="15840"/>
          <w:pgMar w:top="1138" w:right="1181" w:bottom="1138" w:left="1282" w:header="720" w:footer="720" w:gutter="0"/>
          <w:cols w:space="720"/>
          <w:titlePg/>
          <w:docGrid w:linePitch="360"/>
        </w:sectPr>
      </w:pPr>
      <w:r>
        <w:rPr>
          <w:rFonts w:cs="Times New Roman"/>
          <w:b/>
          <w:szCs w:val="24"/>
        </w:rPr>
        <w:t xml:space="preserve">Supplementary Figure </w:t>
      </w:r>
      <w:r>
        <w:rPr>
          <w:rFonts w:cs="Times New Roman"/>
          <w:b/>
          <w:szCs w:val="24"/>
        </w:rPr>
        <w:fldChar w:fldCharType="begin"/>
      </w:r>
      <w:r>
        <w:rPr>
          <w:rFonts w:cs="Times New Roman"/>
          <w:b/>
          <w:szCs w:val="24"/>
        </w:rPr>
        <w:instrText xml:space="preserve"> SEQ Figure \* ARABIC </w:instrText>
      </w:r>
      <w:r>
        <w:rPr>
          <w:rFonts w:cs="Times New Roman"/>
          <w:b/>
          <w:szCs w:val="24"/>
        </w:rPr>
        <w:fldChar w:fldCharType="separate"/>
      </w:r>
      <w:r>
        <w:rPr>
          <w:rFonts w:cs="Times New Roman"/>
          <w:b/>
          <w:noProof/>
          <w:szCs w:val="24"/>
        </w:rPr>
        <w:t>1</w:t>
      </w:r>
      <w:r>
        <w:rPr>
          <w:rFonts w:cs="Times New Roman"/>
          <w:b/>
          <w:szCs w:val="24"/>
        </w:rPr>
        <w:fldChar w:fldCharType="end"/>
      </w:r>
      <w:r>
        <w:rPr>
          <w:rFonts w:cs="Times New Roman"/>
          <w:b/>
          <w:szCs w:val="24"/>
        </w:rPr>
        <w:t>.</w:t>
      </w:r>
      <w:r>
        <w:rPr>
          <w:rFonts w:cs="Times New Roman"/>
          <w:szCs w:val="24"/>
        </w:rPr>
        <w:t xml:space="preserve"> Comparison of the relative abundances of dominant bacterial families and the relative abundances of their sequences related to EPS and LPS formation. Error bars show standard deviations.</w:t>
      </w:r>
    </w:p>
    <w:p>
      <w:pPr>
        <w:keepNext/>
        <w:jc w:val="both"/>
        <w:rPr>
          <w:rFonts w:cs="Times New Roman"/>
          <w:szCs w:val="24"/>
        </w:rPr>
      </w:pPr>
      <w:r>
        <w:rPr>
          <w:noProof/>
        </w:rPr>
        <w:lastRenderedPageBreak/>
        <w:drawing>
          <wp:inline distT="0" distB="0" distL="0" distR="0">
            <wp:extent cx="6208395" cy="449834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08395" cy="4498340"/>
                    </a:xfrm>
                    <a:prstGeom prst="rect">
                      <a:avLst/>
                    </a:prstGeom>
                  </pic:spPr>
                </pic:pic>
              </a:graphicData>
            </a:graphic>
          </wp:inline>
        </w:drawing>
      </w:r>
      <w:bookmarkStart w:id="0" w:name="_GoBack"/>
      <w:bookmarkEnd w:id="0"/>
    </w:p>
    <w:p>
      <w:pPr>
        <w:keepNext/>
        <w:jc w:val="both"/>
        <w:rPr>
          <w:rFonts w:cs="Times New Roman"/>
          <w:szCs w:val="24"/>
        </w:rPr>
        <w:sectPr>
          <w:pgSz w:w="12240" w:h="15840"/>
          <w:pgMar w:top="1138" w:right="1181" w:bottom="1138" w:left="1282" w:header="720" w:footer="720" w:gutter="0"/>
          <w:cols w:space="720"/>
          <w:titlePg/>
          <w:docGrid w:linePitch="360"/>
        </w:sectPr>
      </w:pPr>
      <w:r>
        <w:rPr>
          <w:rFonts w:cs="Times New Roman"/>
          <w:b/>
          <w:szCs w:val="24"/>
        </w:rPr>
        <w:t>Supplementary Figure 2.</w:t>
      </w:r>
      <w:r>
        <w:rPr>
          <w:rFonts w:cs="Times New Roman"/>
          <w:szCs w:val="24"/>
        </w:rPr>
        <w:t xml:space="preserve"> Relative abundances of the ten most dominant phyla. Error bars show standard deviations.</w:t>
      </w:r>
    </w:p>
    <w:p>
      <w:pPr>
        <w:keepNext/>
        <w:jc w:val="both"/>
        <w:rPr>
          <w:rFonts w:cs="Times New Roman"/>
          <w:b/>
          <w:szCs w:val="24"/>
        </w:rPr>
      </w:pPr>
      <w:r>
        <w:rPr>
          <w:noProof/>
        </w:rPr>
        <w:lastRenderedPageBreak/>
        <w:drawing>
          <wp:inline distT="0" distB="0" distL="0" distR="0">
            <wp:extent cx="6208395" cy="4415790"/>
            <wp:effectExtent l="0" t="0" r="190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08395" cy="4415790"/>
                    </a:xfrm>
                    <a:prstGeom prst="rect">
                      <a:avLst/>
                    </a:prstGeom>
                  </pic:spPr>
                </pic:pic>
              </a:graphicData>
            </a:graphic>
          </wp:inline>
        </w:drawing>
      </w:r>
    </w:p>
    <w:p>
      <w:pPr>
        <w:keepNext/>
        <w:jc w:val="both"/>
        <w:rPr>
          <w:rFonts w:cs="Times New Roman"/>
          <w:szCs w:val="24"/>
        </w:rPr>
        <w:sectPr>
          <w:headerReference w:type="even" r:id="rId15"/>
          <w:footerReference w:type="even" r:id="rId16"/>
          <w:footerReference w:type="default" r:id="rId17"/>
          <w:headerReference w:type="first" r:id="rId18"/>
          <w:pgSz w:w="12240" w:h="15840"/>
          <w:pgMar w:top="1138" w:right="1181" w:bottom="1138" w:left="1282" w:header="720" w:footer="720" w:gutter="0"/>
          <w:cols w:space="720"/>
          <w:titlePg/>
          <w:docGrid w:linePitch="360"/>
        </w:sectPr>
      </w:pPr>
      <w:r>
        <w:rPr>
          <w:rFonts w:cs="Times New Roman"/>
          <w:b/>
          <w:szCs w:val="24"/>
        </w:rPr>
        <w:t>Supplementary Figure 3.</w:t>
      </w:r>
      <w:r>
        <w:rPr>
          <w:rFonts w:cs="Times New Roman"/>
          <w:szCs w:val="24"/>
        </w:rPr>
        <w:t xml:space="preserve"> Number of assigned genes related to the formation of EPSs and LPSs depicted as a function of sequencing depth. “F”, “M” and “J” at the beginning of the sample names stand for “Frick”, “Moškanjci” and “Juchowo”, respectively. The following letter “C” or “R” stands for conventional or reduced tillage. The number distinguishes the replicates.</w:t>
      </w:r>
    </w:p>
    <w:p>
      <w:pPr>
        <w:keepNext/>
        <w:jc w:val="both"/>
        <w:rPr>
          <w:rFonts w:cs="Times New Roman"/>
          <w:b/>
          <w:szCs w:val="24"/>
        </w:rPr>
      </w:pPr>
      <w:r>
        <w:rPr>
          <w:rFonts w:cs="Times New Roman"/>
          <w:b/>
          <w:szCs w:val="24"/>
        </w:rPr>
        <w:lastRenderedPageBreak/>
        <w:t xml:space="preserve">Supplementary Table </w:t>
      </w:r>
      <w:r>
        <w:rPr>
          <w:rFonts w:cs="Times New Roman"/>
          <w:b/>
          <w:szCs w:val="24"/>
        </w:rPr>
        <w:fldChar w:fldCharType="begin"/>
      </w:r>
      <w:r>
        <w:rPr>
          <w:rFonts w:cs="Times New Roman"/>
          <w:b/>
          <w:szCs w:val="24"/>
        </w:rPr>
        <w:instrText xml:space="preserve"> SEQ Figure \* ARABIC </w:instrText>
      </w:r>
      <w:r>
        <w:rPr>
          <w:rFonts w:cs="Times New Roman"/>
          <w:b/>
          <w:szCs w:val="24"/>
        </w:rPr>
        <w:fldChar w:fldCharType="separate"/>
      </w:r>
      <w:r>
        <w:rPr>
          <w:rFonts w:cs="Times New Roman"/>
          <w:b/>
          <w:noProof/>
          <w:szCs w:val="24"/>
        </w:rPr>
        <w:t>1</w:t>
      </w:r>
      <w:r>
        <w:rPr>
          <w:rFonts w:cs="Times New Roman"/>
          <w:b/>
          <w:szCs w:val="24"/>
        </w:rPr>
        <w:fldChar w:fldCharType="end"/>
      </w:r>
      <w:r>
        <w:rPr>
          <w:rFonts w:cs="Times New Roman"/>
          <w:b/>
          <w:szCs w:val="24"/>
        </w:rPr>
        <w:t>.</w:t>
      </w:r>
      <w:r>
        <w:rPr>
          <w:rFonts w:cs="Times New Roman"/>
          <w:szCs w:val="24"/>
        </w:rPr>
        <w:t xml:space="preserve"> Details of the raw and filtered sequencing data. “F”, “M” and “J” at the beginning of the sample names stand for “Frick”, “Moškanjci” and “Juchowo”, respectively. The following letter “C” or “R” stands for conventional or reduced tillage. The number distinguishes the replicates.</w:t>
      </w:r>
    </w:p>
    <w:tbl>
      <w:tblPr>
        <w:tblW w:w="0" w:type="auto"/>
        <w:jc w:val="center"/>
        <w:tblLook w:val="04A0" w:firstRow="1" w:lastRow="0" w:firstColumn="1" w:lastColumn="0" w:noHBand="0" w:noVBand="1"/>
      </w:tblPr>
      <w:tblGrid>
        <w:gridCol w:w="2757"/>
        <w:gridCol w:w="1096"/>
        <w:gridCol w:w="1096"/>
        <w:gridCol w:w="1096"/>
        <w:gridCol w:w="1096"/>
        <w:gridCol w:w="1096"/>
        <w:gridCol w:w="1096"/>
      </w:tblGrid>
      <w:tr>
        <w:trPr>
          <w:trHeight w:val="300"/>
          <w:jc w:val="center"/>
        </w:trPr>
        <w:tc>
          <w:tcPr>
            <w:tcW w:w="0" w:type="auto"/>
            <w:gridSpan w:val="7"/>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Frick</w:t>
            </w:r>
          </w:p>
        </w:tc>
      </w:tr>
      <w:tr>
        <w:trPr>
          <w:trHeight w:val="300"/>
          <w:jc w:val="center"/>
        </w:trPr>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Raw data</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FC1</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FC2</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FC3</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FR1</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FR2</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FR3</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Number of reads</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3 666 752</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2 103 714</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1 648 448</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2 516 708</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2 335 156</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2 311 802</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Average length of reads [bp]</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r>
      <w:tr>
        <w:trPr>
          <w:trHeight w:val="300"/>
          <w:jc w:val="center"/>
        </w:trPr>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Filtered data</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Number of reads</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3 666 146</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2 102 832</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1 647 552</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2 516 294</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2 334 850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2 311 356</w:t>
            </w:r>
          </w:p>
        </w:tc>
      </w:tr>
      <w:tr>
        <w:trPr>
          <w:trHeight w:val="300"/>
          <w:jc w:val="center"/>
        </w:trPr>
        <w:tc>
          <w:tcPr>
            <w:tcW w:w="0" w:type="auto"/>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Average length of reads [bp]</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297.71</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293.97</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291.52</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297.59</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297.91</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297.87</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p>
        </w:tc>
        <w:tc>
          <w:tcPr>
            <w:tcW w:w="0" w:type="auto"/>
            <w:tcBorders>
              <w:top w:val="nil"/>
              <w:left w:val="nil"/>
              <w:bottom w:val="nil"/>
              <w:right w:val="nil"/>
            </w:tcBorders>
            <w:shd w:val="clear" w:color="auto" w:fill="auto"/>
            <w:noWrap/>
            <w:vAlign w:val="center"/>
            <w:hideMark/>
          </w:tcPr>
          <w:p>
            <w:pPr>
              <w:spacing w:before="0" w:after="0"/>
              <w:rPr>
                <w:rFonts w:eastAsia="Times New Roman" w:cs="Times New Roman"/>
                <w:sz w:val="20"/>
                <w:szCs w:val="20"/>
              </w:rPr>
            </w:pPr>
          </w:p>
        </w:tc>
        <w:tc>
          <w:tcPr>
            <w:tcW w:w="0" w:type="auto"/>
            <w:tcBorders>
              <w:top w:val="nil"/>
              <w:left w:val="nil"/>
              <w:bottom w:val="nil"/>
              <w:right w:val="nil"/>
            </w:tcBorders>
            <w:shd w:val="clear" w:color="auto" w:fill="auto"/>
            <w:noWrap/>
            <w:vAlign w:val="center"/>
            <w:hideMark/>
          </w:tcPr>
          <w:p>
            <w:pPr>
              <w:spacing w:before="0" w:after="0"/>
              <w:rPr>
                <w:rFonts w:eastAsia="Times New Roman" w:cs="Times New Roman"/>
                <w:sz w:val="20"/>
                <w:szCs w:val="20"/>
              </w:rPr>
            </w:pPr>
          </w:p>
        </w:tc>
        <w:tc>
          <w:tcPr>
            <w:tcW w:w="0" w:type="auto"/>
            <w:tcBorders>
              <w:top w:val="nil"/>
              <w:left w:val="nil"/>
              <w:bottom w:val="nil"/>
              <w:right w:val="nil"/>
            </w:tcBorders>
            <w:shd w:val="clear" w:color="auto" w:fill="auto"/>
            <w:noWrap/>
            <w:vAlign w:val="center"/>
            <w:hideMark/>
          </w:tcPr>
          <w:p>
            <w:pPr>
              <w:spacing w:before="0" w:after="0"/>
              <w:rPr>
                <w:rFonts w:eastAsia="Times New Roman" w:cs="Times New Roman"/>
                <w:sz w:val="20"/>
                <w:szCs w:val="20"/>
              </w:rPr>
            </w:pPr>
          </w:p>
        </w:tc>
        <w:tc>
          <w:tcPr>
            <w:tcW w:w="0" w:type="auto"/>
            <w:tcBorders>
              <w:top w:val="nil"/>
              <w:left w:val="nil"/>
              <w:bottom w:val="nil"/>
              <w:right w:val="nil"/>
            </w:tcBorders>
            <w:shd w:val="clear" w:color="auto" w:fill="auto"/>
            <w:noWrap/>
            <w:vAlign w:val="center"/>
            <w:hideMark/>
          </w:tcPr>
          <w:p>
            <w:pPr>
              <w:spacing w:before="0" w:after="0"/>
              <w:rPr>
                <w:rFonts w:eastAsia="Times New Roman" w:cs="Times New Roman"/>
                <w:sz w:val="20"/>
                <w:szCs w:val="20"/>
              </w:rPr>
            </w:pPr>
          </w:p>
        </w:tc>
        <w:tc>
          <w:tcPr>
            <w:tcW w:w="0" w:type="auto"/>
            <w:tcBorders>
              <w:top w:val="nil"/>
              <w:left w:val="nil"/>
              <w:bottom w:val="nil"/>
              <w:right w:val="nil"/>
            </w:tcBorders>
            <w:shd w:val="clear" w:color="auto" w:fill="auto"/>
            <w:noWrap/>
            <w:vAlign w:val="center"/>
            <w:hideMark/>
          </w:tcPr>
          <w:p>
            <w:pPr>
              <w:spacing w:before="0" w:after="0"/>
              <w:rPr>
                <w:rFonts w:eastAsia="Times New Roman" w:cs="Times New Roman"/>
                <w:sz w:val="20"/>
                <w:szCs w:val="20"/>
              </w:rPr>
            </w:pPr>
          </w:p>
        </w:tc>
        <w:tc>
          <w:tcPr>
            <w:tcW w:w="0" w:type="auto"/>
            <w:tcBorders>
              <w:top w:val="nil"/>
              <w:left w:val="nil"/>
              <w:bottom w:val="nil"/>
              <w:right w:val="nil"/>
            </w:tcBorders>
            <w:shd w:val="clear" w:color="auto" w:fill="auto"/>
            <w:noWrap/>
            <w:vAlign w:val="center"/>
            <w:hideMark/>
          </w:tcPr>
          <w:p>
            <w:pPr>
              <w:spacing w:before="0" w:after="0"/>
              <w:rPr>
                <w:rFonts w:eastAsia="Times New Roman" w:cs="Times New Roman"/>
                <w:sz w:val="20"/>
                <w:szCs w:val="20"/>
              </w:rPr>
            </w:pPr>
          </w:p>
        </w:tc>
      </w:tr>
      <w:tr>
        <w:trPr>
          <w:trHeight w:val="300"/>
          <w:jc w:val="center"/>
        </w:trPr>
        <w:tc>
          <w:tcPr>
            <w:tcW w:w="0" w:type="auto"/>
            <w:gridSpan w:val="7"/>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Moškanjci</w:t>
            </w:r>
          </w:p>
        </w:tc>
      </w:tr>
      <w:tr>
        <w:trPr>
          <w:trHeight w:val="300"/>
          <w:jc w:val="center"/>
        </w:trPr>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Raw data</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MC1</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MC2</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MC3</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MR1</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MR2</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MR3</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Number of reads</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3 381 440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2 009 488</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2 860 256</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3 701 668</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2 644 092</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2 913 230</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Average length of reads [bp]</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r>
      <w:tr>
        <w:trPr>
          <w:trHeight w:val="300"/>
          <w:jc w:val="center"/>
        </w:trPr>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Filtered data</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Number of reads</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3 380 688</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2 009 194</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2 859 498</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3 701 194</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2 643 614</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2 912 892</w:t>
            </w:r>
          </w:p>
        </w:tc>
      </w:tr>
      <w:tr>
        <w:trPr>
          <w:trHeight w:val="300"/>
          <w:jc w:val="center"/>
        </w:trPr>
        <w:tc>
          <w:tcPr>
            <w:tcW w:w="0" w:type="auto"/>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Average length of reads [bp]</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297.72</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297.17</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298.04</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297.98</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297.94</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298.12</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p>
        </w:tc>
        <w:tc>
          <w:tcPr>
            <w:tcW w:w="0" w:type="auto"/>
            <w:tcBorders>
              <w:top w:val="nil"/>
              <w:left w:val="nil"/>
              <w:bottom w:val="nil"/>
              <w:right w:val="nil"/>
            </w:tcBorders>
            <w:shd w:val="clear" w:color="auto" w:fill="auto"/>
            <w:noWrap/>
            <w:vAlign w:val="center"/>
            <w:hideMark/>
          </w:tcPr>
          <w:p>
            <w:pPr>
              <w:spacing w:before="0" w:after="0"/>
              <w:rPr>
                <w:rFonts w:eastAsia="Times New Roman" w:cs="Times New Roman"/>
                <w:sz w:val="20"/>
                <w:szCs w:val="20"/>
              </w:rPr>
            </w:pPr>
          </w:p>
        </w:tc>
        <w:tc>
          <w:tcPr>
            <w:tcW w:w="0" w:type="auto"/>
            <w:tcBorders>
              <w:top w:val="nil"/>
              <w:left w:val="nil"/>
              <w:bottom w:val="nil"/>
              <w:right w:val="nil"/>
            </w:tcBorders>
            <w:shd w:val="clear" w:color="auto" w:fill="auto"/>
            <w:noWrap/>
            <w:vAlign w:val="center"/>
            <w:hideMark/>
          </w:tcPr>
          <w:p>
            <w:pPr>
              <w:spacing w:before="0" w:after="0"/>
              <w:rPr>
                <w:rFonts w:eastAsia="Times New Roman" w:cs="Times New Roman"/>
                <w:sz w:val="20"/>
                <w:szCs w:val="20"/>
              </w:rPr>
            </w:pPr>
          </w:p>
        </w:tc>
        <w:tc>
          <w:tcPr>
            <w:tcW w:w="0" w:type="auto"/>
            <w:tcBorders>
              <w:top w:val="nil"/>
              <w:left w:val="nil"/>
              <w:bottom w:val="nil"/>
              <w:right w:val="nil"/>
            </w:tcBorders>
            <w:shd w:val="clear" w:color="auto" w:fill="auto"/>
            <w:noWrap/>
            <w:vAlign w:val="center"/>
            <w:hideMark/>
          </w:tcPr>
          <w:p>
            <w:pPr>
              <w:spacing w:before="0" w:after="0"/>
              <w:rPr>
                <w:rFonts w:eastAsia="Times New Roman" w:cs="Times New Roman"/>
                <w:sz w:val="20"/>
                <w:szCs w:val="20"/>
              </w:rPr>
            </w:pPr>
          </w:p>
        </w:tc>
        <w:tc>
          <w:tcPr>
            <w:tcW w:w="0" w:type="auto"/>
            <w:tcBorders>
              <w:top w:val="nil"/>
              <w:left w:val="nil"/>
              <w:bottom w:val="nil"/>
              <w:right w:val="nil"/>
            </w:tcBorders>
            <w:shd w:val="clear" w:color="auto" w:fill="auto"/>
            <w:noWrap/>
            <w:vAlign w:val="center"/>
            <w:hideMark/>
          </w:tcPr>
          <w:p>
            <w:pPr>
              <w:spacing w:before="0" w:after="0"/>
              <w:rPr>
                <w:rFonts w:eastAsia="Times New Roman" w:cs="Times New Roman"/>
                <w:sz w:val="20"/>
                <w:szCs w:val="20"/>
              </w:rPr>
            </w:pPr>
          </w:p>
        </w:tc>
        <w:tc>
          <w:tcPr>
            <w:tcW w:w="0" w:type="auto"/>
            <w:tcBorders>
              <w:top w:val="nil"/>
              <w:left w:val="nil"/>
              <w:bottom w:val="nil"/>
              <w:right w:val="nil"/>
            </w:tcBorders>
            <w:shd w:val="clear" w:color="auto" w:fill="auto"/>
            <w:noWrap/>
            <w:vAlign w:val="center"/>
            <w:hideMark/>
          </w:tcPr>
          <w:p>
            <w:pPr>
              <w:spacing w:before="0" w:after="0"/>
              <w:rPr>
                <w:rFonts w:eastAsia="Times New Roman" w:cs="Times New Roman"/>
                <w:sz w:val="20"/>
                <w:szCs w:val="20"/>
              </w:rPr>
            </w:pPr>
          </w:p>
        </w:tc>
        <w:tc>
          <w:tcPr>
            <w:tcW w:w="0" w:type="auto"/>
            <w:tcBorders>
              <w:top w:val="nil"/>
              <w:left w:val="nil"/>
              <w:bottom w:val="nil"/>
              <w:right w:val="nil"/>
            </w:tcBorders>
            <w:shd w:val="clear" w:color="auto" w:fill="auto"/>
            <w:noWrap/>
            <w:vAlign w:val="center"/>
            <w:hideMark/>
          </w:tcPr>
          <w:p>
            <w:pPr>
              <w:spacing w:before="0" w:after="0"/>
              <w:rPr>
                <w:rFonts w:eastAsia="Times New Roman" w:cs="Times New Roman"/>
                <w:sz w:val="20"/>
                <w:szCs w:val="20"/>
              </w:rPr>
            </w:pPr>
          </w:p>
        </w:tc>
      </w:tr>
      <w:tr>
        <w:trPr>
          <w:trHeight w:val="300"/>
          <w:jc w:val="center"/>
        </w:trPr>
        <w:tc>
          <w:tcPr>
            <w:tcW w:w="0" w:type="auto"/>
            <w:gridSpan w:val="7"/>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Juchowo</w:t>
            </w:r>
          </w:p>
        </w:tc>
      </w:tr>
      <w:tr>
        <w:trPr>
          <w:trHeight w:val="300"/>
          <w:jc w:val="center"/>
        </w:trPr>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Raw data</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JC1</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JC2</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JC3</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JR1</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JR2</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JR3</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Number of reads</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3 270 470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2 402 428</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2 856 936</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3 058 810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2 678 352</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3 178 412</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Average length of reads [bp]</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301.00</w:t>
            </w:r>
          </w:p>
        </w:tc>
      </w:tr>
      <w:tr>
        <w:trPr>
          <w:trHeight w:val="300"/>
          <w:jc w:val="center"/>
        </w:trPr>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Filtered data</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c>
          <w:tcPr>
            <w:tcW w:w="0" w:type="auto"/>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Number of reads</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3 269 872</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2 401 852</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2 856 422</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3 058 184</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2 677 828</w:t>
            </w:r>
          </w:p>
        </w:tc>
        <w:tc>
          <w:tcPr>
            <w:tcW w:w="0" w:type="auto"/>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3 177 714</w:t>
            </w:r>
          </w:p>
        </w:tc>
      </w:tr>
      <w:tr>
        <w:trPr>
          <w:trHeight w:val="300"/>
          <w:jc w:val="center"/>
        </w:trPr>
        <w:tc>
          <w:tcPr>
            <w:tcW w:w="0" w:type="auto"/>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Average length of reads [bp]</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297.81</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297.76</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297.91</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297.51</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297.64</w:t>
            </w:r>
          </w:p>
        </w:tc>
        <w:tc>
          <w:tcPr>
            <w:tcW w:w="0" w:type="auto"/>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297.55</w:t>
            </w:r>
          </w:p>
        </w:tc>
      </w:tr>
    </w:tbl>
    <w:p>
      <w:pPr>
        <w:spacing w:before="240"/>
        <w:rPr>
          <w:rFonts w:cs="Times New Roman"/>
          <w:szCs w:val="24"/>
        </w:rPr>
        <w:sectPr>
          <w:pgSz w:w="12240" w:h="15840"/>
          <w:pgMar w:top="1138" w:right="1181" w:bottom="1138" w:left="1282" w:header="720" w:footer="720" w:gutter="0"/>
          <w:cols w:space="720"/>
          <w:titlePg/>
          <w:docGrid w:linePitch="360"/>
        </w:sectPr>
      </w:pPr>
    </w:p>
    <w:p>
      <w:pPr>
        <w:spacing w:before="240"/>
        <w:jc w:val="both"/>
        <w:rPr>
          <w:rFonts w:cs="Times New Roman"/>
          <w:szCs w:val="24"/>
        </w:rPr>
      </w:pPr>
      <w:r>
        <w:rPr>
          <w:rFonts w:cs="Times New Roman"/>
          <w:b/>
          <w:szCs w:val="24"/>
        </w:rPr>
        <w:lastRenderedPageBreak/>
        <w:t>Supplementary Table 2.</w:t>
      </w:r>
      <w:r>
        <w:rPr>
          <w:rFonts w:cs="Times New Roman"/>
          <w:szCs w:val="24"/>
        </w:rPr>
        <w:t xml:space="preserve"> Bacterial families whose relative abundances and potential to produce EPSs or LPSs were significantly affected by soil trial, tillage or their interaction. Significant differences were determined by a robust 2-way ANOVA (n = 3, p &lt; 0.05).</w:t>
      </w:r>
    </w:p>
    <w:tbl>
      <w:tblPr>
        <w:tblW w:w="12960" w:type="dxa"/>
        <w:jc w:val="center"/>
        <w:tblLook w:val="04A0" w:firstRow="1" w:lastRow="0" w:firstColumn="1" w:lastColumn="0" w:noHBand="0" w:noVBand="1"/>
      </w:tblPr>
      <w:tblGrid>
        <w:gridCol w:w="709"/>
        <w:gridCol w:w="9497"/>
        <w:gridCol w:w="2754"/>
      </w:tblGrid>
      <w:tr>
        <w:trPr>
          <w:trHeight w:val="300"/>
          <w:jc w:val="center"/>
        </w:trPr>
        <w:tc>
          <w:tcPr>
            <w:tcW w:w="709" w:type="dxa"/>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color w:val="000000"/>
                <w:sz w:val="16"/>
                <w:szCs w:val="16"/>
              </w:rPr>
              <w:t>Factor</w:t>
            </w:r>
          </w:p>
        </w:tc>
        <w:tc>
          <w:tcPr>
            <w:tcW w:w="9497" w:type="dxa"/>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color w:val="000000"/>
                <w:sz w:val="16"/>
                <w:szCs w:val="16"/>
              </w:rPr>
              <w:t>Families whose abundance was affected</w:t>
            </w:r>
          </w:p>
        </w:tc>
        <w:tc>
          <w:tcPr>
            <w:tcW w:w="2754" w:type="dxa"/>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color w:val="000000"/>
                <w:sz w:val="16"/>
                <w:szCs w:val="16"/>
              </w:rPr>
              <w:t>Families whose potential to produce EPS or LPS was affected</w:t>
            </w:r>
          </w:p>
        </w:tc>
      </w:tr>
      <w:tr>
        <w:trPr>
          <w:trHeight w:val="300"/>
          <w:jc w:val="center"/>
        </w:trPr>
        <w:tc>
          <w:tcPr>
            <w:tcW w:w="709"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color w:val="000000"/>
                <w:sz w:val="16"/>
                <w:szCs w:val="16"/>
              </w:rPr>
              <w:t>Trial</w:t>
            </w:r>
          </w:p>
        </w:tc>
        <w:tc>
          <w:tcPr>
            <w:tcW w:w="9497"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i/>
                <w:color w:val="000000"/>
                <w:sz w:val="16"/>
                <w:szCs w:val="16"/>
              </w:rPr>
              <w:t>Acaryochloridaceae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Acetobacteraceae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Acidiferrobacteraceae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Acidimicrobiaceae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Acidobacteriaceae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Acidothermaceae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Actinopolysporaceae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Actinospicaceae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Aerococcaceae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Aeromonadaceae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Akkermansiaceae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Alcaligenaceae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Alteromonadaceae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Amoebophilaceae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Anaerolineaceae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Anaeromyxobacteraceae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Aphanothecaceae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Aquificaceae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Archangiaceae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Ardenticatenaceae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Aurantimonadaceae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Bacillaceae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Bacteriovoracaceae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Bacteroidaceae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Balneolaceae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Bdellovibrionaceae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Beijerinckiaceae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Beutenbergiaceae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Bogoriellaceae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Bradyrhizobiaceae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Brevibacteriaceae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Brevinemataceae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Brucellaceae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Caldilineaceae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Campylobacteraceae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Candidatus</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Actinomarinaceae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Candidatus</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Brocadiaceae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Candidatus</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Desulfofervidaceae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Candidatus</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Midichloriaceae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Cardiobacteriaceae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Carnobacteriaceae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Catalimonadaceae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Catenulisporaceae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Cellulomonadaceae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Cellvibrionaceae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Chamaesiphonaceae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Chitinophagaceae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Chlorobiaceae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Chlorogloeopsidaceae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Chromobacteriaceae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Chroococcaceae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Chroococcidiopsidaceae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Chrysiogenaceae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Chthoniobacteraceae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Chthonomonadaceae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Clostridiaceae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Coleofasciculaceae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Colwelliaceae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Comamonadaceae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Competibacteraceae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Conexibacteraceae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Corynebacteriaceae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Coxiellaceae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Crocinitomicaceae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Cryomorphaceae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Cryptosporangiaceae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Cyanothecaceae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Cyclobacteriaceae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Cytophagaceae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Dermacoccaceae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Desulfobacteraceae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Desulfobulbaceae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Desulfohalobiaceae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Desulfomicrobiaceae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Desulfovibrionaceae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Desulfuromonadaceae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Dietziaceae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Ectothiorhodospiraceae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Enterobacteriaceae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Enterococcaceae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Erwiniaceae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Erysipelotrichaceae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Erythrobacteraceae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Eubacteriaceae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Ferrimonadaceae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Fibrobacteraceae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Fimbriimonadaceae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Flammeovirgaceae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Flavobacteriaceae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Frankiaceae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Fusobacteriaceae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Gaiellaceae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Gallionellaceae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Gemmataceae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Gemmatimonadaceae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Geobacteraceae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Geodermatophilaceae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Gomontiellaceae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Gordoniaceae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Hahellaceae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Halobacteriovoraceae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Hapalosiphonaceae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Helicobacteraceae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Herpetosiphonaceae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Holophagaceae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Hydrogenophilaceae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Hyellaceae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Hymenobacteraceae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Hyphomicrobiaceae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Idiomarinaceae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Ignavibacteriaceae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Immundisolibacteraceae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Intrasporangiaceae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Isosphaeraceae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Jiangellaceae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Jonesiaceae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Kangiellaceae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Kineosporiaceae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Kiritimatiellaceae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Kofleriaceae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Ktedonobacteraceae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Lachnospiraceae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Legionellaceae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Lentimicrobiaceae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Lentisphaeraceae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Leptolyngbyaceae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Leptospiraceae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Magnetococcaceae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Marinifilaceae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Marinilabiliaceae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Melioribacteraceae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Methylococcaceae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Methylocystaceae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Methylophilaceae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Methylothermaceae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Microbulbiferaceae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Micrococcaceae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Microcoleaceae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Micropepsaceae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Microthrixaceae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Moraxellaceae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Moritellaceae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Mycoplasmataceae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Myxococcaceae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Nakamurellaceae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Nannocystaceae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Nitriliruptoraceae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Nitrosomonadaceae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Nitrospinaceae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Nitrospiraceae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Nocardiaceae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Nocardiopsaceae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Nostocaceae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Oceanospirillaceae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Odoribacteraceae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Oleiphilaceae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Opitutaceae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Orbaceae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Oscillatoriaceae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Oscillospiraceae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Oxalobacteraceae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Pasteurellaceae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Patulibacteraceae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Pectobacteriaceae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Peptococcaceae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Peptoniphilaceae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Persicobacteraceae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Phycisphaeraceae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Phyllobacteriaceae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Piscirickettsiaceae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Planctomycetaceae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Polyangiaceae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Porphyromonadaceae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Porticoccaceae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Prevotellaceae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Prolixibacteraceae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Propionibacteriaceae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Pseudoalteromonadaceae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Pseudomonadaceae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Pseudonocardiaceae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Psychromonadaceae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Puniceicoccaceae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Rhizobiaceae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Rhodanobacteraceae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Rhodobiaceae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Rhodocyclaceae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Rhodospirillaceae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Rhodothermaceae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Rickettsiaceae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Rikenellaceae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Ruaniaceae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Rubritaleaceae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Rubrobacteraceae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Ruminococcaceae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Saccharospirillaceae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Sandaracinaceae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Sanguibacteraceae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Saprospiraceae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Schleiferiaceae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Scytonemataceae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Shewanellaceae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Solibacteraceae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Solirubrobacteraceae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Sphingobacteriaceae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Sphingomonadaceae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Spirochaetaceae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Spongiibacteraceae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Sporichthyaceae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Streptococcaceae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Streptosporangiaceae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Succinivibrionaceae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Sutterellaceae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Symphyonemataceae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Synechococcaceae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Synergistaceae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Syntrophaceae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Syntrophobacteraceae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Syntrophorhabdaceae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Thermaceae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Thermoanaerobacteraceae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Thermoanaerobacterales</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Family</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IV.</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Incertae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Sedis</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Thermomonosporaceae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Thermonemataceae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Thiotrichaceae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Tolypothrichaceae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Trueperaceae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Tsukamurellaceae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Verrucomicrobia</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subdivision</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3</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Verrucomicrobia</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subdivision</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6</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Verrucomicrobiaceae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Vibrionaceae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Vulgatibacteraceae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Wenzhouxiangellaceae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Williamsiaceae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Woeseiaceae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Xanthobacteraceae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Xenococcaceae</w:t>
            </w:r>
          </w:p>
        </w:tc>
        <w:tc>
          <w:tcPr>
            <w:tcW w:w="2754"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i/>
                <w:color w:val="000000"/>
                <w:sz w:val="16"/>
                <w:szCs w:val="16"/>
              </w:rPr>
              <w:t>Acidobacteriaceae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Bdellovibrionaceae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Bradyrhizobiaceae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Comamonadaceae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Ectothiorhodospiraceae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Gemmatimonadaceae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Hyphomicrobiaceae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Micrococcaceae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Nocardiaceae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Opitutaceae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Sinobacteraceae</w:t>
            </w:r>
          </w:p>
        </w:tc>
      </w:tr>
      <w:tr>
        <w:trPr>
          <w:trHeight w:val="300"/>
          <w:jc w:val="center"/>
        </w:trPr>
        <w:tc>
          <w:tcPr>
            <w:tcW w:w="709" w:type="dxa"/>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color w:val="000000"/>
                <w:sz w:val="16"/>
                <w:szCs w:val="16"/>
              </w:rPr>
              <w:t>Tillage</w:t>
            </w:r>
          </w:p>
        </w:tc>
        <w:tc>
          <w:tcPr>
            <w:tcW w:w="9497" w:type="dxa"/>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i/>
                <w:color w:val="000000"/>
                <w:sz w:val="16"/>
                <w:szCs w:val="16"/>
              </w:rPr>
            </w:pPr>
            <w:r>
              <w:rPr>
                <w:rFonts w:ascii="Calibri" w:eastAsia="Times New Roman" w:hAnsi="Calibri" w:cs="Times New Roman"/>
                <w:i/>
                <w:color w:val="000000"/>
                <w:sz w:val="16"/>
                <w:szCs w:val="16"/>
              </w:rPr>
              <w:t>Glycomycetaceae</w:t>
            </w:r>
          </w:p>
        </w:tc>
        <w:tc>
          <w:tcPr>
            <w:tcW w:w="2754" w:type="dxa"/>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color w:val="000000"/>
                <w:sz w:val="16"/>
                <w:szCs w:val="16"/>
              </w:rPr>
              <w:t>-</w:t>
            </w:r>
          </w:p>
        </w:tc>
      </w:tr>
      <w:tr>
        <w:trPr>
          <w:trHeight w:val="300"/>
          <w:jc w:val="center"/>
        </w:trPr>
        <w:tc>
          <w:tcPr>
            <w:tcW w:w="709"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color w:val="000000"/>
                <w:sz w:val="16"/>
                <w:szCs w:val="16"/>
              </w:rPr>
              <w:t>Trial + tillage</w:t>
            </w:r>
          </w:p>
        </w:tc>
        <w:tc>
          <w:tcPr>
            <w:tcW w:w="9497"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i/>
                <w:color w:val="000000"/>
                <w:sz w:val="16"/>
                <w:szCs w:val="16"/>
              </w:rPr>
              <w:t>Dermatophilaceae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Micromonosporaceae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Mycobacteriaceae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Nocardioidaceae</w:t>
            </w:r>
          </w:p>
        </w:tc>
        <w:tc>
          <w:tcPr>
            <w:tcW w:w="2754"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color w:val="000000"/>
                <w:sz w:val="16"/>
                <w:szCs w:val="16"/>
              </w:rPr>
              <w:t>-</w:t>
            </w:r>
          </w:p>
        </w:tc>
      </w:tr>
      <w:tr>
        <w:trPr>
          <w:trHeight w:val="300"/>
          <w:jc w:val="center"/>
        </w:trPr>
        <w:tc>
          <w:tcPr>
            <w:tcW w:w="709" w:type="dxa"/>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color w:val="000000"/>
                <w:sz w:val="16"/>
                <w:szCs w:val="16"/>
              </w:rPr>
              <w:t>Trial x tillage</w:t>
            </w:r>
          </w:p>
        </w:tc>
        <w:tc>
          <w:tcPr>
            <w:tcW w:w="9497" w:type="dxa"/>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i/>
                <w:color w:val="000000"/>
                <w:sz w:val="16"/>
                <w:szCs w:val="16"/>
              </w:rPr>
              <w:t>Acidaminococcaceae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Chromatiaceae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Halieaceae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Halobacteroidaceae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Halomonadaceae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Methylobacteriaceae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Parvularculaceae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Sphaerobacteraceae</w:t>
            </w:r>
          </w:p>
        </w:tc>
        <w:tc>
          <w:tcPr>
            <w:tcW w:w="2754" w:type="dxa"/>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16"/>
                <w:szCs w:val="16"/>
              </w:rPr>
            </w:pPr>
            <w:r>
              <w:rPr>
                <w:rFonts w:ascii="Calibri" w:eastAsia="Times New Roman" w:hAnsi="Calibri" w:cs="Times New Roman"/>
                <w:i/>
                <w:color w:val="000000"/>
                <w:sz w:val="16"/>
                <w:szCs w:val="16"/>
              </w:rPr>
              <w:t>Balneolaceae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Halieaceae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Mariprofundaceae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Oxalobacteraceae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Prolixibacteraceae</w:t>
            </w:r>
            <w:r>
              <w:rPr>
                <w:rFonts w:ascii="Calibri" w:eastAsia="Times New Roman" w:hAnsi="Calibri" w:cs="Times New Roman"/>
                <w:color w:val="000000"/>
                <w:sz w:val="16"/>
                <w:szCs w:val="16"/>
              </w:rPr>
              <w:t xml:space="preserve">, </w:t>
            </w:r>
            <w:r>
              <w:rPr>
                <w:rFonts w:ascii="Calibri" w:eastAsia="Times New Roman" w:hAnsi="Calibri" w:cs="Times New Roman"/>
                <w:i/>
                <w:color w:val="000000"/>
                <w:sz w:val="16"/>
                <w:szCs w:val="16"/>
              </w:rPr>
              <w:t>Rhodospirillaceae</w:t>
            </w:r>
          </w:p>
        </w:tc>
      </w:tr>
    </w:tbl>
    <w:p>
      <w:pPr>
        <w:spacing w:before="240"/>
        <w:sectPr>
          <w:pgSz w:w="15840" w:h="12240" w:orient="landscape"/>
          <w:pgMar w:top="1282" w:right="1138" w:bottom="1181" w:left="1138" w:header="720" w:footer="720" w:gutter="0"/>
          <w:cols w:space="720"/>
          <w:titlePg/>
          <w:docGrid w:linePitch="360"/>
        </w:sectPr>
      </w:pPr>
    </w:p>
    <w:p>
      <w:pPr>
        <w:spacing w:before="240"/>
        <w:jc w:val="both"/>
        <w:rPr>
          <w:rFonts w:cs="Times New Roman"/>
          <w:szCs w:val="24"/>
        </w:rPr>
      </w:pPr>
      <w:r>
        <w:rPr>
          <w:rFonts w:cs="Times New Roman"/>
          <w:b/>
          <w:szCs w:val="24"/>
        </w:rPr>
        <w:lastRenderedPageBreak/>
        <w:t>Supplementary Table 3.</w:t>
      </w:r>
      <w:r>
        <w:rPr>
          <w:rFonts w:cs="Times New Roman"/>
          <w:szCs w:val="24"/>
        </w:rPr>
        <w:t xml:space="preserve"> Influence of soil trial, tillage and their interaction on the relative abundances of the dominant bacterial families, as determined by a robust 2-way ANOVA. Effect sizes (ω</w:t>
      </w:r>
      <w:r>
        <w:rPr>
          <w:rFonts w:cs="Times New Roman"/>
          <w:szCs w:val="24"/>
          <w:vertAlign w:val="superscript"/>
        </w:rPr>
        <w:t>2</w:t>
      </w:r>
      <w:r>
        <w:rPr>
          <w:rFonts w:cs="Times New Roman"/>
          <w:szCs w:val="24"/>
        </w:rPr>
        <w:t>) and significance levels were calculated based on triplicates (n = 3). Significance levels are represented by the amount of stars: 1 – p &lt; 0.05, 2 – p &lt; 0.01, 3 – p &lt; 0.001.</w:t>
      </w:r>
    </w:p>
    <w:tbl>
      <w:tblPr>
        <w:tblW w:w="0" w:type="auto"/>
        <w:jc w:val="center"/>
        <w:tblLook w:val="04A0" w:firstRow="1" w:lastRow="0" w:firstColumn="1" w:lastColumn="0" w:noHBand="0" w:noVBand="1"/>
      </w:tblPr>
      <w:tblGrid>
        <w:gridCol w:w="2200"/>
        <w:gridCol w:w="607"/>
        <w:gridCol w:w="545"/>
        <w:gridCol w:w="607"/>
        <w:gridCol w:w="545"/>
        <w:gridCol w:w="817"/>
        <w:gridCol w:w="562"/>
      </w:tblGrid>
      <w:tr>
        <w:trPr>
          <w:trHeight w:val="300"/>
          <w:jc w:val="center"/>
        </w:trPr>
        <w:tc>
          <w:tcPr>
            <w:tcW w:w="0" w:type="auto"/>
            <w:gridSpan w:val="7"/>
            <w:tcBorders>
              <w:top w:val="nil"/>
              <w:left w:val="nil"/>
              <w:bottom w:val="nil"/>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Robust ANOVA (effect sizes and significance levels)</w:t>
            </w:r>
          </w:p>
        </w:tc>
      </w:tr>
      <w:tr>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Family</w:t>
            </w:r>
          </w:p>
        </w:tc>
        <w:tc>
          <w:tcPr>
            <w:tcW w:w="0" w:type="auto"/>
            <w:gridSpan w:val="2"/>
            <w:tcBorders>
              <w:top w:val="single" w:sz="4" w:space="0" w:color="auto"/>
              <w:left w:val="nil"/>
              <w:bottom w:val="single" w:sz="4" w:space="0" w:color="auto"/>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Trial</w:t>
            </w:r>
          </w:p>
        </w:tc>
        <w:tc>
          <w:tcPr>
            <w:tcW w:w="0" w:type="auto"/>
            <w:gridSpan w:val="2"/>
            <w:tcBorders>
              <w:top w:val="single" w:sz="4" w:space="0" w:color="auto"/>
              <w:left w:val="nil"/>
              <w:bottom w:val="single" w:sz="4" w:space="0" w:color="auto"/>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Tillage</w:t>
            </w:r>
          </w:p>
        </w:tc>
        <w:tc>
          <w:tcPr>
            <w:tcW w:w="0" w:type="auto"/>
            <w:gridSpan w:val="2"/>
            <w:tcBorders>
              <w:top w:val="single" w:sz="4" w:space="0" w:color="auto"/>
              <w:left w:val="nil"/>
              <w:bottom w:val="single" w:sz="4" w:space="0" w:color="auto"/>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Trial x Tillage</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Bradyrhizobiaceae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Streptomycetaceae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0.27</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0.22</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Sphingomonadaceae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0.77</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0.01</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Mycobacteriaceae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0.67</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0.15</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0.07</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Comamonadaceae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0.48</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0.02</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0.02</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Chitinophagaceae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0.58</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0.01</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Nocardioidaceae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0.68</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0.14</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Pseudonocardiaceae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0.55</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0.24</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Burkholderiaceae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0.30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0.06</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Planctomycetaceae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0.64</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0.05</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Gemmatimonadaceae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0.88</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Micromonosporaceae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0.17</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Hyphomicrobiaceae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0.98</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Acidobacteriaceae</w:t>
            </w:r>
          </w:p>
        </w:tc>
        <w:tc>
          <w:tcPr>
            <w:tcW w:w="0" w:type="auto"/>
            <w:tcBorders>
              <w:top w:val="nil"/>
              <w:left w:val="nil"/>
              <w:bottom w:val="single" w:sz="4" w:space="0" w:color="auto"/>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0.52</w:t>
            </w:r>
          </w:p>
        </w:tc>
        <w:tc>
          <w:tcPr>
            <w:tcW w:w="0" w:type="auto"/>
            <w:tcBorders>
              <w:top w:val="nil"/>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single" w:sz="4" w:space="0" w:color="auto"/>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0.03</w:t>
            </w:r>
          </w:p>
        </w:tc>
        <w:tc>
          <w:tcPr>
            <w:tcW w:w="0" w:type="auto"/>
            <w:tcBorders>
              <w:top w:val="nil"/>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single" w:sz="4" w:space="0" w:color="auto"/>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bl>
    <w:p>
      <w:pPr>
        <w:spacing w:before="240"/>
      </w:pPr>
    </w:p>
    <w:p>
      <w:pPr>
        <w:spacing w:before="240"/>
        <w:sectPr>
          <w:pgSz w:w="12240" w:h="15840"/>
          <w:pgMar w:top="1138" w:right="1181" w:bottom="1138" w:left="1282" w:header="720" w:footer="720" w:gutter="0"/>
          <w:cols w:space="720"/>
          <w:titlePg/>
          <w:docGrid w:linePitch="360"/>
        </w:sectPr>
      </w:pPr>
    </w:p>
    <w:p>
      <w:pPr>
        <w:spacing w:before="240"/>
        <w:jc w:val="both"/>
        <w:rPr>
          <w:rFonts w:cs="Times New Roman"/>
          <w:szCs w:val="24"/>
        </w:rPr>
      </w:pPr>
      <w:r>
        <w:rPr>
          <w:rFonts w:cs="Times New Roman"/>
          <w:b/>
          <w:szCs w:val="24"/>
        </w:rPr>
        <w:lastRenderedPageBreak/>
        <w:t>Supplementary Table 4.</w:t>
      </w:r>
      <w:r>
        <w:rPr>
          <w:rFonts w:cs="Times New Roman"/>
          <w:szCs w:val="24"/>
        </w:rPr>
        <w:t xml:space="preserve"> Influence of trial, tillage and their interaction on the relative abundances of bacterial reads assigned to genes encoding for proteins involved in EPS and LPS formation, as determined by a robust 2-way ANOVA. Effect sizes (ω</w:t>
      </w:r>
      <w:r>
        <w:rPr>
          <w:rFonts w:cs="Times New Roman"/>
          <w:szCs w:val="24"/>
          <w:vertAlign w:val="superscript"/>
        </w:rPr>
        <w:t>2</w:t>
      </w:r>
      <w:r>
        <w:rPr>
          <w:rFonts w:cs="Times New Roman"/>
          <w:szCs w:val="24"/>
        </w:rPr>
        <w:t>) and significance levels were calculated based on triplicates (n = 3). Significance levels are represented by the amount of stars: 1 – p &lt; 0.05, 2 – p &lt; 0.01, 3 – p &lt; 0.001.</w:t>
      </w:r>
    </w:p>
    <w:tbl>
      <w:tblPr>
        <w:tblW w:w="0" w:type="auto"/>
        <w:jc w:val="center"/>
        <w:tblLook w:val="04A0" w:firstRow="1" w:lastRow="0" w:firstColumn="1" w:lastColumn="0" w:noHBand="0" w:noVBand="1"/>
      </w:tblPr>
      <w:tblGrid>
        <w:gridCol w:w="1315"/>
        <w:gridCol w:w="654"/>
        <w:gridCol w:w="587"/>
        <w:gridCol w:w="654"/>
        <w:gridCol w:w="450"/>
        <w:gridCol w:w="817"/>
        <w:gridCol w:w="562"/>
      </w:tblGrid>
      <w:tr>
        <w:trPr>
          <w:trHeight w:val="300"/>
          <w:jc w:val="center"/>
        </w:trPr>
        <w:tc>
          <w:tcPr>
            <w:tcW w:w="0" w:type="auto"/>
            <w:gridSpan w:val="7"/>
            <w:tcBorders>
              <w:top w:val="nil"/>
              <w:left w:val="nil"/>
              <w:bottom w:val="nil"/>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Robust ANOVA (effect sizes and significance levels)</w:t>
            </w:r>
          </w:p>
        </w:tc>
      </w:tr>
      <w:tr>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Gene</w:t>
            </w:r>
          </w:p>
        </w:tc>
        <w:tc>
          <w:tcPr>
            <w:tcW w:w="0" w:type="auto"/>
            <w:gridSpan w:val="2"/>
            <w:tcBorders>
              <w:top w:val="single" w:sz="4" w:space="0" w:color="auto"/>
              <w:left w:val="nil"/>
              <w:bottom w:val="single" w:sz="4" w:space="0" w:color="auto"/>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Trial</w:t>
            </w:r>
          </w:p>
        </w:tc>
        <w:tc>
          <w:tcPr>
            <w:tcW w:w="0" w:type="auto"/>
            <w:gridSpan w:val="2"/>
            <w:tcBorders>
              <w:top w:val="single" w:sz="4" w:space="0" w:color="auto"/>
              <w:left w:val="nil"/>
              <w:bottom w:val="single" w:sz="4" w:space="0" w:color="auto"/>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Tillage</w:t>
            </w:r>
          </w:p>
        </w:tc>
        <w:tc>
          <w:tcPr>
            <w:tcW w:w="0" w:type="auto"/>
            <w:gridSpan w:val="2"/>
            <w:tcBorders>
              <w:top w:val="single" w:sz="4" w:space="0" w:color="auto"/>
              <w:left w:val="nil"/>
              <w:bottom w:val="single" w:sz="4" w:space="0" w:color="auto"/>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Trial x Tillage</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wza</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0.40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0.07</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wcaB</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0.13</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0.02</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wcaF</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0.06</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0.01</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wcaK/amsJ</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0.03</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0.02</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kpsE</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0.07</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0.03</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algE</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algJ</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0.08</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sacB</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0.03</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0.15</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wzt</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0.11</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lptC</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0.01</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lptF</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0.17</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lptG</w:t>
            </w:r>
          </w:p>
        </w:tc>
        <w:tc>
          <w:tcPr>
            <w:tcW w:w="0" w:type="auto"/>
            <w:tcBorders>
              <w:top w:val="nil"/>
              <w:left w:val="nil"/>
              <w:bottom w:val="single" w:sz="4" w:space="0" w:color="auto"/>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0.27</w:t>
            </w:r>
          </w:p>
        </w:tc>
        <w:tc>
          <w:tcPr>
            <w:tcW w:w="0" w:type="auto"/>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single" w:sz="4" w:space="0" w:color="auto"/>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single" w:sz="4" w:space="0" w:color="auto"/>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bl>
    <w:p>
      <w:pPr>
        <w:spacing w:before="240"/>
      </w:pPr>
    </w:p>
    <w:p>
      <w:pPr>
        <w:spacing w:before="240"/>
        <w:sectPr>
          <w:pgSz w:w="12240" w:h="15840"/>
          <w:pgMar w:top="1138" w:right="1181" w:bottom="1138" w:left="1282" w:header="720" w:footer="720" w:gutter="0"/>
          <w:cols w:space="720"/>
          <w:titlePg/>
          <w:docGrid w:linePitch="360"/>
        </w:sectPr>
      </w:pPr>
    </w:p>
    <w:p>
      <w:pPr>
        <w:spacing w:before="240"/>
        <w:jc w:val="both"/>
        <w:rPr>
          <w:rFonts w:cs="Times New Roman"/>
          <w:szCs w:val="24"/>
        </w:rPr>
      </w:pPr>
      <w:r>
        <w:rPr>
          <w:rFonts w:cs="Times New Roman"/>
          <w:b/>
          <w:szCs w:val="24"/>
        </w:rPr>
        <w:lastRenderedPageBreak/>
        <w:t>Supplementary Table 5.</w:t>
      </w:r>
      <w:r>
        <w:rPr>
          <w:rFonts w:cs="Times New Roman"/>
          <w:szCs w:val="24"/>
        </w:rPr>
        <w:t xml:space="preserve"> General influence of trial, tillage and their interaction, as well as site-specific influence of tillage in Frick, Moškanjci and Juchowo on the estimated absolute abundances of the EPS and LPS genes harbored by the dominant bacterial families, as determined by a robust 2-way ANOVA and a robust t-test, respectively. Corresponding effect sizes (ω</w:t>
      </w:r>
      <w:r>
        <w:rPr>
          <w:rFonts w:cs="Times New Roman"/>
          <w:szCs w:val="24"/>
          <w:vertAlign w:val="superscript"/>
        </w:rPr>
        <w:t>2</w:t>
      </w:r>
      <w:r>
        <w:rPr>
          <w:rFonts w:cs="Times New Roman"/>
          <w:szCs w:val="24"/>
        </w:rPr>
        <w:t xml:space="preserve"> and r) and significance levels were calculated based on triplicates (n = 3). Significance levels are represented by the amount of stars: 1 – p &lt; 0.05, 2 – p &lt; 0.01, 3 – p &lt; 0.001.</w:t>
      </w:r>
    </w:p>
    <w:tbl>
      <w:tblPr>
        <w:tblW w:w="5535" w:type="dxa"/>
        <w:jc w:val="center"/>
        <w:tblLook w:val="04A0" w:firstRow="1" w:lastRow="0" w:firstColumn="1" w:lastColumn="0" w:noHBand="0" w:noVBand="1"/>
      </w:tblPr>
      <w:tblGrid>
        <w:gridCol w:w="1221"/>
        <w:gridCol w:w="776"/>
        <w:gridCol w:w="662"/>
        <w:gridCol w:w="776"/>
        <w:gridCol w:w="662"/>
        <w:gridCol w:w="776"/>
        <w:gridCol w:w="662"/>
      </w:tblGrid>
      <w:tr>
        <w:trPr>
          <w:trHeight w:val="300"/>
          <w:jc w:val="center"/>
        </w:trPr>
        <w:tc>
          <w:tcPr>
            <w:tcW w:w="5535" w:type="dxa"/>
            <w:gridSpan w:val="7"/>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Robust ANOVA (effect sizes and significance levels)</w:t>
            </w:r>
          </w:p>
        </w:tc>
      </w:tr>
      <w:tr>
        <w:trPr>
          <w:trHeight w:val="360"/>
          <w:jc w:val="center"/>
        </w:trPr>
        <w:tc>
          <w:tcPr>
            <w:tcW w:w="1221" w:type="dxa"/>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Gene</w:t>
            </w:r>
          </w:p>
        </w:tc>
        <w:tc>
          <w:tcPr>
            <w:tcW w:w="1438" w:type="dxa"/>
            <w:gridSpan w:val="2"/>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Trial</w:t>
            </w:r>
          </w:p>
        </w:tc>
        <w:tc>
          <w:tcPr>
            <w:tcW w:w="1438" w:type="dxa"/>
            <w:gridSpan w:val="2"/>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Tillage</w:t>
            </w:r>
          </w:p>
        </w:tc>
        <w:tc>
          <w:tcPr>
            <w:tcW w:w="1438" w:type="dxa"/>
            <w:gridSpan w:val="2"/>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Trial x Tillage</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wza</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0.84</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0.04</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0.03</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wcaB</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0.90</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0.02</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wcaF</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0.82</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0.03</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wcaK/amsJ</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0.27</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kpsE</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0.90</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0.03</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0.02</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algE</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0.10</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algJ</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0.52</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0.01</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sacB</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0.28</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0.01</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wzt</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0.85</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0.04</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0.04</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lptC</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0.75</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0.03</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0.02</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lptF</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0.85</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0.03</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0.01</w:t>
            </w:r>
          </w:p>
        </w:tc>
        <w:tc>
          <w:tcPr>
            <w:tcW w:w="662"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lptG</w:t>
            </w:r>
          </w:p>
        </w:tc>
        <w:tc>
          <w:tcPr>
            <w:tcW w:w="776" w:type="dxa"/>
            <w:tcBorders>
              <w:top w:val="nil"/>
              <w:left w:val="nil"/>
              <w:bottom w:val="single" w:sz="4" w:space="0" w:color="auto"/>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0.84</w:t>
            </w:r>
          </w:p>
        </w:tc>
        <w:tc>
          <w:tcPr>
            <w:tcW w:w="662"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single" w:sz="4" w:space="0" w:color="auto"/>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0.03</w:t>
            </w:r>
          </w:p>
        </w:tc>
        <w:tc>
          <w:tcPr>
            <w:tcW w:w="662"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single" w:sz="4" w:space="0" w:color="auto"/>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0.01</w:t>
            </w:r>
          </w:p>
        </w:tc>
        <w:tc>
          <w:tcPr>
            <w:tcW w:w="662"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p>
        </w:tc>
        <w:tc>
          <w:tcPr>
            <w:tcW w:w="776" w:type="dxa"/>
            <w:tcBorders>
              <w:top w:val="nil"/>
              <w:left w:val="nil"/>
              <w:bottom w:val="nil"/>
              <w:right w:val="nil"/>
            </w:tcBorders>
            <w:shd w:val="clear" w:color="auto" w:fill="auto"/>
            <w:noWrap/>
            <w:vAlign w:val="bottom"/>
            <w:hideMark/>
          </w:tcPr>
          <w:p>
            <w:pPr>
              <w:spacing w:before="0" w:after="0"/>
              <w:rPr>
                <w:rFonts w:eastAsia="Times New Roman" w:cs="Times New Roman"/>
                <w:sz w:val="20"/>
                <w:szCs w:val="20"/>
              </w:rPr>
            </w:pPr>
          </w:p>
        </w:tc>
        <w:tc>
          <w:tcPr>
            <w:tcW w:w="662" w:type="dxa"/>
            <w:tcBorders>
              <w:top w:val="nil"/>
              <w:left w:val="nil"/>
              <w:bottom w:val="nil"/>
              <w:right w:val="nil"/>
            </w:tcBorders>
            <w:shd w:val="clear" w:color="auto" w:fill="auto"/>
            <w:noWrap/>
            <w:vAlign w:val="bottom"/>
            <w:hideMark/>
          </w:tcPr>
          <w:p>
            <w:pPr>
              <w:spacing w:before="0" w:after="0"/>
              <w:rPr>
                <w:rFonts w:eastAsia="Times New Roman" w:cs="Times New Roman"/>
                <w:sz w:val="20"/>
                <w:szCs w:val="20"/>
              </w:rPr>
            </w:pPr>
          </w:p>
        </w:tc>
        <w:tc>
          <w:tcPr>
            <w:tcW w:w="776" w:type="dxa"/>
            <w:tcBorders>
              <w:top w:val="nil"/>
              <w:left w:val="nil"/>
              <w:bottom w:val="nil"/>
              <w:right w:val="nil"/>
            </w:tcBorders>
            <w:shd w:val="clear" w:color="auto" w:fill="auto"/>
            <w:noWrap/>
            <w:vAlign w:val="bottom"/>
            <w:hideMark/>
          </w:tcPr>
          <w:p>
            <w:pPr>
              <w:spacing w:before="0" w:after="0"/>
              <w:rPr>
                <w:rFonts w:eastAsia="Times New Roman" w:cs="Times New Roman"/>
                <w:sz w:val="20"/>
                <w:szCs w:val="20"/>
              </w:rPr>
            </w:pPr>
          </w:p>
        </w:tc>
        <w:tc>
          <w:tcPr>
            <w:tcW w:w="662" w:type="dxa"/>
            <w:tcBorders>
              <w:top w:val="nil"/>
              <w:left w:val="nil"/>
              <w:bottom w:val="nil"/>
              <w:right w:val="nil"/>
            </w:tcBorders>
            <w:shd w:val="clear" w:color="auto" w:fill="auto"/>
            <w:noWrap/>
            <w:vAlign w:val="bottom"/>
            <w:hideMark/>
          </w:tcPr>
          <w:p>
            <w:pPr>
              <w:spacing w:before="0" w:after="0"/>
              <w:rPr>
                <w:rFonts w:eastAsia="Times New Roman" w:cs="Times New Roman"/>
                <w:sz w:val="20"/>
                <w:szCs w:val="20"/>
              </w:rPr>
            </w:pPr>
          </w:p>
        </w:tc>
        <w:tc>
          <w:tcPr>
            <w:tcW w:w="776" w:type="dxa"/>
            <w:tcBorders>
              <w:top w:val="nil"/>
              <w:left w:val="nil"/>
              <w:bottom w:val="nil"/>
              <w:right w:val="nil"/>
            </w:tcBorders>
            <w:shd w:val="clear" w:color="auto" w:fill="auto"/>
            <w:noWrap/>
            <w:vAlign w:val="bottom"/>
            <w:hideMark/>
          </w:tcPr>
          <w:p>
            <w:pPr>
              <w:spacing w:before="0" w:after="0"/>
              <w:rPr>
                <w:rFonts w:eastAsia="Times New Roman" w:cs="Times New Roman"/>
                <w:sz w:val="20"/>
                <w:szCs w:val="20"/>
              </w:rPr>
            </w:pPr>
          </w:p>
        </w:tc>
        <w:tc>
          <w:tcPr>
            <w:tcW w:w="662" w:type="dxa"/>
            <w:tcBorders>
              <w:top w:val="nil"/>
              <w:left w:val="nil"/>
              <w:bottom w:val="nil"/>
              <w:right w:val="nil"/>
            </w:tcBorders>
            <w:shd w:val="clear" w:color="auto" w:fill="auto"/>
            <w:noWrap/>
            <w:vAlign w:val="bottom"/>
            <w:hideMark/>
          </w:tcPr>
          <w:p>
            <w:pPr>
              <w:spacing w:before="0" w:after="0"/>
              <w:rPr>
                <w:rFonts w:eastAsia="Times New Roman" w:cs="Times New Roman"/>
                <w:sz w:val="20"/>
                <w:szCs w:val="20"/>
              </w:rPr>
            </w:pPr>
          </w:p>
        </w:tc>
      </w:tr>
      <w:tr>
        <w:trPr>
          <w:trHeight w:val="300"/>
          <w:jc w:val="center"/>
        </w:trPr>
        <w:tc>
          <w:tcPr>
            <w:tcW w:w="5535" w:type="dxa"/>
            <w:gridSpan w:val="7"/>
            <w:tcBorders>
              <w:top w:val="nil"/>
              <w:left w:val="nil"/>
              <w:bottom w:val="nil"/>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Robust t-test (effect sizes and significance levels)</w:t>
            </w:r>
          </w:p>
        </w:tc>
      </w:tr>
      <w:tr>
        <w:trPr>
          <w:trHeight w:val="300"/>
          <w:jc w:val="center"/>
        </w:trPr>
        <w:tc>
          <w:tcPr>
            <w:tcW w:w="1221" w:type="dxa"/>
            <w:tcBorders>
              <w:top w:val="single" w:sz="4" w:space="0" w:color="auto"/>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Gene</w:t>
            </w:r>
          </w:p>
        </w:tc>
        <w:tc>
          <w:tcPr>
            <w:tcW w:w="1438" w:type="dxa"/>
            <w:gridSpan w:val="2"/>
            <w:tcBorders>
              <w:top w:val="single" w:sz="4" w:space="0" w:color="auto"/>
              <w:left w:val="nil"/>
              <w:bottom w:val="single" w:sz="4" w:space="0" w:color="auto"/>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Frick</w:t>
            </w:r>
          </w:p>
        </w:tc>
        <w:tc>
          <w:tcPr>
            <w:tcW w:w="1438" w:type="dxa"/>
            <w:gridSpan w:val="2"/>
            <w:tcBorders>
              <w:top w:val="single" w:sz="4" w:space="0" w:color="auto"/>
              <w:left w:val="nil"/>
              <w:bottom w:val="single" w:sz="4" w:space="0" w:color="auto"/>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Moškanjci</w:t>
            </w:r>
          </w:p>
        </w:tc>
        <w:tc>
          <w:tcPr>
            <w:tcW w:w="1438" w:type="dxa"/>
            <w:gridSpan w:val="2"/>
            <w:tcBorders>
              <w:top w:val="single" w:sz="4" w:space="0" w:color="auto"/>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Juchowo</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wza</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0.83</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0.91</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0.14</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wcaB</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0.69</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0.82</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0.25</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wcaF</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0.53</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0.89</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0.35</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wcaK/amsJ</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0.81</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0.66</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0.38</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kpsE</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0.88</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0.53</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0.37</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algE</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0.18</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0.64</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0.10</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algJ</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0.46</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0.77</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0.41</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sacB</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0.28</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0.80</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0.94</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wzt</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0.89</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0.81</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0.31</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lptC</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0.65</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0.58</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0.23</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lptF</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0.71</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0.85</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0.01</w:t>
            </w:r>
          </w:p>
        </w:tc>
        <w:tc>
          <w:tcPr>
            <w:tcW w:w="662" w:type="dxa"/>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1221"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lptG</w:t>
            </w:r>
          </w:p>
        </w:tc>
        <w:tc>
          <w:tcPr>
            <w:tcW w:w="776" w:type="dxa"/>
            <w:tcBorders>
              <w:top w:val="nil"/>
              <w:left w:val="nil"/>
              <w:bottom w:val="single" w:sz="4" w:space="0" w:color="auto"/>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0.69</w:t>
            </w:r>
          </w:p>
        </w:tc>
        <w:tc>
          <w:tcPr>
            <w:tcW w:w="662" w:type="dxa"/>
            <w:tcBorders>
              <w:top w:val="nil"/>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776" w:type="dxa"/>
            <w:tcBorders>
              <w:top w:val="nil"/>
              <w:left w:val="nil"/>
              <w:bottom w:val="single" w:sz="4" w:space="0" w:color="auto"/>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0.89</w:t>
            </w:r>
          </w:p>
        </w:tc>
        <w:tc>
          <w:tcPr>
            <w:tcW w:w="662" w:type="dxa"/>
            <w:tcBorders>
              <w:top w:val="nil"/>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776" w:type="dxa"/>
            <w:tcBorders>
              <w:top w:val="nil"/>
              <w:left w:val="nil"/>
              <w:bottom w:val="single" w:sz="4" w:space="0" w:color="auto"/>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662" w:type="dxa"/>
            <w:tcBorders>
              <w:top w:val="nil"/>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bl>
    <w:p>
      <w:pPr>
        <w:spacing w:before="240"/>
      </w:pPr>
    </w:p>
    <w:p>
      <w:pPr>
        <w:spacing w:before="240"/>
        <w:sectPr>
          <w:pgSz w:w="12240" w:h="15840"/>
          <w:pgMar w:top="1138" w:right="1181" w:bottom="1138" w:left="1282" w:header="720" w:footer="720" w:gutter="0"/>
          <w:cols w:space="720"/>
          <w:titlePg/>
          <w:docGrid w:linePitch="360"/>
        </w:sectPr>
      </w:pPr>
    </w:p>
    <w:p>
      <w:pPr>
        <w:spacing w:before="240"/>
        <w:jc w:val="both"/>
        <w:rPr>
          <w:rFonts w:cs="Times New Roman"/>
          <w:szCs w:val="24"/>
        </w:rPr>
      </w:pPr>
      <w:r>
        <w:rPr>
          <w:rFonts w:cs="Times New Roman"/>
          <w:b/>
          <w:szCs w:val="24"/>
        </w:rPr>
        <w:lastRenderedPageBreak/>
        <w:t>Supplementary Table 6.</w:t>
      </w:r>
      <w:r>
        <w:rPr>
          <w:rFonts w:cs="Times New Roman"/>
          <w:szCs w:val="24"/>
        </w:rPr>
        <w:t xml:space="preserve"> Influence of trial, tillage and their interaction on the relative abundances of the EPS and LPS genes harbored by the dominant bacterial families, as determined by a robust 2-way ANOVA. Effect sizes (ω</w:t>
      </w:r>
      <w:r>
        <w:rPr>
          <w:rFonts w:cs="Times New Roman"/>
          <w:szCs w:val="24"/>
          <w:vertAlign w:val="superscript"/>
        </w:rPr>
        <w:t>2</w:t>
      </w:r>
      <w:r>
        <w:rPr>
          <w:rFonts w:cs="Times New Roman"/>
          <w:szCs w:val="24"/>
        </w:rPr>
        <w:t>) and significance levels were calculated based on triplicates (n = 3). Significance levels are represented by the amount of stars: 1 – p &lt; 0.05, 2 – p &lt; 0.01, 3 – p &lt; 0.001.</w:t>
      </w:r>
    </w:p>
    <w:tbl>
      <w:tblPr>
        <w:tblW w:w="0" w:type="auto"/>
        <w:jc w:val="center"/>
        <w:tblLook w:val="04A0" w:firstRow="1" w:lastRow="0" w:firstColumn="1" w:lastColumn="0" w:noHBand="0" w:noVBand="1"/>
      </w:tblPr>
      <w:tblGrid>
        <w:gridCol w:w="2200"/>
        <w:gridCol w:w="607"/>
        <w:gridCol w:w="545"/>
        <w:gridCol w:w="607"/>
        <w:gridCol w:w="418"/>
        <w:gridCol w:w="817"/>
        <w:gridCol w:w="562"/>
      </w:tblGrid>
      <w:tr>
        <w:trPr>
          <w:trHeight w:val="300"/>
          <w:jc w:val="center"/>
        </w:trPr>
        <w:tc>
          <w:tcPr>
            <w:tcW w:w="0" w:type="auto"/>
            <w:gridSpan w:val="7"/>
            <w:tcBorders>
              <w:top w:val="nil"/>
              <w:left w:val="nil"/>
              <w:bottom w:val="nil"/>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Robust ANOVA (effect sizes and significance levels)</w:t>
            </w:r>
          </w:p>
        </w:tc>
      </w:tr>
      <w:tr>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 Family</w:t>
            </w:r>
          </w:p>
        </w:tc>
        <w:tc>
          <w:tcPr>
            <w:tcW w:w="0" w:type="auto"/>
            <w:gridSpan w:val="2"/>
            <w:tcBorders>
              <w:top w:val="single" w:sz="4" w:space="0" w:color="auto"/>
              <w:left w:val="nil"/>
              <w:bottom w:val="single" w:sz="4" w:space="0" w:color="auto"/>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Trial</w:t>
            </w:r>
          </w:p>
        </w:tc>
        <w:tc>
          <w:tcPr>
            <w:tcW w:w="0" w:type="auto"/>
            <w:gridSpan w:val="2"/>
            <w:tcBorders>
              <w:top w:val="single" w:sz="4" w:space="0" w:color="auto"/>
              <w:left w:val="nil"/>
              <w:bottom w:val="single" w:sz="4" w:space="0" w:color="auto"/>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Tillage</w:t>
            </w:r>
          </w:p>
        </w:tc>
        <w:tc>
          <w:tcPr>
            <w:tcW w:w="0" w:type="auto"/>
            <w:gridSpan w:val="2"/>
            <w:tcBorders>
              <w:top w:val="single" w:sz="4" w:space="0" w:color="auto"/>
              <w:left w:val="nil"/>
              <w:bottom w:val="single" w:sz="4" w:space="0" w:color="auto"/>
              <w:right w:val="nil"/>
            </w:tcBorders>
            <w:shd w:val="clear" w:color="auto" w:fill="auto"/>
            <w:noWrap/>
            <w:vAlign w:val="bottom"/>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Trial x Tillage</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Bradyrhizobiaceae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0.55</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Streptomycetaceae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0.03</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Sphingomonadaceae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0.26</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0.05</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Mycobacteriaceae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0.09</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0.06</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0.02</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Comamonadaceae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0.47</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Chitinophagaceae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0.31</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Nocardioidaceae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0.04</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0.30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Pseudonocardiaceae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Burkholderiaceae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Planctomycetaceae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0.29</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Gemmatimonadaceae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0.72</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0.08</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Micromonosporaceae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Hyphomicrobiaceae</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0.39</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nil"/>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nil"/>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r>
        <w:trPr>
          <w:trHeight w:val="300"/>
          <w:jc w:val="center"/>
        </w:trPr>
        <w:tc>
          <w:tcPr>
            <w:tcW w:w="0" w:type="auto"/>
            <w:tcBorders>
              <w:top w:val="nil"/>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Acidobacteriaceae</w:t>
            </w:r>
          </w:p>
        </w:tc>
        <w:tc>
          <w:tcPr>
            <w:tcW w:w="0" w:type="auto"/>
            <w:tcBorders>
              <w:top w:val="nil"/>
              <w:left w:val="nil"/>
              <w:bottom w:val="single" w:sz="4" w:space="0" w:color="auto"/>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0.52</w:t>
            </w:r>
          </w:p>
        </w:tc>
        <w:tc>
          <w:tcPr>
            <w:tcW w:w="0" w:type="auto"/>
            <w:tcBorders>
              <w:top w:val="nil"/>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0" w:type="auto"/>
            <w:tcBorders>
              <w:top w:val="nil"/>
              <w:left w:val="nil"/>
              <w:bottom w:val="single" w:sz="4" w:space="0" w:color="auto"/>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0" w:type="auto"/>
            <w:tcBorders>
              <w:top w:val="nil"/>
              <w:left w:val="nil"/>
              <w:bottom w:val="single" w:sz="4" w:space="0" w:color="auto"/>
              <w:right w:val="nil"/>
            </w:tcBorders>
            <w:shd w:val="clear" w:color="auto" w:fill="auto"/>
            <w:noWrap/>
            <w:vAlign w:val="bottom"/>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0" w:type="auto"/>
            <w:tcBorders>
              <w:top w:val="nil"/>
              <w:left w:val="nil"/>
              <w:bottom w:val="single" w:sz="4" w:space="0" w:color="auto"/>
              <w:right w:val="nil"/>
            </w:tcBorders>
            <w:shd w:val="clear" w:color="auto" w:fill="auto"/>
            <w:noWrap/>
            <w:vAlign w:val="bottom"/>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r>
    </w:tbl>
    <w:p>
      <w:pPr>
        <w:spacing w:before="240"/>
      </w:pPr>
    </w:p>
    <w:p>
      <w:pPr>
        <w:spacing w:before="240"/>
        <w:sectPr>
          <w:pgSz w:w="12240" w:h="15840"/>
          <w:pgMar w:top="1138" w:right="1181" w:bottom="1138" w:left="1282" w:header="720" w:footer="720" w:gutter="0"/>
          <w:cols w:space="720"/>
          <w:titlePg/>
          <w:docGrid w:linePitch="360"/>
        </w:sectPr>
      </w:pPr>
    </w:p>
    <w:p>
      <w:pPr>
        <w:spacing w:before="240"/>
        <w:jc w:val="both"/>
        <w:rPr>
          <w:rFonts w:cs="Times New Roman"/>
          <w:szCs w:val="24"/>
        </w:rPr>
      </w:pPr>
      <w:r>
        <w:rPr>
          <w:rFonts w:cs="Times New Roman"/>
          <w:b/>
          <w:szCs w:val="24"/>
        </w:rPr>
        <w:lastRenderedPageBreak/>
        <w:t>Supplementary Table 7.</w:t>
      </w:r>
      <w:r>
        <w:rPr>
          <w:rFonts w:cs="Times New Roman"/>
          <w:szCs w:val="24"/>
        </w:rPr>
        <w:t xml:space="preserve"> Influence of tillage on the overall relative abundance and the abundance of EPS and LPS genes of families whose potential for the formation of EPSs and LPSs was affected by tillage in each trial. Effect sizes (ω</w:t>
      </w:r>
      <w:r>
        <w:rPr>
          <w:rFonts w:cs="Times New Roman"/>
          <w:szCs w:val="24"/>
          <w:vertAlign w:val="superscript"/>
        </w:rPr>
        <w:t>2</w:t>
      </w:r>
      <w:r>
        <w:rPr>
          <w:rFonts w:cs="Times New Roman"/>
          <w:szCs w:val="24"/>
        </w:rPr>
        <w:t>) and significance levels were calculated based on triplicates (n</w:t>
      </w:r>
      <w:r>
        <w:t> </w:t>
      </w:r>
      <w:r>
        <w:rPr>
          <w:rFonts w:cs="Times New Roman"/>
          <w:szCs w:val="24"/>
        </w:rPr>
        <w:t>= 3). Significance levels are represented by the amount of stars: 1 – p &lt; 0.05, 2 – p &lt; 0.01, 3 – p &lt; 0.001.</w:t>
      </w:r>
    </w:p>
    <w:tbl>
      <w:tblPr>
        <w:tblW w:w="7806" w:type="dxa"/>
        <w:tblInd w:w="851" w:type="dxa"/>
        <w:tblLook w:val="04A0" w:firstRow="1" w:lastRow="0" w:firstColumn="1" w:lastColumn="0" w:noHBand="0" w:noVBand="1"/>
      </w:tblPr>
      <w:tblGrid>
        <w:gridCol w:w="1522"/>
        <w:gridCol w:w="2200"/>
        <w:gridCol w:w="1021"/>
        <w:gridCol w:w="1021"/>
        <w:gridCol w:w="1021"/>
        <w:gridCol w:w="1021"/>
      </w:tblGrid>
      <w:tr>
        <w:trPr>
          <w:trHeight w:val="300"/>
        </w:trPr>
        <w:tc>
          <w:tcPr>
            <w:tcW w:w="7806" w:type="dxa"/>
            <w:gridSpan w:val="6"/>
            <w:tcBorders>
              <w:top w:val="nil"/>
              <w:left w:val="nil"/>
              <w:bottom w:val="single" w:sz="4" w:space="0" w:color="auto"/>
              <w:right w:val="nil"/>
            </w:tcBorders>
            <w:shd w:val="clear" w:color="auto" w:fill="auto"/>
            <w:noWrap/>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Robust t-test (effect sizes and significance levels)</w:t>
            </w:r>
          </w:p>
        </w:tc>
      </w:tr>
      <w:tr>
        <w:trPr>
          <w:trHeight w:val="600"/>
        </w:trPr>
        <w:tc>
          <w:tcPr>
            <w:tcW w:w="1522"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Trial</w:t>
            </w:r>
          </w:p>
        </w:tc>
        <w:tc>
          <w:tcPr>
            <w:tcW w:w="2200"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Family</w:t>
            </w:r>
          </w:p>
        </w:tc>
        <w:tc>
          <w:tcPr>
            <w:tcW w:w="2042" w:type="dxa"/>
            <w:gridSpan w:val="2"/>
            <w:tcBorders>
              <w:top w:val="single" w:sz="4" w:space="0" w:color="auto"/>
              <w:left w:val="nil"/>
              <w:bottom w:val="single" w:sz="4" w:space="0" w:color="auto"/>
              <w:right w:val="nil"/>
            </w:tcBorders>
            <w:shd w:val="clear" w:color="auto" w:fill="auto"/>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Relative abundance of families</w:t>
            </w:r>
          </w:p>
        </w:tc>
        <w:tc>
          <w:tcPr>
            <w:tcW w:w="2042" w:type="dxa"/>
            <w:gridSpan w:val="2"/>
            <w:tcBorders>
              <w:top w:val="single" w:sz="4" w:space="0" w:color="auto"/>
              <w:left w:val="nil"/>
              <w:bottom w:val="single" w:sz="4" w:space="0" w:color="auto"/>
              <w:right w:val="nil"/>
            </w:tcBorders>
            <w:shd w:val="clear" w:color="auto" w:fill="auto"/>
            <w:vAlign w:val="center"/>
            <w:hideMark/>
          </w:tcPr>
          <w:p>
            <w:pPr>
              <w:spacing w:before="0" w:after="0"/>
              <w:jc w:val="center"/>
              <w:rPr>
                <w:rFonts w:ascii="Calibri" w:eastAsia="Times New Roman" w:hAnsi="Calibri" w:cs="Times New Roman"/>
                <w:color w:val="000000"/>
                <w:sz w:val="22"/>
              </w:rPr>
            </w:pPr>
            <w:r>
              <w:rPr>
                <w:rFonts w:ascii="Calibri" w:eastAsia="Times New Roman" w:hAnsi="Calibri" w:cs="Times New Roman"/>
                <w:color w:val="000000"/>
                <w:sz w:val="22"/>
              </w:rPr>
              <w:t>Relative abundance of EPS/LPS genes</w:t>
            </w:r>
          </w:p>
        </w:tc>
      </w:tr>
      <w:tr>
        <w:trPr>
          <w:trHeight w:val="300"/>
        </w:trPr>
        <w:tc>
          <w:tcPr>
            <w:tcW w:w="1522" w:type="dxa"/>
            <w:vMerge w:val="restart"/>
            <w:tcBorders>
              <w:top w:val="nil"/>
              <w:left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Frick</w:t>
            </w: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Cytophagaceae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0.50</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0.84</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Alteromonadaceae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0.12</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0.81</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Porphyromonadaceae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0.52</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0.75</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Flavobacteriaceae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0.59</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0.71</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Geodermatophilaceae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0.28</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0.92</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Acetobacteraceae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0.64</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1.00</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Aurantimonadaceae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0.26</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0.95</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Enterobacteriaceae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0.47</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0.89</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Myxococcaceae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0.64</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0.96</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Cellulomonadaceae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0.42</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0.94</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Rhodospirillaceae</w:t>
            </w:r>
          </w:p>
        </w:tc>
        <w:tc>
          <w:tcPr>
            <w:tcW w:w="1021" w:type="dxa"/>
            <w:tcBorders>
              <w:top w:val="nil"/>
              <w:left w:val="nil"/>
              <w:bottom w:val="single" w:sz="4" w:space="0" w:color="auto"/>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0.48</w:t>
            </w:r>
          </w:p>
        </w:tc>
        <w:tc>
          <w:tcPr>
            <w:tcW w:w="1021"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single" w:sz="4" w:space="0" w:color="auto"/>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0.97</w:t>
            </w:r>
          </w:p>
        </w:tc>
        <w:tc>
          <w:tcPr>
            <w:tcW w:w="1021"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val="restart"/>
            <w:tcBorders>
              <w:top w:val="single" w:sz="4" w:space="0" w:color="auto"/>
              <w:left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Moškanjci</w:t>
            </w: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Oxalobacteraceae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0.80</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0.91</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Cellvibrionaceae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0.59</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0.89</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Opitutaceae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0.49</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0.84</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Cytophagaceae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0.31</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0.75</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Mycobacteriaceae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0.94</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0.78</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Rhodobiaceae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0.31</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0.73</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Alcaligenaceae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0.20</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0.71</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Frankiaceae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0.75</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0.99</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Isosphaeraceae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0.18</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0.86</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Balneolaceae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0.63</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0.97</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Gemmataceae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0.68</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0.83</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Hapalosiphonaceae</w:t>
            </w:r>
          </w:p>
        </w:tc>
        <w:tc>
          <w:tcPr>
            <w:tcW w:w="1021" w:type="dxa"/>
            <w:tcBorders>
              <w:top w:val="nil"/>
              <w:left w:val="nil"/>
              <w:bottom w:val="single" w:sz="4" w:space="0" w:color="auto"/>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0.43</w:t>
            </w:r>
          </w:p>
        </w:tc>
        <w:tc>
          <w:tcPr>
            <w:tcW w:w="1021"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single" w:sz="4" w:space="0" w:color="auto"/>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0.87</w:t>
            </w:r>
          </w:p>
        </w:tc>
        <w:tc>
          <w:tcPr>
            <w:tcW w:w="1021"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val="restart"/>
            <w:tcBorders>
              <w:top w:val="single" w:sz="4" w:space="0" w:color="auto"/>
              <w:left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Juchowo</w:t>
            </w:r>
          </w:p>
        </w:tc>
        <w:tc>
          <w:tcPr>
            <w:tcW w:w="2200" w:type="dxa"/>
            <w:tcBorders>
              <w:top w:val="single" w:sz="4" w:space="0" w:color="auto"/>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Desulfobulbaceae</w:t>
            </w:r>
          </w:p>
        </w:tc>
        <w:tc>
          <w:tcPr>
            <w:tcW w:w="1021" w:type="dxa"/>
            <w:tcBorders>
              <w:top w:val="single" w:sz="4" w:space="0" w:color="auto"/>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0.31</w:t>
            </w:r>
          </w:p>
        </w:tc>
        <w:tc>
          <w:tcPr>
            <w:tcW w:w="1021" w:type="dxa"/>
            <w:tcBorders>
              <w:top w:val="single" w:sz="4" w:space="0" w:color="auto"/>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single" w:sz="4" w:space="0" w:color="auto"/>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0.93</w:t>
            </w:r>
          </w:p>
        </w:tc>
        <w:tc>
          <w:tcPr>
            <w:tcW w:w="1021" w:type="dxa"/>
            <w:tcBorders>
              <w:top w:val="single" w:sz="4" w:space="0" w:color="auto"/>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Mariprofundaceae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0.31</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0.99</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Gemmatimonadaceae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0.43</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0.84</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Flavobacteriaceae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0.00</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0.88</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Halieaceae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0.89</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1.00</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Oxalobacteraceae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0.29</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0.91</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Acetobacteraceae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0.25</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0.69</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Nocardioidaceae</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0.80</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ns</w:t>
            </w:r>
          </w:p>
        </w:tc>
        <w:tc>
          <w:tcPr>
            <w:tcW w:w="1021" w:type="dxa"/>
            <w:tcBorders>
              <w:top w:val="nil"/>
              <w:left w:val="nil"/>
              <w:bottom w:val="nil"/>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0.92</w:t>
            </w:r>
          </w:p>
        </w:tc>
        <w:tc>
          <w:tcPr>
            <w:tcW w:w="1021" w:type="dxa"/>
            <w:tcBorders>
              <w:top w:val="nil"/>
              <w:left w:val="nil"/>
              <w:bottom w:val="nil"/>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r>
        <w:trPr>
          <w:trHeight w:val="300"/>
        </w:trPr>
        <w:tc>
          <w:tcPr>
            <w:tcW w:w="1522" w:type="dxa"/>
            <w:vMerge/>
            <w:tcBorders>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p>
        </w:tc>
        <w:tc>
          <w:tcPr>
            <w:tcW w:w="2200"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i/>
                <w:iCs/>
                <w:color w:val="000000"/>
                <w:sz w:val="22"/>
              </w:rPr>
            </w:pPr>
            <w:r>
              <w:rPr>
                <w:rFonts w:ascii="Calibri" w:eastAsia="Times New Roman" w:hAnsi="Calibri" w:cs="Times New Roman"/>
                <w:i/>
                <w:iCs/>
                <w:color w:val="000000"/>
                <w:sz w:val="22"/>
              </w:rPr>
              <w:t>Polyangiaceae</w:t>
            </w:r>
          </w:p>
        </w:tc>
        <w:tc>
          <w:tcPr>
            <w:tcW w:w="1021" w:type="dxa"/>
            <w:tcBorders>
              <w:top w:val="nil"/>
              <w:left w:val="nil"/>
              <w:bottom w:val="single" w:sz="4" w:space="0" w:color="auto"/>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0.82</w:t>
            </w:r>
          </w:p>
        </w:tc>
        <w:tc>
          <w:tcPr>
            <w:tcW w:w="1021"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c>
          <w:tcPr>
            <w:tcW w:w="1021" w:type="dxa"/>
            <w:tcBorders>
              <w:top w:val="nil"/>
              <w:left w:val="nil"/>
              <w:bottom w:val="single" w:sz="4" w:space="0" w:color="auto"/>
              <w:right w:val="nil"/>
            </w:tcBorders>
            <w:shd w:val="clear" w:color="auto" w:fill="auto"/>
            <w:noWrap/>
            <w:vAlign w:val="center"/>
            <w:hideMark/>
          </w:tcPr>
          <w:p>
            <w:pPr>
              <w:spacing w:before="0" w:after="0"/>
              <w:jc w:val="right"/>
              <w:rPr>
                <w:rFonts w:ascii="Calibri" w:eastAsia="Times New Roman" w:hAnsi="Calibri" w:cs="Times New Roman"/>
                <w:color w:val="000000"/>
                <w:sz w:val="22"/>
              </w:rPr>
            </w:pPr>
            <w:r>
              <w:rPr>
                <w:rFonts w:ascii="Calibri" w:eastAsia="Times New Roman" w:hAnsi="Calibri" w:cs="Times New Roman"/>
                <w:color w:val="000000"/>
                <w:sz w:val="22"/>
              </w:rPr>
              <w:t>0.76</w:t>
            </w:r>
          </w:p>
        </w:tc>
        <w:tc>
          <w:tcPr>
            <w:tcW w:w="1021" w:type="dxa"/>
            <w:tcBorders>
              <w:top w:val="nil"/>
              <w:left w:val="nil"/>
              <w:bottom w:val="single" w:sz="4" w:space="0" w:color="auto"/>
              <w:right w:val="nil"/>
            </w:tcBorders>
            <w:shd w:val="clear" w:color="auto" w:fill="auto"/>
            <w:noWrap/>
            <w:vAlign w:val="center"/>
            <w:hideMark/>
          </w:tcPr>
          <w:p>
            <w:pPr>
              <w:spacing w:before="0" w:after="0"/>
              <w:rPr>
                <w:rFonts w:ascii="Calibri" w:eastAsia="Times New Roman" w:hAnsi="Calibri" w:cs="Times New Roman"/>
                <w:color w:val="000000"/>
                <w:sz w:val="22"/>
              </w:rPr>
            </w:pPr>
            <w:r>
              <w:rPr>
                <w:rFonts w:ascii="Calibri" w:eastAsia="Times New Roman" w:hAnsi="Calibri" w:cs="Times New Roman"/>
                <w:color w:val="000000"/>
                <w:sz w:val="22"/>
              </w:rPr>
              <w:t>***</w:t>
            </w:r>
          </w:p>
        </w:tc>
      </w:tr>
    </w:tbl>
    <w:p>
      <w:pPr>
        <w:spacing w:before="240"/>
      </w:pPr>
    </w:p>
    <w:sectPr>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rPr>
        <w:color w:val="C00000"/>
        <w:szCs w:val="24"/>
      </w:rPr>
    </w:pPr>
    <w:r>
      <w:rPr>
        <w:noProof/>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bottomMargin">
                <wp:align>top</wp:align>
              </wp:positionV>
              <wp:extent cx="1508760" cy="395605"/>
              <wp:effectExtent l="0" t="0" r="0" b="0"/>
              <wp:wrapNone/>
              <wp:docPr id="8" name="Text Box 8"/>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noProof/>
                              <w:color w:val="000000" w:themeColor="text1"/>
                              <w:szCs w:val="40"/>
                            </w:rPr>
                            <w:t>4</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67.6pt;margin-top:0;width:118.8pt;height:31.15pt;z-index:25166540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" filled="f" stroked="f" strokeweight=".5pt">
              <v:textbox style="mso-fit-shape-to-text:t">
                <w:txbxContent>
                  <w:p>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noProof/>
                        <w:color w:val="000000" w:themeColor="text1"/>
                        <w:szCs w:val="40"/>
                      </w:rPr>
                      <w:t>4</w:t>
                    </w:r>
                    <w:r>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rPr>
        <w:b/>
        <w:sz w:val="20"/>
        <w:szCs w:val="24"/>
      </w:rPr>
    </w:pPr>
    <w:r>
      <w:rPr>
        <w:noProof/>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bottomMargin">
                <wp:align>top</wp:align>
              </wp:positionV>
              <wp:extent cx="1508760" cy="395605"/>
              <wp:effectExtent l="0" t="0" r="0" b="0"/>
              <wp:wrapNone/>
              <wp:docPr id="9" name="Text Box 9"/>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noProof/>
                              <w:color w:val="000000" w:themeColor="text1"/>
                              <w:szCs w:val="40"/>
                            </w:rPr>
                            <w:t>3</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67.6pt;margin-top:0;width:118.8pt;height:31.15pt;z-index:25166438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Mm8ELg1AgAAZgQAAA4AAAAAAAAAAAAAAAAALgIA&#10;AGRycy9lMm9Eb2MueG1sUEsBAi0AFAAGAAgAAAAhADiwEsPZAAAABAEAAA8AAAAAAAAAAAAAAAAA&#10;jwQAAGRycy9kb3ducmV2LnhtbFBLBQYAAAAABAAEAPMAAACVBQAAAAA=&#10;" filled="f" stroked="f" strokeweight=".5pt">
              <v:textbox style="mso-fit-shape-to-text:t">
                <w:txbxContent>
                  <w:p>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noProof/>
                        <w:color w:val="000000" w:themeColor="text1"/>
                        <w:szCs w:val="40"/>
                      </w:rPr>
                      <w:t>3</w:t>
                    </w:r>
                    <w:r>
                      <w:rPr>
                        <w:color w:val="000000" w:themeColor="text1"/>
                        <w:szCs w:val="40"/>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rPr>
        <w:color w:val="C00000"/>
        <w:szCs w:val="24"/>
      </w:rPr>
    </w:pPr>
    <w:r>
      <w:rPr>
        <w:noProof/>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bottomMargin">
                <wp:align>top</wp:align>
              </wp:positionV>
              <wp:extent cx="1508760" cy="395605"/>
              <wp:effectExtent l="0" t="0" r="0" b="0"/>
              <wp:wrapNone/>
              <wp:docPr id="3" name="Text Box 3"/>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noProof/>
                              <w:color w:val="000000" w:themeColor="text1"/>
                              <w:szCs w:val="40"/>
                            </w:rPr>
                            <w:t>4</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67.6pt;margin-top:0;width:118.8pt;height:31.15pt;z-index:25166233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" filled="f" stroked="f" strokeweight=".5pt">
              <v:textbox style="mso-fit-shape-to-text:t">
                <w:txbxContent>
                  <w:p>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noProof/>
                        <w:color w:val="000000" w:themeColor="text1"/>
                        <w:szCs w:val="40"/>
                      </w:rPr>
                      <w:t>4</w:t>
                    </w:r>
                    <w:r>
                      <w:rPr>
                        <w:color w:val="000000" w:themeColor="text1"/>
                        <w:szCs w:val="40"/>
                      </w:rPr>
                      <w:fldChar w:fldCharType="end"/>
                    </w:r>
                  </w:p>
                </w:txbxContent>
              </v:textbox>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rPr>
        <w:b/>
        <w:sz w:val="20"/>
        <w:szCs w:val="24"/>
      </w:rPr>
    </w:pPr>
    <w:r>
      <w:rPr>
        <w:noProof/>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bottomMargin">
                <wp:align>top</wp:align>
              </wp:positionV>
              <wp:extent cx="1508760" cy="395605"/>
              <wp:effectExtent l="0" t="0" r="0" b="0"/>
              <wp:wrapNone/>
              <wp:docPr id="4" name="Text Box 4"/>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noProof/>
                              <w:color w:val="000000" w:themeColor="text1"/>
                              <w:szCs w:val="40"/>
                            </w:rPr>
                            <w:t>3</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67.6pt;margin-top:0;width:118.8pt;height:31.15pt;z-index:25166131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" filled="f" stroked="f" strokeweight=".5pt">
              <v:textbox style="mso-fit-shape-to-text:t">
                <w:txbxContent>
                  <w:p>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noProof/>
                        <w:color w:val="000000" w:themeColor="text1"/>
                        <w:szCs w:val="40"/>
                      </w:rPr>
                      <w:t>3</w:t>
                    </w:r>
                    <w:r>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pPr>
      <w:r>
        <w:separator/>
      </w:r>
    </w:p>
  </w:footnote>
  <w:footnote w:type="continuationSeparator" w:id="0">
    <w:p>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rPr>
        <w:rFonts w:cs="Times New Roman"/>
      </w:rPr>
    </w:pPr>
    <w:r>
      <w:rPr>
        <w:rFonts w:cs="Times New Roman"/>
      </w:rPr>
      <w:ptab w:relativeTo="margin" w:alignment="center" w:leader="none"/>
    </w:r>
    <w:r>
      <w:rPr>
        <w:rFonts w:cs="Times New Roman"/>
      </w:rPr>
      <w:ptab w:relativeTo="margin" w:alignment="right" w:leader="none"/>
    </w:r>
    <w:r>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
      <w:rPr>
        <w:b/>
        <w:noProof/>
        <w:color w:val="A6A6A6" w:themeColor="background1" w:themeShade="A6"/>
      </w:rPr>
      <w:drawing>
        <wp:inline distT="0" distB="0" distL="0" distR="0">
          <wp:extent cx="1382534" cy="497091"/>
          <wp:effectExtent l="0" t="0" r="0" b="0"/>
          <wp:docPr id="10" name="Picture 10"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Pr>
        <w:b/>
      </w:rPr>
      <w:ptab w:relativeTo="margin" w:alignment="center" w:leader="none"/>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rPr>
        <w:rFonts w:cs="Times New Roman"/>
      </w:rPr>
    </w:pPr>
    <w:r>
      <w:rPr>
        <w:rFonts w:cs="Times New Roman"/>
      </w:rPr>
      <w:ptab w:relativeTo="margin" w:alignment="center" w:leader="none"/>
    </w:r>
    <w:r>
      <w:rPr>
        <w:rFonts w:cs="Times New Roman"/>
      </w:rPr>
      <w:ptab w:relativeTo="margin" w:alignment="right" w:leader="none"/>
    </w:r>
    <w:r>
      <w:rPr>
        <w:rFonts w:cs="Times New Roman"/>
      </w:rPr>
      <w:t>Supplementary Material</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
      <w:rPr>
        <w:b/>
        <w:noProof/>
        <w:color w:val="A6A6A6" w:themeColor="background1" w:themeShade="A6"/>
      </w:rPr>
      <w:drawing>
        <wp:inline distT="0" distB="0" distL="0" distR="0">
          <wp:extent cx="1382534" cy="497091"/>
          <wp:effectExtent l="0" t="0" r="0" b="0"/>
          <wp:docPr id="5" name="Picture 5"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pPr>
      <w:numPr>
        <w:numId w:val="19"/>
      </w:numPr>
      <w:spacing w:before="240"/>
      <w:contextualSpacing w:val="0"/>
      <w:outlineLvl w:val="0"/>
    </w:pPr>
    <w:rPr>
      <w:b/>
    </w:rPr>
  </w:style>
  <w:style w:type="paragraph" w:styleId="Heading2">
    <w:name w:val="heading 2"/>
    <w:basedOn w:val="Heading1"/>
    <w:next w:val="Normal"/>
    <w:link w:val="Heading2Char"/>
    <w:uiPriority w:val="2"/>
    <w:qFormat/>
    <w:pPr>
      <w:numPr>
        <w:ilvl w:val="1"/>
      </w:numPr>
      <w:spacing w:after="200"/>
      <w:outlineLvl w:val="1"/>
    </w:pPr>
  </w:style>
  <w:style w:type="paragraph" w:styleId="Heading3">
    <w:name w:val="heading 3"/>
    <w:basedOn w:val="Normal"/>
    <w:next w:val="Normal"/>
    <w:link w:val="Heading3Char"/>
    <w:uiPriority w:val="2"/>
    <w:qFormat/>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pPr>
      <w:numPr>
        <w:ilvl w:val="3"/>
      </w:numPr>
      <w:outlineLvl w:val="3"/>
    </w:pPr>
    <w:rPr>
      <w:iCs/>
    </w:rPr>
  </w:style>
  <w:style w:type="paragraph" w:styleId="Heading5">
    <w:name w:val="heading 5"/>
    <w:basedOn w:val="Heading4"/>
    <w:next w:val="Normal"/>
    <w:link w:val="Heading5Char"/>
    <w:uiPriority w:val="2"/>
    <w:qFormat/>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pPr>
      <w:spacing w:before="240"/>
    </w:pPr>
    <w:rPr>
      <w:rFonts w:cs="Times New Roman"/>
      <w:b/>
      <w:szCs w:val="24"/>
    </w:rPr>
  </w:style>
  <w:style w:type="character" w:customStyle="1" w:styleId="SubtitleChar">
    <w:name w:val="Subtitle Char"/>
    <w:basedOn w:val="DefaultParagraphFont"/>
    <w:link w:val="Subtitle"/>
    <w:uiPriority w:val="99"/>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BookTitle">
    <w:name w:val="Book Title"/>
    <w:basedOn w:val="DefaultParagraphFont"/>
    <w:uiPriority w:val="33"/>
    <w:qFormat/>
    <w:rPr>
      <w:rFonts w:ascii="Times New Roman" w:hAnsi="Times New Roman"/>
      <w:b/>
      <w:bCs/>
      <w:i/>
      <w:iCs/>
      <w:spacing w:val="5"/>
    </w:rPr>
  </w:style>
  <w:style w:type="paragraph" w:styleId="Caption">
    <w:name w:val="caption"/>
    <w:basedOn w:val="Normal"/>
    <w:next w:val="NoSpacing"/>
    <w:uiPriority w:val="35"/>
    <w:unhideWhenUsed/>
    <w:qFormat/>
    <w:pPr>
      <w:keepNext/>
    </w:pPr>
    <w:rPr>
      <w:rFonts w:cs="Times New Roman"/>
      <w:b/>
      <w:bCs/>
      <w:szCs w:val="24"/>
    </w:rPr>
  </w:style>
  <w:style w:type="paragraph" w:styleId="NoSpacing">
    <w:name w:val="No Spacing"/>
    <w:uiPriority w:val="99"/>
    <w:unhideWhenUsed/>
    <w:qFormat/>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character" w:styleId="Emphasis">
    <w:name w:val="Emphasis"/>
    <w:basedOn w:val="DefaultParagraphFont"/>
    <w:uiPriority w:val="20"/>
    <w:qFormat/>
    <w:rPr>
      <w:rFonts w:ascii="Times New Roman" w:hAnsi="Times New Roman"/>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pPr>
    <w:rPr>
      <w:sz w:val="20"/>
      <w:szCs w:val="20"/>
    </w:rPr>
  </w:style>
  <w:style w:type="character" w:customStyle="1" w:styleId="EndnoteTextChar">
    <w:name w:val="Endnote Text Char"/>
    <w:basedOn w:val="DefaultParagraphFont"/>
    <w:link w:val="EndnoteText"/>
    <w:uiPriority w:val="99"/>
    <w:semiHidden/>
    <w:rPr>
      <w:rFonts w:ascii="Times New Roman" w:hAnsi="Times New Roman"/>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Footer">
    <w:name w:val="footer"/>
    <w:basedOn w:val="Normal"/>
    <w:link w:val="FooterChar"/>
    <w:uiPriority w:val="99"/>
    <w:unhideWhenUsed/>
    <w:pPr>
      <w:tabs>
        <w:tab w:val="center" w:pos="4844"/>
        <w:tab w:val="right" w:pos="9689"/>
      </w:tabs>
      <w:spacing w:after="0"/>
    </w:pPr>
  </w:style>
  <w:style w:type="character" w:customStyle="1" w:styleId="FooterChar">
    <w:name w:val="Footer Char"/>
    <w:basedOn w:val="DefaultParagraphFont"/>
    <w:link w:val="Footer"/>
    <w:uiPriority w:val="99"/>
    <w:rPr>
      <w:rFonts w:ascii="Times New Roman" w:hAnsi="Times New Roman"/>
      <w:sz w:val="24"/>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sz w:val="20"/>
      <w:szCs w:val="20"/>
    </w:rPr>
  </w:style>
  <w:style w:type="paragraph" w:styleId="Header">
    <w:name w:val="header"/>
    <w:basedOn w:val="Normal"/>
    <w:link w:val="HeaderChar"/>
    <w:uiPriority w:val="99"/>
    <w:unhideWhenUsed/>
    <w:pPr>
      <w:tabs>
        <w:tab w:val="center" w:pos="4844"/>
        <w:tab w:val="right" w:pos="9689"/>
      </w:tabs>
    </w:pPr>
    <w:rPr>
      <w:b/>
    </w:rPr>
  </w:style>
  <w:style w:type="character" w:customStyle="1" w:styleId="HeaderChar">
    <w:name w:val="Header Char"/>
    <w:basedOn w:val="DefaultParagraphFont"/>
    <w:link w:val="Header"/>
    <w:uiPriority w:val="99"/>
    <w:rPr>
      <w:rFonts w:ascii="Times New Roman" w:hAnsi="Times New Roman"/>
      <w:b/>
      <w:sz w:val="24"/>
    </w:rPr>
  </w:style>
  <w:style w:type="paragraph" w:styleId="ListParagraph">
    <w:name w:val="List Paragraph"/>
    <w:basedOn w:val="Normal"/>
    <w:uiPriority w:val="3"/>
    <w:qFormat/>
    <w:pPr>
      <w:numPr>
        <w:numId w:val="13"/>
      </w:numPr>
      <w:contextualSpacing/>
    </w:pPr>
    <w:rPr>
      <w:rFonts w:eastAsia="Cambria" w:cs="Times New Roman"/>
      <w:szCs w:val="24"/>
    </w:rPr>
  </w:style>
  <w:style w:type="numbering" w:customStyle="1" w:styleId="Headings">
    <w:name w:val="Headings"/>
    <w:uiPriority w:val="99"/>
    <w:pPr>
      <w:numPr>
        <w:numId w:val="14"/>
      </w:numPr>
    </w:pPr>
  </w:style>
  <w:style w:type="character" w:styleId="Hyperlink">
    <w:name w:val="Hyperlink"/>
    <w:basedOn w:val="DefaultParagraphFont"/>
    <w:uiPriority w:val="99"/>
    <w:unhideWhenUsed/>
    <w:rPr>
      <w:color w:val="0000FF"/>
      <w:u w:val="single"/>
    </w:rPr>
  </w:style>
  <w:style w:type="character" w:styleId="IntenseEmphasis">
    <w:name w:val="Intense Emphasis"/>
    <w:basedOn w:val="DefaultParagraphFont"/>
    <w:uiPriority w:val="21"/>
    <w:unhideWhenUsed/>
    <w:rPr>
      <w:rFonts w:ascii="Times New Roman" w:hAnsi="Times New Roman"/>
      <w:i/>
      <w:iCs/>
      <w:color w:val="auto"/>
    </w:rPr>
  </w:style>
  <w:style w:type="character" w:styleId="IntenseReference">
    <w:name w:val="Intense Reference"/>
    <w:basedOn w:val="DefaultParagraphFont"/>
    <w:uiPriority w:val="32"/>
    <w:qFormat/>
    <w:rPr>
      <w:b/>
      <w:bCs/>
      <w:smallCaps/>
      <w:color w:val="auto"/>
      <w:spacing w:val="5"/>
    </w:rPr>
  </w:style>
  <w:style w:type="character" w:styleId="LineNumber">
    <w:name w:val="line number"/>
    <w:basedOn w:val="DefaultParagraphFont"/>
    <w:uiPriority w:val="99"/>
    <w:semiHidden/>
    <w:unhideWhenUsed/>
  </w:style>
  <w:style w:type="character" w:customStyle="1" w:styleId="Heading3Char">
    <w:name w:val="Heading 3 Char"/>
    <w:basedOn w:val="DefaultParagraphFont"/>
    <w:link w:val="Heading3"/>
    <w:uiPriority w:val="2"/>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Pr>
      <w:rFonts w:ascii="Times New Roman" w:eastAsiaTheme="majorEastAsia" w:hAnsi="Times New Roman" w:cstheme="majorBidi"/>
      <w:b/>
      <w:iCs/>
      <w:sz w:val="24"/>
      <w:szCs w:val="24"/>
    </w:rPr>
  </w:style>
  <w:style w:type="paragraph" w:styleId="NormalWeb">
    <w:name w:val="Normal (Web)"/>
    <w:basedOn w:val="Normal"/>
    <w:uiPriority w:val="99"/>
    <w:unhideWhenUsed/>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hAnsi="Times New Roman"/>
      <w:i/>
      <w:iCs/>
      <w:color w:val="404040" w:themeColor="text1" w:themeTint="BF"/>
      <w:sz w:val="24"/>
    </w:rPr>
  </w:style>
  <w:style w:type="character" w:styleId="Strong">
    <w:name w:val="Strong"/>
    <w:basedOn w:val="DefaultParagraphFont"/>
    <w:uiPriority w:val="22"/>
    <w:qFormat/>
    <w:rPr>
      <w:rFonts w:ascii="Times New Roman" w:hAnsi="Times New Roman"/>
      <w:b/>
      <w:bCs/>
    </w:rPr>
  </w:style>
  <w:style w:type="character" w:styleId="SubtleEmphasis">
    <w:name w:val="Subtle Emphasis"/>
    <w:basedOn w:val="DefaultParagraphFont"/>
    <w:uiPriority w:val="19"/>
    <w:qFormat/>
    <w:rPr>
      <w:rFonts w:ascii="Times New Roman" w:hAnsi="Times New Roman"/>
      <w:i/>
      <w:iCs/>
      <w:color w:val="404040" w:themeColor="text1" w:themeTint="BF"/>
    </w:rPr>
  </w:style>
  <w:style w:type="table" w:styleId="TableGrid">
    <w:name w:val="Table Grid"/>
    <w:basedOn w:val="TableNormal"/>
    <w:uiPriority w:val="59"/>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uppressLineNumbers/>
      <w:spacing w:before="240" w:after="360"/>
      <w:jc w:val="center"/>
    </w:pPr>
    <w:rPr>
      <w:rFonts w:cs="Times New Roman"/>
      <w:b/>
      <w:sz w:val="32"/>
      <w:szCs w:val="32"/>
    </w:rPr>
  </w:style>
  <w:style w:type="character" w:customStyle="1" w:styleId="TitleChar">
    <w:name w:val="Title Char"/>
    <w:basedOn w:val="DefaultParagraphFont"/>
    <w:link w:val="Title"/>
    <w:rPr>
      <w:rFonts w:ascii="Times New Roman" w:hAnsi="Times New Roman" w:cs="Times New Roman"/>
      <w:b/>
      <w:sz w:val="32"/>
      <w:szCs w:val="32"/>
    </w:rPr>
  </w:style>
  <w:style w:type="paragraph" w:customStyle="1" w:styleId="SupplementaryMaterial">
    <w:name w:val="Supplementary Material"/>
    <w:basedOn w:val="Title"/>
    <w:next w:val="Title"/>
    <w:qFormat/>
    <w:pPr>
      <w:spacing w:after="1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32393C4-D60B-4EAC-9F59-34EB3C546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55</TotalTime>
  <Pages>10</Pages>
  <Words>2039</Words>
  <Characters>11627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Cania, Barbara</cp:lastModifiedBy>
  <cp:revision>5</cp:revision>
  <cp:lastPrinted>2013-10-03T12:51:00Z</cp:lastPrinted>
  <dcterms:created xsi:type="dcterms:W3CDTF">2019-11-21T15:31:00Z</dcterms:created>
  <dcterms:modified xsi:type="dcterms:W3CDTF">2020-01-30T13:09:00Z</dcterms:modified>
</cp:coreProperties>
</file>