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BBF" w:rsidRPr="002E28D0" w:rsidRDefault="007D5BBF" w:rsidP="007D5BBF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bookmarkStart w:id="0" w:name="_GoBack"/>
      <w:r w:rsidRPr="002E28D0">
        <w:rPr>
          <w:rFonts w:ascii="Times New Roman" w:hAnsi="Times New Roman" w:cs="Times New Roman"/>
          <w:sz w:val="24"/>
          <w:szCs w:val="24"/>
        </w:rPr>
        <w:t xml:space="preserve">Figure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28D0">
        <w:rPr>
          <w:rFonts w:ascii="Times New Roman" w:hAnsi="Times New Roman" w:cs="Times New Roman"/>
          <w:sz w:val="24"/>
          <w:szCs w:val="24"/>
        </w:rPr>
        <w:t xml:space="preserve">1: </w:t>
      </w:r>
      <w:r w:rsidRPr="002E28D0">
        <w:rPr>
          <w:rFonts w:ascii="Times New Roman" w:hAnsi="Times New Roman" w:cs="Times New Roman"/>
          <w:sz w:val="24"/>
          <w:szCs w:val="24"/>
          <w:lang w:val="en-GB"/>
        </w:rPr>
        <w:t>Competition assays of GAD65Ab in Ghana and Europe</w:t>
      </w:r>
    </w:p>
    <w:p w:rsidR="007D5BBF" w:rsidRDefault="007D5BBF" w:rsidP="007D5BBF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28D0">
        <w:rPr>
          <w:rFonts w:ascii="Times New Roman" w:hAnsi="Times New Roman" w:cs="Times New Roman"/>
          <w:sz w:val="24"/>
          <w:szCs w:val="24"/>
        </w:rPr>
        <w:t xml:space="preserve">Binding of serum samples to radiolabeled GAD65: (A) 59 Ghanaian adults without diabetes, (B) 58 Ghanaian migrants in Europe without diabetes, </w:t>
      </w:r>
      <w:r w:rsidRPr="007B54E3">
        <w:rPr>
          <w:rFonts w:ascii="Times New Roman" w:hAnsi="Times New Roman" w:cs="Times New Roman"/>
          <w:sz w:val="24"/>
          <w:szCs w:val="24"/>
        </w:rPr>
        <w:t xml:space="preserve">and </w:t>
      </w:r>
      <w:r w:rsidRPr="007B54E3">
        <w:rPr>
          <w:rFonts w:ascii="Times New Roman" w:hAnsi="Times New Roman" w:cs="Times New Roman"/>
          <w:b/>
          <w:sz w:val="24"/>
          <w:szCs w:val="24"/>
        </w:rPr>
        <w:t>(C)</w:t>
      </w:r>
      <w:r w:rsidRPr="007B54E3">
        <w:rPr>
          <w:rFonts w:ascii="Times New Roman" w:hAnsi="Times New Roman" w:cs="Times New Roman"/>
          <w:sz w:val="24"/>
          <w:szCs w:val="24"/>
        </w:rPr>
        <w:t xml:space="preserve"> 44 European adults in Seattle without diabetes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Vertical lines indicate the cut-off for the specificity of binding, while horizontal lines indicate the corresponding cut-off to define GAD65Ab positivity.</w:t>
      </w:r>
    </w:p>
    <w:p w:rsidR="007D5BBF" w:rsidRPr="002E28D0" w:rsidRDefault="007D5BBF" w:rsidP="007D5BBF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5BBF" w:rsidRPr="002E28D0" w:rsidRDefault="007D5BBF" w:rsidP="007D5B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8D0">
        <w:rPr>
          <w:rFonts w:ascii="Times New Roman" w:hAnsi="Times New Roman" w:cs="Times New Roman"/>
          <w:sz w:val="24"/>
          <w:szCs w:val="24"/>
        </w:rPr>
        <w:t xml:space="preserve">Figure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28D0">
        <w:rPr>
          <w:rFonts w:ascii="Times New Roman" w:hAnsi="Times New Roman" w:cs="Times New Roman"/>
          <w:sz w:val="24"/>
          <w:szCs w:val="24"/>
        </w:rPr>
        <w:t>2: Receiver Operating Characteristic (ROC) analyses for Ghana and Europe</w:t>
      </w:r>
    </w:p>
    <w:p w:rsidR="007D5BBF" w:rsidRPr="007B54E3" w:rsidRDefault="007D5BBF" w:rsidP="007D5B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8D0">
        <w:rPr>
          <w:rFonts w:ascii="Times New Roman" w:hAnsi="Times New Roman" w:cs="Times New Roman"/>
          <w:sz w:val="24"/>
          <w:szCs w:val="24"/>
        </w:rPr>
        <w:t xml:space="preserve">ROC analysis for (A) 59 Ghanaian adults without diabetes and for (B) 58 Ghanaian migrants in Europe without diabetes </w:t>
      </w:r>
      <w:r w:rsidRPr="007B54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5BBF" w:rsidRDefault="007D5BBF" w:rsidP="007D5BBF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5BBF" w:rsidRPr="0089399B" w:rsidRDefault="007D5BBF" w:rsidP="007D5BBF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Figure S3</w:t>
      </w:r>
      <w:r w:rsidRPr="0089399B">
        <w:rPr>
          <w:rFonts w:ascii="Times New Roman" w:hAnsi="Times New Roman" w:cs="Times New Roman"/>
          <w:sz w:val="24"/>
          <w:szCs w:val="24"/>
        </w:rPr>
        <w:t>:</w:t>
      </w:r>
    </w:p>
    <w:p w:rsidR="007D5BBF" w:rsidRPr="0089399B" w:rsidRDefault="007D5BBF" w:rsidP="007D5BBF">
      <w:pPr>
        <w:shd w:val="clear" w:color="auto" w:fill="FFFFFF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9399B">
        <w:rPr>
          <w:rFonts w:ascii="Times New Roman" w:hAnsi="Times New Roman" w:cs="Times New Roman"/>
          <w:sz w:val="24"/>
          <w:szCs w:val="24"/>
        </w:rPr>
        <w:t>C</w:t>
      </w:r>
      <w:proofErr w:type="spellStart"/>
      <w:r w:rsidRPr="0089399B">
        <w:rPr>
          <w:rFonts w:ascii="Times New Roman" w:hAnsi="Times New Roman" w:cs="Times New Roman"/>
          <w:sz w:val="24"/>
          <w:szCs w:val="24"/>
          <w:lang w:val="en-GB"/>
        </w:rPr>
        <w:t>ut</w:t>
      </w:r>
      <w:proofErr w:type="spellEnd"/>
      <w:r w:rsidRPr="0089399B">
        <w:rPr>
          <w:rFonts w:ascii="Times New Roman" w:hAnsi="Times New Roman" w:cs="Times New Roman"/>
          <w:sz w:val="24"/>
          <w:szCs w:val="24"/>
          <w:lang w:val="en-GB"/>
        </w:rPr>
        <w:t>-offs for GAD65Ab positivity were calculated by Receiver Operator Characteristic (ROC) analysis using a competition assay as described in Figures S1 and S2. For the Ghanaian study sites, the cut-off was 121 U/mL, and for the European study sites, the cut-off was 97 U/mL (both with 78% sensitivity and 70% specificity).</w:t>
      </w:r>
    </w:p>
    <w:p w:rsidR="007D5BBF" w:rsidRPr="002E28D0" w:rsidRDefault="007D5BBF" w:rsidP="007D5BBF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7D5BBF" w:rsidRPr="002E28D0" w:rsidRDefault="007D5BBF" w:rsidP="007D5BBF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8D0">
        <w:rPr>
          <w:rFonts w:ascii="Times New Roman" w:hAnsi="Times New Roman" w:cs="Times New Roman"/>
          <w:sz w:val="24"/>
          <w:szCs w:val="24"/>
          <w:lang w:val="en-GB"/>
        </w:rPr>
        <w:t xml:space="preserve">Figure </w:t>
      </w:r>
      <w:r>
        <w:rPr>
          <w:rFonts w:ascii="Times New Roman" w:hAnsi="Times New Roman" w:cs="Times New Roman"/>
          <w:sz w:val="24"/>
          <w:szCs w:val="24"/>
          <w:lang w:val="en-GB"/>
        </w:rPr>
        <w:t>S4</w:t>
      </w:r>
      <w:r w:rsidRPr="002E28D0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 w:rsidRPr="002E28D0">
        <w:rPr>
          <w:rFonts w:ascii="Times New Roman" w:hAnsi="Times New Roman" w:cs="Times New Roman"/>
          <w:sz w:val="24"/>
          <w:szCs w:val="24"/>
        </w:rPr>
        <w:t>Immunglobulin</w:t>
      </w:r>
      <w:proofErr w:type="spellEnd"/>
      <w:r w:rsidRPr="002E28D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E28D0">
        <w:rPr>
          <w:rFonts w:ascii="Times New Roman" w:hAnsi="Times New Roman" w:cs="Times New Roman"/>
          <w:sz w:val="24"/>
          <w:szCs w:val="24"/>
        </w:rPr>
        <w:t>Ig</w:t>
      </w:r>
      <w:proofErr w:type="spellEnd"/>
      <w:r w:rsidRPr="002E28D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E28D0">
        <w:rPr>
          <w:rFonts w:ascii="Times New Roman" w:hAnsi="Times New Roman" w:cs="Times New Roman"/>
          <w:sz w:val="24"/>
          <w:szCs w:val="24"/>
        </w:rPr>
        <w:t>isotypes</w:t>
      </w:r>
      <w:proofErr w:type="spellEnd"/>
      <w:r w:rsidRPr="002E28D0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2E28D0">
        <w:rPr>
          <w:rFonts w:ascii="Times New Roman" w:hAnsi="Times New Roman" w:cs="Times New Roman"/>
          <w:sz w:val="24"/>
          <w:szCs w:val="24"/>
        </w:rPr>
        <w:t>IgG</w:t>
      </w:r>
      <w:proofErr w:type="spellEnd"/>
      <w:r w:rsidRPr="002E28D0">
        <w:rPr>
          <w:rFonts w:ascii="Times New Roman" w:hAnsi="Times New Roman" w:cs="Times New Roman"/>
          <w:sz w:val="24"/>
          <w:szCs w:val="24"/>
        </w:rPr>
        <w:t xml:space="preserve"> subclasses (mg/mL) in 316 participants by study site</w:t>
      </w:r>
    </w:p>
    <w:p w:rsidR="007D5BBF" w:rsidRPr="002E28D0" w:rsidRDefault="007D5BBF" w:rsidP="007D5BBF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8D0">
        <w:rPr>
          <w:rFonts w:ascii="Times New Roman" w:hAnsi="Times New Roman" w:cs="Times New Roman"/>
          <w:sz w:val="24"/>
          <w:szCs w:val="24"/>
        </w:rPr>
        <w:t xml:space="preserve">Immunoglobulin </w:t>
      </w:r>
      <w:proofErr w:type="spellStart"/>
      <w:r w:rsidRPr="002E28D0">
        <w:rPr>
          <w:rFonts w:ascii="Times New Roman" w:hAnsi="Times New Roman" w:cs="Times New Roman"/>
          <w:sz w:val="24"/>
          <w:szCs w:val="24"/>
        </w:rPr>
        <w:t>isotypes</w:t>
      </w:r>
      <w:proofErr w:type="spellEnd"/>
      <w:r w:rsidRPr="002E2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8D0">
        <w:rPr>
          <w:rFonts w:ascii="Times New Roman" w:hAnsi="Times New Roman" w:cs="Times New Roman"/>
          <w:sz w:val="24"/>
          <w:szCs w:val="24"/>
        </w:rPr>
        <w:t>IgD</w:t>
      </w:r>
      <w:proofErr w:type="spellEnd"/>
      <w:r w:rsidRPr="002E28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28D0">
        <w:rPr>
          <w:rFonts w:ascii="Times New Roman" w:hAnsi="Times New Roman" w:cs="Times New Roman"/>
          <w:sz w:val="24"/>
          <w:szCs w:val="24"/>
        </w:rPr>
        <w:t>IgM</w:t>
      </w:r>
      <w:proofErr w:type="spellEnd"/>
      <w:r w:rsidRPr="002E28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28D0">
        <w:rPr>
          <w:rFonts w:ascii="Times New Roman" w:hAnsi="Times New Roman" w:cs="Times New Roman"/>
          <w:sz w:val="24"/>
          <w:szCs w:val="24"/>
        </w:rPr>
        <w:t>IgE</w:t>
      </w:r>
      <w:proofErr w:type="spellEnd"/>
      <w:r w:rsidRPr="002E28D0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2E28D0">
        <w:rPr>
          <w:rFonts w:ascii="Times New Roman" w:hAnsi="Times New Roman" w:cs="Times New Roman"/>
          <w:sz w:val="24"/>
          <w:szCs w:val="24"/>
        </w:rPr>
        <w:t>IgG</w:t>
      </w:r>
      <w:proofErr w:type="spellEnd"/>
      <w:r w:rsidRPr="002E28D0">
        <w:rPr>
          <w:rFonts w:ascii="Times New Roman" w:hAnsi="Times New Roman" w:cs="Times New Roman"/>
          <w:sz w:val="24"/>
          <w:szCs w:val="24"/>
        </w:rPr>
        <w:t xml:space="preserve"> subclasses IgG1, IgG2, IgG3, and IgG4 are shown in mg/mL: B, Berlin; G, Ghana; L, London; A, Amsterdam. Median concentrations are indicated. Significant differences in immunoglobulin concentrations between study sites are indicated by horizontal bars and asterisks (*, p-value &lt;0.05-0.01; **, p-value &lt;0.01-0.001; ***, p-value &lt;0.0001).</w:t>
      </w:r>
    </w:p>
    <w:p w:rsidR="007D5BBF" w:rsidRPr="002E28D0" w:rsidRDefault="007D5BBF" w:rsidP="007D5BBF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0046" w:rsidRDefault="007D5BBF" w:rsidP="007D5BBF">
      <w:r w:rsidRPr="002E28D0">
        <w:rPr>
          <w:rFonts w:ascii="Times New Roman" w:hAnsi="Times New Roman" w:cs="Times New Roman"/>
          <w:sz w:val="24"/>
          <w:szCs w:val="24"/>
        </w:rPr>
        <w:lastRenderedPageBreak/>
        <w:t xml:space="preserve">Figure </w:t>
      </w:r>
      <w:r>
        <w:rPr>
          <w:rFonts w:ascii="Times New Roman" w:hAnsi="Times New Roman" w:cs="Times New Roman"/>
          <w:sz w:val="24"/>
          <w:szCs w:val="24"/>
        </w:rPr>
        <w:t>S5</w:t>
      </w:r>
      <w:r w:rsidRPr="002E28D0">
        <w:rPr>
          <w:rFonts w:ascii="Times New Roman" w:hAnsi="Times New Roman" w:cs="Times New Roman"/>
          <w:sz w:val="24"/>
          <w:szCs w:val="24"/>
        </w:rPr>
        <w:t xml:space="preserve">: Spearman correlations between GAD65Ab and immunoglobulin </w:t>
      </w:r>
      <w:proofErr w:type="spellStart"/>
      <w:r w:rsidRPr="002E28D0">
        <w:rPr>
          <w:rFonts w:ascii="Times New Roman" w:hAnsi="Times New Roman" w:cs="Times New Roman"/>
          <w:sz w:val="24"/>
          <w:szCs w:val="24"/>
        </w:rPr>
        <w:t>isotypes</w:t>
      </w:r>
      <w:proofErr w:type="spellEnd"/>
      <w:r w:rsidRPr="002E28D0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2E28D0">
        <w:rPr>
          <w:rFonts w:ascii="Times New Roman" w:hAnsi="Times New Roman" w:cs="Times New Roman"/>
          <w:sz w:val="24"/>
          <w:szCs w:val="24"/>
        </w:rPr>
        <w:t>IgG</w:t>
      </w:r>
      <w:proofErr w:type="spellEnd"/>
      <w:r w:rsidRPr="002E28D0">
        <w:rPr>
          <w:rFonts w:ascii="Times New Roman" w:hAnsi="Times New Roman" w:cs="Times New Roman"/>
          <w:sz w:val="24"/>
          <w:szCs w:val="24"/>
        </w:rPr>
        <w:t xml:space="preserve"> subclasses concentrations in 316 participants</w:t>
      </w:r>
      <w:bookmarkEnd w:id="0"/>
    </w:p>
    <w:sectPr w:rsidR="00E100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BBF"/>
    <w:rsid w:val="0019679A"/>
    <w:rsid w:val="002F36CF"/>
    <w:rsid w:val="00522011"/>
    <w:rsid w:val="0057447F"/>
    <w:rsid w:val="00601EC1"/>
    <w:rsid w:val="006169C1"/>
    <w:rsid w:val="006A69DF"/>
    <w:rsid w:val="007D5BBF"/>
    <w:rsid w:val="00927732"/>
    <w:rsid w:val="00932261"/>
    <w:rsid w:val="00CD36A0"/>
    <w:rsid w:val="00E10046"/>
    <w:rsid w:val="00E8756D"/>
    <w:rsid w:val="00F079FF"/>
    <w:rsid w:val="00F56E9B"/>
    <w:rsid w:val="00FC2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233</Words>
  <Characters>1334</Characters>
  <Application>Microsoft Office Word</Application>
  <DocSecurity>0</DocSecurity>
  <Lines>11</Lines>
  <Paragraphs>3</Paragraphs>
  <ScaleCrop>false</ScaleCrop>
  <Company>Microsoft</Company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Gaurav Kumar</dc:creator>
  <cp:lastModifiedBy>Gaurav Kumar</cp:lastModifiedBy>
  <cp:revision>1</cp:revision>
  <dcterms:created xsi:type="dcterms:W3CDTF">2020-04-23T11:39:00Z</dcterms:created>
  <dcterms:modified xsi:type="dcterms:W3CDTF">2020-04-23T11:40:00Z</dcterms:modified>
</cp:coreProperties>
</file>