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02A27" w14:textId="7F9C4AD3" w:rsidR="00BE3EB6" w:rsidRPr="00F83C46" w:rsidRDefault="00BE3EB6" w:rsidP="00BE3EB6">
      <w:pPr>
        <w:jc w:val="center"/>
        <w:rPr>
          <w:rFonts w:ascii="Arial" w:hAnsi="Arial" w:cs="Arial"/>
          <w:b/>
          <w:bCs/>
          <w:sz w:val="32"/>
          <w:szCs w:val="32"/>
          <w:lang w:val="en-GB"/>
        </w:rPr>
      </w:pPr>
      <w:bookmarkStart w:id="0" w:name="_Hlk24496366"/>
      <w:r w:rsidRPr="00BE3EB6">
        <w:rPr>
          <w:rFonts w:ascii="Arial" w:hAnsi="Arial" w:cs="Arial"/>
          <w:b/>
          <w:bCs/>
          <w:sz w:val="32"/>
          <w:szCs w:val="32"/>
        </w:rPr>
        <w:t xml:space="preserve">Immune landscape and a </w:t>
      </w:r>
      <w:r w:rsidR="00695882">
        <w:rPr>
          <w:rFonts w:ascii="Arial" w:hAnsi="Arial" w:cs="Arial"/>
          <w:b/>
          <w:bCs/>
          <w:sz w:val="32"/>
          <w:szCs w:val="32"/>
        </w:rPr>
        <w:t>n</w:t>
      </w:r>
      <w:r w:rsidRPr="00BE3EB6">
        <w:rPr>
          <w:rFonts w:ascii="Arial" w:hAnsi="Arial" w:cs="Arial"/>
          <w:b/>
          <w:bCs/>
          <w:sz w:val="32"/>
          <w:szCs w:val="32"/>
        </w:rPr>
        <w:t xml:space="preserve">ovel </w:t>
      </w:r>
      <w:r w:rsidR="00695882">
        <w:rPr>
          <w:rFonts w:ascii="Arial" w:hAnsi="Arial" w:cs="Arial"/>
          <w:b/>
          <w:bCs/>
          <w:sz w:val="32"/>
          <w:szCs w:val="32"/>
        </w:rPr>
        <w:t>i</w:t>
      </w:r>
      <w:r w:rsidRPr="00BE3EB6">
        <w:rPr>
          <w:rFonts w:ascii="Arial" w:hAnsi="Arial" w:cs="Arial"/>
          <w:b/>
          <w:bCs/>
          <w:sz w:val="32"/>
          <w:szCs w:val="32"/>
        </w:rPr>
        <w:t>mmun</w:t>
      </w:r>
      <w:r>
        <w:rPr>
          <w:rFonts w:ascii="Arial" w:hAnsi="Arial" w:cs="Arial" w:hint="eastAsia"/>
          <w:b/>
          <w:bCs/>
          <w:sz w:val="32"/>
          <w:szCs w:val="32"/>
        </w:rPr>
        <w:t>othe</w:t>
      </w:r>
      <w:r>
        <w:rPr>
          <w:rFonts w:ascii="Arial" w:hAnsi="Arial" w:cs="Arial"/>
          <w:b/>
          <w:bCs/>
          <w:sz w:val="32"/>
          <w:szCs w:val="32"/>
        </w:rPr>
        <w:t>rapy-related</w:t>
      </w:r>
      <w:r w:rsidRPr="00BE3EB6">
        <w:rPr>
          <w:rFonts w:ascii="Arial" w:hAnsi="Arial" w:cs="Arial"/>
          <w:b/>
          <w:bCs/>
          <w:sz w:val="32"/>
          <w:szCs w:val="32"/>
        </w:rPr>
        <w:t xml:space="preserve"> </w:t>
      </w:r>
      <w:r w:rsidR="00695882">
        <w:rPr>
          <w:rFonts w:ascii="Arial" w:hAnsi="Arial" w:cs="Arial"/>
          <w:b/>
          <w:bCs/>
          <w:sz w:val="32"/>
          <w:szCs w:val="32"/>
        </w:rPr>
        <w:t>g</w:t>
      </w:r>
      <w:r w:rsidRPr="00BE3EB6">
        <w:rPr>
          <w:rFonts w:ascii="Arial" w:hAnsi="Arial" w:cs="Arial"/>
          <w:b/>
          <w:bCs/>
          <w:sz w:val="32"/>
          <w:szCs w:val="32"/>
        </w:rPr>
        <w:t xml:space="preserve">ene </w:t>
      </w:r>
      <w:r w:rsidR="00695882">
        <w:rPr>
          <w:rFonts w:ascii="Arial" w:hAnsi="Arial" w:cs="Arial"/>
          <w:b/>
          <w:bCs/>
          <w:sz w:val="32"/>
          <w:szCs w:val="32"/>
        </w:rPr>
        <w:t>s</w:t>
      </w:r>
      <w:r w:rsidRPr="00BE3EB6">
        <w:rPr>
          <w:rFonts w:ascii="Arial" w:hAnsi="Arial" w:cs="Arial"/>
          <w:b/>
          <w:bCs/>
          <w:sz w:val="32"/>
          <w:szCs w:val="32"/>
        </w:rPr>
        <w:t xml:space="preserve">ignature associated with </w:t>
      </w:r>
      <w:r w:rsidR="00695882">
        <w:rPr>
          <w:rFonts w:ascii="Arial" w:hAnsi="Arial" w:cs="Arial"/>
          <w:b/>
          <w:bCs/>
          <w:sz w:val="32"/>
          <w:szCs w:val="32"/>
        </w:rPr>
        <w:t>c</w:t>
      </w:r>
      <w:r w:rsidRPr="00BE3EB6">
        <w:rPr>
          <w:rFonts w:ascii="Arial" w:hAnsi="Arial" w:cs="Arial"/>
          <w:b/>
          <w:bCs/>
          <w:sz w:val="32"/>
          <w:szCs w:val="32"/>
        </w:rPr>
        <w:t xml:space="preserve">linical </w:t>
      </w:r>
      <w:r w:rsidR="00695882">
        <w:rPr>
          <w:rFonts w:ascii="Arial" w:hAnsi="Arial" w:cs="Arial"/>
          <w:b/>
          <w:bCs/>
          <w:sz w:val="32"/>
          <w:szCs w:val="32"/>
        </w:rPr>
        <w:t>o</w:t>
      </w:r>
      <w:r w:rsidRPr="00BE3EB6">
        <w:rPr>
          <w:rFonts w:ascii="Arial" w:hAnsi="Arial" w:cs="Arial"/>
          <w:b/>
          <w:bCs/>
          <w:sz w:val="32"/>
          <w:szCs w:val="32"/>
        </w:rPr>
        <w:t xml:space="preserve">utcome </w:t>
      </w:r>
      <w:r w:rsidRPr="00F83C46">
        <w:rPr>
          <w:rFonts w:ascii="Arial" w:hAnsi="Arial" w:cs="Arial"/>
          <w:b/>
          <w:bCs/>
          <w:sz w:val="32"/>
          <w:szCs w:val="32"/>
          <w:lang w:val="en-GB"/>
        </w:rPr>
        <w:t>in early stage-lung adenocarcinoma</w:t>
      </w:r>
    </w:p>
    <w:bookmarkEnd w:id="0"/>
    <w:p w14:paraId="0B25DA67" w14:textId="50D018AA" w:rsidR="00A644FD" w:rsidRPr="00F83C46" w:rsidRDefault="00926A2B" w:rsidP="00A644FD">
      <w:pPr>
        <w:jc w:val="left"/>
        <w:outlineLvl w:val="0"/>
        <w:rPr>
          <w:rFonts w:ascii="Arial" w:hAnsi="Arial" w:cs="Arial"/>
          <w:b/>
          <w:sz w:val="24"/>
          <w:szCs w:val="24"/>
          <w:vertAlign w:val="superscript"/>
          <w:lang w:val="en-GB"/>
        </w:rPr>
      </w:pPr>
      <w:r w:rsidRPr="00F83C46">
        <w:rPr>
          <w:rFonts w:ascii="Arial" w:hAnsi="Arial" w:cs="Arial"/>
          <w:b/>
          <w:sz w:val="24"/>
          <w:szCs w:val="24"/>
          <w:lang w:val="en-GB"/>
        </w:rPr>
        <w:t xml:space="preserve">Xuanwen Bao </w:t>
      </w:r>
      <w:bookmarkStart w:id="1" w:name="_Hlk519419445"/>
      <w:r w:rsidRPr="00F83C46">
        <w:rPr>
          <w:rFonts w:ascii="Arial" w:hAnsi="Arial" w:cs="Arial"/>
          <w:b/>
          <w:sz w:val="24"/>
          <w:szCs w:val="24"/>
          <w:vertAlign w:val="superscript"/>
          <w:lang w:val="en-GB"/>
        </w:rPr>
        <w:t>1, 2</w:t>
      </w:r>
      <w:bookmarkEnd w:id="1"/>
      <w:r w:rsidRPr="00F83C46">
        <w:rPr>
          <w:rFonts w:ascii="Arial" w:hAnsi="Arial" w:cs="Arial"/>
          <w:b/>
          <w:sz w:val="24"/>
          <w:szCs w:val="24"/>
          <w:vertAlign w:val="superscript"/>
          <w:lang w:val="en-GB"/>
        </w:rPr>
        <w:t>*‡</w:t>
      </w:r>
      <w:r w:rsidRPr="00F83C46">
        <w:rPr>
          <w:rFonts w:ascii="Arial" w:hAnsi="Arial" w:cs="Arial"/>
          <w:b/>
          <w:sz w:val="24"/>
          <w:szCs w:val="24"/>
          <w:lang w:val="en-GB"/>
        </w:rPr>
        <w:t xml:space="preserve">, Run Shi </w:t>
      </w:r>
      <w:r w:rsidRPr="00F83C46">
        <w:rPr>
          <w:rFonts w:ascii="Arial" w:hAnsi="Arial" w:cs="Arial"/>
          <w:b/>
          <w:sz w:val="24"/>
          <w:szCs w:val="24"/>
          <w:vertAlign w:val="superscript"/>
          <w:lang w:val="en-GB"/>
        </w:rPr>
        <w:t>3*</w:t>
      </w:r>
      <w:r w:rsidRPr="00F83C46">
        <w:rPr>
          <w:rFonts w:ascii="Arial" w:hAnsi="Arial" w:cs="Arial"/>
          <w:b/>
          <w:sz w:val="24"/>
          <w:szCs w:val="24"/>
          <w:lang w:val="en-GB"/>
        </w:rPr>
        <w:t xml:space="preserve">, Tianyu Zhao </w:t>
      </w:r>
      <w:r w:rsidRPr="00F83C46">
        <w:rPr>
          <w:rFonts w:ascii="Arial" w:hAnsi="Arial" w:cs="Arial"/>
          <w:b/>
          <w:sz w:val="24"/>
          <w:szCs w:val="24"/>
          <w:vertAlign w:val="superscript"/>
          <w:lang w:val="en-GB"/>
        </w:rPr>
        <w:t>4, 5</w:t>
      </w:r>
      <w:r w:rsidRPr="00F83C46">
        <w:rPr>
          <w:rFonts w:ascii="Arial" w:hAnsi="Arial" w:cs="Arial"/>
          <w:b/>
          <w:sz w:val="24"/>
          <w:szCs w:val="24"/>
          <w:lang w:val="en-GB"/>
        </w:rPr>
        <w:t xml:space="preserve">, Yanfang Wang </w:t>
      </w:r>
      <w:r w:rsidRPr="00F83C46">
        <w:rPr>
          <w:rFonts w:ascii="Arial" w:hAnsi="Arial" w:cs="Arial"/>
          <w:b/>
          <w:sz w:val="24"/>
          <w:szCs w:val="24"/>
          <w:vertAlign w:val="superscript"/>
          <w:lang w:val="en-GB"/>
        </w:rPr>
        <w:t>6‡</w:t>
      </w:r>
    </w:p>
    <w:p w14:paraId="46385F9C" w14:textId="14A1BE59" w:rsidR="00A644FD" w:rsidRPr="00F83C46" w:rsidRDefault="00926A2B" w:rsidP="00A644FD">
      <w:pPr>
        <w:pStyle w:val="a5"/>
        <w:numPr>
          <w:ilvl w:val="0"/>
          <w:numId w:val="2"/>
        </w:numPr>
        <w:ind w:left="357" w:firstLineChars="0" w:hanging="357"/>
        <w:rPr>
          <w:rFonts w:ascii="Arial" w:hAnsi="Arial" w:cs="Arial"/>
          <w:sz w:val="24"/>
          <w:szCs w:val="24"/>
          <w:lang w:val="en-GB"/>
        </w:rPr>
      </w:pPr>
      <w:r w:rsidRPr="00F83C46">
        <w:rPr>
          <w:rFonts w:ascii="Arial" w:hAnsi="Arial" w:cs="Arial"/>
          <w:sz w:val="24"/>
          <w:szCs w:val="24"/>
          <w:lang w:val="en-GB"/>
        </w:rPr>
        <w:t xml:space="preserve">Institute of Radiation Biology, </w:t>
      </w:r>
      <w:bookmarkStart w:id="2" w:name="_Hlk519419415"/>
      <w:r w:rsidRPr="00F83C46">
        <w:rPr>
          <w:rFonts w:ascii="Arial" w:hAnsi="Arial" w:cs="Arial"/>
          <w:sz w:val="24"/>
          <w:szCs w:val="24"/>
          <w:lang w:val="en-GB"/>
        </w:rPr>
        <w:t>Helmholtz Center Munich, German Research Center for Environmental Health, 85764 Neuherberg, Germany</w:t>
      </w:r>
      <w:bookmarkEnd w:id="2"/>
      <w:r w:rsidR="00AA269D" w:rsidRPr="00F83C46">
        <w:rPr>
          <w:rFonts w:ascii="Arial" w:hAnsi="Arial" w:cs="Arial"/>
          <w:sz w:val="24"/>
          <w:szCs w:val="24"/>
          <w:lang w:val="en-GB"/>
        </w:rPr>
        <w:t>.</w:t>
      </w:r>
    </w:p>
    <w:p w14:paraId="7BB8B45E" w14:textId="11DB220E" w:rsidR="00A644FD" w:rsidRPr="00F83C46" w:rsidRDefault="00926A2B" w:rsidP="00A644FD">
      <w:pPr>
        <w:pStyle w:val="a5"/>
        <w:numPr>
          <w:ilvl w:val="0"/>
          <w:numId w:val="2"/>
        </w:numPr>
        <w:ind w:left="357" w:firstLineChars="0" w:hanging="357"/>
        <w:rPr>
          <w:rFonts w:ascii="Arial" w:hAnsi="Arial" w:cs="Arial"/>
          <w:sz w:val="24"/>
          <w:szCs w:val="24"/>
          <w:lang w:val="en-GB"/>
        </w:rPr>
      </w:pPr>
      <w:r w:rsidRPr="00F83C46">
        <w:rPr>
          <w:rFonts w:ascii="Arial" w:hAnsi="Arial" w:cs="Arial"/>
          <w:sz w:val="24"/>
          <w:szCs w:val="24"/>
          <w:lang w:val="en-GB"/>
        </w:rPr>
        <w:t>Technical University Munich (TUM), 80333 Munich, Germany</w:t>
      </w:r>
      <w:r w:rsidR="00AA269D" w:rsidRPr="00F83C46">
        <w:rPr>
          <w:rFonts w:ascii="Arial" w:hAnsi="Arial" w:cs="Arial"/>
          <w:sz w:val="24"/>
          <w:szCs w:val="24"/>
          <w:lang w:val="en-GB"/>
        </w:rPr>
        <w:t>.</w:t>
      </w:r>
    </w:p>
    <w:p w14:paraId="4D9CDBD8" w14:textId="2B321F9B" w:rsidR="00A644FD" w:rsidRPr="00F83C46" w:rsidRDefault="00926A2B" w:rsidP="00A644FD">
      <w:pPr>
        <w:pStyle w:val="a5"/>
        <w:numPr>
          <w:ilvl w:val="0"/>
          <w:numId w:val="2"/>
        </w:numPr>
        <w:ind w:firstLineChars="0"/>
        <w:rPr>
          <w:rFonts w:ascii="Arial" w:hAnsi="Arial" w:cs="Arial"/>
          <w:sz w:val="24"/>
          <w:szCs w:val="24"/>
          <w:lang w:val="en-GB"/>
        </w:rPr>
      </w:pPr>
      <w:bookmarkStart w:id="3" w:name="_Hlk22041032"/>
      <w:r w:rsidRPr="00F83C46">
        <w:rPr>
          <w:rFonts w:ascii="Arial" w:hAnsi="Arial" w:cs="Arial"/>
          <w:sz w:val="24"/>
          <w:szCs w:val="24"/>
          <w:lang w:val="en-GB"/>
        </w:rPr>
        <w:t>Department of Radiation Oncology, University Hospital, Ludwig Maximilian University of Munich, Munich, Germany.</w:t>
      </w:r>
    </w:p>
    <w:bookmarkEnd w:id="3"/>
    <w:p w14:paraId="733AC540" w14:textId="5FA8E17C" w:rsidR="00A644FD" w:rsidRPr="00F83C46" w:rsidRDefault="00926A2B" w:rsidP="00A644FD">
      <w:pPr>
        <w:pStyle w:val="a5"/>
        <w:numPr>
          <w:ilvl w:val="0"/>
          <w:numId w:val="2"/>
        </w:numPr>
        <w:ind w:firstLineChars="0"/>
        <w:rPr>
          <w:rFonts w:ascii="Arial" w:hAnsi="Arial" w:cs="Arial"/>
          <w:sz w:val="24"/>
          <w:szCs w:val="24"/>
          <w:lang w:val="en-GB"/>
        </w:rPr>
      </w:pPr>
      <w:r w:rsidRPr="00F83C46">
        <w:rPr>
          <w:rFonts w:ascii="Arial" w:hAnsi="Arial" w:cs="Arial"/>
          <w:sz w:val="24"/>
          <w:szCs w:val="24"/>
          <w:lang w:val="en-GB"/>
        </w:rPr>
        <w:t>Institute and Clinic for Occupational, Social and Environmental Medicine, University Hospital, Ludwig Maximilian University of Munich; Comprehensive Pneumology Center (CPC) Munich, member DZL; German Center for Lung Research, Munich, Germany.</w:t>
      </w:r>
    </w:p>
    <w:p w14:paraId="4EAFDB0A" w14:textId="59A116A8" w:rsidR="00A644FD" w:rsidRPr="00F83C46" w:rsidRDefault="00926A2B" w:rsidP="00A644FD">
      <w:pPr>
        <w:pStyle w:val="a5"/>
        <w:numPr>
          <w:ilvl w:val="0"/>
          <w:numId w:val="2"/>
        </w:numPr>
        <w:ind w:firstLineChars="0"/>
        <w:rPr>
          <w:rFonts w:ascii="Arial" w:hAnsi="Arial" w:cs="Arial"/>
          <w:sz w:val="24"/>
          <w:szCs w:val="24"/>
          <w:lang w:val="en-GB"/>
        </w:rPr>
      </w:pPr>
      <w:r w:rsidRPr="00F83C46">
        <w:rPr>
          <w:rFonts w:ascii="Arial" w:hAnsi="Arial" w:cs="Arial"/>
          <w:sz w:val="24"/>
          <w:szCs w:val="24"/>
          <w:lang w:val="en-GB"/>
        </w:rPr>
        <w:t>Institute of Epidemiology, Helmholtz Zentrum München, German Research Center for Environmental Health, Neuherberg, Germany.</w:t>
      </w:r>
    </w:p>
    <w:p w14:paraId="77EC6C09" w14:textId="17BE48FD" w:rsidR="00A644FD" w:rsidRPr="00F83C46" w:rsidRDefault="00926A2B" w:rsidP="00A644FD">
      <w:pPr>
        <w:pStyle w:val="a5"/>
        <w:numPr>
          <w:ilvl w:val="0"/>
          <w:numId w:val="2"/>
        </w:numPr>
        <w:ind w:left="357" w:firstLineChars="0" w:hanging="357"/>
        <w:rPr>
          <w:rFonts w:ascii="Arial" w:hAnsi="Arial" w:cs="Arial"/>
          <w:sz w:val="24"/>
          <w:szCs w:val="24"/>
          <w:lang w:val="de-DE"/>
        </w:rPr>
      </w:pPr>
      <w:r w:rsidRPr="00F83C46">
        <w:rPr>
          <w:rFonts w:ascii="Arial" w:hAnsi="Arial" w:cs="Arial"/>
          <w:sz w:val="24"/>
          <w:szCs w:val="24"/>
          <w:lang w:val="de-DE"/>
        </w:rPr>
        <w:t>Ludwig-Maximilians-Universität München (LMU), 80539 Munich, Germany</w:t>
      </w:r>
      <w:r w:rsidR="00AA269D" w:rsidRPr="00F83C46">
        <w:rPr>
          <w:rFonts w:ascii="Arial" w:hAnsi="Arial" w:cs="Arial"/>
          <w:sz w:val="24"/>
          <w:szCs w:val="24"/>
          <w:lang w:val="de-DE"/>
        </w:rPr>
        <w:t>.</w:t>
      </w:r>
    </w:p>
    <w:p w14:paraId="07A2F881" w14:textId="77777777" w:rsidR="00A644FD" w:rsidRPr="00F83C46" w:rsidRDefault="00A644FD" w:rsidP="00A644FD">
      <w:pPr>
        <w:pStyle w:val="a5"/>
        <w:ind w:left="357" w:firstLineChars="0" w:firstLine="0"/>
        <w:rPr>
          <w:rFonts w:ascii="Arial" w:hAnsi="Arial" w:cs="Arial"/>
          <w:sz w:val="24"/>
          <w:szCs w:val="24"/>
          <w:lang w:val="de-DE"/>
        </w:rPr>
      </w:pPr>
    </w:p>
    <w:p w14:paraId="4FF14853" w14:textId="77777777" w:rsidR="00F83C46" w:rsidRPr="0075332D" w:rsidRDefault="00F83C46" w:rsidP="00F83C46">
      <w:pPr>
        <w:pStyle w:val="MDPI14history"/>
        <w:spacing w:before="0" w:line="360" w:lineRule="auto"/>
        <w:ind w:left="0"/>
        <w:rPr>
          <w:rFonts w:ascii="Arial" w:hAnsi="Arial" w:cs="Arial"/>
          <w:color w:val="000000" w:themeColor="text1"/>
          <w:sz w:val="24"/>
          <w:szCs w:val="24"/>
          <w:lang w:val="en-GB"/>
        </w:rPr>
      </w:pPr>
      <w:r w:rsidRPr="0075332D">
        <w:rPr>
          <w:rFonts w:ascii="Arial" w:hAnsi="Arial" w:cs="Arial"/>
          <w:b/>
          <w:color w:val="000000" w:themeColor="text1"/>
          <w:sz w:val="24"/>
          <w:szCs w:val="24"/>
          <w:lang w:val="en-GB"/>
        </w:rPr>
        <w:t>‡</w:t>
      </w:r>
      <w:r w:rsidRPr="0075332D">
        <w:rPr>
          <w:rFonts w:ascii="Arial" w:hAnsi="Arial" w:cs="Arial"/>
          <w:color w:val="000000" w:themeColor="text1"/>
          <w:sz w:val="24"/>
          <w:szCs w:val="24"/>
          <w:lang w:val="en-GB"/>
        </w:rPr>
        <w:t xml:space="preserve"> </w:t>
      </w:r>
      <w:r w:rsidRPr="0075332D">
        <w:rPr>
          <w:rFonts w:ascii="Arial" w:hAnsi="Arial" w:cs="Arial"/>
          <w:b/>
          <w:color w:val="000000" w:themeColor="text1"/>
          <w:sz w:val="24"/>
          <w:szCs w:val="24"/>
          <w:lang w:val="en-GB"/>
        </w:rPr>
        <w:t>Corresponding author:</w:t>
      </w:r>
      <w:r w:rsidRPr="0075332D">
        <w:rPr>
          <w:rFonts w:ascii="Arial" w:hAnsi="Arial" w:cs="Arial"/>
          <w:color w:val="000000" w:themeColor="text1"/>
          <w:sz w:val="24"/>
          <w:szCs w:val="24"/>
          <w:lang w:val="en-GB"/>
        </w:rPr>
        <w:t xml:space="preserve"> </w:t>
      </w:r>
    </w:p>
    <w:p w14:paraId="76707223" w14:textId="77777777" w:rsidR="00F83C46" w:rsidRPr="0075332D" w:rsidRDefault="00F83C46" w:rsidP="00F83C46">
      <w:pPr>
        <w:snapToGrid w:val="0"/>
        <w:spacing w:beforeLines="25" w:before="78" w:afterLines="25" w:after="78" w:line="360" w:lineRule="auto"/>
        <w:rPr>
          <w:rStyle w:val="a3"/>
          <w:rFonts w:ascii="Arial" w:hAnsi="Arial" w:cs="Arial"/>
          <w:b/>
          <w:noProof/>
          <w:color w:val="000000" w:themeColor="text1"/>
          <w:sz w:val="24"/>
          <w:szCs w:val="24"/>
          <w:lang w:val="en-GB"/>
        </w:rPr>
      </w:pPr>
      <w:r w:rsidRPr="0075332D">
        <w:rPr>
          <w:rFonts w:ascii="Arial" w:hAnsi="Arial" w:cs="Arial"/>
          <w:b/>
          <w:noProof/>
          <w:color w:val="000000" w:themeColor="text1"/>
          <w:sz w:val="24"/>
          <w:szCs w:val="24"/>
          <w:lang w:val="en-GB"/>
        </w:rPr>
        <w:t>Xuanwen Bao:</w:t>
      </w:r>
      <w:r>
        <w:rPr>
          <w:rFonts w:ascii="Arial" w:hAnsi="Arial" w:cs="Arial"/>
          <w:b/>
          <w:noProof/>
          <w:color w:val="000000" w:themeColor="text1"/>
          <w:sz w:val="24"/>
          <w:szCs w:val="24"/>
          <w:lang w:val="en-GB"/>
        </w:rPr>
        <w:t xml:space="preserve"> </w:t>
      </w:r>
      <w:r w:rsidRPr="00BF1E62">
        <w:rPr>
          <w:rFonts w:ascii="Arial" w:hAnsi="Arial" w:cs="Arial"/>
          <w:bCs/>
          <w:noProof/>
          <w:color w:val="000000" w:themeColor="text1"/>
          <w:sz w:val="24"/>
          <w:szCs w:val="24"/>
          <w:lang w:val="en-GB"/>
        </w:rPr>
        <w:t xml:space="preserve">Email address: </w:t>
      </w:r>
      <w:hyperlink r:id="rId8" w:history="1">
        <w:r w:rsidRPr="005D313C">
          <w:rPr>
            <w:rStyle w:val="a3"/>
            <w:rFonts w:ascii="Arial" w:hAnsi="Arial" w:cs="Arial"/>
            <w:bCs/>
            <w:noProof/>
            <w:sz w:val="24"/>
            <w:szCs w:val="24"/>
            <w:lang w:val="en-GB"/>
          </w:rPr>
          <w:t>xuanwen.bao@tum.de</w:t>
        </w:r>
      </w:hyperlink>
      <w:r>
        <w:rPr>
          <w:rFonts w:ascii="Arial" w:hAnsi="Arial" w:cs="Arial" w:hint="eastAsia"/>
          <w:bCs/>
          <w:noProof/>
          <w:color w:val="000000" w:themeColor="text1"/>
          <w:sz w:val="24"/>
          <w:szCs w:val="24"/>
          <w:lang w:val="en-GB"/>
        </w:rPr>
        <w:t>；</w:t>
      </w:r>
      <w:r>
        <w:rPr>
          <w:rFonts w:ascii="Arial" w:hAnsi="Arial" w:cs="Arial" w:hint="eastAsia"/>
          <w:bCs/>
          <w:noProof/>
          <w:color w:val="000000" w:themeColor="text1"/>
          <w:sz w:val="24"/>
          <w:szCs w:val="24"/>
          <w:lang w:val="en-GB"/>
        </w:rPr>
        <w:t xml:space="preserve"> </w:t>
      </w:r>
      <w:r w:rsidRPr="0075332D">
        <w:rPr>
          <w:rFonts w:ascii="Arial" w:hAnsi="Arial" w:cs="Arial"/>
          <w:sz w:val="24"/>
          <w:szCs w:val="24"/>
        </w:rPr>
        <w:t>Address:</w:t>
      </w:r>
      <w:r w:rsidRPr="0075332D">
        <w:rPr>
          <w:rFonts w:ascii="Arial" w:hAnsi="Arial" w:cs="Arial"/>
          <w:sz w:val="24"/>
          <w:szCs w:val="24"/>
        </w:rPr>
        <w:tab/>
        <w:t>Institute of Radiation Biology, Helmholtz Center Munich, German Research Center for Environmental Health, 85764 Neuherberg, Germany; Phone: +49 15773543071</w:t>
      </w:r>
      <w:r>
        <w:rPr>
          <w:rFonts w:ascii="Arial" w:hAnsi="Arial" w:cs="Arial"/>
          <w:sz w:val="24"/>
          <w:szCs w:val="24"/>
        </w:rPr>
        <w:t xml:space="preserve">; ORCID: </w:t>
      </w:r>
      <w:r w:rsidRPr="00B42536">
        <w:rPr>
          <w:rFonts w:ascii="Arial" w:hAnsi="Arial" w:cs="Arial"/>
          <w:sz w:val="24"/>
          <w:szCs w:val="24"/>
        </w:rPr>
        <w:t>0000-0002-6232-3783</w:t>
      </w:r>
      <w:r>
        <w:rPr>
          <w:rFonts w:ascii="Arial" w:hAnsi="Arial" w:cs="Arial"/>
          <w:sz w:val="24"/>
          <w:szCs w:val="24"/>
        </w:rPr>
        <w:t>.</w:t>
      </w:r>
    </w:p>
    <w:p w14:paraId="52D7AEB0" w14:textId="1DD059B6" w:rsidR="00F83C46" w:rsidRDefault="00F83C46" w:rsidP="00F83C46">
      <w:pPr>
        <w:spacing w:line="360" w:lineRule="auto"/>
        <w:rPr>
          <w:rFonts w:ascii="Arial" w:hAnsi="Arial" w:cs="Arial"/>
          <w:color w:val="000000" w:themeColor="text1"/>
          <w:sz w:val="24"/>
          <w:szCs w:val="24"/>
          <w:lang w:val="en-GB"/>
        </w:rPr>
      </w:pPr>
      <w:bookmarkStart w:id="4" w:name="_Hlk22040887"/>
      <w:r w:rsidRPr="0075332D">
        <w:rPr>
          <w:rFonts w:ascii="Arial" w:hAnsi="Arial" w:cs="Arial"/>
          <w:b/>
          <w:noProof/>
          <w:color w:val="000000" w:themeColor="text1"/>
          <w:sz w:val="24"/>
          <w:szCs w:val="24"/>
          <w:lang w:val="en-GB"/>
        </w:rPr>
        <w:t>Yanfang Wang:</w:t>
      </w:r>
      <w:r w:rsidRPr="0075332D">
        <w:rPr>
          <w:rFonts w:ascii="Arial" w:hAnsi="Arial" w:cs="Arial"/>
          <w:bCs/>
          <w:noProof/>
          <w:color w:val="000000" w:themeColor="text1"/>
          <w:sz w:val="24"/>
          <w:szCs w:val="24"/>
          <w:lang w:val="en-GB"/>
        </w:rPr>
        <w:t xml:space="preserve"> </w:t>
      </w:r>
      <w:r w:rsidRPr="00BF1E62">
        <w:rPr>
          <w:rFonts w:ascii="Arial" w:hAnsi="Arial" w:cs="Arial"/>
          <w:bCs/>
          <w:noProof/>
          <w:color w:val="000000" w:themeColor="text1"/>
          <w:sz w:val="24"/>
          <w:szCs w:val="24"/>
          <w:lang w:val="en-GB"/>
        </w:rPr>
        <w:t xml:space="preserve">Email address: </w:t>
      </w:r>
      <w:hyperlink r:id="rId9" w:history="1">
        <w:r w:rsidRPr="0075332D">
          <w:rPr>
            <w:rStyle w:val="a3"/>
            <w:rFonts w:ascii="Arial" w:hAnsi="Arial" w:cs="Arial"/>
            <w:bCs/>
            <w:noProof/>
            <w:color w:val="000000" w:themeColor="text1"/>
            <w:sz w:val="24"/>
            <w:szCs w:val="24"/>
            <w:u w:val="none"/>
            <w:lang w:val="en-GB"/>
          </w:rPr>
          <w:t>yangfang.wang@cup.uni-muenchen.de</w:t>
        </w:r>
      </w:hyperlink>
      <w:r w:rsidRPr="0075332D">
        <w:rPr>
          <w:rStyle w:val="a3"/>
          <w:rFonts w:ascii="Arial" w:hAnsi="Arial" w:cs="Arial"/>
          <w:bCs/>
          <w:noProof/>
          <w:color w:val="000000" w:themeColor="text1"/>
          <w:sz w:val="24"/>
          <w:szCs w:val="24"/>
          <w:u w:val="none"/>
          <w:lang w:val="en-GB"/>
        </w:rPr>
        <w:t xml:space="preserve">; </w:t>
      </w:r>
      <w:r w:rsidRPr="0075332D">
        <w:rPr>
          <w:rFonts w:ascii="Arial" w:hAnsi="Arial" w:cs="Arial"/>
          <w:sz w:val="24"/>
          <w:szCs w:val="24"/>
        </w:rPr>
        <w:t>Address:</w:t>
      </w:r>
      <w:r w:rsidRPr="0075332D">
        <w:rPr>
          <w:rFonts w:ascii="Arial" w:hAnsi="Arial" w:cs="Arial"/>
          <w:color w:val="000000" w:themeColor="text1"/>
          <w:sz w:val="24"/>
          <w:szCs w:val="24"/>
          <w:lang w:val="en-GB"/>
        </w:rPr>
        <w:t xml:space="preserve"> Ludwig-</w:t>
      </w:r>
      <w:proofErr w:type="spellStart"/>
      <w:r w:rsidRPr="0075332D">
        <w:rPr>
          <w:rFonts w:ascii="Arial" w:hAnsi="Arial" w:cs="Arial"/>
          <w:color w:val="000000" w:themeColor="text1"/>
          <w:sz w:val="24"/>
          <w:szCs w:val="24"/>
          <w:lang w:val="en-GB"/>
        </w:rPr>
        <w:t>Maximilians</w:t>
      </w:r>
      <w:proofErr w:type="spellEnd"/>
      <w:r w:rsidRPr="0075332D">
        <w:rPr>
          <w:rFonts w:ascii="Arial" w:hAnsi="Arial" w:cs="Arial"/>
          <w:color w:val="000000" w:themeColor="text1"/>
          <w:sz w:val="24"/>
          <w:szCs w:val="24"/>
          <w:lang w:val="en-GB"/>
        </w:rPr>
        <w:t>-Universität München (LMU), 80539 Munich, Germany</w:t>
      </w:r>
      <w:r>
        <w:rPr>
          <w:rFonts w:ascii="Arial" w:hAnsi="Arial" w:cs="Arial"/>
          <w:color w:val="000000" w:themeColor="text1"/>
          <w:sz w:val="24"/>
          <w:szCs w:val="24"/>
          <w:lang w:val="en-GB"/>
        </w:rPr>
        <w:t xml:space="preserve">; Phone: +49 17643501006; ORCID: </w:t>
      </w:r>
      <w:r w:rsidRPr="00B42536">
        <w:rPr>
          <w:rFonts w:ascii="Arial" w:hAnsi="Arial" w:cs="Arial"/>
          <w:color w:val="000000" w:themeColor="text1"/>
          <w:sz w:val="24"/>
          <w:szCs w:val="24"/>
          <w:lang w:val="en-GB"/>
        </w:rPr>
        <w:t>0000-0002-7989-5323</w:t>
      </w:r>
      <w:r>
        <w:rPr>
          <w:rFonts w:ascii="Arial" w:hAnsi="Arial" w:cs="Arial"/>
          <w:color w:val="000000" w:themeColor="text1"/>
          <w:sz w:val="24"/>
          <w:szCs w:val="24"/>
          <w:lang w:val="en-GB"/>
        </w:rPr>
        <w:t>.</w:t>
      </w:r>
      <w:bookmarkEnd w:id="4"/>
    </w:p>
    <w:p w14:paraId="5D0E5290" w14:textId="77777777" w:rsidR="00ED1ABD" w:rsidRDefault="00ED1ABD" w:rsidP="00F83C46">
      <w:pPr>
        <w:spacing w:line="360" w:lineRule="auto"/>
        <w:rPr>
          <w:rFonts w:ascii="Arial" w:hAnsi="Arial" w:cs="Arial"/>
          <w:color w:val="000000" w:themeColor="text1"/>
          <w:sz w:val="24"/>
          <w:szCs w:val="24"/>
          <w:lang w:val="en-GB"/>
        </w:rPr>
      </w:pPr>
    </w:p>
    <w:p w14:paraId="040B8586" w14:textId="77777777" w:rsidR="00ED1ABD" w:rsidRPr="00ED1ABD" w:rsidRDefault="00ED1ABD" w:rsidP="00ED1ABD">
      <w:pPr>
        <w:rPr>
          <w:rFonts w:ascii="Arial" w:hAnsi="Arial" w:cs="Arial"/>
          <w:b/>
          <w:bCs/>
          <w:sz w:val="24"/>
          <w:szCs w:val="24"/>
          <w:lang w:val="en-GB"/>
        </w:rPr>
      </w:pPr>
      <w:r w:rsidRPr="00ED1ABD">
        <w:rPr>
          <w:rFonts w:ascii="Arial" w:hAnsi="Arial" w:cs="Arial"/>
          <w:b/>
          <w:bCs/>
          <w:sz w:val="24"/>
          <w:szCs w:val="24"/>
          <w:lang w:val="en-GB"/>
        </w:rPr>
        <w:t xml:space="preserve">ORCID: </w:t>
      </w:r>
    </w:p>
    <w:p w14:paraId="490E1E1A" w14:textId="77777777" w:rsidR="00ED1ABD" w:rsidRPr="00ED1ABD" w:rsidRDefault="00ED1ABD" w:rsidP="00ED1ABD">
      <w:pPr>
        <w:rPr>
          <w:rFonts w:ascii="Arial" w:hAnsi="Arial" w:cs="Arial"/>
          <w:sz w:val="24"/>
          <w:szCs w:val="24"/>
          <w:lang w:val="en-GB"/>
        </w:rPr>
      </w:pPr>
      <w:r w:rsidRPr="00ED1ABD">
        <w:rPr>
          <w:rFonts w:ascii="Arial" w:hAnsi="Arial" w:cs="Arial"/>
          <w:sz w:val="24"/>
          <w:szCs w:val="24"/>
          <w:lang w:val="en-GB"/>
        </w:rPr>
        <w:t>Xuanwen Bao: 0000-0002-6232-3783</w:t>
      </w:r>
    </w:p>
    <w:p w14:paraId="3DA59CAB" w14:textId="77777777" w:rsidR="00ED1ABD" w:rsidRPr="00ED1ABD" w:rsidRDefault="00ED1ABD" w:rsidP="00ED1ABD">
      <w:pPr>
        <w:rPr>
          <w:rFonts w:ascii="Arial" w:hAnsi="Arial" w:cs="Arial"/>
          <w:sz w:val="24"/>
          <w:szCs w:val="24"/>
          <w:lang w:val="en-GB"/>
        </w:rPr>
      </w:pPr>
      <w:r w:rsidRPr="00ED1ABD">
        <w:rPr>
          <w:rFonts w:ascii="Arial" w:hAnsi="Arial" w:cs="Arial"/>
          <w:sz w:val="24"/>
          <w:szCs w:val="24"/>
          <w:lang w:val="en-GB"/>
        </w:rPr>
        <w:t xml:space="preserve">Run Shi: </w:t>
      </w:r>
      <w:r w:rsidRPr="00ED1ABD">
        <w:rPr>
          <w:sz w:val="24"/>
          <w:szCs w:val="24"/>
        </w:rPr>
        <w:t xml:space="preserve"> </w:t>
      </w:r>
      <w:r w:rsidRPr="00ED1ABD">
        <w:rPr>
          <w:rFonts w:ascii="Arial" w:hAnsi="Arial" w:cs="Arial"/>
          <w:sz w:val="24"/>
          <w:szCs w:val="24"/>
          <w:lang w:val="en-GB"/>
        </w:rPr>
        <w:t>0000-0003-4667-4812</w:t>
      </w:r>
    </w:p>
    <w:p w14:paraId="15782211" w14:textId="77777777" w:rsidR="00ED1ABD" w:rsidRPr="00ED1ABD" w:rsidRDefault="00ED1ABD" w:rsidP="00ED1ABD">
      <w:pPr>
        <w:rPr>
          <w:rFonts w:ascii="Arial" w:hAnsi="Arial" w:cs="Arial"/>
          <w:sz w:val="24"/>
          <w:szCs w:val="24"/>
          <w:lang w:val="de-DE"/>
        </w:rPr>
      </w:pPr>
      <w:r w:rsidRPr="00ED1ABD">
        <w:rPr>
          <w:rFonts w:ascii="Arial" w:hAnsi="Arial" w:cs="Arial"/>
          <w:sz w:val="24"/>
          <w:szCs w:val="24"/>
          <w:lang w:val="de-DE"/>
        </w:rPr>
        <w:t>Tianyu Zhao: 0000-0002-2696-273X</w:t>
      </w:r>
    </w:p>
    <w:p w14:paraId="3CBFA6C4" w14:textId="77777777" w:rsidR="00ED1ABD" w:rsidRPr="00ED1ABD" w:rsidRDefault="00ED1ABD" w:rsidP="00ED1ABD">
      <w:pPr>
        <w:rPr>
          <w:rFonts w:ascii="Arial" w:hAnsi="Arial" w:cs="Arial"/>
          <w:sz w:val="24"/>
          <w:szCs w:val="24"/>
          <w:lang w:val="de-DE"/>
        </w:rPr>
      </w:pPr>
      <w:r w:rsidRPr="00ED1ABD">
        <w:rPr>
          <w:rFonts w:ascii="Arial" w:hAnsi="Arial" w:cs="Arial"/>
          <w:sz w:val="24"/>
          <w:szCs w:val="24"/>
          <w:lang w:val="de-DE"/>
        </w:rPr>
        <w:t>Yanfang Wang: 0000-0002-7989-5323</w:t>
      </w:r>
    </w:p>
    <w:p w14:paraId="2756C0CA" w14:textId="462EC885" w:rsidR="00AC2F0B" w:rsidRPr="00ED1ABD" w:rsidRDefault="00AC2F0B" w:rsidP="00F83C46">
      <w:pPr>
        <w:rPr>
          <w:rFonts w:ascii="Arial" w:hAnsi="Arial" w:cs="Arial"/>
          <w:sz w:val="24"/>
          <w:szCs w:val="24"/>
          <w:lang w:val="de-DE"/>
        </w:rPr>
      </w:pPr>
    </w:p>
    <w:p w14:paraId="0BCF6691" w14:textId="02E660BE" w:rsidR="00AC2F0B" w:rsidRDefault="00AC2F0B" w:rsidP="00F83C46">
      <w:pPr>
        <w:rPr>
          <w:rFonts w:ascii="Arial" w:hAnsi="Arial" w:cs="Arial"/>
          <w:sz w:val="24"/>
          <w:szCs w:val="24"/>
        </w:rPr>
      </w:pPr>
    </w:p>
    <w:p w14:paraId="5B1A0DD9" w14:textId="51CFB067" w:rsidR="00ED1ABD" w:rsidRDefault="00ED1ABD" w:rsidP="00F83C46">
      <w:pPr>
        <w:rPr>
          <w:rFonts w:ascii="Arial" w:hAnsi="Arial" w:cs="Arial"/>
          <w:sz w:val="24"/>
          <w:szCs w:val="24"/>
        </w:rPr>
      </w:pPr>
    </w:p>
    <w:p w14:paraId="27AF470C" w14:textId="6643DB44" w:rsidR="00ED1ABD" w:rsidRDefault="00ED1ABD" w:rsidP="00F83C46">
      <w:pPr>
        <w:rPr>
          <w:rFonts w:ascii="Arial" w:hAnsi="Arial" w:cs="Arial"/>
          <w:sz w:val="24"/>
          <w:szCs w:val="24"/>
        </w:rPr>
      </w:pPr>
    </w:p>
    <w:p w14:paraId="543FB63D" w14:textId="3CE66969" w:rsidR="00ED1ABD" w:rsidRDefault="00ED1ABD" w:rsidP="00F83C46">
      <w:pPr>
        <w:rPr>
          <w:rFonts w:ascii="Arial" w:hAnsi="Arial" w:cs="Arial"/>
          <w:sz w:val="24"/>
          <w:szCs w:val="24"/>
        </w:rPr>
      </w:pPr>
    </w:p>
    <w:p w14:paraId="38A8D76D" w14:textId="77777777" w:rsidR="00ED1ABD" w:rsidRPr="00F83C46" w:rsidRDefault="00ED1ABD" w:rsidP="00F83C46">
      <w:pPr>
        <w:rPr>
          <w:rFonts w:ascii="Arial" w:hAnsi="Arial" w:cs="Arial"/>
          <w:sz w:val="24"/>
          <w:szCs w:val="24"/>
        </w:rPr>
      </w:pPr>
    </w:p>
    <w:p w14:paraId="273980CB" w14:textId="0F686B58" w:rsidR="008F5262" w:rsidRPr="00F83C46" w:rsidRDefault="00926A2B" w:rsidP="007B2D5D">
      <w:pPr>
        <w:rPr>
          <w:rFonts w:ascii="Arial" w:hAnsi="Arial" w:cs="Arial"/>
          <w:b/>
          <w:bCs/>
          <w:sz w:val="24"/>
          <w:szCs w:val="24"/>
          <w:lang w:val="en-GB"/>
        </w:rPr>
      </w:pPr>
      <w:r w:rsidRPr="00F83C46">
        <w:rPr>
          <w:rFonts w:ascii="Arial" w:hAnsi="Arial" w:cs="Arial"/>
          <w:b/>
          <w:bCs/>
          <w:sz w:val="24"/>
          <w:szCs w:val="24"/>
          <w:lang w:val="en-GB"/>
        </w:rPr>
        <w:lastRenderedPageBreak/>
        <w:t>Abstract</w:t>
      </w:r>
    </w:p>
    <w:p w14:paraId="24DAA283" w14:textId="18216A75" w:rsidR="003672EA" w:rsidRPr="00F83C46" w:rsidRDefault="00926A2B" w:rsidP="00AF1C91">
      <w:pPr>
        <w:ind w:firstLine="420"/>
        <w:rPr>
          <w:rFonts w:ascii="Arial" w:hAnsi="Arial" w:cs="Arial"/>
          <w:sz w:val="24"/>
          <w:szCs w:val="24"/>
          <w:lang w:val="en-GB"/>
        </w:rPr>
      </w:pPr>
      <w:r w:rsidRPr="00F83C46">
        <w:rPr>
          <w:rFonts w:ascii="Arial" w:hAnsi="Arial" w:cs="Arial"/>
          <w:sz w:val="24"/>
          <w:szCs w:val="24"/>
          <w:lang w:val="en-GB"/>
        </w:rPr>
        <w:t>Patients with early-stage lung adenocarcinoma (LUAD) exhibit different overall survival (OS)</w:t>
      </w:r>
      <w:r w:rsidR="00F35862" w:rsidRPr="00F83C46">
        <w:rPr>
          <w:rFonts w:ascii="Arial" w:hAnsi="Arial" w:cs="Arial"/>
          <w:sz w:val="24"/>
          <w:szCs w:val="24"/>
          <w:lang w:val="en-GB"/>
        </w:rPr>
        <w:t xml:space="preserve"> rates</w:t>
      </w:r>
      <w:r w:rsidRPr="00F83C46">
        <w:rPr>
          <w:rFonts w:ascii="Arial" w:hAnsi="Arial" w:cs="Arial"/>
          <w:sz w:val="24"/>
          <w:szCs w:val="24"/>
          <w:lang w:val="en-GB"/>
        </w:rPr>
        <w:t xml:space="preserve"> and immunotherapy </w:t>
      </w:r>
      <w:r w:rsidRPr="00F83C46">
        <w:rPr>
          <w:rFonts w:ascii="Arial" w:eastAsia="宋体" w:hAnsi="Arial" w:cs="Arial"/>
          <w:sz w:val="24"/>
          <w:szCs w:val="24"/>
          <w:lang w:val="en-GB"/>
        </w:rPr>
        <w:t>responses</w:t>
      </w:r>
      <w:r w:rsidRPr="00F83C46">
        <w:rPr>
          <w:rFonts w:ascii="Arial" w:hAnsi="Arial" w:cs="Arial"/>
          <w:sz w:val="24"/>
          <w:szCs w:val="24"/>
          <w:lang w:val="en-GB"/>
        </w:rPr>
        <w:t>. Understanding the immune landscape facilitates the personalized treatment of LUAD.</w:t>
      </w:r>
      <w:r w:rsidR="00AF1C91">
        <w:rPr>
          <w:rFonts w:ascii="Arial" w:hAnsi="Arial" w:cs="Arial"/>
          <w:sz w:val="24"/>
          <w:szCs w:val="24"/>
          <w:lang w:val="en-GB"/>
        </w:rPr>
        <w:t xml:space="preserve"> </w:t>
      </w:r>
      <w:r w:rsidR="00141815" w:rsidRPr="00F83C46">
        <w:rPr>
          <w:rFonts w:ascii="Arial" w:hAnsi="Arial" w:cs="Arial"/>
          <w:sz w:val="24"/>
          <w:szCs w:val="24"/>
          <w:lang w:val="en-GB"/>
        </w:rPr>
        <w:t>The immune cell populations in tumour tissues were quantified to depict the immune landscape in early-stage LUAD</w:t>
      </w:r>
      <w:r w:rsidR="009F6B2C" w:rsidRPr="00F83C46">
        <w:rPr>
          <w:rFonts w:ascii="Arial" w:hAnsi="Arial" w:cs="Arial"/>
          <w:sz w:val="24"/>
          <w:szCs w:val="24"/>
          <w:lang w:val="en-GB"/>
        </w:rPr>
        <w:t xml:space="preserve"> patients in The Cancer Genome Atlas (TCGA)</w:t>
      </w:r>
      <w:r w:rsidR="00141815" w:rsidRPr="00F83C46">
        <w:rPr>
          <w:rFonts w:ascii="Arial" w:hAnsi="Arial" w:cs="Arial"/>
          <w:sz w:val="24"/>
          <w:szCs w:val="24"/>
          <w:lang w:val="en-GB"/>
        </w:rPr>
        <w:t xml:space="preserve">. </w:t>
      </w:r>
      <w:r w:rsidR="00AF1C91" w:rsidRPr="00F83C46">
        <w:rPr>
          <w:rFonts w:ascii="Arial" w:hAnsi="Arial" w:cs="Arial"/>
          <w:sz w:val="24"/>
          <w:szCs w:val="24"/>
          <w:lang w:val="en-GB"/>
        </w:rPr>
        <w:t>Early-stage LUAD patients in three immune clusters identified by</w:t>
      </w:r>
      <w:r w:rsidR="00AF1C91" w:rsidRPr="00F83C46">
        <w:rPr>
          <w:rFonts w:ascii="Arial" w:eastAsia="宋体" w:hAnsi="Arial" w:cs="Arial"/>
          <w:sz w:val="24"/>
          <w:szCs w:val="24"/>
          <w:lang w:val="en-GB"/>
        </w:rPr>
        <w:t xml:space="preserve"> the</w:t>
      </w:r>
      <w:r w:rsidR="00AF1C91" w:rsidRPr="00F83C46">
        <w:rPr>
          <w:rFonts w:ascii="Arial" w:hAnsi="Arial" w:cs="Arial"/>
          <w:sz w:val="24"/>
          <w:szCs w:val="24"/>
          <w:lang w:val="en-GB"/>
        </w:rPr>
        <w:t xml:space="preserve"> immune landscape exhibited different survival potentials.</w:t>
      </w:r>
      <w:r w:rsidR="00AF1C91">
        <w:rPr>
          <w:rFonts w:ascii="Arial" w:hAnsi="Arial" w:cs="Arial"/>
          <w:sz w:val="24"/>
          <w:szCs w:val="24"/>
          <w:lang w:val="en-GB"/>
        </w:rPr>
        <w:t xml:space="preserve"> </w:t>
      </w:r>
      <w:r w:rsidR="00141815" w:rsidRPr="00F83C46">
        <w:rPr>
          <w:rFonts w:ascii="Arial" w:hAnsi="Arial" w:cs="Arial"/>
          <w:sz w:val="24"/>
          <w:szCs w:val="24"/>
          <w:lang w:val="en-GB"/>
        </w:rPr>
        <w:t xml:space="preserve">A prognostic immune-related gene signature was </w:t>
      </w:r>
      <w:r w:rsidR="00AF1C91">
        <w:rPr>
          <w:rFonts w:ascii="Arial" w:hAnsi="Arial" w:cs="Arial" w:hint="eastAsia"/>
          <w:sz w:val="24"/>
          <w:szCs w:val="24"/>
          <w:lang w:val="en-GB"/>
        </w:rPr>
        <w:t>bui</w:t>
      </w:r>
      <w:r w:rsidR="00AF1C91">
        <w:rPr>
          <w:rFonts w:ascii="Arial" w:hAnsi="Arial" w:cs="Arial"/>
          <w:sz w:val="24"/>
          <w:szCs w:val="24"/>
          <w:lang w:val="en-GB"/>
        </w:rPr>
        <w:t>lt</w:t>
      </w:r>
      <w:r w:rsidR="00141815" w:rsidRPr="00F83C46">
        <w:rPr>
          <w:rFonts w:ascii="Arial" w:hAnsi="Arial" w:cs="Arial"/>
          <w:sz w:val="24"/>
          <w:szCs w:val="24"/>
          <w:lang w:val="en-GB"/>
        </w:rPr>
        <w:t xml:space="preserve"> to predict the survival of early-stage LUAD patients. Several machine learning methods (</w:t>
      </w:r>
      <w:r w:rsidR="00AA269D" w:rsidRPr="00F83C46">
        <w:rPr>
          <w:rFonts w:ascii="Arial" w:hAnsi="Arial" w:cs="Arial"/>
          <w:sz w:val="24"/>
          <w:szCs w:val="24"/>
          <w:lang w:val="en-GB"/>
        </w:rPr>
        <w:t>s</w:t>
      </w:r>
      <w:r w:rsidR="00141815" w:rsidRPr="00F83C46">
        <w:rPr>
          <w:rFonts w:ascii="Arial" w:hAnsi="Arial" w:cs="Arial"/>
          <w:sz w:val="24"/>
          <w:szCs w:val="24"/>
          <w:lang w:val="en-GB"/>
        </w:rPr>
        <w:t xml:space="preserve">upport </w:t>
      </w:r>
      <w:r w:rsidR="00AA269D" w:rsidRPr="00F83C46">
        <w:rPr>
          <w:rFonts w:ascii="Arial" w:hAnsi="Arial" w:cs="Arial"/>
          <w:sz w:val="24"/>
          <w:szCs w:val="24"/>
          <w:lang w:val="en-GB"/>
        </w:rPr>
        <w:t>v</w:t>
      </w:r>
      <w:r w:rsidR="00141815" w:rsidRPr="00F83C46">
        <w:rPr>
          <w:rFonts w:ascii="Arial" w:hAnsi="Arial" w:cs="Arial"/>
          <w:sz w:val="24"/>
          <w:szCs w:val="24"/>
          <w:lang w:val="en-GB"/>
        </w:rPr>
        <w:t xml:space="preserve">ector </w:t>
      </w:r>
      <w:r w:rsidR="00AA269D" w:rsidRPr="00F83C46">
        <w:rPr>
          <w:rFonts w:ascii="Arial" w:hAnsi="Arial" w:cs="Arial"/>
          <w:sz w:val="24"/>
          <w:szCs w:val="24"/>
          <w:lang w:val="en-GB"/>
        </w:rPr>
        <w:t>m</w:t>
      </w:r>
      <w:r w:rsidR="00141815" w:rsidRPr="00F83C46">
        <w:rPr>
          <w:rFonts w:ascii="Arial" w:hAnsi="Arial" w:cs="Arial"/>
          <w:sz w:val="24"/>
          <w:szCs w:val="24"/>
          <w:lang w:val="en-GB"/>
        </w:rPr>
        <w:t>achine</w:t>
      </w:r>
      <w:r w:rsidR="00AA269D" w:rsidRPr="00F83C46">
        <w:rPr>
          <w:rFonts w:ascii="Arial" w:hAnsi="Arial" w:cs="Arial"/>
          <w:sz w:val="24"/>
          <w:szCs w:val="24"/>
          <w:lang w:val="en-GB"/>
        </w:rPr>
        <w:t>,</w:t>
      </w:r>
      <w:r w:rsidR="00141815" w:rsidRPr="00F83C46">
        <w:rPr>
          <w:rFonts w:ascii="Arial" w:hAnsi="Arial" w:cs="Arial"/>
          <w:sz w:val="24"/>
          <w:szCs w:val="24"/>
          <w:lang w:val="en-GB"/>
        </w:rPr>
        <w:t xml:space="preserve"> </w:t>
      </w:r>
      <w:r w:rsidR="00AA269D" w:rsidRPr="00F83C46">
        <w:rPr>
          <w:rFonts w:ascii="Arial" w:hAnsi="Arial" w:cs="Arial"/>
          <w:sz w:val="24"/>
          <w:szCs w:val="24"/>
          <w:lang w:val="en-GB"/>
        </w:rPr>
        <w:t>n</w:t>
      </w:r>
      <w:r w:rsidR="00141815" w:rsidRPr="00F83C46">
        <w:rPr>
          <w:rFonts w:ascii="Arial" w:hAnsi="Arial" w:cs="Arial"/>
          <w:sz w:val="24"/>
          <w:szCs w:val="24"/>
          <w:lang w:val="en-GB"/>
        </w:rPr>
        <w:t xml:space="preserve">aive Bayes, </w:t>
      </w:r>
      <w:r w:rsidR="00AA269D" w:rsidRPr="00F83C46">
        <w:rPr>
          <w:rFonts w:ascii="Arial" w:hAnsi="Arial" w:cs="Arial"/>
          <w:sz w:val="24"/>
          <w:szCs w:val="24"/>
          <w:lang w:val="en-GB"/>
        </w:rPr>
        <w:t>r</w:t>
      </w:r>
      <w:r w:rsidR="00141815" w:rsidRPr="00F83C46">
        <w:rPr>
          <w:rFonts w:ascii="Arial" w:hAnsi="Arial" w:cs="Arial"/>
          <w:sz w:val="24"/>
          <w:szCs w:val="24"/>
          <w:lang w:val="en-GB"/>
        </w:rPr>
        <w:t>andom</w:t>
      </w:r>
      <w:r w:rsidR="00AA269D" w:rsidRPr="00F83C46">
        <w:rPr>
          <w:rFonts w:ascii="Arial" w:hAnsi="Arial" w:cs="Arial"/>
          <w:sz w:val="24"/>
          <w:szCs w:val="24"/>
          <w:lang w:val="en-GB"/>
        </w:rPr>
        <w:t xml:space="preserve"> f</w:t>
      </w:r>
      <w:r w:rsidR="00141815" w:rsidRPr="00F83C46">
        <w:rPr>
          <w:rFonts w:ascii="Arial" w:hAnsi="Arial" w:cs="Arial"/>
          <w:sz w:val="24"/>
          <w:szCs w:val="24"/>
          <w:lang w:val="en-GB"/>
        </w:rPr>
        <w:t>orest</w:t>
      </w:r>
      <w:r w:rsidR="006C03F1" w:rsidRPr="00F83C46">
        <w:rPr>
          <w:rFonts w:ascii="Arial" w:hAnsi="Arial" w:cs="Arial"/>
          <w:sz w:val="24"/>
          <w:szCs w:val="24"/>
          <w:lang w:val="en-GB"/>
        </w:rPr>
        <w:t>,</w:t>
      </w:r>
      <w:r w:rsidR="00141815" w:rsidRPr="00F83C46">
        <w:rPr>
          <w:rFonts w:ascii="Arial" w:hAnsi="Arial" w:cs="Arial"/>
          <w:sz w:val="24"/>
          <w:szCs w:val="24"/>
          <w:lang w:val="en-GB"/>
        </w:rPr>
        <w:t xml:space="preserve"> and </w:t>
      </w:r>
      <w:r w:rsidR="00AA269D" w:rsidRPr="00F83C46">
        <w:rPr>
          <w:rFonts w:ascii="Arial" w:hAnsi="Arial" w:cs="Arial"/>
          <w:sz w:val="24"/>
          <w:szCs w:val="24"/>
          <w:lang w:val="en-GB"/>
        </w:rPr>
        <w:t>n</w:t>
      </w:r>
      <w:r w:rsidR="00141815" w:rsidRPr="00F83C46">
        <w:rPr>
          <w:rFonts w:ascii="Arial" w:hAnsi="Arial" w:cs="Arial"/>
          <w:sz w:val="24"/>
          <w:szCs w:val="24"/>
          <w:lang w:val="en-GB"/>
        </w:rPr>
        <w:t xml:space="preserve">eural </w:t>
      </w:r>
      <w:r w:rsidR="00AA269D" w:rsidRPr="00F83C46">
        <w:rPr>
          <w:rFonts w:ascii="Arial" w:hAnsi="Arial" w:cs="Arial"/>
          <w:sz w:val="24"/>
          <w:szCs w:val="24"/>
          <w:lang w:val="en-GB"/>
        </w:rPr>
        <w:t>n</w:t>
      </w:r>
      <w:r w:rsidR="00141815" w:rsidRPr="00F83C46">
        <w:rPr>
          <w:rFonts w:ascii="Arial" w:hAnsi="Arial" w:cs="Arial"/>
          <w:sz w:val="24"/>
          <w:szCs w:val="24"/>
          <w:lang w:val="en-GB"/>
        </w:rPr>
        <w:t>etwork</w:t>
      </w:r>
      <w:r w:rsidR="00960075" w:rsidRPr="00F83C46">
        <w:rPr>
          <w:rFonts w:ascii="Arial" w:hAnsi="Arial" w:cs="Arial"/>
          <w:sz w:val="24"/>
          <w:szCs w:val="24"/>
          <w:lang w:val="en-GB"/>
        </w:rPr>
        <w:t>-based deep learning</w:t>
      </w:r>
      <w:r w:rsidR="00141815" w:rsidRPr="00F83C46">
        <w:rPr>
          <w:rFonts w:ascii="Arial" w:hAnsi="Arial" w:cs="Arial"/>
          <w:sz w:val="24"/>
          <w:szCs w:val="24"/>
          <w:lang w:val="en-GB"/>
        </w:rPr>
        <w:t xml:space="preserve">) were applied to train the classifiers to identify the immune clusters in early-stage LUAD based on the gene signature. </w:t>
      </w:r>
      <w:r w:rsidR="00AF1C91" w:rsidRPr="00F83C46">
        <w:rPr>
          <w:rFonts w:ascii="Arial" w:hAnsi="Arial" w:cs="Arial"/>
          <w:sz w:val="24"/>
          <w:szCs w:val="24"/>
          <w:lang w:val="en-GB"/>
        </w:rPr>
        <w:t xml:space="preserve">The </w:t>
      </w:r>
      <w:r w:rsidR="00AF1C91">
        <w:rPr>
          <w:rFonts w:ascii="Arial" w:hAnsi="Arial" w:cs="Arial"/>
          <w:sz w:val="24"/>
          <w:szCs w:val="24"/>
          <w:lang w:val="en-GB"/>
        </w:rPr>
        <w:t>four</w:t>
      </w:r>
      <w:r w:rsidR="00AF1C91" w:rsidRPr="00F83C46">
        <w:rPr>
          <w:rFonts w:ascii="Arial" w:hAnsi="Arial" w:cs="Arial"/>
          <w:sz w:val="24"/>
          <w:szCs w:val="24"/>
          <w:lang w:val="en-GB"/>
        </w:rPr>
        <w:t xml:space="preserve"> classifiers exhibited</w:t>
      </w:r>
      <w:r w:rsidR="00AF1C91" w:rsidRPr="00F83C46">
        <w:rPr>
          <w:rFonts w:ascii="Arial" w:eastAsia="宋体" w:hAnsi="Arial" w:cs="Arial"/>
          <w:sz w:val="24"/>
          <w:szCs w:val="24"/>
          <w:lang w:val="en-GB"/>
        </w:rPr>
        <w:t xml:space="preserve"> a</w:t>
      </w:r>
      <w:r w:rsidR="00AF1C91" w:rsidRPr="00F83C46">
        <w:rPr>
          <w:rFonts w:ascii="Arial" w:hAnsi="Arial" w:cs="Arial"/>
          <w:sz w:val="24"/>
          <w:szCs w:val="24"/>
          <w:lang w:val="en-GB"/>
        </w:rPr>
        <w:t xml:space="preserve"> robust effect </w:t>
      </w:r>
      <w:r w:rsidR="00AF1C91" w:rsidRPr="00F83C46">
        <w:rPr>
          <w:rFonts w:ascii="Arial" w:eastAsia="宋体" w:hAnsi="Arial" w:cs="Arial"/>
          <w:sz w:val="24"/>
          <w:szCs w:val="24"/>
          <w:lang w:val="en-GB"/>
        </w:rPr>
        <w:t>in identifying</w:t>
      </w:r>
      <w:r w:rsidR="00AF1C91" w:rsidRPr="00F83C46">
        <w:rPr>
          <w:rFonts w:ascii="Arial" w:hAnsi="Arial" w:cs="Arial"/>
          <w:sz w:val="24"/>
          <w:szCs w:val="24"/>
          <w:lang w:val="en-GB"/>
        </w:rPr>
        <w:t xml:space="preserve"> the immune clusters.</w:t>
      </w:r>
      <w:r w:rsidR="00AF1C91">
        <w:rPr>
          <w:rFonts w:ascii="Arial" w:hAnsi="Arial" w:cs="Arial" w:hint="eastAsia"/>
          <w:sz w:val="24"/>
          <w:szCs w:val="24"/>
          <w:lang w:val="en-GB"/>
        </w:rPr>
        <w:t xml:space="preserve"> </w:t>
      </w:r>
      <w:r w:rsidR="00141815" w:rsidRPr="00F83C46">
        <w:rPr>
          <w:rFonts w:ascii="Arial" w:hAnsi="Arial" w:cs="Arial"/>
          <w:sz w:val="24"/>
          <w:szCs w:val="24"/>
          <w:lang w:val="en-GB"/>
        </w:rPr>
        <w:t xml:space="preserve">A random forest regression model </w:t>
      </w:r>
      <w:proofErr w:type="spellStart"/>
      <w:r w:rsidR="00AF1C91">
        <w:rPr>
          <w:rFonts w:ascii="Arial" w:hAnsi="Arial" w:cs="Arial"/>
          <w:sz w:val="24"/>
          <w:szCs w:val="24"/>
          <w:lang w:val="en-GB"/>
        </w:rPr>
        <w:t>identifed</w:t>
      </w:r>
      <w:proofErr w:type="spellEnd"/>
      <w:r w:rsidR="00141815" w:rsidRPr="00F83C46">
        <w:rPr>
          <w:rFonts w:ascii="Arial" w:hAnsi="Arial" w:cs="Arial"/>
          <w:sz w:val="24"/>
          <w:szCs w:val="24"/>
          <w:lang w:val="en-GB"/>
        </w:rPr>
        <w:t xml:space="preserve"> </w:t>
      </w:r>
      <w:r w:rsidR="00AF1C91" w:rsidRPr="00F83C46">
        <w:rPr>
          <w:rFonts w:ascii="Arial" w:hAnsi="Arial" w:cs="Arial"/>
          <w:sz w:val="24"/>
          <w:szCs w:val="24"/>
          <w:lang w:val="en-GB"/>
        </w:rPr>
        <w:t>TP53 was the most important gene mutation associated with the immune-related signature</w:t>
      </w:r>
      <w:r w:rsidR="00141815" w:rsidRPr="00F83C46">
        <w:rPr>
          <w:rFonts w:ascii="Arial" w:hAnsi="Arial" w:cs="Arial"/>
          <w:sz w:val="24"/>
          <w:szCs w:val="24"/>
          <w:lang w:val="en-GB"/>
        </w:rPr>
        <w:t xml:space="preserve">. Furthermore, a decision tree and a nomogram were constructed based on the immune-related gene signature and clinicopathological traits to improve risk stratification and quantify risk assessment for individual patients. </w:t>
      </w:r>
      <w:r w:rsidRPr="00F83C46">
        <w:rPr>
          <w:rFonts w:ascii="Arial" w:eastAsia="宋体" w:hAnsi="Arial" w:cs="Arial"/>
          <w:sz w:val="24"/>
          <w:szCs w:val="24"/>
          <w:lang w:val="en-GB"/>
        </w:rPr>
        <w:t>Five</w:t>
      </w:r>
      <w:r w:rsidR="00141815" w:rsidRPr="00F83C46">
        <w:rPr>
          <w:rFonts w:ascii="Arial" w:hAnsi="Arial" w:cs="Arial"/>
          <w:sz w:val="24"/>
          <w:szCs w:val="24"/>
          <w:lang w:val="en-GB"/>
        </w:rPr>
        <w:t xml:space="preserve"> external test cohorts were applied to validate the accuracy of the immune-related signature.</w:t>
      </w:r>
      <w:r w:rsidR="00AF1C91">
        <w:rPr>
          <w:rFonts w:ascii="Arial" w:hAnsi="Arial" w:cs="Arial"/>
          <w:sz w:val="24"/>
          <w:szCs w:val="24"/>
          <w:lang w:val="en-GB"/>
        </w:rPr>
        <w:t xml:space="preserve"> </w:t>
      </w:r>
      <w:r w:rsidRPr="00F83C46">
        <w:rPr>
          <w:rFonts w:ascii="Arial" w:hAnsi="Arial" w:cs="Arial"/>
          <w:sz w:val="24"/>
          <w:szCs w:val="24"/>
          <w:lang w:val="en-GB"/>
        </w:rPr>
        <w:t xml:space="preserve">Our study might contribute to the development of immunotherapy and </w:t>
      </w:r>
      <w:r w:rsidR="006C03F1" w:rsidRPr="00F83C46">
        <w:rPr>
          <w:rFonts w:ascii="Arial" w:hAnsi="Arial" w:cs="Arial"/>
          <w:sz w:val="24"/>
          <w:szCs w:val="24"/>
          <w:lang w:val="en-GB"/>
        </w:rPr>
        <w:t xml:space="preserve">the </w:t>
      </w:r>
      <w:r w:rsidRPr="00F83C46">
        <w:rPr>
          <w:rFonts w:ascii="Arial" w:hAnsi="Arial" w:cs="Arial"/>
          <w:sz w:val="24"/>
          <w:szCs w:val="24"/>
          <w:lang w:val="en-GB"/>
        </w:rPr>
        <w:t>personalized treatment of early-stage LUAD.</w:t>
      </w:r>
    </w:p>
    <w:p w14:paraId="2AEEA62C" w14:textId="326EF365" w:rsidR="008F5262" w:rsidRPr="00F83C46" w:rsidRDefault="00926A2B" w:rsidP="007B2D5D">
      <w:pPr>
        <w:rPr>
          <w:rFonts w:ascii="Arial" w:hAnsi="Arial" w:cs="Arial"/>
          <w:b/>
          <w:bCs/>
          <w:sz w:val="24"/>
          <w:szCs w:val="24"/>
          <w:lang w:val="en-GB"/>
        </w:rPr>
      </w:pPr>
      <w:r w:rsidRPr="00F83C46">
        <w:rPr>
          <w:rFonts w:ascii="Arial" w:hAnsi="Arial" w:cs="Arial"/>
          <w:b/>
          <w:bCs/>
          <w:sz w:val="24"/>
          <w:szCs w:val="24"/>
          <w:lang w:val="en-GB"/>
        </w:rPr>
        <w:t xml:space="preserve">Keywords: </w:t>
      </w:r>
      <w:r w:rsidRPr="00F83C46">
        <w:rPr>
          <w:rFonts w:ascii="Arial" w:hAnsi="Arial" w:cs="Arial"/>
          <w:sz w:val="24"/>
          <w:szCs w:val="24"/>
          <w:lang w:val="en-GB"/>
        </w:rPr>
        <w:t xml:space="preserve">early-stage </w:t>
      </w:r>
      <w:r w:rsidR="007D7FDF" w:rsidRPr="00F83C46">
        <w:rPr>
          <w:rFonts w:ascii="Arial" w:hAnsi="Arial" w:cs="Arial"/>
          <w:sz w:val="24"/>
          <w:szCs w:val="24"/>
          <w:lang w:val="en-GB"/>
        </w:rPr>
        <w:t>lung adenocarcinoma (LUAD); machine learning; immune landscape; prognostic model; overall survival</w:t>
      </w:r>
    </w:p>
    <w:p w14:paraId="1058FCB6" w14:textId="77777777" w:rsidR="008F5262" w:rsidRPr="00F83C46" w:rsidRDefault="008F5262" w:rsidP="007B2D5D">
      <w:pPr>
        <w:rPr>
          <w:rFonts w:ascii="Arial" w:hAnsi="Arial" w:cs="Arial"/>
          <w:b/>
          <w:bCs/>
          <w:sz w:val="24"/>
          <w:szCs w:val="24"/>
          <w:lang w:val="en-GB"/>
        </w:rPr>
      </w:pPr>
    </w:p>
    <w:p w14:paraId="285ABA1F" w14:textId="25E1CDE4" w:rsidR="007B2D5D" w:rsidRPr="00F83C46" w:rsidRDefault="00926A2B" w:rsidP="00FA6AC2">
      <w:pPr>
        <w:pStyle w:val="a5"/>
        <w:numPr>
          <w:ilvl w:val="0"/>
          <w:numId w:val="5"/>
        </w:numPr>
        <w:ind w:firstLineChars="0"/>
        <w:rPr>
          <w:rFonts w:ascii="Arial" w:hAnsi="Arial" w:cs="Arial"/>
          <w:b/>
          <w:bCs/>
          <w:sz w:val="24"/>
          <w:szCs w:val="24"/>
          <w:lang w:val="en-GB"/>
        </w:rPr>
      </w:pPr>
      <w:r w:rsidRPr="00F83C46">
        <w:rPr>
          <w:rFonts w:ascii="Arial" w:hAnsi="Arial" w:cs="Arial"/>
          <w:b/>
          <w:bCs/>
          <w:sz w:val="24"/>
          <w:szCs w:val="24"/>
          <w:lang w:val="en-GB"/>
        </w:rPr>
        <w:t>Introduction</w:t>
      </w:r>
    </w:p>
    <w:p w14:paraId="3BA2EE2F" w14:textId="1D25676A" w:rsidR="007B2D5D" w:rsidRPr="00F83C46" w:rsidRDefault="00926A2B" w:rsidP="00114391">
      <w:pPr>
        <w:ind w:firstLine="420"/>
        <w:rPr>
          <w:rFonts w:ascii="Arial" w:hAnsi="Arial" w:cs="Arial"/>
          <w:sz w:val="24"/>
          <w:szCs w:val="24"/>
          <w:lang w:val="en-GB"/>
        </w:rPr>
      </w:pPr>
      <w:bookmarkStart w:id="5" w:name="_Hlk34429131"/>
      <w:bookmarkStart w:id="6" w:name="_Hlk21529224"/>
      <w:r w:rsidRPr="00F83C46">
        <w:rPr>
          <w:rFonts w:ascii="Arial" w:hAnsi="Arial" w:cs="Arial"/>
          <w:sz w:val="24"/>
          <w:szCs w:val="24"/>
          <w:lang w:val="en-GB"/>
        </w:rPr>
        <w:t>Lung adenocarcinoma</w:t>
      </w:r>
      <w:r w:rsidR="002243AB" w:rsidRPr="00F83C46">
        <w:rPr>
          <w:rFonts w:ascii="Arial" w:hAnsi="Arial" w:cs="Arial"/>
          <w:sz w:val="24"/>
          <w:szCs w:val="24"/>
          <w:lang w:val="en-GB"/>
        </w:rPr>
        <w:t xml:space="preserve"> (LUAD)</w:t>
      </w:r>
      <w:r w:rsidRPr="00F83C46">
        <w:rPr>
          <w:rFonts w:ascii="Arial" w:hAnsi="Arial" w:cs="Arial"/>
          <w:sz w:val="24"/>
          <w:szCs w:val="24"/>
          <w:lang w:val="en-GB"/>
        </w:rPr>
        <w:t xml:space="preserve"> is one of the most </w:t>
      </w:r>
      <w:r w:rsidR="00071435" w:rsidRPr="00071435">
        <w:rPr>
          <w:rFonts w:ascii="Arial" w:hAnsi="Arial" w:cs="Arial"/>
          <w:sz w:val="24"/>
          <w:szCs w:val="24"/>
          <w:lang w:val="en-GB"/>
        </w:rPr>
        <w:t>complex and heterogeneous malignancies</w:t>
      </w:r>
      <w:r w:rsidR="00071435">
        <w:rPr>
          <w:rFonts w:ascii="Arial" w:hAnsi="Arial" w:cs="Arial" w:hint="eastAsia"/>
          <w:sz w:val="24"/>
          <w:szCs w:val="24"/>
          <w:lang w:val="en-GB"/>
        </w:rPr>
        <w:t>.</w:t>
      </w:r>
      <w:bookmarkEnd w:id="5"/>
      <w:r w:rsidR="00071435" w:rsidRPr="00071435">
        <w:rPr>
          <w:rFonts w:ascii="Arial" w:hAnsi="Arial" w:cs="Arial"/>
          <w:sz w:val="24"/>
          <w:szCs w:val="24"/>
          <w:lang w:val="en-GB"/>
        </w:rPr>
        <w:t xml:space="preserve"> </w:t>
      </w:r>
      <w:r w:rsidR="005C2C63" w:rsidRPr="00F83C46">
        <w:rPr>
          <w:rFonts w:ascii="Arial" w:hAnsi="Arial" w:cs="Arial"/>
          <w:sz w:val="24"/>
          <w:szCs w:val="24"/>
          <w:lang w:val="en-GB"/>
        </w:rPr>
        <w:t xml:space="preserve">Its incidence has been increasing in younger cohorts of males and females </w:t>
      </w:r>
      <w:r w:rsidR="002243AB" w:rsidRPr="00F83C46">
        <w:rPr>
          <w:rFonts w:ascii="Arial" w:hAnsi="Arial" w:cs="Arial"/>
          <w:sz w:val="24"/>
          <w:szCs w:val="24"/>
          <w:lang w:val="en-GB"/>
        </w:rPr>
        <w:t xml:space="preserve">in </w:t>
      </w:r>
      <w:r w:rsidR="005C2C63" w:rsidRPr="00F83C46">
        <w:rPr>
          <w:rFonts w:ascii="Arial" w:hAnsi="Arial" w:cs="Arial"/>
          <w:sz w:val="24"/>
          <w:szCs w:val="24"/>
          <w:lang w:val="en-GB"/>
        </w:rPr>
        <w:t xml:space="preserve">recent years </w:t>
      </w:r>
      <w:r w:rsidR="005C2C63" w:rsidRPr="00F83C46">
        <w:rPr>
          <w:rFonts w:ascii="Arial" w:hAnsi="Arial" w:cs="Arial"/>
          <w:sz w:val="24"/>
          <w:szCs w:val="24"/>
          <w:lang w:val="en-GB"/>
        </w:rPr>
        <w:fldChar w:fldCharType="begin"/>
      </w:r>
      <w:r w:rsidR="0083165F">
        <w:rPr>
          <w:rFonts w:ascii="Arial" w:hAnsi="Arial" w:cs="Arial"/>
          <w:sz w:val="24"/>
          <w:szCs w:val="24"/>
          <w:lang w:val="en-GB"/>
        </w:rPr>
        <w:instrText xml:space="preserve"> ADDIN EN.CITE &lt;EndNote&gt;&lt;Cite&gt;&lt;Author&gt;Mao&lt;/Author&gt;&lt;Year&gt;2016&lt;/Year&gt;&lt;RecNum&gt;649&lt;/RecNum&gt;&lt;DisplayText&gt;(1)&lt;/DisplayText&gt;&lt;record&gt;&lt;rec-number&gt;649&lt;/rec-number&gt;&lt;foreign-keys&gt;&lt;key app="EN" db-id="59aa22z2jdzvtfe52vqxpfw9wpraze9w25rw"&gt;649&lt;/key&gt;&lt;/foreign-keys&gt;&lt;ref-type name="Journal Article"&gt;17&lt;/ref-type&gt;&lt;contributors&gt;&lt;authors&gt;&lt;author&gt;Mao, Yousheng&lt;/author&gt;&lt;author&gt;Yang, Ding&lt;/author&gt;&lt;author&gt;He, Jie&lt;/author&gt;&lt;author&gt;Krasna, Mark J&lt;/author&gt;&lt;/authors&gt;&lt;/contributors&gt;&lt;titles&gt;&lt;title&gt;Epidemiology of lung cancer&lt;/title&gt;&lt;secondary-title&gt;Surgical Oncology Clinics&lt;/secondary-title&gt;&lt;/titles&gt;&lt;periodical&gt;&lt;full-title&gt;Surgical Oncology Clinics&lt;/full-title&gt;&lt;/periodical&gt;&lt;pages&gt;439-445&lt;/pages&gt;&lt;volume&gt;25&lt;/volume&gt;&lt;number&gt;3&lt;/number&gt;&lt;dates&gt;&lt;year&gt;2016&lt;/year&gt;&lt;/dates&gt;&lt;isbn&gt;1055-3207&lt;/isbn&gt;&lt;urls&gt;&lt;/urls&gt;&lt;/record&gt;&lt;/Cite&gt;&lt;/EndNote&gt;</w:instrText>
      </w:r>
      <w:r w:rsidR="005C2C63"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1" w:tooltip="Mao, 2016 #649" w:history="1">
        <w:r w:rsidR="0038443C">
          <w:rPr>
            <w:rFonts w:ascii="Arial" w:hAnsi="Arial" w:cs="Arial"/>
            <w:noProof/>
            <w:sz w:val="24"/>
            <w:szCs w:val="24"/>
            <w:lang w:val="en-GB"/>
          </w:rPr>
          <w:t>1</w:t>
        </w:r>
      </w:hyperlink>
      <w:r w:rsidR="0083165F">
        <w:rPr>
          <w:rFonts w:ascii="Arial" w:hAnsi="Arial" w:cs="Arial"/>
          <w:noProof/>
          <w:sz w:val="24"/>
          <w:szCs w:val="24"/>
          <w:lang w:val="en-GB"/>
        </w:rPr>
        <w:t>)</w:t>
      </w:r>
      <w:r w:rsidR="005C2C63" w:rsidRPr="00F83C46">
        <w:rPr>
          <w:rFonts w:ascii="Arial" w:hAnsi="Arial" w:cs="Arial"/>
          <w:sz w:val="24"/>
          <w:szCs w:val="24"/>
          <w:lang w:val="en-GB"/>
        </w:rPr>
        <w:fldChar w:fldCharType="end"/>
      </w:r>
      <w:r w:rsidRPr="00F83C46">
        <w:rPr>
          <w:rFonts w:ascii="Arial" w:hAnsi="Arial" w:cs="Arial"/>
          <w:sz w:val="24"/>
          <w:szCs w:val="24"/>
          <w:lang w:val="en-GB"/>
        </w:rPr>
        <w:t>. Low</w:t>
      </w:r>
      <w:r w:rsidR="002243AB" w:rsidRPr="00F83C46">
        <w:rPr>
          <w:rFonts w:ascii="Arial" w:hAnsi="Arial" w:cs="Arial"/>
          <w:sz w:val="24"/>
          <w:szCs w:val="24"/>
          <w:lang w:val="en-GB"/>
        </w:rPr>
        <w:t>-</w:t>
      </w:r>
      <w:r w:rsidRPr="00F83C46">
        <w:rPr>
          <w:rFonts w:ascii="Arial" w:hAnsi="Arial" w:cs="Arial"/>
          <w:sz w:val="24"/>
          <w:szCs w:val="24"/>
          <w:lang w:val="en-GB"/>
        </w:rPr>
        <w:t xml:space="preserve">dose computerized tomography (CT) screening and </w:t>
      </w:r>
      <w:r w:rsidR="002243AB" w:rsidRPr="00F83C46">
        <w:rPr>
          <w:rFonts w:ascii="Arial" w:hAnsi="Arial" w:cs="Arial"/>
          <w:sz w:val="24"/>
          <w:szCs w:val="24"/>
          <w:lang w:val="en-GB"/>
        </w:rPr>
        <w:t>p</w:t>
      </w:r>
      <w:r w:rsidRPr="00F83C46">
        <w:rPr>
          <w:rFonts w:ascii="Arial" w:hAnsi="Arial" w:cs="Arial"/>
          <w:sz w:val="24"/>
          <w:szCs w:val="24"/>
          <w:lang w:val="en-GB"/>
        </w:rPr>
        <w:t>ositron emission tomography</w:t>
      </w:r>
      <w:r w:rsidR="002243AB" w:rsidRPr="00F83C46">
        <w:rPr>
          <w:rFonts w:ascii="Arial" w:hAnsi="Arial" w:cs="Arial"/>
          <w:sz w:val="24"/>
          <w:szCs w:val="24"/>
          <w:lang w:val="en-GB"/>
        </w:rPr>
        <w:t>/</w:t>
      </w:r>
      <w:r w:rsidRPr="00F83C46">
        <w:rPr>
          <w:rFonts w:ascii="Arial" w:hAnsi="Arial" w:cs="Arial"/>
          <w:sz w:val="24"/>
          <w:szCs w:val="24"/>
          <w:lang w:val="en-GB"/>
        </w:rPr>
        <w:t xml:space="preserve">CT screening help the early diagnosis of LUAD. </w:t>
      </w:r>
      <w:r w:rsidR="002959DF" w:rsidRPr="00F83C46">
        <w:rPr>
          <w:rFonts w:ascii="Arial" w:hAnsi="Arial" w:cs="Arial" w:hint="eastAsia"/>
          <w:sz w:val="24"/>
          <w:szCs w:val="24"/>
          <w:lang w:val="en-GB"/>
        </w:rPr>
        <w:t>Therefore</w:t>
      </w:r>
      <w:r w:rsidRPr="00F83C46">
        <w:rPr>
          <w:rFonts w:ascii="Arial" w:hAnsi="Arial" w:cs="Arial"/>
          <w:sz w:val="24"/>
          <w:szCs w:val="24"/>
          <w:lang w:val="en-GB"/>
        </w:rPr>
        <w:t xml:space="preserve">, stage I non-small cell lung cancer </w:t>
      </w:r>
      <w:r w:rsidR="002243AB" w:rsidRPr="00F83C46">
        <w:rPr>
          <w:rFonts w:ascii="Arial" w:hAnsi="Arial" w:cs="Arial"/>
          <w:sz w:val="24"/>
          <w:szCs w:val="24"/>
          <w:lang w:val="en-GB"/>
        </w:rPr>
        <w:t xml:space="preserve">patients have </w:t>
      </w:r>
      <w:r w:rsidRPr="00F83C46">
        <w:rPr>
          <w:rFonts w:ascii="Arial" w:hAnsi="Arial" w:cs="Arial"/>
          <w:sz w:val="24"/>
          <w:szCs w:val="24"/>
          <w:lang w:val="en-GB"/>
        </w:rPr>
        <w:t xml:space="preserve">five-year survival rates of 83% (Stage IA) and 71% (Stage IB) </w:t>
      </w:r>
      <w:r w:rsidRPr="00F83C46">
        <w:rPr>
          <w:rFonts w:ascii="Arial" w:hAnsi="Arial" w:cs="Arial"/>
          <w:sz w:val="24"/>
          <w:szCs w:val="24"/>
          <w:lang w:val="en-GB"/>
        </w:rPr>
        <w:fldChar w:fldCharType="begin"/>
      </w:r>
      <w:r w:rsidR="0083165F">
        <w:rPr>
          <w:rFonts w:ascii="Arial" w:hAnsi="Arial" w:cs="Arial"/>
          <w:sz w:val="24"/>
          <w:szCs w:val="24"/>
          <w:lang w:val="en-GB"/>
        </w:rPr>
        <w:instrText xml:space="preserve"> ADDIN EN.CITE &lt;EndNote&gt;&lt;Cite&gt;&lt;Author&gt;Besse&lt;/Author&gt;&lt;Year&gt;2015&lt;/Year&gt;&lt;RecNum&gt;644&lt;/RecNum&gt;&lt;DisplayText&gt;(2)&lt;/DisplayText&gt;&lt;record&gt;&lt;rec-number&gt;644&lt;/rec-number&gt;&lt;foreign-keys&gt;&lt;key app="EN" db-id="59aa22z2jdzvtfe52vqxpfw9wpraze9w25rw"&gt;644&lt;/key&gt;&lt;/foreign-keys&gt;&lt;ref-type name="Journal Article"&gt;17&lt;/ref-type&gt;&lt;contributors&gt;&lt;authors&gt;&lt;author&gt;Besse, B&lt;/author&gt;&lt;author&gt;Johnson, M&lt;/author&gt;&lt;author&gt;Janne, PA&lt;/author&gt;&lt;author&gt;Garassino, M&lt;/author&gt;&lt;author&gt;Eberhardt, WEE&lt;/author&gt;&lt;author&gt;Peters, S&lt;/author&gt;&lt;author&gt;Toh, CK&lt;/author&gt;&lt;author&gt;Kurata, T&lt;/author&gt;&lt;author&gt;Li, Z&lt;/author&gt;&lt;author&gt;Kowanetz, M&lt;/author&gt;&lt;/authors&gt;&lt;/contributors&gt;&lt;titles&gt;&lt;title&gt;16LBA Phase II, single-arm trial (BIRCH) of atezolizumab as first-line or subsequent therapy for locally advanced or metastatic PD-L1-selected non-small cell lung cancer (NSCLC)&lt;/title&gt;&lt;secondary-title&gt;European Journal of Cancer&lt;/secondary-title&gt;&lt;/titles&gt;&lt;periodical&gt;&lt;full-title&gt;European Journal of Cancer&lt;/full-title&gt;&lt;/periodical&gt;&lt;pages&gt;S717-S718&lt;/pages&gt;&lt;volume&gt;51&lt;/volume&gt;&lt;dates&gt;&lt;year&gt;2015&lt;/year&gt;&lt;/dates&gt;&lt;isbn&gt;0959-8049&lt;/isbn&gt;&lt;urls&gt;&lt;/urls&gt;&lt;/record&gt;&lt;/Cite&gt;&lt;/EndNote&gt;</w:instrText>
      </w:r>
      <w:r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2" w:tooltip="Besse, 2015 #644" w:history="1">
        <w:r w:rsidR="0038443C">
          <w:rPr>
            <w:rFonts w:ascii="Arial" w:hAnsi="Arial" w:cs="Arial"/>
            <w:noProof/>
            <w:sz w:val="24"/>
            <w:szCs w:val="24"/>
            <w:lang w:val="en-GB"/>
          </w:rPr>
          <w:t>2</w:t>
        </w:r>
      </w:hyperlink>
      <w:r w:rsidR="0083165F">
        <w:rPr>
          <w:rFonts w:ascii="Arial" w:hAnsi="Arial" w:cs="Arial"/>
          <w:noProof/>
          <w:sz w:val="24"/>
          <w:szCs w:val="24"/>
          <w:lang w:val="en-GB"/>
        </w:rPr>
        <w:t>)</w:t>
      </w:r>
      <w:r w:rsidRPr="00F83C46">
        <w:rPr>
          <w:rFonts w:ascii="Arial" w:hAnsi="Arial" w:cs="Arial"/>
          <w:sz w:val="24"/>
          <w:szCs w:val="24"/>
          <w:lang w:val="en-GB"/>
        </w:rPr>
        <w:fldChar w:fldCharType="end"/>
      </w:r>
      <w:r w:rsidR="001E2FF7" w:rsidRPr="00F83C46">
        <w:rPr>
          <w:rFonts w:ascii="Arial" w:hAnsi="Arial" w:cs="Arial"/>
          <w:sz w:val="24"/>
          <w:szCs w:val="24"/>
          <w:lang w:val="en-GB"/>
        </w:rPr>
        <w:t xml:space="preserve">. However, the survival rate drops to 50% for stage II patients due to the minimal improvement of adjuvant chemotherapy </w:t>
      </w:r>
      <w:r w:rsidR="001E2FF7" w:rsidRPr="00F83C46">
        <w:rPr>
          <w:rFonts w:ascii="Arial" w:hAnsi="Arial" w:cs="Arial"/>
          <w:sz w:val="24"/>
          <w:szCs w:val="24"/>
          <w:lang w:val="en-GB"/>
        </w:rPr>
        <w:fldChar w:fldCharType="begin"/>
      </w:r>
      <w:r w:rsidR="0083165F">
        <w:rPr>
          <w:rFonts w:ascii="Arial" w:hAnsi="Arial" w:cs="Arial"/>
          <w:sz w:val="24"/>
          <w:szCs w:val="24"/>
          <w:lang w:val="en-GB"/>
        </w:rPr>
        <w:instrText xml:space="preserve"> ADDIN EN.CITE &lt;EndNote&gt;&lt;Cite&gt;&lt;Author&gt;Besse&lt;/Author&gt;&lt;Year&gt;2015&lt;/Year&gt;&lt;RecNum&gt;604&lt;/RecNum&gt;&lt;DisplayText&gt;(2)&lt;/DisplayText&gt;&lt;record&gt;&lt;rec-number&gt;604&lt;/rec-number&gt;&lt;foreign-keys&gt;&lt;key app="EN" db-id="59aa22z2jdzvtfe52vqxpfw9wpraze9w25rw"&gt;604&lt;/key&gt;&lt;/foreign-keys&gt;&lt;ref-type name="Journal Article"&gt;17&lt;/ref-type&gt;&lt;contributors&gt;&lt;authors&gt;&lt;author&gt;Besse, B&lt;/author&gt;&lt;author&gt;Johnson, M&lt;/author&gt;&lt;author&gt;Janne, PA&lt;/author&gt;&lt;author&gt;Garassino, M&lt;/author&gt;&lt;author&gt;Eberhardt, WEE&lt;/author&gt;&lt;author&gt;Peters, S&lt;/author&gt;&lt;author&gt;Toh, CK&lt;/author&gt;&lt;author&gt;Kurata, T&lt;/author&gt;&lt;author&gt;Li, Z&lt;/author&gt;&lt;author&gt;Kowanetz, M&lt;/author&gt;&lt;/authors&gt;&lt;/contributors&gt;&lt;titles&gt;&lt;title&gt;16LBA Phase II, single-arm trial (BIRCH) of atezolizumab as first-line or subsequent therapy for locally advanced or metastatic PD-L1-selected non-small cell lung cancer (NSCLC)&lt;/title&gt;&lt;secondary-title&gt;European Journal of Cancer&lt;/secondary-title&gt;&lt;/titles&gt;&lt;periodical&gt;&lt;full-title&gt;European Journal of Cancer&lt;/full-title&gt;&lt;/periodical&gt;&lt;pages&gt;S717-S718&lt;/pages&gt;&lt;volume&gt;51&lt;/volume&gt;&lt;dates&gt;&lt;year&gt;2015&lt;/year&gt;&lt;/dates&gt;&lt;isbn&gt;0959-8049&lt;/isbn&gt;&lt;urls&gt;&lt;/urls&gt;&lt;/record&gt;&lt;/Cite&gt;&lt;/EndNote&gt;</w:instrText>
      </w:r>
      <w:r w:rsidR="001E2FF7"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2" w:tooltip="Besse, 2015 #644" w:history="1">
        <w:r w:rsidR="0038443C">
          <w:rPr>
            <w:rFonts w:ascii="Arial" w:hAnsi="Arial" w:cs="Arial"/>
            <w:noProof/>
            <w:sz w:val="24"/>
            <w:szCs w:val="24"/>
            <w:lang w:val="en-GB"/>
          </w:rPr>
          <w:t>2</w:t>
        </w:r>
      </w:hyperlink>
      <w:r w:rsidR="0083165F">
        <w:rPr>
          <w:rFonts w:ascii="Arial" w:hAnsi="Arial" w:cs="Arial"/>
          <w:noProof/>
          <w:sz w:val="24"/>
          <w:szCs w:val="24"/>
          <w:lang w:val="en-GB"/>
        </w:rPr>
        <w:t>)</w:t>
      </w:r>
      <w:r w:rsidR="001E2FF7" w:rsidRPr="00F83C46">
        <w:rPr>
          <w:rFonts w:ascii="Arial" w:hAnsi="Arial" w:cs="Arial"/>
          <w:sz w:val="24"/>
          <w:szCs w:val="24"/>
          <w:lang w:val="en-GB"/>
        </w:rPr>
        <w:fldChar w:fldCharType="end"/>
      </w:r>
      <w:r w:rsidR="001E2FF7" w:rsidRPr="00F83C46">
        <w:rPr>
          <w:rFonts w:ascii="Arial" w:hAnsi="Arial" w:cs="Arial"/>
          <w:sz w:val="24"/>
          <w:szCs w:val="24"/>
          <w:lang w:val="en-GB"/>
        </w:rPr>
        <w:t xml:space="preserve">. Thus, </w:t>
      </w:r>
      <w:r w:rsidR="002243AB" w:rsidRPr="00F83C46">
        <w:rPr>
          <w:rFonts w:ascii="Arial" w:hAnsi="Arial" w:cs="Arial"/>
          <w:sz w:val="24"/>
          <w:szCs w:val="24"/>
          <w:lang w:val="en-GB"/>
        </w:rPr>
        <w:t xml:space="preserve">identifying </w:t>
      </w:r>
      <w:r w:rsidR="001E2FF7" w:rsidRPr="00F83C46">
        <w:rPr>
          <w:rFonts w:ascii="Arial" w:hAnsi="Arial" w:cs="Arial"/>
          <w:sz w:val="24"/>
          <w:szCs w:val="24"/>
          <w:lang w:val="en-GB"/>
        </w:rPr>
        <w:t xml:space="preserve">a new strategy for the treatment of early-stage LUAD is urgent. </w:t>
      </w:r>
      <w:bookmarkEnd w:id="6"/>
      <w:r w:rsidR="001E2FF7" w:rsidRPr="00F83C46">
        <w:rPr>
          <w:rFonts w:ascii="Arial" w:hAnsi="Arial" w:cs="Arial"/>
          <w:sz w:val="24"/>
          <w:szCs w:val="24"/>
          <w:lang w:val="en-GB"/>
        </w:rPr>
        <w:t xml:space="preserve">One study </w:t>
      </w:r>
      <w:r w:rsidRPr="00F83C46">
        <w:rPr>
          <w:rFonts w:ascii="Arial" w:eastAsia="宋体" w:hAnsi="Arial" w:cs="Arial"/>
          <w:sz w:val="24"/>
          <w:szCs w:val="24"/>
          <w:lang w:val="en-GB"/>
        </w:rPr>
        <w:t>showed</w:t>
      </w:r>
      <w:r w:rsidR="001E2FF7" w:rsidRPr="00F83C46">
        <w:rPr>
          <w:rFonts w:ascii="Arial" w:hAnsi="Arial" w:cs="Arial"/>
          <w:sz w:val="24"/>
          <w:szCs w:val="24"/>
          <w:lang w:val="en-GB"/>
        </w:rPr>
        <w:t xml:space="preserve"> an impressive treatment effect by anti-PD-1 </w:t>
      </w:r>
      <w:proofErr w:type="spellStart"/>
      <w:r w:rsidR="001E2FF7" w:rsidRPr="00F83C46">
        <w:rPr>
          <w:rFonts w:ascii="Arial" w:hAnsi="Arial" w:cs="Arial"/>
          <w:sz w:val="24"/>
          <w:szCs w:val="24"/>
          <w:lang w:val="en-GB"/>
        </w:rPr>
        <w:t>mAb</w:t>
      </w:r>
      <w:proofErr w:type="spellEnd"/>
      <w:r w:rsidR="001E2FF7" w:rsidRPr="00F83C46">
        <w:rPr>
          <w:rFonts w:ascii="Arial" w:hAnsi="Arial" w:cs="Arial"/>
          <w:sz w:val="24"/>
          <w:szCs w:val="24"/>
          <w:lang w:val="en-GB"/>
        </w:rPr>
        <w:t xml:space="preserve"> blockade in a small number of early-stage non-small cell lung cancer patients</w:t>
      </w:r>
      <w:r w:rsidR="00511E50">
        <w:rPr>
          <w:rFonts w:ascii="Arial" w:hAnsi="Arial" w:cs="Arial"/>
          <w:sz w:val="24"/>
          <w:szCs w:val="24"/>
          <w:lang w:val="en-GB"/>
        </w:rPr>
        <w:t xml:space="preserve"> </w:t>
      </w:r>
      <w:r w:rsidR="00511E50" w:rsidRPr="00511E50">
        <w:rPr>
          <w:rFonts w:ascii="Arial" w:hAnsi="Arial" w:cs="Arial"/>
          <w:sz w:val="24"/>
          <w:szCs w:val="24"/>
          <w:lang w:val="en-GB"/>
        </w:rPr>
        <w:t>in the neoadjuvant setting</w:t>
      </w:r>
      <w:r w:rsidR="001E2FF7" w:rsidRPr="00F83C46">
        <w:rPr>
          <w:rFonts w:ascii="Arial" w:hAnsi="Arial" w:cs="Arial"/>
          <w:sz w:val="24"/>
          <w:szCs w:val="24"/>
          <w:lang w:val="en-GB"/>
        </w:rPr>
        <w:t xml:space="preserve"> </w:t>
      </w:r>
      <w:r w:rsidR="001E2FF7" w:rsidRPr="00F83C46">
        <w:rPr>
          <w:rFonts w:ascii="Arial" w:hAnsi="Arial" w:cs="Arial"/>
          <w:sz w:val="24"/>
          <w:szCs w:val="24"/>
          <w:lang w:val="en-GB"/>
        </w:rPr>
        <w:fldChar w:fldCharType="begin"/>
      </w:r>
      <w:r w:rsidR="0083165F">
        <w:rPr>
          <w:rFonts w:ascii="Arial" w:hAnsi="Arial" w:cs="Arial"/>
          <w:sz w:val="24"/>
          <w:szCs w:val="24"/>
          <w:lang w:val="en-GB"/>
        </w:rPr>
        <w:instrText xml:space="preserve"> ADDIN EN.CITE &lt;EndNote&gt;&lt;Cite&gt;&lt;Author&gt;Chaft&lt;/Author&gt;&lt;Year&gt;2017&lt;/Year&gt;&lt;RecNum&gt;605&lt;/RecNum&gt;&lt;DisplayText&gt;(3)&lt;/DisplayText&gt;&lt;record&gt;&lt;rec-number&gt;605&lt;/rec-number&gt;&lt;foreign-keys&gt;&lt;key app="EN" db-id="59aa22z2jdzvtfe52vqxpfw9wpraze9w25rw"&gt;605&lt;/key&gt;&lt;/foreign-keys&gt;&lt;ref-type name="Generic"&gt;13&lt;/ref-type&gt;&lt;contributors&gt;&lt;authors&gt;&lt;author&gt;Chaft, Jamie E&lt;/author&gt;&lt;author&gt;Forde, Patrick M&lt;/author&gt;&lt;author&gt;Smith, Kellie Nicole&lt;/author&gt;&lt;author&gt;Anagnostou, Valsamo&lt;/author&gt;&lt;author&gt;Cottrell, Tricia&lt;/author&gt;&lt;author&gt;Taube, Janis M&lt;/author&gt;&lt;author&gt;Rekhtman, Natasha&lt;/author&gt;&lt;author&gt;Merghoub, Taha&lt;/author&gt;&lt;author&gt;Jones, David Randolph&lt;/author&gt;&lt;author&gt;Hellmann, Matthew David&lt;/author&gt;&lt;/authors&gt;&lt;/contributors&gt;&lt;titles&gt;&lt;title&gt;Neoadjuvant nivolumab in early-stage, resectable non-small cell lung cancers&lt;/title&gt;&lt;/titles&gt;&lt;dates&gt;&lt;year&gt;2017&lt;/year&gt;&lt;/dates&gt;&lt;publisher&gt;American Society of Clinical Oncology&lt;/publisher&gt;&lt;isbn&gt;0732-183X&lt;/isbn&gt;&lt;urls&gt;&lt;/urls&gt;&lt;/record&gt;&lt;/Cite&gt;&lt;/EndNote&gt;</w:instrText>
      </w:r>
      <w:r w:rsidR="001E2FF7"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3" w:tooltip="Chaft, 2017 #605" w:history="1">
        <w:r w:rsidR="0038443C">
          <w:rPr>
            <w:rFonts w:ascii="Arial" w:hAnsi="Arial" w:cs="Arial"/>
            <w:noProof/>
            <w:sz w:val="24"/>
            <w:szCs w:val="24"/>
            <w:lang w:val="en-GB"/>
          </w:rPr>
          <w:t>3</w:t>
        </w:r>
      </w:hyperlink>
      <w:r w:rsidR="0083165F">
        <w:rPr>
          <w:rFonts w:ascii="Arial" w:hAnsi="Arial" w:cs="Arial"/>
          <w:noProof/>
          <w:sz w:val="24"/>
          <w:szCs w:val="24"/>
          <w:lang w:val="en-GB"/>
        </w:rPr>
        <w:t>)</w:t>
      </w:r>
      <w:r w:rsidR="001E2FF7" w:rsidRPr="00F83C46">
        <w:rPr>
          <w:rFonts w:ascii="Arial" w:hAnsi="Arial" w:cs="Arial"/>
          <w:sz w:val="24"/>
          <w:szCs w:val="24"/>
          <w:lang w:val="en-GB"/>
        </w:rPr>
        <w:fldChar w:fldCharType="end"/>
      </w:r>
      <w:r w:rsidR="001E2FF7" w:rsidRPr="00F83C46">
        <w:rPr>
          <w:rFonts w:ascii="Arial" w:hAnsi="Arial" w:cs="Arial"/>
          <w:sz w:val="24"/>
          <w:szCs w:val="24"/>
          <w:lang w:val="en-GB"/>
        </w:rPr>
        <w:t xml:space="preserve">. Moreover, some </w:t>
      </w:r>
      <w:r w:rsidRPr="00F83C46">
        <w:rPr>
          <w:rFonts w:ascii="Arial" w:eastAsia="宋体" w:hAnsi="Arial" w:cs="Arial"/>
          <w:sz w:val="24"/>
          <w:szCs w:val="24"/>
          <w:lang w:val="en-GB"/>
        </w:rPr>
        <w:t>studies</w:t>
      </w:r>
      <w:r w:rsidR="001E2FF7" w:rsidRPr="00F83C46">
        <w:rPr>
          <w:rFonts w:ascii="Arial" w:hAnsi="Arial" w:cs="Arial"/>
          <w:sz w:val="24"/>
          <w:szCs w:val="24"/>
          <w:lang w:val="en-GB"/>
        </w:rPr>
        <w:t xml:space="preserve"> revealed tremendous benefits from checkpoint blockade </w:t>
      </w:r>
      <w:r w:rsidR="002243AB" w:rsidRPr="00F83C46">
        <w:rPr>
          <w:rFonts w:ascii="Arial" w:hAnsi="Arial" w:cs="Arial"/>
          <w:sz w:val="24"/>
          <w:szCs w:val="24"/>
          <w:lang w:val="en-GB"/>
        </w:rPr>
        <w:t xml:space="preserve">therapy in </w:t>
      </w:r>
      <w:r w:rsidR="001E2FF7" w:rsidRPr="00F83C46">
        <w:rPr>
          <w:rFonts w:ascii="Arial" w:hAnsi="Arial" w:cs="Arial"/>
          <w:sz w:val="24"/>
          <w:szCs w:val="24"/>
          <w:lang w:val="en-GB"/>
        </w:rPr>
        <w:t xml:space="preserve">patients with </w:t>
      </w:r>
      <w:r w:rsidR="002243AB" w:rsidRPr="00F83C46">
        <w:rPr>
          <w:rFonts w:ascii="Arial" w:hAnsi="Arial" w:cs="Arial"/>
          <w:sz w:val="24"/>
          <w:szCs w:val="24"/>
          <w:lang w:val="en-GB"/>
        </w:rPr>
        <w:t xml:space="preserve">a </w:t>
      </w:r>
      <w:r w:rsidR="001E2FF7" w:rsidRPr="00F83C46">
        <w:rPr>
          <w:rFonts w:ascii="Arial" w:hAnsi="Arial" w:cs="Arial"/>
          <w:sz w:val="24"/>
          <w:szCs w:val="24"/>
          <w:lang w:val="en-GB"/>
        </w:rPr>
        <w:t xml:space="preserve">low tumour burden </w:t>
      </w:r>
      <w:r w:rsidR="001E2FF7" w:rsidRPr="00F83C46">
        <w:rPr>
          <w:rFonts w:ascii="Arial" w:hAnsi="Arial" w:cs="Arial"/>
          <w:sz w:val="24"/>
          <w:szCs w:val="24"/>
          <w:lang w:val="en-GB"/>
        </w:rPr>
        <w:fldChar w:fldCharType="begin">
          <w:fldData xml:space="preserve">PEVuZE5vdGU+PENpdGU+PEF1dGhvcj5MYXZpbjwvQXV0aG9yPjxZZWFyPjIwMTc8L1llYXI+PFJl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</w:fldData>
        </w:fldChar>
      </w:r>
      <w:r w:rsidR="0083165F">
        <w:rPr>
          <w:rFonts w:ascii="Arial" w:hAnsi="Arial" w:cs="Arial"/>
          <w:sz w:val="24"/>
          <w:szCs w:val="24"/>
          <w:lang w:val="en-GB"/>
        </w:rPr>
        <w:instrText xml:space="preserve"> ADDIN EN.CITE </w:instrText>
      </w:r>
      <w:r w:rsidR="0083165F">
        <w:rPr>
          <w:rFonts w:ascii="Arial" w:hAnsi="Arial" w:cs="Arial"/>
          <w:sz w:val="24"/>
          <w:szCs w:val="24"/>
          <w:lang w:val="en-GB"/>
        </w:rPr>
        <w:fldChar w:fldCharType="begin">
          <w:fldData xml:space="preserve">PEVuZE5vdGU+PENpdGU+PEF1dGhvcj5MYXZpbjwvQXV0aG9yPjxZZWFyPjIwMTc8L1llYXI+PFJl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</w:fldData>
        </w:fldChar>
      </w:r>
      <w:r w:rsidR="0083165F">
        <w:rPr>
          <w:rFonts w:ascii="Arial" w:hAnsi="Arial" w:cs="Arial"/>
          <w:sz w:val="24"/>
          <w:szCs w:val="24"/>
          <w:lang w:val="en-GB"/>
        </w:rPr>
        <w:instrText xml:space="preserve"> ADDIN EN.CITE.DATA </w:instrText>
      </w:r>
      <w:r w:rsidR="0083165F">
        <w:rPr>
          <w:rFonts w:ascii="Arial" w:hAnsi="Arial" w:cs="Arial"/>
          <w:sz w:val="24"/>
          <w:szCs w:val="24"/>
          <w:lang w:val="en-GB"/>
        </w:rPr>
      </w:r>
      <w:r w:rsidR="0083165F">
        <w:rPr>
          <w:rFonts w:ascii="Arial" w:hAnsi="Arial" w:cs="Arial"/>
          <w:sz w:val="24"/>
          <w:szCs w:val="24"/>
          <w:lang w:val="en-GB"/>
        </w:rPr>
        <w:fldChar w:fldCharType="end"/>
      </w:r>
      <w:r w:rsidR="001E2FF7" w:rsidRPr="00F83C46">
        <w:rPr>
          <w:rFonts w:ascii="Arial" w:hAnsi="Arial" w:cs="Arial"/>
          <w:sz w:val="24"/>
          <w:szCs w:val="24"/>
          <w:lang w:val="en-GB"/>
        </w:rPr>
      </w:r>
      <w:r w:rsidR="001E2FF7"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4" w:tooltip="Lavin, 2017 #606" w:history="1">
        <w:r w:rsidR="0038443C">
          <w:rPr>
            <w:rFonts w:ascii="Arial" w:hAnsi="Arial" w:cs="Arial"/>
            <w:noProof/>
            <w:sz w:val="24"/>
            <w:szCs w:val="24"/>
            <w:lang w:val="en-GB"/>
          </w:rPr>
          <w:t>4-6</w:t>
        </w:r>
      </w:hyperlink>
      <w:r w:rsidR="0083165F">
        <w:rPr>
          <w:rFonts w:ascii="Arial" w:hAnsi="Arial" w:cs="Arial"/>
          <w:noProof/>
          <w:sz w:val="24"/>
          <w:szCs w:val="24"/>
          <w:lang w:val="en-GB"/>
        </w:rPr>
        <w:t>)</w:t>
      </w:r>
      <w:r w:rsidR="001E2FF7" w:rsidRPr="00F83C46">
        <w:rPr>
          <w:rFonts w:ascii="Arial" w:hAnsi="Arial" w:cs="Arial"/>
          <w:sz w:val="24"/>
          <w:szCs w:val="24"/>
          <w:lang w:val="en-GB"/>
        </w:rPr>
        <w:fldChar w:fldCharType="end"/>
      </w:r>
      <w:r w:rsidRPr="00F83C46">
        <w:rPr>
          <w:rFonts w:ascii="Arial" w:hAnsi="Arial" w:cs="Arial"/>
          <w:sz w:val="24"/>
          <w:szCs w:val="24"/>
          <w:lang w:val="en-GB"/>
        </w:rPr>
        <w:t xml:space="preserve">. Hence, immune checkpoint blockade therapy serves as a promising therapeutic strategy for early-stage LUAD. </w:t>
      </w:r>
      <w:r w:rsidR="002959DF" w:rsidRPr="00F83C46">
        <w:rPr>
          <w:rFonts w:ascii="Arial" w:hAnsi="Arial" w:cs="Arial" w:hint="eastAsia"/>
          <w:sz w:val="24"/>
          <w:szCs w:val="24"/>
          <w:lang w:val="en-GB"/>
        </w:rPr>
        <w:t>In</w:t>
      </w:r>
      <w:r w:rsidR="002959DF" w:rsidRPr="00F83C46">
        <w:rPr>
          <w:rFonts w:ascii="Arial" w:hAnsi="Arial" w:cs="Arial"/>
          <w:sz w:val="24"/>
          <w:szCs w:val="24"/>
          <w:lang w:val="en-GB"/>
        </w:rPr>
        <w:t xml:space="preserve"> </w:t>
      </w:r>
      <w:r w:rsidR="002959DF" w:rsidRPr="00F83C46">
        <w:rPr>
          <w:rFonts w:ascii="Arial" w:hAnsi="Arial" w:cs="Arial" w:hint="eastAsia"/>
          <w:sz w:val="24"/>
          <w:szCs w:val="24"/>
          <w:lang w:val="en-GB"/>
        </w:rPr>
        <w:t>addition</w:t>
      </w:r>
      <w:r w:rsidR="003C21D9" w:rsidRPr="00F83C46">
        <w:rPr>
          <w:rFonts w:ascii="Arial" w:hAnsi="Arial" w:cs="Arial"/>
          <w:sz w:val="24"/>
          <w:szCs w:val="24"/>
          <w:lang w:val="en-GB"/>
        </w:rPr>
        <w:t xml:space="preserve">, </w:t>
      </w:r>
      <w:bookmarkStart w:id="7" w:name="_Hlk21529271"/>
      <w:r w:rsidR="003C21D9" w:rsidRPr="00F83C46">
        <w:rPr>
          <w:rFonts w:ascii="Arial" w:hAnsi="Arial" w:cs="Arial"/>
          <w:sz w:val="24"/>
          <w:szCs w:val="24"/>
          <w:lang w:val="en-GB"/>
        </w:rPr>
        <w:t xml:space="preserve">increasing </w:t>
      </w:r>
      <w:r w:rsidRPr="00F83C46">
        <w:rPr>
          <w:rFonts w:ascii="Arial" w:eastAsia="宋体" w:hAnsi="Arial" w:cs="Arial"/>
          <w:sz w:val="24"/>
          <w:szCs w:val="24"/>
          <w:lang w:val="en-GB"/>
        </w:rPr>
        <w:t>evidence indicates</w:t>
      </w:r>
      <w:r w:rsidR="003C21D9" w:rsidRPr="00F83C46">
        <w:rPr>
          <w:rFonts w:ascii="Arial" w:hAnsi="Arial" w:cs="Arial"/>
          <w:sz w:val="24"/>
          <w:szCs w:val="24"/>
          <w:lang w:val="en-GB"/>
        </w:rPr>
        <w:t xml:space="preserve"> the important roles of </w:t>
      </w:r>
      <w:r w:rsidRPr="00F83C46">
        <w:rPr>
          <w:rFonts w:ascii="Arial" w:eastAsia="宋体" w:hAnsi="Arial" w:cs="Arial"/>
          <w:sz w:val="24"/>
          <w:szCs w:val="24"/>
          <w:lang w:val="en-GB"/>
        </w:rPr>
        <w:t xml:space="preserve">the </w:t>
      </w:r>
      <w:r w:rsidR="003C21D9" w:rsidRPr="00F83C46">
        <w:rPr>
          <w:rFonts w:ascii="Arial" w:hAnsi="Arial" w:cs="Arial"/>
          <w:sz w:val="24"/>
          <w:szCs w:val="24"/>
          <w:lang w:val="en-GB"/>
        </w:rPr>
        <w:t xml:space="preserve">immune microenvironment in the progression and malignancy of cancers </w:t>
      </w:r>
      <w:r w:rsidR="003C21D9" w:rsidRPr="00F83C46">
        <w:rPr>
          <w:rFonts w:ascii="Arial" w:hAnsi="Arial" w:cs="Arial" w:hint="eastAsia"/>
          <w:sz w:val="24"/>
          <w:szCs w:val="24"/>
          <w:lang w:val="en-GB"/>
        </w:rPr>
        <w:t>and</w:t>
      </w:r>
      <w:r w:rsidR="001E2FF7" w:rsidRPr="00F83C46">
        <w:rPr>
          <w:rFonts w:ascii="Arial" w:hAnsi="Arial" w:cs="Arial"/>
          <w:sz w:val="24"/>
          <w:szCs w:val="24"/>
          <w:lang w:val="en-GB"/>
        </w:rPr>
        <w:t xml:space="preserve"> </w:t>
      </w:r>
      <w:r w:rsidR="002243AB" w:rsidRPr="00F83C46">
        <w:rPr>
          <w:rFonts w:ascii="Arial" w:hAnsi="Arial" w:cs="Arial"/>
          <w:sz w:val="24"/>
          <w:szCs w:val="24"/>
          <w:lang w:val="en-GB"/>
        </w:rPr>
        <w:t xml:space="preserve">in </w:t>
      </w:r>
      <w:r w:rsidRPr="00F83C46">
        <w:rPr>
          <w:rFonts w:ascii="Arial" w:eastAsia="宋体" w:hAnsi="Arial" w:cs="Arial"/>
          <w:sz w:val="24"/>
          <w:szCs w:val="24"/>
          <w:lang w:val="en-GB"/>
        </w:rPr>
        <w:t>affect</w:t>
      </w:r>
      <w:r w:rsidR="002243AB" w:rsidRPr="00F83C46">
        <w:rPr>
          <w:rFonts w:ascii="Arial" w:eastAsia="宋体" w:hAnsi="Arial" w:cs="Arial"/>
          <w:sz w:val="24"/>
          <w:szCs w:val="24"/>
          <w:lang w:val="en-GB"/>
        </w:rPr>
        <w:t>ing</w:t>
      </w:r>
      <w:r w:rsidR="001E2FF7" w:rsidRPr="00F83C46">
        <w:rPr>
          <w:rFonts w:ascii="Arial" w:hAnsi="Arial" w:cs="Arial"/>
          <w:sz w:val="24"/>
          <w:szCs w:val="24"/>
          <w:lang w:val="en-GB"/>
        </w:rPr>
        <w:t xml:space="preserve"> the immunotherapy response </w:t>
      </w:r>
      <w:r w:rsidR="001E2FF7" w:rsidRPr="00F83C46">
        <w:rPr>
          <w:rFonts w:ascii="Arial" w:hAnsi="Arial" w:cs="Arial"/>
          <w:sz w:val="24"/>
          <w:szCs w:val="24"/>
          <w:lang w:val="en-GB"/>
        </w:rPr>
        <w:fldChar w:fldCharType="begin">
          <w:fldData xml:space="preserve">PEVuZE5vdGU+PENpdGU+PEF1dGhvcj5MYXZpbjwvQXV0aG9yPjxZZWFyPjIwMTc8L1llYXI+PFJl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</w:fldData>
        </w:fldChar>
      </w:r>
      <w:r w:rsidR="0083165F">
        <w:rPr>
          <w:rFonts w:ascii="Arial" w:hAnsi="Arial" w:cs="Arial"/>
          <w:sz w:val="24"/>
          <w:szCs w:val="24"/>
          <w:lang w:val="en-GB"/>
        </w:rPr>
        <w:instrText xml:space="preserve"> ADDIN EN.CITE </w:instrText>
      </w:r>
      <w:r w:rsidR="0083165F">
        <w:rPr>
          <w:rFonts w:ascii="Arial" w:hAnsi="Arial" w:cs="Arial"/>
          <w:sz w:val="24"/>
          <w:szCs w:val="24"/>
          <w:lang w:val="en-GB"/>
        </w:rPr>
        <w:fldChar w:fldCharType="begin">
          <w:fldData xml:space="preserve">PEVuZE5vdGU+PENpdGU+PEF1dGhvcj5MYXZpbjwvQXV0aG9yPjxZZWFyPjIwMTc8L1llYXI+PFJl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</w:fldData>
        </w:fldChar>
      </w:r>
      <w:r w:rsidR="0083165F">
        <w:rPr>
          <w:rFonts w:ascii="Arial" w:hAnsi="Arial" w:cs="Arial"/>
          <w:sz w:val="24"/>
          <w:szCs w:val="24"/>
          <w:lang w:val="en-GB"/>
        </w:rPr>
        <w:instrText xml:space="preserve"> ADDIN EN.CITE.DATA </w:instrText>
      </w:r>
      <w:r w:rsidR="0083165F">
        <w:rPr>
          <w:rFonts w:ascii="Arial" w:hAnsi="Arial" w:cs="Arial"/>
          <w:sz w:val="24"/>
          <w:szCs w:val="24"/>
          <w:lang w:val="en-GB"/>
        </w:rPr>
      </w:r>
      <w:r w:rsidR="0083165F">
        <w:rPr>
          <w:rFonts w:ascii="Arial" w:hAnsi="Arial" w:cs="Arial"/>
          <w:sz w:val="24"/>
          <w:szCs w:val="24"/>
          <w:lang w:val="en-GB"/>
        </w:rPr>
        <w:fldChar w:fldCharType="end"/>
      </w:r>
      <w:r w:rsidR="001E2FF7" w:rsidRPr="00F83C46">
        <w:rPr>
          <w:rFonts w:ascii="Arial" w:hAnsi="Arial" w:cs="Arial"/>
          <w:sz w:val="24"/>
          <w:szCs w:val="24"/>
          <w:lang w:val="en-GB"/>
        </w:rPr>
      </w:r>
      <w:r w:rsidR="001E2FF7"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4" w:tooltip="Lavin, 2017 #606" w:history="1">
        <w:r w:rsidR="0038443C">
          <w:rPr>
            <w:rFonts w:ascii="Arial" w:hAnsi="Arial" w:cs="Arial"/>
            <w:noProof/>
            <w:sz w:val="24"/>
            <w:szCs w:val="24"/>
            <w:lang w:val="en-GB"/>
          </w:rPr>
          <w:t>4</w:t>
        </w:r>
      </w:hyperlink>
      <w:r w:rsidR="0083165F">
        <w:rPr>
          <w:rFonts w:ascii="Arial" w:hAnsi="Arial" w:cs="Arial"/>
          <w:noProof/>
          <w:sz w:val="24"/>
          <w:szCs w:val="24"/>
          <w:lang w:val="en-GB"/>
        </w:rPr>
        <w:t xml:space="preserve">, </w:t>
      </w:r>
      <w:hyperlink w:anchor="_ENREF_7" w:tooltip="Fehrenbacher, 2016 #607" w:history="1">
        <w:r w:rsidR="0038443C">
          <w:rPr>
            <w:rFonts w:ascii="Arial" w:hAnsi="Arial" w:cs="Arial"/>
            <w:noProof/>
            <w:sz w:val="24"/>
            <w:szCs w:val="24"/>
            <w:lang w:val="en-GB"/>
          </w:rPr>
          <w:t>7</w:t>
        </w:r>
      </w:hyperlink>
      <w:r w:rsidR="0083165F">
        <w:rPr>
          <w:rFonts w:ascii="Arial" w:hAnsi="Arial" w:cs="Arial"/>
          <w:noProof/>
          <w:sz w:val="24"/>
          <w:szCs w:val="24"/>
          <w:lang w:val="en-GB"/>
        </w:rPr>
        <w:t xml:space="preserve">, </w:t>
      </w:r>
      <w:hyperlink w:anchor="_ENREF_8" w:tooltip="Bao, 2019 #634" w:history="1">
        <w:r w:rsidR="0038443C">
          <w:rPr>
            <w:rFonts w:ascii="Arial" w:hAnsi="Arial" w:cs="Arial"/>
            <w:noProof/>
            <w:sz w:val="24"/>
            <w:szCs w:val="24"/>
            <w:lang w:val="en-GB"/>
          </w:rPr>
          <w:t>8</w:t>
        </w:r>
      </w:hyperlink>
      <w:r w:rsidR="0083165F">
        <w:rPr>
          <w:rFonts w:ascii="Arial" w:hAnsi="Arial" w:cs="Arial"/>
          <w:noProof/>
          <w:sz w:val="24"/>
          <w:szCs w:val="24"/>
          <w:lang w:val="en-GB"/>
        </w:rPr>
        <w:t>)</w:t>
      </w:r>
      <w:r w:rsidR="001E2FF7" w:rsidRPr="00F83C46">
        <w:rPr>
          <w:rFonts w:ascii="Arial" w:hAnsi="Arial" w:cs="Arial"/>
          <w:sz w:val="24"/>
          <w:szCs w:val="24"/>
          <w:lang w:val="en-GB"/>
        </w:rPr>
        <w:fldChar w:fldCharType="end"/>
      </w:r>
      <w:r w:rsidRPr="00F83C46">
        <w:rPr>
          <w:rFonts w:ascii="Arial" w:hAnsi="Arial" w:cs="Arial"/>
          <w:sz w:val="24"/>
          <w:szCs w:val="24"/>
          <w:lang w:val="en-GB"/>
        </w:rPr>
        <w:t xml:space="preserve">. A detailed understanding of the immune microenvironment may </w:t>
      </w:r>
      <w:r w:rsidR="002243AB" w:rsidRPr="00F83C46">
        <w:rPr>
          <w:rFonts w:ascii="Arial" w:hAnsi="Arial" w:cs="Arial"/>
          <w:sz w:val="24"/>
          <w:szCs w:val="24"/>
          <w:lang w:val="en-GB"/>
        </w:rPr>
        <w:t xml:space="preserve">aid in </w:t>
      </w:r>
      <w:r w:rsidRPr="00F83C46">
        <w:rPr>
          <w:rFonts w:ascii="Arial" w:hAnsi="Arial" w:cs="Arial"/>
          <w:sz w:val="24"/>
          <w:szCs w:val="24"/>
          <w:lang w:val="en-GB"/>
        </w:rPr>
        <w:t xml:space="preserve">the development of immunotherapy </w:t>
      </w:r>
      <w:r w:rsidRPr="00F83C46">
        <w:rPr>
          <w:rFonts w:ascii="Arial" w:eastAsia="宋体" w:hAnsi="Arial" w:cs="Arial"/>
          <w:sz w:val="24"/>
          <w:szCs w:val="24"/>
          <w:lang w:val="en-GB"/>
        </w:rPr>
        <w:t>strategies</w:t>
      </w:r>
      <w:r w:rsidRPr="00F83C46">
        <w:rPr>
          <w:rFonts w:ascii="Arial" w:hAnsi="Arial" w:cs="Arial"/>
          <w:sz w:val="24"/>
          <w:szCs w:val="24"/>
          <w:lang w:val="en-GB"/>
        </w:rPr>
        <w:t>.</w:t>
      </w:r>
    </w:p>
    <w:bookmarkEnd w:id="7"/>
    <w:p w14:paraId="74986061" w14:textId="635601B6" w:rsidR="007B2D5D" w:rsidRPr="00F83C46" w:rsidRDefault="00926A2B" w:rsidP="007B2D5D">
      <w:pPr>
        <w:ind w:firstLine="420"/>
        <w:rPr>
          <w:rFonts w:ascii="Arial" w:hAnsi="Arial" w:cs="Arial"/>
          <w:sz w:val="24"/>
          <w:szCs w:val="24"/>
          <w:lang w:val="en-GB"/>
        </w:rPr>
      </w:pPr>
      <w:r w:rsidRPr="00F83C46">
        <w:rPr>
          <w:rFonts w:ascii="Arial" w:hAnsi="Arial" w:cs="Arial"/>
          <w:sz w:val="24"/>
          <w:szCs w:val="24"/>
          <w:lang w:val="en-GB"/>
        </w:rPr>
        <w:lastRenderedPageBreak/>
        <w:t xml:space="preserve">In this study, we </w:t>
      </w:r>
      <w:r w:rsidR="00511E50">
        <w:rPr>
          <w:rFonts w:ascii="Arial" w:hAnsi="Arial" w:cs="Arial"/>
          <w:sz w:val="24"/>
          <w:szCs w:val="24"/>
          <w:lang w:val="en-GB"/>
        </w:rPr>
        <w:t xml:space="preserve">identified </w:t>
      </w:r>
      <w:r w:rsidRPr="00F83C46">
        <w:rPr>
          <w:rFonts w:ascii="Arial" w:hAnsi="Arial" w:cs="Arial"/>
          <w:sz w:val="24"/>
          <w:szCs w:val="24"/>
          <w:lang w:val="en-GB"/>
        </w:rPr>
        <w:t xml:space="preserve">the immune landscape of early-stage LUAD. Three clusters were obtained by unsupervised clustering of the abundance of immune cell populations in early-stage LUAD tissues. Key immune-related genes were identified by </w:t>
      </w:r>
      <w:r w:rsidRPr="00F83C46">
        <w:rPr>
          <w:rFonts w:ascii="Arial" w:eastAsia="宋体" w:hAnsi="Arial" w:cs="Arial"/>
          <w:sz w:val="24"/>
          <w:szCs w:val="24"/>
          <w:lang w:val="en-GB"/>
        </w:rPr>
        <w:t>differentially</w:t>
      </w:r>
      <w:r w:rsidRPr="00F83C46">
        <w:rPr>
          <w:rFonts w:ascii="Arial" w:hAnsi="Arial" w:cs="Arial"/>
          <w:sz w:val="24"/>
          <w:szCs w:val="24"/>
          <w:lang w:val="en-GB"/>
        </w:rPr>
        <w:t xml:space="preserve"> expressed gene (DEG) analysis among the three clusters. </w:t>
      </w:r>
      <w:proofErr w:type="gramStart"/>
      <w:r w:rsidR="00511E50">
        <w:rPr>
          <w:rFonts w:ascii="Arial" w:hAnsi="Arial" w:cs="Arial"/>
          <w:sz w:val="24"/>
          <w:szCs w:val="24"/>
          <w:lang w:val="en-GB"/>
        </w:rPr>
        <w:t>A</w:t>
      </w:r>
      <w:proofErr w:type="gramEnd"/>
      <w:r w:rsidR="00511E50">
        <w:rPr>
          <w:rFonts w:ascii="Arial" w:hAnsi="Arial" w:cs="Arial"/>
          <w:sz w:val="24"/>
          <w:szCs w:val="24"/>
          <w:lang w:val="en-GB"/>
        </w:rPr>
        <w:t xml:space="preserve"> </w:t>
      </w:r>
      <w:r w:rsidR="00BB3334">
        <w:rPr>
          <w:rFonts w:ascii="Arial" w:hAnsi="Arial" w:cs="Arial"/>
          <w:sz w:val="24"/>
          <w:szCs w:val="24"/>
          <w:lang w:val="en-GB"/>
        </w:rPr>
        <w:t xml:space="preserve">immune-related </w:t>
      </w:r>
      <w:r w:rsidR="00511E50">
        <w:rPr>
          <w:rFonts w:ascii="Arial" w:hAnsi="Arial" w:cs="Arial"/>
          <w:sz w:val="24"/>
          <w:szCs w:val="24"/>
          <w:lang w:val="en-GB"/>
        </w:rPr>
        <w:t>gene signature was built and assessed by several computational biology</w:t>
      </w:r>
      <w:r w:rsidR="00BB3334">
        <w:rPr>
          <w:rFonts w:ascii="Arial" w:hAnsi="Arial" w:cs="Arial"/>
          <w:sz w:val="24"/>
          <w:szCs w:val="24"/>
          <w:lang w:val="en-GB"/>
        </w:rPr>
        <w:t xml:space="preserve"> and machine learning</w:t>
      </w:r>
      <w:r w:rsidR="00511E50">
        <w:rPr>
          <w:rFonts w:ascii="Arial" w:hAnsi="Arial" w:cs="Arial"/>
          <w:sz w:val="24"/>
          <w:szCs w:val="24"/>
          <w:lang w:val="en-GB"/>
        </w:rPr>
        <w:t xml:space="preserve"> methods. </w:t>
      </w:r>
      <w:r w:rsidR="00BB3334">
        <w:rPr>
          <w:rFonts w:ascii="Arial" w:hAnsi="Arial" w:cs="Arial"/>
          <w:sz w:val="24"/>
          <w:szCs w:val="24"/>
          <w:lang w:val="en-GB"/>
        </w:rPr>
        <w:t>Through detailed bioinformatics analyses of RNA-seq data</w:t>
      </w:r>
      <w:r w:rsidR="00652D1D">
        <w:rPr>
          <w:rFonts w:ascii="Arial" w:hAnsi="Arial" w:cs="Arial"/>
          <w:sz w:val="24"/>
          <w:szCs w:val="24"/>
          <w:lang w:val="en-GB"/>
        </w:rPr>
        <w:t xml:space="preserve"> </w:t>
      </w:r>
      <w:r w:rsidR="00BB3334">
        <w:rPr>
          <w:rFonts w:ascii="Arial" w:hAnsi="Arial" w:cs="Arial"/>
          <w:sz w:val="24"/>
          <w:szCs w:val="24"/>
          <w:lang w:val="en-GB"/>
        </w:rPr>
        <w:t xml:space="preserve">and clinical data, we describe the association of the immune gene signature and prognosis of early-stage LUAD patients. </w:t>
      </w:r>
    </w:p>
    <w:p w14:paraId="63F0CFA4" w14:textId="40B53A04" w:rsidR="007B2D5D" w:rsidRPr="00F83C46" w:rsidRDefault="003C75E6" w:rsidP="00FA6AC2">
      <w:pPr>
        <w:pStyle w:val="a5"/>
        <w:numPr>
          <w:ilvl w:val="0"/>
          <w:numId w:val="5"/>
        </w:numPr>
        <w:ind w:firstLineChars="0"/>
        <w:rPr>
          <w:rFonts w:ascii="Arial" w:hAnsi="Arial" w:cs="Arial"/>
          <w:b/>
          <w:bCs/>
          <w:sz w:val="24"/>
          <w:szCs w:val="24"/>
          <w:lang w:val="en-GB"/>
        </w:rPr>
      </w:pPr>
      <w:r w:rsidRPr="00F83C46">
        <w:rPr>
          <w:rFonts w:ascii="Arial" w:hAnsi="Arial" w:cs="Arial"/>
          <w:b/>
          <w:bCs/>
          <w:sz w:val="24"/>
          <w:szCs w:val="24"/>
          <w:lang w:val="en-GB"/>
        </w:rPr>
        <w:t>Methods</w:t>
      </w:r>
    </w:p>
    <w:p w14:paraId="6DAF0A36" w14:textId="5AEEAC11" w:rsidR="00C910EC" w:rsidRPr="00F83C46" w:rsidRDefault="00FA6AC2" w:rsidP="00C910EC">
      <w:pPr>
        <w:rPr>
          <w:rFonts w:ascii="Arial" w:hAnsi="Arial" w:cs="Arial"/>
          <w:b/>
          <w:bCs/>
          <w:sz w:val="24"/>
          <w:szCs w:val="24"/>
          <w:lang w:val="en-GB"/>
        </w:rPr>
      </w:pPr>
      <w:r w:rsidRPr="00F83C46">
        <w:rPr>
          <w:rFonts w:ascii="Arial" w:eastAsia="宋体" w:hAnsi="Arial" w:cs="Arial"/>
          <w:b/>
          <w:bCs/>
          <w:sz w:val="24"/>
          <w:szCs w:val="24"/>
          <w:lang w:val="en-GB"/>
        </w:rPr>
        <w:t xml:space="preserve">2.1 </w:t>
      </w:r>
      <w:r w:rsidR="00926A2B" w:rsidRPr="00F83C46">
        <w:rPr>
          <w:rFonts w:ascii="Arial" w:eastAsia="宋体" w:hAnsi="Arial" w:cs="Arial"/>
          <w:b/>
          <w:bCs/>
          <w:sz w:val="24"/>
          <w:szCs w:val="24"/>
          <w:lang w:val="en-GB"/>
        </w:rPr>
        <w:t>Dataset</w:t>
      </w:r>
      <w:r w:rsidR="00926A2B" w:rsidRPr="00F83C46">
        <w:rPr>
          <w:rFonts w:ascii="Arial" w:hAnsi="Arial" w:cs="Arial"/>
          <w:b/>
          <w:bCs/>
          <w:sz w:val="24"/>
          <w:szCs w:val="24"/>
          <w:lang w:val="en-GB"/>
        </w:rPr>
        <w:t xml:space="preserve"> preparation and data processing</w:t>
      </w:r>
    </w:p>
    <w:p w14:paraId="0BA831BC" w14:textId="264EB082" w:rsidR="00C910EC" w:rsidRPr="00F83C46" w:rsidRDefault="00BD1D55" w:rsidP="00B54E1F">
      <w:pPr>
        <w:ind w:firstLine="420"/>
        <w:rPr>
          <w:rFonts w:ascii="Arial" w:hAnsi="Arial" w:cs="Arial"/>
          <w:sz w:val="24"/>
          <w:szCs w:val="24"/>
          <w:lang w:val="en-GB"/>
        </w:rPr>
      </w:pPr>
      <w:r w:rsidRPr="00F83C46">
        <w:rPr>
          <w:rFonts w:ascii="Arial" w:hAnsi="Arial" w:cs="Arial"/>
          <w:sz w:val="24"/>
          <w:szCs w:val="24"/>
          <w:lang w:val="en-GB"/>
        </w:rPr>
        <w:t xml:space="preserve">TCGA RNA-seq datasets and clinical data </w:t>
      </w:r>
      <w:r w:rsidR="00047EE5" w:rsidRPr="00F83C46">
        <w:rPr>
          <w:rFonts w:ascii="Arial" w:hAnsi="Arial" w:cs="Arial"/>
          <w:sz w:val="24"/>
          <w:szCs w:val="24"/>
          <w:lang w:val="en-GB"/>
        </w:rPr>
        <w:t>from</w:t>
      </w:r>
      <w:r w:rsidRPr="00F83C46">
        <w:rPr>
          <w:rFonts w:ascii="Arial" w:hAnsi="Arial" w:cs="Arial"/>
          <w:sz w:val="24"/>
          <w:szCs w:val="24"/>
          <w:lang w:val="en-GB"/>
        </w:rPr>
        <w:t xml:space="preserve"> LUAD </w:t>
      </w:r>
      <w:r w:rsidR="00047EE5" w:rsidRPr="00F83C46">
        <w:rPr>
          <w:rFonts w:ascii="Arial" w:hAnsi="Arial" w:cs="Arial"/>
          <w:sz w:val="24"/>
          <w:szCs w:val="24"/>
          <w:lang w:val="en-GB"/>
        </w:rPr>
        <w:t xml:space="preserve">patients </w:t>
      </w:r>
      <w:r w:rsidRPr="00F83C46">
        <w:rPr>
          <w:rFonts w:ascii="Arial" w:hAnsi="Arial" w:cs="Arial"/>
          <w:sz w:val="24"/>
          <w:szCs w:val="24"/>
          <w:lang w:val="en-GB"/>
        </w:rPr>
        <w:t xml:space="preserve">were downloaded by </w:t>
      </w:r>
      <w:r w:rsidR="00047EE5" w:rsidRPr="00F83C46">
        <w:rPr>
          <w:rFonts w:ascii="Arial" w:hAnsi="Arial" w:cs="Arial"/>
          <w:sz w:val="24"/>
          <w:szCs w:val="24"/>
          <w:lang w:val="en-GB"/>
        </w:rPr>
        <w:t xml:space="preserve">the </w:t>
      </w:r>
      <w:r w:rsidRPr="00F83C46">
        <w:rPr>
          <w:rFonts w:ascii="Arial" w:hAnsi="Arial" w:cs="Arial"/>
          <w:sz w:val="24"/>
          <w:szCs w:val="24"/>
          <w:lang w:val="en-GB"/>
        </w:rPr>
        <w:t>UCSC Xena browser (https://xenabrowser.net/). GSE42127, GSE37745, GSE50081, GSE29013,</w:t>
      </w:r>
      <w:r w:rsidR="00926A2B" w:rsidRPr="00F83C46">
        <w:rPr>
          <w:rFonts w:ascii="Arial" w:eastAsia="宋体" w:hAnsi="Arial" w:cs="Arial"/>
          <w:sz w:val="24"/>
          <w:szCs w:val="24"/>
          <w:lang w:val="en-GB"/>
        </w:rPr>
        <w:t xml:space="preserve"> and</w:t>
      </w:r>
      <w:r w:rsidRPr="00F83C46">
        <w:rPr>
          <w:rFonts w:ascii="Arial" w:hAnsi="Arial" w:cs="Arial"/>
          <w:sz w:val="24"/>
          <w:szCs w:val="24"/>
          <w:lang w:val="en-GB"/>
        </w:rPr>
        <w:t xml:space="preserve"> GSE72094 were downloaded from the GEO database (</w:t>
      </w:r>
      <w:hyperlink r:id="rId10" w:history="1">
        <w:r w:rsidRPr="00F83C46">
          <w:rPr>
            <w:rFonts w:ascii="Arial" w:hAnsi="Arial" w:cs="Arial"/>
            <w:sz w:val="24"/>
            <w:szCs w:val="24"/>
            <w:lang w:val="en-GB"/>
          </w:rPr>
          <w:t>http://www.ncbi.nlm.nih.gov/geo/</w:t>
        </w:r>
      </w:hyperlink>
      <w:r w:rsidRPr="00F83C46">
        <w:rPr>
          <w:rFonts w:ascii="Arial" w:hAnsi="Arial" w:cs="Arial"/>
          <w:sz w:val="24"/>
          <w:szCs w:val="24"/>
          <w:lang w:val="en-GB"/>
        </w:rPr>
        <w:t>)</w:t>
      </w:r>
      <w:r w:rsidR="00753B04" w:rsidRPr="00F83C46">
        <w:rPr>
          <w:rFonts w:ascii="Arial" w:hAnsi="Arial" w:cs="Arial"/>
          <w:sz w:val="24"/>
          <w:szCs w:val="24"/>
          <w:lang w:val="en-GB"/>
        </w:rPr>
        <w:t xml:space="preserve">. </w:t>
      </w:r>
      <w:r w:rsidR="00047EE5" w:rsidRPr="00F83C46">
        <w:rPr>
          <w:rFonts w:ascii="Arial" w:hAnsi="Arial" w:cs="Arial"/>
          <w:sz w:val="24"/>
          <w:szCs w:val="24"/>
          <w:lang w:val="en-GB"/>
        </w:rPr>
        <w:t>E</w:t>
      </w:r>
      <w:r w:rsidR="00753B04" w:rsidRPr="00F83C46">
        <w:rPr>
          <w:rFonts w:ascii="Arial" w:hAnsi="Arial" w:cs="Arial"/>
          <w:sz w:val="24"/>
          <w:szCs w:val="24"/>
          <w:lang w:val="en-GB"/>
        </w:rPr>
        <w:t xml:space="preserve">arly-stage LUAD patients with TNM stage I-II were filtered by the criteria. CCLE cell line transcriptome data </w:t>
      </w:r>
      <w:r w:rsidR="00926A2B" w:rsidRPr="00F83C46">
        <w:rPr>
          <w:rFonts w:ascii="Arial" w:eastAsia="宋体" w:hAnsi="Arial" w:cs="Arial"/>
          <w:sz w:val="24"/>
          <w:szCs w:val="24"/>
          <w:lang w:val="en-GB"/>
        </w:rPr>
        <w:t>were</w:t>
      </w:r>
      <w:r w:rsidR="00753B04" w:rsidRPr="00F83C46">
        <w:rPr>
          <w:rFonts w:ascii="Arial" w:hAnsi="Arial" w:cs="Arial"/>
          <w:sz w:val="24"/>
          <w:szCs w:val="24"/>
          <w:lang w:val="en-GB"/>
        </w:rPr>
        <w:t xml:space="preserve"> downloaded from </w:t>
      </w:r>
      <w:r w:rsidR="00926A2B" w:rsidRPr="00F83C46">
        <w:rPr>
          <w:rFonts w:ascii="Arial" w:eastAsia="宋体" w:hAnsi="Arial" w:cs="Arial"/>
          <w:sz w:val="24"/>
          <w:szCs w:val="24"/>
          <w:lang w:val="en-GB"/>
        </w:rPr>
        <w:t xml:space="preserve">the </w:t>
      </w:r>
      <w:r w:rsidR="00753B04" w:rsidRPr="00F83C46">
        <w:rPr>
          <w:rFonts w:ascii="Arial" w:hAnsi="Arial" w:cs="Arial"/>
          <w:sz w:val="24"/>
          <w:szCs w:val="24"/>
          <w:lang w:val="en-GB"/>
        </w:rPr>
        <w:t>CCLE database (</w:t>
      </w:r>
      <w:hyperlink r:id="rId11" w:history="1">
        <w:r w:rsidR="00753B04" w:rsidRPr="00F83C46">
          <w:rPr>
            <w:rStyle w:val="a3"/>
            <w:rFonts w:ascii="Arial" w:hAnsi="Arial" w:cs="Arial"/>
            <w:sz w:val="24"/>
            <w:szCs w:val="24"/>
            <w:lang w:val="en-GB"/>
          </w:rPr>
          <w:t>https://portals.broadinstitute.org/ccle</w:t>
        </w:r>
      </w:hyperlink>
      <w:r w:rsidR="00753B04" w:rsidRPr="00F83C46">
        <w:rPr>
          <w:rFonts w:ascii="Arial" w:hAnsi="Arial" w:cs="Arial"/>
          <w:sz w:val="24"/>
          <w:szCs w:val="24"/>
          <w:lang w:val="en-GB"/>
        </w:rPr>
        <w:t>).</w:t>
      </w:r>
    </w:p>
    <w:p w14:paraId="372270F0" w14:textId="269CB354" w:rsidR="00C910EC" w:rsidRPr="00F83C46" w:rsidRDefault="00026B89" w:rsidP="00FA6AC2">
      <w:pPr>
        <w:pStyle w:val="a5"/>
        <w:numPr>
          <w:ilvl w:val="1"/>
          <w:numId w:val="5"/>
        </w:numPr>
        <w:ind w:firstLineChars="0"/>
        <w:rPr>
          <w:rFonts w:ascii="Arial" w:hAnsi="Arial" w:cs="Arial"/>
          <w:b/>
          <w:bCs/>
          <w:sz w:val="24"/>
          <w:szCs w:val="24"/>
          <w:lang w:val="en-GB"/>
        </w:rPr>
      </w:pPr>
      <w:r w:rsidRPr="00F83C46">
        <w:rPr>
          <w:rFonts w:ascii="Arial" w:hAnsi="Arial" w:cs="Arial"/>
          <w:b/>
          <w:bCs/>
          <w:sz w:val="24"/>
          <w:szCs w:val="24"/>
          <w:lang w:val="en-GB"/>
        </w:rPr>
        <w:t xml:space="preserve">Implementation of </w:t>
      </w:r>
      <w:r w:rsidR="00047EE5" w:rsidRPr="00F83C46">
        <w:rPr>
          <w:rFonts w:ascii="Arial" w:hAnsi="Arial" w:cs="Arial"/>
          <w:b/>
          <w:bCs/>
          <w:sz w:val="24"/>
          <w:szCs w:val="24"/>
          <w:lang w:val="en-GB"/>
        </w:rPr>
        <w:t>s</w:t>
      </w:r>
      <w:r w:rsidRPr="00F83C46">
        <w:rPr>
          <w:rFonts w:ascii="Arial" w:hAnsi="Arial" w:cs="Arial"/>
          <w:b/>
          <w:bCs/>
          <w:sz w:val="24"/>
          <w:szCs w:val="24"/>
          <w:lang w:val="en-GB"/>
        </w:rPr>
        <w:t>ingle-</w:t>
      </w:r>
      <w:r w:rsidR="00047EE5" w:rsidRPr="00F83C46">
        <w:rPr>
          <w:rFonts w:ascii="Arial" w:hAnsi="Arial" w:cs="Arial"/>
          <w:b/>
          <w:bCs/>
          <w:sz w:val="24"/>
          <w:szCs w:val="24"/>
          <w:lang w:val="en-GB"/>
        </w:rPr>
        <w:t>s</w:t>
      </w:r>
      <w:r w:rsidRPr="00F83C46">
        <w:rPr>
          <w:rFonts w:ascii="Arial" w:hAnsi="Arial" w:cs="Arial"/>
          <w:b/>
          <w:bCs/>
          <w:sz w:val="24"/>
          <w:szCs w:val="24"/>
          <w:lang w:val="en-GB"/>
        </w:rPr>
        <w:t xml:space="preserve">ample </w:t>
      </w:r>
      <w:r w:rsidR="00047EE5" w:rsidRPr="00F83C46">
        <w:rPr>
          <w:rFonts w:ascii="Arial" w:hAnsi="Arial" w:cs="Arial"/>
          <w:b/>
          <w:bCs/>
          <w:sz w:val="24"/>
          <w:szCs w:val="24"/>
          <w:lang w:val="en-GB"/>
        </w:rPr>
        <w:t>g</w:t>
      </w:r>
      <w:r w:rsidRPr="00F83C46">
        <w:rPr>
          <w:rFonts w:ascii="Arial" w:hAnsi="Arial" w:cs="Arial"/>
          <w:b/>
          <w:bCs/>
          <w:sz w:val="24"/>
          <w:szCs w:val="24"/>
          <w:lang w:val="en-GB"/>
        </w:rPr>
        <w:t xml:space="preserve">ene </w:t>
      </w:r>
      <w:r w:rsidR="00047EE5" w:rsidRPr="00F83C46">
        <w:rPr>
          <w:rFonts w:ascii="Arial" w:hAnsi="Arial" w:cs="Arial"/>
          <w:b/>
          <w:bCs/>
          <w:sz w:val="24"/>
          <w:szCs w:val="24"/>
          <w:lang w:val="en-GB"/>
        </w:rPr>
        <w:t>s</w:t>
      </w:r>
      <w:r w:rsidRPr="00F83C46">
        <w:rPr>
          <w:rFonts w:ascii="Arial" w:hAnsi="Arial" w:cs="Arial"/>
          <w:b/>
          <w:bCs/>
          <w:sz w:val="24"/>
          <w:szCs w:val="24"/>
          <w:lang w:val="en-GB"/>
        </w:rPr>
        <w:t xml:space="preserve">et </w:t>
      </w:r>
      <w:r w:rsidR="00047EE5" w:rsidRPr="00F83C46">
        <w:rPr>
          <w:rFonts w:ascii="Arial" w:hAnsi="Arial" w:cs="Arial"/>
          <w:b/>
          <w:bCs/>
          <w:sz w:val="24"/>
          <w:szCs w:val="24"/>
          <w:lang w:val="en-GB"/>
        </w:rPr>
        <w:t>e</w:t>
      </w:r>
      <w:r w:rsidRPr="00F83C46">
        <w:rPr>
          <w:rFonts w:ascii="Arial" w:hAnsi="Arial" w:cs="Arial"/>
          <w:b/>
          <w:bCs/>
          <w:sz w:val="24"/>
          <w:szCs w:val="24"/>
          <w:lang w:val="en-GB"/>
        </w:rPr>
        <w:t xml:space="preserve">nrichment </w:t>
      </w:r>
      <w:r w:rsidR="00047EE5" w:rsidRPr="00F83C46">
        <w:rPr>
          <w:rFonts w:ascii="Arial" w:hAnsi="Arial" w:cs="Arial"/>
          <w:b/>
          <w:bCs/>
          <w:sz w:val="24"/>
          <w:szCs w:val="24"/>
          <w:lang w:val="en-GB"/>
        </w:rPr>
        <w:t>a</w:t>
      </w:r>
      <w:r w:rsidRPr="00F83C46">
        <w:rPr>
          <w:rFonts w:ascii="Arial" w:hAnsi="Arial" w:cs="Arial"/>
          <w:b/>
          <w:bCs/>
          <w:sz w:val="24"/>
          <w:szCs w:val="24"/>
          <w:lang w:val="en-GB"/>
        </w:rPr>
        <w:t xml:space="preserve">nalysis (ssGSEA) and </w:t>
      </w:r>
      <w:r w:rsidR="00047EE5" w:rsidRPr="00F83C46">
        <w:rPr>
          <w:rFonts w:ascii="Arial" w:hAnsi="Arial" w:cs="Arial"/>
          <w:b/>
          <w:bCs/>
          <w:sz w:val="24"/>
          <w:szCs w:val="24"/>
          <w:lang w:val="en-GB"/>
        </w:rPr>
        <w:t>G</w:t>
      </w:r>
      <w:r w:rsidRPr="00F83C46">
        <w:rPr>
          <w:rFonts w:ascii="Arial" w:hAnsi="Arial" w:cs="Arial"/>
          <w:b/>
          <w:bCs/>
          <w:sz w:val="24"/>
          <w:szCs w:val="24"/>
          <w:lang w:val="en-GB"/>
        </w:rPr>
        <w:t xml:space="preserve">ene </w:t>
      </w:r>
      <w:r w:rsidR="00047EE5" w:rsidRPr="00F83C46">
        <w:rPr>
          <w:rFonts w:ascii="Arial" w:hAnsi="Arial" w:cs="Arial"/>
          <w:b/>
          <w:bCs/>
          <w:sz w:val="24"/>
          <w:szCs w:val="24"/>
          <w:lang w:val="en-GB"/>
        </w:rPr>
        <w:t>O</w:t>
      </w:r>
      <w:r w:rsidRPr="00F83C46">
        <w:rPr>
          <w:rFonts w:ascii="Arial" w:hAnsi="Arial" w:cs="Arial"/>
          <w:b/>
          <w:bCs/>
          <w:sz w:val="24"/>
          <w:szCs w:val="24"/>
          <w:lang w:val="en-GB"/>
        </w:rPr>
        <w:t>ntology (GO) analysis</w:t>
      </w:r>
    </w:p>
    <w:p w14:paraId="4D696554" w14:textId="257D608B" w:rsidR="00C910EC" w:rsidRPr="00F83C46" w:rsidRDefault="00431191" w:rsidP="00B54E1F">
      <w:pPr>
        <w:ind w:firstLine="420"/>
        <w:rPr>
          <w:rFonts w:ascii="Arial" w:hAnsi="Arial" w:cs="Arial"/>
          <w:sz w:val="24"/>
          <w:szCs w:val="24"/>
          <w:lang w:val="en-GB"/>
        </w:rPr>
      </w:pPr>
      <w:r w:rsidRPr="00F83C46">
        <w:rPr>
          <w:rFonts w:ascii="Arial" w:hAnsi="Arial" w:cs="Arial"/>
          <w:sz w:val="24"/>
          <w:szCs w:val="24"/>
          <w:lang w:val="en-GB"/>
        </w:rPr>
        <w:t xml:space="preserve">ssGSEA was performed to derive the enrichment scores of each immune-related cell </w:t>
      </w:r>
      <w:r w:rsidR="00926A2B" w:rsidRPr="00F83C46">
        <w:rPr>
          <w:rFonts w:ascii="Arial" w:eastAsia="宋体" w:hAnsi="Arial" w:cs="Arial"/>
          <w:sz w:val="24"/>
          <w:szCs w:val="24"/>
          <w:lang w:val="en-GB"/>
        </w:rPr>
        <w:t>population</w:t>
      </w:r>
      <w:r w:rsidRPr="00F83C46">
        <w:rPr>
          <w:rFonts w:ascii="Arial" w:hAnsi="Arial" w:cs="Arial"/>
          <w:sz w:val="24"/>
          <w:szCs w:val="24"/>
          <w:lang w:val="en-GB"/>
        </w:rPr>
        <w:t xml:space="preserve"> by the R package </w:t>
      </w:r>
      <w:r w:rsidR="002141FB" w:rsidRPr="00F83C46">
        <w:rPr>
          <w:rFonts w:ascii="Arial" w:hAnsi="Arial" w:cs="Arial"/>
          <w:sz w:val="24"/>
          <w:szCs w:val="24"/>
          <w:lang w:val="en-GB"/>
        </w:rPr>
        <w:t>GSVA</w:t>
      </w:r>
      <w:r w:rsidRPr="00F83C46">
        <w:rPr>
          <w:rFonts w:ascii="Arial" w:hAnsi="Arial" w:cs="Arial"/>
          <w:sz w:val="24"/>
          <w:szCs w:val="24"/>
          <w:lang w:val="en-GB"/>
        </w:rPr>
        <w:t xml:space="preserve"> </w:t>
      </w:r>
      <w:r w:rsidRPr="00F83C46">
        <w:rPr>
          <w:rFonts w:ascii="Arial" w:hAnsi="Arial" w:cs="Arial"/>
          <w:sz w:val="24"/>
          <w:szCs w:val="24"/>
          <w:lang w:val="en-GB"/>
        </w:rPr>
        <w:fldChar w:fldCharType="begin"/>
      </w:r>
      <w:r w:rsidR="0083165F">
        <w:rPr>
          <w:rFonts w:ascii="Arial" w:hAnsi="Arial" w:cs="Arial"/>
          <w:sz w:val="24"/>
          <w:szCs w:val="24"/>
          <w:lang w:val="en-GB"/>
        </w:rPr>
        <w:instrText xml:space="preserve"> ADDIN EN.CITE &lt;EndNote&gt;&lt;Cite&gt;&lt;Author&gt;Hänzelmann&lt;/Author&gt;&lt;Year&gt;2013&lt;/Year&gt;&lt;RecNum&gt;609&lt;/RecNum&gt;&lt;DisplayText&gt;(9)&lt;/DisplayText&gt;&lt;record&gt;&lt;rec-number&gt;609&lt;/rec-number&gt;&lt;foreign-keys&gt;&lt;key app="EN" db-id="59aa22z2jdzvtfe52vqxpfw9wpraze9w25rw"&gt;609&lt;/key&gt;&lt;/foreign-keys&gt;&lt;ref-type name="Journal Article"&gt;17&lt;/ref-type&gt;&lt;contributors&gt;&lt;authors&gt;&lt;author&gt;Hänzelmann, Sonja&lt;/author&gt;&lt;author&gt;Castelo, Robert&lt;/author&gt;&lt;author&gt;Guinney, Justin&lt;/author&gt;&lt;/authors&gt;&lt;/contributors&gt;&lt;titles&gt;&lt;title&gt;GSVA: gene set variation analysis for microarray and RNA-seq data&lt;/title&gt;&lt;secondary-title&gt;BMC bioinformatics&lt;/secondary-title&gt;&lt;/titles&gt;&lt;periodical&gt;&lt;full-title&gt;BMC bioinformatics&lt;/full-title&gt;&lt;/periodical&gt;&lt;pages&gt;7&lt;/pages&gt;&lt;volume&gt;14&lt;/volume&gt;&lt;number&gt;1&lt;/number&gt;&lt;dates&gt;&lt;year&gt;2013&lt;/year&gt;&lt;/dates&gt;&lt;isbn&gt;1471-2105&lt;/isbn&gt;&lt;urls&gt;&lt;/urls&gt;&lt;/record&gt;&lt;/Cite&gt;&lt;/EndNote&gt;</w:instrText>
      </w:r>
      <w:r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9" w:tooltip="Hänzelmann, 2013 #609" w:history="1">
        <w:r w:rsidR="0038443C">
          <w:rPr>
            <w:rFonts w:ascii="Arial" w:hAnsi="Arial" w:cs="Arial"/>
            <w:noProof/>
            <w:sz w:val="24"/>
            <w:szCs w:val="24"/>
            <w:lang w:val="en-GB"/>
          </w:rPr>
          <w:t>9</w:t>
        </w:r>
      </w:hyperlink>
      <w:r w:rsidR="0083165F">
        <w:rPr>
          <w:rFonts w:ascii="Arial" w:hAnsi="Arial" w:cs="Arial"/>
          <w:noProof/>
          <w:sz w:val="24"/>
          <w:szCs w:val="24"/>
          <w:lang w:val="en-GB"/>
        </w:rPr>
        <w:t>)</w:t>
      </w:r>
      <w:r w:rsidRPr="00F83C46">
        <w:rPr>
          <w:rFonts w:ascii="Arial" w:hAnsi="Arial" w:cs="Arial"/>
          <w:sz w:val="24"/>
          <w:szCs w:val="24"/>
          <w:lang w:val="en-GB"/>
        </w:rPr>
        <w:fldChar w:fldCharType="end"/>
      </w:r>
      <w:r w:rsidR="00AA240F" w:rsidRPr="00F83C46">
        <w:rPr>
          <w:rFonts w:ascii="Arial" w:hAnsi="Arial" w:cs="Arial"/>
          <w:sz w:val="24"/>
          <w:szCs w:val="24"/>
          <w:lang w:val="en-GB"/>
        </w:rPr>
        <w:t xml:space="preserve">. The computational approach used in our study included immune </w:t>
      </w:r>
      <w:r w:rsidR="00926A2B" w:rsidRPr="00F83C46">
        <w:rPr>
          <w:rFonts w:ascii="Arial" w:eastAsia="宋体" w:hAnsi="Arial" w:cs="Arial"/>
          <w:sz w:val="24"/>
          <w:szCs w:val="24"/>
          <w:lang w:val="en-GB"/>
        </w:rPr>
        <w:t>cell</w:t>
      </w:r>
      <w:r w:rsidR="00AA240F" w:rsidRPr="00F83C46">
        <w:rPr>
          <w:rFonts w:ascii="Arial" w:hAnsi="Arial" w:cs="Arial"/>
          <w:sz w:val="24"/>
          <w:szCs w:val="24"/>
          <w:lang w:val="en-GB"/>
        </w:rPr>
        <w:t xml:space="preserve"> types that are involved in innate immunity and adaptive immunity</w:t>
      </w:r>
      <w:r w:rsidR="004156C7" w:rsidRPr="00F83C46">
        <w:rPr>
          <w:rFonts w:ascii="Arial" w:hAnsi="Arial" w:cs="Arial"/>
          <w:sz w:val="24"/>
          <w:szCs w:val="24"/>
          <w:lang w:val="en-GB"/>
        </w:rPr>
        <w:t xml:space="preserve"> </w:t>
      </w:r>
      <w:r w:rsidR="004156C7" w:rsidRPr="00F83C46">
        <w:rPr>
          <w:rFonts w:ascii="Arial" w:hAnsi="Arial" w:cs="Arial"/>
          <w:sz w:val="24"/>
          <w:szCs w:val="24"/>
          <w:lang w:val="en-GB"/>
        </w:rPr>
        <w:fldChar w:fldCharType="begin"/>
      </w:r>
      <w:r w:rsidR="0083165F">
        <w:rPr>
          <w:rFonts w:ascii="Arial" w:hAnsi="Arial" w:cs="Arial"/>
          <w:sz w:val="24"/>
          <w:szCs w:val="24"/>
          <w:lang w:val="en-GB"/>
        </w:rPr>
        <w:instrText xml:space="preserve"> ADDIN EN.CITE &lt;EndNote&gt;&lt;Cite&gt;&lt;Author&gt;Bindea&lt;/Author&gt;&lt;Year&gt;2013&lt;/Year&gt;&lt;RecNum&gt;652&lt;/RecNum&gt;&lt;DisplayText&gt;(10)&lt;/DisplayText&gt;&lt;record&gt;&lt;rec-number&gt;652&lt;/rec-number&gt;&lt;foreign-keys&gt;&lt;key app="EN" db-id="59aa22z2jdzvtfe52vqxpfw9wpraze9w25rw"&gt;652&lt;/key&gt;&lt;/foreign-keys&gt;&lt;ref-type name="Journal Article"&gt;17&lt;/ref-type&gt;&lt;contributors&gt;&lt;authors&gt;&lt;author&gt;Bindea, Gabriela&lt;/author&gt;&lt;author&gt;Mlecnik, Bernhard&lt;/author&gt;&lt;author&gt;Tosolini, Marie&lt;/author&gt;&lt;author&gt;Kirilovsky, Amos&lt;/author&gt;&lt;author&gt;Waldner, Maximilian&lt;/author&gt;&lt;author&gt;Obenauf, Anna C&lt;/author&gt;&lt;author&gt;Angell, Helen&lt;/author&gt;&lt;author&gt;Fredriksen, Tessa&lt;/author&gt;&lt;author&gt;Lafontaine, Lucie&lt;/author&gt;&lt;author&gt;Berger, Anne&lt;/author&gt;&lt;/authors&gt;&lt;/contributors&gt;&lt;titles&gt;&lt;title&gt;Spatiotemporal dynamics of intratumoral immune cells reveal the immune landscape in human cancer&lt;/title&gt;&lt;secondary-title&gt;Immunity&lt;/secondary-title&gt;&lt;/titles&gt;&lt;periodical&gt;&lt;full-title&gt;Immunity&lt;/full-title&gt;&lt;/periodical&gt;&lt;pages&gt;782-795&lt;/pages&gt;&lt;volume&gt;39&lt;/volume&gt;&lt;number&gt;4&lt;/number&gt;&lt;dates&gt;&lt;year&gt;2013&lt;/year&gt;&lt;/dates&gt;&lt;isbn&gt;1074-7613&lt;/isbn&gt;&lt;urls&gt;&lt;/urls&gt;&lt;/record&gt;&lt;/Cite&gt;&lt;/EndNote&gt;</w:instrText>
      </w:r>
      <w:r w:rsidR="004156C7"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10" w:tooltip="Bindea, 2013 #652" w:history="1">
        <w:r w:rsidR="0038443C">
          <w:rPr>
            <w:rFonts w:ascii="Arial" w:hAnsi="Arial" w:cs="Arial"/>
            <w:noProof/>
            <w:sz w:val="24"/>
            <w:szCs w:val="24"/>
            <w:lang w:val="en-GB"/>
          </w:rPr>
          <w:t>10</w:t>
        </w:r>
      </w:hyperlink>
      <w:r w:rsidR="0083165F">
        <w:rPr>
          <w:rFonts w:ascii="Arial" w:hAnsi="Arial" w:cs="Arial"/>
          <w:noProof/>
          <w:sz w:val="24"/>
          <w:szCs w:val="24"/>
          <w:lang w:val="en-GB"/>
        </w:rPr>
        <w:t>)</w:t>
      </w:r>
      <w:r w:rsidR="004156C7" w:rsidRPr="00F83C46">
        <w:rPr>
          <w:rFonts w:ascii="Arial" w:hAnsi="Arial" w:cs="Arial"/>
          <w:sz w:val="24"/>
          <w:szCs w:val="24"/>
          <w:lang w:val="en-GB"/>
        </w:rPr>
        <w:fldChar w:fldCharType="end"/>
      </w:r>
      <w:r w:rsidR="00AA240F" w:rsidRPr="00F83C46">
        <w:rPr>
          <w:rFonts w:ascii="Arial" w:hAnsi="Arial" w:cs="Arial"/>
          <w:sz w:val="24"/>
          <w:szCs w:val="24"/>
          <w:lang w:val="en-GB"/>
        </w:rPr>
        <w:t xml:space="preserve">. The </w:t>
      </w:r>
      <w:r w:rsidR="00926A2B" w:rsidRPr="00F83C46">
        <w:rPr>
          <w:rFonts w:ascii="Arial" w:eastAsia="宋体" w:hAnsi="Arial" w:cs="Arial"/>
          <w:sz w:val="24"/>
          <w:szCs w:val="24"/>
          <w:lang w:val="en-GB"/>
        </w:rPr>
        <w:t>hallmark</w:t>
      </w:r>
      <w:r w:rsidRPr="00F83C46">
        <w:rPr>
          <w:rFonts w:ascii="Arial" w:hAnsi="Arial" w:cs="Arial"/>
          <w:sz w:val="24"/>
          <w:szCs w:val="24"/>
          <w:lang w:val="en-GB"/>
        </w:rPr>
        <w:t xml:space="preserve"> gene sets were</w:t>
      </w:r>
      <w:r w:rsidR="00926A2B" w:rsidRPr="00F83C46">
        <w:rPr>
          <w:rFonts w:ascii="Arial" w:eastAsia="宋体" w:hAnsi="Arial" w:cs="Arial"/>
          <w:sz w:val="24"/>
          <w:szCs w:val="24"/>
          <w:lang w:val="en-GB"/>
        </w:rPr>
        <w:t xml:space="preserve"> obtained</w:t>
      </w:r>
      <w:r w:rsidRPr="00F83C46">
        <w:rPr>
          <w:rFonts w:ascii="Arial" w:hAnsi="Arial" w:cs="Arial"/>
          <w:sz w:val="24"/>
          <w:szCs w:val="24"/>
          <w:lang w:val="en-GB"/>
        </w:rPr>
        <w:t xml:space="preserve"> from </w:t>
      </w:r>
      <w:r w:rsidR="00926A2B" w:rsidRPr="00F83C46">
        <w:rPr>
          <w:rFonts w:ascii="Arial" w:eastAsia="宋体" w:hAnsi="Arial" w:cs="Arial"/>
          <w:sz w:val="24"/>
          <w:szCs w:val="24"/>
          <w:lang w:val="en-GB"/>
        </w:rPr>
        <w:t xml:space="preserve">the </w:t>
      </w:r>
      <w:r w:rsidRPr="00F83C46">
        <w:rPr>
          <w:rFonts w:ascii="Arial" w:hAnsi="Arial" w:cs="Arial"/>
          <w:sz w:val="24"/>
          <w:szCs w:val="24"/>
          <w:lang w:val="en-GB"/>
        </w:rPr>
        <w:t>Molecular Signatures Database (</w:t>
      </w:r>
      <w:proofErr w:type="spellStart"/>
      <w:r w:rsidRPr="00F83C46">
        <w:rPr>
          <w:rFonts w:ascii="Arial" w:hAnsi="Arial" w:cs="Arial"/>
          <w:sz w:val="24"/>
          <w:szCs w:val="24"/>
          <w:lang w:val="en-GB"/>
        </w:rPr>
        <w:t>MSigDB</w:t>
      </w:r>
      <w:proofErr w:type="spellEnd"/>
      <w:r w:rsidRPr="00F83C46">
        <w:rPr>
          <w:rFonts w:ascii="Arial" w:hAnsi="Arial" w:cs="Arial"/>
          <w:sz w:val="24"/>
          <w:szCs w:val="24"/>
          <w:lang w:val="en-GB"/>
        </w:rPr>
        <w:t>). GO analysis was performed by</w:t>
      </w:r>
      <w:r w:rsidR="002141FB" w:rsidRPr="00F83C46">
        <w:rPr>
          <w:rFonts w:ascii="Arial" w:hAnsi="Arial" w:cs="Arial"/>
          <w:sz w:val="24"/>
          <w:szCs w:val="24"/>
          <w:lang w:val="en-GB"/>
        </w:rPr>
        <w:t xml:space="preserve"> the</w:t>
      </w:r>
      <w:r w:rsidRPr="00F83C46">
        <w:rPr>
          <w:rFonts w:ascii="Arial" w:hAnsi="Arial" w:cs="Arial"/>
          <w:sz w:val="24"/>
          <w:szCs w:val="24"/>
          <w:lang w:val="en-GB"/>
        </w:rPr>
        <w:t xml:space="preserve"> clusterProfiler package </w:t>
      </w:r>
      <w:r w:rsidRPr="00F83C46">
        <w:rPr>
          <w:rFonts w:ascii="Arial" w:hAnsi="Arial" w:cs="Arial"/>
          <w:sz w:val="24"/>
          <w:szCs w:val="24"/>
          <w:lang w:val="en-GB"/>
        </w:rPr>
        <w:fldChar w:fldCharType="begin"/>
      </w:r>
      <w:r w:rsidR="0083165F">
        <w:rPr>
          <w:rFonts w:ascii="Arial" w:hAnsi="Arial" w:cs="Arial"/>
          <w:sz w:val="24"/>
          <w:szCs w:val="24"/>
          <w:lang w:val="en-GB"/>
        </w:rPr>
        <w:instrText xml:space="preserve"> ADDIN EN.CITE &lt;EndNote&gt;&lt;Cite&gt;&lt;Author&gt;Fehrenbacher&lt;/Author&gt;&lt;Year&gt;2016&lt;/Year&gt;&lt;RecNum&gt;611&lt;/RecNum&gt;&lt;DisplayText&gt;(7)&lt;/DisplayText&gt;&lt;record&gt;&lt;rec-number&gt;611&lt;/rec-number&gt;&lt;foreign-keys&gt;&lt;key app="EN" db-id="59aa22z2jdzvtfe52vqxpfw9wpraze9w25rw"&gt;611&lt;/key&gt;&lt;/foreign-keys&gt;&lt;ref-type name="Journal Article"&gt;17&lt;/ref-type&gt;&lt;contributors&gt;&lt;authors&gt;&lt;author&gt;Fehrenbacher, Louis&lt;/author&gt;&lt;author&gt;Spira, Alexander&lt;/author&gt;&lt;author&gt;Ballinger, Marcus&lt;/author&gt;&lt;author&gt;Kowanetz, Marcin&lt;/author&gt;&lt;author&gt;Vansteenkiste, Johan&lt;/author&gt;&lt;author&gt;Mazieres, Julien&lt;/author&gt;&lt;author&gt;Park, Keunchil&lt;/author&gt;&lt;author&gt;Smith, David&lt;/author&gt;&lt;author&gt;Artal-Cortes, Angel&lt;/author&gt;&lt;author&gt;Lewanski, Conrad&lt;/author&gt;&lt;/authors&gt;&lt;/contributors&gt;&lt;titles&gt;&lt;title&gt;Atezolizumab versus docetaxel for patients with previously treated non-small-cell lung cancer (POPLAR): a multicentre, open-label, phase 2 randomised controlled trial&lt;/title&gt;&lt;secondary-title&gt;The Lancet&lt;/secondary-title&gt;&lt;/titles&gt;&lt;periodical&gt;&lt;full-title&gt;The Lancet&lt;/full-title&gt;&lt;/periodical&gt;&lt;pages&gt;1837-1846&lt;/pages&gt;&lt;volume&gt;387&lt;/volume&gt;&lt;number&gt;10030&lt;/number&gt;&lt;dates&gt;&lt;year&gt;2016&lt;/year&gt;&lt;/dates&gt;&lt;isbn&gt;0140-6736&lt;/isbn&gt;&lt;urls&gt;&lt;/urls&gt;&lt;/record&gt;&lt;/Cite&gt;&lt;/EndNote&gt;</w:instrText>
      </w:r>
      <w:r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7" w:tooltip="Fehrenbacher, 2016 #607" w:history="1">
        <w:r w:rsidR="0038443C">
          <w:rPr>
            <w:rFonts w:ascii="Arial" w:hAnsi="Arial" w:cs="Arial"/>
            <w:noProof/>
            <w:sz w:val="24"/>
            <w:szCs w:val="24"/>
            <w:lang w:val="en-GB"/>
          </w:rPr>
          <w:t>7</w:t>
        </w:r>
      </w:hyperlink>
      <w:r w:rsidR="0083165F">
        <w:rPr>
          <w:rFonts w:ascii="Arial" w:hAnsi="Arial" w:cs="Arial"/>
          <w:noProof/>
          <w:sz w:val="24"/>
          <w:szCs w:val="24"/>
          <w:lang w:val="en-GB"/>
        </w:rPr>
        <w:t>)</w:t>
      </w:r>
      <w:r w:rsidRPr="00F83C46">
        <w:rPr>
          <w:rFonts w:ascii="Arial" w:hAnsi="Arial" w:cs="Arial"/>
          <w:sz w:val="24"/>
          <w:szCs w:val="24"/>
          <w:lang w:val="en-GB"/>
        </w:rPr>
        <w:fldChar w:fldCharType="end"/>
      </w:r>
      <w:r w:rsidR="00026B89" w:rsidRPr="00F83C46">
        <w:rPr>
          <w:rFonts w:ascii="Arial" w:hAnsi="Arial" w:cs="Arial"/>
          <w:sz w:val="24"/>
          <w:szCs w:val="24"/>
          <w:lang w:val="en-GB"/>
        </w:rPr>
        <w:t>.</w:t>
      </w:r>
    </w:p>
    <w:p w14:paraId="674DB2AE" w14:textId="56E4CEE4" w:rsidR="003A22DD" w:rsidRPr="00F83C46" w:rsidRDefault="00FA6AC2">
      <w:pPr>
        <w:rPr>
          <w:rFonts w:ascii="Arial" w:hAnsi="Arial" w:cs="Arial"/>
          <w:b/>
          <w:bCs/>
          <w:sz w:val="24"/>
          <w:szCs w:val="24"/>
          <w:lang w:val="en-GB"/>
        </w:rPr>
      </w:pPr>
      <w:r w:rsidRPr="00F83C46">
        <w:rPr>
          <w:rFonts w:ascii="Arial" w:hAnsi="Arial" w:cs="Arial"/>
          <w:b/>
          <w:bCs/>
          <w:sz w:val="24"/>
          <w:szCs w:val="24"/>
          <w:lang w:val="en-GB"/>
        </w:rPr>
        <w:t xml:space="preserve">2.3 </w:t>
      </w:r>
      <w:r w:rsidR="00926A2B" w:rsidRPr="00F83C46">
        <w:rPr>
          <w:rFonts w:ascii="Arial" w:hAnsi="Arial" w:cs="Arial"/>
          <w:b/>
          <w:bCs/>
          <w:sz w:val="24"/>
          <w:szCs w:val="24"/>
          <w:lang w:val="en-GB"/>
        </w:rPr>
        <w:t xml:space="preserve">Differently expressed gene analysis </w:t>
      </w:r>
    </w:p>
    <w:p w14:paraId="7955A5F8" w14:textId="28F18C33" w:rsidR="003A22DD" w:rsidRPr="00F83C46" w:rsidRDefault="00926A2B" w:rsidP="00B54E1F">
      <w:pPr>
        <w:ind w:firstLine="420"/>
        <w:rPr>
          <w:rFonts w:ascii="Arial" w:hAnsi="Arial" w:cs="Arial"/>
          <w:sz w:val="24"/>
          <w:szCs w:val="24"/>
          <w:lang w:val="en-GB"/>
        </w:rPr>
      </w:pPr>
      <w:r w:rsidRPr="00F83C46">
        <w:rPr>
          <w:rFonts w:ascii="Arial" w:hAnsi="Arial" w:cs="Arial"/>
          <w:sz w:val="24"/>
          <w:szCs w:val="24"/>
          <w:lang w:val="en-GB"/>
        </w:rPr>
        <w:t xml:space="preserve">Differently expressed gene </w:t>
      </w:r>
      <w:r w:rsidRPr="00F83C46">
        <w:rPr>
          <w:rFonts w:ascii="Arial" w:hAnsi="Arial" w:cs="Arial" w:hint="eastAsia"/>
          <w:sz w:val="24"/>
          <w:szCs w:val="24"/>
          <w:lang w:val="en-GB"/>
        </w:rPr>
        <w:t>(</w:t>
      </w:r>
      <w:r w:rsidR="00431191" w:rsidRPr="00F83C46">
        <w:rPr>
          <w:rFonts w:ascii="Arial" w:hAnsi="Arial" w:cs="Arial"/>
          <w:sz w:val="24"/>
          <w:szCs w:val="24"/>
          <w:lang w:val="en-GB"/>
        </w:rPr>
        <w:t xml:space="preserve">DEG) analysis was performed by the </w:t>
      </w:r>
      <w:proofErr w:type="spellStart"/>
      <w:r w:rsidR="002141FB" w:rsidRPr="00F83C46">
        <w:rPr>
          <w:rFonts w:ascii="Arial" w:hAnsi="Arial" w:cs="Arial"/>
          <w:sz w:val="24"/>
          <w:szCs w:val="24"/>
          <w:lang w:val="en-GB"/>
        </w:rPr>
        <w:t>l</w:t>
      </w:r>
      <w:r w:rsidR="00431191" w:rsidRPr="00F83C46">
        <w:rPr>
          <w:rFonts w:ascii="Arial" w:hAnsi="Arial" w:cs="Arial"/>
          <w:sz w:val="24"/>
          <w:szCs w:val="24"/>
          <w:lang w:val="en-GB"/>
        </w:rPr>
        <w:t>imma</w:t>
      </w:r>
      <w:proofErr w:type="spellEnd"/>
      <w:r w:rsidR="00431191" w:rsidRPr="00F83C46">
        <w:rPr>
          <w:rFonts w:ascii="Arial" w:hAnsi="Arial" w:cs="Arial"/>
          <w:sz w:val="24"/>
          <w:szCs w:val="24"/>
          <w:lang w:val="en-GB"/>
        </w:rPr>
        <w:t xml:space="preserve"> package </w:t>
      </w:r>
      <w:r w:rsidR="00431191" w:rsidRPr="00F83C46">
        <w:rPr>
          <w:rFonts w:ascii="Arial" w:hAnsi="Arial" w:cs="Arial"/>
          <w:sz w:val="24"/>
          <w:szCs w:val="24"/>
          <w:lang w:val="en-GB"/>
        </w:rPr>
        <w:fldChar w:fldCharType="begin"/>
      </w:r>
      <w:r w:rsidR="0083165F">
        <w:rPr>
          <w:rFonts w:ascii="Arial" w:hAnsi="Arial" w:cs="Arial"/>
          <w:sz w:val="24"/>
          <w:szCs w:val="24"/>
          <w:lang w:val="en-GB"/>
        </w:rPr>
        <w:instrText xml:space="preserve"> ADDIN EN.CITE &lt;EndNote&gt;&lt;Cite&gt;&lt;Author&gt;Smyth&lt;/Author&gt;&lt;Year&gt;2005&lt;/Year&gt;&lt;RecNum&gt;612&lt;/RecNum&gt;&lt;DisplayText&gt;(11)&lt;/DisplayText&gt;&lt;record&gt;&lt;rec-number&gt;612&lt;/rec-number&gt;&lt;foreign-keys&gt;&lt;key app="EN" db-id="59aa22z2jdzvtfe52vqxpfw9wpraze9w25rw"&gt;612&lt;/key&gt;&lt;/foreign-keys&gt;&lt;ref-type name="Book Section"&gt;5&lt;/ref-type&gt;&lt;contributors&gt;&lt;authors&gt;&lt;author&gt;Smyth, Gordon K&lt;/author&gt;&lt;/authors&gt;&lt;/contributors&gt;&lt;titles&gt;&lt;title&gt;Limma: linear models for microarray data&lt;/title&gt;&lt;secondary-title&gt;Bioinformatics and computational biology solutions using R and Bioconductor&lt;/secondary-title&gt;&lt;/titles&gt;&lt;pages&gt;397-420&lt;/pages&gt;&lt;dates&gt;&lt;year&gt;2005&lt;/year&gt;&lt;/dates&gt;&lt;publisher&gt;Springer&lt;/publisher&gt;&lt;urls&gt;&lt;/urls&gt;&lt;/record&gt;&lt;/Cite&gt;&lt;/EndNote&gt;</w:instrText>
      </w:r>
      <w:r w:rsidR="00431191" w:rsidRPr="00F83C46">
        <w:rPr>
          <w:rFonts w:ascii="Arial" w:hAnsi="Arial" w:cs="Arial"/>
          <w:sz w:val="24"/>
          <w:szCs w:val="24"/>
          <w:lang w:val="en-GB"/>
        </w:rPr>
        <w:fldChar w:fldCharType="separate"/>
      </w:r>
      <w:r w:rsidR="0083165F">
        <w:rPr>
          <w:rFonts w:ascii="Arial" w:hAnsi="Arial" w:cs="Arial"/>
          <w:noProof/>
          <w:sz w:val="24"/>
          <w:szCs w:val="24"/>
          <w:lang w:val="en-GB"/>
        </w:rPr>
        <w:t>(</w:t>
      </w:r>
      <w:hyperlink w:anchor="_ENREF_11" w:tooltip="Smyth, 2005 #612" w:history="1">
        <w:r w:rsidR="0038443C">
          <w:rPr>
            <w:rFonts w:ascii="Arial" w:hAnsi="Arial" w:cs="Arial"/>
            <w:noProof/>
            <w:sz w:val="24"/>
            <w:szCs w:val="24"/>
            <w:lang w:val="en-GB"/>
          </w:rPr>
          <w:t>11</w:t>
        </w:r>
      </w:hyperlink>
      <w:r w:rsidR="0083165F">
        <w:rPr>
          <w:rFonts w:ascii="Arial" w:hAnsi="Arial" w:cs="Arial"/>
          <w:noProof/>
          <w:sz w:val="24"/>
          <w:szCs w:val="24"/>
          <w:lang w:val="en-GB"/>
        </w:rPr>
        <w:t>)</w:t>
      </w:r>
      <w:r w:rsidR="00431191" w:rsidRPr="00F83C46">
        <w:rPr>
          <w:rFonts w:ascii="Arial" w:hAnsi="Arial" w:cs="Arial"/>
          <w:sz w:val="24"/>
          <w:szCs w:val="24"/>
          <w:lang w:val="en-GB"/>
        </w:rPr>
        <w:fldChar w:fldCharType="end"/>
      </w:r>
      <w:r w:rsidRPr="00F83C46">
        <w:rPr>
          <w:rFonts w:ascii="Arial" w:hAnsi="Arial" w:cs="Arial"/>
          <w:sz w:val="24"/>
          <w:szCs w:val="24"/>
          <w:lang w:val="en-GB"/>
        </w:rPr>
        <w:t xml:space="preserve">. An empirical Bayesian approach was applied to estimate the gene expression changes using moderated t-tests. The adjusted p value for multiple testing was calculated using the </w:t>
      </w:r>
      <w:proofErr w:type="spellStart"/>
      <w:r w:rsidRPr="00F83C46">
        <w:rPr>
          <w:rFonts w:ascii="Arial" w:hAnsi="Arial" w:cs="Arial"/>
          <w:sz w:val="24"/>
          <w:szCs w:val="24"/>
          <w:lang w:val="en-GB"/>
        </w:rPr>
        <w:t>Benjamini</w:t>
      </w:r>
      <w:proofErr w:type="spellEnd"/>
      <w:r w:rsidRPr="00F83C46">
        <w:rPr>
          <w:rFonts w:ascii="Arial" w:hAnsi="Arial" w:cs="Arial"/>
          <w:sz w:val="24"/>
          <w:szCs w:val="24"/>
          <w:lang w:val="en-GB"/>
        </w:rPr>
        <w:t>-Hochberg correction. The DEGs were defined as genes with an adjusted p value less than 0.01.</w:t>
      </w:r>
    </w:p>
    <w:p w14:paraId="79518712" w14:textId="48901904" w:rsidR="001130FA" w:rsidRPr="00F83C46" w:rsidRDefault="00FA6AC2" w:rsidP="001130FA">
      <w:pPr>
        <w:rPr>
          <w:rFonts w:ascii="Arial" w:hAnsi="Arial" w:cs="Arial"/>
          <w:b/>
          <w:bCs/>
          <w:sz w:val="24"/>
          <w:szCs w:val="24"/>
          <w:lang w:val="en-GB"/>
        </w:rPr>
      </w:pPr>
      <w:r w:rsidRPr="00F83C46">
        <w:rPr>
          <w:rFonts w:ascii="Arial" w:hAnsi="Arial" w:cs="Arial"/>
          <w:b/>
          <w:bCs/>
          <w:sz w:val="24"/>
          <w:szCs w:val="24"/>
          <w:lang w:val="en-GB"/>
        </w:rPr>
        <w:t xml:space="preserve">2.4 </w:t>
      </w:r>
      <w:r w:rsidR="00926A2B" w:rsidRPr="00F83C46">
        <w:rPr>
          <w:rFonts w:ascii="Arial" w:hAnsi="Arial" w:cs="Arial"/>
          <w:b/>
          <w:bCs/>
          <w:sz w:val="24"/>
          <w:szCs w:val="24"/>
          <w:lang w:val="en-GB"/>
        </w:rPr>
        <w:t>LASSO Cox regression</w:t>
      </w:r>
    </w:p>
    <w:p w14:paraId="1C4C00DE" w14:textId="58EABE1E" w:rsidR="001130FA" w:rsidRPr="00F83C46" w:rsidRDefault="00926A2B" w:rsidP="00E27D84">
      <w:pPr>
        <w:spacing w:beforeLines="25" w:before="78" w:afterLines="25" w:after="78"/>
        <w:ind w:firstLineChars="100" w:firstLine="240"/>
        <w:rPr>
          <w:rFonts w:ascii="Arial" w:hAnsi="Arial" w:cs="Arial"/>
          <w:sz w:val="24"/>
          <w:szCs w:val="24"/>
          <w:lang w:val="en-GB"/>
        </w:rPr>
      </w:pPr>
      <w:r w:rsidRPr="00F83C46">
        <w:rPr>
          <w:rFonts w:ascii="Arial" w:hAnsi="Arial" w:cs="Arial"/>
          <w:sz w:val="24"/>
          <w:szCs w:val="24"/>
          <w:lang w:val="en-GB"/>
        </w:rPr>
        <w:t>LASSO (least absolute shrinkage and selection operator) is an important regularization in many regression analysis methods.</w:t>
      </w:r>
      <w:r w:rsidR="00E27D84" w:rsidRPr="00F83C46">
        <w:rPr>
          <w:rFonts w:ascii="Arial" w:hAnsi="Arial" w:cs="Arial"/>
          <w:color w:val="000000" w:themeColor="text1"/>
          <w:sz w:val="24"/>
          <w:szCs w:val="24"/>
          <w:lang w:val="en-GB"/>
        </w:rPr>
        <w:t xml:space="preserve"> Here</w:t>
      </w:r>
      <w:r w:rsidRPr="00F83C46">
        <w:rPr>
          <w:rFonts w:ascii="Arial" w:eastAsia="宋体" w:hAnsi="Arial" w:cs="Arial"/>
          <w:color w:val="000000"/>
          <w:sz w:val="24"/>
          <w:szCs w:val="24"/>
          <w:lang w:val="en-GB"/>
        </w:rPr>
        <w:t>,</w:t>
      </w:r>
      <w:r w:rsidR="00E27D84" w:rsidRPr="00F83C46">
        <w:rPr>
          <w:rFonts w:ascii="Arial" w:hAnsi="Arial" w:cs="Arial"/>
          <w:color w:val="000000" w:themeColor="text1"/>
          <w:sz w:val="24"/>
          <w:szCs w:val="24"/>
          <w:lang w:val="en-GB"/>
        </w:rPr>
        <w:t xml:space="preserve"> we applied LASSO Cox regression. L1-norm </w:t>
      </w:r>
      <w:r w:rsidR="00642D66" w:rsidRPr="00F83C46">
        <w:rPr>
          <w:rFonts w:ascii="Arial" w:hAnsi="Arial" w:cs="Arial"/>
          <w:color w:val="000000" w:themeColor="text1"/>
          <w:sz w:val="24"/>
          <w:szCs w:val="24"/>
          <w:lang w:val="en-GB"/>
        </w:rPr>
        <w:t>wa</w:t>
      </w:r>
      <w:r w:rsidR="00E27D84" w:rsidRPr="00F83C46">
        <w:rPr>
          <w:rFonts w:ascii="Arial" w:hAnsi="Arial" w:cs="Arial"/>
          <w:color w:val="000000" w:themeColor="text1"/>
          <w:sz w:val="24"/>
          <w:szCs w:val="24"/>
          <w:lang w:val="en-GB"/>
        </w:rPr>
        <w:t>s applied to penalize the weight of the model parameters. Unimportant parameters shrunk to zero</w:t>
      </w:r>
      <w:r w:rsidRPr="00F83C46">
        <w:rPr>
          <w:rFonts w:ascii="Arial" w:eastAsia="宋体" w:hAnsi="Arial" w:cs="Arial"/>
          <w:color w:val="000000"/>
          <w:sz w:val="24"/>
          <w:szCs w:val="24"/>
          <w:lang w:val="en-GB"/>
        </w:rPr>
        <w:t>,</w:t>
      </w:r>
      <w:r w:rsidR="00E27D84" w:rsidRPr="00F83C46">
        <w:rPr>
          <w:rFonts w:ascii="Arial" w:hAnsi="Arial" w:cs="Arial"/>
          <w:color w:val="000000" w:themeColor="text1"/>
          <w:sz w:val="24"/>
          <w:szCs w:val="24"/>
          <w:lang w:val="en-GB"/>
        </w:rPr>
        <w:t xml:space="preserve"> and the </w:t>
      </w:r>
      <w:r w:rsidR="00642D66" w:rsidRPr="00F83C46">
        <w:rPr>
          <w:rFonts w:ascii="Arial" w:hAnsi="Arial" w:cs="Arial"/>
          <w:color w:val="000000" w:themeColor="text1"/>
          <w:sz w:val="24"/>
          <w:szCs w:val="24"/>
          <w:lang w:val="en-GB"/>
        </w:rPr>
        <w:t>remaining</w:t>
      </w:r>
      <w:r w:rsidR="00E27D84" w:rsidRPr="00F83C46">
        <w:rPr>
          <w:rFonts w:ascii="Arial" w:hAnsi="Arial" w:cs="Arial"/>
          <w:color w:val="000000" w:themeColor="text1"/>
          <w:sz w:val="24"/>
          <w:szCs w:val="24"/>
          <w:lang w:val="en-GB"/>
        </w:rPr>
        <w:t xml:space="preserve"> genes were used to build a gene signature. </w:t>
      </w:r>
      <w:r w:rsidRPr="00F83C46">
        <w:rPr>
          <w:rFonts w:ascii="Arial" w:hAnsi="Arial" w:cs="Arial"/>
          <w:sz w:val="24"/>
          <w:szCs w:val="24"/>
          <w:lang w:val="en-GB"/>
        </w:rPr>
        <w:t xml:space="preserve">An immune-related signature-based risk score formula was established by including individual normalized gene expression </w:t>
      </w:r>
      <w:r w:rsidRPr="00F83C46">
        <w:rPr>
          <w:rFonts w:ascii="Arial" w:eastAsia="宋体" w:hAnsi="Arial" w:cs="Arial"/>
          <w:sz w:val="24"/>
          <w:szCs w:val="24"/>
          <w:lang w:val="en-GB"/>
        </w:rPr>
        <w:t>values</w:t>
      </w:r>
      <w:r w:rsidRPr="00F83C46">
        <w:rPr>
          <w:rFonts w:ascii="Arial" w:hAnsi="Arial" w:cs="Arial"/>
          <w:sz w:val="24"/>
          <w:szCs w:val="24"/>
          <w:lang w:val="en-GB"/>
        </w:rPr>
        <w:t xml:space="preserve"> weighted by their LASSO Cox coefficients: </w:t>
      </w:r>
    </w:p>
    <w:p w14:paraId="2ACA0BD5" w14:textId="06B75B88" w:rsidR="001130FA" w:rsidRPr="00F83C46" w:rsidRDefault="001F563A" w:rsidP="001130FA">
      <w:pPr>
        <w:spacing w:beforeLines="25" w:before="78" w:afterLines="25" w:after="78"/>
        <w:ind w:firstLineChars="100" w:firstLine="240"/>
        <w:jc w:val="center"/>
        <w:rPr>
          <w:rFonts w:ascii="Arial" w:hAnsi="Arial" w:cs="Arial"/>
          <w:sz w:val="24"/>
          <w:szCs w:val="24"/>
          <w:lang w:val="en-GB"/>
        </w:rPr>
      </w:pPr>
      <m:oMathPara>
        <m:oMath>
          <m:nary>
            <m:naryPr>
              <m:chr m:val="∑"/>
              <m:limLoc m:val="undOvr"/>
              <m:supHide m:val="1"/>
              <m:ctrlPr>
                <w:rPr>
                  <w:rFonts w:ascii="Cambria Math" w:hAnsi="Cambria Math" w:cs="Arial"/>
                  <w:sz w:val="24"/>
                  <w:szCs w:val="24"/>
                  <w:lang w:val="en-GB"/>
                </w:rPr>
              </m:ctrlPr>
            </m:naryPr>
            <m:sub>
              <m:r>
                <w:rPr>
                  <w:rFonts w:ascii="Cambria Math" w:hAnsi="Cambria Math" w:cs="Arial"/>
                  <w:sz w:val="24"/>
                  <w:szCs w:val="24"/>
                  <w:lang w:val="en-GB"/>
                </w:rPr>
                <m:t>i</m:t>
              </m:r>
            </m:sub>
            <m:sup/>
            <m:e>
              <m:r>
                <w:rPr>
                  <w:rFonts w:ascii="Cambria Math" w:hAnsi="Cambria Math" w:cs="Arial"/>
                  <w:sz w:val="24"/>
                  <w:szCs w:val="24"/>
                  <w:lang w:val="en-GB"/>
                </w:rPr>
                <m:t>Coefficient</m:t>
              </m:r>
              <m:r>
                <m:rPr>
                  <m:sty m:val="p"/>
                </m:rPr>
                <w:rPr>
                  <w:rFonts w:ascii="Cambria Math" w:hAnsi="Cambria Math" w:cs="Arial"/>
                  <w:sz w:val="24"/>
                  <w:szCs w:val="24"/>
                  <w:lang w:val="en-GB"/>
                </w:rPr>
                <m:t>(</m:t>
              </m:r>
              <m:sSub>
                <m:sSubPr>
                  <m:ctrlPr>
                    <w:rPr>
                      <w:rFonts w:ascii="Cambria Math" w:hAnsi="Cambria Math" w:cs="Arial"/>
                      <w:sz w:val="24"/>
                      <w:szCs w:val="24"/>
                      <w:lang w:val="en-GB"/>
                    </w:rPr>
                  </m:ctrlPr>
                </m:sSubPr>
                <m:e>
                  <m:r>
                    <w:rPr>
                      <w:rFonts w:ascii="Cambria Math" w:hAnsi="Cambria Math" w:cs="Arial"/>
                      <w:sz w:val="24"/>
                      <w:szCs w:val="24"/>
                      <w:lang w:val="en-GB"/>
                    </w:rPr>
                    <m:t>mRNA</m:t>
                  </m:r>
                </m:e>
                <m:sub>
                  <m:r>
                    <w:rPr>
                      <w:rFonts w:ascii="Cambria Math" w:hAnsi="Cambria Math" w:cs="Arial"/>
                      <w:sz w:val="24"/>
                      <w:szCs w:val="24"/>
                      <w:lang w:val="en-GB"/>
                    </w:rPr>
                    <m:t>i</m:t>
                  </m:r>
                </m:sub>
              </m:sSub>
              <m:r>
                <m:rPr>
                  <m:sty m:val="p"/>
                </m:rPr>
                <w:rPr>
                  <w:rFonts w:ascii="Cambria Math" w:hAnsi="Cambria Math" w:cs="Arial"/>
                  <w:sz w:val="24"/>
                  <w:szCs w:val="24"/>
                  <w:lang w:val="en-GB"/>
                </w:rPr>
                <m:t>)×</m:t>
              </m:r>
              <m:r>
                <w:rPr>
                  <w:rFonts w:ascii="Cambria Math" w:hAnsi="Cambria Math" w:cs="Arial"/>
                  <w:sz w:val="24"/>
                  <w:szCs w:val="24"/>
                  <w:lang w:val="en-GB"/>
                </w:rPr>
                <m:t>Expression</m:t>
              </m:r>
              <m:r>
                <m:rPr>
                  <m:sty m:val="p"/>
                </m:rPr>
                <w:rPr>
                  <w:rFonts w:ascii="Cambria Math" w:hAnsi="Cambria Math" w:cs="Arial"/>
                  <w:sz w:val="24"/>
                  <w:szCs w:val="24"/>
                  <w:lang w:val="en-GB"/>
                </w:rPr>
                <m:t>(</m:t>
              </m:r>
              <m:sSub>
                <m:sSubPr>
                  <m:ctrlPr>
                    <w:rPr>
                      <w:rFonts w:ascii="Cambria Math" w:hAnsi="Cambria Math" w:cs="Arial"/>
                      <w:sz w:val="24"/>
                      <w:szCs w:val="24"/>
                      <w:lang w:val="en-GB"/>
                    </w:rPr>
                  </m:ctrlPr>
                </m:sSubPr>
                <m:e>
                  <m:r>
                    <w:rPr>
                      <w:rFonts w:ascii="Cambria Math" w:hAnsi="Cambria Math" w:cs="Arial"/>
                      <w:sz w:val="24"/>
                      <w:szCs w:val="24"/>
                      <w:lang w:val="en-GB"/>
                    </w:rPr>
                    <m:t>mRNA</m:t>
                  </m:r>
                </m:e>
                <m:sub>
                  <m:r>
                    <w:rPr>
                      <w:rFonts w:ascii="Cambria Math" w:hAnsi="Cambria Math" w:cs="Arial"/>
                      <w:sz w:val="24"/>
                      <w:szCs w:val="24"/>
                      <w:lang w:val="en-GB"/>
                    </w:rPr>
                    <m:t>i</m:t>
                  </m:r>
                </m:sub>
              </m:sSub>
              <m:r>
                <m:rPr>
                  <m:sty m:val="p"/>
                </m:rPr>
                <w:rPr>
                  <w:rFonts w:ascii="Cambria Math" w:hAnsi="Cambria Math" w:cs="Arial"/>
                  <w:sz w:val="24"/>
                  <w:szCs w:val="24"/>
                  <w:lang w:val="en-GB"/>
                </w:rPr>
                <m:t>)</m:t>
              </m:r>
            </m:e>
          </m:nary>
        </m:oMath>
      </m:oMathPara>
    </w:p>
    <w:p w14:paraId="6B0DC737" w14:textId="48CB5635" w:rsidR="00217209" w:rsidRPr="00F83C46" w:rsidRDefault="00FA6AC2" w:rsidP="00217209">
      <w:pPr>
        <w:rPr>
          <w:rFonts w:ascii="Arial" w:hAnsi="Arial" w:cs="Arial"/>
          <w:b/>
          <w:bCs/>
          <w:sz w:val="24"/>
          <w:szCs w:val="24"/>
          <w:lang w:val="en-GB"/>
        </w:rPr>
      </w:pPr>
      <w:r w:rsidRPr="00F83C46">
        <w:rPr>
          <w:rFonts w:ascii="Arial" w:hAnsi="Arial" w:cs="Arial"/>
          <w:b/>
          <w:bCs/>
          <w:sz w:val="24"/>
          <w:szCs w:val="24"/>
          <w:lang w:val="en-GB"/>
        </w:rPr>
        <w:t xml:space="preserve">2.5 </w:t>
      </w:r>
      <w:r w:rsidR="00926A2B" w:rsidRPr="00F83C46">
        <w:rPr>
          <w:rFonts w:ascii="Arial" w:hAnsi="Arial" w:cs="Arial"/>
          <w:b/>
          <w:bCs/>
          <w:sz w:val="24"/>
          <w:szCs w:val="24"/>
          <w:lang w:val="en-GB"/>
        </w:rPr>
        <w:t>Classifier construction</w:t>
      </w:r>
    </w:p>
    <w:p w14:paraId="433F362A" w14:textId="62BAF520" w:rsidR="00217209" w:rsidRDefault="008E49E3" w:rsidP="0087334E">
      <w:pPr>
        <w:ind w:firstLine="420"/>
        <w:rPr>
          <w:rFonts w:ascii="Arial" w:hAnsi="Arial" w:cs="Arial"/>
          <w:sz w:val="24"/>
          <w:szCs w:val="24"/>
          <w:lang w:val="en-GB"/>
        </w:rPr>
      </w:pPr>
      <w:r w:rsidRPr="00F83C46">
        <w:rPr>
          <w:rFonts w:ascii="Arial" w:hAnsi="Arial" w:cs="Arial"/>
          <w:sz w:val="24"/>
          <w:szCs w:val="24"/>
          <w:lang w:val="en-GB"/>
        </w:rPr>
        <w:lastRenderedPageBreak/>
        <w:t xml:space="preserve">The TCGA cohort was </w:t>
      </w:r>
      <w:r w:rsidR="00D93999" w:rsidRPr="00F83C46">
        <w:rPr>
          <w:rFonts w:ascii="Arial" w:hAnsi="Arial" w:cs="Arial"/>
          <w:sz w:val="24"/>
          <w:szCs w:val="24"/>
          <w:lang w:val="en-GB"/>
        </w:rPr>
        <w:t xml:space="preserve">randomly divided </w:t>
      </w:r>
      <w:r w:rsidRPr="00F83C46">
        <w:rPr>
          <w:rFonts w:ascii="Arial" w:hAnsi="Arial" w:cs="Arial"/>
          <w:sz w:val="24"/>
          <w:szCs w:val="24"/>
          <w:lang w:val="en-GB"/>
        </w:rPr>
        <w:t>into training sets and testing sets. The training sets were applied to train the three classifiers. The object of support vector machine (SVM) was to find a hyperplane in an N-dimensional space that distinctly classifies the data points. Hyperplanes are decision boundaries that help classify the data points. Support vectors are points that are closer to the hyperplane and influence the position and orientation of the hyperplane. Hinge loss is applied to optimize the maximum margin.</w:t>
      </w:r>
      <w:r w:rsidRPr="00F83C46">
        <w:rPr>
          <w:rFonts w:ascii="Arial" w:hAnsi="Arial" w:cs="Arial" w:hint="eastAsia"/>
          <w:i/>
          <w:sz w:val="24"/>
          <w:szCs w:val="24"/>
          <w:lang w:val="en-GB"/>
        </w:rPr>
        <w:t xml:space="preserve"> </w:t>
      </w:r>
      <w:r w:rsidR="00926A2B" w:rsidRPr="00F83C46">
        <w:rPr>
          <w:rFonts w:ascii="Arial" w:hAnsi="Arial" w:cs="Arial"/>
          <w:sz w:val="24"/>
          <w:szCs w:val="24"/>
          <w:lang w:val="en-GB"/>
        </w:rPr>
        <w:t xml:space="preserve">Random forest is a supervised learning algorithm. It can be used both for classification and regression. In our analysis, we </w:t>
      </w:r>
      <w:r w:rsidR="00D974AF" w:rsidRPr="00F83C46">
        <w:rPr>
          <w:rFonts w:ascii="Arial" w:hAnsi="Arial" w:cs="Arial"/>
          <w:sz w:val="24"/>
          <w:szCs w:val="24"/>
          <w:lang w:val="en-GB"/>
        </w:rPr>
        <w:t xml:space="preserve">used </w:t>
      </w:r>
      <w:r w:rsidR="00926A2B" w:rsidRPr="00F83C46">
        <w:rPr>
          <w:rFonts w:ascii="Arial" w:hAnsi="Arial" w:cs="Arial"/>
          <w:sz w:val="24"/>
          <w:szCs w:val="24"/>
          <w:lang w:val="en-GB"/>
        </w:rPr>
        <w:t xml:space="preserve">a random forest classification method </w:t>
      </w:r>
      <w:r w:rsidR="00D974AF" w:rsidRPr="00F83C46">
        <w:rPr>
          <w:rFonts w:ascii="Arial" w:hAnsi="Arial" w:cs="Arial"/>
          <w:sz w:val="24"/>
          <w:szCs w:val="24"/>
          <w:lang w:val="en-GB"/>
        </w:rPr>
        <w:t>for</w:t>
      </w:r>
      <w:r w:rsidR="00926A2B" w:rsidRPr="00F83C46">
        <w:rPr>
          <w:rFonts w:ascii="Arial" w:hAnsi="Arial" w:cs="Arial"/>
          <w:sz w:val="24"/>
          <w:szCs w:val="24"/>
          <w:lang w:val="en-GB"/>
        </w:rPr>
        <w:t xml:space="preserve"> classifier construction and </w:t>
      </w:r>
      <w:r w:rsidR="00926A2B" w:rsidRPr="00F83C46">
        <w:rPr>
          <w:rFonts w:ascii="Arial" w:eastAsia="宋体" w:hAnsi="Arial" w:cs="Arial"/>
          <w:sz w:val="24"/>
          <w:szCs w:val="24"/>
          <w:lang w:val="en-GB"/>
        </w:rPr>
        <w:t xml:space="preserve">a </w:t>
      </w:r>
      <w:r w:rsidR="00926A2B" w:rsidRPr="00F83C46">
        <w:rPr>
          <w:rFonts w:ascii="Arial" w:hAnsi="Arial" w:cs="Arial"/>
          <w:sz w:val="24"/>
          <w:szCs w:val="24"/>
          <w:lang w:val="en-GB"/>
        </w:rPr>
        <w:t xml:space="preserve">random forest regression method </w:t>
      </w:r>
      <w:r w:rsidR="00D974AF" w:rsidRPr="00F83C46">
        <w:rPr>
          <w:rFonts w:ascii="Arial" w:hAnsi="Arial" w:cs="Arial"/>
          <w:sz w:val="24"/>
          <w:szCs w:val="24"/>
          <w:lang w:val="en-GB"/>
        </w:rPr>
        <w:t>for the analysis of</w:t>
      </w:r>
      <w:r w:rsidR="00926A2B" w:rsidRPr="00F83C46">
        <w:rPr>
          <w:rFonts w:ascii="Arial" w:hAnsi="Arial" w:cs="Arial"/>
          <w:sz w:val="24"/>
          <w:szCs w:val="24"/>
          <w:lang w:val="en-GB"/>
        </w:rPr>
        <w:t xml:space="preserve"> the association between gene mutation</w:t>
      </w:r>
      <w:r w:rsidR="00D974AF" w:rsidRPr="00F83C46">
        <w:rPr>
          <w:rFonts w:ascii="Arial" w:hAnsi="Arial" w:cs="Arial"/>
          <w:sz w:val="24"/>
          <w:szCs w:val="24"/>
          <w:lang w:val="en-GB"/>
        </w:rPr>
        <w:t>s</w:t>
      </w:r>
      <w:r w:rsidR="00926A2B" w:rsidRPr="00F83C46">
        <w:rPr>
          <w:rFonts w:ascii="Arial" w:hAnsi="Arial" w:cs="Arial"/>
          <w:sz w:val="24"/>
          <w:szCs w:val="24"/>
          <w:lang w:val="en-GB"/>
        </w:rPr>
        <w:t xml:space="preserve"> and</w:t>
      </w:r>
      <w:r w:rsidR="00D974AF" w:rsidRPr="00F83C46">
        <w:rPr>
          <w:rFonts w:ascii="Arial" w:hAnsi="Arial" w:cs="Arial"/>
          <w:sz w:val="24"/>
          <w:szCs w:val="24"/>
          <w:lang w:val="en-GB"/>
        </w:rPr>
        <w:t xml:space="preserve"> the</w:t>
      </w:r>
      <w:r w:rsidR="00926A2B" w:rsidRPr="00F83C46">
        <w:rPr>
          <w:rFonts w:ascii="Arial" w:hAnsi="Arial" w:cs="Arial"/>
          <w:sz w:val="24"/>
          <w:szCs w:val="24"/>
          <w:lang w:val="en-GB"/>
        </w:rPr>
        <w:t xml:space="preserve"> immune-related gene signature. Naive Bayes is a probabilistic classifier </w:t>
      </w:r>
      <w:r w:rsidR="00926A2B" w:rsidRPr="00F83C46">
        <w:rPr>
          <w:rFonts w:ascii="Arial" w:eastAsia="宋体" w:hAnsi="Arial" w:cs="Arial"/>
          <w:sz w:val="24"/>
          <w:szCs w:val="24"/>
          <w:lang w:val="en-GB"/>
        </w:rPr>
        <w:t>that</w:t>
      </w:r>
      <w:r w:rsidR="00926A2B" w:rsidRPr="00F83C46">
        <w:rPr>
          <w:rFonts w:ascii="Arial" w:hAnsi="Arial" w:cs="Arial"/>
          <w:sz w:val="24"/>
          <w:szCs w:val="24"/>
          <w:lang w:val="en-GB"/>
        </w:rPr>
        <w:t xml:space="preserve"> is based on </w:t>
      </w:r>
      <w:r w:rsidR="00D974AF" w:rsidRPr="00F83C46">
        <w:rPr>
          <w:rFonts w:ascii="Arial" w:hAnsi="Arial" w:cs="Arial"/>
          <w:sz w:val="24"/>
          <w:szCs w:val="24"/>
          <w:lang w:val="en-GB"/>
        </w:rPr>
        <w:t xml:space="preserve">the </w:t>
      </w:r>
      <w:r w:rsidR="00926A2B" w:rsidRPr="00F83C46">
        <w:rPr>
          <w:rFonts w:ascii="Arial" w:hAnsi="Arial" w:cs="Arial"/>
          <w:sz w:val="24"/>
          <w:szCs w:val="24"/>
          <w:lang w:val="en-GB"/>
        </w:rPr>
        <w:t xml:space="preserve">Bayes theorem. </w:t>
      </w:r>
      <w:r w:rsidR="00926A2B" w:rsidRPr="00F83C46">
        <w:rPr>
          <w:rFonts w:ascii="Arial" w:eastAsia="宋体" w:hAnsi="Arial" w:cs="Arial"/>
          <w:sz w:val="24"/>
          <w:szCs w:val="24"/>
          <w:lang w:val="en-GB"/>
        </w:rPr>
        <w:t>The neural network</w:t>
      </w:r>
      <w:r w:rsidR="0087334E" w:rsidRPr="00F83C46">
        <w:rPr>
          <w:rFonts w:ascii="Arial" w:hAnsi="Arial" w:cs="Arial"/>
          <w:sz w:val="24"/>
          <w:szCs w:val="24"/>
          <w:lang w:val="en-GB"/>
        </w:rPr>
        <w:t xml:space="preserve"> was performed with</w:t>
      </w:r>
      <w:r w:rsidR="001D5FDB" w:rsidRPr="00F83C46">
        <w:rPr>
          <w:rFonts w:ascii="Arial" w:hAnsi="Arial" w:cs="Arial"/>
          <w:sz w:val="24"/>
          <w:szCs w:val="24"/>
          <w:lang w:val="en-GB"/>
        </w:rPr>
        <w:t xml:space="preserve"> an</w:t>
      </w:r>
      <w:r w:rsidR="0087334E" w:rsidRPr="00F83C46">
        <w:rPr>
          <w:rFonts w:ascii="Arial" w:hAnsi="Arial" w:cs="Arial"/>
          <w:sz w:val="24"/>
          <w:szCs w:val="24"/>
          <w:lang w:val="en-GB"/>
        </w:rPr>
        <w:t xml:space="preserve"> activation function (</w:t>
      </w:r>
      <w:r w:rsidR="00F919F4" w:rsidRPr="00F83C46">
        <w:rPr>
          <w:rFonts w:ascii="Arial" w:hAnsi="Arial" w:cs="Arial"/>
          <w:sz w:val="24"/>
          <w:szCs w:val="24"/>
          <w:lang w:val="en-GB"/>
        </w:rPr>
        <w:t xml:space="preserve">Python script </w:t>
      </w:r>
      <w:r w:rsidR="0087334E" w:rsidRPr="00F83C46">
        <w:rPr>
          <w:rFonts w:ascii="Arial" w:hAnsi="Arial" w:cs="Arial"/>
          <w:sz w:val="24"/>
          <w:szCs w:val="24"/>
          <w:lang w:val="en-GB"/>
        </w:rPr>
        <w:t>for the construction of</w:t>
      </w:r>
      <w:r w:rsidR="00926A2B" w:rsidRPr="00F83C46">
        <w:rPr>
          <w:rFonts w:ascii="Arial" w:eastAsia="宋体" w:hAnsi="Arial" w:cs="Arial"/>
          <w:sz w:val="24"/>
          <w:szCs w:val="24"/>
          <w:lang w:val="en-GB"/>
        </w:rPr>
        <w:t xml:space="preserve"> the</w:t>
      </w:r>
      <w:r w:rsidR="0087334E" w:rsidRPr="00F83C46">
        <w:rPr>
          <w:rFonts w:ascii="Arial" w:hAnsi="Arial" w:cs="Arial"/>
          <w:sz w:val="24"/>
          <w:szCs w:val="24"/>
          <w:lang w:val="en-GB"/>
        </w:rPr>
        <w:t xml:space="preserve"> neur</w:t>
      </w:r>
      <w:r w:rsidR="001D5FDB" w:rsidRPr="00F83C46">
        <w:rPr>
          <w:rFonts w:ascii="Arial" w:hAnsi="Arial" w:cs="Arial"/>
          <w:sz w:val="24"/>
          <w:szCs w:val="24"/>
          <w:lang w:val="en-GB"/>
        </w:rPr>
        <w:t>al</w:t>
      </w:r>
      <w:r w:rsidR="0087334E" w:rsidRPr="00F83C46">
        <w:rPr>
          <w:rFonts w:ascii="Arial" w:hAnsi="Arial" w:cs="Arial"/>
          <w:sz w:val="24"/>
          <w:szCs w:val="24"/>
          <w:lang w:val="en-GB"/>
        </w:rPr>
        <w:t xml:space="preserve"> network is in </w:t>
      </w:r>
      <w:r w:rsidR="008A7E76">
        <w:rPr>
          <w:rFonts w:ascii="Arial" w:hAnsi="Arial" w:cs="Arial"/>
          <w:sz w:val="24"/>
          <w:szCs w:val="24"/>
          <w:lang w:val="en-GB"/>
        </w:rPr>
        <w:t>Doc.</w:t>
      </w:r>
      <w:r w:rsidR="00CE4475" w:rsidRPr="00CE4475">
        <w:rPr>
          <w:rFonts w:ascii="Arial" w:hAnsi="Arial" w:cs="Arial"/>
          <w:sz w:val="24"/>
          <w:szCs w:val="24"/>
          <w:lang w:val="en-GB"/>
        </w:rPr>
        <w:t xml:space="preserve"> S1</w:t>
      </w:r>
      <w:r w:rsidR="0087334E" w:rsidRPr="00F83C46">
        <w:rPr>
          <w:rFonts w:ascii="Arial" w:hAnsi="Arial" w:cs="Arial"/>
          <w:sz w:val="24"/>
          <w:szCs w:val="24"/>
          <w:lang w:val="en-GB"/>
        </w:rPr>
        <w:t>).</w:t>
      </w:r>
      <w:r w:rsidR="0087334E" w:rsidRPr="00F83C46">
        <w:rPr>
          <w:rFonts w:ascii="Arial" w:hAnsi="Arial" w:cs="Arial" w:hint="eastAsia"/>
          <w:sz w:val="24"/>
          <w:szCs w:val="24"/>
          <w:lang w:val="en-GB"/>
        </w:rPr>
        <w:t xml:space="preserve"> </w:t>
      </w:r>
      <w:r w:rsidRPr="00F83C46">
        <w:rPr>
          <w:rFonts w:ascii="Arial" w:hAnsi="Arial" w:cs="Arial"/>
          <w:sz w:val="24"/>
          <w:szCs w:val="24"/>
          <w:lang w:val="en-GB"/>
        </w:rPr>
        <w:t>We built the four classifiers to predict the immune clusters in the analysis.</w:t>
      </w:r>
    </w:p>
    <w:p w14:paraId="147B5930" w14:textId="02BC5DAC" w:rsidR="00764C38" w:rsidRPr="00764C38" w:rsidRDefault="00764C38" w:rsidP="00764C38">
      <w:pPr>
        <w:rPr>
          <w:rFonts w:ascii="Arial" w:hAnsi="Arial" w:cs="Arial"/>
          <w:b/>
          <w:bCs/>
          <w:sz w:val="24"/>
          <w:szCs w:val="24"/>
          <w:lang w:val="en-GB"/>
        </w:rPr>
      </w:pPr>
      <w:r w:rsidRPr="00F83C46">
        <w:rPr>
          <w:rFonts w:ascii="Arial" w:hAnsi="Arial" w:cs="Arial"/>
          <w:b/>
          <w:bCs/>
          <w:sz w:val="24"/>
          <w:szCs w:val="24"/>
          <w:lang w:val="en-GB"/>
        </w:rPr>
        <w:t>2.</w:t>
      </w:r>
      <w:r>
        <w:rPr>
          <w:rFonts w:ascii="Arial" w:hAnsi="Arial" w:cs="Arial"/>
          <w:b/>
          <w:bCs/>
          <w:sz w:val="24"/>
          <w:szCs w:val="24"/>
          <w:lang w:val="en-GB"/>
        </w:rPr>
        <w:t>6</w:t>
      </w:r>
      <w:r w:rsidRPr="00764C38">
        <w:rPr>
          <w:rFonts w:ascii="Arial" w:hAnsi="Arial" w:cs="Arial"/>
          <w:b/>
          <w:bCs/>
          <w:sz w:val="24"/>
          <w:szCs w:val="24"/>
          <w:lang w:val="en-GB"/>
        </w:rPr>
        <w:t xml:space="preserve"> Random forest algorithm for feature importance ranking</w:t>
      </w:r>
    </w:p>
    <w:p w14:paraId="395AB813" w14:textId="6D50A169" w:rsidR="00764C38" w:rsidRPr="00F83C46" w:rsidRDefault="00764C38" w:rsidP="00764C38">
      <w:pPr>
        <w:ind w:firstLine="420"/>
        <w:rPr>
          <w:rFonts w:ascii="Arial" w:hAnsi="Arial" w:cs="Arial"/>
          <w:sz w:val="24"/>
          <w:szCs w:val="24"/>
          <w:lang w:val="en-GB"/>
        </w:rPr>
      </w:pPr>
      <w:r w:rsidRPr="00764C38">
        <w:rPr>
          <w:rFonts w:ascii="Arial" w:hAnsi="Arial" w:cs="Arial"/>
          <w:sz w:val="24"/>
          <w:szCs w:val="24"/>
          <w:lang w:val="en-GB"/>
        </w:rPr>
        <w:t xml:space="preserve">A random forest algorithm was applied to find the most critical mutations associated with the </w:t>
      </w:r>
      <w:r>
        <w:rPr>
          <w:rFonts w:ascii="Arial" w:hAnsi="Arial" w:cs="Arial"/>
          <w:sz w:val="24"/>
          <w:szCs w:val="24"/>
          <w:lang w:val="en-GB"/>
        </w:rPr>
        <w:t>immune</w:t>
      </w:r>
      <w:r w:rsidRPr="00764C38">
        <w:rPr>
          <w:rFonts w:ascii="Arial" w:hAnsi="Arial" w:cs="Arial"/>
          <w:sz w:val="24"/>
          <w:szCs w:val="24"/>
          <w:lang w:val="en-GB"/>
        </w:rPr>
        <w:t xml:space="preserve"> signature-based risk score</w:t>
      </w:r>
      <w:r w:rsidR="0038443C">
        <w:rPr>
          <w:rFonts w:ascii="Arial" w:hAnsi="Arial" w:cs="Arial"/>
          <w:sz w:val="24"/>
          <w:szCs w:val="24"/>
          <w:lang w:val="en-GB"/>
        </w:rPr>
        <w:t xml:space="preserve"> </w:t>
      </w:r>
      <w:r w:rsidR="0038443C">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&lt;EndNote&gt;&lt;Cite&gt;&lt;Author&gt;Bao&lt;/Author&gt;&lt;Year&gt;2019&lt;/Year&gt;&lt;RecNum&gt;1099&lt;/RecNum&gt;&lt;DisplayText&gt;(12)&lt;/DisplayText&gt;&lt;record&gt;&lt;rec-number&gt;1099&lt;/rec-number&gt;&lt;foreign-keys&gt;&lt;key app="EN" db-id="59aa22z2jdzvtfe52vqxpfw9wpraze9w25rw"&gt;1099&lt;/key&gt;&lt;/foreign-keys&gt;&lt;ref-type name="Journal Article"&gt;17&lt;/ref-type&gt;&lt;contributors&gt;&lt;authors&gt;&lt;author&gt;Bao, X&lt;/author&gt;&lt;author&gt;Shi, R&lt;/author&gt;&lt;author&gt;Zhang, K&lt;/author&gt;&lt;author&gt;Xin, S&lt;/author&gt;&lt;author&gt;Li, X&lt;/author&gt;&lt;author&gt;Zhao, Y&lt;/author&gt;&lt;author&gt;Wang, Y&lt;/author&gt;&lt;/authors&gt;&lt;/contributors&gt;&lt;titles&gt;&lt;title&gt;Immune Landscape of Invasive Ductal Carcinoma Tumor Microenvironment Identifies a Prognostic and Immunotherapeutically Relevant Gene Signature. Front&lt;/title&gt;&lt;secondary-title&gt;Oncol&lt;/secondary-title&gt;&lt;/titles&gt;&lt;periodical&gt;&lt;full-title&gt;Oncol&lt;/full-title&gt;&lt;/periodical&gt;&lt;pages&gt;903&lt;/pages&gt;&lt;volume&gt;9&lt;/volume&gt;&lt;dates&gt;&lt;year&gt;2019&lt;/year&gt;&lt;/dates&gt;&lt;urls&gt;&lt;/urls&gt;&lt;/record&gt;&lt;/Cite&gt;&lt;/EndNote&gt;</w:instrText>
      </w:r>
      <w:r w:rsidR="0038443C">
        <w:rPr>
          <w:rFonts w:ascii="Arial" w:hAnsi="Arial" w:cs="Arial"/>
          <w:sz w:val="24"/>
          <w:szCs w:val="24"/>
          <w:lang w:val="en-GB"/>
        </w:rPr>
        <w:fldChar w:fldCharType="separate"/>
      </w:r>
      <w:r w:rsidR="0038443C">
        <w:rPr>
          <w:rFonts w:ascii="Arial" w:hAnsi="Arial" w:cs="Arial"/>
          <w:noProof/>
          <w:sz w:val="24"/>
          <w:szCs w:val="24"/>
          <w:lang w:val="en-GB"/>
        </w:rPr>
        <w:t>(</w:t>
      </w:r>
      <w:hyperlink w:anchor="_ENREF_12" w:tooltip="Bao, 2019 #1099" w:history="1">
        <w:r w:rsidR="0038443C">
          <w:rPr>
            <w:rFonts w:ascii="Arial" w:hAnsi="Arial" w:cs="Arial"/>
            <w:noProof/>
            <w:sz w:val="24"/>
            <w:szCs w:val="24"/>
            <w:lang w:val="en-GB"/>
          </w:rPr>
          <w:t>12</w:t>
        </w:r>
      </w:hyperlink>
      <w:r w:rsidR="0038443C">
        <w:rPr>
          <w:rFonts w:ascii="Arial" w:hAnsi="Arial" w:cs="Arial"/>
          <w:noProof/>
          <w:sz w:val="24"/>
          <w:szCs w:val="24"/>
          <w:lang w:val="en-GB"/>
        </w:rPr>
        <w:t>)</w:t>
      </w:r>
      <w:r w:rsidR="0038443C">
        <w:rPr>
          <w:rFonts w:ascii="Arial" w:hAnsi="Arial" w:cs="Arial"/>
          <w:sz w:val="24"/>
          <w:szCs w:val="24"/>
          <w:lang w:val="en-GB"/>
        </w:rPr>
        <w:fldChar w:fldCharType="end"/>
      </w:r>
      <w:r w:rsidRPr="00764C38">
        <w:rPr>
          <w:rFonts w:ascii="Arial" w:hAnsi="Arial" w:cs="Arial"/>
          <w:sz w:val="24"/>
          <w:szCs w:val="24"/>
          <w:lang w:val="en-GB"/>
        </w:rPr>
        <w:t xml:space="preserve">. Briefly, the gene mutation dataset and </w:t>
      </w:r>
      <w:r>
        <w:rPr>
          <w:rFonts w:ascii="Arial" w:hAnsi="Arial" w:cs="Arial"/>
          <w:sz w:val="24"/>
          <w:szCs w:val="24"/>
          <w:lang w:val="en-GB"/>
        </w:rPr>
        <w:t>immune</w:t>
      </w:r>
      <w:r w:rsidRPr="00764C38">
        <w:rPr>
          <w:rFonts w:ascii="Arial" w:hAnsi="Arial" w:cs="Arial"/>
          <w:sz w:val="24"/>
          <w:szCs w:val="24"/>
          <w:lang w:val="en-GB"/>
        </w:rPr>
        <w:t xml:space="preserve"> cell signature-based risk score were applied to find the most important gene mutations associated with the </w:t>
      </w:r>
      <w:r>
        <w:rPr>
          <w:rFonts w:ascii="Arial" w:hAnsi="Arial" w:cs="Arial"/>
          <w:sz w:val="24"/>
          <w:szCs w:val="24"/>
          <w:lang w:val="en-GB"/>
        </w:rPr>
        <w:t>immune</w:t>
      </w:r>
      <w:r w:rsidRPr="00764C38">
        <w:rPr>
          <w:rFonts w:ascii="Arial" w:hAnsi="Arial" w:cs="Arial"/>
          <w:sz w:val="24"/>
          <w:szCs w:val="24"/>
          <w:lang w:val="en-GB"/>
        </w:rPr>
        <w:t xml:space="preserve"> signature-based risk score. </w:t>
      </w:r>
      <w:r>
        <w:rPr>
          <w:rFonts w:ascii="Arial" w:hAnsi="Arial" w:cs="Arial"/>
          <w:sz w:val="24"/>
          <w:szCs w:val="24"/>
          <w:lang w:val="en-GB"/>
        </w:rPr>
        <w:t>T</w:t>
      </w:r>
      <w:r w:rsidRPr="00764C38">
        <w:rPr>
          <w:rFonts w:ascii="Arial" w:hAnsi="Arial" w:cs="Arial"/>
          <w:sz w:val="24"/>
          <w:szCs w:val="24"/>
          <w:lang w:val="en-GB"/>
        </w:rPr>
        <w:t>he ranger package was used to find the best hyperparameter in the regression process</w:t>
      </w:r>
      <w:r w:rsidR="0038443C">
        <w:rPr>
          <w:rFonts w:ascii="Arial" w:hAnsi="Arial" w:cs="Arial"/>
          <w:sz w:val="24"/>
          <w:szCs w:val="24"/>
          <w:lang w:val="en-GB"/>
        </w:rPr>
        <w:t xml:space="preserve"> and build the model </w:t>
      </w:r>
      <w:r w:rsidR="0038443C">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&lt;EndNote&gt;&lt;Cite&gt;&lt;Author&gt;Wright&lt;/Author&gt;&lt;Year&gt;2015&lt;/Year&gt;&lt;RecNum&gt;1100&lt;/RecNum&gt;&lt;DisplayText&gt;(13)&lt;/DisplayText&gt;&lt;record&gt;&lt;rec-number&gt;1100&lt;/rec-number&gt;&lt;foreign-keys&gt;&lt;key app="EN" db-id="59aa22z2jdzvtfe52vqxpfw9wpraze9w25rw"&gt;1100&lt;/key&gt;&lt;/foreign-keys&gt;&lt;ref-type name="Journal Article"&gt;17&lt;/ref-type&gt;&lt;contributors&gt;&lt;authors&gt;&lt;author&gt;Wright, Marvin N&lt;/author&gt;&lt;author&gt;Ziegler, Andreas&lt;/author&gt;&lt;/authors&gt;&lt;/contributors&gt;&lt;titles&gt;&lt;title&gt;ranger: A fast implementation of random forests for high dimensional data in C++ and R&lt;/title&gt;&lt;secondary-title&gt;arXiv preprint arXiv:1508.04409&lt;/secondary-title&gt;&lt;/titles&gt;&lt;periodical&gt;&lt;full-title&gt;arXiv preprint arXiv:1508.04409&lt;/full-title&gt;&lt;/periodical&gt;&lt;dates&gt;&lt;year&gt;2015&lt;/year&gt;&lt;/dates&gt;&lt;urls&gt;&lt;/urls&gt;&lt;/record&gt;&lt;/Cite&gt;&lt;/EndNote&gt;</w:instrText>
      </w:r>
      <w:r w:rsidR="0038443C">
        <w:rPr>
          <w:rFonts w:ascii="Arial" w:hAnsi="Arial" w:cs="Arial"/>
          <w:sz w:val="24"/>
          <w:szCs w:val="24"/>
          <w:lang w:val="en-GB"/>
        </w:rPr>
        <w:fldChar w:fldCharType="separate"/>
      </w:r>
      <w:r w:rsidR="0038443C">
        <w:rPr>
          <w:rFonts w:ascii="Arial" w:hAnsi="Arial" w:cs="Arial"/>
          <w:noProof/>
          <w:sz w:val="24"/>
          <w:szCs w:val="24"/>
          <w:lang w:val="en-GB"/>
        </w:rPr>
        <w:t>(</w:t>
      </w:r>
      <w:hyperlink w:anchor="_ENREF_13" w:tooltip="Wright, 2015 #1100" w:history="1">
        <w:r w:rsidR="0038443C">
          <w:rPr>
            <w:rFonts w:ascii="Arial" w:hAnsi="Arial" w:cs="Arial"/>
            <w:noProof/>
            <w:sz w:val="24"/>
            <w:szCs w:val="24"/>
            <w:lang w:val="en-GB"/>
          </w:rPr>
          <w:t>13</w:t>
        </w:r>
      </w:hyperlink>
      <w:r w:rsidR="0038443C">
        <w:rPr>
          <w:rFonts w:ascii="Arial" w:hAnsi="Arial" w:cs="Arial"/>
          <w:noProof/>
          <w:sz w:val="24"/>
          <w:szCs w:val="24"/>
          <w:lang w:val="en-GB"/>
        </w:rPr>
        <w:t>)</w:t>
      </w:r>
      <w:r w:rsidR="0038443C">
        <w:rPr>
          <w:rFonts w:ascii="Arial" w:hAnsi="Arial" w:cs="Arial"/>
          <w:sz w:val="24"/>
          <w:szCs w:val="24"/>
          <w:lang w:val="en-GB"/>
        </w:rPr>
        <w:fldChar w:fldCharType="end"/>
      </w:r>
      <w:r w:rsidRPr="00764C38">
        <w:rPr>
          <w:rFonts w:ascii="Arial" w:hAnsi="Arial" w:cs="Arial"/>
          <w:sz w:val="24"/>
          <w:szCs w:val="24"/>
          <w:lang w:val="en-GB"/>
        </w:rPr>
        <w:t xml:space="preserve">. </w:t>
      </w:r>
    </w:p>
    <w:p w14:paraId="3A42D0AC" w14:textId="56634B29" w:rsidR="001130FA" w:rsidRPr="00F83C46" w:rsidRDefault="00FA6AC2" w:rsidP="001130FA">
      <w:pPr>
        <w:rPr>
          <w:rFonts w:ascii="Arial" w:hAnsi="Arial" w:cs="Arial"/>
          <w:b/>
          <w:bCs/>
          <w:sz w:val="24"/>
          <w:szCs w:val="24"/>
          <w:lang w:val="en-GB"/>
        </w:rPr>
      </w:pPr>
      <w:r w:rsidRPr="00F83C46">
        <w:rPr>
          <w:rFonts w:ascii="Arial" w:hAnsi="Arial" w:cs="Arial"/>
          <w:b/>
          <w:bCs/>
          <w:sz w:val="24"/>
          <w:szCs w:val="24"/>
          <w:lang w:val="en-GB"/>
        </w:rPr>
        <w:t>2.</w:t>
      </w:r>
      <w:r w:rsidR="00764C38">
        <w:rPr>
          <w:rFonts w:ascii="Arial" w:hAnsi="Arial" w:cs="Arial"/>
          <w:b/>
          <w:bCs/>
          <w:sz w:val="24"/>
          <w:szCs w:val="24"/>
          <w:lang w:val="en-GB"/>
        </w:rPr>
        <w:t>7</w:t>
      </w:r>
      <w:r w:rsidRPr="00F83C46">
        <w:rPr>
          <w:rFonts w:ascii="Arial" w:hAnsi="Arial" w:cs="Arial"/>
          <w:b/>
          <w:bCs/>
          <w:sz w:val="24"/>
          <w:szCs w:val="24"/>
          <w:lang w:val="en-GB"/>
        </w:rPr>
        <w:t xml:space="preserve"> </w:t>
      </w:r>
      <w:r w:rsidR="00926A2B" w:rsidRPr="00F83C46">
        <w:rPr>
          <w:rFonts w:ascii="Arial" w:hAnsi="Arial" w:cs="Arial"/>
          <w:b/>
          <w:bCs/>
          <w:sz w:val="24"/>
          <w:szCs w:val="24"/>
          <w:lang w:val="en-GB"/>
        </w:rPr>
        <w:t>Decision tree and nomogram construction</w:t>
      </w:r>
    </w:p>
    <w:p w14:paraId="332B2094" w14:textId="31022525" w:rsidR="00B54E1F" w:rsidRPr="00F83C46" w:rsidRDefault="00F12B0A" w:rsidP="00B54E1F">
      <w:pPr>
        <w:ind w:firstLine="420"/>
        <w:rPr>
          <w:rFonts w:ascii="Arial" w:hAnsi="Arial" w:cs="Arial"/>
          <w:sz w:val="24"/>
          <w:szCs w:val="24"/>
          <w:lang w:val="en-GB"/>
        </w:rPr>
      </w:pPr>
      <w:r w:rsidRPr="00F83C46">
        <w:rPr>
          <w:rFonts w:ascii="Arial" w:hAnsi="Arial" w:cs="Arial"/>
          <w:sz w:val="24"/>
          <w:szCs w:val="24"/>
          <w:lang w:val="en-GB"/>
        </w:rPr>
        <w:t xml:space="preserve">A </w:t>
      </w:r>
      <w:r w:rsidR="00926A2B" w:rsidRPr="00F83C46">
        <w:rPr>
          <w:rFonts w:ascii="Arial" w:hAnsi="Arial" w:cs="Arial"/>
          <w:sz w:val="24"/>
          <w:szCs w:val="24"/>
          <w:lang w:val="en-GB"/>
        </w:rPr>
        <w:t xml:space="preserve">diagnostic decision tree was </w:t>
      </w:r>
      <w:r w:rsidRPr="00F83C46">
        <w:rPr>
          <w:rFonts w:ascii="Arial" w:hAnsi="Arial" w:cs="Arial"/>
          <w:sz w:val="24"/>
          <w:szCs w:val="24"/>
          <w:lang w:val="en-GB"/>
        </w:rPr>
        <w:t xml:space="preserve">constructed </w:t>
      </w:r>
      <w:r w:rsidR="00926A2B" w:rsidRPr="00F83C46">
        <w:rPr>
          <w:rFonts w:ascii="Arial" w:hAnsi="Arial" w:cs="Arial"/>
          <w:sz w:val="24"/>
          <w:szCs w:val="24"/>
          <w:lang w:val="en-GB"/>
        </w:rPr>
        <w:t xml:space="preserve">with </w:t>
      </w:r>
      <w:r w:rsidR="00926A2B" w:rsidRPr="00F83C46">
        <w:rPr>
          <w:rFonts w:ascii="Arial" w:eastAsia="宋体" w:hAnsi="Arial" w:cs="Arial"/>
          <w:sz w:val="24"/>
          <w:szCs w:val="24"/>
          <w:lang w:val="en-GB"/>
        </w:rPr>
        <w:t xml:space="preserve">the </w:t>
      </w:r>
      <w:proofErr w:type="spellStart"/>
      <w:r w:rsidR="00926A2B" w:rsidRPr="00F83C46">
        <w:rPr>
          <w:rFonts w:ascii="Arial" w:hAnsi="Arial" w:cs="Arial"/>
          <w:sz w:val="24"/>
          <w:szCs w:val="24"/>
          <w:lang w:val="en-GB"/>
        </w:rPr>
        <w:t>rpart</w:t>
      </w:r>
      <w:proofErr w:type="spellEnd"/>
      <w:r w:rsidR="00926A2B" w:rsidRPr="00F83C46">
        <w:rPr>
          <w:rFonts w:ascii="Arial" w:hAnsi="Arial" w:cs="Arial"/>
          <w:sz w:val="24"/>
          <w:szCs w:val="24"/>
          <w:lang w:val="en-GB"/>
        </w:rPr>
        <w:t xml:space="preserve"> package</w:t>
      </w:r>
      <w:r w:rsidR="00321B7F" w:rsidRPr="00F83C46">
        <w:rPr>
          <w:rFonts w:ascii="Arial" w:hAnsi="Arial" w:cs="Arial"/>
          <w:sz w:val="24"/>
          <w:szCs w:val="24"/>
          <w:lang w:val="en-GB"/>
        </w:rPr>
        <w:t xml:space="preserve"> </w:t>
      </w:r>
      <w:r w:rsidR="00321B7F"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&lt;EndNote&gt;&lt;Cite&gt;&lt;Author&gt;Therneau&lt;/Author&gt;&lt;Year&gt;2015&lt;/Year&gt;&lt;RecNum&gt;650&lt;/RecNum&gt;&lt;DisplayText&gt;(14)&lt;/DisplayText&gt;&lt;record&gt;&lt;rec-number&gt;650&lt;/rec-number&gt;&lt;foreign-keys&gt;&lt;key app="EN" db-id="59aa22z2jdzvtfe52vqxpfw9wpraze9w25rw"&gt;650&lt;/key&gt;&lt;/foreign-keys&gt;&lt;ref-type name="Journal Article"&gt;17&lt;/ref-type&gt;&lt;contributors&gt;&lt;authors&gt;&lt;author&gt;Therneau, Terry&lt;/author&gt;&lt;author&gt;Atkinson, Beth&lt;/author&gt;&lt;author&gt;Ripley, Brian&lt;/author&gt;&lt;author&gt;Ripley, Maintainer Brian&lt;/author&gt;&lt;/authors&gt;&lt;/contributors&gt;&lt;titles&gt;&lt;title&gt;Package ‘rpart’&lt;/title&gt;&lt;secondary-title&gt;Available online: cran. ma. ic. ac. uk/web/packages/rpart/rpart. pdf (accessed on 20 April 2016)&lt;/secondary-title&gt;&lt;/titles&gt;&lt;periodical&gt;&lt;full-title&gt;Available online: cran. ma. ic. ac. uk/web/packages/rpart/rpart. pdf (accessed on 20 April 2016)&lt;/full-title&gt;&lt;/periodical&gt;&lt;dates&gt;&lt;year&gt;2015&lt;/year&gt;&lt;/dates&gt;&lt;urls&gt;&lt;/urls&gt;&lt;/record&gt;&lt;/Cite&gt;&lt;/EndNote&gt;</w:instrText>
      </w:r>
      <w:r w:rsidR="00321B7F"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14" w:tooltip="Therneau, 2015 #650" w:history="1">
        <w:r w:rsidR="0038443C">
          <w:rPr>
            <w:rFonts w:ascii="Arial" w:hAnsi="Arial" w:cs="Arial"/>
            <w:noProof/>
            <w:sz w:val="24"/>
            <w:szCs w:val="24"/>
            <w:lang w:val="en-GB"/>
          </w:rPr>
          <w:t>14</w:t>
        </w:r>
      </w:hyperlink>
      <w:r w:rsidR="0038443C">
        <w:rPr>
          <w:rFonts w:ascii="Arial" w:hAnsi="Arial" w:cs="Arial"/>
          <w:noProof/>
          <w:sz w:val="24"/>
          <w:szCs w:val="24"/>
          <w:lang w:val="en-GB"/>
        </w:rPr>
        <w:t>)</w:t>
      </w:r>
      <w:r w:rsidR="00321B7F" w:rsidRPr="00F83C46">
        <w:rPr>
          <w:rFonts w:ascii="Arial" w:hAnsi="Arial" w:cs="Arial"/>
          <w:sz w:val="24"/>
          <w:szCs w:val="24"/>
          <w:lang w:val="en-GB"/>
        </w:rPr>
        <w:fldChar w:fldCharType="end"/>
      </w:r>
      <w:r w:rsidR="00926A2B" w:rsidRPr="00F83C46">
        <w:rPr>
          <w:rFonts w:ascii="Arial" w:hAnsi="Arial" w:cs="Arial"/>
          <w:sz w:val="24"/>
          <w:szCs w:val="24"/>
          <w:lang w:val="en-GB"/>
        </w:rPr>
        <w:t xml:space="preserve">. The trimming parameter was set as default. </w:t>
      </w:r>
      <w:r w:rsidRPr="00F83C46">
        <w:rPr>
          <w:rFonts w:ascii="Arial" w:hAnsi="Arial" w:cs="Arial"/>
          <w:sz w:val="24"/>
          <w:szCs w:val="24"/>
          <w:lang w:val="en-GB"/>
        </w:rPr>
        <w:t>A</w:t>
      </w:r>
      <w:r w:rsidR="00926A2B" w:rsidRPr="00F83C46">
        <w:rPr>
          <w:rFonts w:ascii="Arial" w:hAnsi="Arial" w:cs="Arial"/>
          <w:sz w:val="24"/>
          <w:szCs w:val="24"/>
          <w:lang w:val="en-GB"/>
        </w:rPr>
        <w:t xml:space="preserve"> nomogram was </w:t>
      </w:r>
      <w:r w:rsidRPr="00F83C46">
        <w:rPr>
          <w:rFonts w:ascii="Arial" w:hAnsi="Arial" w:cs="Arial"/>
          <w:sz w:val="24"/>
          <w:szCs w:val="24"/>
          <w:lang w:val="en-GB"/>
        </w:rPr>
        <w:t xml:space="preserve">constructed </w:t>
      </w:r>
      <w:r w:rsidR="00926A2B" w:rsidRPr="00F83C46">
        <w:rPr>
          <w:rFonts w:ascii="Arial" w:hAnsi="Arial" w:cs="Arial"/>
          <w:sz w:val="24"/>
          <w:szCs w:val="24"/>
          <w:lang w:val="en-GB"/>
        </w:rPr>
        <w:t>with</w:t>
      </w:r>
      <w:r w:rsidRPr="00F83C46">
        <w:rPr>
          <w:rFonts w:ascii="Arial" w:hAnsi="Arial" w:cs="Arial"/>
          <w:sz w:val="24"/>
          <w:szCs w:val="24"/>
          <w:lang w:val="en-GB"/>
        </w:rPr>
        <w:t xml:space="preserve"> the</w:t>
      </w:r>
      <w:r w:rsidR="00926A2B" w:rsidRPr="00F83C46">
        <w:rPr>
          <w:rFonts w:ascii="Arial" w:hAnsi="Arial" w:cs="Arial"/>
          <w:sz w:val="24"/>
          <w:szCs w:val="24"/>
          <w:lang w:val="en-GB"/>
        </w:rPr>
        <w:t xml:space="preserve"> rms package</w:t>
      </w:r>
      <w:r w:rsidR="00321B7F" w:rsidRPr="00F83C46">
        <w:rPr>
          <w:rFonts w:ascii="Arial" w:hAnsi="Arial" w:cs="Arial"/>
          <w:sz w:val="24"/>
          <w:szCs w:val="24"/>
          <w:lang w:val="en-GB"/>
        </w:rPr>
        <w:t xml:space="preserve"> </w:t>
      </w:r>
      <w:r w:rsidR="00321B7F"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&lt;EndNote&gt;&lt;Cite&gt;&lt;Author&gt;Harrell Jr&lt;/Author&gt;&lt;Year&gt;2013&lt;/Year&gt;&lt;RecNum&gt;651&lt;/RecNum&gt;&lt;DisplayText&gt;(15)&lt;/DisplayText&gt;&lt;record&gt;&lt;rec-number&gt;651&lt;/rec-number&gt;&lt;foreign-keys&gt;&lt;key app="EN" db-id="59aa22z2jdzvtfe52vqxpfw9wpraze9w25rw"&gt;651&lt;/key&gt;&lt;/foreign-keys&gt;&lt;ref-type name="Journal Article"&gt;17&lt;/ref-type&gt;&lt;contributors&gt;&lt;authors&gt;&lt;author&gt;Harrell Jr, Frank E&lt;/author&gt;&lt;/authors&gt;&lt;/contributors&gt;&lt;titles&gt;&lt;title&gt;rms: Regression Modeling Strategies. R package version 4.0-0&lt;/title&gt;&lt;secondary-title&gt;City&lt;/secondary-title&gt;&lt;/titles&gt;&lt;periodical&gt;&lt;full-title&gt;City&lt;/full-title&gt;&lt;/periodical&gt;&lt;dates&gt;&lt;year&gt;2013&lt;/year&gt;&lt;/dates&gt;&lt;urls&gt;&lt;/urls&gt;&lt;/record&gt;&lt;/Cite&gt;&lt;/EndNote&gt;</w:instrText>
      </w:r>
      <w:r w:rsidR="00321B7F"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15" w:tooltip="Harrell Jr, 2013 #651" w:history="1">
        <w:r w:rsidR="0038443C">
          <w:rPr>
            <w:rFonts w:ascii="Arial" w:hAnsi="Arial" w:cs="Arial"/>
            <w:noProof/>
            <w:sz w:val="24"/>
            <w:szCs w:val="24"/>
            <w:lang w:val="en-GB"/>
          </w:rPr>
          <w:t>15</w:t>
        </w:r>
      </w:hyperlink>
      <w:r w:rsidR="0038443C">
        <w:rPr>
          <w:rFonts w:ascii="Arial" w:hAnsi="Arial" w:cs="Arial"/>
          <w:noProof/>
          <w:sz w:val="24"/>
          <w:szCs w:val="24"/>
          <w:lang w:val="en-GB"/>
        </w:rPr>
        <w:t>)</w:t>
      </w:r>
      <w:r w:rsidR="00321B7F" w:rsidRPr="00F83C46">
        <w:rPr>
          <w:rFonts w:ascii="Arial" w:hAnsi="Arial" w:cs="Arial"/>
          <w:sz w:val="24"/>
          <w:szCs w:val="24"/>
          <w:lang w:val="en-GB"/>
        </w:rPr>
        <w:fldChar w:fldCharType="end"/>
      </w:r>
      <w:r w:rsidR="00926A2B" w:rsidRPr="00F83C46">
        <w:rPr>
          <w:rFonts w:ascii="Arial" w:hAnsi="Arial" w:cs="Arial"/>
          <w:sz w:val="24"/>
          <w:szCs w:val="24"/>
          <w:lang w:val="en-GB"/>
        </w:rPr>
        <w:t xml:space="preserve">. Multiple Cox regression was performed </w:t>
      </w:r>
      <w:r w:rsidR="00926A2B" w:rsidRPr="00F83C46">
        <w:rPr>
          <w:rFonts w:ascii="Arial" w:eastAsia="宋体" w:hAnsi="Arial" w:cs="Arial"/>
          <w:sz w:val="24"/>
          <w:szCs w:val="24"/>
          <w:lang w:val="en-GB"/>
        </w:rPr>
        <w:t>to construct the</w:t>
      </w:r>
      <w:r w:rsidR="00926A2B" w:rsidRPr="00F83C46">
        <w:rPr>
          <w:rFonts w:ascii="Arial" w:hAnsi="Arial" w:cs="Arial"/>
          <w:sz w:val="24"/>
          <w:szCs w:val="24"/>
          <w:lang w:val="en-GB"/>
        </w:rPr>
        <w:t xml:space="preserve"> nomogram.</w:t>
      </w:r>
    </w:p>
    <w:p w14:paraId="37BB624C" w14:textId="0B62722C" w:rsidR="003A22DD" w:rsidRPr="00F83C46" w:rsidRDefault="00FA6AC2">
      <w:pPr>
        <w:rPr>
          <w:rFonts w:ascii="Arial" w:hAnsi="Arial" w:cs="Arial"/>
          <w:b/>
          <w:bCs/>
          <w:sz w:val="24"/>
          <w:szCs w:val="24"/>
          <w:lang w:val="en-GB"/>
        </w:rPr>
      </w:pPr>
      <w:r w:rsidRPr="00F83C46">
        <w:rPr>
          <w:rFonts w:ascii="Arial" w:hAnsi="Arial" w:cs="Arial"/>
          <w:b/>
          <w:bCs/>
          <w:sz w:val="24"/>
          <w:szCs w:val="24"/>
          <w:lang w:val="en-GB"/>
        </w:rPr>
        <w:t>2.</w:t>
      </w:r>
      <w:r w:rsidR="00764C38">
        <w:rPr>
          <w:rFonts w:ascii="Arial" w:hAnsi="Arial" w:cs="Arial"/>
          <w:b/>
          <w:bCs/>
          <w:sz w:val="24"/>
          <w:szCs w:val="24"/>
          <w:lang w:val="en-GB"/>
        </w:rPr>
        <w:t>8</w:t>
      </w:r>
      <w:r w:rsidRPr="00F83C46">
        <w:rPr>
          <w:rFonts w:ascii="Arial" w:hAnsi="Arial" w:cs="Arial"/>
          <w:b/>
          <w:bCs/>
          <w:sz w:val="24"/>
          <w:szCs w:val="24"/>
          <w:lang w:val="en-GB"/>
        </w:rPr>
        <w:t xml:space="preserve"> </w:t>
      </w:r>
      <w:r w:rsidR="00926A2B" w:rsidRPr="00F83C46">
        <w:rPr>
          <w:rFonts w:ascii="Arial" w:hAnsi="Arial" w:cs="Arial"/>
          <w:b/>
          <w:bCs/>
          <w:sz w:val="24"/>
          <w:szCs w:val="24"/>
          <w:lang w:val="en-GB"/>
        </w:rPr>
        <w:t>Immunotherapy response prediction</w:t>
      </w:r>
    </w:p>
    <w:p w14:paraId="3A6DD9F2" w14:textId="5F2B12B3" w:rsidR="00F06D09" w:rsidRPr="00F83C46" w:rsidRDefault="002141FB" w:rsidP="00F06D09">
      <w:pPr>
        <w:ind w:firstLine="420"/>
        <w:rPr>
          <w:rFonts w:ascii="Arial" w:hAnsi="Arial" w:cs="Arial"/>
          <w:sz w:val="24"/>
          <w:szCs w:val="24"/>
          <w:lang w:val="en-GB"/>
        </w:rPr>
      </w:pPr>
      <w:r w:rsidRPr="00F83C46">
        <w:rPr>
          <w:rFonts w:ascii="Arial" w:hAnsi="Arial" w:cs="Arial"/>
          <w:sz w:val="24"/>
          <w:szCs w:val="24"/>
          <w:lang w:val="en-GB"/>
        </w:rPr>
        <w:t xml:space="preserve">The </w:t>
      </w:r>
      <w:r w:rsidR="00926A2B" w:rsidRPr="00F83C46">
        <w:rPr>
          <w:rFonts w:ascii="Arial" w:hAnsi="Arial" w:cs="Arial"/>
          <w:sz w:val="24"/>
          <w:szCs w:val="24"/>
          <w:lang w:val="en-GB"/>
        </w:rPr>
        <w:t>TIDE website (</w:t>
      </w:r>
      <w:hyperlink r:id="rId12" w:history="1">
        <w:r w:rsidR="00926A2B" w:rsidRPr="00F83C46">
          <w:rPr>
            <w:rStyle w:val="a3"/>
            <w:rFonts w:ascii="Arial" w:hAnsi="Arial" w:cs="Arial"/>
            <w:sz w:val="24"/>
            <w:szCs w:val="24"/>
            <w:lang w:val="en-GB"/>
          </w:rPr>
          <w:t>http://tide.dfci.harvard.edu/</w:t>
        </w:r>
      </w:hyperlink>
      <w:r w:rsidR="00926A2B" w:rsidRPr="00F83C46">
        <w:rPr>
          <w:rFonts w:ascii="Arial" w:hAnsi="Arial" w:cs="Arial"/>
          <w:sz w:val="24"/>
          <w:szCs w:val="24"/>
          <w:lang w:val="en-GB"/>
        </w:rPr>
        <w:t>) was used to predict the response to immunotherapy.</w:t>
      </w:r>
    </w:p>
    <w:p w14:paraId="2DF2DE97" w14:textId="77777777" w:rsidR="00C910EC" w:rsidRPr="00F83C46" w:rsidRDefault="00C910EC">
      <w:pPr>
        <w:rPr>
          <w:rFonts w:ascii="Arial" w:hAnsi="Arial" w:cs="Arial"/>
          <w:sz w:val="24"/>
          <w:szCs w:val="24"/>
          <w:lang w:val="en-GB"/>
        </w:rPr>
      </w:pPr>
    </w:p>
    <w:p w14:paraId="797DFC4F" w14:textId="7833CFAB" w:rsidR="0094354B" w:rsidRPr="00F83C46" w:rsidRDefault="003C75E6" w:rsidP="00FA6AC2">
      <w:pPr>
        <w:pStyle w:val="a5"/>
        <w:numPr>
          <w:ilvl w:val="0"/>
          <w:numId w:val="5"/>
        </w:numPr>
        <w:ind w:firstLineChars="0"/>
        <w:rPr>
          <w:rFonts w:ascii="Arial" w:hAnsi="Arial" w:cs="Arial"/>
          <w:b/>
          <w:bCs/>
          <w:sz w:val="24"/>
          <w:szCs w:val="24"/>
          <w:lang w:val="en-GB"/>
        </w:rPr>
      </w:pPr>
      <w:r w:rsidRPr="00F83C46">
        <w:rPr>
          <w:rFonts w:ascii="Arial" w:hAnsi="Arial" w:cs="Arial"/>
          <w:b/>
          <w:bCs/>
          <w:sz w:val="24"/>
          <w:szCs w:val="24"/>
          <w:lang w:val="en-GB"/>
        </w:rPr>
        <w:t>Results</w:t>
      </w:r>
    </w:p>
    <w:p w14:paraId="5ABE2AEF" w14:textId="2C3AA2DA" w:rsidR="004853B5" w:rsidRPr="00F83C46" w:rsidRDefault="00FA6AC2">
      <w:pPr>
        <w:rPr>
          <w:rFonts w:ascii="Arial" w:hAnsi="Arial" w:cs="Arial"/>
          <w:b/>
          <w:bCs/>
          <w:sz w:val="24"/>
          <w:szCs w:val="24"/>
          <w:lang w:val="en-GB"/>
        </w:rPr>
      </w:pPr>
      <w:r w:rsidRPr="00F83C46">
        <w:rPr>
          <w:rFonts w:ascii="Arial" w:hAnsi="Arial" w:cs="Arial"/>
          <w:b/>
          <w:bCs/>
          <w:sz w:val="24"/>
          <w:szCs w:val="24"/>
          <w:lang w:val="en-GB"/>
        </w:rPr>
        <w:t xml:space="preserve">3.1 </w:t>
      </w:r>
      <w:r w:rsidR="00926A2B" w:rsidRPr="00F83C46">
        <w:rPr>
          <w:rFonts w:ascii="Arial" w:hAnsi="Arial" w:cs="Arial"/>
          <w:b/>
          <w:bCs/>
          <w:sz w:val="24"/>
          <w:szCs w:val="24"/>
          <w:lang w:val="en-GB"/>
        </w:rPr>
        <w:t>Immune landscape of early-stage LUAD</w:t>
      </w:r>
    </w:p>
    <w:p w14:paraId="28304763" w14:textId="254D9D83" w:rsidR="004853B5" w:rsidRPr="00F83C46" w:rsidRDefault="00A53A2B" w:rsidP="00632E35">
      <w:pPr>
        <w:ind w:firstLine="420"/>
        <w:rPr>
          <w:rFonts w:ascii="Arial" w:hAnsi="Arial" w:cs="Arial"/>
          <w:sz w:val="24"/>
          <w:szCs w:val="24"/>
          <w:lang w:val="en-GB"/>
        </w:rPr>
      </w:pPr>
      <w:r w:rsidRPr="00F83C46">
        <w:rPr>
          <w:rFonts w:ascii="Arial" w:hAnsi="Arial" w:cs="Arial"/>
          <w:sz w:val="24"/>
          <w:szCs w:val="24"/>
          <w:lang w:val="en-GB"/>
        </w:rPr>
        <w:t>The early-stage LUAD cohort was obtained from</w:t>
      </w:r>
      <w:r w:rsidR="00926A2B" w:rsidRPr="00F83C46">
        <w:rPr>
          <w:rFonts w:ascii="Arial" w:eastAsia="宋体" w:hAnsi="Arial" w:cs="Arial"/>
          <w:sz w:val="24"/>
          <w:szCs w:val="24"/>
          <w:lang w:val="en-GB"/>
        </w:rPr>
        <w:t xml:space="preserve"> the</w:t>
      </w:r>
      <w:r w:rsidRPr="00F83C46">
        <w:rPr>
          <w:rFonts w:ascii="Arial" w:hAnsi="Arial" w:cs="Arial"/>
          <w:sz w:val="24"/>
          <w:szCs w:val="24"/>
          <w:lang w:val="en-GB"/>
        </w:rPr>
        <w:t xml:space="preserve"> TCGA LUAD cohort</w:t>
      </w:r>
      <w:r w:rsidR="00391F64">
        <w:rPr>
          <w:rFonts w:ascii="Arial" w:hAnsi="Arial" w:cs="Arial"/>
          <w:sz w:val="24"/>
          <w:szCs w:val="24"/>
          <w:lang w:val="en-GB"/>
        </w:rPr>
        <w:t xml:space="preserve"> </w:t>
      </w:r>
      <w:r w:rsidR="00391F64" w:rsidRPr="00391F64">
        <w:rPr>
          <w:rFonts w:ascii="Arial" w:hAnsi="Arial" w:cs="Arial"/>
          <w:sz w:val="24"/>
          <w:szCs w:val="24"/>
          <w:lang w:val="en-GB"/>
        </w:rPr>
        <w:t>(Supplementary Table 1)</w:t>
      </w:r>
      <w:r w:rsidRPr="00F83C46">
        <w:rPr>
          <w:rFonts w:ascii="Arial" w:hAnsi="Arial" w:cs="Arial"/>
          <w:sz w:val="24"/>
          <w:szCs w:val="24"/>
          <w:lang w:val="en-GB"/>
        </w:rPr>
        <w:t xml:space="preserve">. The immune landscape of early-stage LUAD was depicted with several immune cell populations. The abundance of 24 immune cell populations </w:t>
      </w:r>
      <w:r w:rsidR="00926A2B" w:rsidRPr="00F83C46">
        <w:rPr>
          <w:rFonts w:ascii="Arial" w:eastAsia="宋体" w:hAnsi="Arial" w:cs="Arial"/>
          <w:sz w:val="24"/>
          <w:szCs w:val="24"/>
          <w:lang w:val="en-GB"/>
        </w:rPr>
        <w:t>was</w:t>
      </w:r>
      <w:r w:rsidRPr="00F83C46">
        <w:rPr>
          <w:rFonts w:ascii="Arial" w:hAnsi="Arial" w:cs="Arial"/>
          <w:sz w:val="24"/>
          <w:szCs w:val="24"/>
          <w:lang w:val="en-GB"/>
        </w:rPr>
        <w:t xml:space="preserve"> estimated by</w:t>
      </w:r>
      <w:r w:rsidR="00926A2B" w:rsidRPr="00F83C46">
        <w:rPr>
          <w:rFonts w:ascii="Arial" w:eastAsia="宋体" w:hAnsi="Arial" w:cs="Arial"/>
          <w:sz w:val="24"/>
          <w:szCs w:val="24"/>
          <w:lang w:val="en-GB"/>
        </w:rPr>
        <w:t xml:space="preserve"> the</w:t>
      </w:r>
      <w:r w:rsidRPr="00F83C46">
        <w:rPr>
          <w:rFonts w:ascii="Arial" w:hAnsi="Arial" w:cs="Arial"/>
          <w:sz w:val="24"/>
          <w:szCs w:val="24"/>
          <w:lang w:val="en-GB"/>
        </w:rPr>
        <w:t xml:space="preserve"> ssGSEA algorithm. The early-stage LUAD tumour tissues were clustered into 3 clusters (</w:t>
      </w:r>
      <w:r w:rsidR="00926A2B" w:rsidRPr="00F83C46">
        <w:rPr>
          <w:rFonts w:ascii="Arial" w:eastAsia="宋体" w:hAnsi="Arial" w:cs="Arial"/>
          <w:sz w:val="24"/>
          <w:szCs w:val="24"/>
          <w:lang w:val="en-GB"/>
        </w:rPr>
        <w:t>clusters</w:t>
      </w:r>
      <w:r w:rsidRPr="00F83C46">
        <w:rPr>
          <w:rFonts w:ascii="Arial" w:hAnsi="Arial" w:cs="Arial"/>
          <w:sz w:val="24"/>
          <w:szCs w:val="24"/>
          <w:lang w:val="en-GB"/>
        </w:rPr>
        <w:t xml:space="preserve"> A, B</w:t>
      </w:r>
      <w:r w:rsidR="006C03F1" w:rsidRPr="00F83C46">
        <w:rPr>
          <w:rFonts w:ascii="Arial" w:hAnsi="Arial" w:cs="Arial"/>
          <w:sz w:val="24"/>
          <w:szCs w:val="24"/>
          <w:lang w:val="en-GB"/>
        </w:rPr>
        <w:t>,</w:t>
      </w:r>
      <w:r w:rsidRPr="00F83C46">
        <w:rPr>
          <w:rFonts w:ascii="Arial" w:hAnsi="Arial" w:cs="Arial"/>
          <w:sz w:val="24"/>
          <w:szCs w:val="24"/>
          <w:lang w:val="en-GB"/>
        </w:rPr>
        <w:t xml:space="preserve"> and C) by </w:t>
      </w:r>
      <w:r w:rsidR="00926A2B" w:rsidRPr="00F83C46">
        <w:rPr>
          <w:rFonts w:ascii="Arial" w:eastAsia="宋体" w:hAnsi="Arial" w:cs="Arial"/>
          <w:sz w:val="24"/>
          <w:szCs w:val="24"/>
          <w:lang w:val="en-GB"/>
        </w:rPr>
        <w:t xml:space="preserve">the </w:t>
      </w:r>
      <w:r w:rsidRPr="00F83C46">
        <w:rPr>
          <w:rFonts w:ascii="Arial" w:hAnsi="Arial" w:cs="Arial"/>
          <w:sz w:val="24"/>
          <w:szCs w:val="24"/>
          <w:lang w:val="en-GB"/>
        </w:rPr>
        <w:t xml:space="preserve">hierarchical clustering method (Figure 1A). The association of </w:t>
      </w:r>
      <w:r w:rsidR="002764D1">
        <w:rPr>
          <w:rFonts w:ascii="Arial" w:hAnsi="Arial" w:cs="Arial"/>
          <w:sz w:val="24"/>
          <w:szCs w:val="24"/>
          <w:lang w:val="en-GB"/>
        </w:rPr>
        <w:t>overall survival (</w:t>
      </w:r>
      <w:r w:rsidRPr="00F83C46">
        <w:rPr>
          <w:rFonts w:ascii="Arial" w:hAnsi="Arial" w:cs="Arial"/>
          <w:sz w:val="24"/>
          <w:szCs w:val="24"/>
          <w:lang w:val="en-GB"/>
        </w:rPr>
        <w:t>OS</w:t>
      </w:r>
      <w:r w:rsidR="002764D1">
        <w:rPr>
          <w:rFonts w:ascii="Arial" w:hAnsi="Arial" w:cs="Arial"/>
          <w:sz w:val="24"/>
          <w:szCs w:val="24"/>
          <w:lang w:val="en-GB"/>
        </w:rPr>
        <w:t>)</w:t>
      </w:r>
      <w:r w:rsidRPr="00F83C46">
        <w:rPr>
          <w:rFonts w:ascii="Arial" w:hAnsi="Arial" w:cs="Arial"/>
          <w:sz w:val="24"/>
          <w:szCs w:val="24"/>
          <w:lang w:val="en-GB"/>
        </w:rPr>
        <w:t xml:space="preserve"> with different clusters of early-stage LUAD was analysed by a pairwise log-rank test (Figure 1B). The results indicated that cluster C had a </w:t>
      </w:r>
      <w:r w:rsidR="002141FB" w:rsidRPr="00F83C46">
        <w:rPr>
          <w:rFonts w:ascii="Arial" w:hAnsi="Arial" w:cs="Arial"/>
          <w:sz w:val="24"/>
          <w:szCs w:val="24"/>
          <w:lang w:val="en-GB"/>
        </w:rPr>
        <w:t>favour</w:t>
      </w:r>
      <w:r w:rsidRPr="00F83C46">
        <w:rPr>
          <w:rFonts w:ascii="Arial" w:hAnsi="Arial" w:cs="Arial"/>
          <w:sz w:val="24"/>
          <w:szCs w:val="24"/>
          <w:lang w:val="en-GB"/>
        </w:rPr>
        <w:t xml:space="preserve">able survival probability compared with cluster A and cluster B. </w:t>
      </w:r>
      <w:bookmarkStart w:id="8" w:name="_Hlk40740982"/>
      <w:r w:rsidR="002764D1">
        <w:rPr>
          <w:rFonts w:ascii="Arial" w:hAnsi="Arial" w:cs="Arial"/>
          <w:sz w:val="24"/>
          <w:szCs w:val="24"/>
          <w:lang w:val="en-GB"/>
        </w:rPr>
        <w:t>Differently expressed gene (</w:t>
      </w:r>
      <w:r w:rsidRPr="00F83C46">
        <w:rPr>
          <w:rFonts w:ascii="Arial" w:hAnsi="Arial" w:cs="Arial"/>
          <w:sz w:val="24"/>
          <w:szCs w:val="24"/>
          <w:lang w:val="en-GB"/>
        </w:rPr>
        <w:t>DEG</w:t>
      </w:r>
      <w:r w:rsidR="002764D1">
        <w:rPr>
          <w:rFonts w:ascii="Arial" w:hAnsi="Arial" w:cs="Arial"/>
          <w:sz w:val="24"/>
          <w:szCs w:val="24"/>
          <w:lang w:val="en-GB"/>
        </w:rPr>
        <w:t>)</w:t>
      </w:r>
      <w:r w:rsidRPr="00F83C46">
        <w:rPr>
          <w:rFonts w:ascii="Arial" w:hAnsi="Arial" w:cs="Arial"/>
          <w:sz w:val="24"/>
          <w:szCs w:val="24"/>
          <w:lang w:val="en-GB"/>
        </w:rPr>
        <w:t xml:space="preserve"> analysis was performed </w:t>
      </w:r>
      <w:r w:rsidR="00A002DC" w:rsidRPr="00F83C46">
        <w:rPr>
          <w:rFonts w:ascii="Arial" w:hAnsi="Arial" w:cs="Arial"/>
          <w:sz w:val="24"/>
          <w:szCs w:val="24"/>
          <w:lang w:val="en-GB"/>
        </w:rPr>
        <w:t xml:space="preserve">for </w:t>
      </w:r>
      <w:r w:rsidRPr="00F83C46">
        <w:rPr>
          <w:rFonts w:ascii="Arial" w:hAnsi="Arial" w:cs="Arial"/>
          <w:sz w:val="24"/>
          <w:szCs w:val="24"/>
          <w:lang w:val="en-GB"/>
        </w:rPr>
        <w:t xml:space="preserve">the three clusters. The volcano plot </w:t>
      </w:r>
      <w:r w:rsidR="00A002DC" w:rsidRPr="00F83C46">
        <w:rPr>
          <w:rFonts w:ascii="Arial" w:hAnsi="Arial" w:cs="Arial"/>
          <w:sz w:val="24"/>
          <w:szCs w:val="24"/>
          <w:lang w:val="en-GB"/>
        </w:rPr>
        <w:t xml:space="preserve">in Figure 2A </w:t>
      </w:r>
      <w:r w:rsidRPr="00F83C46">
        <w:rPr>
          <w:rFonts w:ascii="Arial" w:hAnsi="Arial" w:cs="Arial"/>
          <w:sz w:val="24"/>
          <w:szCs w:val="24"/>
          <w:lang w:val="en-GB"/>
        </w:rPr>
        <w:t>show</w:t>
      </w:r>
      <w:r w:rsidR="00A002DC" w:rsidRPr="00F83C46">
        <w:rPr>
          <w:rFonts w:ascii="Arial" w:hAnsi="Arial" w:cs="Arial"/>
          <w:sz w:val="24"/>
          <w:szCs w:val="24"/>
          <w:lang w:val="en-GB"/>
        </w:rPr>
        <w:t>s</w:t>
      </w:r>
      <w:r w:rsidRPr="00F83C46">
        <w:rPr>
          <w:rFonts w:ascii="Arial" w:hAnsi="Arial" w:cs="Arial"/>
          <w:sz w:val="24"/>
          <w:szCs w:val="24"/>
          <w:lang w:val="en-GB"/>
        </w:rPr>
        <w:t xml:space="preserve"> the DEGs </w:t>
      </w:r>
      <w:r w:rsidR="00A002DC" w:rsidRPr="00F83C46">
        <w:rPr>
          <w:rFonts w:ascii="Arial" w:hAnsi="Arial" w:cs="Arial"/>
          <w:sz w:val="24"/>
          <w:szCs w:val="24"/>
          <w:lang w:val="en-GB"/>
        </w:rPr>
        <w:t>among each of the</w:t>
      </w:r>
      <w:r w:rsidRPr="00F83C46">
        <w:rPr>
          <w:rFonts w:ascii="Arial" w:hAnsi="Arial" w:cs="Arial"/>
          <w:sz w:val="24"/>
          <w:szCs w:val="24"/>
          <w:lang w:val="en-GB"/>
        </w:rPr>
        <w:t xml:space="preserve"> clusters. </w:t>
      </w:r>
      <w:r w:rsidR="00A002DC" w:rsidRPr="00F83C46">
        <w:rPr>
          <w:rFonts w:ascii="Arial" w:eastAsia="宋体" w:hAnsi="Arial" w:cs="Arial"/>
          <w:sz w:val="24"/>
          <w:szCs w:val="24"/>
          <w:lang w:val="en-GB"/>
        </w:rPr>
        <w:t>The</w:t>
      </w:r>
      <w:r w:rsidR="00255E32" w:rsidRPr="00F83C46">
        <w:rPr>
          <w:rFonts w:ascii="Arial" w:eastAsia="宋体" w:hAnsi="Arial" w:cs="Arial"/>
          <w:sz w:val="24"/>
          <w:szCs w:val="24"/>
          <w:lang w:val="en-GB"/>
        </w:rPr>
        <w:t xml:space="preserve"> </w:t>
      </w:r>
      <w:r w:rsidRPr="00F83C46">
        <w:rPr>
          <w:rFonts w:ascii="Arial" w:hAnsi="Arial" w:cs="Arial"/>
          <w:sz w:val="24"/>
          <w:szCs w:val="24"/>
          <w:lang w:val="en-GB"/>
        </w:rPr>
        <w:lastRenderedPageBreak/>
        <w:t xml:space="preserve">Venn </w:t>
      </w:r>
      <w:r w:rsidR="00A002DC" w:rsidRPr="00F83C46">
        <w:rPr>
          <w:rFonts w:ascii="Arial" w:hAnsi="Arial" w:cs="Arial"/>
          <w:sz w:val="24"/>
          <w:szCs w:val="24"/>
          <w:lang w:val="en-GB"/>
        </w:rPr>
        <w:t>diagram in Figure 2B shows that</w:t>
      </w:r>
      <w:r w:rsidRPr="00F83C46">
        <w:rPr>
          <w:rFonts w:ascii="Arial" w:hAnsi="Arial" w:cs="Arial"/>
          <w:sz w:val="24"/>
          <w:szCs w:val="24"/>
          <w:lang w:val="en-GB"/>
        </w:rPr>
        <w:t xml:space="preserve"> 610 genes</w:t>
      </w:r>
      <w:r w:rsidR="00A002DC" w:rsidRPr="00F83C46">
        <w:rPr>
          <w:rFonts w:ascii="Arial" w:hAnsi="Arial" w:cs="Arial"/>
          <w:sz w:val="24"/>
          <w:szCs w:val="24"/>
          <w:lang w:val="en-GB"/>
        </w:rPr>
        <w:t xml:space="preserve"> overlapped </w:t>
      </w:r>
      <w:r w:rsidRPr="00F83C46">
        <w:rPr>
          <w:rFonts w:ascii="Arial" w:hAnsi="Arial" w:cs="Arial"/>
          <w:sz w:val="24"/>
          <w:szCs w:val="24"/>
          <w:lang w:val="en-GB"/>
        </w:rPr>
        <w:t>among all three clusters.</w:t>
      </w:r>
      <w:bookmarkEnd w:id="8"/>
      <w:r w:rsidRPr="00F83C46">
        <w:rPr>
          <w:rFonts w:ascii="Arial" w:hAnsi="Arial" w:cs="Arial"/>
          <w:sz w:val="24"/>
          <w:szCs w:val="24"/>
          <w:lang w:val="en-GB"/>
        </w:rPr>
        <w:t xml:space="preserve"> Among the 610 genes, 271 genes were immune-related genes (</w:t>
      </w:r>
      <w:r w:rsidR="008A7E76">
        <w:rPr>
          <w:rFonts w:ascii="Arial" w:hAnsi="Arial" w:cs="Arial"/>
          <w:sz w:val="24"/>
          <w:szCs w:val="24"/>
          <w:lang w:val="en-GB"/>
        </w:rPr>
        <w:t>Doc. S2</w:t>
      </w:r>
      <w:r w:rsidRPr="00F83C46">
        <w:rPr>
          <w:rFonts w:ascii="Arial" w:hAnsi="Arial" w:cs="Arial"/>
          <w:sz w:val="24"/>
          <w:szCs w:val="24"/>
          <w:lang w:val="en-GB"/>
        </w:rPr>
        <w:t xml:space="preserve">, filtered by immune-related gene list from </w:t>
      </w:r>
      <w:hyperlink r:id="rId13" w:history="1">
        <w:r w:rsidR="00792B0F" w:rsidRPr="00F83C46">
          <w:rPr>
            <w:rStyle w:val="a3"/>
            <w:rFonts w:ascii="Arial" w:hAnsi="Arial" w:cs="Arial"/>
            <w:sz w:val="24"/>
            <w:szCs w:val="24"/>
            <w:lang w:val="en-GB"/>
          </w:rPr>
          <w:t>https://www.innatedb.com/redirect.do?go=resourcesGeneLists</w:t>
        </w:r>
      </w:hyperlink>
      <w:r w:rsidR="0049711C" w:rsidRPr="00F83C46">
        <w:rPr>
          <w:rFonts w:ascii="Arial" w:hAnsi="Arial" w:cs="Arial"/>
          <w:sz w:val="24"/>
          <w:szCs w:val="24"/>
          <w:lang w:val="en-GB"/>
        </w:rPr>
        <w:t xml:space="preserve">). The expression levels of the 610 genes </w:t>
      </w:r>
      <w:r w:rsidR="00B43AF5" w:rsidRPr="00F83C46">
        <w:rPr>
          <w:rFonts w:ascii="Arial" w:hAnsi="Arial" w:cs="Arial"/>
          <w:sz w:val="24"/>
          <w:szCs w:val="24"/>
          <w:lang w:val="en-GB"/>
        </w:rPr>
        <w:t xml:space="preserve">are </w:t>
      </w:r>
      <w:r w:rsidR="0049711C" w:rsidRPr="00F83C46">
        <w:rPr>
          <w:rFonts w:ascii="Arial" w:hAnsi="Arial" w:cs="Arial"/>
          <w:sz w:val="24"/>
          <w:szCs w:val="24"/>
          <w:lang w:val="en-GB"/>
        </w:rPr>
        <w:t xml:space="preserve">exhibited in the heatmap </w:t>
      </w:r>
      <w:r w:rsidR="00B43AF5" w:rsidRPr="00F83C46">
        <w:rPr>
          <w:rFonts w:ascii="Arial" w:hAnsi="Arial" w:cs="Arial"/>
          <w:sz w:val="24"/>
          <w:szCs w:val="24"/>
          <w:lang w:val="en-GB"/>
        </w:rPr>
        <w:t xml:space="preserve">in </w:t>
      </w:r>
      <w:r w:rsidR="0049711C" w:rsidRPr="00F83C46">
        <w:rPr>
          <w:rFonts w:ascii="Arial" w:hAnsi="Arial" w:cs="Arial"/>
          <w:sz w:val="24"/>
          <w:szCs w:val="24"/>
          <w:lang w:val="en-GB"/>
        </w:rPr>
        <w:t xml:space="preserve">Figure 2C. Unsupervised clustering showed similar clustering results compared with the clustering by immune cell populations, which revealed the potential association of the 610 genes with the immune cell population in early-stage LUAD. GO analysis was performed based on the 271 immune-related key regulators in early-stage LUAD and 271 other genes (Figure 2D and Figure 2E). </w:t>
      </w:r>
      <w:r w:rsidR="00926A2B" w:rsidRPr="00F83C46">
        <w:rPr>
          <w:rFonts w:ascii="Arial" w:eastAsia="宋体" w:hAnsi="Arial" w:cs="Arial"/>
          <w:sz w:val="24"/>
          <w:szCs w:val="24"/>
          <w:lang w:val="en-GB"/>
        </w:rPr>
        <w:t>The results</w:t>
      </w:r>
      <w:r w:rsidR="0049711C" w:rsidRPr="00F83C46">
        <w:rPr>
          <w:rFonts w:ascii="Arial" w:hAnsi="Arial" w:cs="Arial"/>
          <w:sz w:val="24"/>
          <w:szCs w:val="24"/>
          <w:lang w:val="en-GB"/>
        </w:rPr>
        <w:t xml:space="preserve"> indicated </w:t>
      </w:r>
      <w:r w:rsidR="00926A2B" w:rsidRPr="00F83C46">
        <w:rPr>
          <w:rFonts w:ascii="Arial" w:eastAsia="宋体" w:hAnsi="Arial" w:cs="Arial"/>
          <w:sz w:val="24"/>
          <w:szCs w:val="24"/>
          <w:lang w:val="en-GB"/>
        </w:rPr>
        <w:t xml:space="preserve">that </w:t>
      </w:r>
      <w:r w:rsidR="0049711C" w:rsidRPr="00F83C46">
        <w:rPr>
          <w:rFonts w:ascii="Arial" w:hAnsi="Arial" w:cs="Arial"/>
          <w:sz w:val="24"/>
          <w:szCs w:val="24"/>
          <w:lang w:val="en-GB"/>
        </w:rPr>
        <w:t xml:space="preserve">T cell activation and T cell differentiation were the most significant terms, which further confirmed the association of the 610 </w:t>
      </w:r>
      <w:r w:rsidR="00926A2B" w:rsidRPr="00F83C46">
        <w:rPr>
          <w:rFonts w:ascii="Arial" w:eastAsia="宋体" w:hAnsi="Arial" w:cs="Arial"/>
          <w:sz w:val="24"/>
          <w:szCs w:val="24"/>
          <w:lang w:val="en-GB"/>
        </w:rPr>
        <w:t>overlapping</w:t>
      </w:r>
      <w:r w:rsidR="0049711C" w:rsidRPr="00F83C46">
        <w:rPr>
          <w:rFonts w:ascii="Arial" w:hAnsi="Arial" w:cs="Arial"/>
          <w:sz w:val="24"/>
          <w:szCs w:val="24"/>
          <w:lang w:val="en-GB"/>
        </w:rPr>
        <w:t xml:space="preserve"> genes with immune regulation in early-stage LUAD.</w:t>
      </w:r>
    </w:p>
    <w:p w14:paraId="2D8A6D41" w14:textId="0E3011BA" w:rsidR="005C2D63" w:rsidRPr="00F83C46" w:rsidRDefault="00FA6AC2">
      <w:pPr>
        <w:rPr>
          <w:rFonts w:ascii="Arial" w:hAnsi="Arial" w:cs="Arial"/>
          <w:b/>
          <w:bCs/>
          <w:sz w:val="24"/>
          <w:szCs w:val="24"/>
          <w:lang w:val="en-GB"/>
        </w:rPr>
      </w:pPr>
      <w:r w:rsidRPr="00F83C46">
        <w:rPr>
          <w:rFonts w:ascii="Arial" w:hAnsi="Arial" w:cs="Arial"/>
          <w:b/>
          <w:bCs/>
          <w:sz w:val="24"/>
          <w:szCs w:val="24"/>
          <w:lang w:val="en-GB"/>
        </w:rPr>
        <w:t xml:space="preserve">3.2 </w:t>
      </w:r>
      <w:r w:rsidR="00926A2B" w:rsidRPr="00F83C46">
        <w:rPr>
          <w:rFonts w:ascii="Arial" w:hAnsi="Arial" w:cs="Arial"/>
          <w:b/>
          <w:bCs/>
          <w:sz w:val="24"/>
          <w:szCs w:val="24"/>
          <w:lang w:val="en-GB"/>
        </w:rPr>
        <w:t xml:space="preserve">Prognostic model construction </w:t>
      </w:r>
    </w:p>
    <w:p w14:paraId="58754BFA" w14:textId="1EF237B9" w:rsidR="006C550B" w:rsidRPr="00F83C46" w:rsidRDefault="007F0698" w:rsidP="00632E35">
      <w:pPr>
        <w:ind w:firstLine="420"/>
        <w:rPr>
          <w:rFonts w:ascii="Arial" w:hAnsi="Arial" w:cs="Arial"/>
          <w:sz w:val="24"/>
          <w:szCs w:val="24"/>
          <w:lang w:val="en-GB"/>
        </w:rPr>
      </w:pPr>
      <w:bookmarkStart w:id="9" w:name="_Hlk40741344"/>
      <w:r w:rsidRPr="00F83C46">
        <w:rPr>
          <w:rFonts w:ascii="Arial" w:hAnsi="Arial" w:cs="Arial"/>
          <w:sz w:val="24"/>
          <w:szCs w:val="24"/>
          <w:lang w:val="en-GB"/>
        </w:rPr>
        <w:t>The 271 immune-related regulators were used to build a prognostic model to predict the OS of early-stage LUAD patients. LASSO Cox regression penalized the unimportant features in the regularization process</w:t>
      </w:r>
      <w:r w:rsidR="00926A2B" w:rsidRPr="00F83C46">
        <w:rPr>
          <w:rFonts w:ascii="Arial" w:eastAsia="宋体" w:hAnsi="Arial" w:cs="Arial"/>
          <w:sz w:val="24"/>
          <w:szCs w:val="24"/>
          <w:lang w:val="en-GB"/>
        </w:rPr>
        <w:t>,</w:t>
      </w:r>
      <w:r w:rsidRPr="00F83C46">
        <w:rPr>
          <w:rFonts w:ascii="Arial" w:hAnsi="Arial" w:cs="Arial"/>
          <w:sz w:val="24"/>
          <w:szCs w:val="24"/>
          <w:lang w:val="en-GB"/>
        </w:rPr>
        <w:t xml:space="preserve"> and 12 features (BIRC3, RIPK2, GSG2, TICAM2, ETS1, LCP1, KEL, CD1B, CTSW, CCR2, CD160, </w:t>
      </w:r>
      <w:r w:rsidR="00B43AF5" w:rsidRPr="00F83C46">
        <w:rPr>
          <w:rFonts w:ascii="Arial" w:hAnsi="Arial" w:cs="Arial"/>
          <w:sz w:val="24"/>
          <w:szCs w:val="24"/>
          <w:lang w:val="en-GB"/>
        </w:rPr>
        <w:t xml:space="preserve">and </w:t>
      </w:r>
      <w:r w:rsidRPr="00F83C46">
        <w:rPr>
          <w:rFonts w:ascii="Arial" w:hAnsi="Arial" w:cs="Arial"/>
          <w:sz w:val="24"/>
          <w:szCs w:val="24"/>
          <w:lang w:val="en-GB"/>
        </w:rPr>
        <w:t>CXCR6) were finally selected for the final model construction (Figure 3A-3B).</w:t>
      </w:r>
      <w:bookmarkEnd w:id="9"/>
      <w:r w:rsidRPr="00F83C46">
        <w:rPr>
          <w:rFonts w:ascii="Arial" w:hAnsi="Arial" w:cs="Arial"/>
          <w:sz w:val="24"/>
          <w:szCs w:val="24"/>
          <w:lang w:val="en-GB"/>
        </w:rPr>
        <w:t xml:space="preserve"> </w:t>
      </w:r>
      <w:bookmarkStart w:id="10" w:name="_Hlk40741565"/>
      <w:r w:rsidRPr="00F83C46">
        <w:rPr>
          <w:rFonts w:ascii="Arial" w:hAnsi="Arial" w:cs="Arial"/>
          <w:sz w:val="24"/>
          <w:szCs w:val="24"/>
          <w:lang w:val="en-GB"/>
        </w:rPr>
        <w:t>The risk score for each patient was calculated b</w:t>
      </w:r>
      <w:r w:rsidR="00B43AF5" w:rsidRPr="00F83C46">
        <w:rPr>
          <w:rFonts w:ascii="Arial" w:hAnsi="Arial" w:cs="Arial"/>
          <w:sz w:val="24"/>
          <w:szCs w:val="24"/>
          <w:lang w:val="en-GB"/>
        </w:rPr>
        <w:t>ased on</w:t>
      </w:r>
      <w:r w:rsidRPr="00F83C46">
        <w:rPr>
          <w:rFonts w:ascii="Arial" w:hAnsi="Arial" w:cs="Arial"/>
          <w:sz w:val="24"/>
          <w:szCs w:val="24"/>
          <w:lang w:val="en-GB"/>
        </w:rPr>
        <w:t xml:space="preserve"> the expression level of the 12 genes with the coefficient in the model. T</w:t>
      </w:r>
      <w:r w:rsidRPr="00F83C46">
        <w:rPr>
          <w:rFonts w:ascii="Arial" w:eastAsia="等线" w:hAnsi="Arial" w:cs="Arial"/>
          <w:sz w:val="24"/>
          <w:szCs w:val="24"/>
          <w:lang w:val="en-GB"/>
        </w:rPr>
        <w:t xml:space="preserve">he </w:t>
      </w:r>
      <w:r w:rsidRPr="00F83C46">
        <w:rPr>
          <w:rFonts w:ascii="Arial" w:hAnsi="Arial" w:cs="Arial"/>
          <w:sz w:val="24"/>
          <w:szCs w:val="24"/>
          <w:lang w:val="en-GB"/>
        </w:rPr>
        <w:t xml:space="preserve">risk score formula was established as follows: </w:t>
      </w:r>
      <m:oMath>
        <m:nary>
          <m:naryPr>
            <m:chr m:val="∑"/>
            <m:limLoc m:val="undOvr"/>
            <m:supHide m:val="1"/>
            <m:ctrlPr>
              <w:rPr>
                <w:rFonts w:ascii="Cambria Math" w:hAnsi="Cambria Math" w:cs="Arial"/>
                <w:sz w:val="24"/>
                <w:szCs w:val="24"/>
                <w:lang w:val="en-GB"/>
              </w:rPr>
            </m:ctrlPr>
          </m:naryPr>
          <m:sub>
            <m:r>
              <w:rPr>
                <w:rFonts w:ascii="Cambria Math" w:hAnsi="Cambria Math" w:cs="Arial"/>
                <w:sz w:val="24"/>
                <w:szCs w:val="24"/>
                <w:lang w:val="en-GB"/>
              </w:rPr>
              <m:t>i</m:t>
            </m:r>
          </m:sub>
          <m:sup/>
          <m:e>
            <m:r>
              <w:rPr>
                <w:rFonts w:ascii="Cambria Math" w:hAnsi="Cambria Math" w:cs="Arial"/>
                <w:sz w:val="24"/>
                <w:szCs w:val="24"/>
                <w:lang w:val="en-GB"/>
              </w:rPr>
              <m:t>Coefficient</m:t>
            </m:r>
            <m:r>
              <m:rPr>
                <m:sty m:val="p"/>
              </m:rPr>
              <w:rPr>
                <w:rFonts w:ascii="Cambria Math" w:hAnsi="Cambria Math" w:cs="Arial"/>
                <w:sz w:val="24"/>
                <w:szCs w:val="24"/>
                <w:lang w:val="en-GB"/>
              </w:rPr>
              <m:t>(</m:t>
            </m:r>
            <m:sSub>
              <m:sSubPr>
                <m:ctrlPr>
                  <w:rPr>
                    <w:rFonts w:ascii="Cambria Math" w:hAnsi="Cambria Math" w:cs="Arial"/>
                    <w:sz w:val="24"/>
                    <w:szCs w:val="24"/>
                    <w:lang w:val="en-GB"/>
                  </w:rPr>
                </m:ctrlPr>
              </m:sSubPr>
              <m:e>
                <m:r>
                  <w:rPr>
                    <w:rFonts w:ascii="Cambria Math" w:hAnsi="Cambria Math" w:cs="Arial"/>
                    <w:sz w:val="24"/>
                    <w:szCs w:val="24"/>
                    <w:lang w:val="en-GB"/>
                  </w:rPr>
                  <m:t>mRNA</m:t>
                </m:r>
              </m:e>
              <m:sub>
                <m:r>
                  <w:rPr>
                    <w:rFonts w:ascii="Cambria Math" w:hAnsi="Cambria Math" w:cs="Arial"/>
                    <w:sz w:val="24"/>
                    <w:szCs w:val="24"/>
                    <w:lang w:val="en-GB"/>
                  </w:rPr>
                  <m:t>i</m:t>
                </m:r>
              </m:sub>
            </m:sSub>
            <m:r>
              <m:rPr>
                <m:sty m:val="p"/>
              </m:rPr>
              <w:rPr>
                <w:rFonts w:ascii="Cambria Math" w:hAnsi="Cambria Math" w:cs="Arial"/>
                <w:sz w:val="24"/>
                <w:szCs w:val="24"/>
                <w:lang w:val="en-GB"/>
              </w:rPr>
              <m:t>)×</m:t>
            </m:r>
            <m:r>
              <w:rPr>
                <w:rFonts w:ascii="Cambria Math" w:hAnsi="Cambria Math" w:cs="Arial"/>
                <w:sz w:val="24"/>
                <w:szCs w:val="24"/>
                <w:lang w:val="en-GB"/>
              </w:rPr>
              <m:t>Expression</m:t>
            </m:r>
            <m:r>
              <m:rPr>
                <m:sty m:val="p"/>
              </m:rPr>
              <w:rPr>
                <w:rFonts w:ascii="Cambria Math" w:hAnsi="Cambria Math" w:cs="Arial"/>
                <w:sz w:val="24"/>
                <w:szCs w:val="24"/>
                <w:lang w:val="en-GB"/>
              </w:rPr>
              <m:t>(</m:t>
            </m:r>
            <m:sSub>
              <m:sSubPr>
                <m:ctrlPr>
                  <w:rPr>
                    <w:rFonts w:ascii="Cambria Math" w:hAnsi="Cambria Math" w:cs="Arial"/>
                    <w:sz w:val="24"/>
                    <w:szCs w:val="24"/>
                    <w:lang w:val="en-GB"/>
                  </w:rPr>
                </m:ctrlPr>
              </m:sSubPr>
              <m:e>
                <m:r>
                  <w:rPr>
                    <w:rFonts w:ascii="Cambria Math" w:hAnsi="Cambria Math" w:cs="Arial"/>
                    <w:sz w:val="24"/>
                    <w:szCs w:val="24"/>
                    <w:lang w:val="en-GB"/>
                  </w:rPr>
                  <m:t>mRNA</m:t>
                </m:r>
              </m:e>
              <m:sub>
                <m:r>
                  <w:rPr>
                    <w:rFonts w:ascii="Cambria Math" w:hAnsi="Cambria Math" w:cs="Arial"/>
                    <w:sz w:val="24"/>
                    <w:szCs w:val="24"/>
                    <w:lang w:val="en-GB"/>
                  </w:rPr>
                  <m:t>i</m:t>
                </m:r>
              </m:sub>
            </m:sSub>
            <m:r>
              <m:rPr>
                <m:sty m:val="p"/>
              </m:rPr>
              <w:rPr>
                <w:rFonts w:ascii="Cambria Math" w:hAnsi="Cambria Math" w:cs="Arial"/>
                <w:sz w:val="24"/>
                <w:szCs w:val="24"/>
                <w:lang w:val="en-GB"/>
              </w:rPr>
              <m:t>)</m:t>
            </m:r>
          </m:e>
        </m:nary>
      </m:oMath>
      <w:r w:rsidRPr="00F83C46">
        <w:rPr>
          <w:rFonts w:ascii="Arial" w:hAnsi="Arial" w:cs="Arial"/>
          <w:sz w:val="24"/>
          <w:szCs w:val="24"/>
          <w:lang w:val="en-GB"/>
        </w:rPr>
        <w:t xml:space="preserve">. </w:t>
      </w:r>
      <w:r w:rsidR="00217209" w:rsidRPr="00F83C46">
        <w:rPr>
          <w:rFonts w:ascii="Arial" w:hAnsi="Arial" w:cs="Arial"/>
          <w:sz w:val="24"/>
          <w:szCs w:val="24"/>
          <w:lang w:val="en-GB"/>
        </w:rPr>
        <w:t xml:space="preserve">The early-stage LUAD patients were separated into </w:t>
      </w:r>
      <w:r w:rsidR="00926A2B" w:rsidRPr="00F83C46">
        <w:rPr>
          <w:rFonts w:ascii="Arial" w:eastAsia="宋体" w:hAnsi="Arial" w:cs="Arial"/>
          <w:sz w:val="24"/>
          <w:szCs w:val="24"/>
          <w:lang w:val="en-GB"/>
        </w:rPr>
        <w:t xml:space="preserve">a </w:t>
      </w:r>
      <w:r w:rsidR="00217209" w:rsidRPr="00F83C46">
        <w:rPr>
          <w:rFonts w:ascii="Arial" w:hAnsi="Arial" w:cs="Arial"/>
          <w:sz w:val="24"/>
          <w:szCs w:val="24"/>
          <w:lang w:val="en-GB"/>
        </w:rPr>
        <w:t>high-risk group and</w:t>
      </w:r>
      <w:r w:rsidR="00926A2B" w:rsidRPr="00F83C46">
        <w:rPr>
          <w:rFonts w:ascii="Arial" w:eastAsia="宋体" w:hAnsi="Arial" w:cs="Arial"/>
          <w:sz w:val="24"/>
          <w:szCs w:val="24"/>
          <w:lang w:val="en-GB"/>
        </w:rPr>
        <w:t xml:space="preserve"> a</w:t>
      </w:r>
      <w:r w:rsidR="00217209" w:rsidRPr="00F83C46">
        <w:rPr>
          <w:rFonts w:ascii="Arial" w:hAnsi="Arial" w:cs="Arial"/>
          <w:sz w:val="24"/>
          <w:szCs w:val="24"/>
          <w:lang w:val="en-GB"/>
        </w:rPr>
        <w:t xml:space="preserve"> low-risk group by </w:t>
      </w:r>
      <w:r w:rsidR="00B43AF5" w:rsidRPr="00F83C46">
        <w:rPr>
          <w:rFonts w:ascii="Arial" w:hAnsi="Arial" w:cs="Arial"/>
          <w:sz w:val="24"/>
          <w:szCs w:val="24"/>
          <w:lang w:val="en-GB"/>
        </w:rPr>
        <w:t xml:space="preserve">the </w:t>
      </w:r>
      <w:r w:rsidR="00217209" w:rsidRPr="00F83C46">
        <w:rPr>
          <w:rFonts w:ascii="Arial" w:hAnsi="Arial" w:cs="Arial"/>
          <w:sz w:val="24"/>
          <w:szCs w:val="24"/>
          <w:lang w:val="en-GB"/>
        </w:rPr>
        <w:t xml:space="preserve">median cut-off value (Figure 3C-3D). </w:t>
      </w:r>
      <w:bookmarkEnd w:id="10"/>
      <w:r w:rsidR="00217209" w:rsidRPr="00F83C46">
        <w:rPr>
          <w:rFonts w:ascii="Arial" w:hAnsi="Arial" w:cs="Arial"/>
          <w:sz w:val="24"/>
          <w:szCs w:val="24"/>
          <w:lang w:val="en-GB"/>
        </w:rPr>
        <w:t xml:space="preserve">The heatmap </w:t>
      </w:r>
      <w:r w:rsidR="00B43AF5" w:rsidRPr="00F83C46">
        <w:rPr>
          <w:rFonts w:ascii="Arial" w:hAnsi="Arial" w:cs="Arial"/>
          <w:sz w:val="24"/>
          <w:szCs w:val="24"/>
          <w:lang w:val="en-GB"/>
        </w:rPr>
        <w:t xml:space="preserve">in Figure 3E </w:t>
      </w:r>
      <w:r w:rsidR="00217209" w:rsidRPr="00F83C46">
        <w:rPr>
          <w:rFonts w:ascii="Arial" w:hAnsi="Arial" w:cs="Arial"/>
          <w:sz w:val="24"/>
          <w:szCs w:val="24"/>
          <w:lang w:val="en-GB"/>
        </w:rPr>
        <w:t>show</w:t>
      </w:r>
      <w:r w:rsidR="00B43AF5" w:rsidRPr="00F83C46">
        <w:rPr>
          <w:rFonts w:ascii="Arial" w:hAnsi="Arial" w:cs="Arial"/>
          <w:sz w:val="24"/>
          <w:szCs w:val="24"/>
          <w:lang w:val="en-GB"/>
        </w:rPr>
        <w:t>s</w:t>
      </w:r>
      <w:r w:rsidR="00217209" w:rsidRPr="00F83C46">
        <w:rPr>
          <w:rFonts w:ascii="Arial" w:hAnsi="Arial" w:cs="Arial"/>
          <w:sz w:val="24"/>
          <w:szCs w:val="24"/>
          <w:lang w:val="en-GB"/>
        </w:rPr>
        <w:t xml:space="preserve"> the expression level of the 12 genes. </w:t>
      </w:r>
      <w:r w:rsidR="00926A2B" w:rsidRPr="00F83C46">
        <w:rPr>
          <w:rFonts w:ascii="Arial" w:eastAsia="宋体" w:hAnsi="Arial" w:cs="Arial"/>
          <w:sz w:val="24"/>
          <w:szCs w:val="24"/>
          <w:lang w:val="en-GB"/>
        </w:rPr>
        <w:t xml:space="preserve">The </w:t>
      </w:r>
      <w:r w:rsidR="00217209" w:rsidRPr="00F83C46">
        <w:rPr>
          <w:rFonts w:ascii="Arial" w:hAnsi="Arial" w:cs="Arial"/>
          <w:sz w:val="24"/>
          <w:szCs w:val="24"/>
          <w:lang w:val="en-GB"/>
        </w:rPr>
        <w:t>KM plot revealed</w:t>
      </w:r>
      <w:r w:rsidR="00926A2B" w:rsidRPr="00F83C46">
        <w:rPr>
          <w:rFonts w:ascii="Arial" w:eastAsia="宋体" w:hAnsi="Arial" w:cs="Arial"/>
          <w:sz w:val="24"/>
          <w:szCs w:val="24"/>
          <w:lang w:val="en-GB"/>
        </w:rPr>
        <w:t xml:space="preserve"> that</w:t>
      </w:r>
      <w:r w:rsidR="00217209" w:rsidRPr="00F83C46">
        <w:rPr>
          <w:rFonts w:ascii="Arial" w:hAnsi="Arial" w:cs="Arial"/>
          <w:sz w:val="24"/>
          <w:szCs w:val="24"/>
          <w:lang w:val="en-GB"/>
        </w:rPr>
        <w:t xml:space="preserve"> early-stage LUAD patients with </w:t>
      </w:r>
      <w:r w:rsidR="00926A2B" w:rsidRPr="00F83C46">
        <w:rPr>
          <w:rFonts w:ascii="Arial" w:eastAsia="宋体" w:hAnsi="Arial" w:cs="Arial"/>
          <w:sz w:val="24"/>
          <w:szCs w:val="24"/>
          <w:lang w:val="en-GB"/>
        </w:rPr>
        <w:t xml:space="preserve">a </w:t>
      </w:r>
      <w:r w:rsidR="006C03F1" w:rsidRPr="00F83C46">
        <w:rPr>
          <w:rFonts w:ascii="Arial" w:hAnsi="Arial" w:cs="Arial"/>
          <w:sz w:val="24"/>
          <w:szCs w:val="24"/>
          <w:lang w:val="en-GB"/>
        </w:rPr>
        <w:t>low-</w:t>
      </w:r>
      <w:r w:rsidR="00217209" w:rsidRPr="00F83C46">
        <w:rPr>
          <w:rFonts w:ascii="Arial" w:hAnsi="Arial" w:cs="Arial"/>
          <w:sz w:val="24"/>
          <w:szCs w:val="24"/>
          <w:lang w:val="en-GB"/>
        </w:rPr>
        <w:t xml:space="preserve">risk score had a </w:t>
      </w:r>
      <w:r w:rsidR="002141FB" w:rsidRPr="00F83C46">
        <w:rPr>
          <w:rFonts w:ascii="Arial" w:hAnsi="Arial" w:cs="Arial"/>
          <w:sz w:val="24"/>
          <w:szCs w:val="24"/>
          <w:lang w:val="en-GB"/>
        </w:rPr>
        <w:t>favour</w:t>
      </w:r>
      <w:r w:rsidR="00217209" w:rsidRPr="00F83C46">
        <w:rPr>
          <w:rFonts w:ascii="Arial" w:hAnsi="Arial" w:cs="Arial"/>
          <w:sz w:val="24"/>
          <w:szCs w:val="24"/>
          <w:lang w:val="en-GB"/>
        </w:rPr>
        <w:t>able survival outcome compared with patients with</w:t>
      </w:r>
      <w:r w:rsidR="00926A2B" w:rsidRPr="00F83C46">
        <w:rPr>
          <w:rFonts w:ascii="Arial" w:eastAsia="宋体" w:hAnsi="Arial" w:cs="Arial"/>
          <w:sz w:val="24"/>
          <w:szCs w:val="24"/>
          <w:lang w:val="en-GB"/>
        </w:rPr>
        <w:t xml:space="preserve"> a</w:t>
      </w:r>
      <w:r w:rsidR="00217209" w:rsidRPr="00F83C46">
        <w:rPr>
          <w:rFonts w:ascii="Arial" w:hAnsi="Arial" w:cs="Arial"/>
          <w:sz w:val="24"/>
          <w:szCs w:val="24"/>
          <w:lang w:val="en-GB"/>
        </w:rPr>
        <w:t xml:space="preserve"> </w:t>
      </w:r>
      <w:r w:rsidR="006C03F1" w:rsidRPr="00F83C46">
        <w:rPr>
          <w:rFonts w:ascii="Arial" w:hAnsi="Arial" w:cs="Arial"/>
          <w:sz w:val="24"/>
          <w:szCs w:val="24"/>
          <w:lang w:val="en-GB"/>
        </w:rPr>
        <w:t>high-</w:t>
      </w:r>
      <w:r w:rsidR="00217209" w:rsidRPr="00F83C46">
        <w:rPr>
          <w:rFonts w:ascii="Arial" w:hAnsi="Arial" w:cs="Arial"/>
          <w:sz w:val="24"/>
          <w:szCs w:val="24"/>
          <w:lang w:val="en-GB"/>
        </w:rPr>
        <w:t>risk score</w:t>
      </w:r>
      <w:r w:rsidR="00025C6C">
        <w:rPr>
          <w:rFonts w:ascii="Arial" w:hAnsi="Arial" w:cs="Arial"/>
          <w:sz w:val="24"/>
          <w:szCs w:val="24"/>
          <w:lang w:val="en-GB"/>
        </w:rPr>
        <w:t xml:space="preserve"> </w:t>
      </w:r>
      <w:r w:rsidR="00025C6C" w:rsidRPr="00F83C46">
        <w:rPr>
          <w:rFonts w:ascii="Arial" w:hAnsi="Arial" w:cs="Arial"/>
          <w:sz w:val="24"/>
          <w:szCs w:val="24"/>
          <w:lang w:val="en-GB"/>
        </w:rPr>
        <w:t>(HR=</w:t>
      </w:r>
      <w:r w:rsidR="00025C6C">
        <w:rPr>
          <w:rFonts w:ascii="Arial" w:hAnsi="Arial" w:cs="Arial"/>
          <w:sz w:val="24"/>
          <w:szCs w:val="24"/>
          <w:lang w:val="en-GB"/>
        </w:rPr>
        <w:t>4</w:t>
      </w:r>
      <w:r w:rsidR="00025C6C" w:rsidRPr="00F83C46">
        <w:rPr>
          <w:rFonts w:ascii="Arial" w:hAnsi="Arial" w:cs="Arial"/>
          <w:sz w:val="24"/>
          <w:szCs w:val="24"/>
          <w:lang w:val="en-GB"/>
        </w:rPr>
        <w:t>.</w:t>
      </w:r>
      <w:r w:rsidR="00025C6C">
        <w:rPr>
          <w:rFonts w:ascii="Arial" w:hAnsi="Arial" w:cs="Arial"/>
          <w:sz w:val="24"/>
          <w:szCs w:val="24"/>
          <w:lang w:val="en-GB"/>
        </w:rPr>
        <w:t>3</w:t>
      </w:r>
      <w:r w:rsidR="00025C6C" w:rsidRPr="00F83C46">
        <w:rPr>
          <w:rFonts w:ascii="Arial" w:hAnsi="Arial" w:cs="Arial"/>
          <w:sz w:val="24"/>
          <w:szCs w:val="24"/>
          <w:lang w:val="en-GB"/>
        </w:rPr>
        <w:t>2, p&lt;0.001)</w:t>
      </w:r>
      <w:r w:rsidR="00217209" w:rsidRPr="00F83C46">
        <w:rPr>
          <w:rFonts w:ascii="Arial" w:hAnsi="Arial" w:cs="Arial"/>
          <w:sz w:val="24"/>
          <w:szCs w:val="24"/>
          <w:lang w:val="en-GB"/>
        </w:rPr>
        <w:t xml:space="preserve"> (Figure 3F). ssGSEA was performed for each patient in the early-stage LUAD cohort (Figure 3G). </w:t>
      </w:r>
      <w:r w:rsidR="00926A2B" w:rsidRPr="00F83C46">
        <w:rPr>
          <w:rFonts w:ascii="Arial" w:eastAsia="宋体" w:hAnsi="Arial" w:cs="Arial"/>
          <w:sz w:val="24"/>
          <w:szCs w:val="24"/>
          <w:lang w:val="en-GB"/>
        </w:rPr>
        <w:t>The results</w:t>
      </w:r>
      <w:r w:rsidR="00217209" w:rsidRPr="00F83C46">
        <w:rPr>
          <w:rFonts w:ascii="Arial" w:hAnsi="Arial" w:cs="Arial"/>
          <w:sz w:val="24"/>
          <w:szCs w:val="24"/>
          <w:lang w:val="en-GB"/>
        </w:rPr>
        <w:t xml:space="preserve"> revealed </w:t>
      </w:r>
      <w:r w:rsidR="00926A2B" w:rsidRPr="00F83C46">
        <w:rPr>
          <w:rFonts w:ascii="Arial" w:eastAsia="宋体" w:hAnsi="Arial" w:cs="Arial"/>
          <w:sz w:val="24"/>
          <w:szCs w:val="24"/>
          <w:lang w:val="en-GB"/>
        </w:rPr>
        <w:t xml:space="preserve">that </w:t>
      </w:r>
      <w:r w:rsidR="00217209" w:rsidRPr="00F83C46">
        <w:rPr>
          <w:rFonts w:ascii="Arial" w:hAnsi="Arial" w:cs="Arial"/>
          <w:sz w:val="24"/>
          <w:szCs w:val="24"/>
          <w:lang w:val="en-GB"/>
        </w:rPr>
        <w:t xml:space="preserve">MTOR1 </w:t>
      </w:r>
      <w:r w:rsidR="002141FB" w:rsidRPr="00F83C46">
        <w:rPr>
          <w:rFonts w:ascii="Arial" w:hAnsi="Arial" w:cs="Arial"/>
          <w:sz w:val="24"/>
          <w:szCs w:val="24"/>
          <w:lang w:val="en-GB"/>
        </w:rPr>
        <w:t>signalling</w:t>
      </w:r>
      <w:r w:rsidR="00217209" w:rsidRPr="00F83C46">
        <w:rPr>
          <w:rFonts w:ascii="Arial" w:hAnsi="Arial" w:cs="Arial"/>
          <w:sz w:val="24"/>
          <w:szCs w:val="24"/>
          <w:lang w:val="en-GB"/>
        </w:rPr>
        <w:t xml:space="preserve">, TNF-α </w:t>
      </w:r>
      <w:r w:rsidR="002141FB" w:rsidRPr="00F83C46">
        <w:rPr>
          <w:rFonts w:ascii="Arial" w:hAnsi="Arial" w:cs="Arial"/>
          <w:sz w:val="24"/>
          <w:szCs w:val="24"/>
          <w:lang w:val="en-GB"/>
        </w:rPr>
        <w:t>signalling</w:t>
      </w:r>
      <w:r w:rsidR="00217209" w:rsidRPr="00F83C46">
        <w:rPr>
          <w:rFonts w:ascii="Arial" w:hAnsi="Arial" w:cs="Arial"/>
          <w:sz w:val="24"/>
          <w:szCs w:val="24"/>
          <w:lang w:val="en-GB"/>
        </w:rPr>
        <w:t xml:space="preserve"> via NF-KB, hypoxia</w:t>
      </w:r>
      <w:r w:rsidR="001839FC" w:rsidRPr="00F83C46">
        <w:rPr>
          <w:rFonts w:ascii="Arial" w:hAnsi="Arial" w:cs="Arial"/>
          <w:sz w:val="24"/>
          <w:szCs w:val="24"/>
          <w:lang w:val="en-GB"/>
        </w:rPr>
        <w:t>,</w:t>
      </w:r>
      <w:r w:rsidR="00217209" w:rsidRPr="00F83C46">
        <w:rPr>
          <w:rFonts w:ascii="Arial" w:hAnsi="Arial" w:cs="Arial"/>
          <w:sz w:val="24"/>
          <w:szCs w:val="24"/>
          <w:lang w:val="en-GB"/>
        </w:rPr>
        <w:t xml:space="preserve"> and</w:t>
      </w:r>
      <w:r w:rsidR="00926A2B" w:rsidRPr="00F83C46">
        <w:rPr>
          <w:rFonts w:ascii="Arial" w:eastAsia="宋体" w:hAnsi="Arial" w:cs="Arial"/>
          <w:sz w:val="24"/>
          <w:szCs w:val="24"/>
          <w:lang w:val="en-GB"/>
        </w:rPr>
        <w:t xml:space="preserve"> several</w:t>
      </w:r>
      <w:r w:rsidR="00217209" w:rsidRPr="00F83C46">
        <w:rPr>
          <w:rFonts w:ascii="Arial" w:hAnsi="Arial" w:cs="Arial"/>
          <w:sz w:val="24"/>
          <w:szCs w:val="24"/>
          <w:lang w:val="en-GB"/>
        </w:rPr>
        <w:t xml:space="preserve"> other pathways were highly related to the immune-related gene signature-based risk score by </w:t>
      </w:r>
      <w:r w:rsidR="00926A2B" w:rsidRPr="00F83C46">
        <w:rPr>
          <w:rFonts w:ascii="Arial" w:eastAsia="宋体" w:hAnsi="Arial" w:cs="Arial"/>
          <w:sz w:val="24"/>
          <w:szCs w:val="24"/>
          <w:lang w:val="en-GB"/>
        </w:rPr>
        <w:t>Spearman’s</w:t>
      </w:r>
      <w:r w:rsidR="00217209" w:rsidRPr="00F83C46">
        <w:rPr>
          <w:rFonts w:ascii="Arial" w:hAnsi="Arial" w:cs="Arial"/>
          <w:sz w:val="24"/>
          <w:szCs w:val="24"/>
          <w:lang w:val="en-GB"/>
        </w:rPr>
        <w:t xml:space="preserve"> test. </w:t>
      </w:r>
      <w:r w:rsidR="004156C7" w:rsidRPr="00F83C46">
        <w:rPr>
          <w:rFonts w:ascii="Arial" w:hAnsi="Arial" w:cs="Arial"/>
          <w:sz w:val="24"/>
          <w:szCs w:val="24"/>
          <w:lang w:val="en-GB"/>
        </w:rPr>
        <w:t xml:space="preserve">Hypoxia, which plays crucial roles in drug resistance in LUAD, had </w:t>
      </w:r>
      <w:r w:rsidR="004156C7" w:rsidRPr="00F83C46">
        <w:rPr>
          <w:rFonts w:ascii="Arial" w:eastAsia="宋体" w:hAnsi="Arial" w:cs="Arial"/>
          <w:sz w:val="24"/>
          <w:szCs w:val="24"/>
          <w:lang w:val="en-GB"/>
        </w:rPr>
        <w:t xml:space="preserve">a </w:t>
      </w:r>
      <w:r w:rsidR="004156C7" w:rsidRPr="00F83C46">
        <w:rPr>
          <w:rFonts w:ascii="Arial" w:hAnsi="Arial" w:cs="Arial"/>
          <w:sz w:val="24"/>
          <w:szCs w:val="24"/>
          <w:lang w:val="en-GB"/>
        </w:rPr>
        <w:t xml:space="preserve">coefficient </w:t>
      </w:r>
      <w:r w:rsidR="004156C7" w:rsidRPr="00F83C46">
        <w:rPr>
          <w:rFonts w:ascii="Arial" w:eastAsia="宋体" w:hAnsi="Arial" w:cs="Arial"/>
          <w:sz w:val="24"/>
          <w:szCs w:val="24"/>
          <w:lang w:val="en-GB"/>
        </w:rPr>
        <w:t xml:space="preserve">of </w:t>
      </w:r>
      <w:r w:rsidR="004156C7" w:rsidRPr="00F83C46">
        <w:rPr>
          <w:rFonts w:ascii="Arial" w:hAnsi="Arial" w:cs="Arial"/>
          <w:sz w:val="24"/>
          <w:szCs w:val="24"/>
          <w:lang w:val="en-GB"/>
        </w:rPr>
        <w:t>0.42 with the immune-related gene signature</w:t>
      </w:r>
      <w:r w:rsidR="004156C7" w:rsidRPr="00F83C46">
        <w:rPr>
          <w:rFonts w:ascii="Arial" w:hAnsi="Arial" w:cs="Arial" w:hint="eastAsia"/>
          <w:sz w:val="24"/>
          <w:szCs w:val="24"/>
          <w:lang w:val="en-GB"/>
        </w:rPr>
        <w:t>-based</w:t>
      </w:r>
      <w:r w:rsidR="004156C7" w:rsidRPr="00F83C46">
        <w:rPr>
          <w:rFonts w:ascii="Arial" w:hAnsi="Arial" w:cs="Arial"/>
          <w:sz w:val="24"/>
          <w:szCs w:val="24"/>
          <w:lang w:val="en-GB"/>
        </w:rPr>
        <w:t xml:space="preserve"> risk score (Figure 3H). </w:t>
      </w:r>
      <w:r w:rsidR="00217209" w:rsidRPr="00F83C46">
        <w:rPr>
          <w:rFonts w:ascii="Arial" w:hAnsi="Arial" w:cs="Arial"/>
          <w:sz w:val="24"/>
          <w:szCs w:val="24"/>
          <w:lang w:val="en-GB"/>
        </w:rPr>
        <w:t xml:space="preserve">MTOR1 </w:t>
      </w:r>
      <w:r w:rsidR="002141FB" w:rsidRPr="00F83C46">
        <w:rPr>
          <w:rFonts w:ascii="Arial" w:hAnsi="Arial" w:cs="Arial"/>
          <w:sz w:val="24"/>
          <w:szCs w:val="24"/>
          <w:lang w:val="en-GB"/>
        </w:rPr>
        <w:t>signalling</w:t>
      </w:r>
      <w:r w:rsidR="00217209" w:rsidRPr="00F83C46">
        <w:rPr>
          <w:rFonts w:ascii="Arial" w:hAnsi="Arial" w:cs="Arial"/>
          <w:sz w:val="24"/>
          <w:szCs w:val="24"/>
          <w:lang w:val="en-GB"/>
        </w:rPr>
        <w:t>, which contributes to the malignancy and tumour progression of LUAD, had</w:t>
      </w:r>
      <w:r w:rsidR="00926A2B" w:rsidRPr="00F83C46">
        <w:rPr>
          <w:rFonts w:ascii="Arial" w:eastAsia="宋体" w:hAnsi="Arial" w:cs="Arial"/>
          <w:sz w:val="24"/>
          <w:szCs w:val="24"/>
          <w:lang w:val="en-GB"/>
        </w:rPr>
        <w:t xml:space="preserve"> a</w:t>
      </w:r>
      <w:r w:rsidR="00217209" w:rsidRPr="00F83C46">
        <w:rPr>
          <w:rFonts w:ascii="Arial" w:hAnsi="Arial" w:cs="Arial"/>
          <w:sz w:val="24"/>
          <w:szCs w:val="24"/>
          <w:lang w:val="en-GB"/>
        </w:rPr>
        <w:t xml:space="preserve"> coefficient </w:t>
      </w:r>
      <w:r w:rsidR="00926A2B" w:rsidRPr="00F83C46">
        <w:rPr>
          <w:rFonts w:ascii="Arial" w:eastAsia="宋体" w:hAnsi="Arial" w:cs="Arial"/>
          <w:sz w:val="24"/>
          <w:szCs w:val="24"/>
          <w:lang w:val="en-GB"/>
        </w:rPr>
        <w:t xml:space="preserve">of </w:t>
      </w:r>
      <w:r w:rsidR="00217209" w:rsidRPr="00F83C46">
        <w:rPr>
          <w:rFonts w:ascii="Arial" w:hAnsi="Arial" w:cs="Arial"/>
          <w:sz w:val="24"/>
          <w:szCs w:val="24"/>
          <w:lang w:val="en-GB"/>
        </w:rPr>
        <w:t>0.45 with the immune-related gene signature-based risk score (Figure 3</w:t>
      </w:r>
      <w:r w:rsidR="00E85B2F" w:rsidRPr="00F83C46">
        <w:rPr>
          <w:rFonts w:ascii="Arial" w:hAnsi="Arial" w:cs="Arial" w:hint="eastAsia"/>
          <w:sz w:val="24"/>
          <w:szCs w:val="24"/>
          <w:lang w:val="en-GB"/>
        </w:rPr>
        <w:t>I</w:t>
      </w:r>
      <w:r w:rsidR="001809B7" w:rsidRPr="00F83C46">
        <w:rPr>
          <w:rFonts w:ascii="Arial" w:hAnsi="Arial" w:cs="Arial"/>
          <w:sz w:val="24"/>
          <w:szCs w:val="24"/>
          <w:lang w:val="en-GB"/>
        </w:rPr>
        <w:t xml:space="preserve">). TNF-α </w:t>
      </w:r>
      <w:r w:rsidR="002141FB" w:rsidRPr="00F83C46">
        <w:rPr>
          <w:rFonts w:ascii="Arial" w:hAnsi="Arial" w:cs="Arial"/>
          <w:sz w:val="24"/>
          <w:szCs w:val="24"/>
          <w:lang w:val="en-GB"/>
        </w:rPr>
        <w:t>signalling</w:t>
      </w:r>
      <w:r w:rsidR="001809B7" w:rsidRPr="00F83C46">
        <w:rPr>
          <w:rFonts w:ascii="Arial" w:hAnsi="Arial" w:cs="Arial"/>
          <w:sz w:val="24"/>
          <w:szCs w:val="24"/>
          <w:lang w:val="en-GB"/>
        </w:rPr>
        <w:t xml:space="preserve"> via NF-KB, which</w:t>
      </w:r>
      <w:r w:rsidR="00926A2B" w:rsidRPr="00F83C46">
        <w:rPr>
          <w:rFonts w:ascii="Arial" w:eastAsia="宋体" w:hAnsi="Arial" w:cs="Arial"/>
          <w:sz w:val="24"/>
          <w:szCs w:val="24"/>
          <w:lang w:val="en-GB"/>
        </w:rPr>
        <w:t xml:space="preserve"> is involved</w:t>
      </w:r>
      <w:r w:rsidR="001809B7" w:rsidRPr="00F83C46">
        <w:rPr>
          <w:rFonts w:ascii="Arial" w:hAnsi="Arial" w:cs="Arial"/>
          <w:sz w:val="24"/>
          <w:szCs w:val="24"/>
          <w:lang w:val="en-GB"/>
        </w:rPr>
        <w:t xml:space="preserve"> in the metastasis and angiogenesis of LUAD, had</w:t>
      </w:r>
      <w:r w:rsidR="00926A2B" w:rsidRPr="00F83C46">
        <w:rPr>
          <w:rFonts w:ascii="Arial" w:eastAsia="宋体" w:hAnsi="Arial" w:cs="Arial"/>
          <w:sz w:val="24"/>
          <w:szCs w:val="24"/>
          <w:lang w:val="en-GB"/>
        </w:rPr>
        <w:t xml:space="preserve"> a</w:t>
      </w:r>
      <w:r w:rsidR="001809B7" w:rsidRPr="00F83C46">
        <w:rPr>
          <w:rFonts w:ascii="Arial" w:hAnsi="Arial" w:cs="Arial"/>
          <w:sz w:val="24"/>
          <w:szCs w:val="24"/>
          <w:lang w:val="en-GB"/>
        </w:rPr>
        <w:t xml:space="preserve"> coefficient </w:t>
      </w:r>
      <w:r w:rsidR="00926A2B" w:rsidRPr="00F83C46">
        <w:rPr>
          <w:rFonts w:ascii="Arial" w:eastAsia="宋体" w:hAnsi="Arial" w:cs="Arial"/>
          <w:sz w:val="24"/>
          <w:szCs w:val="24"/>
          <w:lang w:val="en-GB"/>
        </w:rPr>
        <w:t xml:space="preserve">of </w:t>
      </w:r>
      <w:r w:rsidR="001809B7" w:rsidRPr="00F83C46">
        <w:rPr>
          <w:rFonts w:ascii="Arial" w:hAnsi="Arial" w:cs="Arial"/>
          <w:sz w:val="24"/>
          <w:szCs w:val="24"/>
          <w:lang w:val="en-GB"/>
        </w:rPr>
        <w:t xml:space="preserve">0.43 with the immune gene signature (Figure </w:t>
      </w:r>
      <w:r w:rsidR="004156C7" w:rsidRPr="00F83C46">
        <w:rPr>
          <w:rFonts w:ascii="Arial" w:hAnsi="Arial" w:cs="Arial"/>
          <w:sz w:val="24"/>
          <w:szCs w:val="24"/>
          <w:lang w:val="en-GB"/>
        </w:rPr>
        <w:t>3</w:t>
      </w:r>
      <w:r w:rsidR="001809B7" w:rsidRPr="00F83C46">
        <w:rPr>
          <w:rFonts w:ascii="Arial" w:hAnsi="Arial" w:cs="Arial"/>
          <w:sz w:val="24"/>
          <w:szCs w:val="24"/>
          <w:lang w:val="en-GB"/>
        </w:rPr>
        <w:t xml:space="preserve">J). </w:t>
      </w:r>
      <w:r w:rsidR="00BC2D8C" w:rsidRPr="00F83C46">
        <w:rPr>
          <w:rFonts w:ascii="Arial" w:hAnsi="Arial" w:cs="Arial"/>
          <w:sz w:val="24"/>
          <w:szCs w:val="24"/>
          <w:lang w:val="en-GB"/>
        </w:rPr>
        <w:t>To further identify the potential role of the immune-related signature</w:t>
      </w:r>
      <w:r w:rsidR="002646D5" w:rsidRPr="00F83C46">
        <w:rPr>
          <w:rFonts w:ascii="Arial" w:hAnsi="Arial" w:cs="Arial" w:hint="eastAsia"/>
          <w:sz w:val="24"/>
          <w:szCs w:val="24"/>
          <w:lang w:val="en-GB"/>
        </w:rPr>
        <w:t>-based</w:t>
      </w:r>
      <w:r w:rsidR="002646D5" w:rsidRPr="00F83C46">
        <w:rPr>
          <w:rFonts w:ascii="Arial" w:hAnsi="Arial" w:cs="Arial"/>
          <w:sz w:val="24"/>
          <w:szCs w:val="24"/>
          <w:lang w:val="en-GB"/>
        </w:rPr>
        <w:t xml:space="preserve"> risk score</w:t>
      </w:r>
      <w:r w:rsidR="004C21E9" w:rsidRPr="00F83C46">
        <w:rPr>
          <w:rFonts w:ascii="Arial" w:hAnsi="Arial" w:cs="Arial"/>
          <w:sz w:val="24"/>
          <w:szCs w:val="24"/>
          <w:lang w:val="en-GB"/>
        </w:rPr>
        <w:t xml:space="preserve"> in LUAD, we also performed ssGSEA in CCLE </w:t>
      </w:r>
      <w:r w:rsidR="00353A45" w:rsidRPr="00F83C46">
        <w:rPr>
          <w:rFonts w:ascii="Arial" w:hAnsi="Arial" w:cs="Arial"/>
          <w:sz w:val="24"/>
          <w:szCs w:val="24"/>
          <w:lang w:val="en-GB"/>
        </w:rPr>
        <w:t>l</w:t>
      </w:r>
      <w:r w:rsidR="004C21E9" w:rsidRPr="00F83C46">
        <w:rPr>
          <w:rFonts w:ascii="Arial" w:hAnsi="Arial" w:cs="Arial"/>
          <w:sz w:val="24"/>
          <w:szCs w:val="24"/>
          <w:lang w:val="en-GB"/>
        </w:rPr>
        <w:t xml:space="preserve">ung cancer cell lines (Figure 4A). </w:t>
      </w:r>
      <w:r w:rsidR="00353A45" w:rsidRPr="00F83C46">
        <w:rPr>
          <w:rFonts w:ascii="Arial" w:hAnsi="Arial" w:cs="Arial"/>
          <w:sz w:val="24"/>
          <w:szCs w:val="24"/>
          <w:lang w:val="en-GB"/>
        </w:rPr>
        <w:t xml:space="preserve">The </w:t>
      </w:r>
      <w:r w:rsidR="00926A2B" w:rsidRPr="00F83C46">
        <w:rPr>
          <w:rFonts w:ascii="Arial" w:eastAsia="宋体" w:hAnsi="Arial" w:cs="Arial"/>
          <w:sz w:val="24"/>
          <w:szCs w:val="24"/>
          <w:lang w:val="en-GB"/>
        </w:rPr>
        <w:t>Spearman’s</w:t>
      </w:r>
      <w:r w:rsidR="004C21E9" w:rsidRPr="00F83C46">
        <w:rPr>
          <w:rFonts w:ascii="Arial" w:hAnsi="Arial" w:cs="Arial"/>
          <w:sz w:val="24"/>
          <w:szCs w:val="24"/>
          <w:lang w:val="en-GB"/>
        </w:rPr>
        <w:t xml:space="preserve"> test revealed </w:t>
      </w:r>
      <w:r w:rsidR="00926A2B" w:rsidRPr="00F83C46">
        <w:rPr>
          <w:rFonts w:ascii="Arial" w:eastAsia="宋体" w:hAnsi="Arial" w:cs="Arial"/>
          <w:sz w:val="24"/>
          <w:szCs w:val="24"/>
          <w:lang w:val="en-GB"/>
        </w:rPr>
        <w:t xml:space="preserve">a </w:t>
      </w:r>
      <w:r w:rsidR="004C21E9" w:rsidRPr="00F83C46">
        <w:rPr>
          <w:rFonts w:ascii="Arial" w:hAnsi="Arial" w:cs="Arial"/>
          <w:sz w:val="24"/>
          <w:szCs w:val="24"/>
          <w:lang w:val="en-GB"/>
        </w:rPr>
        <w:t>high correlation between the immune-related gene signature</w:t>
      </w:r>
      <w:r w:rsidR="002646D5" w:rsidRPr="00F83C46">
        <w:rPr>
          <w:rFonts w:ascii="Arial" w:hAnsi="Arial" w:cs="Arial" w:hint="eastAsia"/>
          <w:sz w:val="24"/>
          <w:szCs w:val="24"/>
          <w:lang w:val="en-GB"/>
        </w:rPr>
        <w:t>-based</w:t>
      </w:r>
      <w:r w:rsidR="002646D5" w:rsidRPr="00F83C46">
        <w:rPr>
          <w:rFonts w:ascii="Arial" w:hAnsi="Arial" w:cs="Arial"/>
          <w:sz w:val="24"/>
          <w:szCs w:val="24"/>
          <w:lang w:val="en-GB"/>
        </w:rPr>
        <w:t xml:space="preserve"> risk score</w:t>
      </w:r>
      <w:r w:rsidR="004C21E9" w:rsidRPr="00F83C46">
        <w:rPr>
          <w:rFonts w:ascii="Arial" w:hAnsi="Arial" w:cs="Arial"/>
          <w:sz w:val="24"/>
          <w:szCs w:val="24"/>
          <w:lang w:val="en-GB"/>
        </w:rPr>
        <w:t xml:space="preserve"> and TNF-α </w:t>
      </w:r>
      <w:r w:rsidR="002141FB" w:rsidRPr="00F83C46">
        <w:rPr>
          <w:rFonts w:ascii="Arial" w:hAnsi="Arial" w:cs="Arial"/>
          <w:sz w:val="24"/>
          <w:szCs w:val="24"/>
          <w:lang w:val="en-GB"/>
        </w:rPr>
        <w:t>signalling</w:t>
      </w:r>
      <w:r w:rsidR="004C21E9" w:rsidRPr="00F83C46">
        <w:rPr>
          <w:rFonts w:ascii="Arial" w:hAnsi="Arial" w:cs="Arial"/>
          <w:sz w:val="24"/>
          <w:szCs w:val="24"/>
          <w:lang w:val="en-GB"/>
        </w:rPr>
        <w:t xml:space="preserve"> via NF-kB or immune-related pathways, which further confirmed the findings in TCGA tumour tissues (Figure 4B-4C).</w:t>
      </w:r>
    </w:p>
    <w:p w14:paraId="41A19CDE" w14:textId="4685115D" w:rsidR="00217209" w:rsidRPr="00F83C46" w:rsidRDefault="00FA6AC2" w:rsidP="00217209">
      <w:pPr>
        <w:rPr>
          <w:rFonts w:ascii="Arial" w:hAnsi="Arial" w:cs="Arial"/>
          <w:b/>
          <w:bCs/>
          <w:sz w:val="24"/>
          <w:szCs w:val="24"/>
          <w:lang w:val="en-GB"/>
        </w:rPr>
      </w:pPr>
      <w:r w:rsidRPr="00F83C46">
        <w:rPr>
          <w:rFonts w:ascii="Arial" w:hAnsi="Arial" w:cs="Arial"/>
          <w:b/>
          <w:bCs/>
          <w:sz w:val="24"/>
          <w:szCs w:val="24"/>
          <w:lang w:val="en-GB"/>
        </w:rPr>
        <w:lastRenderedPageBreak/>
        <w:t xml:space="preserve">3.3 </w:t>
      </w:r>
      <w:r w:rsidR="00926A2B" w:rsidRPr="00F83C46">
        <w:rPr>
          <w:rFonts w:ascii="Arial" w:hAnsi="Arial" w:cs="Arial"/>
          <w:b/>
          <w:bCs/>
          <w:sz w:val="24"/>
          <w:szCs w:val="24"/>
          <w:lang w:val="en-GB"/>
        </w:rPr>
        <w:t>Construction of four classifiers for identifying the immune status</w:t>
      </w:r>
    </w:p>
    <w:p w14:paraId="4CF0816A" w14:textId="7825A158" w:rsidR="00217209" w:rsidRPr="00F83C46" w:rsidRDefault="00926A2B" w:rsidP="00044503">
      <w:pPr>
        <w:ind w:firstLine="420"/>
        <w:rPr>
          <w:rFonts w:ascii="Arial" w:hAnsi="Arial" w:cs="Arial"/>
          <w:sz w:val="24"/>
          <w:szCs w:val="24"/>
          <w:lang w:val="en-GB"/>
        </w:rPr>
      </w:pPr>
      <w:r w:rsidRPr="00F83C46">
        <w:rPr>
          <w:rFonts w:ascii="Arial" w:hAnsi="Arial" w:cs="Arial"/>
          <w:sz w:val="24"/>
          <w:szCs w:val="24"/>
          <w:lang w:val="en-GB"/>
        </w:rPr>
        <w:t xml:space="preserve">The early-stage LUAD cohort was </w:t>
      </w:r>
      <w:r w:rsidR="00353A45" w:rsidRPr="00F83C46">
        <w:rPr>
          <w:rFonts w:ascii="Arial" w:hAnsi="Arial" w:cs="Arial"/>
          <w:sz w:val="24"/>
          <w:szCs w:val="24"/>
          <w:lang w:val="en-GB"/>
        </w:rPr>
        <w:t>randomly divided</w:t>
      </w:r>
      <w:r w:rsidRPr="00F83C46">
        <w:rPr>
          <w:rFonts w:ascii="Arial" w:hAnsi="Arial" w:cs="Arial"/>
          <w:sz w:val="24"/>
          <w:szCs w:val="24"/>
          <w:lang w:val="en-GB"/>
        </w:rPr>
        <w:t xml:space="preserve"> into training and testing data sets. Four classifiers</w:t>
      </w:r>
      <w:r w:rsidRPr="00F83C46">
        <w:rPr>
          <w:rFonts w:ascii="Arial" w:eastAsia="宋体" w:hAnsi="Arial" w:cs="Arial"/>
          <w:sz w:val="24"/>
          <w:szCs w:val="24"/>
          <w:lang w:val="en-GB"/>
        </w:rPr>
        <w:t>,</w:t>
      </w:r>
      <w:r w:rsidRPr="00F83C46">
        <w:rPr>
          <w:rFonts w:ascii="Arial" w:hAnsi="Arial" w:cs="Arial"/>
          <w:sz w:val="24"/>
          <w:szCs w:val="24"/>
          <w:lang w:val="en-GB"/>
        </w:rPr>
        <w:t xml:space="preserve"> which included naive Bayes</w:t>
      </w:r>
      <w:r w:rsidRPr="00F83C46">
        <w:rPr>
          <w:rFonts w:ascii="Arial" w:eastAsia="宋体" w:hAnsi="Arial" w:cs="Arial"/>
          <w:sz w:val="24"/>
          <w:szCs w:val="24"/>
          <w:lang w:val="en-GB"/>
        </w:rPr>
        <w:t>,</w:t>
      </w:r>
      <w:r w:rsidRPr="00F83C46">
        <w:rPr>
          <w:rFonts w:ascii="Arial" w:hAnsi="Arial" w:cs="Arial"/>
          <w:sz w:val="24"/>
          <w:szCs w:val="24"/>
          <w:lang w:val="en-GB"/>
        </w:rPr>
        <w:t xml:space="preserve"> random forest, support vector machine</w:t>
      </w:r>
      <w:r w:rsidR="00757605" w:rsidRPr="00F83C46">
        <w:rPr>
          <w:rFonts w:ascii="Arial" w:hAnsi="Arial" w:cs="Arial"/>
          <w:sz w:val="24"/>
          <w:szCs w:val="24"/>
          <w:lang w:val="en-GB"/>
        </w:rPr>
        <w:t>,</w:t>
      </w:r>
      <w:r w:rsidRPr="00F83C46">
        <w:rPr>
          <w:rFonts w:ascii="Arial" w:hAnsi="Arial" w:cs="Arial"/>
          <w:sz w:val="24"/>
          <w:szCs w:val="24"/>
          <w:lang w:val="en-GB"/>
        </w:rPr>
        <w:t xml:space="preserve"> and </w:t>
      </w:r>
      <w:r w:rsidR="00440A53" w:rsidRPr="00F83C46">
        <w:rPr>
          <w:rFonts w:ascii="Arial" w:hAnsi="Arial" w:cs="Arial"/>
          <w:sz w:val="24"/>
          <w:szCs w:val="24"/>
          <w:lang w:val="en-GB"/>
        </w:rPr>
        <w:t>neural network-based deep learning</w:t>
      </w:r>
      <w:r w:rsidRPr="00F83C46">
        <w:rPr>
          <w:rFonts w:ascii="Arial" w:eastAsia="宋体" w:hAnsi="Arial" w:cs="Arial"/>
          <w:sz w:val="24"/>
          <w:szCs w:val="24"/>
          <w:lang w:val="en-GB"/>
        </w:rPr>
        <w:t>,</w:t>
      </w:r>
      <w:r w:rsidRPr="00F83C46">
        <w:rPr>
          <w:rFonts w:ascii="Arial" w:hAnsi="Arial" w:cs="Arial"/>
          <w:sz w:val="24"/>
          <w:szCs w:val="24"/>
          <w:lang w:val="en-GB"/>
        </w:rPr>
        <w:t xml:space="preserve"> were trained based on the transcriptome data of the immune-related gene signature (Figure 5A). The confusion matrix depicted the prediction accuracy of the </w:t>
      </w:r>
      <w:r w:rsidR="006C03F1" w:rsidRPr="00F83C46">
        <w:rPr>
          <w:rFonts w:ascii="Arial" w:hAnsi="Arial" w:cs="Arial"/>
          <w:sz w:val="24"/>
          <w:szCs w:val="24"/>
          <w:lang w:val="en-GB"/>
        </w:rPr>
        <w:t xml:space="preserve">three </w:t>
      </w:r>
      <w:r w:rsidRPr="00F83C46">
        <w:rPr>
          <w:rFonts w:ascii="Arial" w:hAnsi="Arial" w:cs="Arial"/>
          <w:sz w:val="24"/>
          <w:szCs w:val="24"/>
          <w:lang w:val="en-GB"/>
        </w:rPr>
        <w:t xml:space="preserve">classifiers in the testing data set. </w:t>
      </w:r>
      <w:r w:rsidR="00CB1FB6" w:rsidRPr="00F83C46">
        <w:rPr>
          <w:rFonts w:ascii="Arial" w:hAnsi="Arial" w:cs="Arial"/>
          <w:sz w:val="24"/>
          <w:szCs w:val="24"/>
          <w:lang w:val="en-GB"/>
        </w:rPr>
        <w:t>Figure</w:t>
      </w:r>
      <w:r w:rsidRPr="00F83C46">
        <w:rPr>
          <w:rFonts w:ascii="Arial" w:hAnsi="Arial" w:cs="Arial"/>
          <w:sz w:val="24"/>
          <w:szCs w:val="24"/>
          <w:lang w:val="en-GB"/>
        </w:rPr>
        <w:t xml:space="preserve"> 5B </w:t>
      </w:r>
      <w:r w:rsidRPr="00F83C46">
        <w:rPr>
          <w:rFonts w:ascii="Arial" w:eastAsia="宋体" w:hAnsi="Arial" w:cs="Arial"/>
          <w:sz w:val="24"/>
          <w:szCs w:val="24"/>
          <w:lang w:val="en-GB"/>
        </w:rPr>
        <w:t>illustrates</w:t>
      </w:r>
      <w:r w:rsidRPr="00F83C46">
        <w:rPr>
          <w:rFonts w:ascii="Arial" w:hAnsi="Arial" w:cs="Arial"/>
          <w:sz w:val="24"/>
          <w:szCs w:val="24"/>
          <w:lang w:val="en-GB"/>
        </w:rPr>
        <w:t xml:space="preserve"> the accuracy of </w:t>
      </w:r>
      <w:r w:rsidRPr="00F83C46">
        <w:rPr>
          <w:rFonts w:ascii="Arial" w:eastAsia="宋体" w:hAnsi="Arial" w:cs="Arial"/>
          <w:sz w:val="24"/>
          <w:szCs w:val="24"/>
          <w:lang w:val="en-GB"/>
        </w:rPr>
        <w:t xml:space="preserve">the </w:t>
      </w:r>
      <w:r w:rsidRPr="00F83C46">
        <w:rPr>
          <w:rFonts w:ascii="Arial" w:hAnsi="Arial" w:cs="Arial"/>
          <w:sz w:val="24"/>
          <w:szCs w:val="24"/>
          <w:lang w:val="en-GB"/>
        </w:rPr>
        <w:t xml:space="preserve">random forest classifier. The average prediction accuracy of the four classifiers was above 0.8 in the testing set, indicating robust efficiency </w:t>
      </w:r>
      <w:r w:rsidR="00353A45" w:rsidRPr="00F83C46">
        <w:rPr>
          <w:rFonts w:ascii="Arial" w:hAnsi="Arial" w:cs="Arial"/>
          <w:sz w:val="24"/>
          <w:szCs w:val="24"/>
          <w:lang w:val="en-GB"/>
        </w:rPr>
        <w:t>in</w:t>
      </w:r>
      <w:r w:rsidRPr="00F83C46">
        <w:rPr>
          <w:rFonts w:ascii="Arial" w:hAnsi="Arial" w:cs="Arial"/>
          <w:sz w:val="24"/>
          <w:szCs w:val="24"/>
          <w:lang w:val="en-GB"/>
        </w:rPr>
        <w:t xml:space="preserve"> identify</w:t>
      </w:r>
      <w:r w:rsidR="00353A45" w:rsidRPr="00F83C46">
        <w:rPr>
          <w:rFonts w:ascii="Arial" w:hAnsi="Arial" w:cs="Arial"/>
          <w:sz w:val="24"/>
          <w:szCs w:val="24"/>
          <w:lang w:val="en-GB"/>
        </w:rPr>
        <w:t>ing</w:t>
      </w:r>
      <w:r w:rsidRPr="00F83C46">
        <w:rPr>
          <w:rFonts w:ascii="Arial" w:hAnsi="Arial" w:cs="Arial"/>
          <w:sz w:val="24"/>
          <w:szCs w:val="24"/>
          <w:lang w:val="en-GB"/>
        </w:rPr>
        <w:t xml:space="preserve"> different immune clusters in early-stage LUAD by the </w:t>
      </w:r>
      <w:r w:rsidR="00353A45" w:rsidRPr="00F83C46">
        <w:rPr>
          <w:rFonts w:ascii="Arial" w:hAnsi="Arial" w:cs="Arial"/>
          <w:sz w:val="24"/>
          <w:szCs w:val="24"/>
          <w:lang w:val="en-GB"/>
        </w:rPr>
        <w:t xml:space="preserve">four </w:t>
      </w:r>
      <w:r w:rsidRPr="00F83C46">
        <w:rPr>
          <w:rFonts w:ascii="Arial" w:hAnsi="Arial" w:cs="Arial"/>
          <w:sz w:val="24"/>
          <w:szCs w:val="24"/>
          <w:lang w:val="en-GB"/>
        </w:rPr>
        <w:t xml:space="preserve">classifiers (Figure 5C-5F). </w:t>
      </w:r>
      <w:r w:rsidRPr="00F83C46">
        <w:rPr>
          <w:rFonts w:ascii="Arial" w:eastAsia="宋体" w:hAnsi="Arial" w:cs="Arial"/>
          <w:sz w:val="24"/>
          <w:szCs w:val="24"/>
          <w:lang w:val="en-GB"/>
        </w:rPr>
        <w:t>The results</w:t>
      </w:r>
      <w:r w:rsidRPr="00F83C46">
        <w:rPr>
          <w:rFonts w:ascii="Arial" w:hAnsi="Arial" w:cs="Arial"/>
          <w:sz w:val="24"/>
          <w:szCs w:val="24"/>
          <w:lang w:val="en-GB"/>
        </w:rPr>
        <w:t xml:space="preserve"> above confirmed the importance of the immune-related gene signature in the immune microenvironment of early-stage LUAD. </w:t>
      </w:r>
    </w:p>
    <w:p w14:paraId="30CE370B" w14:textId="5767B5D4" w:rsidR="004C21E9" w:rsidRPr="00F83C46" w:rsidRDefault="00FA6AC2">
      <w:pPr>
        <w:rPr>
          <w:rFonts w:ascii="Arial" w:hAnsi="Arial" w:cs="Arial"/>
          <w:b/>
          <w:bCs/>
          <w:sz w:val="24"/>
          <w:szCs w:val="24"/>
          <w:lang w:val="en-GB"/>
        </w:rPr>
      </w:pPr>
      <w:r w:rsidRPr="00F83C46">
        <w:rPr>
          <w:rFonts w:ascii="Arial" w:hAnsi="Arial" w:cs="Arial"/>
          <w:b/>
          <w:bCs/>
          <w:sz w:val="24"/>
          <w:szCs w:val="24"/>
          <w:lang w:val="en-GB"/>
        </w:rPr>
        <w:t xml:space="preserve">3.4 </w:t>
      </w:r>
      <w:r w:rsidR="00353A45" w:rsidRPr="00F83C46">
        <w:rPr>
          <w:rFonts w:ascii="Arial" w:hAnsi="Arial" w:cs="Arial"/>
          <w:b/>
          <w:bCs/>
          <w:sz w:val="24"/>
          <w:szCs w:val="24"/>
          <w:lang w:val="en-GB"/>
        </w:rPr>
        <w:t>C</w:t>
      </w:r>
      <w:r w:rsidR="00F82C36" w:rsidRPr="00F83C46">
        <w:rPr>
          <w:rFonts w:ascii="Arial" w:hAnsi="Arial" w:cs="Arial"/>
          <w:b/>
          <w:bCs/>
          <w:sz w:val="24"/>
          <w:szCs w:val="24"/>
          <w:lang w:val="en-GB"/>
        </w:rPr>
        <w:t>orrelation between</w:t>
      </w:r>
      <w:r w:rsidR="00353A45" w:rsidRPr="00F83C46">
        <w:rPr>
          <w:rFonts w:ascii="Arial" w:hAnsi="Arial" w:cs="Arial"/>
          <w:b/>
          <w:bCs/>
          <w:sz w:val="24"/>
          <w:szCs w:val="24"/>
          <w:lang w:val="en-GB"/>
        </w:rPr>
        <w:t xml:space="preserve"> the</w:t>
      </w:r>
      <w:r w:rsidR="00F82C36" w:rsidRPr="00F83C46">
        <w:rPr>
          <w:rFonts w:ascii="Arial" w:hAnsi="Arial" w:cs="Arial"/>
          <w:b/>
          <w:bCs/>
          <w:sz w:val="24"/>
          <w:szCs w:val="24"/>
          <w:lang w:val="en-GB"/>
        </w:rPr>
        <w:t xml:space="preserve"> immune-related signature and somatic gene mutation</w:t>
      </w:r>
      <w:r w:rsidR="00353A45" w:rsidRPr="00F83C46">
        <w:rPr>
          <w:rFonts w:ascii="Arial" w:hAnsi="Arial" w:cs="Arial"/>
          <w:b/>
          <w:bCs/>
          <w:sz w:val="24"/>
          <w:szCs w:val="24"/>
          <w:lang w:val="en-GB"/>
        </w:rPr>
        <w:t>s</w:t>
      </w:r>
    </w:p>
    <w:p w14:paraId="0B40A3FB" w14:textId="2ADA2D05" w:rsidR="00F82C36" w:rsidRPr="00F83C46" w:rsidRDefault="00926A2B" w:rsidP="00632E35">
      <w:pPr>
        <w:ind w:firstLine="420"/>
        <w:rPr>
          <w:rFonts w:ascii="Arial" w:hAnsi="Arial" w:cs="Arial"/>
          <w:sz w:val="24"/>
          <w:szCs w:val="24"/>
          <w:lang w:val="en-GB"/>
        </w:rPr>
      </w:pPr>
      <w:r w:rsidRPr="00F83C46">
        <w:rPr>
          <w:rFonts w:ascii="Arial" w:hAnsi="Arial" w:cs="Arial"/>
          <w:sz w:val="24"/>
          <w:szCs w:val="24"/>
          <w:lang w:val="en-GB"/>
        </w:rPr>
        <w:t xml:space="preserve">The Spearman test revealed </w:t>
      </w:r>
      <w:r w:rsidRPr="00F83C46">
        <w:rPr>
          <w:rFonts w:ascii="Arial" w:eastAsia="宋体" w:hAnsi="Arial" w:cs="Arial"/>
          <w:sz w:val="24"/>
          <w:szCs w:val="24"/>
          <w:lang w:val="en-GB"/>
        </w:rPr>
        <w:t xml:space="preserve">that </w:t>
      </w:r>
      <w:r w:rsidRPr="00F83C46">
        <w:rPr>
          <w:rFonts w:ascii="Arial" w:hAnsi="Arial" w:cs="Arial"/>
          <w:sz w:val="24"/>
          <w:szCs w:val="24"/>
          <w:lang w:val="en-GB"/>
        </w:rPr>
        <w:t>the correlation coefficient was 0.15 between</w:t>
      </w:r>
      <w:r w:rsidRPr="00F83C46">
        <w:rPr>
          <w:rFonts w:ascii="Arial" w:eastAsia="宋体" w:hAnsi="Arial" w:cs="Arial"/>
          <w:sz w:val="24"/>
          <w:szCs w:val="24"/>
          <w:lang w:val="en-GB"/>
        </w:rPr>
        <w:t xml:space="preserve"> the</w:t>
      </w:r>
      <w:r w:rsidRPr="00F83C46">
        <w:rPr>
          <w:rFonts w:ascii="Arial" w:hAnsi="Arial" w:cs="Arial"/>
          <w:sz w:val="24"/>
          <w:szCs w:val="24"/>
          <w:lang w:val="en-GB"/>
        </w:rPr>
        <w:t xml:space="preserve"> immune-related gene signature</w:t>
      </w:r>
      <w:r w:rsidR="002646D5" w:rsidRPr="00F83C46">
        <w:rPr>
          <w:rFonts w:ascii="Arial" w:hAnsi="Arial" w:cs="Arial" w:hint="eastAsia"/>
          <w:sz w:val="24"/>
          <w:szCs w:val="24"/>
          <w:lang w:val="en-GB"/>
        </w:rPr>
        <w:t>-based</w:t>
      </w:r>
      <w:r w:rsidR="002646D5" w:rsidRPr="00F83C46">
        <w:rPr>
          <w:rFonts w:ascii="Arial" w:hAnsi="Arial" w:cs="Arial"/>
          <w:sz w:val="24"/>
          <w:szCs w:val="24"/>
          <w:lang w:val="en-GB"/>
        </w:rPr>
        <w:t xml:space="preserve"> risk score</w:t>
      </w:r>
      <w:r w:rsidR="00E55CC5" w:rsidRPr="00F83C46">
        <w:rPr>
          <w:rFonts w:ascii="Arial" w:hAnsi="Arial" w:cs="Arial"/>
          <w:sz w:val="24"/>
          <w:szCs w:val="24"/>
          <w:lang w:val="en-GB"/>
        </w:rPr>
        <w:t xml:space="preserve"> and total mutations (Figure 6A). </w:t>
      </w:r>
      <w:r w:rsidRPr="00F83C46">
        <w:rPr>
          <w:rFonts w:ascii="Arial" w:eastAsia="宋体" w:hAnsi="Arial" w:cs="Arial"/>
          <w:sz w:val="24"/>
          <w:szCs w:val="24"/>
          <w:lang w:val="en-GB"/>
        </w:rPr>
        <w:t>A random</w:t>
      </w:r>
      <w:r w:rsidR="00E55CC5" w:rsidRPr="00F83C46">
        <w:rPr>
          <w:rFonts w:ascii="Arial" w:hAnsi="Arial" w:cs="Arial"/>
          <w:sz w:val="24"/>
          <w:szCs w:val="24"/>
          <w:lang w:val="en-GB"/>
        </w:rPr>
        <w:t xml:space="preserve"> forest regression algorithm was used to </w:t>
      </w:r>
      <w:r w:rsidR="00197BE5" w:rsidRPr="00F83C46">
        <w:rPr>
          <w:rFonts w:ascii="Arial" w:hAnsi="Arial" w:cs="Arial"/>
          <w:sz w:val="24"/>
          <w:szCs w:val="24"/>
          <w:lang w:val="en-GB"/>
        </w:rPr>
        <w:t xml:space="preserve">identify </w:t>
      </w:r>
      <w:r w:rsidR="00E55CC5" w:rsidRPr="00F83C46">
        <w:rPr>
          <w:rFonts w:ascii="Arial" w:hAnsi="Arial" w:cs="Arial"/>
          <w:sz w:val="24"/>
          <w:szCs w:val="24"/>
          <w:lang w:val="en-GB"/>
        </w:rPr>
        <w:t xml:space="preserve">the correlation between somatic gene mutations and </w:t>
      </w:r>
      <w:r w:rsidR="00197BE5" w:rsidRPr="00F83C46">
        <w:rPr>
          <w:rFonts w:ascii="Arial" w:hAnsi="Arial" w:cs="Arial"/>
          <w:sz w:val="24"/>
          <w:szCs w:val="24"/>
          <w:lang w:val="en-GB"/>
        </w:rPr>
        <w:t xml:space="preserve">the </w:t>
      </w:r>
      <w:r w:rsidR="00E55CC5" w:rsidRPr="00F83C46">
        <w:rPr>
          <w:rFonts w:ascii="Arial" w:hAnsi="Arial" w:cs="Arial"/>
          <w:sz w:val="24"/>
          <w:szCs w:val="24"/>
          <w:lang w:val="en-GB"/>
        </w:rPr>
        <w:t xml:space="preserve">immune gene signature. </w:t>
      </w:r>
      <w:r w:rsidR="00255E32" w:rsidRPr="00F83C46">
        <w:rPr>
          <w:rFonts w:ascii="Arial" w:hAnsi="Arial" w:cs="Arial"/>
          <w:sz w:val="24"/>
          <w:szCs w:val="24"/>
          <w:lang w:val="en-GB"/>
        </w:rPr>
        <w:t>A f</w:t>
      </w:r>
      <w:r w:rsidR="00E55CC5" w:rsidRPr="00F83C46">
        <w:rPr>
          <w:rFonts w:ascii="Arial" w:hAnsi="Arial" w:cs="Arial"/>
          <w:sz w:val="24"/>
          <w:szCs w:val="24"/>
          <w:lang w:val="en-GB"/>
        </w:rPr>
        <w:t xml:space="preserve">eature importance method was applied to reveal key somatic gene </w:t>
      </w:r>
      <w:r w:rsidRPr="00F83C46">
        <w:rPr>
          <w:rFonts w:ascii="Arial" w:eastAsia="宋体" w:hAnsi="Arial" w:cs="Arial"/>
          <w:sz w:val="24"/>
          <w:szCs w:val="24"/>
          <w:lang w:val="en-GB"/>
        </w:rPr>
        <w:t>mutations that are</w:t>
      </w:r>
      <w:r w:rsidR="00E55CC5" w:rsidRPr="00F83C46">
        <w:rPr>
          <w:rFonts w:ascii="Arial" w:hAnsi="Arial" w:cs="Arial"/>
          <w:sz w:val="24"/>
          <w:szCs w:val="24"/>
          <w:lang w:val="en-GB"/>
        </w:rPr>
        <w:t xml:space="preserve"> highly associated with </w:t>
      </w:r>
      <w:r w:rsidR="00D761CA" w:rsidRPr="00F83C46">
        <w:rPr>
          <w:rFonts w:ascii="Arial" w:hAnsi="Arial" w:cs="Arial"/>
          <w:sz w:val="24"/>
          <w:szCs w:val="24"/>
          <w:lang w:val="en-GB"/>
        </w:rPr>
        <w:t xml:space="preserve">the </w:t>
      </w:r>
      <w:r w:rsidR="00E55CC5" w:rsidRPr="00F83C46">
        <w:rPr>
          <w:rFonts w:ascii="Arial" w:hAnsi="Arial" w:cs="Arial"/>
          <w:sz w:val="24"/>
          <w:szCs w:val="24"/>
          <w:lang w:val="en-GB"/>
        </w:rPr>
        <w:t>immune-related gene signature. Among the 20 most important features, TP53 is the gene mutation with the greatest feature importance (Figure 6B).</w:t>
      </w:r>
    </w:p>
    <w:p w14:paraId="53DE2802" w14:textId="31AD1AA8" w:rsidR="00E55CC5" w:rsidRPr="00F83C46" w:rsidRDefault="00FA6AC2">
      <w:pPr>
        <w:rPr>
          <w:rFonts w:ascii="Arial" w:hAnsi="Arial" w:cs="Arial"/>
          <w:b/>
          <w:bCs/>
          <w:sz w:val="24"/>
          <w:szCs w:val="24"/>
          <w:lang w:val="en-GB"/>
        </w:rPr>
      </w:pPr>
      <w:r w:rsidRPr="00F83C46">
        <w:rPr>
          <w:rFonts w:ascii="Arial" w:hAnsi="Arial" w:cs="Arial"/>
          <w:b/>
          <w:bCs/>
          <w:sz w:val="24"/>
          <w:szCs w:val="24"/>
          <w:lang w:val="en-GB"/>
        </w:rPr>
        <w:t xml:space="preserve">3.5 </w:t>
      </w:r>
      <w:bookmarkStart w:id="11" w:name="_Hlk40743383"/>
      <w:r w:rsidR="00926A2B" w:rsidRPr="00F83C46">
        <w:rPr>
          <w:rFonts w:ascii="Arial" w:hAnsi="Arial" w:cs="Arial"/>
          <w:b/>
          <w:bCs/>
          <w:sz w:val="24"/>
          <w:szCs w:val="24"/>
          <w:lang w:val="en-GB"/>
        </w:rPr>
        <w:t>Subgroup survival analysis</w:t>
      </w:r>
    </w:p>
    <w:p w14:paraId="0C445F4F" w14:textId="77777777" w:rsidR="004312C4" w:rsidRPr="00F83C46" w:rsidRDefault="004312C4" w:rsidP="004312C4">
      <w:pPr>
        <w:ind w:firstLine="420"/>
        <w:rPr>
          <w:rFonts w:ascii="Arial" w:hAnsi="Arial" w:cs="Arial"/>
          <w:sz w:val="24"/>
          <w:szCs w:val="24"/>
          <w:lang w:val="en-GB"/>
        </w:rPr>
      </w:pPr>
      <w:r w:rsidRPr="00F83C46">
        <w:rPr>
          <w:rFonts w:ascii="Arial" w:hAnsi="Arial" w:cs="Arial"/>
          <w:sz w:val="24"/>
          <w:szCs w:val="24"/>
          <w:lang w:val="en-GB"/>
        </w:rPr>
        <w:t xml:space="preserve">The immune-related signature serves as a promising marker to predict overall survival in different subgroups, including female (HR=4.94, </w:t>
      </w:r>
      <w:r>
        <w:rPr>
          <w:rFonts w:ascii="Arial" w:hAnsi="Arial" w:cs="Arial"/>
          <w:sz w:val="24"/>
          <w:szCs w:val="24"/>
          <w:lang w:val="en-GB"/>
        </w:rPr>
        <w:t xml:space="preserve">CI: 2.63-9.26, </w:t>
      </w:r>
      <w:r w:rsidRPr="00F83C46">
        <w:rPr>
          <w:rFonts w:ascii="Arial" w:hAnsi="Arial" w:cs="Arial"/>
          <w:sz w:val="24"/>
          <w:szCs w:val="24"/>
          <w:lang w:val="en-GB"/>
        </w:rPr>
        <w:t xml:space="preserve">p&lt;0.001), male (HR=3.79, </w:t>
      </w:r>
      <w:r>
        <w:rPr>
          <w:rFonts w:ascii="Arial" w:hAnsi="Arial" w:cs="Arial"/>
          <w:sz w:val="24"/>
          <w:szCs w:val="24"/>
          <w:lang w:val="en-GB"/>
        </w:rPr>
        <w:t>CI: 1.8-8,</w:t>
      </w:r>
      <w:r w:rsidRPr="00F83C46">
        <w:rPr>
          <w:rFonts w:ascii="Arial" w:hAnsi="Arial" w:cs="Arial"/>
          <w:sz w:val="24"/>
          <w:szCs w:val="24"/>
          <w:lang w:val="en-GB"/>
        </w:rPr>
        <w:t xml:space="preserve"> p&lt;0.001), KRAS-wild type (KRAS-WT) (HR=5.2, </w:t>
      </w:r>
      <w:r>
        <w:rPr>
          <w:rFonts w:ascii="Arial" w:hAnsi="Arial" w:cs="Arial"/>
          <w:sz w:val="24"/>
          <w:szCs w:val="24"/>
          <w:lang w:val="en-GB"/>
        </w:rPr>
        <w:t>CI: 2.23-12.04,</w:t>
      </w:r>
      <w:r w:rsidRPr="00F83C46">
        <w:rPr>
          <w:rFonts w:ascii="Arial" w:hAnsi="Arial" w:cs="Arial"/>
          <w:sz w:val="24"/>
          <w:szCs w:val="24"/>
          <w:lang w:val="en-GB"/>
        </w:rPr>
        <w:t xml:space="preserve"> p&lt;0.001) and KRAS-mutated (KRAS-Mut) (HR=5.18, </w:t>
      </w:r>
      <w:r>
        <w:rPr>
          <w:rFonts w:ascii="Arial" w:hAnsi="Arial" w:cs="Arial"/>
          <w:sz w:val="24"/>
          <w:szCs w:val="24"/>
          <w:lang w:val="en-GB"/>
        </w:rPr>
        <w:t>CI: 2.23-12.04,</w:t>
      </w:r>
      <w:r w:rsidRPr="00F83C46">
        <w:rPr>
          <w:rFonts w:ascii="Arial" w:hAnsi="Arial" w:cs="Arial"/>
          <w:sz w:val="24"/>
          <w:szCs w:val="24"/>
          <w:lang w:val="en-GB"/>
        </w:rPr>
        <w:t xml:space="preserve"> p&lt;0.001), EGFR-wild-type (EGFR-WT) (HR=4.75, </w:t>
      </w:r>
      <w:r>
        <w:rPr>
          <w:rFonts w:ascii="Arial" w:hAnsi="Arial" w:cs="Arial"/>
          <w:sz w:val="24"/>
          <w:szCs w:val="24"/>
          <w:lang w:val="en-GB"/>
        </w:rPr>
        <w:t>CI: 2.6-8.69,</w:t>
      </w:r>
      <w:r w:rsidRPr="00F83C46">
        <w:rPr>
          <w:rFonts w:ascii="Arial" w:hAnsi="Arial" w:cs="Arial"/>
          <w:sz w:val="24"/>
          <w:szCs w:val="24"/>
          <w:lang w:val="en-GB"/>
        </w:rPr>
        <w:t xml:space="preserve"> p&lt;0.001), EGFR-mutated (EGFR-Mut) (HR=3.05, </w:t>
      </w:r>
      <w:r>
        <w:rPr>
          <w:rFonts w:ascii="Arial" w:hAnsi="Arial" w:cs="Arial"/>
          <w:sz w:val="24"/>
          <w:szCs w:val="24"/>
          <w:lang w:val="en-GB"/>
        </w:rPr>
        <w:t>CI: 0.95-9.78,</w:t>
      </w:r>
      <w:r w:rsidRPr="00F83C46">
        <w:rPr>
          <w:rFonts w:ascii="Arial" w:hAnsi="Arial" w:cs="Arial"/>
          <w:sz w:val="24"/>
          <w:szCs w:val="24"/>
          <w:lang w:val="en-GB"/>
        </w:rPr>
        <w:t xml:space="preserve"> p=0.061), stage I (HR=4.81, </w:t>
      </w:r>
      <w:r>
        <w:rPr>
          <w:rFonts w:ascii="Arial" w:hAnsi="Arial" w:cs="Arial"/>
          <w:sz w:val="24"/>
          <w:szCs w:val="24"/>
          <w:lang w:val="en-GB"/>
        </w:rPr>
        <w:t>CI: 2.66-8.72,</w:t>
      </w:r>
      <w:r w:rsidRPr="00F83C46">
        <w:rPr>
          <w:rFonts w:ascii="Arial" w:hAnsi="Arial" w:cs="Arial"/>
          <w:sz w:val="24"/>
          <w:szCs w:val="24"/>
          <w:lang w:val="en-GB"/>
        </w:rPr>
        <w:t xml:space="preserve"> p&lt;0.001), stage II (HR=6.82, </w:t>
      </w:r>
      <w:r>
        <w:rPr>
          <w:rFonts w:ascii="Arial" w:hAnsi="Arial" w:cs="Arial"/>
          <w:sz w:val="24"/>
          <w:szCs w:val="24"/>
          <w:lang w:val="en-GB"/>
        </w:rPr>
        <w:t>CI: 1.64-28.36,</w:t>
      </w:r>
      <w:r w:rsidRPr="00F83C46">
        <w:rPr>
          <w:rFonts w:ascii="Arial" w:hAnsi="Arial" w:cs="Arial"/>
          <w:sz w:val="24"/>
          <w:szCs w:val="24"/>
          <w:lang w:val="en-GB"/>
        </w:rPr>
        <w:t xml:space="preserve"> p=0.008), old (&gt;60) (HR=5.9, </w:t>
      </w:r>
      <w:r>
        <w:rPr>
          <w:rFonts w:ascii="Arial" w:hAnsi="Arial" w:cs="Arial"/>
          <w:sz w:val="24"/>
          <w:szCs w:val="24"/>
          <w:lang w:val="en-GB"/>
        </w:rPr>
        <w:t>CI: 2.42-14.41</w:t>
      </w:r>
      <w:r w:rsidRPr="00F83C46">
        <w:rPr>
          <w:rFonts w:ascii="Arial" w:hAnsi="Arial" w:cs="Arial"/>
          <w:sz w:val="24"/>
          <w:szCs w:val="24"/>
          <w:lang w:val="en-GB"/>
        </w:rPr>
        <w:t xml:space="preserve"> p&lt;0.001), young (&lt;60) (HR=4.14, </w:t>
      </w:r>
      <w:r>
        <w:rPr>
          <w:rFonts w:ascii="Arial" w:hAnsi="Arial" w:cs="Arial"/>
          <w:sz w:val="24"/>
          <w:szCs w:val="24"/>
          <w:lang w:val="en-GB"/>
        </w:rPr>
        <w:t>CI: 2.31-7.4,</w:t>
      </w:r>
      <w:r w:rsidRPr="00F83C46">
        <w:rPr>
          <w:rFonts w:ascii="Arial" w:hAnsi="Arial" w:cs="Arial"/>
          <w:sz w:val="24"/>
          <w:szCs w:val="24"/>
          <w:lang w:val="en-GB"/>
        </w:rPr>
        <w:t xml:space="preserve"> p&lt;0.001), TP53-wild type (TP53-WT) (HR=5.9, </w:t>
      </w:r>
      <w:r>
        <w:rPr>
          <w:rFonts w:ascii="Arial" w:hAnsi="Arial" w:cs="Arial"/>
          <w:sz w:val="24"/>
          <w:szCs w:val="24"/>
          <w:lang w:val="en-GB"/>
        </w:rPr>
        <w:t>CI: 2.28-10.7,</w:t>
      </w:r>
      <w:r w:rsidRPr="00F83C46">
        <w:rPr>
          <w:rFonts w:ascii="Arial" w:hAnsi="Arial" w:cs="Arial"/>
          <w:sz w:val="24"/>
          <w:szCs w:val="24"/>
          <w:lang w:val="en-GB"/>
        </w:rPr>
        <w:t xml:space="preserve"> p&lt;0.001) and TP53-mutated (TP53-Mut) (HR=3.72, </w:t>
      </w:r>
      <w:r>
        <w:rPr>
          <w:rFonts w:ascii="Arial" w:hAnsi="Arial" w:cs="Arial"/>
          <w:sz w:val="24"/>
          <w:szCs w:val="24"/>
          <w:lang w:val="en-GB"/>
        </w:rPr>
        <w:t>CI: 2.1-6.61,</w:t>
      </w:r>
      <w:r w:rsidRPr="00F83C46">
        <w:rPr>
          <w:rFonts w:ascii="Arial" w:hAnsi="Arial" w:cs="Arial"/>
          <w:sz w:val="24"/>
          <w:szCs w:val="24"/>
          <w:lang w:val="en-GB"/>
        </w:rPr>
        <w:t xml:space="preserve"> p&lt;0.001) patients (Figure 7).</w:t>
      </w:r>
    </w:p>
    <w:bookmarkEnd w:id="11"/>
    <w:p w14:paraId="22345D4F" w14:textId="0BBCBE27" w:rsidR="00C21F6C" w:rsidRPr="00F83C46" w:rsidRDefault="00FA6AC2" w:rsidP="00C21F6C">
      <w:pPr>
        <w:rPr>
          <w:rFonts w:ascii="Arial" w:hAnsi="Arial" w:cs="Arial"/>
          <w:b/>
          <w:bCs/>
          <w:sz w:val="24"/>
          <w:szCs w:val="24"/>
          <w:lang w:val="en-GB"/>
        </w:rPr>
      </w:pPr>
      <w:r w:rsidRPr="00F83C46">
        <w:rPr>
          <w:rFonts w:ascii="Arial" w:hAnsi="Arial" w:cs="Arial"/>
          <w:b/>
          <w:bCs/>
          <w:sz w:val="24"/>
          <w:szCs w:val="24"/>
          <w:lang w:val="en-GB"/>
        </w:rPr>
        <w:t xml:space="preserve">3.6 </w:t>
      </w:r>
      <w:r w:rsidR="00926A2B" w:rsidRPr="00F83C46">
        <w:rPr>
          <w:rFonts w:ascii="Arial" w:hAnsi="Arial" w:cs="Arial"/>
          <w:b/>
          <w:bCs/>
          <w:sz w:val="24"/>
          <w:szCs w:val="24"/>
          <w:lang w:val="en-GB"/>
        </w:rPr>
        <w:t>Risk stratification of early-stage LUAD patients by decision tree and nomogram</w:t>
      </w:r>
    </w:p>
    <w:p w14:paraId="4DEC5ECA" w14:textId="1E830120" w:rsidR="00C21F6C" w:rsidRPr="00F83C46" w:rsidRDefault="00A723F5" w:rsidP="000F520E">
      <w:pPr>
        <w:ind w:firstLine="210"/>
        <w:rPr>
          <w:rFonts w:ascii="Arial" w:hAnsi="Arial" w:cs="Arial"/>
          <w:sz w:val="24"/>
          <w:szCs w:val="24"/>
          <w:lang w:val="en-GB"/>
        </w:rPr>
      </w:pPr>
      <w:r>
        <w:rPr>
          <w:rFonts w:ascii="Arial" w:hAnsi="Arial" w:cs="Arial"/>
          <w:sz w:val="24"/>
          <w:szCs w:val="24"/>
          <w:lang w:val="en-GB"/>
        </w:rPr>
        <w:t>The transcriptome data from patients who did not receive immunotherapy were used to predict the response to immunotherapy by TIDE.</w:t>
      </w:r>
      <w:r>
        <w:rPr>
          <w:rFonts w:ascii="Arial" w:hAnsi="Arial" w:cs="Arial" w:hint="eastAsia"/>
          <w:sz w:val="24"/>
          <w:szCs w:val="24"/>
          <w:lang w:val="en-GB"/>
        </w:rPr>
        <w:t xml:space="preserve"> </w:t>
      </w:r>
      <w:r w:rsidRPr="00F83C46">
        <w:rPr>
          <w:rFonts w:ascii="Arial" w:hAnsi="Arial" w:cs="Arial"/>
          <w:sz w:val="24"/>
          <w:szCs w:val="24"/>
          <w:lang w:val="en-GB"/>
        </w:rPr>
        <w:t xml:space="preserve">Sankey </w:t>
      </w:r>
      <w:r w:rsidRPr="00F83C46">
        <w:rPr>
          <w:rFonts w:ascii="Arial" w:eastAsia="宋体" w:hAnsi="Arial" w:cs="Arial"/>
          <w:sz w:val="24"/>
          <w:szCs w:val="24"/>
          <w:lang w:val="en-GB"/>
        </w:rPr>
        <w:t>plots</w:t>
      </w:r>
      <w:r w:rsidRPr="00F83C46">
        <w:rPr>
          <w:rFonts w:ascii="Arial" w:hAnsi="Arial" w:cs="Arial"/>
          <w:sz w:val="24"/>
          <w:szCs w:val="24"/>
          <w:lang w:val="en-GB"/>
        </w:rPr>
        <w:t xml:space="preserve"> showed </w:t>
      </w:r>
      <w:r w:rsidRPr="00F83C46">
        <w:rPr>
          <w:rFonts w:ascii="Arial" w:eastAsia="宋体" w:hAnsi="Arial" w:cs="Arial"/>
          <w:sz w:val="24"/>
          <w:szCs w:val="24"/>
          <w:lang w:val="en-GB"/>
        </w:rPr>
        <w:t xml:space="preserve">that </w:t>
      </w:r>
      <w:r w:rsidRPr="00F83C46">
        <w:rPr>
          <w:rFonts w:ascii="Arial" w:hAnsi="Arial" w:cs="Arial"/>
          <w:sz w:val="24"/>
          <w:szCs w:val="24"/>
          <w:lang w:val="en-GB"/>
        </w:rPr>
        <w:t xml:space="preserve">patients with high immune-related signature-based risk scores had poor </w:t>
      </w:r>
      <w:r w:rsidRPr="00F83C46">
        <w:rPr>
          <w:rFonts w:ascii="Arial" w:eastAsia="宋体" w:hAnsi="Arial" w:cs="Arial"/>
          <w:sz w:val="24"/>
          <w:szCs w:val="24"/>
          <w:lang w:val="en-GB"/>
        </w:rPr>
        <w:t>responses</w:t>
      </w:r>
      <w:r w:rsidRPr="00F83C46">
        <w:rPr>
          <w:rFonts w:ascii="Arial" w:hAnsi="Arial" w:cs="Arial"/>
          <w:sz w:val="24"/>
          <w:szCs w:val="24"/>
          <w:lang w:val="en-GB"/>
        </w:rPr>
        <w:t xml:space="preserve"> to immunotherapy and unfavourable survival </w:t>
      </w:r>
      <w:r w:rsidRPr="00F83C46">
        <w:rPr>
          <w:rFonts w:ascii="Arial" w:eastAsia="宋体" w:hAnsi="Arial" w:cs="Arial"/>
          <w:sz w:val="24"/>
          <w:szCs w:val="24"/>
          <w:lang w:val="en-GB"/>
        </w:rPr>
        <w:t>outcomes</w:t>
      </w:r>
      <w:r w:rsidRPr="00F83C46">
        <w:rPr>
          <w:rFonts w:ascii="Arial" w:hAnsi="Arial" w:cs="Arial"/>
          <w:sz w:val="24"/>
          <w:szCs w:val="24"/>
          <w:lang w:val="en-GB"/>
        </w:rPr>
        <w:t xml:space="preserve"> (Figure </w:t>
      </w:r>
      <w:r>
        <w:rPr>
          <w:rFonts w:ascii="Arial" w:hAnsi="Arial" w:cs="Arial"/>
          <w:sz w:val="24"/>
          <w:szCs w:val="24"/>
          <w:lang w:val="en-GB"/>
        </w:rPr>
        <w:t>8A</w:t>
      </w:r>
      <w:r w:rsidRPr="00F83C46">
        <w:rPr>
          <w:rFonts w:ascii="Arial" w:hAnsi="Arial" w:cs="Arial"/>
          <w:sz w:val="24"/>
          <w:szCs w:val="24"/>
          <w:lang w:val="en-GB"/>
        </w:rPr>
        <w:t>).</w:t>
      </w:r>
      <w:r>
        <w:rPr>
          <w:rFonts w:ascii="Arial" w:hAnsi="Arial" w:cs="Arial"/>
          <w:sz w:val="24"/>
          <w:szCs w:val="24"/>
          <w:lang w:val="en-GB"/>
        </w:rPr>
        <w:t xml:space="preserve"> </w:t>
      </w:r>
      <w:r w:rsidR="000F520E">
        <w:rPr>
          <w:rFonts w:ascii="Arial" w:hAnsi="Arial" w:cs="Arial"/>
          <w:sz w:val="24"/>
          <w:szCs w:val="24"/>
          <w:lang w:val="en-GB"/>
        </w:rPr>
        <w:t>Univariate and multivariate Cox analysis were performed with immune signature-based risk score and other clinicopathological features (TNM stage, TP53 mutation status</w:t>
      </w:r>
      <w:r w:rsidR="00391F64">
        <w:rPr>
          <w:rFonts w:ascii="Arial" w:hAnsi="Arial" w:cs="Arial"/>
          <w:sz w:val="24"/>
          <w:szCs w:val="24"/>
          <w:lang w:val="en-GB"/>
        </w:rPr>
        <w:t>, EGFR mutation status, KRAS mutation status, gender</w:t>
      </w:r>
      <w:r w:rsidR="00EB067B">
        <w:rPr>
          <w:rFonts w:ascii="Arial" w:hAnsi="Arial" w:cs="Arial"/>
          <w:sz w:val="24"/>
          <w:szCs w:val="24"/>
          <w:lang w:val="en-GB"/>
        </w:rPr>
        <w:t>, age</w:t>
      </w:r>
      <w:r w:rsidR="000F520E">
        <w:rPr>
          <w:rFonts w:ascii="Arial" w:hAnsi="Arial" w:cs="Arial"/>
          <w:sz w:val="24"/>
          <w:szCs w:val="24"/>
          <w:lang w:val="en-GB"/>
        </w:rPr>
        <w:t>). Results revealed the risk score had greater HR than TNM stage</w:t>
      </w:r>
      <w:r w:rsidR="00EB067B">
        <w:rPr>
          <w:rFonts w:ascii="Arial" w:hAnsi="Arial" w:cs="Arial"/>
          <w:sz w:val="24"/>
          <w:szCs w:val="24"/>
          <w:lang w:val="en-GB"/>
        </w:rPr>
        <w:t>, age</w:t>
      </w:r>
      <w:r w:rsidR="000F520E">
        <w:rPr>
          <w:rFonts w:ascii="Arial" w:hAnsi="Arial" w:cs="Arial"/>
          <w:sz w:val="24"/>
          <w:szCs w:val="24"/>
          <w:lang w:val="en-GB"/>
        </w:rPr>
        <w:t xml:space="preserve"> and </w:t>
      </w:r>
      <w:r w:rsidR="000F520E">
        <w:rPr>
          <w:rFonts w:ascii="Arial" w:hAnsi="Arial" w:cs="Arial"/>
          <w:sz w:val="24"/>
          <w:szCs w:val="24"/>
          <w:lang w:val="en-GB"/>
        </w:rPr>
        <w:lastRenderedPageBreak/>
        <w:t xml:space="preserve">TP53 mutation status in both univariate and multivariate Cox analysis, which indicated the immune signature-based risk score may be a promising </w:t>
      </w:r>
      <w:r w:rsidR="002A6161">
        <w:rPr>
          <w:rFonts w:ascii="Arial" w:hAnsi="Arial" w:cs="Arial" w:hint="eastAsia"/>
          <w:sz w:val="24"/>
          <w:szCs w:val="24"/>
          <w:lang w:val="en-GB"/>
        </w:rPr>
        <w:t>pre</w:t>
      </w:r>
      <w:r w:rsidR="002A6161">
        <w:rPr>
          <w:rFonts w:ascii="Arial" w:hAnsi="Arial" w:cs="Arial"/>
          <w:sz w:val="24"/>
          <w:szCs w:val="24"/>
          <w:lang w:val="en-GB"/>
        </w:rPr>
        <w:t>dictor</w:t>
      </w:r>
      <w:r w:rsidR="00102AC8">
        <w:rPr>
          <w:rFonts w:ascii="Arial" w:hAnsi="Arial" w:cs="Arial"/>
          <w:sz w:val="24"/>
          <w:szCs w:val="24"/>
          <w:lang w:val="en-GB"/>
        </w:rPr>
        <w:t xml:space="preserve"> </w:t>
      </w:r>
      <w:r w:rsidR="00102AC8" w:rsidRPr="00391F64">
        <w:rPr>
          <w:rFonts w:ascii="Arial" w:hAnsi="Arial" w:cs="Arial"/>
          <w:sz w:val="24"/>
          <w:szCs w:val="24"/>
          <w:lang w:val="en-GB"/>
        </w:rPr>
        <w:t xml:space="preserve">(Supplementary Table </w:t>
      </w:r>
      <w:r w:rsidR="00102AC8">
        <w:rPr>
          <w:rFonts w:ascii="Arial" w:hAnsi="Arial" w:cs="Arial"/>
          <w:sz w:val="24"/>
          <w:szCs w:val="24"/>
          <w:lang w:val="en-GB"/>
        </w:rPr>
        <w:t>2</w:t>
      </w:r>
      <w:r w:rsidR="00102AC8" w:rsidRPr="00391F64">
        <w:rPr>
          <w:rFonts w:ascii="Arial" w:hAnsi="Arial" w:cs="Arial"/>
          <w:sz w:val="24"/>
          <w:szCs w:val="24"/>
          <w:lang w:val="en-GB"/>
        </w:rPr>
        <w:t>)</w:t>
      </w:r>
      <w:r w:rsidR="000F520E" w:rsidRPr="00F83C46">
        <w:rPr>
          <w:rFonts w:ascii="Arial" w:hAnsi="Arial" w:cs="Arial"/>
          <w:sz w:val="24"/>
          <w:szCs w:val="24"/>
          <w:lang w:val="en-GB"/>
        </w:rPr>
        <w:t>.</w:t>
      </w:r>
      <w:r w:rsidR="000F520E">
        <w:rPr>
          <w:rFonts w:ascii="Arial" w:hAnsi="Arial" w:cs="Arial" w:hint="eastAsia"/>
          <w:sz w:val="24"/>
          <w:szCs w:val="24"/>
          <w:lang w:val="en-GB"/>
        </w:rPr>
        <w:t xml:space="preserve"> </w:t>
      </w:r>
      <w:r w:rsidR="00022782" w:rsidRPr="00F83C46">
        <w:rPr>
          <w:rFonts w:ascii="Arial" w:hAnsi="Arial" w:cs="Arial"/>
          <w:sz w:val="24"/>
          <w:szCs w:val="24"/>
          <w:lang w:val="en-GB"/>
        </w:rPr>
        <w:t xml:space="preserve">A decision tree was constructed to improve risk stratification for overall survival in early-stage LUAD patients (Figure </w:t>
      </w:r>
      <w:r w:rsidRPr="00F83C46">
        <w:rPr>
          <w:rFonts w:ascii="Arial" w:hAnsi="Arial" w:cs="Arial"/>
          <w:sz w:val="24"/>
          <w:szCs w:val="24"/>
          <w:lang w:val="en-GB"/>
        </w:rPr>
        <w:t>8</w:t>
      </w:r>
      <w:r>
        <w:rPr>
          <w:rFonts w:ascii="Arial" w:hAnsi="Arial" w:cs="Arial"/>
          <w:sz w:val="24"/>
          <w:szCs w:val="24"/>
          <w:lang w:val="en-GB"/>
        </w:rPr>
        <w:t>B</w:t>
      </w:r>
      <w:r w:rsidR="00022782" w:rsidRPr="00F83C46">
        <w:rPr>
          <w:rFonts w:ascii="Arial" w:hAnsi="Arial" w:cs="Arial"/>
          <w:sz w:val="24"/>
          <w:szCs w:val="24"/>
          <w:lang w:val="en-GB"/>
        </w:rPr>
        <w:t>)</w:t>
      </w:r>
      <w:r w:rsidR="00926A2B" w:rsidRPr="00F83C46">
        <w:rPr>
          <w:rFonts w:ascii="Arial" w:hAnsi="Arial" w:cs="Arial"/>
          <w:sz w:val="24"/>
          <w:szCs w:val="24"/>
          <w:lang w:val="en-GB"/>
        </w:rPr>
        <w:t>. TNM stage, TP53 mutation status</w:t>
      </w:r>
      <w:r w:rsidR="006C03F1" w:rsidRPr="00F83C46">
        <w:rPr>
          <w:rFonts w:ascii="Arial" w:hAnsi="Arial" w:cs="Arial"/>
          <w:sz w:val="24"/>
          <w:szCs w:val="24"/>
          <w:lang w:val="en-GB"/>
        </w:rPr>
        <w:t>,</w:t>
      </w:r>
      <w:r w:rsidR="00EB067B">
        <w:rPr>
          <w:rFonts w:ascii="Arial" w:hAnsi="Arial" w:cs="Arial"/>
          <w:sz w:val="24"/>
          <w:szCs w:val="24"/>
          <w:lang w:val="en-GB"/>
        </w:rPr>
        <w:t xml:space="preserve"> age</w:t>
      </w:r>
      <w:r w:rsidR="00926A2B" w:rsidRPr="00F83C46">
        <w:rPr>
          <w:rFonts w:ascii="Arial" w:hAnsi="Arial" w:cs="Arial"/>
          <w:sz w:val="24"/>
          <w:szCs w:val="24"/>
          <w:lang w:val="en-GB"/>
        </w:rPr>
        <w:t xml:space="preserve"> and immune-related gene signature-based risk score </w:t>
      </w:r>
      <w:proofErr w:type="gramStart"/>
      <w:r w:rsidR="00926A2B" w:rsidRPr="00F83C46">
        <w:rPr>
          <w:rFonts w:ascii="Arial" w:hAnsi="Arial" w:cs="Arial"/>
          <w:sz w:val="24"/>
          <w:szCs w:val="24"/>
          <w:lang w:val="en-GB"/>
        </w:rPr>
        <w:t>were</w:t>
      </w:r>
      <w:proofErr w:type="gramEnd"/>
      <w:r w:rsidR="00926A2B" w:rsidRPr="00F83C46">
        <w:rPr>
          <w:rFonts w:ascii="Arial" w:hAnsi="Arial" w:cs="Arial"/>
          <w:sz w:val="24"/>
          <w:szCs w:val="24"/>
          <w:lang w:val="en-GB"/>
        </w:rPr>
        <w:t xml:space="preserve"> applied to build the decision tree, with three different risk subgroups identified. Three clusters (low-risk, intermediate-risk</w:t>
      </w:r>
      <w:r w:rsidR="006C03F1" w:rsidRPr="00F83C46">
        <w:rPr>
          <w:rFonts w:ascii="Arial" w:hAnsi="Arial" w:cs="Arial"/>
          <w:sz w:val="24"/>
          <w:szCs w:val="24"/>
          <w:lang w:val="en-GB"/>
        </w:rPr>
        <w:t>,</w:t>
      </w:r>
      <w:r w:rsidR="00926A2B" w:rsidRPr="00F83C46">
        <w:rPr>
          <w:rFonts w:ascii="Arial" w:hAnsi="Arial" w:cs="Arial"/>
          <w:sz w:val="24"/>
          <w:szCs w:val="24"/>
          <w:lang w:val="en-GB"/>
        </w:rPr>
        <w:t xml:space="preserve"> and high-risk group</w:t>
      </w:r>
      <w:r w:rsidR="00D761CA" w:rsidRPr="00F83C46">
        <w:rPr>
          <w:rFonts w:ascii="Arial" w:hAnsi="Arial" w:cs="Arial"/>
          <w:sz w:val="24"/>
          <w:szCs w:val="24"/>
          <w:lang w:val="en-GB"/>
        </w:rPr>
        <w:t>s</w:t>
      </w:r>
      <w:r w:rsidR="00926A2B" w:rsidRPr="00F83C46">
        <w:rPr>
          <w:rFonts w:ascii="Arial" w:hAnsi="Arial" w:cs="Arial"/>
          <w:sz w:val="24"/>
          <w:szCs w:val="24"/>
          <w:lang w:val="en-GB"/>
        </w:rPr>
        <w:t xml:space="preserve">) were identified as the outcome of the decision tree. As shown in </w:t>
      </w:r>
      <w:r w:rsidR="00926A2B" w:rsidRPr="00F83C46">
        <w:rPr>
          <w:rFonts w:ascii="Arial" w:eastAsia="等线" w:hAnsi="Arial" w:cs="Arial"/>
          <w:sz w:val="24"/>
          <w:szCs w:val="24"/>
          <w:lang w:val="en-GB"/>
        </w:rPr>
        <w:t xml:space="preserve">the </w:t>
      </w:r>
      <w:r w:rsidR="00926A2B" w:rsidRPr="00F83C46">
        <w:rPr>
          <w:rFonts w:ascii="Arial" w:hAnsi="Arial" w:cs="Arial"/>
          <w:sz w:val="24"/>
          <w:szCs w:val="24"/>
          <w:lang w:val="en-GB"/>
        </w:rPr>
        <w:t xml:space="preserve">Kaplan-Meier curve in </w:t>
      </w:r>
      <w:r w:rsidR="00C6706D" w:rsidRPr="00F83C46">
        <w:rPr>
          <w:rFonts w:ascii="Arial" w:hAnsi="Arial" w:cs="Arial"/>
          <w:sz w:val="24"/>
          <w:szCs w:val="24"/>
          <w:lang w:val="en-GB"/>
        </w:rPr>
        <w:t>F</w:t>
      </w:r>
      <w:r w:rsidR="00926A2B" w:rsidRPr="00F83C46">
        <w:rPr>
          <w:rFonts w:ascii="Arial" w:hAnsi="Arial" w:cs="Arial"/>
          <w:sz w:val="24"/>
          <w:szCs w:val="24"/>
          <w:lang w:val="en-GB"/>
        </w:rPr>
        <w:t xml:space="preserve">igure </w:t>
      </w:r>
      <w:r w:rsidRPr="00F83C46">
        <w:rPr>
          <w:rFonts w:ascii="Arial" w:hAnsi="Arial" w:cs="Arial"/>
          <w:sz w:val="24"/>
          <w:szCs w:val="24"/>
          <w:lang w:val="en-GB"/>
        </w:rPr>
        <w:t>8</w:t>
      </w:r>
      <w:r>
        <w:rPr>
          <w:rFonts w:ascii="Arial" w:hAnsi="Arial" w:cs="Arial"/>
          <w:sz w:val="24"/>
          <w:szCs w:val="24"/>
          <w:lang w:val="en-GB"/>
        </w:rPr>
        <w:t>C</w:t>
      </w:r>
      <w:r w:rsidR="00926A2B" w:rsidRPr="00F83C46">
        <w:rPr>
          <w:rFonts w:ascii="Arial" w:hAnsi="Arial" w:cs="Arial"/>
          <w:sz w:val="24"/>
          <w:szCs w:val="24"/>
          <w:lang w:val="en-GB"/>
        </w:rPr>
        <w:t xml:space="preserve">, </w:t>
      </w:r>
      <w:bookmarkStart w:id="12" w:name="_Hlk20594849"/>
      <w:r w:rsidR="00926A2B" w:rsidRPr="00F83C46">
        <w:rPr>
          <w:rFonts w:ascii="Arial" w:hAnsi="Arial" w:cs="Arial"/>
          <w:sz w:val="24"/>
          <w:szCs w:val="24"/>
          <w:lang w:val="en-GB"/>
        </w:rPr>
        <w:t xml:space="preserve">overall survival differed markedly </w:t>
      </w:r>
      <w:r w:rsidR="00D761CA" w:rsidRPr="00F83C46">
        <w:rPr>
          <w:rFonts w:ascii="Arial" w:hAnsi="Arial" w:cs="Arial"/>
          <w:sz w:val="24"/>
          <w:szCs w:val="24"/>
          <w:lang w:val="en-GB"/>
        </w:rPr>
        <w:t xml:space="preserve">among </w:t>
      </w:r>
      <w:r w:rsidR="00926A2B" w:rsidRPr="00F83C46">
        <w:rPr>
          <w:rFonts w:ascii="Arial" w:hAnsi="Arial" w:cs="Arial"/>
          <w:sz w:val="24"/>
          <w:szCs w:val="24"/>
          <w:lang w:val="en-GB"/>
        </w:rPr>
        <w:t xml:space="preserve">the three risk subgroups. </w:t>
      </w:r>
    </w:p>
    <w:bookmarkEnd w:id="12"/>
    <w:p w14:paraId="7FFD42F8" w14:textId="45755C20" w:rsidR="00C21F6C" w:rsidRPr="00F83C46" w:rsidRDefault="00926A2B" w:rsidP="00C21F6C">
      <w:pPr>
        <w:ind w:firstLineChars="100" w:firstLine="240"/>
        <w:rPr>
          <w:rFonts w:ascii="Arial" w:hAnsi="Arial" w:cs="Arial"/>
          <w:sz w:val="24"/>
          <w:szCs w:val="24"/>
          <w:lang w:val="en-GB"/>
        </w:rPr>
      </w:pPr>
      <w:r w:rsidRPr="00F83C46">
        <w:rPr>
          <w:rFonts w:ascii="Arial" w:hAnsi="Arial" w:cs="Arial"/>
          <w:sz w:val="24"/>
          <w:szCs w:val="24"/>
          <w:lang w:val="en-GB"/>
        </w:rPr>
        <w:t xml:space="preserve">With the goal </w:t>
      </w:r>
      <w:r w:rsidRPr="00F83C46">
        <w:rPr>
          <w:rFonts w:ascii="Arial" w:eastAsia="等线" w:hAnsi="Arial" w:cs="Arial"/>
          <w:sz w:val="24"/>
          <w:szCs w:val="24"/>
          <w:lang w:val="en-GB"/>
        </w:rPr>
        <w:t>of quantifying</w:t>
      </w:r>
      <w:r w:rsidR="00022782" w:rsidRPr="00F83C46">
        <w:rPr>
          <w:rFonts w:ascii="Arial" w:hAnsi="Arial" w:cs="Arial"/>
          <w:sz w:val="24"/>
          <w:szCs w:val="24"/>
          <w:lang w:val="en-GB"/>
        </w:rPr>
        <w:t xml:space="preserve"> the risk assessment and survival probability for individual early-stage LUAD patients, a nomogram was generated with</w:t>
      </w:r>
      <w:r w:rsidRPr="00F83C46">
        <w:rPr>
          <w:rFonts w:ascii="Arial" w:eastAsia="宋体" w:hAnsi="Arial" w:cs="Arial"/>
          <w:sz w:val="24"/>
          <w:szCs w:val="24"/>
          <w:lang w:val="en-GB"/>
        </w:rPr>
        <w:t xml:space="preserve"> </w:t>
      </w:r>
      <w:r w:rsidR="00C73631" w:rsidRPr="00F83C46">
        <w:rPr>
          <w:rFonts w:ascii="Arial" w:eastAsia="宋体" w:hAnsi="Arial" w:cs="Arial"/>
          <w:sz w:val="24"/>
          <w:szCs w:val="24"/>
          <w:lang w:val="en-GB"/>
        </w:rPr>
        <w:t>the</w:t>
      </w:r>
      <w:r w:rsidR="00022782" w:rsidRPr="00F83C46">
        <w:rPr>
          <w:rFonts w:ascii="Arial" w:hAnsi="Arial" w:cs="Arial"/>
          <w:sz w:val="24"/>
          <w:szCs w:val="24"/>
          <w:lang w:val="en-GB"/>
        </w:rPr>
        <w:t xml:space="preserve"> immune-related gene signature-based risk score together with other clinicopathological traits (</w:t>
      </w:r>
      <w:r w:rsidR="002D4BF8">
        <w:rPr>
          <w:rFonts w:ascii="Arial" w:hAnsi="Arial" w:cs="Arial"/>
          <w:sz w:val="24"/>
          <w:szCs w:val="24"/>
          <w:lang w:val="en-GB"/>
        </w:rPr>
        <w:t xml:space="preserve">TNM stage, </w:t>
      </w:r>
      <w:r w:rsidR="00EB067B">
        <w:rPr>
          <w:rFonts w:ascii="Arial" w:hAnsi="Arial" w:cs="Arial"/>
          <w:sz w:val="24"/>
          <w:szCs w:val="24"/>
          <w:lang w:val="en-GB"/>
        </w:rPr>
        <w:t xml:space="preserve">age, </w:t>
      </w:r>
      <w:r w:rsidR="00022782" w:rsidRPr="00F83C46">
        <w:rPr>
          <w:rFonts w:ascii="Arial" w:hAnsi="Arial" w:cs="Arial"/>
          <w:sz w:val="24"/>
          <w:szCs w:val="24"/>
          <w:lang w:val="en-GB"/>
        </w:rPr>
        <w:t xml:space="preserve">and TP53 mutation status) (Figure </w:t>
      </w:r>
      <w:r w:rsidR="00A723F5" w:rsidRPr="00F83C46">
        <w:rPr>
          <w:rFonts w:ascii="Arial" w:hAnsi="Arial" w:cs="Arial"/>
          <w:sz w:val="24"/>
          <w:szCs w:val="24"/>
          <w:lang w:val="en-GB"/>
        </w:rPr>
        <w:t>8</w:t>
      </w:r>
      <w:r w:rsidR="00A723F5">
        <w:rPr>
          <w:rFonts w:ascii="Arial" w:hAnsi="Arial" w:cs="Arial"/>
          <w:sz w:val="24"/>
          <w:szCs w:val="24"/>
          <w:lang w:val="en-GB"/>
        </w:rPr>
        <w:t>D</w:t>
      </w:r>
      <w:r w:rsidR="00022782" w:rsidRPr="00F83C46">
        <w:rPr>
          <w:rFonts w:ascii="Arial" w:hAnsi="Arial" w:cs="Arial"/>
          <w:sz w:val="24"/>
          <w:szCs w:val="24"/>
          <w:lang w:val="en-GB"/>
        </w:rPr>
        <w:t>). The prediction line (red line: 3-year survival probability prediction</w:t>
      </w:r>
      <w:r w:rsidR="00C73631" w:rsidRPr="00F83C46">
        <w:rPr>
          <w:rFonts w:ascii="Arial" w:hAnsi="Arial" w:cs="Arial"/>
          <w:sz w:val="24"/>
          <w:szCs w:val="24"/>
          <w:lang w:val="en-GB"/>
        </w:rPr>
        <w:t>,</w:t>
      </w:r>
      <w:r w:rsidR="00022782" w:rsidRPr="00F83C46">
        <w:rPr>
          <w:rFonts w:ascii="Arial" w:hAnsi="Arial" w:cs="Arial"/>
          <w:sz w:val="24"/>
          <w:szCs w:val="24"/>
          <w:lang w:val="en-GB"/>
        </w:rPr>
        <w:t xml:space="preserve"> and blue line: 5-year survival probability prediction) of the nomogram was close to the ideal performance (45-degree dotted line) in the calibration analysis (Figure </w:t>
      </w:r>
      <w:r w:rsidR="00A723F5" w:rsidRPr="00F83C46">
        <w:rPr>
          <w:rFonts w:ascii="Arial" w:hAnsi="Arial" w:cs="Arial"/>
          <w:sz w:val="24"/>
          <w:szCs w:val="24"/>
          <w:lang w:val="en-GB"/>
        </w:rPr>
        <w:t>8</w:t>
      </w:r>
      <w:r w:rsidR="00A723F5">
        <w:rPr>
          <w:rFonts w:ascii="Arial" w:hAnsi="Arial" w:cs="Arial"/>
          <w:sz w:val="24"/>
          <w:szCs w:val="24"/>
          <w:lang w:val="en-GB"/>
        </w:rPr>
        <w:t>E</w:t>
      </w:r>
      <w:r w:rsidR="00022782" w:rsidRPr="00F83C46">
        <w:rPr>
          <w:rFonts w:ascii="Arial" w:hAnsi="Arial" w:cs="Arial"/>
          <w:sz w:val="24"/>
          <w:szCs w:val="24"/>
          <w:lang w:val="en-GB"/>
        </w:rPr>
        <w:t>), suggesting a high level of accuracy of the nomogram (Figure 8D)</w:t>
      </w:r>
      <w:r w:rsidRPr="00F83C46">
        <w:rPr>
          <w:rFonts w:ascii="Arial" w:hAnsi="Arial" w:cs="Arial"/>
          <w:sz w:val="24"/>
          <w:szCs w:val="24"/>
          <w:lang w:val="en-GB"/>
        </w:rPr>
        <w:t xml:space="preserve">. </w:t>
      </w:r>
    </w:p>
    <w:p w14:paraId="178B25DE" w14:textId="4DC347E8" w:rsidR="00632E35" w:rsidRPr="00F83C46" w:rsidRDefault="00FA6AC2">
      <w:pPr>
        <w:rPr>
          <w:rFonts w:ascii="Arial" w:hAnsi="Arial" w:cs="Arial"/>
          <w:b/>
          <w:bCs/>
          <w:sz w:val="24"/>
          <w:szCs w:val="24"/>
          <w:lang w:val="en-GB"/>
        </w:rPr>
      </w:pPr>
      <w:r w:rsidRPr="00F83C46">
        <w:rPr>
          <w:rFonts w:ascii="Arial" w:hAnsi="Arial" w:cs="Arial"/>
          <w:b/>
          <w:bCs/>
          <w:sz w:val="24"/>
          <w:szCs w:val="24"/>
          <w:lang w:val="en-GB"/>
        </w:rPr>
        <w:t xml:space="preserve">3.8 </w:t>
      </w:r>
      <w:r w:rsidR="00926A2B" w:rsidRPr="00F83C46">
        <w:rPr>
          <w:rFonts w:ascii="Arial" w:hAnsi="Arial" w:cs="Arial"/>
          <w:b/>
          <w:bCs/>
          <w:sz w:val="24"/>
          <w:szCs w:val="24"/>
          <w:lang w:val="en-GB"/>
        </w:rPr>
        <w:t>Validation of the immune-related gene signature in external cohorts</w:t>
      </w:r>
    </w:p>
    <w:p w14:paraId="5F76C82F" w14:textId="7B70D4EA" w:rsidR="00632E35" w:rsidRPr="00F83C46" w:rsidRDefault="00926A2B" w:rsidP="00632E35">
      <w:pPr>
        <w:ind w:firstLine="420"/>
        <w:rPr>
          <w:rFonts w:ascii="Arial" w:hAnsi="Arial" w:cs="Arial"/>
          <w:sz w:val="24"/>
          <w:szCs w:val="24"/>
          <w:lang w:val="en-GB"/>
        </w:rPr>
      </w:pPr>
      <w:r w:rsidRPr="00F83C46">
        <w:rPr>
          <w:rFonts w:ascii="Arial" w:hAnsi="Arial" w:cs="Arial" w:hint="eastAsia"/>
          <w:sz w:val="24"/>
          <w:szCs w:val="24"/>
          <w:lang w:val="en-GB"/>
        </w:rPr>
        <w:t>Five</w:t>
      </w:r>
      <w:r w:rsidR="00F179A9" w:rsidRPr="00F83C46">
        <w:rPr>
          <w:rFonts w:ascii="Arial" w:hAnsi="Arial" w:cs="Arial"/>
          <w:sz w:val="24"/>
          <w:szCs w:val="24"/>
          <w:lang w:val="en-GB"/>
        </w:rPr>
        <w:t xml:space="preserve"> GEO datasets (GSE42127, GSE37745, GSE50081, GSE29013, </w:t>
      </w:r>
      <w:r w:rsidR="00EA6426" w:rsidRPr="00F83C46">
        <w:rPr>
          <w:rFonts w:ascii="Arial" w:hAnsi="Arial" w:cs="Arial"/>
          <w:sz w:val="24"/>
          <w:szCs w:val="24"/>
          <w:lang w:val="en-GB"/>
        </w:rPr>
        <w:t xml:space="preserve">and </w:t>
      </w:r>
      <w:r w:rsidR="00F179A9" w:rsidRPr="00F83C46">
        <w:rPr>
          <w:rFonts w:ascii="Arial" w:hAnsi="Arial" w:cs="Arial"/>
          <w:sz w:val="24"/>
          <w:szCs w:val="24"/>
          <w:lang w:val="en-GB"/>
        </w:rPr>
        <w:t xml:space="preserve">GSE72094) were used to validate the prognostic effect of the immune-related gene signature. Kaplan-Meier analysis and Cox regression were applied in each cohort, showing </w:t>
      </w:r>
      <w:r w:rsidRPr="00F83C46">
        <w:rPr>
          <w:rFonts w:ascii="Arial" w:eastAsia="宋体" w:hAnsi="Arial" w:cs="Arial"/>
          <w:sz w:val="24"/>
          <w:szCs w:val="24"/>
          <w:lang w:val="en-GB"/>
        </w:rPr>
        <w:t xml:space="preserve">the </w:t>
      </w:r>
      <w:r w:rsidR="00F179A9" w:rsidRPr="00F83C46">
        <w:rPr>
          <w:rFonts w:ascii="Arial" w:hAnsi="Arial" w:cs="Arial"/>
          <w:sz w:val="24"/>
          <w:szCs w:val="24"/>
          <w:lang w:val="en-GB"/>
        </w:rPr>
        <w:t>risk stratification capacity of</w:t>
      </w:r>
      <w:r w:rsidRPr="00F83C46">
        <w:rPr>
          <w:rFonts w:ascii="Arial" w:eastAsia="宋体" w:hAnsi="Arial" w:cs="Arial"/>
          <w:sz w:val="24"/>
          <w:szCs w:val="24"/>
          <w:lang w:val="en-GB"/>
        </w:rPr>
        <w:t xml:space="preserve"> the</w:t>
      </w:r>
      <w:r w:rsidR="00F179A9" w:rsidRPr="00F83C46">
        <w:rPr>
          <w:rFonts w:ascii="Arial" w:hAnsi="Arial" w:cs="Arial"/>
          <w:sz w:val="24"/>
          <w:szCs w:val="24"/>
          <w:lang w:val="en-GB"/>
        </w:rPr>
        <w:t xml:space="preserve"> immune-related gene signature for survival prediction (Figure </w:t>
      </w:r>
      <w:r w:rsidR="00A723F5">
        <w:rPr>
          <w:rFonts w:ascii="Arial" w:hAnsi="Arial" w:cs="Arial"/>
          <w:sz w:val="24"/>
          <w:szCs w:val="24"/>
          <w:lang w:val="en-GB"/>
        </w:rPr>
        <w:t>9</w:t>
      </w:r>
      <w:r w:rsidR="00A723F5" w:rsidRPr="00F83C46">
        <w:rPr>
          <w:rFonts w:ascii="Arial" w:hAnsi="Arial" w:cs="Arial"/>
          <w:sz w:val="24"/>
          <w:szCs w:val="24"/>
          <w:lang w:val="en-GB"/>
        </w:rPr>
        <w:t>A</w:t>
      </w:r>
      <w:r w:rsidR="00F179A9" w:rsidRPr="00F83C46">
        <w:rPr>
          <w:rFonts w:ascii="Arial" w:hAnsi="Arial" w:cs="Arial"/>
          <w:sz w:val="24"/>
          <w:szCs w:val="24"/>
          <w:lang w:val="en-GB"/>
        </w:rPr>
        <w:t>-</w:t>
      </w:r>
      <w:r w:rsidR="00A723F5">
        <w:rPr>
          <w:rFonts w:ascii="Arial" w:hAnsi="Arial" w:cs="Arial"/>
          <w:sz w:val="24"/>
          <w:szCs w:val="24"/>
          <w:lang w:val="en-GB"/>
        </w:rPr>
        <w:t>9</w:t>
      </w:r>
      <w:r w:rsidR="00A723F5" w:rsidRPr="00F83C46">
        <w:rPr>
          <w:rFonts w:ascii="Arial" w:hAnsi="Arial" w:cs="Arial"/>
          <w:sz w:val="24"/>
          <w:szCs w:val="24"/>
          <w:lang w:val="en-GB"/>
        </w:rPr>
        <w:t>E</w:t>
      </w:r>
      <w:r w:rsidR="00F179A9" w:rsidRPr="00F83C46">
        <w:rPr>
          <w:rFonts w:ascii="Arial" w:hAnsi="Arial" w:cs="Arial"/>
          <w:sz w:val="24"/>
          <w:szCs w:val="24"/>
          <w:lang w:val="en-GB"/>
        </w:rPr>
        <w:t>)</w:t>
      </w:r>
      <w:r w:rsidRPr="00F83C46">
        <w:rPr>
          <w:rFonts w:ascii="Arial" w:hAnsi="Arial" w:cs="Arial"/>
          <w:sz w:val="24"/>
          <w:szCs w:val="24"/>
          <w:lang w:val="en-GB"/>
        </w:rPr>
        <w:t>.</w:t>
      </w:r>
    </w:p>
    <w:p w14:paraId="5176CE82" w14:textId="0EF1F519" w:rsidR="00315376" w:rsidRPr="00F83C46" w:rsidRDefault="00926A2B" w:rsidP="00FA6AC2">
      <w:pPr>
        <w:pStyle w:val="a5"/>
        <w:numPr>
          <w:ilvl w:val="0"/>
          <w:numId w:val="5"/>
        </w:numPr>
        <w:ind w:firstLineChars="0"/>
        <w:rPr>
          <w:rFonts w:ascii="Arial" w:hAnsi="Arial" w:cs="Arial"/>
          <w:b/>
          <w:bCs/>
          <w:sz w:val="24"/>
          <w:szCs w:val="24"/>
          <w:lang w:val="en-GB"/>
        </w:rPr>
      </w:pPr>
      <w:r w:rsidRPr="00F83C46">
        <w:rPr>
          <w:rFonts w:ascii="Arial" w:hAnsi="Arial" w:cs="Arial"/>
          <w:b/>
          <w:bCs/>
          <w:sz w:val="24"/>
          <w:szCs w:val="24"/>
          <w:lang w:val="en-GB"/>
        </w:rPr>
        <w:t>Discussion</w:t>
      </w:r>
    </w:p>
    <w:p w14:paraId="033FC88A" w14:textId="77A75263" w:rsidR="00D031AE" w:rsidRPr="00F83C46" w:rsidRDefault="0024124E" w:rsidP="00EA6C98">
      <w:pPr>
        <w:ind w:firstLine="420"/>
        <w:rPr>
          <w:rFonts w:ascii="Arial" w:hAnsi="Arial" w:cs="Arial"/>
          <w:sz w:val="24"/>
          <w:szCs w:val="24"/>
          <w:lang w:val="en-GB"/>
        </w:rPr>
      </w:pPr>
      <w:r w:rsidRPr="00F83C46">
        <w:rPr>
          <w:rFonts w:ascii="Arial" w:hAnsi="Arial" w:cs="Arial"/>
          <w:sz w:val="24"/>
          <w:szCs w:val="24"/>
          <w:lang w:val="en-GB"/>
        </w:rPr>
        <w:t xml:space="preserve">Increasing evidence </w:t>
      </w:r>
      <w:r w:rsidR="00926A2B" w:rsidRPr="00F83C46">
        <w:rPr>
          <w:rFonts w:ascii="Arial" w:eastAsia="宋体" w:hAnsi="Arial" w:cs="Arial"/>
          <w:sz w:val="24"/>
          <w:szCs w:val="24"/>
          <w:lang w:val="en-GB"/>
        </w:rPr>
        <w:t>shows</w:t>
      </w:r>
      <w:r w:rsidRPr="00F83C46">
        <w:rPr>
          <w:rFonts w:ascii="Arial" w:hAnsi="Arial" w:cs="Arial"/>
          <w:sz w:val="24"/>
          <w:szCs w:val="24"/>
          <w:lang w:val="en-GB"/>
        </w:rPr>
        <w:t xml:space="preserve"> that</w:t>
      </w:r>
      <w:r w:rsidR="00926A2B" w:rsidRPr="00F83C46">
        <w:rPr>
          <w:rFonts w:ascii="Arial" w:eastAsia="宋体" w:hAnsi="Arial" w:cs="Arial"/>
          <w:sz w:val="24"/>
          <w:szCs w:val="24"/>
          <w:lang w:val="en-GB"/>
        </w:rPr>
        <w:t xml:space="preserve"> the</w:t>
      </w:r>
      <w:r w:rsidRPr="00F83C46">
        <w:rPr>
          <w:rFonts w:ascii="Arial" w:hAnsi="Arial" w:cs="Arial"/>
          <w:sz w:val="24"/>
          <w:szCs w:val="24"/>
          <w:lang w:val="en-GB"/>
        </w:rPr>
        <w:t xml:space="preserve"> immune microenvironment is involved in the progression and malignancy of LUAD </w:t>
      </w:r>
      <w:r w:rsidRPr="00F83C46">
        <w:rPr>
          <w:rFonts w:ascii="Arial" w:hAnsi="Arial" w:cs="Arial"/>
          <w:sz w:val="24"/>
          <w:szCs w:val="24"/>
          <w:lang w:val="en-GB"/>
        </w:rPr>
        <w:fldChar w:fldCharType="begin">
          <w:fldData xml:space="preserve">PEVuZE5vdGU+PENpdGU+PEF1dGhvcj5BbGlmYW5vPC9BdXRob3I+PFllYXI+MjAxNDwvWWVhcj48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</w:fldData>
        </w:fldChar>
      </w:r>
      <w:r w:rsidR="0038443C">
        <w:rPr>
          <w:rFonts w:ascii="Arial" w:hAnsi="Arial" w:cs="Arial"/>
          <w:sz w:val="24"/>
          <w:szCs w:val="24"/>
          <w:lang w:val="en-GB"/>
        </w:rPr>
        <w:instrText xml:space="preserve"> ADDIN EN.CITE </w:instrText>
      </w:r>
      <w:r w:rsidR="0038443C">
        <w:rPr>
          <w:rFonts w:ascii="Arial" w:hAnsi="Arial" w:cs="Arial"/>
          <w:sz w:val="24"/>
          <w:szCs w:val="24"/>
          <w:lang w:val="en-GB"/>
        </w:rPr>
        <w:fldChar w:fldCharType="begin">
          <w:fldData xml:space="preserve">PEVuZE5vdGU+PENpdGU+PEF1dGhvcj5BbGlmYW5vPC9BdXRob3I+PFllYXI+MjAxNDwvWWVhcj48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</w:fldData>
        </w:fldChar>
      </w:r>
      <w:r w:rsidR="0038443C">
        <w:rPr>
          <w:rFonts w:ascii="Arial" w:hAnsi="Arial" w:cs="Arial"/>
          <w:sz w:val="24"/>
          <w:szCs w:val="24"/>
          <w:lang w:val="en-GB"/>
        </w:rPr>
        <w:instrText xml:space="preserve"> ADDIN EN.CITE.DATA </w:instrText>
      </w:r>
      <w:r w:rsidR="0038443C">
        <w:rPr>
          <w:rFonts w:ascii="Arial" w:hAnsi="Arial" w:cs="Arial"/>
          <w:sz w:val="24"/>
          <w:szCs w:val="24"/>
          <w:lang w:val="en-GB"/>
        </w:rPr>
      </w:r>
      <w:r w:rsidR="0038443C">
        <w:rPr>
          <w:rFonts w:ascii="Arial" w:hAnsi="Arial" w:cs="Arial"/>
          <w:sz w:val="24"/>
          <w:szCs w:val="24"/>
          <w:lang w:val="en-GB"/>
        </w:rPr>
        <w:fldChar w:fldCharType="end"/>
      </w:r>
      <w:r w:rsidRPr="00F83C46">
        <w:rPr>
          <w:rFonts w:ascii="Arial" w:hAnsi="Arial" w:cs="Arial"/>
          <w:sz w:val="24"/>
          <w:szCs w:val="24"/>
          <w:lang w:val="en-GB"/>
        </w:rPr>
      </w:r>
      <w:r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16" w:tooltip="Alifano, 2014 #613" w:history="1">
        <w:r w:rsidR="0038443C">
          <w:rPr>
            <w:rFonts w:ascii="Arial" w:hAnsi="Arial" w:cs="Arial"/>
            <w:noProof/>
            <w:sz w:val="24"/>
            <w:szCs w:val="24"/>
            <w:lang w:val="en-GB"/>
          </w:rPr>
          <w:t>16-18</w:t>
        </w:r>
      </w:hyperlink>
      <w:r w:rsidR="0038443C">
        <w:rPr>
          <w:rFonts w:ascii="Arial" w:hAnsi="Arial" w:cs="Arial"/>
          <w:noProof/>
          <w:sz w:val="24"/>
          <w:szCs w:val="24"/>
          <w:lang w:val="en-GB"/>
        </w:rPr>
        <w:t>)</w:t>
      </w:r>
      <w:r w:rsidRPr="00F83C46">
        <w:rPr>
          <w:rFonts w:ascii="Arial" w:hAnsi="Arial" w:cs="Arial"/>
          <w:sz w:val="24"/>
          <w:szCs w:val="24"/>
          <w:lang w:val="en-GB"/>
        </w:rPr>
        <w:fldChar w:fldCharType="end"/>
      </w:r>
      <w:r w:rsidR="00986A27" w:rsidRPr="00F83C46">
        <w:rPr>
          <w:rFonts w:ascii="Arial" w:hAnsi="Arial" w:cs="Arial"/>
          <w:sz w:val="24"/>
          <w:szCs w:val="24"/>
          <w:lang w:val="en-GB"/>
        </w:rPr>
        <w:t>. Immunotherapy serves as a promising therap</w:t>
      </w:r>
      <w:r w:rsidR="008E1A4A" w:rsidRPr="00F83C46">
        <w:rPr>
          <w:rFonts w:ascii="Arial" w:hAnsi="Arial" w:cs="Arial"/>
          <w:sz w:val="24"/>
          <w:szCs w:val="24"/>
          <w:lang w:val="en-GB"/>
        </w:rPr>
        <w:t>eutic</w:t>
      </w:r>
      <w:r w:rsidR="00986A27" w:rsidRPr="00F83C46">
        <w:rPr>
          <w:rFonts w:ascii="Arial" w:hAnsi="Arial" w:cs="Arial"/>
          <w:sz w:val="24"/>
          <w:szCs w:val="24"/>
          <w:lang w:val="en-GB"/>
        </w:rPr>
        <w:t xml:space="preserve"> strategy for early-stage cancer </w:t>
      </w:r>
      <w:r w:rsidR="008E1A4A" w:rsidRPr="00F83C46">
        <w:rPr>
          <w:rFonts w:ascii="Arial" w:hAnsi="Arial" w:cs="Arial"/>
          <w:sz w:val="24"/>
          <w:szCs w:val="24"/>
          <w:lang w:val="en-GB"/>
        </w:rPr>
        <w:t xml:space="preserve">patients </w:t>
      </w:r>
      <w:r w:rsidR="00986A27" w:rsidRPr="00F83C46">
        <w:rPr>
          <w:rFonts w:ascii="Arial" w:hAnsi="Arial" w:cs="Arial"/>
          <w:sz w:val="24"/>
          <w:szCs w:val="24"/>
          <w:lang w:val="en-GB"/>
        </w:rPr>
        <w:t xml:space="preserve">with </w:t>
      </w:r>
      <w:r w:rsidR="008E1A4A" w:rsidRPr="00F83C46">
        <w:rPr>
          <w:rFonts w:ascii="Arial" w:hAnsi="Arial" w:cs="Arial"/>
          <w:sz w:val="24"/>
          <w:szCs w:val="24"/>
          <w:lang w:val="en-GB"/>
        </w:rPr>
        <w:t xml:space="preserve">a </w:t>
      </w:r>
      <w:r w:rsidR="00986A27" w:rsidRPr="00F83C46">
        <w:rPr>
          <w:rFonts w:ascii="Arial" w:hAnsi="Arial" w:cs="Arial"/>
          <w:sz w:val="24"/>
          <w:szCs w:val="24"/>
          <w:lang w:val="en-GB"/>
        </w:rPr>
        <w:t>low tumour burden. The object</w:t>
      </w:r>
      <w:r w:rsidR="008E1A4A" w:rsidRPr="00F83C46">
        <w:rPr>
          <w:rFonts w:ascii="Arial" w:hAnsi="Arial" w:cs="Arial"/>
          <w:sz w:val="24"/>
          <w:szCs w:val="24"/>
          <w:lang w:val="en-GB"/>
        </w:rPr>
        <w:t>ive</w:t>
      </w:r>
      <w:r w:rsidR="00986A27" w:rsidRPr="00F83C46">
        <w:rPr>
          <w:rFonts w:ascii="Arial" w:hAnsi="Arial" w:cs="Arial"/>
          <w:sz w:val="24"/>
          <w:szCs w:val="24"/>
          <w:lang w:val="en-GB"/>
        </w:rPr>
        <w:t xml:space="preserve"> of this study was to depict the immune landscape of early-stage LUAD and </w:t>
      </w:r>
      <w:r w:rsidR="008E1A4A" w:rsidRPr="00F83C46">
        <w:rPr>
          <w:rFonts w:ascii="Arial" w:hAnsi="Arial" w:cs="Arial"/>
          <w:sz w:val="24"/>
          <w:szCs w:val="24"/>
          <w:lang w:val="en-GB"/>
        </w:rPr>
        <w:t xml:space="preserve">establish </w:t>
      </w:r>
      <w:r w:rsidR="00986A27" w:rsidRPr="00F83C46">
        <w:rPr>
          <w:rFonts w:ascii="Arial" w:hAnsi="Arial" w:cs="Arial"/>
          <w:sz w:val="24"/>
          <w:szCs w:val="24"/>
          <w:lang w:val="en-GB"/>
        </w:rPr>
        <w:t xml:space="preserve">a prognostic and </w:t>
      </w:r>
      <w:r w:rsidR="006C03F1" w:rsidRPr="00F83C46">
        <w:rPr>
          <w:rFonts w:ascii="Arial" w:hAnsi="Arial" w:cs="Arial"/>
          <w:sz w:val="24"/>
          <w:szCs w:val="24"/>
          <w:lang w:val="en-GB"/>
        </w:rPr>
        <w:t>immunotherapy-</w:t>
      </w:r>
      <w:r w:rsidR="00986A27" w:rsidRPr="00F83C46">
        <w:rPr>
          <w:rFonts w:ascii="Arial" w:hAnsi="Arial" w:cs="Arial"/>
          <w:sz w:val="24"/>
          <w:szCs w:val="24"/>
          <w:lang w:val="en-GB"/>
        </w:rPr>
        <w:t xml:space="preserve">relevant gene signature. With the help of several </w:t>
      </w:r>
      <w:r w:rsidR="002764D1">
        <w:rPr>
          <w:rFonts w:ascii="Arial" w:hAnsi="Arial" w:cs="Arial"/>
          <w:sz w:val="24"/>
          <w:szCs w:val="24"/>
          <w:lang w:val="en-GB"/>
        </w:rPr>
        <w:t>bioinformatic and machine learning</w:t>
      </w:r>
      <w:r w:rsidR="00986A27" w:rsidRPr="00F83C46">
        <w:rPr>
          <w:rFonts w:ascii="Arial" w:hAnsi="Arial" w:cs="Arial"/>
          <w:sz w:val="24"/>
          <w:szCs w:val="24"/>
          <w:lang w:val="en-GB"/>
        </w:rPr>
        <w:t xml:space="preserve"> methods, we identified</w:t>
      </w:r>
      <w:r w:rsidR="002764D1">
        <w:rPr>
          <w:rFonts w:ascii="Arial" w:hAnsi="Arial" w:cs="Arial"/>
          <w:sz w:val="24"/>
          <w:szCs w:val="24"/>
          <w:lang w:val="en-GB"/>
        </w:rPr>
        <w:t xml:space="preserve"> and assessed</w:t>
      </w:r>
      <w:r w:rsidR="00986A27" w:rsidRPr="00F83C46">
        <w:rPr>
          <w:rFonts w:ascii="Arial" w:hAnsi="Arial" w:cs="Arial"/>
          <w:sz w:val="24"/>
          <w:szCs w:val="24"/>
          <w:lang w:val="en-GB"/>
        </w:rPr>
        <w:t xml:space="preserve"> the immune landscape of early-stage LUAD. Key immune-related genes were obtained by DEG analysis. A prognostic and immunotherapeutic gene signature was identified with the key immune-related genes.</w:t>
      </w:r>
      <w:r w:rsidR="00926A2B" w:rsidRPr="00F83C46">
        <w:rPr>
          <w:rFonts w:ascii="Arial" w:eastAsia="宋体" w:hAnsi="Arial" w:cs="Arial"/>
          <w:sz w:val="24"/>
          <w:szCs w:val="24"/>
          <w:lang w:val="en-GB"/>
        </w:rPr>
        <w:t xml:space="preserve"> A random</w:t>
      </w:r>
      <w:r w:rsidR="00986A27" w:rsidRPr="00F83C46">
        <w:rPr>
          <w:rFonts w:ascii="Arial" w:hAnsi="Arial" w:cs="Arial"/>
          <w:sz w:val="24"/>
          <w:szCs w:val="24"/>
          <w:lang w:val="en-GB"/>
        </w:rPr>
        <w:t xml:space="preserve"> forest regression algorithm was applied to </w:t>
      </w:r>
      <w:r w:rsidR="00926A2B" w:rsidRPr="00F83C46">
        <w:rPr>
          <w:rFonts w:ascii="Arial" w:eastAsia="宋体" w:hAnsi="Arial" w:cs="Arial"/>
          <w:sz w:val="24"/>
          <w:szCs w:val="24"/>
          <w:lang w:val="en-GB"/>
        </w:rPr>
        <w:t>identify</w:t>
      </w:r>
      <w:r w:rsidR="00986A27" w:rsidRPr="00F83C46">
        <w:rPr>
          <w:rFonts w:ascii="Arial" w:hAnsi="Arial" w:cs="Arial"/>
          <w:sz w:val="24"/>
          <w:szCs w:val="24"/>
          <w:lang w:val="en-GB"/>
        </w:rPr>
        <w:t xml:space="preserve"> the key gene mutations associated with the immune-related gene signature. The decision tree and nomogram help improve the predictive power and accuracy</w:t>
      </w:r>
      <w:r w:rsidR="008E1A4A" w:rsidRPr="00F83C46">
        <w:rPr>
          <w:rFonts w:ascii="Arial" w:hAnsi="Arial" w:cs="Arial"/>
          <w:sz w:val="24"/>
          <w:szCs w:val="24"/>
          <w:lang w:val="en-GB"/>
        </w:rPr>
        <w:t xml:space="preserve"> of the model</w:t>
      </w:r>
      <w:r w:rsidR="00986A27" w:rsidRPr="00F83C46">
        <w:rPr>
          <w:rFonts w:ascii="Arial" w:hAnsi="Arial" w:cs="Arial"/>
          <w:sz w:val="24"/>
          <w:szCs w:val="24"/>
          <w:lang w:val="en-GB"/>
        </w:rPr>
        <w:t>.</w:t>
      </w:r>
    </w:p>
    <w:p w14:paraId="751DCA39" w14:textId="4E3EF395" w:rsidR="00240E18" w:rsidRPr="00F83C46" w:rsidRDefault="008E1A4A" w:rsidP="0024124E">
      <w:pPr>
        <w:ind w:firstLine="420"/>
        <w:rPr>
          <w:rFonts w:ascii="Arial" w:hAnsi="Arial" w:cs="Arial"/>
          <w:sz w:val="24"/>
          <w:szCs w:val="24"/>
          <w:lang w:val="en-GB"/>
        </w:rPr>
      </w:pPr>
      <w:r w:rsidRPr="00F83C46">
        <w:rPr>
          <w:rFonts w:ascii="Arial" w:hAnsi="Arial" w:cs="Arial"/>
          <w:sz w:val="24"/>
          <w:szCs w:val="24"/>
          <w:lang w:val="en-GB"/>
        </w:rPr>
        <w:t>E</w:t>
      </w:r>
      <w:r w:rsidR="003E70E1" w:rsidRPr="00F83C46">
        <w:rPr>
          <w:rFonts w:ascii="Arial" w:hAnsi="Arial" w:cs="Arial"/>
          <w:sz w:val="24"/>
          <w:szCs w:val="24"/>
          <w:lang w:val="en-GB"/>
        </w:rPr>
        <w:t xml:space="preserve">arly-stage LUAD tissues were clustered into three clusters. The log-rank test revealed the difference in OS of early-stage LUAD patients in the three clusters. The </w:t>
      </w:r>
      <w:r w:rsidR="00926A2B" w:rsidRPr="00F83C46">
        <w:rPr>
          <w:rFonts w:ascii="Arial" w:eastAsia="宋体" w:hAnsi="Arial" w:cs="Arial"/>
          <w:sz w:val="24"/>
          <w:szCs w:val="24"/>
          <w:lang w:val="en-GB"/>
        </w:rPr>
        <w:t>above results</w:t>
      </w:r>
      <w:r w:rsidR="003E70E1" w:rsidRPr="00F83C46">
        <w:rPr>
          <w:rFonts w:ascii="Arial" w:hAnsi="Arial" w:cs="Arial"/>
          <w:sz w:val="24"/>
          <w:szCs w:val="24"/>
          <w:lang w:val="en-GB"/>
        </w:rPr>
        <w:t xml:space="preserve"> indicated the influence of </w:t>
      </w:r>
      <w:r w:rsidR="00926A2B" w:rsidRPr="00F83C46">
        <w:rPr>
          <w:rFonts w:ascii="Arial" w:eastAsia="宋体" w:hAnsi="Arial" w:cs="Arial"/>
          <w:sz w:val="24"/>
          <w:szCs w:val="24"/>
          <w:lang w:val="en-GB"/>
        </w:rPr>
        <w:t xml:space="preserve">the </w:t>
      </w:r>
      <w:r w:rsidR="003E70E1" w:rsidRPr="00F83C46">
        <w:rPr>
          <w:rFonts w:ascii="Arial" w:hAnsi="Arial" w:cs="Arial"/>
          <w:sz w:val="24"/>
          <w:szCs w:val="24"/>
          <w:lang w:val="en-GB"/>
        </w:rPr>
        <w:t xml:space="preserve">tumour immune microenvironment </w:t>
      </w:r>
      <w:r w:rsidR="00926A2B" w:rsidRPr="00F83C46">
        <w:rPr>
          <w:rFonts w:ascii="Arial" w:eastAsia="宋体" w:hAnsi="Arial" w:cs="Arial"/>
          <w:sz w:val="24"/>
          <w:szCs w:val="24"/>
          <w:lang w:val="en-GB"/>
        </w:rPr>
        <w:t>on</w:t>
      </w:r>
      <w:r w:rsidR="003E70E1" w:rsidRPr="00F83C46">
        <w:rPr>
          <w:rFonts w:ascii="Arial" w:hAnsi="Arial" w:cs="Arial"/>
          <w:sz w:val="24"/>
          <w:szCs w:val="24"/>
          <w:lang w:val="en-GB"/>
        </w:rPr>
        <w:t xml:space="preserve"> the prognosis of early-stage LUAD patients. There were 610 genes obtained from the DEG analysis among the three clusters. Among the 610 genes, 271 genes were immune-related genes, which constituted a </w:t>
      </w:r>
      <w:r w:rsidR="00926A2B" w:rsidRPr="00F83C46">
        <w:rPr>
          <w:rFonts w:ascii="Arial" w:eastAsia="宋体" w:hAnsi="Arial" w:cs="Arial"/>
          <w:sz w:val="24"/>
          <w:szCs w:val="24"/>
          <w:lang w:val="en-GB"/>
        </w:rPr>
        <w:lastRenderedPageBreak/>
        <w:t>large</w:t>
      </w:r>
      <w:r w:rsidR="003E70E1" w:rsidRPr="00F83C46">
        <w:rPr>
          <w:rFonts w:ascii="Arial" w:hAnsi="Arial" w:cs="Arial"/>
          <w:sz w:val="24"/>
          <w:szCs w:val="24"/>
          <w:lang w:val="en-GB"/>
        </w:rPr>
        <w:t xml:space="preserve"> proportion of the total</w:t>
      </w:r>
      <w:r w:rsidR="006C03F1" w:rsidRPr="00F83C46">
        <w:rPr>
          <w:rFonts w:ascii="Arial" w:hAnsi="Arial" w:cs="Arial"/>
          <w:sz w:val="24"/>
          <w:szCs w:val="24"/>
          <w:lang w:val="en-GB"/>
        </w:rPr>
        <w:t xml:space="preserve"> of</w:t>
      </w:r>
      <w:r w:rsidR="003E70E1" w:rsidRPr="00F83C46">
        <w:rPr>
          <w:rFonts w:ascii="Arial" w:hAnsi="Arial" w:cs="Arial"/>
          <w:sz w:val="24"/>
          <w:szCs w:val="24"/>
          <w:lang w:val="en-GB"/>
        </w:rPr>
        <w:t xml:space="preserve"> 610 genes. We performed GO analysis for the immune-related genes and other genes. Strikingly, both results showed</w:t>
      </w:r>
      <w:r w:rsidR="00926A2B" w:rsidRPr="00F83C46">
        <w:rPr>
          <w:rFonts w:ascii="Arial" w:eastAsia="宋体" w:hAnsi="Arial" w:cs="Arial"/>
          <w:sz w:val="24"/>
          <w:szCs w:val="24"/>
          <w:lang w:val="en-GB"/>
        </w:rPr>
        <w:t xml:space="preserve"> a</w:t>
      </w:r>
      <w:r w:rsidR="003E70E1" w:rsidRPr="00F83C46">
        <w:rPr>
          <w:rFonts w:ascii="Arial" w:hAnsi="Arial" w:cs="Arial"/>
          <w:sz w:val="24"/>
          <w:szCs w:val="24"/>
          <w:lang w:val="en-GB"/>
        </w:rPr>
        <w:t xml:space="preserve"> relationship with immune-related enrichments. One study </w:t>
      </w:r>
      <w:r w:rsidR="00926A2B" w:rsidRPr="00F83C46">
        <w:rPr>
          <w:rFonts w:ascii="Arial" w:eastAsia="宋体" w:hAnsi="Arial" w:cs="Arial"/>
          <w:sz w:val="24"/>
          <w:szCs w:val="24"/>
          <w:lang w:val="en-GB"/>
        </w:rPr>
        <w:t>revealed</w:t>
      </w:r>
      <w:r w:rsidR="003E70E1" w:rsidRPr="00F83C46">
        <w:rPr>
          <w:rFonts w:ascii="Arial" w:hAnsi="Arial" w:cs="Arial"/>
          <w:sz w:val="24"/>
          <w:szCs w:val="24"/>
          <w:lang w:val="en-GB"/>
        </w:rPr>
        <w:t xml:space="preserve"> that LUAD tumour tissues had a strongly reduced CD8+ T effector/Treg ratio compared to normal tissues. The altered T cell ratio resulted from a significant reduction </w:t>
      </w:r>
      <w:r w:rsidRPr="00F83C46">
        <w:rPr>
          <w:rFonts w:ascii="Arial" w:hAnsi="Arial" w:cs="Arial"/>
          <w:sz w:val="24"/>
          <w:szCs w:val="24"/>
          <w:lang w:val="en-GB"/>
        </w:rPr>
        <w:t>in</w:t>
      </w:r>
      <w:r w:rsidR="003E70E1" w:rsidRPr="00F83C46">
        <w:rPr>
          <w:rFonts w:ascii="Arial" w:hAnsi="Arial" w:cs="Arial"/>
          <w:sz w:val="24"/>
          <w:szCs w:val="24"/>
          <w:lang w:val="en-GB"/>
        </w:rPr>
        <w:t xml:space="preserve"> CD8+ T cells expressing </w:t>
      </w:r>
      <w:r w:rsidR="007C401C" w:rsidRPr="00F83C46">
        <w:rPr>
          <w:rFonts w:ascii="Arial" w:hAnsi="Arial" w:cs="Arial"/>
          <w:sz w:val="24"/>
          <w:szCs w:val="24"/>
          <w:lang w:val="en-GB"/>
        </w:rPr>
        <w:t>granzyme</w:t>
      </w:r>
      <w:r w:rsidR="003E70E1" w:rsidRPr="00F83C46">
        <w:rPr>
          <w:rFonts w:ascii="Arial" w:hAnsi="Arial" w:cs="Arial"/>
          <w:sz w:val="24"/>
          <w:szCs w:val="24"/>
          <w:lang w:val="en-GB"/>
        </w:rPr>
        <w:t xml:space="preserve"> B and </w:t>
      </w:r>
      <w:proofErr w:type="spellStart"/>
      <w:r w:rsidR="003E70E1" w:rsidRPr="00F83C46">
        <w:rPr>
          <w:rFonts w:ascii="Arial" w:hAnsi="Arial" w:cs="Arial"/>
          <w:sz w:val="24"/>
          <w:szCs w:val="24"/>
          <w:lang w:val="en-GB"/>
        </w:rPr>
        <w:t>IFNγ</w:t>
      </w:r>
      <w:proofErr w:type="spellEnd"/>
      <w:r w:rsidR="002141FB" w:rsidRPr="00F83C46">
        <w:rPr>
          <w:rFonts w:ascii="Arial" w:hAnsi="Arial" w:cs="Arial"/>
          <w:sz w:val="24"/>
          <w:szCs w:val="24"/>
          <w:lang w:val="en-GB"/>
        </w:rPr>
        <w:t xml:space="preserve"> and </w:t>
      </w:r>
      <w:r w:rsidR="003E70E1" w:rsidRPr="00F83C46">
        <w:rPr>
          <w:rFonts w:ascii="Arial" w:hAnsi="Arial" w:cs="Arial"/>
          <w:sz w:val="24"/>
          <w:szCs w:val="24"/>
          <w:lang w:val="en-GB"/>
        </w:rPr>
        <w:t>from a significant expansion of CD39</w:t>
      </w:r>
      <w:r w:rsidR="003E70E1" w:rsidRPr="00F83C46">
        <w:rPr>
          <w:rFonts w:ascii="Arial" w:hAnsi="Arial" w:cs="Arial"/>
          <w:sz w:val="24"/>
          <w:szCs w:val="24"/>
          <w:vertAlign w:val="superscript"/>
          <w:lang w:val="en-GB"/>
        </w:rPr>
        <w:t>hi</w:t>
      </w:r>
      <w:r w:rsidR="003E70E1" w:rsidRPr="00F83C46">
        <w:rPr>
          <w:rFonts w:ascii="Arial" w:hAnsi="Arial" w:cs="Arial"/>
          <w:sz w:val="24"/>
          <w:szCs w:val="24"/>
          <w:lang w:val="en-GB"/>
        </w:rPr>
        <w:t>CD38</w:t>
      </w:r>
      <w:r w:rsidR="003E70E1" w:rsidRPr="00F83C46">
        <w:rPr>
          <w:rFonts w:ascii="Arial" w:hAnsi="Arial" w:cs="Arial"/>
          <w:sz w:val="24"/>
          <w:szCs w:val="24"/>
          <w:vertAlign w:val="superscript"/>
          <w:lang w:val="en-GB"/>
        </w:rPr>
        <w:t>hi</w:t>
      </w:r>
      <w:r w:rsidR="003E70E1" w:rsidRPr="00F83C46">
        <w:rPr>
          <w:rFonts w:ascii="Arial" w:hAnsi="Arial" w:cs="Arial"/>
          <w:sz w:val="24"/>
          <w:szCs w:val="24"/>
          <w:lang w:val="en-GB"/>
        </w:rPr>
        <w:t>PD-1</w:t>
      </w:r>
      <w:r w:rsidR="003E70E1" w:rsidRPr="00F83C46">
        <w:rPr>
          <w:rFonts w:ascii="Arial" w:hAnsi="Arial" w:cs="Arial"/>
          <w:sz w:val="24"/>
          <w:szCs w:val="24"/>
          <w:vertAlign w:val="superscript"/>
          <w:lang w:val="en-GB"/>
        </w:rPr>
        <w:t>hi</w:t>
      </w:r>
      <w:r w:rsidR="003E70E1" w:rsidRPr="00F83C46">
        <w:rPr>
          <w:rFonts w:ascii="Arial" w:hAnsi="Arial" w:cs="Arial"/>
          <w:sz w:val="24"/>
          <w:szCs w:val="24"/>
          <w:lang w:val="en-GB"/>
        </w:rPr>
        <w:t>CTLA4</w:t>
      </w:r>
      <w:r w:rsidR="003E70E1" w:rsidRPr="00F83C46">
        <w:rPr>
          <w:rFonts w:ascii="Arial" w:hAnsi="Arial" w:cs="Arial"/>
          <w:sz w:val="24"/>
          <w:szCs w:val="24"/>
          <w:vertAlign w:val="superscript"/>
          <w:lang w:val="en-GB"/>
        </w:rPr>
        <w:t>hi</w:t>
      </w:r>
      <w:r w:rsidR="003E70E1" w:rsidRPr="00F83C46">
        <w:rPr>
          <w:rFonts w:ascii="Arial" w:hAnsi="Arial" w:cs="Arial"/>
          <w:sz w:val="24"/>
          <w:szCs w:val="24"/>
          <w:lang w:val="en-GB"/>
        </w:rPr>
        <w:t>Foxp3</w:t>
      </w:r>
      <w:r w:rsidR="003E70E1" w:rsidRPr="00F83C46">
        <w:rPr>
          <w:rFonts w:ascii="Arial" w:hAnsi="Arial" w:cs="Arial"/>
          <w:sz w:val="24"/>
          <w:szCs w:val="24"/>
          <w:vertAlign w:val="superscript"/>
          <w:lang w:val="en-GB"/>
        </w:rPr>
        <w:t>hi</w:t>
      </w:r>
      <w:r w:rsidR="00BF310B" w:rsidRPr="00F83C46">
        <w:rPr>
          <w:rFonts w:ascii="Arial" w:hAnsi="Arial" w:cs="Arial"/>
          <w:sz w:val="24"/>
          <w:szCs w:val="24"/>
          <w:lang w:val="en-GB"/>
        </w:rPr>
        <w:t xml:space="preserve"> Tregs at the tumour site </w:t>
      </w:r>
      <w:r w:rsidR="00BF310B"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&lt;EndNote&gt;&lt;Cite&gt;&lt;Author&gt;Suzuki&lt;/Author&gt;&lt;Year&gt;2013&lt;/Year&gt;&lt;RecNum&gt;620&lt;/RecNum&gt;&lt;DisplayText&gt;(18)&lt;/DisplayText&gt;&lt;record&gt;&lt;rec-number&gt;620&lt;/rec-number&gt;&lt;foreign-keys&gt;&lt;key app="EN" db-id="59aa22z2jdzvtfe52vqxpfw9wpraze9w25rw"&gt;620&lt;/key&gt;&lt;/foreign-keys&gt;&lt;ref-type name="Journal Article"&gt;17&lt;/ref-type&gt;&lt;contributors&gt;&lt;authors&gt;&lt;author&gt;Suzuki, Kei&lt;/author&gt;&lt;author&gt;Kadota, Kyuichi&lt;/author&gt;&lt;author&gt;Sima, Camelia S&lt;/author&gt;&lt;author&gt;Nitadori, Jun-ichi&lt;/author&gt;&lt;author&gt;Rusch, Valerie W&lt;/author&gt;&lt;author&gt;Travis, William D&lt;/author&gt;&lt;author&gt;Sadelain, Michel&lt;/author&gt;&lt;author&gt;Adusumilli, Prasad S&lt;/author&gt;&lt;/authors&gt;&lt;/contributors&gt;&lt;titles&gt;&lt;title&gt;Clinical impact of immune microenvironment in stage I lung adenocarcinoma: tumor interleukin-12 receptor β2 (IL-12Rβ2), IL-7R, and stromal FoxP3/CD3 ratio are independent predictors of recurrence&lt;/title&gt;&lt;secondary-title&gt;Journal of clinical oncology&lt;/secondary-title&gt;&lt;/titles&gt;&lt;periodical&gt;&lt;full-title&gt;Journal of clinical oncology&lt;/full-title&gt;&lt;/periodical&gt;&lt;pages&gt;490&lt;/pages&gt;&lt;volume&gt;31&lt;/volume&gt;&lt;number&gt;4&lt;/number&gt;&lt;dates&gt;&lt;year&gt;2013&lt;/year&gt;&lt;/dates&gt;&lt;urls&gt;&lt;/urls&gt;&lt;/record&gt;&lt;/Cite&gt;&lt;/EndNote&gt;</w:instrText>
      </w:r>
      <w:r w:rsidR="00BF310B"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18" w:tooltip="Suzuki, 2013 #620" w:history="1">
        <w:r w:rsidR="0038443C">
          <w:rPr>
            <w:rFonts w:ascii="Arial" w:hAnsi="Arial" w:cs="Arial"/>
            <w:noProof/>
            <w:sz w:val="24"/>
            <w:szCs w:val="24"/>
            <w:lang w:val="en-GB"/>
          </w:rPr>
          <w:t>18</w:t>
        </w:r>
      </w:hyperlink>
      <w:r w:rsidR="0038443C">
        <w:rPr>
          <w:rFonts w:ascii="Arial" w:hAnsi="Arial" w:cs="Arial"/>
          <w:noProof/>
          <w:sz w:val="24"/>
          <w:szCs w:val="24"/>
          <w:lang w:val="en-GB"/>
        </w:rPr>
        <w:t>)</w:t>
      </w:r>
      <w:r w:rsidR="00BF310B" w:rsidRPr="00F83C46">
        <w:rPr>
          <w:rFonts w:ascii="Arial" w:hAnsi="Arial" w:cs="Arial"/>
          <w:sz w:val="24"/>
          <w:szCs w:val="24"/>
          <w:lang w:val="en-GB"/>
        </w:rPr>
        <w:fldChar w:fldCharType="end"/>
      </w:r>
      <w:r w:rsidR="007952B8" w:rsidRPr="00F83C46">
        <w:rPr>
          <w:rFonts w:ascii="Arial" w:hAnsi="Arial" w:cs="Arial"/>
          <w:sz w:val="24"/>
          <w:szCs w:val="24"/>
          <w:lang w:val="en-GB"/>
        </w:rPr>
        <w:t xml:space="preserve">. In our analysis, we highlighted the importance of the 610 genes in modulating T cell activation and entry into the tumour lesions. </w:t>
      </w:r>
    </w:p>
    <w:p w14:paraId="5802BA47" w14:textId="70D16931" w:rsidR="007A3243" w:rsidRPr="00F83C46" w:rsidRDefault="008E1A4A" w:rsidP="00D812E1">
      <w:pPr>
        <w:ind w:firstLine="420"/>
        <w:rPr>
          <w:rFonts w:ascii="Arial" w:hAnsi="Arial" w:cs="Arial"/>
          <w:sz w:val="24"/>
          <w:szCs w:val="24"/>
          <w:lang w:val="en-GB"/>
        </w:rPr>
      </w:pPr>
      <w:r w:rsidRPr="00F83C46">
        <w:rPr>
          <w:rFonts w:ascii="Arial" w:hAnsi="Arial" w:cs="Arial"/>
          <w:sz w:val="24"/>
          <w:szCs w:val="24"/>
          <w:lang w:val="en-GB"/>
        </w:rPr>
        <w:t xml:space="preserve">The </w:t>
      </w:r>
      <w:r w:rsidR="00BF310B" w:rsidRPr="00F83C46">
        <w:rPr>
          <w:rFonts w:ascii="Arial" w:hAnsi="Arial" w:cs="Arial"/>
          <w:sz w:val="24"/>
          <w:szCs w:val="24"/>
          <w:lang w:val="en-GB"/>
        </w:rPr>
        <w:t xml:space="preserve">BIRC3 gene </w:t>
      </w:r>
      <w:r w:rsidRPr="00F83C46">
        <w:rPr>
          <w:rFonts w:ascii="Arial" w:hAnsi="Arial" w:cs="Arial"/>
          <w:sz w:val="24"/>
          <w:szCs w:val="24"/>
          <w:lang w:val="en-GB"/>
        </w:rPr>
        <w:t xml:space="preserve">had </w:t>
      </w:r>
      <w:r w:rsidR="00926A2B" w:rsidRPr="00F83C46">
        <w:rPr>
          <w:rFonts w:ascii="Arial" w:eastAsia="宋体" w:hAnsi="Arial" w:cs="Arial"/>
          <w:sz w:val="24"/>
          <w:szCs w:val="24"/>
          <w:lang w:val="en-GB"/>
        </w:rPr>
        <w:t xml:space="preserve">the </w:t>
      </w:r>
      <w:r w:rsidRPr="00F83C46">
        <w:rPr>
          <w:rFonts w:ascii="Arial" w:hAnsi="Arial" w:cs="Arial"/>
          <w:sz w:val="24"/>
          <w:szCs w:val="24"/>
          <w:lang w:val="en-GB"/>
        </w:rPr>
        <w:t xml:space="preserve">largest </w:t>
      </w:r>
      <w:r w:rsidR="00BF310B" w:rsidRPr="00F83C46">
        <w:rPr>
          <w:rFonts w:ascii="Arial" w:hAnsi="Arial" w:cs="Arial"/>
          <w:sz w:val="24"/>
          <w:szCs w:val="24"/>
          <w:lang w:val="en-GB"/>
        </w:rPr>
        <w:t>coefficient in the immune-related gene signature. The primary role of BIRC3 is inhibiting apoptosis by binding to</w:t>
      </w:r>
      <w:r w:rsidRPr="00F83C46">
        <w:rPr>
          <w:rFonts w:ascii="Arial" w:hAnsi="Arial" w:cs="Arial"/>
          <w:sz w:val="24"/>
          <w:szCs w:val="24"/>
          <w:lang w:val="en-GB"/>
        </w:rPr>
        <w:t xml:space="preserve"> the</w:t>
      </w:r>
      <w:r w:rsidR="00BF310B" w:rsidRPr="00F83C46">
        <w:rPr>
          <w:rFonts w:ascii="Arial" w:hAnsi="Arial" w:cs="Arial"/>
          <w:sz w:val="24"/>
          <w:szCs w:val="24"/>
          <w:lang w:val="en-GB"/>
        </w:rPr>
        <w:t xml:space="preserve"> tumour necrosis factor receptor-associated factors TRAF1 and TRAF2. In recent </w:t>
      </w:r>
      <w:r w:rsidR="00926A2B" w:rsidRPr="00F83C46">
        <w:rPr>
          <w:rFonts w:ascii="Arial" w:eastAsia="宋体" w:hAnsi="Arial" w:cs="Arial"/>
          <w:sz w:val="24"/>
          <w:szCs w:val="24"/>
          <w:lang w:val="en-GB"/>
        </w:rPr>
        <w:t>studies</w:t>
      </w:r>
      <w:r w:rsidR="00BF310B" w:rsidRPr="00F83C46">
        <w:rPr>
          <w:rFonts w:ascii="Arial" w:hAnsi="Arial" w:cs="Arial"/>
          <w:sz w:val="24"/>
          <w:szCs w:val="24"/>
          <w:lang w:val="en-GB"/>
        </w:rPr>
        <w:t xml:space="preserve">, BIRC3 </w:t>
      </w:r>
      <w:r w:rsidR="00926A2B" w:rsidRPr="00F83C46">
        <w:rPr>
          <w:rFonts w:ascii="Arial" w:eastAsia="宋体" w:hAnsi="Arial" w:cs="Arial"/>
          <w:sz w:val="24"/>
          <w:szCs w:val="24"/>
          <w:lang w:val="en-GB"/>
        </w:rPr>
        <w:t>was</w:t>
      </w:r>
      <w:r w:rsidR="00BF310B" w:rsidRPr="00F83C46">
        <w:rPr>
          <w:rFonts w:ascii="Arial" w:hAnsi="Arial" w:cs="Arial"/>
          <w:sz w:val="24"/>
          <w:szCs w:val="24"/>
          <w:lang w:val="en-GB"/>
        </w:rPr>
        <w:t xml:space="preserve"> identified as a gene involved in chemoresistance in breast cancer and gliomas </w:t>
      </w:r>
      <w:r w:rsidR="00BF310B"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&lt;EndNote&gt;&lt;Cite&gt;&lt;Author&gt;Mendoza-Rodríguez&lt;/Author&gt;&lt;Year&gt;2017&lt;/Year&gt;&lt;RecNum&gt;621&lt;/RecNum&gt;&lt;DisplayText&gt;(19, 20)&lt;/DisplayText&gt;&lt;record&gt;&lt;rec-number&gt;621&lt;/rec-number&gt;&lt;foreign-keys&gt;&lt;key app="EN" db-id="59aa22z2jdzvtfe52vqxpfw9wpraze9w25rw"&gt;621&lt;/key&gt;&lt;/foreign-keys&gt;&lt;ref-type name="Journal Article"&gt;17&lt;/ref-type&gt;&lt;contributors&gt;&lt;authors&gt;&lt;author&gt;Mendoza-Rodríguez, Mónica&lt;/author&gt;&lt;author&gt;Romero, Haruki Arévalo&lt;/author&gt;&lt;author&gt;Fuentes-Panana, Ezequiel M&lt;/author&gt;&lt;author&gt;Ayala-Sumuano, Jorge-Tonatiuh&lt;/author&gt;&lt;author&gt;Meza, Isaura&lt;/author&gt;&lt;/authors&gt;&lt;/contributors&gt;&lt;titles&gt;&lt;title&gt;IL-1β induces up-regulation of BIRC3, a gene involved in chemoresistance to doxorubicin in breast cancer cells&lt;/title&gt;&lt;secondary-title&gt;Cancer letters&lt;/secondary-title&gt;&lt;/titles&gt;&lt;periodical&gt;&lt;full-title&gt;Cancer letters&lt;/full-title&gt;&lt;/periodical&gt;&lt;pages&gt;39-44&lt;/pages&gt;&lt;volume&gt;390&lt;/volume&gt;&lt;dates&gt;&lt;year&gt;2017&lt;/year&gt;&lt;/dates&gt;&lt;isbn&gt;0304-3835&lt;/isbn&gt;&lt;urls&gt;&lt;/urls&gt;&lt;/record&gt;&lt;/Cite&gt;&lt;Cite&gt;&lt;Author&gt;Wang&lt;/Author&gt;&lt;Year&gt;2016&lt;/Year&gt;&lt;RecNum&gt;622&lt;/RecNum&gt;&lt;record&gt;&lt;rec-number&gt;622&lt;/rec-number&gt;&lt;foreign-keys&gt;&lt;key app="EN" db-id="59aa22z2jdzvtfe52vqxpfw9wpraze9w25rw"&gt;622&lt;/key&gt;&lt;/foreign-keys&gt;&lt;ref-type name="Journal Article"&gt;17&lt;/ref-type&gt;&lt;contributors&gt;&lt;authors&gt;&lt;author&gt;Wang, Dapeng&lt;/author&gt;&lt;author&gt;Berglund, Anders&lt;/author&gt;&lt;author&gt;Kenchappa, Rajappa S&lt;/author&gt;&lt;author&gt;Forsyth, Peter A&lt;/author&gt;&lt;author&gt;Mulé, James J&lt;/author&gt;&lt;author&gt;Etame, Arnold B&lt;/author&gt;&lt;/authors&gt;&lt;/contributors&gt;&lt;titles&gt;&lt;title&gt;BIRC3 is a novel driver of therapeutic resistance in Glioblastoma&lt;/title&gt;&lt;secondary-title&gt;Scientific reports&lt;/secondary-title&gt;&lt;/titles&gt;&lt;periodical&gt;&lt;full-title&gt;Scientific reports&lt;/full-title&gt;&lt;/periodical&gt;&lt;pages&gt;21710&lt;/pages&gt;&lt;volume&gt;6&lt;/volume&gt;&lt;dates&gt;&lt;year&gt;2016&lt;/year&gt;&lt;/dates&gt;&lt;isbn&gt;2045-2322&lt;/isbn&gt;&lt;urls&gt;&lt;/urls&gt;&lt;/record&gt;&lt;/Cite&gt;&lt;/EndNote&gt;</w:instrText>
      </w:r>
      <w:r w:rsidR="00BF310B"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19" w:tooltip="Mendoza-Rodríguez, 2017 #621" w:history="1">
        <w:r w:rsidR="0038443C">
          <w:rPr>
            <w:rFonts w:ascii="Arial" w:hAnsi="Arial" w:cs="Arial"/>
            <w:noProof/>
            <w:sz w:val="24"/>
            <w:szCs w:val="24"/>
            <w:lang w:val="en-GB"/>
          </w:rPr>
          <w:t>19</w:t>
        </w:r>
      </w:hyperlink>
      <w:r w:rsidR="0038443C">
        <w:rPr>
          <w:rFonts w:ascii="Arial" w:hAnsi="Arial" w:cs="Arial"/>
          <w:noProof/>
          <w:sz w:val="24"/>
          <w:szCs w:val="24"/>
          <w:lang w:val="en-GB"/>
        </w:rPr>
        <w:t xml:space="preserve">, </w:t>
      </w:r>
      <w:hyperlink w:anchor="_ENREF_20" w:tooltip="Wang, 2016 #622" w:history="1">
        <w:r w:rsidR="0038443C">
          <w:rPr>
            <w:rFonts w:ascii="Arial" w:hAnsi="Arial" w:cs="Arial"/>
            <w:noProof/>
            <w:sz w:val="24"/>
            <w:szCs w:val="24"/>
            <w:lang w:val="en-GB"/>
          </w:rPr>
          <w:t>20</w:t>
        </w:r>
      </w:hyperlink>
      <w:r w:rsidR="0038443C">
        <w:rPr>
          <w:rFonts w:ascii="Arial" w:hAnsi="Arial" w:cs="Arial"/>
          <w:noProof/>
          <w:sz w:val="24"/>
          <w:szCs w:val="24"/>
          <w:lang w:val="en-GB"/>
        </w:rPr>
        <w:t>)</w:t>
      </w:r>
      <w:r w:rsidR="00BF310B" w:rsidRPr="00F83C46">
        <w:rPr>
          <w:rFonts w:ascii="Arial" w:hAnsi="Arial" w:cs="Arial"/>
          <w:sz w:val="24"/>
          <w:szCs w:val="24"/>
          <w:lang w:val="en-GB"/>
        </w:rPr>
        <w:fldChar w:fldCharType="end"/>
      </w:r>
      <w:r w:rsidR="00BF310B" w:rsidRPr="00F83C46">
        <w:rPr>
          <w:rFonts w:ascii="Arial" w:hAnsi="Arial" w:cs="Arial"/>
          <w:sz w:val="24"/>
          <w:szCs w:val="24"/>
          <w:lang w:val="en-GB"/>
        </w:rPr>
        <w:t xml:space="preserve">. </w:t>
      </w:r>
      <w:r w:rsidR="00926A2B" w:rsidRPr="00F83C46">
        <w:rPr>
          <w:rFonts w:ascii="Arial" w:eastAsia="宋体" w:hAnsi="Arial" w:cs="Arial"/>
          <w:sz w:val="24"/>
          <w:szCs w:val="24"/>
          <w:lang w:val="en-GB"/>
        </w:rPr>
        <w:t xml:space="preserve">The </w:t>
      </w:r>
      <w:r w:rsidR="00BF310B" w:rsidRPr="00F83C46">
        <w:rPr>
          <w:rFonts w:ascii="Arial" w:hAnsi="Arial" w:cs="Arial"/>
          <w:sz w:val="24"/>
          <w:szCs w:val="24"/>
          <w:lang w:val="en-GB"/>
        </w:rPr>
        <w:t xml:space="preserve">TNF-α pathway controls the expression of BIRC3 and helps </w:t>
      </w:r>
      <w:r w:rsidR="00926A2B" w:rsidRPr="00F83C46">
        <w:rPr>
          <w:rFonts w:ascii="Arial" w:eastAsia="宋体" w:hAnsi="Arial" w:cs="Arial"/>
          <w:sz w:val="24"/>
          <w:szCs w:val="24"/>
          <w:lang w:val="en-GB"/>
        </w:rPr>
        <w:t>protect</w:t>
      </w:r>
      <w:r w:rsidR="00BF310B" w:rsidRPr="00F83C46">
        <w:rPr>
          <w:rFonts w:ascii="Arial" w:hAnsi="Arial" w:cs="Arial"/>
          <w:sz w:val="24"/>
          <w:szCs w:val="24"/>
          <w:lang w:val="en-GB"/>
        </w:rPr>
        <w:t xml:space="preserve"> breast cancer cells against apoptosis </w:t>
      </w:r>
      <w:r w:rsidR="00BF310B"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&lt;EndNote&gt;&lt;Cite&gt;&lt;Author&gt;Frasor&lt;/Author&gt;&lt;Year&gt;2009&lt;/Year&gt;&lt;RecNum&gt;623&lt;/RecNum&gt;&lt;DisplayText&gt;(21)&lt;/DisplayText&gt;&lt;record&gt;&lt;rec-number&gt;623&lt;/rec-number&gt;&lt;foreign-keys&gt;&lt;key app="EN" db-id="59aa22z2jdzvtfe52vqxpfw9wpraze9w25rw"&gt;623&lt;/key&gt;&lt;/foreign-keys&gt;&lt;ref-type name="Journal Article"&gt;17&lt;/ref-type&gt;&lt;contributors&gt;&lt;authors&gt;&lt;author&gt;Frasor, Jonna&lt;/author&gt;&lt;author&gt;Weaver, Aisha&lt;/author&gt;&lt;author&gt;Pradhan, Madhumita&lt;/author&gt;&lt;author&gt;Dai, Yang&lt;/author&gt;&lt;author&gt;Miller, Lance D&lt;/author&gt;&lt;author&gt;Lin, Chin-Yo&lt;/author&gt;&lt;author&gt;Stanculescu, Adina&lt;/author&gt;&lt;/authors&gt;&lt;/contributors&gt;&lt;titles&gt;&lt;title&gt;Positive cross-talk between estrogen receptor and NF-κB in breast cancer&lt;/title&gt;&lt;secondary-title&gt;Cancer research&lt;/secondary-title&gt;&lt;/titles&gt;&lt;periodical&gt;&lt;full-title&gt;Cancer research&lt;/full-title&gt;&lt;/periodical&gt;&lt;pages&gt;8918-8925&lt;/pages&gt;&lt;volume&gt;69&lt;/volume&gt;&lt;number&gt;23&lt;/number&gt;&lt;dates&gt;&lt;year&gt;2009&lt;/year&gt;&lt;/dates&gt;&lt;isbn&gt;0008-5472&lt;/isbn&gt;&lt;urls&gt;&lt;/urls&gt;&lt;/record&gt;&lt;/Cite&gt;&lt;/EndNote&gt;</w:instrText>
      </w:r>
      <w:r w:rsidR="00BF310B"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21" w:tooltip="Frasor, 2009 #623" w:history="1">
        <w:r w:rsidR="0038443C">
          <w:rPr>
            <w:rFonts w:ascii="Arial" w:hAnsi="Arial" w:cs="Arial"/>
            <w:noProof/>
            <w:sz w:val="24"/>
            <w:szCs w:val="24"/>
            <w:lang w:val="en-GB"/>
          </w:rPr>
          <w:t>21</w:t>
        </w:r>
      </w:hyperlink>
      <w:r w:rsidR="0038443C">
        <w:rPr>
          <w:rFonts w:ascii="Arial" w:hAnsi="Arial" w:cs="Arial"/>
          <w:noProof/>
          <w:sz w:val="24"/>
          <w:szCs w:val="24"/>
          <w:lang w:val="en-GB"/>
        </w:rPr>
        <w:t>)</w:t>
      </w:r>
      <w:r w:rsidR="00BF310B" w:rsidRPr="00F83C46">
        <w:rPr>
          <w:rFonts w:ascii="Arial" w:hAnsi="Arial" w:cs="Arial"/>
          <w:sz w:val="24"/>
          <w:szCs w:val="24"/>
          <w:lang w:val="en-GB"/>
        </w:rPr>
        <w:fldChar w:fldCharType="end"/>
      </w:r>
      <w:r w:rsidR="0094354B" w:rsidRPr="00F83C46">
        <w:rPr>
          <w:rFonts w:ascii="Arial" w:hAnsi="Arial" w:cs="Arial"/>
          <w:sz w:val="24"/>
          <w:szCs w:val="24"/>
          <w:lang w:val="en-GB"/>
        </w:rPr>
        <w:t xml:space="preserve">. In our analysis, BIRC3 is one of the most important features </w:t>
      </w:r>
      <w:r w:rsidRPr="00F83C46">
        <w:rPr>
          <w:rFonts w:ascii="Arial" w:hAnsi="Arial" w:cs="Arial"/>
          <w:sz w:val="24"/>
          <w:szCs w:val="24"/>
          <w:lang w:val="en-GB"/>
        </w:rPr>
        <w:t>of</w:t>
      </w:r>
      <w:r w:rsidR="0094354B" w:rsidRPr="00F83C46">
        <w:rPr>
          <w:rFonts w:ascii="Arial" w:hAnsi="Arial" w:cs="Arial"/>
          <w:sz w:val="24"/>
          <w:szCs w:val="24"/>
          <w:lang w:val="en-GB"/>
        </w:rPr>
        <w:t xml:space="preserve"> the immune-related gene signature. ssGSEA showed </w:t>
      </w:r>
      <w:r w:rsidR="00926A2B" w:rsidRPr="00F83C46">
        <w:rPr>
          <w:rFonts w:ascii="Arial" w:eastAsia="宋体" w:hAnsi="Arial" w:cs="Arial"/>
          <w:sz w:val="24"/>
          <w:szCs w:val="24"/>
          <w:lang w:val="en-GB"/>
        </w:rPr>
        <w:t>a</w:t>
      </w:r>
      <w:r w:rsidR="0094354B" w:rsidRPr="00F83C46">
        <w:rPr>
          <w:rFonts w:ascii="Arial" w:hAnsi="Arial" w:cs="Arial"/>
          <w:sz w:val="24"/>
          <w:szCs w:val="24"/>
          <w:lang w:val="en-GB"/>
        </w:rPr>
        <w:t xml:space="preserve"> high correlation between the immune-related gene signature</w:t>
      </w:r>
      <w:r w:rsidR="002646D5" w:rsidRPr="00F83C46">
        <w:rPr>
          <w:rFonts w:ascii="Arial" w:hAnsi="Arial" w:cs="Arial" w:hint="eastAsia"/>
          <w:sz w:val="24"/>
          <w:szCs w:val="24"/>
          <w:lang w:val="en-GB"/>
        </w:rPr>
        <w:t>-based</w:t>
      </w:r>
      <w:r w:rsidR="006A7842" w:rsidRPr="00F83C46">
        <w:rPr>
          <w:rFonts w:ascii="Arial" w:hAnsi="Arial" w:cs="Arial"/>
          <w:sz w:val="24"/>
          <w:szCs w:val="24"/>
          <w:lang w:val="en-GB"/>
        </w:rPr>
        <w:t xml:space="preserve"> risk score and </w:t>
      </w:r>
      <w:r w:rsidRPr="00F83C46">
        <w:rPr>
          <w:rFonts w:ascii="Arial" w:hAnsi="Arial" w:cs="Arial"/>
          <w:sz w:val="24"/>
          <w:szCs w:val="24"/>
          <w:lang w:val="en-GB"/>
        </w:rPr>
        <w:t xml:space="preserve">the </w:t>
      </w:r>
      <w:r w:rsidR="006A7842" w:rsidRPr="00F83C46">
        <w:rPr>
          <w:rFonts w:ascii="Arial" w:hAnsi="Arial" w:cs="Arial"/>
          <w:sz w:val="24"/>
          <w:szCs w:val="24"/>
          <w:lang w:val="en-GB"/>
        </w:rPr>
        <w:t xml:space="preserve">TNF-α pathway. </w:t>
      </w:r>
      <w:r w:rsidRPr="00F83C46">
        <w:rPr>
          <w:rFonts w:ascii="Arial" w:hAnsi="Arial" w:cs="Arial"/>
          <w:sz w:val="24"/>
          <w:szCs w:val="24"/>
          <w:lang w:val="en-GB"/>
        </w:rPr>
        <w:t>Overall</w:t>
      </w:r>
      <w:r w:rsidR="006A7842" w:rsidRPr="00F83C46">
        <w:rPr>
          <w:rFonts w:ascii="Arial" w:hAnsi="Arial" w:cs="Arial"/>
          <w:sz w:val="24"/>
          <w:szCs w:val="24"/>
          <w:lang w:val="en-GB"/>
        </w:rPr>
        <w:t xml:space="preserve">, we concluded that BIRC3 is an important key regulator </w:t>
      </w:r>
      <w:r w:rsidR="00926A2B" w:rsidRPr="00F83C46">
        <w:rPr>
          <w:rFonts w:ascii="Arial" w:eastAsia="宋体" w:hAnsi="Arial" w:cs="Arial"/>
          <w:sz w:val="24"/>
          <w:szCs w:val="24"/>
          <w:lang w:val="en-GB"/>
        </w:rPr>
        <w:t>that</w:t>
      </w:r>
      <w:r w:rsidR="006A7842" w:rsidRPr="00F83C46">
        <w:rPr>
          <w:rFonts w:ascii="Arial" w:hAnsi="Arial" w:cs="Arial"/>
          <w:sz w:val="24"/>
          <w:szCs w:val="24"/>
          <w:lang w:val="en-GB"/>
        </w:rPr>
        <w:t xml:space="preserve"> crosslinks </w:t>
      </w:r>
      <w:r w:rsidR="00926A2B" w:rsidRPr="00F83C46">
        <w:rPr>
          <w:rFonts w:ascii="Arial" w:eastAsia="宋体" w:hAnsi="Arial" w:cs="Arial"/>
          <w:sz w:val="24"/>
          <w:szCs w:val="24"/>
          <w:lang w:val="en-GB"/>
        </w:rPr>
        <w:t xml:space="preserve">the </w:t>
      </w:r>
      <w:r w:rsidR="006A7842" w:rsidRPr="00F83C46">
        <w:rPr>
          <w:rFonts w:ascii="Arial" w:hAnsi="Arial" w:cs="Arial"/>
          <w:sz w:val="24"/>
          <w:szCs w:val="24"/>
          <w:lang w:val="en-GB"/>
        </w:rPr>
        <w:t xml:space="preserve">TNF-α pathway and immune response in early-stage LUAD. Considering the heterogeneity in LUAD tumour tissues, we also performed ssGSEA in lung cancer cell lines. Strikingly, Spearman’s test revealed </w:t>
      </w:r>
      <w:r w:rsidR="00926A2B" w:rsidRPr="00F83C46">
        <w:rPr>
          <w:rFonts w:ascii="Arial" w:eastAsia="宋体" w:hAnsi="Arial" w:cs="Arial"/>
          <w:sz w:val="24"/>
          <w:szCs w:val="24"/>
          <w:lang w:val="en-GB"/>
        </w:rPr>
        <w:t>a</w:t>
      </w:r>
      <w:r w:rsidR="006A7842" w:rsidRPr="00F83C46">
        <w:rPr>
          <w:rFonts w:ascii="Arial" w:hAnsi="Arial" w:cs="Arial"/>
          <w:sz w:val="24"/>
          <w:szCs w:val="24"/>
          <w:lang w:val="en-GB"/>
        </w:rPr>
        <w:t xml:space="preserve"> coefficient</w:t>
      </w:r>
      <w:r w:rsidR="00926A2B" w:rsidRPr="00F83C46">
        <w:rPr>
          <w:rFonts w:ascii="Arial" w:eastAsia="宋体" w:hAnsi="Arial" w:cs="Arial"/>
          <w:sz w:val="24"/>
          <w:szCs w:val="24"/>
          <w:lang w:val="en-GB"/>
        </w:rPr>
        <w:t xml:space="preserve"> of</w:t>
      </w:r>
      <w:r w:rsidR="006A7842" w:rsidRPr="00F83C46">
        <w:rPr>
          <w:rFonts w:ascii="Arial" w:hAnsi="Arial" w:cs="Arial"/>
          <w:sz w:val="24"/>
          <w:szCs w:val="24"/>
          <w:lang w:val="en-GB"/>
        </w:rPr>
        <w:t xml:space="preserve"> 0.77 between the immune-related gene signature</w:t>
      </w:r>
      <w:r w:rsidR="002646D5" w:rsidRPr="00F83C46">
        <w:rPr>
          <w:rFonts w:ascii="Arial" w:hAnsi="Arial" w:cs="Arial" w:hint="eastAsia"/>
          <w:sz w:val="24"/>
          <w:szCs w:val="24"/>
          <w:lang w:val="en-GB"/>
        </w:rPr>
        <w:t>-based</w:t>
      </w:r>
      <w:r w:rsidR="00185CCF" w:rsidRPr="00F83C46">
        <w:rPr>
          <w:rFonts w:ascii="Arial" w:hAnsi="Arial" w:cs="Arial"/>
          <w:sz w:val="24"/>
          <w:szCs w:val="24"/>
          <w:lang w:val="en-GB"/>
        </w:rPr>
        <w:t xml:space="preserve"> risk score and</w:t>
      </w:r>
      <w:r w:rsidRPr="00F83C46">
        <w:rPr>
          <w:rFonts w:ascii="Arial" w:hAnsi="Arial" w:cs="Arial"/>
          <w:sz w:val="24"/>
          <w:szCs w:val="24"/>
          <w:lang w:val="en-GB"/>
        </w:rPr>
        <w:t xml:space="preserve"> the</w:t>
      </w:r>
      <w:r w:rsidR="00185CCF" w:rsidRPr="00F83C46">
        <w:rPr>
          <w:rFonts w:ascii="Arial" w:hAnsi="Arial" w:cs="Arial"/>
          <w:sz w:val="24"/>
          <w:szCs w:val="24"/>
          <w:lang w:val="en-GB"/>
        </w:rPr>
        <w:t xml:space="preserve"> TNF-α pathway. TNF-α pathway</w:t>
      </w:r>
      <w:r w:rsidR="00926A2B" w:rsidRPr="00F83C46">
        <w:rPr>
          <w:rFonts w:ascii="Arial" w:eastAsia="宋体" w:hAnsi="Arial" w:cs="Arial"/>
          <w:sz w:val="24"/>
          <w:szCs w:val="24"/>
          <w:lang w:val="en-GB"/>
        </w:rPr>
        <w:t>-</w:t>
      </w:r>
      <w:r w:rsidR="00185CCF" w:rsidRPr="00F83C46">
        <w:rPr>
          <w:rFonts w:ascii="Arial" w:hAnsi="Arial" w:cs="Arial"/>
          <w:sz w:val="24"/>
          <w:szCs w:val="24"/>
          <w:lang w:val="en-GB"/>
        </w:rPr>
        <w:t xml:space="preserve">mediated </w:t>
      </w:r>
      <w:r w:rsidR="00926A2B" w:rsidRPr="00F83C46">
        <w:rPr>
          <w:rFonts w:ascii="Arial" w:eastAsia="宋体" w:hAnsi="Arial" w:cs="Arial"/>
          <w:sz w:val="24"/>
          <w:szCs w:val="24"/>
          <w:lang w:val="en-GB"/>
        </w:rPr>
        <w:t>inflammatory</w:t>
      </w:r>
      <w:r w:rsidR="00185CCF" w:rsidRPr="00F83C46">
        <w:rPr>
          <w:rFonts w:ascii="Arial" w:hAnsi="Arial" w:cs="Arial"/>
          <w:sz w:val="24"/>
          <w:szCs w:val="24"/>
          <w:lang w:val="en-GB"/>
        </w:rPr>
        <w:t xml:space="preserve"> responses play decisive roles in tumour development, including initiation, promotion, invasion, and metastasis. Inflammatory activities in</w:t>
      </w:r>
      <w:r w:rsidR="00926A2B" w:rsidRPr="00F83C46">
        <w:rPr>
          <w:rFonts w:ascii="Arial" w:eastAsia="宋体" w:hAnsi="Arial" w:cs="Arial"/>
          <w:sz w:val="24"/>
          <w:szCs w:val="24"/>
          <w:lang w:val="en-GB"/>
        </w:rPr>
        <w:t xml:space="preserve"> the</w:t>
      </w:r>
      <w:r w:rsidR="00185CCF" w:rsidRPr="00F83C46">
        <w:rPr>
          <w:rFonts w:ascii="Arial" w:hAnsi="Arial" w:cs="Arial"/>
          <w:sz w:val="24"/>
          <w:szCs w:val="24"/>
          <w:lang w:val="en-GB"/>
        </w:rPr>
        <w:t xml:space="preserve"> tumour microenvironment also affect immune surveillance and responses to therapy </w:t>
      </w:r>
      <w:r w:rsidR="00185CCF"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&lt;EndNote&gt;&lt;Cite&gt;&lt;Author&gt;Chow&lt;/Author&gt;&lt;Year&gt;2012&lt;/Year&gt;&lt;RecNum&gt;624&lt;/RecNum&gt;&lt;DisplayText&gt;(22)&lt;/DisplayText&gt;&lt;record&gt;&lt;rec-number&gt;624&lt;/rec-number&gt;&lt;foreign-keys&gt;&lt;key app="EN" db-id="59aa22z2jdzvtfe52vqxpfw9wpraze9w25rw"&gt;624&lt;/key&gt;&lt;/foreign-keys&gt;&lt;ref-type name="Conference Proceedings"&gt;10&lt;/ref-type&gt;&lt;contributors&gt;&lt;authors&gt;&lt;author&gt;Chow, Melvyn T&lt;/author&gt;&lt;author&gt;Möller, Andreas&lt;/author&gt;&lt;author&gt;Smyth, Mark J&lt;/author&gt;&lt;/authors&gt;&lt;/contributors&gt;&lt;titles&gt;&lt;title&gt;Inflammation and immune surveillance in cancer&lt;/title&gt;&lt;secondary-title&gt;Seminars in cancer biology&lt;/secondary-title&gt;&lt;/titles&gt;&lt;pages&gt;23-32&lt;/pages&gt;&lt;volume&gt;22&lt;/volume&gt;&lt;number&gt;1&lt;/number&gt;&lt;dates&gt;&lt;year&gt;2012&lt;/year&gt;&lt;/dates&gt;&lt;publisher&gt;Elsevier&lt;/publisher&gt;&lt;isbn&gt;1044-579X&lt;/isbn&gt;&lt;urls&gt;&lt;/urls&gt;&lt;/record&gt;&lt;/Cite&gt;&lt;/EndNote&gt;</w:instrText>
      </w:r>
      <w:r w:rsidR="00185CCF"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22" w:tooltip="Chow, 2012 #624" w:history="1">
        <w:r w:rsidR="0038443C">
          <w:rPr>
            <w:rFonts w:ascii="Arial" w:hAnsi="Arial" w:cs="Arial"/>
            <w:noProof/>
            <w:sz w:val="24"/>
            <w:szCs w:val="24"/>
            <w:lang w:val="en-GB"/>
          </w:rPr>
          <w:t>22</w:t>
        </w:r>
      </w:hyperlink>
      <w:r w:rsidR="0038443C">
        <w:rPr>
          <w:rFonts w:ascii="Arial" w:hAnsi="Arial" w:cs="Arial"/>
          <w:noProof/>
          <w:sz w:val="24"/>
          <w:szCs w:val="24"/>
          <w:lang w:val="en-GB"/>
        </w:rPr>
        <w:t>)</w:t>
      </w:r>
      <w:r w:rsidR="00185CCF" w:rsidRPr="00F83C46">
        <w:rPr>
          <w:rFonts w:ascii="Arial" w:hAnsi="Arial" w:cs="Arial"/>
          <w:sz w:val="24"/>
          <w:szCs w:val="24"/>
          <w:lang w:val="en-GB"/>
        </w:rPr>
        <w:fldChar w:fldCharType="end"/>
      </w:r>
      <w:r w:rsidR="00185CCF" w:rsidRPr="00F83C46">
        <w:rPr>
          <w:rFonts w:ascii="Arial" w:hAnsi="Arial" w:cs="Arial"/>
          <w:sz w:val="24"/>
          <w:szCs w:val="24"/>
          <w:lang w:val="en-GB"/>
        </w:rPr>
        <w:t xml:space="preserve">. One study revealed </w:t>
      </w:r>
      <w:r w:rsidR="00926A2B" w:rsidRPr="00F83C46">
        <w:rPr>
          <w:rFonts w:ascii="Arial" w:eastAsia="宋体" w:hAnsi="Arial" w:cs="Arial"/>
          <w:sz w:val="24"/>
          <w:szCs w:val="24"/>
          <w:lang w:val="en-GB"/>
        </w:rPr>
        <w:t xml:space="preserve">that </w:t>
      </w:r>
      <w:r w:rsidRPr="00F83C46">
        <w:rPr>
          <w:rFonts w:ascii="Arial" w:eastAsia="宋体" w:hAnsi="Arial" w:cs="Arial"/>
          <w:sz w:val="24"/>
          <w:szCs w:val="24"/>
          <w:lang w:val="en-GB"/>
        </w:rPr>
        <w:t xml:space="preserve">the </w:t>
      </w:r>
      <w:r w:rsidR="00185CCF" w:rsidRPr="00F83C46">
        <w:rPr>
          <w:rFonts w:ascii="Arial" w:hAnsi="Arial" w:cs="Arial"/>
          <w:sz w:val="24"/>
          <w:szCs w:val="24"/>
          <w:lang w:val="en-GB"/>
        </w:rPr>
        <w:t>activation of NF-</w:t>
      </w:r>
      <w:proofErr w:type="spellStart"/>
      <w:r w:rsidR="00185CCF" w:rsidRPr="00F83C46">
        <w:rPr>
          <w:rFonts w:ascii="Arial" w:hAnsi="Arial" w:cs="Arial"/>
          <w:sz w:val="24"/>
          <w:szCs w:val="24"/>
          <w:lang w:val="en-GB"/>
        </w:rPr>
        <w:t>κB</w:t>
      </w:r>
      <w:proofErr w:type="spellEnd"/>
      <w:r w:rsidR="00185CCF" w:rsidRPr="00F83C46">
        <w:rPr>
          <w:rFonts w:ascii="Arial" w:hAnsi="Arial" w:cs="Arial"/>
          <w:sz w:val="24"/>
          <w:szCs w:val="24"/>
          <w:lang w:val="en-GB"/>
        </w:rPr>
        <w:t xml:space="preserve"> in immune cells induces</w:t>
      </w:r>
      <w:r w:rsidR="00926A2B" w:rsidRPr="00F83C46">
        <w:rPr>
          <w:rFonts w:ascii="Arial" w:eastAsia="宋体" w:hAnsi="Arial" w:cs="Arial"/>
          <w:sz w:val="24"/>
          <w:szCs w:val="24"/>
          <w:lang w:val="en-GB"/>
        </w:rPr>
        <w:t xml:space="preserve"> the</w:t>
      </w:r>
      <w:r w:rsidR="00185CCF" w:rsidRPr="00F83C46">
        <w:rPr>
          <w:rFonts w:ascii="Arial" w:hAnsi="Arial" w:cs="Arial"/>
          <w:sz w:val="24"/>
          <w:szCs w:val="24"/>
          <w:lang w:val="en-GB"/>
        </w:rPr>
        <w:t xml:space="preserve"> production of cytokines that activate NF-</w:t>
      </w:r>
      <w:proofErr w:type="spellStart"/>
      <w:r w:rsidR="00185CCF" w:rsidRPr="00F83C46">
        <w:rPr>
          <w:rFonts w:ascii="Arial" w:hAnsi="Arial" w:cs="Arial"/>
          <w:sz w:val="24"/>
          <w:szCs w:val="24"/>
          <w:lang w:val="en-GB"/>
        </w:rPr>
        <w:t>κB</w:t>
      </w:r>
      <w:proofErr w:type="spellEnd"/>
      <w:r w:rsidR="00185CCF" w:rsidRPr="00F83C46">
        <w:rPr>
          <w:rFonts w:ascii="Arial" w:hAnsi="Arial" w:cs="Arial"/>
          <w:sz w:val="24"/>
          <w:szCs w:val="24"/>
          <w:lang w:val="en-GB"/>
        </w:rPr>
        <w:t xml:space="preserve"> in cancer cells to induce chemokines that attract more inflammatory cells into the tumour </w:t>
      </w:r>
      <w:r w:rsidR="00185CCF"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&lt;EndNote&gt;&lt;Cite&gt;&lt;Author&gt;Grivennikov&lt;/Author&gt;&lt;Year&gt;2010&lt;/Year&gt;&lt;RecNum&gt;625&lt;/RecNum&gt;&lt;DisplayText&gt;(23)&lt;/DisplayText&gt;&lt;record&gt;&lt;rec-number&gt;625&lt;/rec-number&gt;&lt;foreign-keys&gt;&lt;key app="EN" db-id="59aa22z2jdzvtfe52vqxpfw9wpraze9w25rw"&gt;625&lt;/key&gt;&lt;/foreign-keys&gt;&lt;ref-type name="Journal Article"&gt;17&lt;/ref-type&gt;&lt;contributors&gt;&lt;authors&gt;&lt;author&gt;Grivennikov, Sergei I&lt;/author&gt;&lt;author&gt;Greten, Florian R&lt;/author&gt;&lt;author&gt;Karin, Michael&lt;/author&gt;&lt;/authors&gt;&lt;/contributors&gt;&lt;titles&gt;&lt;title&gt;Immunity, inflammation, and cancer&lt;/title&gt;&lt;secondary-title&gt;Cell&lt;/secondary-title&gt;&lt;/titles&gt;&lt;periodical&gt;&lt;full-title&gt;cell&lt;/full-title&gt;&lt;/periodical&gt;&lt;pages&gt;883-899&lt;/pages&gt;&lt;volume&gt;140&lt;/volume&gt;&lt;number&gt;6&lt;/number&gt;&lt;dates&gt;&lt;year&gt;2010&lt;/year&gt;&lt;/dates&gt;&lt;isbn&gt;0092-8674&lt;/isbn&gt;&lt;urls&gt;&lt;/urls&gt;&lt;/record&gt;&lt;/Cite&gt;&lt;/EndNote&gt;</w:instrText>
      </w:r>
      <w:r w:rsidR="00185CCF"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23" w:tooltip="Grivennikov, 2010 #625" w:history="1">
        <w:r w:rsidR="0038443C">
          <w:rPr>
            <w:rFonts w:ascii="Arial" w:hAnsi="Arial" w:cs="Arial"/>
            <w:noProof/>
            <w:sz w:val="24"/>
            <w:szCs w:val="24"/>
            <w:lang w:val="en-GB"/>
          </w:rPr>
          <w:t>23</w:t>
        </w:r>
      </w:hyperlink>
      <w:r w:rsidR="0038443C">
        <w:rPr>
          <w:rFonts w:ascii="Arial" w:hAnsi="Arial" w:cs="Arial"/>
          <w:noProof/>
          <w:sz w:val="24"/>
          <w:szCs w:val="24"/>
          <w:lang w:val="en-GB"/>
        </w:rPr>
        <w:t>)</w:t>
      </w:r>
      <w:r w:rsidR="00185CCF" w:rsidRPr="00F83C46">
        <w:rPr>
          <w:rFonts w:ascii="Arial" w:hAnsi="Arial" w:cs="Arial"/>
          <w:sz w:val="24"/>
          <w:szCs w:val="24"/>
          <w:lang w:val="en-GB"/>
        </w:rPr>
        <w:fldChar w:fldCharType="end"/>
      </w:r>
      <w:r w:rsidR="00185CCF" w:rsidRPr="00F83C46">
        <w:rPr>
          <w:rFonts w:ascii="Arial" w:hAnsi="Arial" w:cs="Arial"/>
          <w:sz w:val="24"/>
          <w:szCs w:val="24"/>
          <w:lang w:val="en-GB"/>
        </w:rPr>
        <w:t>. Th</w:t>
      </w:r>
      <w:r w:rsidRPr="00F83C46">
        <w:rPr>
          <w:rFonts w:ascii="Arial" w:hAnsi="Arial" w:cs="Arial"/>
          <w:sz w:val="24"/>
          <w:szCs w:val="24"/>
          <w:lang w:val="en-GB"/>
        </w:rPr>
        <w:t>is</w:t>
      </w:r>
      <w:r w:rsidR="00185CCF" w:rsidRPr="00F83C46">
        <w:rPr>
          <w:rFonts w:ascii="Arial" w:hAnsi="Arial" w:cs="Arial"/>
          <w:sz w:val="24"/>
          <w:szCs w:val="24"/>
          <w:lang w:val="en-GB"/>
        </w:rPr>
        <w:t xml:space="preserve"> protumorigenic </w:t>
      </w:r>
      <w:r w:rsidRPr="00F83C46">
        <w:rPr>
          <w:rFonts w:ascii="Arial" w:hAnsi="Arial" w:cs="Arial"/>
          <w:sz w:val="24"/>
          <w:szCs w:val="24"/>
          <w:lang w:val="en-GB"/>
        </w:rPr>
        <w:t xml:space="preserve">feedback </w:t>
      </w:r>
      <w:r w:rsidR="00185CCF" w:rsidRPr="00F83C46">
        <w:rPr>
          <w:rFonts w:ascii="Arial" w:hAnsi="Arial" w:cs="Arial"/>
          <w:sz w:val="24"/>
          <w:szCs w:val="24"/>
          <w:lang w:val="en-GB"/>
        </w:rPr>
        <w:t xml:space="preserve">loop contributed to tumour progression. </w:t>
      </w:r>
      <w:r w:rsidRPr="00F83C46">
        <w:rPr>
          <w:rFonts w:ascii="Arial" w:hAnsi="Arial" w:cs="Arial"/>
          <w:sz w:val="24"/>
          <w:szCs w:val="24"/>
          <w:lang w:val="en-GB"/>
        </w:rPr>
        <w:t>In</w:t>
      </w:r>
      <w:r w:rsidR="00185CCF" w:rsidRPr="00F83C46">
        <w:rPr>
          <w:rFonts w:ascii="Arial" w:hAnsi="Arial" w:cs="Arial"/>
          <w:sz w:val="24"/>
          <w:szCs w:val="24"/>
          <w:lang w:val="en-GB"/>
        </w:rPr>
        <w:t xml:space="preserve"> early-stage LUAD</w:t>
      </w:r>
      <w:r w:rsidRPr="00F83C46">
        <w:rPr>
          <w:rFonts w:ascii="Arial" w:hAnsi="Arial" w:cs="Arial"/>
          <w:sz w:val="24"/>
          <w:szCs w:val="24"/>
          <w:lang w:val="en-GB"/>
        </w:rPr>
        <w:t>, we found that</w:t>
      </w:r>
      <w:r w:rsidR="00185CCF" w:rsidRPr="00F83C46">
        <w:rPr>
          <w:rFonts w:ascii="Arial" w:hAnsi="Arial" w:cs="Arial"/>
          <w:sz w:val="24"/>
          <w:szCs w:val="24"/>
          <w:lang w:val="en-GB"/>
        </w:rPr>
        <w:t xml:space="preserve"> TNF-α</w:t>
      </w:r>
      <w:r w:rsidR="00926A2B" w:rsidRPr="00F83C46">
        <w:rPr>
          <w:rFonts w:ascii="Arial" w:eastAsia="宋体" w:hAnsi="Arial" w:cs="Arial"/>
          <w:sz w:val="24"/>
          <w:szCs w:val="24"/>
          <w:lang w:val="en-GB"/>
        </w:rPr>
        <w:t>-</w:t>
      </w:r>
      <w:r w:rsidR="00185CCF" w:rsidRPr="00F83C46">
        <w:rPr>
          <w:rFonts w:ascii="Arial" w:hAnsi="Arial" w:cs="Arial"/>
          <w:sz w:val="24"/>
          <w:szCs w:val="24"/>
          <w:lang w:val="en-GB"/>
        </w:rPr>
        <w:t xml:space="preserve">mediated inflammation </w:t>
      </w:r>
      <w:r w:rsidRPr="00F83C46">
        <w:rPr>
          <w:rFonts w:ascii="Arial" w:hAnsi="Arial" w:cs="Arial"/>
          <w:sz w:val="24"/>
          <w:szCs w:val="24"/>
          <w:lang w:val="en-GB"/>
        </w:rPr>
        <w:t xml:space="preserve">was </w:t>
      </w:r>
      <w:r w:rsidR="00185CCF" w:rsidRPr="00F83C46">
        <w:rPr>
          <w:rFonts w:ascii="Arial" w:hAnsi="Arial" w:cs="Arial"/>
          <w:sz w:val="24"/>
          <w:szCs w:val="24"/>
          <w:lang w:val="en-GB"/>
        </w:rPr>
        <w:t xml:space="preserve">associated with immune activity </w:t>
      </w:r>
      <w:r w:rsidR="004B5021" w:rsidRPr="00F83C46">
        <w:rPr>
          <w:rFonts w:ascii="Arial" w:hAnsi="Arial" w:cs="Arial"/>
          <w:sz w:val="24"/>
          <w:szCs w:val="24"/>
          <w:lang w:val="en-GB"/>
        </w:rPr>
        <w:t>based on</w:t>
      </w:r>
      <w:r w:rsidR="00185CCF" w:rsidRPr="00F83C46">
        <w:rPr>
          <w:rFonts w:ascii="Arial" w:hAnsi="Arial" w:cs="Arial"/>
          <w:sz w:val="24"/>
          <w:szCs w:val="24"/>
          <w:lang w:val="en-GB"/>
        </w:rPr>
        <w:t xml:space="preserve"> the high correlation between </w:t>
      </w:r>
      <w:r w:rsidR="00926A2B" w:rsidRPr="00F83C46">
        <w:rPr>
          <w:rFonts w:ascii="Arial" w:eastAsia="宋体" w:hAnsi="Arial" w:cs="Arial"/>
          <w:sz w:val="24"/>
          <w:szCs w:val="24"/>
          <w:lang w:val="en-GB"/>
        </w:rPr>
        <w:t xml:space="preserve">the </w:t>
      </w:r>
      <w:r w:rsidR="00185CCF" w:rsidRPr="00F83C46">
        <w:rPr>
          <w:rFonts w:ascii="Arial" w:hAnsi="Arial" w:cs="Arial"/>
          <w:sz w:val="24"/>
          <w:szCs w:val="24"/>
          <w:lang w:val="en-GB"/>
        </w:rPr>
        <w:t xml:space="preserve">TNF-α pathway and </w:t>
      </w:r>
      <w:r w:rsidR="00926A2B" w:rsidRPr="00F83C46">
        <w:rPr>
          <w:rFonts w:ascii="Arial" w:eastAsia="宋体" w:hAnsi="Arial" w:cs="Arial"/>
          <w:sz w:val="24"/>
          <w:szCs w:val="24"/>
          <w:lang w:val="en-GB"/>
        </w:rPr>
        <w:t xml:space="preserve">the </w:t>
      </w:r>
      <w:r w:rsidR="00185CCF" w:rsidRPr="00F83C46">
        <w:rPr>
          <w:rFonts w:ascii="Arial" w:hAnsi="Arial" w:cs="Arial"/>
          <w:sz w:val="24"/>
          <w:szCs w:val="24"/>
          <w:lang w:val="en-GB"/>
        </w:rPr>
        <w:t xml:space="preserve">immune-related signature. </w:t>
      </w:r>
      <w:r w:rsidR="004B5021" w:rsidRPr="00F83C46">
        <w:rPr>
          <w:rFonts w:ascii="Arial" w:hAnsi="Arial" w:cs="Arial"/>
          <w:sz w:val="24"/>
          <w:szCs w:val="24"/>
          <w:lang w:val="en-GB"/>
        </w:rPr>
        <w:t xml:space="preserve">Disrupting </w:t>
      </w:r>
      <w:r w:rsidR="00185CCF" w:rsidRPr="00F83C46">
        <w:rPr>
          <w:rFonts w:ascii="Arial" w:hAnsi="Arial" w:cs="Arial"/>
          <w:sz w:val="24"/>
          <w:szCs w:val="24"/>
          <w:lang w:val="en-GB"/>
        </w:rPr>
        <w:t xml:space="preserve">the crosstalk between </w:t>
      </w:r>
      <w:r w:rsidR="00926A2B" w:rsidRPr="00F83C46">
        <w:rPr>
          <w:rFonts w:ascii="Arial" w:eastAsia="宋体" w:hAnsi="Arial" w:cs="Arial"/>
          <w:sz w:val="24"/>
          <w:szCs w:val="24"/>
          <w:lang w:val="en-GB"/>
        </w:rPr>
        <w:t xml:space="preserve">the </w:t>
      </w:r>
      <w:r w:rsidR="00185CCF" w:rsidRPr="00F83C46">
        <w:rPr>
          <w:rFonts w:ascii="Arial" w:hAnsi="Arial" w:cs="Arial"/>
          <w:sz w:val="24"/>
          <w:szCs w:val="24"/>
          <w:lang w:val="en-GB"/>
        </w:rPr>
        <w:t xml:space="preserve">TNF-α pathway and </w:t>
      </w:r>
      <w:r w:rsidR="00926A2B" w:rsidRPr="00F83C46">
        <w:rPr>
          <w:rFonts w:ascii="Arial" w:eastAsia="宋体" w:hAnsi="Arial" w:cs="Arial"/>
          <w:sz w:val="24"/>
          <w:szCs w:val="24"/>
          <w:lang w:val="en-GB"/>
        </w:rPr>
        <w:t xml:space="preserve">the </w:t>
      </w:r>
      <w:r w:rsidR="00185CCF" w:rsidRPr="00F83C46">
        <w:rPr>
          <w:rFonts w:ascii="Arial" w:hAnsi="Arial" w:cs="Arial"/>
          <w:sz w:val="24"/>
          <w:szCs w:val="24"/>
          <w:lang w:val="en-GB"/>
        </w:rPr>
        <w:t xml:space="preserve">immune response may be a potential target in </w:t>
      </w:r>
      <w:r w:rsidR="00926A2B" w:rsidRPr="00F83C46">
        <w:rPr>
          <w:rFonts w:ascii="Arial" w:eastAsia="宋体" w:hAnsi="Arial" w:cs="Arial"/>
          <w:sz w:val="24"/>
          <w:szCs w:val="24"/>
          <w:lang w:val="en-GB"/>
        </w:rPr>
        <w:t xml:space="preserve">the </w:t>
      </w:r>
      <w:r w:rsidR="00185CCF" w:rsidRPr="00F83C46">
        <w:rPr>
          <w:rFonts w:ascii="Arial" w:hAnsi="Arial" w:cs="Arial"/>
          <w:sz w:val="24"/>
          <w:szCs w:val="24"/>
          <w:lang w:val="en-GB"/>
        </w:rPr>
        <w:t xml:space="preserve">treatment of early-stage LUAD. </w:t>
      </w:r>
      <w:r w:rsidR="00926A2B" w:rsidRPr="00F83C46">
        <w:rPr>
          <w:rFonts w:ascii="Arial" w:eastAsia="宋体" w:hAnsi="Arial" w:cs="Arial"/>
          <w:sz w:val="24"/>
          <w:szCs w:val="24"/>
          <w:lang w:val="en-GB"/>
        </w:rPr>
        <w:t>The immune</w:t>
      </w:r>
      <w:r w:rsidR="00185CCF" w:rsidRPr="00F83C46">
        <w:rPr>
          <w:rFonts w:ascii="Arial" w:hAnsi="Arial" w:cs="Arial"/>
          <w:sz w:val="24"/>
          <w:szCs w:val="24"/>
          <w:lang w:val="en-GB"/>
        </w:rPr>
        <w:t xml:space="preserve"> response is conventionally considered </w:t>
      </w:r>
      <w:r w:rsidR="00926A2B" w:rsidRPr="00F83C46">
        <w:rPr>
          <w:rFonts w:ascii="Arial" w:eastAsia="宋体" w:hAnsi="Arial" w:cs="Arial"/>
          <w:sz w:val="24"/>
          <w:szCs w:val="24"/>
          <w:lang w:val="en-GB"/>
        </w:rPr>
        <w:t>an</w:t>
      </w:r>
      <w:r w:rsidR="00185CCF" w:rsidRPr="00F83C46">
        <w:rPr>
          <w:rFonts w:ascii="Arial" w:hAnsi="Arial" w:cs="Arial"/>
          <w:sz w:val="24"/>
          <w:szCs w:val="24"/>
          <w:lang w:val="en-GB"/>
        </w:rPr>
        <w:t xml:space="preserve"> anti</w:t>
      </w:r>
      <w:r w:rsidR="00CB1FB6" w:rsidRPr="00F83C46">
        <w:rPr>
          <w:rFonts w:ascii="Arial" w:hAnsi="Arial" w:cs="Arial"/>
          <w:sz w:val="24"/>
          <w:szCs w:val="24"/>
          <w:lang w:val="en-GB"/>
        </w:rPr>
        <w:t>-</w:t>
      </w:r>
      <w:r w:rsidR="002141FB" w:rsidRPr="00F83C46">
        <w:rPr>
          <w:rFonts w:ascii="Arial" w:hAnsi="Arial" w:cs="Arial"/>
          <w:sz w:val="24"/>
          <w:szCs w:val="24"/>
          <w:lang w:val="en-GB"/>
        </w:rPr>
        <w:t>tumour</w:t>
      </w:r>
      <w:r w:rsidR="00185CCF" w:rsidRPr="00F83C46">
        <w:rPr>
          <w:rFonts w:ascii="Arial" w:hAnsi="Arial" w:cs="Arial"/>
          <w:sz w:val="24"/>
          <w:szCs w:val="24"/>
          <w:lang w:val="en-GB"/>
        </w:rPr>
        <w:t xml:space="preserve"> </w:t>
      </w:r>
      <w:r w:rsidR="00926A2B" w:rsidRPr="00F83C46">
        <w:rPr>
          <w:rFonts w:ascii="Arial" w:eastAsia="宋体" w:hAnsi="Arial" w:cs="Arial"/>
          <w:sz w:val="24"/>
          <w:szCs w:val="24"/>
          <w:lang w:val="en-GB"/>
        </w:rPr>
        <w:t>mechanism</w:t>
      </w:r>
      <w:r w:rsidR="00185CCF" w:rsidRPr="00F83C46">
        <w:rPr>
          <w:rFonts w:ascii="Arial" w:hAnsi="Arial" w:cs="Arial"/>
          <w:sz w:val="24"/>
          <w:szCs w:val="24"/>
          <w:lang w:val="en-GB"/>
        </w:rPr>
        <w:t xml:space="preserve">. Interestingly, in our analysis </w:t>
      </w:r>
      <w:r w:rsidR="00926A2B" w:rsidRPr="00F83C46">
        <w:rPr>
          <w:rFonts w:ascii="Arial" w:eastAsia="宋体" w:hAnsi="Arial" w:cs="Arial"/>
          <w:sz w:val="24"/>
          <w:szCs w:val="24"/>
          <w:lang w:val="en-GB"/>
        </w:rPr>
        <w:t>of</w:t>
      </w:r>
      <w:r w:rsidR="00185CCF" w:rsidRPr="00F83C46">
        <w:rPr>
          <w:rFonts w:ascii="Arial" w:hAnsi="Arial" w:cs="Arial"/>
          <w:sz w:val="24"/>
          <w:szCs w:val="24"/>
          <w:lang w:val="en-GB"/>
        </w:rPr>
        <w:t xml:space="preserve"> CCLE lung cancer cell lines, the immune-related gene signature-based risk score showed </w:t>
      </w:r>
      <w:r w:rsidR="00926A2B" w:rsidRPr="00F83C46">
        <w:rPr>
          <w:rFonts w:ascii="Arial" w:eastAsia="宋体" w:hAnsi="Arial" w:cs="Arial"/>
          <w:sz w:val="24"/>
          <w:szCs w:val="24"/>
          <w:lang w:val="en-GB"/>
        </w:rPr>
        <w:t xml:space="preserve">a </w:t>
      </w:r>
      <w:r w:rsidR="00185CCF" w:rsidRPr="00F83C46">
        <w:rPr>
          <w:rFonts w:ascii="Arial" w:hAnsi="Arial" w:cs="Arial"/>
          <w:sz w:val="24"/>
          <w:szCs w:val="24"/>
          <w:lang w:val="en-GB"/>
        </w:rPr>
        <w:t xml:space="preserve">high correlation with </w:t>
      </w:r>
      <w:r w:rsidR="00926A2B" w:rsidRPr="00F83C46">
        <w:rPr>
          <w:rFonts w:ascii="Arial" w:eastAsia="宋体" w:hAnsi="Arial" w:cs="Arial"/>
          <w:sz w:val="24"/>
          <w:szCs w:val="24"/>
          <w:lang w:val="en-GB"/>
        </w:rPr>
        <w:t xml:space="preserve">the </w:t>
      </w:r>
      <w:r w:rsidR="00185CCF" w:rsidRPr="00F83C46">
        <w:rPr>
          <w:rFonts w:ascii="Arial" w:hAnsi="Arial" w:cs="Arial"/>
          <w:sz w:val="24"/>
          <w:szCs w:val="24"/>
          <w:lang w:val="en-GB"/>
        </w:rPr>
        <w:t xml:space="preserve">IL-6/JAK/Stat3 pathway, which is consistent with the notion that antitumorigenic and protumorigenic immune and inflammatory mechanisms coexist in developing tumours, but if the tumour is not rejected, the protumorigenic effect dominates </w:t>
      </w:r>
      <w:r w:rsidR="00185CCF"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&lt;EndNote&gt;&lt;Cite&gt;&lt;Author&gt;Grivennikov&lt;/Author&gt;&lt;Year&gt;2010&lt;/Year&gt;&lt;RecNum&gt;625&lt;/RecNum&gt;&lt;DisplayText&gt;(23)&lt;/DisplayText&gt;&lt;record&gt;&lt;rec-number&gt;625&lt;/rec-number&gt;&lt;foreign-keys&gt;&lt;key app="EN" db-id="59aa22z2jdzvtfe52vqxpfw9wpraze9w25rw"&gt;625&lt;/key&gt;&lt;/foreign-keys&gt;&lt;ref-type name="Journal Article"&gt;17&lt;/ref-type&gt;&lt;contributors&gt;&lt;authors&gt;&lt;author&gt;Grivennikov, Sergei I&lt;/author&gt;&lt;author&gt;Greten, Florian R&lt;/author&gt;&lt;author&gt;Karin, Michael&lt;/author&gt;&lt;/authors&gt;&lt;/contributors&gt;&lt;titles&gt;&lt;title&gt;Immunity, inflammation, and cancer&lt;/title&gt;&lt;secondary-title&gt;Cell&lt;/secondary-title&gt;&lt;/titles&gt;&lt;periodical&gt;&lt;full-title&gt;cell&lt;/full-title&gt;&lt;/periodical&gt;&lt;pages&gt;883-899&lt;/pages&gt;&lt;volume&gt;140&lt;/volume&gt;&lt;number&gt;6&lt;/number&gt;&lt;dates&gt;&lt;year&gt;2010&lt;/year&gt;&lt;/dates&gt;&lt;isbn&gt;0092-8674&lt;/isbn&gt;&lt;urls&gt;&lt;/urls&gt;&lt;/record&gt;&lt;/Cite&gt;&lt;/EndNote&gt;</w:instrText>
      </w:r>
      <w:r w:rsidR="00185CCF"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23" w:tooltip="Grivennikov, 2010 #625" w:history="1">
        <w:r w:rsidR="0038443C">
          <w:rPr>
            <w:rFonts w:ascii="Arial" w:hAnsi="Arial" w:cs="Arial"/>
            <w:noProof/>
            <w:sz w:val="24"/>
            <w:szCs w:val="24"/>
            <w:lang w:val="en-GB"/>
          </w:rPr>
          <w:t>23</w:t>
        </w:r>
      </w:hyperlink>
      <w:r w:rsidR="0038443C">
        <w:rPr>
          <w:rFonts w:ascii="Arial" w:hAnsi="Arial" w:cs="Arial"/>
          <w:noProof/>
          <w:sz w:val="24"/>
          <w:szCs w:val="24"/>
          <w:lang w:val="en-GB"/>
        </w:rPr>
        <w:t>)</w:t>
      </w:r>
      <w:r w:rsidR="00185CCF" w:rsidRPr="00F83C46">
        <w:rPr>
          <w:rFonts w:ascii="Arial" w:hAnsi="Arial" w:cs="Arial"/>
          <w:sz w:val="24"/>
          <w:szCs w:val="24"/>
          <w:lang w:val="en-GB"/>
        </w:rPr>
        <w:fldChar w:fldCharType="end"/>
      </w:r>
      <w:r w:rsidR="00185CCF" w:rsidRPr="00F83C46">
        <w:rPr>
          <w:rFonts w:ascii="Arial" w:hAnsi="Arial" w:cs="Arial"/>
          <w:sz w:val="24"/>
          <w:szCs w:val="24"/>
          <w:lang w:val="en-GB"/>
        </w:rPr>
        <w:t xml:space="preserve">. In </w:t>
      </w:r>
      <w:r w:rsidR="00926A2B" w:rsidRPr="00F83C46">
        <w:rPr>
          <w:rFonts w:ascii="Arial" w:eastAsia="宋体" w:hAnsi="Arial" w:cs="Arial"/>
          <w:sz w:val="24"/>
          <w:szCs w:val="24"/>
          <w:lang w:val="en-GB"/>
        </w:rPr>
        <w:t xml:space="preserve">the </w:t>
      </w:r>
      <w:r w:rsidR="00185CCF" w:rsidRPr="00F83C46">
        <w:rPr>
          <w:rFonts w:ascii="Arial" w:hAnsi="Arial" w:cs="Arial"/>
          <w:sz w:val="24"/>
          <w:szCs w:val="24"/>
          <w:lang w:val="en-GB"/>
        </w:rPr>
        <w:t>tumour microenvironment, IFN-γ</w:t>
      </w:r>
      <w:r w:rsidR="00926A2B" w:rsidRPr="00F83C46">
        <w:rPr>
          <w:rFonts w:ascii="Arial" w:eastAsia="宋体" w:hAnsi="Arial" w:cs="Arial"/>
          <w:sz w:val="24"/>
          <w:szCs w:val="24"/>
          <w:lang w:val="en-GB"/>
        </w:rPr>
        <w:t>,</w:t>
      </w:r>
      <w:r w:rsidR="00185CCF" w:rsidRPr="00F83C46">
        <w:rPr>
          <w:rFonts w:ascii="Arial" w:hAnsi="Arial" w:cs="Arial"/>
          <w:sz w:val="24"/>
          <w:szCs w:val="24"/>
          <w:lang w:val="en-GB"/>
        </w:rPr>
        <w:t xml:space="preserve"> which</w:t>
      </w:r>
      <w:r w:rsidR="00926A2B" w:rsidRPr="00F83C46">
        <w:rPr>
          <w:rFonts w:ascii="Arial" w:eastAsia="宋体" w:hAnsi="Arial" w:cs="Arial"/>
          <w:sz w:val="24"/>
          <w:szCs w:val="24"/>
          <w:lang w:val="en-GB"/>
        </w:rPr>
        <w:t xml:space="preserve"> is</w:t>
      </w:r>
      <w:r w:rsidR="00185CCF" w:rsidRPr="00F83C46">
        <w:rPr>
          <w:rFonts w:ascii="Arial" w:hAnsi="Arial" w:cs="Arial"/>
          <w:sz w:val="24"/>
          <w:szCs w:val="24"/>
          <w:lang w:val="en-GB"/>
        </w:rPr>
        <w:t xml:space="preserve"> produced by cytotoxic CD8+ and CD4+ Th1 T cells, are considered the major </w:t>
      </w:r>
      <w:r w:rsidR="002141FB" w:rsidRPr="00F83C46">
        <w:rPr>
          <w:rFonts w:ascii="Arial" w:hAnsi="Arial" w:cs="Arial"/>
          <w:sz w:val="24"/>
          <w:szCs w:val="24"/>
          <w:lang w:val="en-GB"/>
        </w:rPr>
        <w:t>anti</w:t>
      </w:r>
      <w:r w:rsidR="00CB1FB6" w:rsidRPr="00F83C46">
        <w:rPr>
          <w:rFonts w:ascii="Arial" w:hAnsi="Arial" w:cs="Arial"/>
          <w:sz w:val="24"/>
          <w:szCs w:val="24"/>
          <w:lang w:val="en-GB"/>
        </w:rPr>
        <w:t>-</w:t>
      </w:r>
      <w:r w:rsidR="002141FB" w:rsidRPr="00F83C46">
        <w:rPr>
          <w:rFonts w:ascii="Arial" w:hAnsi="Arial" w:cs="Arial"/>
          <w:sz w:val="24"/>
          <w:szCs w:val="24"/>
          <w:lang w:val="en-GB"/>
        </w:rPr>
        <w:t>tumour</w:t>
      </w:r>
      <w:r w:rsidR="00185CCF" w:rsidRPr="00F83C46">
        <w:rPr>
          <w:rFonts w:ascii="Arial" w:hAnsi="Arial" w:cs="Arial"/>
          <w:sz w:val="24"/>
          <w:szCs w:val="24"/>
          <w:lang w:val="en-GB"/>
        </w:rPr>
        <w:t xml:space="preserve"> immune effectors, whereas </w:t>
      </w:r>
      <w:r w:rsidR="004B5021" w:rsidRPr="00F83C46">
        <w:rPr>
          <w:rFonts w:ascii="Arial" w:hAnsi="Arial" w:cs="Arial"/>
          <w:sz w:val="24"/>
          <w:szCs w:val="24"/>
          <w:lang w:val="en-GB"/>
        </w:rPr>
        <w:t xml:space="preserve">the </w:t>
      </w:r>
      <w:r w:rsidR="00185CCF" w:rsidRPr="00F83C46">
        <w:rPr>
          <w:rFonts w:ascii="Arial" w:hAnsi="Arial" w:cs="Arial"/>
          <w:sz w:val="24"/>
          <w:szCs w:val="24"/>
          <w:lang w:val="en-GB"/>
        </w:rPr>
        <w:t xml:space="preserve">cytokines IL-6, TNF, IL-1β and IL-23, which </w:t>
      </w:r>
      <w:r w:rsidR="00926A2B" w:rsidRPr="00F83C46">
        <w:rPr>
          <w:rFonts w:ascii="Arial" w:eastAsia="宋体" w:hAnsi="Arial" w:cs="Arial"/>
          <w:sz w:val="24"/>
          <w:szCs w:val="24"/>
          <w:lang w:val="en-GB"/>
        </w:rPr>
        <w:t xml:space="preserve">are </w:t>
      </w:r>
      <w:r w:rsidR="00185CCF" w:rsidRPr="00F83C46">
        <w:rPr>
          <w:rFonts w:ascii="Arial" w:hAnsi="Arial" w:cs="Arial"/>
          <w:sz w:val="24"/>
          <w:szCs w:val="24"/>
          <w:lang w:val="en-GB"/>
        </w:rPr>
        <w:t xml:space="preserve">produced </w:t>
      </w:r>
      <w:r w:rsidR="00185CCF" w:rsidRPr="00F83C46">
        <w:rPr>
          <w:rFonts w:ascii="Arial" w:hAnsi="Arial" w:cs="Arial"/>
          <w:sz w:val="24"/>
          <w:szCs w:val="24"/>
          <w:lang w:val="en-GB"/>
        </w:rPr>
        <w:lastRenderedPageBreak/>
        <w:t>by tumour</w:t>
      </w:r>
      <w:r w:rsidR="00926A2B" w:rsidRPr="00F83C46">
        <w:rPr>
          <w:rFonts w:ascii="Arial" w:eastAsia="宋体" w:hAnsi="Arial" w:cs="Arial"/>
          <w:sz w:val="24"/>
          <w:szCs w:val="24"/>
          <w:lang w:val="en-GB"/>
        </w:rPr>
        <w:t>-</w:t>
      </w:r>
      <w:r w:rsidR="00185CCF" w:rsidRPr="00F83C46">
        <w:rPr>
          <w:rFonts w:ascii="Arial" w:hAnsi="Arial" w:cs="Arial"/>
          <w:sz w:val="24"/>
          <w:szCs w:val="24"/>
          <w:lang w:val="en-GB"/>
        </w:rPr>
        <w:t>associated macrophages or myeloid-derived suppressive cells</w:t>
      </w:r>
      <w:r w:rsidR="00926A2B" w:rsidRPr="00F83C46">
        <w:rPr>
          <w:rFonts w:ascii="Arial" w:eastAsia="宋体" w:hAnsi="Arial" w:cs="Arial"/>
          <w:sz w:val="24"/>
          <w:szCs w:val="24"/>
          <w:lang w:val="en-GB"/>
        </w:rPr>
        <w:t>,</w:t>
      </w:r>
      <w:r w:rsidR="00185CCF" w:rsidRPr="00F83C46">
        <w:rPr>
          <w:rFonts w:ascii="Arial" w:hAnsi="Arial" w:cs="Arial"/>
          <w:sz w:val="24"/>
          <w:szCs w:val="24"/>
          <w:lang w:val="en-GB"/>
        </w:rPr>
        <w:t xml:space="preserve"> are generally recognized as dominant tumour-promoting factors </w:t>
      </w:r>
      <w:r w:rsidR="00185CCF"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&lt;EndNote&gt;&lt;Cite&gt;&lt;Author&gt;Zamarron&lt;/Author&gt;&lt;Year&gt;2011&lt;/Year&gt;&lt;RecNum&gt;626&lt;/RecNum&gt;&lt;DisplayText&gt;(24)&lt;/DisplayText&gt;&lt;record&gt;&lt;rec-number&gt;626&lt;/rec-number&gt;&lt;foreign-keys&gt;&lt;key app="EN" db-id="59aa22z2jdzvtfe52vqxpfw9wpraze9w25rw"&gt;626&lt;/key&gt;&lt;/foreign-keys&gt;&lt;ref-type name="Journal Article"&gt;17&lt;/ref-type&gt;&lt;contributors&gt;&lt;authors&gt;&lt;author&gt;Zamarron, Brian F&lt;/author&gt;&lt;author&gt;Chen, WanJun&lt;/author&gt;&lt;/authors&gt;&lt;/contributors&gt;&lt;titles&gt;&lt;title&gt;Dual roles of immune cells and their factors in cancer development and progression&lt;/title&gt;&lt;secondary-title&gt;International journal of biological sciences&lt;/secondary-title&gt;&lt;/titles&gt;&lt;periodical&gt;&lt;full-title&gt;International journal of biological sciences&lt;/full-title&gt;&lt;/periodical&gt;&lt;pages&gt;651&lt;/pages&gt;&lt;volume&gt;7&lt;/volume&gt;&lt;number&gt;5&lt;/number&gt;&lt;dates&gt;&lt;year&gt;2011&lt;/year&gt;&lt;/dates&gt;&lt;urls&gt;&lt;/urls&gt;&lt;/record&gt;&lt;/Cite&gt;&lt;/EndNote&gt;</w:instrText>
      </w:r>
      <w:r w:rsidR="00185CCF"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24" w:tooltip="Zamarron, 2011 #626" w:history="1">
        <w:r w:rsidR="0038443C">
          <w:rPr>
            <w:rFonts w:ascii="Arial" w:hAnsi="Arial" w:cs="Arial"/>
            <w:noProof/>
            <w:sz w:val="24"/>
            <w:szCs w:val="24"/>
            <w:lang w:val="en-GB"/>
          </w:rPr>
          <w:t>24</w:t>
        </w:r>
      </w:hyperlink>
      <w:r w:rsidR="0038443C">
        <w:rPr>
          <w:rFonts w:ascii="Arial" w:hAnsi="Arial" w:cs="Arial"/>
          <w:noProof/>
          <w:sz w:val="24"/>
          <w:szCs w:val="24"/>
          <w:lang w:val="en-GB"/>
        </w:rPr>
        <w:t>)</w:t>
      </w:r>
      <w:r w:rsidR="00185CCF" w:rsidRPr="00F83C46">
        <w:rPr>
          <w:rFonts w:ascii="Arial" w:hAnsi="Arial" w:cs="Arial"/>
          <w:sz w:val="24"/>
          <w:szCs w:val="24"/>
          <w:lang w:val="en-GB"/>
        </w:rPr>
        <w:fldChar w:fldCharType="end"/>
      </w:r>
      <w:r w:rsidR="003C75E6" w:rsidRPr="00F83C46">
        <w:rPr>
          <w:rFonts w:ascii="Arial" w:hAnsi="Arial" w:cs="Arial"/>
          <w:sz w:val="24"/>
          <w:szCs w:val="24"/>
          <w:lang w:val="en-GB"/>
        </w:rPr>
        <w:t xml:space="preserve">. In our analysis, the high correlation between </w:t>
      </w:r>
      <w:r w:rsidR="00926A2B" w:rsidRPr="00F83C46">
        <w:rPr>
          <w:rFonts w:ascii="Arial" w:eastAsia="宋体" w:hAnsi="Arial" w:cs="Arial"/>
          <w:sz w:val="24"/>
          <w:szCs w:val="24"/>
          <w:lang w:val="en-GB"/>
        </w:rPr>
        <w:t xml:space="preserve">the </w:t>
      </w:r>
      <w:r w:rsidR="003C75E6" w:rsidRPr="00F83C46">
        <w:rPr>
          <w:rFonts w:ascii="Arial" w:hAnsi="Arial" w:cs="Arial"/>
          <w:sz w:val="24"/>
          <w:szCs w:val="24"/>
          <w:lang w:val="en-GB"/>
        </w:rPr>
        <w:t>immune-related gene signature-based risk score and</w:t>
      </w:r>
      <w:r w:rsidR="00926A2B" w:rsidRPr="00F83C46">
        <w:rPr>
          <w:rFonts w:ascii="Arial" w:eastAsia="宋体" w:hAnsi="Arial" w:cs="Arial"/>
          <w:sz w:val="24"/>
          <w:szCs w:val="24"/>
          <w:lang w:val="en-GB"/>
        </w:rPr>
        <w:t xml:space="preserve"> the</w:t>
      </w:r>
      <w:r w:rsidR="003C75E6" w:rsidRPr="00F83C46">
        <w:rPr>
          <w:rFonts w:ascii="Arial" w:hAnsi="Arial" w:cs="Arial"/>
          <w:sz w:val="24"/>
          <w:szCs w:val="24"/>
          <w:lang w:val="en-GB"/>
        </w:rPr>
        <w:t xml:space="preserve"> IL-6/JAK/Stat3 pathway highlighted the tumour-promoting effect of </w:t>
      </w:r>
      <w:r w:rsidR="00926A2B" w:rsidRPr="00F83C46">
        <w:rPr>
          <w:rFonts w:ascii="Arial" w:eastAsia="宋体" w:hAnsi="Arial" w:cs="Arial"/>
          <w:sz w:val="24"/>
          <w:szCs w:val="24"/>
          <w:lang w:val="en-GB"/>
        </w:rPr>
        <w:t xml:space="preserve">the </w:t>
      </w:r>
      <w:r w:rsidR="003C75E6" w:rsidRPr="00F83C46">
        <w:rPr>
          <w:rFonts w:ascii="Arial" w:hAnsi="Arial" w:cs="Arial"/>
          <w:sz w:val="24"/>
          <w:szCs w:val="24"/>
          <w:lang w:val="en-GB"/>
        </w:rPr>
        <w:t xml:space="preserve">IL-6/JAK/Stat3 pathway in early-stage LUAD </w:t>
      </w:r>
      <w:r w:rsidR="003C75E6" w:rsidRPr="00F83C46">
        <w:rPr>
          <w:rFonts w:ascii="Arial" w:hAnsi="Arial" w:cs="Arial"/>
          <w:sz w:val="24"/>
          <w:szCs w:val="24"/>
          <w:lang w:val="en-GB"/>
        </w:rPr>
        <w:fldChar w:fldCharType="begin"/>
      </w:r>
      <w:r w:rsidR="0038443C">
        <w:rPr>
          <w:rFonts w:ascii="Arial" w:hAnsi="Arial" w:cs="Arial"/>
          <w:sz w:val="24"/>
          <w:szCs w:val="24"/>
          <w:lang w:val="en-GB"/>
        </w:rPr>
        <w:instrText xml:space="preserve"> ADDIN EN.CITE &lt;EndNote&gt;&lt;Cite&gt;&lt;Author&gt;Lavin&lt;/Author&gt;&lt;Year&gt;2017&lt;/Year&gt;&lt;RecNum&gt;641&lt;/RecNum&gt;&lt;DisplayText&gt;(4, 25)&lt;/DisplayText&gt;&lt;record&gt;&lt;rec-number&gt;641&lt;/rec-number&gt;&lt;foreign-keys&gt;&lt;key app="EN" db-id="59aa22z2jdzvtfe52vqxpfw9wpraze9w25rw"&gt;641&lt;/key&gt;&lt;/foreign-keys&gt;&lt;ref-type name="Journal Article"&gt;17&lt;/ref-type&gt;&lt;contributors&gt;&lt;authors&gt;&lt;author&gt;Lavin, Yonit&lt;/author&gt;&lt;author&gt;Kobayashi, Soma&lt;/author&gt;&lt;author&gt;Leader, Andrew&lt;/author&gt;&lt;author&gt;Amir, El-ad David&lt;/author&gt;&lt;author&gt;Elefant, Naama&lt;/author&gt;&lt;author&gt;Bigenwald, Camille&lt;/author&gt;&lt;author&gt;Remark, Romain&lt;/author&gt;&lt;author&gt;Sweeney, Robert&lt;/author&gt;&lt;author&gt;Becker, Christian D&lt;/author&gt;&lt;author&gt;Levine, Jacob H&lt;/author&gt;&lt;/authors&gt;&lt;/contributors&gt;&lt;titles&gt;&lt;title&gt;Innate immune landscape in early lung adenocarcinoma by paired single-cell analyses&lt;/title&gt;&lt;secondary-title&gt;Cell&lt;/secondary-title&gt;&lt;/titles&gt;&lt;periodical&gt;&lt;full-title&gt;cell&lt;/full-title&gt;&lt;/periodical&gt;&lt;pages&gt;750-765. e17&lt;/pages&gt;&lt;volume&gt;169&lt;/volume&gt;&lt;number&gt;4&lt;/number&gt;&lt;dates&gt;&lt;year&gt;2017&lt;/year&gt;&lt;/dates&gt;&lt;isbn&gt;0092-8674&lt;/isbn&gt;&lt;urls&gt;&lt;/urls&gt;&lt;/record&gt;&lt;/Cite&gt;&lt;Cite&gt;&lt;Author&gt;Chang&lt;/Author&gt;&lt;Year&gt;2013&lt;/Year&gt;&lt;RecNum&gt;642&lt;/RecNum&gt;&lt;record&gt;&lt;rec-number&gt;642&lt;/rec-number&gt;&lt;foreign-keys&gt;&lt;key app="EN" db-id="59aa22z2jdzvtfe52vqxpfw9wpraze9w25rw"&gt;642&lt;/key&gt;&lt;/foreign-keys&gt;&lt;ref-type name="Journal Article"&gt;17&lt;/ref-type&gt;&lt;contributors&gt;&lt;authors&gt;&lt;author&gt;Chang, Qing&lt;/author&gt;&lt;author&gt;Bournazou, Eirini&lt;/author&gt;&lt;author&gt;Sansone, Pasquale&lt;/author&gt;&lt;author&gt;Berishaj, Marjan&lt;/author&gt;&lt;author&gt;Gao, Sizhi Paul&lt;/author&gt;&lt;author&gt;Daly, Laura&lt;/author&gt;&lt;author&gt;Wels, Jared&lt;/author&gt;&lt;author&gt;Theilen, Till&lt;/author&gt;&lt;author&gt;Granitto, Selena&lt;/author&gt;&lt;author&gt;Zhang, Xinmin&lt;/author&gt;&lt;/authors&gt;&lt;/contributors&gt;&lt;titles&gt;&lt;title&gt;The IL-6/JAK/Stat3 feed-forward loop drives tumorigenesis and metastasis&lt;/title&gt;&lt;secondary-title&gt;Neoplasia (New York, NY)&lt;/secondary-title&gt;&lt;/titles&gt;&lt;periodical&gt;&lt;full-title&gt;Neoplasia (New York, NY)&lt;/full-title&gt;&lt;/periodical&gt;&lt;pages&gt;848&lt;/pages&gt;&lt;volume&gt;15&lt;/volume&gt;&lt;number&gt;7&lt;/number&gt;&lt;dates&gt;&lt;year&gt;2013&lt;/year&gt;&lt;/dates&gt;&lt;urls&gt;&lt;/urls&gt;&lt;/record&gt;&lt;/Cite&gt;&lt;/EndNote&gt;</w:instrText>
      </w:r>
      <w:r w:rsidR="003C75E6"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4" w:tooltip="Lavin, 2017 #606" w:history="1">
        <w:r w:rsidR="0038443C">
          <w:rPr>
            <w:rFonts w:ascii="Arial" w:hAnsi="Arial" w:cs="Arial"/>
            <w:noProof/>
            <w:sz w:val="24"/>
            <w:szCs w:val="24"/>
            <w:lang w:val="en-GB"/>
          </w:rPr>
          <w:t>4</w:t>
        </w:r>
      </w:hyperlink>
      <w:r w:rsidR="0038443C">
        <w:rPr>
          <w:rFonts w:ascii="Arial" w:hAnsi="Arial" w:cs="Arial"/>
          <w:noProof/>
          <w:sz w:val="24"/>
          <w:szCs w:val="24"/>
          <w:lang w:val="en-GB"/>
        </w:rPr>
        <w:t xml:space="preserve">, </w:t>
      </w:r>
      <w:hyperlink w:anchor="_ENREF_25" w:tooltip="Chang, 2013 #642" w:history="1">
        <w:r w:rsidR="0038443C">
          <w:rPr>
            <w:rFonts w:ascii="Arial" w:hAnsi="Arial" w:cs="Arial"/>
            <w:noProof/>
            <w:sz w:val="24"/>
            <w:szCs w:val="24"/>
            <w:lang w:val="en-GB"/>
          </w:rPr>
          <w:t>25</w:t>
        </w:r>
      </w:hyperlink>
      <w:r w:rsidR="0038443C">
        <w:rPr>
          <w:rFonts w:ascii="Arial" w:hAnsi="Arial" w:cs="Arial"/>
          <w:noProof/>
          <w:sz w:val="24"/>
          <w:szCs w:val="24"/>
          <w:lang w:val="en-GB"/>
        </w:rPr>
        <w:t>)</w:t>
      </w:r>
      <w:r w:rsidR="003C75E6" w:rsidRPr="00F83C46">
        <w:rPr>
          <w:rFonts w:ascii="Arial" w:hAnsi="Arial" w:cs="Arial"/>
          <w:sz w:val="24"/>
          <w:szCs w:val="24"/>
          <w:lang w:val="en-GB"/>
        </w:rPr>
        <w:fldChar w:fldCharType="end"/>
      </w:r>
      <w:r w:rsidR="00142CD6" w:rsidRPr="00F83C46">
        <w:rPr>
          <w:rFonts w:ascii="Arial" w:hAnsi="Arial" w:cs="Arial"/>
          <w:sz w:val="24"/>
          <w:szCs w:val="24"/>
          <w:lang w:val="en-GB"/>
        </w:rPr>
        <w:t>.</w:t>
      </w:r>
    </w:p>
    <w:p w14:paraId="42A83AFB" w14:textId="26779FDC" w:rsidR="006A2B23" w:rsidRPr="00F83C46" w:rsidRDefault="00926A2B" w:rsidP="006A2B23">
      <w:pPr>
        <w:ind w:firstLine="420"/>
        <w:rPr>
          <w:rFonts w:ascii="Arial" w:hAnsi="Arial" w:cs="Arial"/>
          <w:sz w:val="24"/>
          <w:szCs w:val="24"/>
          <w:lang w:val="en-GB"/>
        </w:rPr>
      </w:pPr>
      <w:r w:rsidRPr="00F83C46">
        <w:rPr>
          <w:rFonts w:ascii="Arial" w:hAnsi="Arial" w:cs="Arial"/>
          <w:sz w:val="24"/>
          <w:szCs w:val="24"/>
          <w:lang w:val="en-GB"/>
        </w:rPr>
        <w:t>To further illustrate the importance of the immune-related gene signature in early-stage LUAD</w:t>
      </w:r>
      <w:r w:rsidR="00A737D1" w:rsidRPr="00F83C46">
        <w:rPr>
          <w:rFonts w:ascii="Arial" w:hAnsi="Arial" w:cs="Arial"/>
          <w:sz w:val="24"/>
          <w:szCs w:val="24"/>
          <w:lang w:val="en-GB"/>
        </w:rPr>
        <w:t>, w</w:t>
      </w:r>
      <w:r w:rsidRPr="00F83C46">
        <w:rPr>
          <w:rFonts w:ascii="Arial" w:hAnsi="Arial" w:cs="Arial"/>
          <w:sz w:val="24"/>
          <w:szCs w:val="24"/>
          <w:lang w:val="en-GB"/>
        </w:rPr>
        <w:t xml:space="preserve">e trained </w:t>
      </w:r>
      <w:r w:rsidR="00CB1FB6" w:rsidRPr="00F83C46">
        <w:rPr>
          <w:rFonts w:ascii="Arial" w:hAnsi="Arial" w:cs="Arial"/>
          <w:sz w:val="24"/>
          <w:szCs w:val="24"/>
          <w:lang w:val="en-GB"/>
        </w:rPr>
        <w:t>four</w:t>
      </w:r>
      <w:r w:rsidRPr="00F83C46">
        <w:rPr>
          <w:rFonts w:ascii="Arial" w:hAnsi="Arial" w:cs="Arial"/>
          <w:sz w:val="24"/>
          <w:szCs w:val="24"/>
          <w:lang w:val="en-GB"/>
        </w:rPr>
        <w:t xml:space="preserve"> classifiers based on the transcriptome of</w:t>
      </w:r>
      <w:r w:rsidRPr="00F83C46">
        <w:rPr>
          <w:rFonts w:ascii="Arial" w:eastAsia="宋体" w:hAnsi="Arial" w:cs="Arial"/>
          <w:sz w:val="24"/>
          <w:szCs w:val="24"/>
          <w:lang w:val="en-GB"/>
        </w:rPr>
        <w:t xml:space="preserve"> the</w:t>
      </w:r>
      <w:r w:rsidRPr="00F83C46">
        <w:rPr>
          <w:rFonts w:ascii="Arial" w:hAnsi="Arial" w:cs="Arial"/>
          <w:sz w:val="24"/>
          <w:szCs w:val="24"/>
          <w:lang w:val="en-GB"/>
        </w:rPr>
        <w:t xml:space="preserve"> immune-related gene signature. SVM, </w:t>
      </w:r>
      <w:r w:rsidR="00134F7C" w:rsidRPr="00F83C46">
        <w:rPr>
          <w:rFonts w:ascii="Arial" w:hAnsi="Arial" w:cs="Arial"/>
          <w:sz w:val="24"/>
          <w:szCs w:val="24"/>
          <w:lang w:val="en-GB"/>
        </w:rPr>
        <w:t>r</w:t>
      </w:r>
      <w:r w:rsidRPr="00F83C46">
        <w:rPr>
          <w:rFonts w:ascii="Arial" w:hAnsi="Arial" w:cs="Arial"/>
          <w:sz w:val="24"/>
          <w:szCs w:val="24"/>
          <w:lang w:val="en-GB"/>
        </w:rPr>
        <w:t xml:space="preserve">andom </w:t>
      </w:r>
      <w:r w:rsidR="00134F7C" w:rsidRPr="00F83C46">
        <w:rPr>
          <w:rFonts w:ascii="Arial" w:hAnsi="Arial" w:cs="Arial"/>
          <w:sz w:val="24"/>
          <w:szCs w:val="24"/>
          <w:lang w:val="en-GB"/>
        </w:rPr>
        <w:t>f</w:t>
      </w:r>
      <w:r w:rsidRPr="00F83C46">
        <w:rPr>
          <w:rFonts w:ascii="Arial" w:hAnsi="Arial" w:cs="Arial"/>
          <w:sz w:val="24"/>
          <w:szCs w:val="24"/>
          <w:lang w:val="en-GB"/>
        </w:rPr>
        <w:t>orest</w:t>
      </w:r>
      <w:r w:rsidR="00CB1FB6" w:rsidRPr="00F83C46">
        <w:rPr>
          <w:rFonts w:ascii="Arial" w:hAnsi="Arial" w:cs="Arial"/>
          <w:sz w:val="24"/>
          <w:szCs w:val="24"/>
          <w:lang w:val="en-GB"/>
        </w:rPr>
        <w:t xml:space="preserve">, </w:t>
      </w:r>
      <w:r w:rsidR="00134F7C" w:rsidRPr="00F83C46">
        <w:rPr>
          <w:rFonts w:ascii="Arial" w:hAnsi="Arial" w:cs="Arial"/>
          <w:sz w:val="24"/>
          <w:szCs w:val="24"/>
          <w:lang w:val="en-GB"/>
        </w:rPr>
        <w:t>n</w:t>
      </w:r>
      <w:r w:rsidRPr="00F83C46">
        <w:rPr>
          <w:rFonts w:ascii="Arial" w:hAnsi="Arial" w:cs="Arial"/>
          <w:sz w:val="24"/>
          <w:szCs w:val="24"/>
          <w:lang w:val="en-GB"/>
        </w:rPr>
        <w:t>aive Bayes</w:t>
      </w:r>
      <w:r w:rsidR="006C03F1" w:rsidRPr="00F83C46">
        <w:rPr>
          <w:rFonts w:ascii="Arial" w:hAnsi="Arial" w:cs="Arial"/>
          <w:sz w:val="24"/>
          <w:szCs w:val="24"/>
          <w:lang w:val="en-GB"/>
        </w:rPr>
        <w:t>,</w:t>
      </w:r>
      <w:r w:rsidRPr="00F83C46">
        <w:rPr>
          <w:rFonts w:ascii="Arial" w:hAnsi="Arial" w:cs="Arial"/>
          <w:sz w:val="24"/>
          <w:szCs w:val="24"/>
          <w:lang w:val="en-GB"/>
        </w:rPr>
        <w:t xml:space="preserve"> </w:t>
      </w:r>
      <w:r w:rsidR="00CB1FB6" w:rsidRPr="00F83C46">
        <w:rPr>
          <w:rFonts w:ascii="Arial" w:hAnsi="Arial" w:cs="Arial"/>
          <w:sz w:val="24"/>
          <w:szCs w:val="24"/>
          <w:lang w:val="en-GB"/>
        </w:rPr>
        <w:t xml:space="preserve">and </w:t>
      </w:r>
      <w:r w:rsidR="00440A53" w:rsidRPr="00F83C46">
        <w:rPr>
          <w:rFonts w:ascii="Arial" w:hAnsi="Arial" w:cs="Arial"/>
          <w:sz w:val="24"/>
          <w:szCs w:val="24"/>
          <w:lang w:val="en-GB"/>
        </w:rPr>
        <w:t>neural network-based deep learning</w:t>
      </w:r>
      <w:r w:rsidR="00CB1FB6" w:rsidRPr="00F83C46">
        <w:rPr>
          <w:rFonts w:ascii="Arial" w:hAnsi="Arial" w:cs="Arial"/>
          <w:sz w:val="24"/>
          <w:szCs w:val="24"/>
          <w:lang w:val="en-GB"/>
        </w:rPr>
        <w:t xml:space="preserve"> </w:t>
      </w:r>
      <w:r w:rsidRPr="00F83C46">
        <w:rPr>
          <w:rFonts w:ascii="Arial" w:hAnsi="Arial" w:cs="Arial"/>
          <w:sz w:val="24"/>
          <w:szCs w:val="24"/>
          <w:lang w:val="en-GB"/>
        </w:rPr>
        <w:t xml:space="preserve">all showed high accuracy </w:t>
      </w:r>
      <w:r w:rsidRPr="00F83C46">
        <w:rPr>
          <w:rFonts w:ascii="Arial" w:eastAsia="宋体" w:hAnsi="Arial" w:cs="Arial"/>
          <w:sz w:val="24"/>
          <w:szCs w:val="24"/>
          <w:lang w:val="en-GB"/>
        </w:rPr>
        <w:t>in identifying</w:t>
      </w:r>
      <w:r w:rsidRPr="00F83C46">
        <w:rPr>
          <w:rFonts w:ascii="Arial" w:hAnsi="Arial" w:cs="Arial"/>
          <w:sz w:val="24"/>
          <w:szCs w:val="24"/>
          <w:lang w:val="en-GB"/>
        </w:rPr>
        <w:t xml:space="preserve"> the immune clusters. </w:t>
      </w:r>
      <w:r w:rsidRPr="00F83C46">
        <w:rPr>
          <w:rFonts w:ascii="Arial" w:eastAsia="宋体" w:hAnsi="Arial" w:cs="Arial"/>
          <w:sz w:val="24"/>
          <w:szCs w:val="24"/>
          <w:lang w:val="en-GB"/>
        </w:rPr>
        <w:t>Taken</w:t>
      </w:r>
      <w:r w:rsidRPr="00F83C46">
        <w:rPr>
          <w:rFonts w:ascii="Arial" w:hAnsi="Arial" w:cs="Arial"/>
          <w:sz w:val="24"/>
          <w:szCs w:val="24"/>
          <w:lang w:val="en-GB"/>
        </w:rPr>
        <w:t xml:space="preserve"> together, the results above revealed the strong connection </w:t>
      </w:r>
      <w:r w:rsidR="00134F7C" w:rsidRPr="00F83C46">
        <w:rPr>
          <w:rFonts w:ascii="Arial" w:hAnsi="Arial" w:cs="Arial"/>
          <w:sz w:val="24"/>
          <w:szCs w:val="24"/>
          <w:lang w:val="en-GB"/>
        </w:rPr>
        <w:t>between</w:t>
      </w:r>
      <w:r w:rsidRPr="00F83C46">
        <w:rPr>
          <w:rFonts w:ascii="Arial" w:hAnsi="Arial" w:cs="Arial"/>
          <w:sz w:val="24"/>
          <w:szCs w:val="24"/>
          <w:lang w:val="en-GB"/>
        </w:rPr>
        <w:t xml:space="preserve"> the immune-related gene signature and the immune cell populations in early-stage LUAD tissues. </w:t>
      </w:r>
    </w:p>
    <w:p w14:paraId="52199B6C" w14:textId="3850B8F5" w:rsidR="00C156B4" w:rsidRPr="00F83C46" w:rsidRDefault="00815B64" w:rsidP="00815B64">
      <w:pPr>
        <w:ind w:firstLine="420"/>
        <w:rPr>
          <w:rFonts w:ascii="Arial" w:hAnsi="Arial" w:cs="Arial"/>
          <w:sz w:val="24"/>
          <w:szCs w:val="24"/>
          <w:lang w:val="en-GB"/>
        </w:rPr>
      </w:pPr>
      <w:r w:rsidRPr="00F83C46">
        <w:rPr>
          <w:rFonts w:ascii="Arial" w:hAnsi="Arial" w:cs="Arial"/>
          <w:sz w:val="24"/>
          <w:szCs w:val="24"/>
          <w:lang w:val="en-GB"/>
        </w:rPr>
        <w:t xml:space="preserve">TP53 is the most important feature associated with </w:t>
      </w:r>
      <w:r w:rsidR="00926A2B" w:rsidRPr="00F83C46">
        <w:rPr>
          <w:rFonts w:ascii="Arial" w:eastAsia="宋体" w:hAnsi="Arial" w:cs="Arial"/>
          <w:sz w:val="24"/>
          <w:szCs w:val="24"/>
          <w:lang w:val="en-GB"/>
        </w:rPr>
        <w:t xml:space="preserve">the </w:t>
      </w:r>
      <w:r w:rsidRPr="00F83C46">
        <w:rPr>
          <w:rFonts w:ascii="Arial" w:hAnsi="Arial" w:cs="Arial"/>
          <w:sz w:val="24"/>
          <w:szCs w:val="24"/>
          <w:lang w:val="en-GB"/>
        </w:rPr>
        <w:t>immune-related gene signature</w:t>
      </w:r>
      <w:r w:rsidR="00926A2B" w:rsidRPr="00F83C46">
        <w:rPr>
          <w:rFonts w:ascii="Arial" w:eastAsia="宋体" w:hAnsi="Arial" w:cs="Arial"/>
          <w:sz w:val="24"/>
          <w:szCs w:val="24"/>
          <w:lang w:val="en-GB"/>
        </w:rPr>
        <w:t>,</w:t>
      </w:r>
      <w:r w:rsidRPr="00F83C46">
        <w:rPr>
          <w:rFonts w:ascii="Arial" w:hAnsi="Arial" w:cs="Arial"/>
          <w:sz w:val="24"/>
          <w:szCs w:val="24"/>
          <w:lang w:val="en-GB"/>
        </w:rPr>
        <w:t xml:space="preserve"> which was identified by the random forest regression algorithm. TP53 mutation status has been found to be associated with immune cell infiltration in many cancers </w:t>
      </w:r>
      <w:r w:rsidRPr="00F83C46">
        <w:rPr>
          <w:rFonts w:ascii="Arial" w:hAnsi="Arial" w:cs="Arial"/>
          <w:sz w:val="24"/>
          <w:szCs w:val="24"/>
          <w:lang w:val="en-GB"/>
        </w:rPr>
        <w:fldChar w:fldCharType="begin">
          <w:fldData xml:space="preserve">PEVuZE5vdGU+PENpdGU+PEF1dGhvcj5XaWNobWFubjwvQXV0aG9yPjxZZWFyPjIwMTU8L1llYXI+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==
</w:fldData>
        </w:fldChar>
      </w:r>
      <w:r w:rsidR="0038443C">
        <w:rPr>
          <w:rFonts w:ascii="Arial" w:hAnsi="Arial" w:cs="Arial"/>
          <w:sz w:val="24"/>
          <w:szCs w:val="24"/>
          <w:lang w:val="en-GB"/>
        </w:rPr>
        <w:instrText xml:space="preserve"> ADDIN EN.CITE </w:instrText>
      </w:r>
      <w:r w:rsidR="0038443C">
        <w:rPr>
          <w:rFonts w:ascii="Arial" w:hAnsi="Arial" w:cs="Arial"/>
          <w:sz w:val="24"/>
          <w:szCs w:val="24"/>
          <w:lang w:val="en-GB"/>
        </w:rPr>
        <w:fldChar w:fldCharType="begin">
          <w:fldData xml:space="preserve">PEVuZE5vdGU+PENpdGU+PEF1dGhvcj5XaWNobWFubjwvQXV0aG9yPjxZZWFyPjIwMTU8L1llYXI+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==
</w:fldData>
        </w:fldChar>
      </w:r>
      <w:r w:rsidR="0038443C">
        <w:rPr>
          <w:rFonts w:ascii="Arial" w:hAnsi="Arial" w:cs="Arial"/>
          <w:sz w:val="24"/>
          <w:szCs w:val="24"/>
          <w:lang w:val="en-GB"/>
        </w:rPr>
        <w:instrText xml:space="preserve"> ADDIN EN.CITE.DATA </w:instrText>
      </w:r>
      <w:r w:rsidR="0038443C">
        <w:rPr>
          <w:rFonts w:ascii="Arial" w:hAnsi="Arial" w:cs="Arial"/>
          <w:sz w:val="24"/>
          <w:szCs w:val="24"/>
          <w:lang w:val="en-GB"/>
        </w:rPr>
      </w:r>
      <w:r w:rsidR="0038443C">
        <w:rPr>
          <w:rFonts w:ascii="Arial" w:hAnsi="Arial" w:cs="Arial"/>
          <w:sz w:val="24"/>
          <w:szCs w:val="24"/>
          <w:lang w:val="en-GB"/>
        </w:rPr>
        <w:fldChar w:fldCharType="end"/>
      </w:r>
      <w:r w:rsidRPr="00F83C46">
        <w:rPr>
          <w:rFonts w:ascii="Arial" w:hAnsi="Arial" w:cs="Arial"/>
          <w:sz w:val="24"/>
          <w:szCs w:val="24"/>
          <w:lang w:val="en-GB"/>
        </w:rPr>
      </w:r>
      <w:r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26" w:tooltip="Wichmann, 2015 #631" w:history="1">
        <w:r w:rsidR="0038443C">
          <w:rPr>
            <w:rFonts w:ascii="Arial" w:hAnsi="Arial" w:cs="Arial"/>
            <w:noProof/>
            <w:sz w:val="24"/>
            <w:szCs w:val="24"/>
            <w:lang w:val="en-GB"/>
          </w:rPr>
          <w:t>26-28</w:t>
        </w:r>
      </w:hyperlink>
      <w:r w:rsidR="0038443C">
        <w:rPr>
          <w:rFonts w:ascii="Arial" w:hAnsi="Arial" w:cs="Arial"/>
          <w:noProof/>
          <w:sz w:val="24"/>
          <w:szCs w:val="24"/>
          <w:lang w:val="en-GB"/>
        </w:rPr>
        <w:t>)</w:t>
      </w:r>
      <w:r w:rsidRPr="00F83C46">
        <w:rPr>
          <w:rFonts w:ascii="Arial" w:hAnsi="Arial" w:cs="Arial"/>
          <w:sz w:val="24"/>
          <w:szCs w:val="24"/>
          <w:lang w:val="en-GB"/>
        </w:rPr>
        <w:fldChar w:fldCharType="end"/>
      </w:r>
      <w:r w:rsidR="006529A5" w:rsidRPr="00F83C46">
        <w:rPr>
          <w:rFonts w:ascii="Arial" w:hAnsi="Arial" w:cs="Arial"/>
          <w:sz w:val="24"/>
          <w:szCs w:val="24"/>
          <w:lang w:val="en-GB"/>
        </w:rPr>
        <w:t xml:space="preserve">. </w:t>
      </w:r>
      <w:r w:rsidR="00134F7C" w:rsidRPr="00F83C46">
        <w:rPr>
          <w:rFonts w:ascii="Arial" w:hAnsi="Arial" w:cs="Arial"/>
          <w:sz w:val="24"/>
          <w:szCs w:val="24"/>
          <w:lang w:val="en-GB"/>
        </w:rPr>
        <w:t>P</w:t>
      </w:r>
      <w:r w:rsidR="006529A5" w:rsidRPr="00F83C46">
        <w:rPr>
          <w:rFonts w:ascii="Arial" w:hAnsi="Arial" w:cs="Arial"/>
          <w:sz w:val="24"/>
          <w:szCs w:val="24"/>
          <w:lang w:val="en-GB"/>
        </w:rPr>
        <w:t xml:space="preserve">atients with TP53 </w:t>
      </w:r>
      <w:r w:rsidR="00926A2B" w:rsidRPr="00F83C46">
        <w:rPr>
          <w:rFonts w:ascii="Arial" w:eastAsia="宋体" w:hAnsi="Arial" w:cs="Arial"/>
          <w:sz w:val="24"/>
          <w:szCs w:val="24"/>
          <w:lang w:val="en-GB"/>
        </w:rPr>
        <w:t>mutations tended</w:t>
      </w:r>
      <w:r w:rsidR="006529A5" w:rsidRPr="00F83C46">
        <w:rPr>
          <w:rFonts w:ascii="Arial" w:hAnsi="Arial" w:cs="Arial"/>
          <w:sz w:val="24"/>
          <w:szCs w:val="24"/>
          <w:lang w:val="en-GB"/>
        </w:rPr>
        <w:t xml:space="preserve"> to have</w:t>
      </w:r>
      <w:r w:rsidR="00926A2B" w:rsidRPr="00F83C46">
        <w:rPr>
          <w:rFonts w:ascii="Arial" w:eastAsia="宋体" w:hAnsi="Arial" w:cs="Arial"/>
          <w:sz w:val="24"/>
          <w:szCs w:val="24"/>
          <w:lang w:val="en-GB"/>
        </w:rPr>
        <w:t xml:space="preserve"> a</w:t>
      </w:r>
      <w:r w:rsidR="006529A5" w:rsidRPr="00F83C46">
        <w:rPr>
          <w:rFonts w:ascii="Arial" w:hAnsi="Arial" w:cs="Arial"/>
          <w:sz w:val="24"/>
          <w:szCs w:val="24"/>
          <w:lang w:val="en-GB"/>
        </w:rPr>
        <w:t xml:space="preserve"> </w:t>
      </w:r>
      <w:r w:rsidR="00134F7C" w:rsidRPr="00F83C46">
        <w:rPr>
          <w:rFonts w:ascii="Arial" w:hAnsi="Arial" w:cs="Arial"/>
          <w:sz w:val="24"/>
          <w:szCs w:val="24"/>
          <w:lang w:val="en-GB"/>
        </w:rPr>
        <w:t xml:space="preserve">larger </w:t>
      </w:r>
      <w:r w:rsidR="006529A5" w:rsidRPr="00F83C46">
        <w:rPr>
          <w:rFonts w:ascii="Arial" w:hAnsi="Arial" w:cs="Arial"/>
          <w:sz w:val="24"/>
          <w:szCs w:val="24"/>
          <w:lang w:val="en-GB"/>
        </w:rPr>
        <w:t xml:space="preserve">immune-related gene signature-based risk score </w:t>
      </w:r>
      <w:r w:rsidR="00134F7C" w:rsidRPr="00F83C46">
        <w:rPr>
          <w:rFonts w:ascii="Arial" w:hAnsi="Arial" w:cs="Arial"/>
          <w:sz w:val="24"/>
          <w:szCs w:val="24"/>
          <w:lang w:val="en-GB"/>
        </w:rPr>
        <w:t>than</w:t>
      </w:r>
      <w:r w:rsidR="006529A5" w:rsidRPr="00F83C46">
        <w:rPr>
          <w:rFonts w:ascii="Arial" w:hAnsi="Arial" w:cs="Arial"/>
          <w:sz w:val="24"/>
          <w:szCs w:val="24"/>
          <w:lang w:val="en-GB"/>
        </w:rPr>
        <w:t xml:space="preserve"> patients with TP53 </w:t>
      </w:r>
      <w:r w:rsidR="00926A2B" w:rsidRPr="00F83C46">
        <w:rPr>
          <w:rFonts w:ascii="Arial" w:eastAsia="宋体" w:hAnsi="Arial" w:cs="Arial"/>
          <w:sz w:val="24"/>
          <w:szCs w:val="24"/>
          <w:lang w:val="en-GB"/>
        </w:rPr>
        <w:t>wild type</w:t>
      </w:r>
      <w:r w:rsidR="006529A5" w:rsidRPr="00F83C46">
        <w:rPr>
          <w:rFonts w:ascii="Arial" w:hAnsi="Arial" w:cs="Arial"/>
          <w:sz w:val="24"/>
          <w:szCs w:val="24"/>
          <w:lang w:val="en-GB"/>
        </w:rPr>
        <w:t xml:space="preserve">. Nonetheless, the immune-related gene signature can stratify risk in both TP53 mutation and wildtype </w:t>
      </w:r>
      <w:r w:rsidR="00926A2B" w:rsidRPr="00F83C46">
        <w:rPr>
          <w:rFonts w:ascii="Arial" w:eastAsia="宋体" w:hAnsi="Arial" w:cs="Arial"/>
          <w:sz w:val="24"/>
          <w:szCs w:val="24"/>
          <w:lang w:val="en-GB"/>
        </w:rPr>
        <w:t>conditions</w:t>
      </w:r>
      <w:r w:rsidR="006529A5" w:rsidRPr="00F83C46">
        <w:rPr>
          <w:rFonts w:ascii="Arial" w:hAnsi="Arial" w:cs="Arial"/>
          <w:sz w:val="24"/>
          <w:szCs w:val="24"/>
          <w:lang w:val="en-GB"/>
        </w:rPr>
        <w:t xml:space="preserve">. The relationship between TP53 and immune response may be a </w:t>
      </w:r>
      <w:r w:rsidR="006C03F1" w:rsidRPr="00F83C46">
        <w:rPr>
          <w:rFonts w:ascii="Arial" w:hAnsi="Arial" w:cs="Arial"/>
          <w:sz w:val="24"/>
          <w:szCs w:val="24"/>
          <w:lang w:val="en-GB"/>
        </w:rPr>
        <w:t xml:space="preserve">promising </w:t>
      </w:r>
      <w:r w:rsidR="006529A5" w:rsidRPr="00F83C46">
        <w:rPr>
          <w:rFonts w:ascii="Arial" w:hAnsi="Arial" w:cs="Arial"/>
          <w:sz w:val="24"/>
          <w:szCs w:val="24"/>
          <w:lang w:val="en-GB"/>
        </w:rPr>
        <w:t>target in early-stage LUAD patients.</w:t>
      </w:r>
    </w:p>
    <w:p w14:paraId="07E11A79" w14:textId="0CC170D0" w:rsidR="006529A5" w:rsidRPr="00F83C46" w:rsidRDefault="0034734D" w:rsidP="00954000">
      <w:pPr>
        <w:ind w:firstLine="420"/>
        <w:rPr>
          <w:rFonts w:ascii="Arial" w:hAnsi="Arial" w:cs="Arial"/>
          <w:sz w:val="24"/>
          <w:szCs w:val="24"/>
          <w:lang w:val="en-GB"/>
        </w:rPr>
      </w:pPr>
      <w:r w:rsidRPr="00F83C46">
        <w:rPr>
          <w:rFonts w:ascii="Arial" w:hAnsi="Arial" w:cs="Arial"/>
          <w:sz w:val="24"/>
          <w:szCs w:val="24"/>
          <w:lang w:val="en-GB"/>
        </w:rPr>
        <w:t>In our previous study, we found</w:t>
      </w:r>
      <w:r w:rsidR="00926A2B" w:rsidRPr="00F83C46">
        <w:rPr>
          <w:rFonts w:ascii="Arial" w:eastAsia="宋体" w:hAnsi="Arial" w:cs="Arial"/>
          <w:sz w:val="24"/>
          <w:szCs w:val="24"/>
          <w:lang w:val="en-GB"/>
        </w:rPr>
        <w:t xml:space="preserve"> that</w:t>
      </w:r>
      <w:r w:rsidRPr="00F83C46">
        <w:rPr>
          <w:rFonts w:ascii="Arial" w:hAnsi="Arial" w:cs="Arial"/>
          <w:sz w:val="24"/>
          <w:szCs w:val="24"/>
          <w:lang w:val="en-GB"/>
        </w:rPr>
        <w:t xml:space="preserve"> lymph node metastasis-related biomarkers, DNA epigenetic regulation</w:t>
      </w:r>
      <w:r w:rsidR="006C03F1" w:rsidRPr="00F83C46">
        <w:rPr>
          <w:rFonts w:ascii="Arial" w:hAnsi="Arial" w:cs="Arial"/>
          <w:sz w:val="24"/>
          <w:szCs w:val="24"/>
          <w:lang w:val="en-GB"/>
        </w:rPr>
        <w:t>,</w:t>
      </w:r>
      <w:r w:rsidRPr="00F83C46">
        <w:rPr>
          <w:rFonts w:ascii="Arial" w:hAnsi="Arial" w:cs="Arial"/>
          <w:sz w:val="24"/>
          <w:szCs w:val="24"/>
          <w:lang w:val="en-GB"/>
        </w:rPr>
        <w:t xml:space="preserve"> and other clinicopathological and molecular </w:t>
      </w:r>
      <w:r w:rsidR="00926A2B" w:rsidRPr="00F83C46">
        <w:rPr>
          <w:rFonts w:ascii="Arial" w:eastAsia="宋体" w:hAnsi="Arial" w:cs="Arial"/>
          <w:sz w:val="24"/>
          <w:szCs w:val="24"/>
          <w:lang w:val="en-GB"/>
        </w:rPr>
        <w:t>mechanisms</w:t>
      </w:r>
      <w:r w:rsidRPr="00F83C46">
        <w:rPr>
          <w:rFonts w:ascii="Arial" w:hAnsi="Arial" w:cs="Arial"/>
          <w:sz w:val="24"/>
          <w:szCs w:val="24"/>
          <w:lang w:val="en-GB"/>
        </w:rPr>
        <w:t xml:space="preserve"> could affect the survival of LUAD patients </w:t>
      </w:r>
      <w:r w:rsidRPr="00F83C46">
        <w:rPr>
          <w:rFonts w:ascii="Arial" w:hAnsi="Arial" w:cs="Arial"/>
          <w:sz w:val="24"/>
          <w:szCs w:val="24"/>
          <w:lang w:val="en-GB"/>
        </w:rPr>
        <w:fldChar w:fldCharType="begin">
          <w:fldData xml:space="preserve">PEVuZE5vdGU+PENpdGU+PEF1dGhvcj5XYW5nPC9BdXRob3I+PFllYXI+MjAxOTwvWWVhcj48UmVj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</w:fldData>
        </w:fldChar>
      </w:r>
      <w:r w:rsidR="0038443C">
        <w:rPr>
          <w:rFonts w:ascii="Arial" w:hAnsi="Arial" w:cs="Arial"/>
          <w:sz w:val="24"/>
          <w:szCs w:val="24"/>
          <w:lang w:val="en-GB"/>
        </w:rPr>
        <w:instrText xml:space="preserve"> ADDIN EN.CITE </w:instrText>
      </w:r>
      <w:r w:rsidR="0038443C">
        <w:rPr>
          <w:rFonts w:ascii="Arial" w:hAnsi="Arial" w:cs="Arial"/>
          <w:sz w:val="24"/>
          <w:szCs w:val="24"/>
          <w:lang w:val="en-GB"/>
        </w:rPr>
        <w:fldChar w:fldCharType="begin">
          <w:fldData xml:space="preserve">PEVuZE5vdGU+PENpdGU+PEF1dGhvcj5XYW5nPC9BdXRob3I+PFllYXI+MjAxOTwvWWVhcj48UmVj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</w:fldData>
        </w:fldChar>
      </w:r>
      <w:r w:rsidR="0038443C">
        <w:rPr>
          <w:rFonts w:ascii="Arial" w:hAnsi="Arial" w:cs="Arial"/>
          <w:sz w:val="24"/>
          <w:szCs w:val="24"/>
          <w:lang w:val="en-GB"/>
        </w:rPr>
        <w:instrText xml:space="preserve"> ADDIN EN.CITE.DATA </w:instrText>
      </w:r>
      <w:r w:rsidR="0038443C">
        <w:rPr>
          <w:rFonts w:ascii="Arial" w:hAnsi="Arial" w:cs="Arial"/>
          <w:sz w:val="24"/>
          <w:szCs w:val="24"/>
          <w:lang w:val="en-GB"/>
        </w:rPr>
      </w:r>
      <w:r w:rsidR="0038443C">
        <w:rPr>
          <w:rFonts w:ascii="Arial" w:hAnsi="Arial" w:cs="Arial"/>
          <w:sz w:val="24"/>
          <w:szCs w:val="24"/>
          <w:lang w:val="en-GB"/>
        </w:rPr>
        <w:fldChar w:fldCharType="end"/>
      </w:r>
      <w:r w:rsidRPr="00F83C46">
        <w:rPr>
          <w:rFonts w:ascii="Arial" w:hAnsi="Arial" w:cs="Arial"/>
          <w:sz w:val="24"/>
          <w:szCs w:val="24"/>
          <w:lang w:val="en-GB"/>
        </w:rPr>
      </w:r>
      <w:r w:rsidRPr="00F83C46">
        <w:rPr>
          <w:rFonts w:ascii="Arial" w:hAnsi="Arial" w:cs="Arial"/>
          <w:sz w:val="24"/>
          <w:szCs w:val="24"/>
          <w:lang w:val="en-GB"/>
        </w:rPr>
        <w:fldChar w:fldCharType="separate"/>
      </w:r>
      <w:r w:rsidR="0038443C">
        <w:rPr>
          <w:rFonts w:ascii="Arial" w:hAnsi="Arial" w:cs="Arial"/>
          <w:noProof/>
          <w:sz w:val="24"/>
          <w:szCs w:val="24"/>
          <w:lang w:val="en-GB"/>
        </w:rPr>
        <w:t>(</w:t>
      </w:r>
      <w:hyperlink w:anchor="_ENREF_29" w:tooltip="Wang, 2019 #635" w:history="1">
        <w:r w:rsidR="0038443C">
          <w:rPr>
            <w:rFonts w:ascii="Arial" w:hAnsi="Arial" w:cs="Arial"/>
            <w:noProof/>
            <w:sz w:val="24"/>
            <w:szCs w:val="24"/>
            <w:lang w:val="en-GB"/>
          </w:rPr>
          <w:t>29</w:t>
        </w:r>
      </w:hyperlink>
      <w:r w:rsidR="0038443C">
        <w:rPr>
          <w:rFonts w:ascii="Arial" w:hAnsi="Arial" w:cs="Arial"/>
          <w:noProof/>
          <w:sz w:val="24"/>
          <w:szCs w:val="24"/>
          <w:lang w:val="en-GB"/>
        </w:rPr>
        <w:t xml:space="preserve">, </w:t>
      </w:r>
      <w:hyperlink w:anchor="_ENREF_30" w:tooltip="Wang, 2019 #636" w:history="1">
        <w:r w:rsidR="0038443C">
          <w:rPr>
            <w:rFonts w:ascii="Arial" w:hAnsi="Arial" w:cs="Arial"/>
            <w:noProof/>
            <w:sz w:val="24"/>
            <w:szCs w:val="24"/>
            <w:lang w:val="en-GB"/>
          </w:rPr>
          <w:t>30</w:t>
        </w:r>
      </w:hyperlink>
      <w:r w:rsidR="0038443C">
        <w:rPr>
          <w:rFonts w:ascii="Arial" w:hAnsi="Arial" w:cs="Arial"/>
          <w:noProof/>
          <w:sz w:val="24"/>
          <w:szCs w:val="24"/>
          <w:lang w:val="en-GB"/>
        </w:rPr>
        <w:t>)</w:t>
      </w:r>
      <w:r w:rsidRPr="00F83C46">
        <w:rPr>
          <w:rFonts w:ascii="Arial" w:hAnsi="Arial" w:cs="Arial"/>
          <w:sz w:val="24"/>
          <w:szCs w:val="24"/>
          <w:lang w:val="en-GB"/>
        </w:rPr>
        <w:fldChar w:fldCharType="end"/>
      </w:r>
      <w:r w:rsidR="004B2394" w:rsidRPr="00F83C46">
        <w:rPr>
          <w:rFonts w:ascii="Arial" w:hAnsi="Arial" w:cs="Arial"/>
          <w:sz w:val="24"/>
          <w:szCs w:val="24"/>
          <w:lang w:val="en-GB"/>
        </w:rPr>
        <w:t>. In this study, we highlighted the importance of</w:t>
      </w:r>
      <w:r w:rsidR="00926A2B" w:rsidRPr="00F83C46">
        <w:rPr>
          <w:rFonts w:ascii="Arial" w:eastAsia="宋体" w:hAnsi="Arial" w:cs="Arial"/>
          <w:sz w:val="24"/>
          <w:szCs w:val="24"/>
          <w:lang w:val="en-GB"/>
        </w:rPr>
        <w:t xml:space="preserve"> the</w:t>
      </w:r>
      <w:r w:rsidR="004B2394" w:rsidRPr="00F83C46">
        <w:rPr>
          <w:rFonts w:ascii="Arial" w:hAnsi="Arial" w:cs="Arial"/>
          <w:sz w:val="24"/>
          <w:szCs w:val="24"/>
          <w:lang w:val="en-GB"/>
        </w:rPr>
        <w:t xml:space="preserve"> immune landscape in early-stage LUAD. Through the combination of immune-related gene </w:t>
      </w:r>
      <w:r w:rsidR="00926A2B" w:rsidRPr="00F83C46">
        <w:rPr>
          <w:rFonts w:ascii="Arial" w:eastAsia="宋体" w:hAnsi="Arial" w:cs="Arial"/>
          <w:sz w:val="24"/>
          <w:szCs w:val="24"/>
          <w:lang w:val="en-GB"/>
        </w:rPr>
        <w:t>signatures</w:t>
      </w:r>
      <w:r w:rsidR="004B2394" w:rsidRPr="00F83C46">
        <w:rPr>
          <w:rFonts w:ascii="Arial" w:hAnsi="Arial" w:cs="Arial"/>
          <w:sz w:val="24"/>
          <w:szCs w:val="24"/>
          <w:lang w:val="en-GB"/>
        </w:rPr>
        <w:t xml:space="preserve"> and other clinicopathological features, we built a decision tree and a nomogram to stratify high-risk early-stage LUAD patients. During the trimming step of the decision tree, the decision tree exhibited </w:t>
      </w:r>
      <w:r w:rsidR="00926A2B" w:rsidRPr="00F83C46">
        <w:rPr>
          <w:rFonts w:ascii="Arial" w:eastAsia="宋体" w:hAnsi="Arial" w:cs="Arial"/>
          <w:sz w:val="24"/>
          <w:szCs w:val="24"/>
          <w:lang w:val="en-GB"/>
        </w:rPr>
        <w:t xml:space="preserve">a </w:t>
      </w:r>
      <w:r w:rsidR="004B2394" w:rsidRPr="00F83C46">
        <w:rPr>
          <w:rFonts w:ascii="Arial" w:hAnsi="Arial" w:cs="Arial"/>
          <w:sz w:val="24"/>
          <w:szCs w:val="24"/>
          <w:lang w:val="en-GB"/>
        </w:rPr>
        <w:t>strong relationship between</w:t>
      </w:r>
      <w:r w:rsidR="00926A2B" w:rsidRPr="00F83C46">
        <w:rPr>
          <w:rFonts w:ascii="Arial" w:eastAsia="宋体" w:hAnsi="Arial" w:cs="Arial"/>
          <w:sz w:val="24"/>
          <w:szCs w:val="24"/>
          <w:lang w:val="en-GB"/>
        </w:rPr>
        <w:t xml:space="preserve"> the</w:t>
      </w:r>
      <w:r w:rsidR="004B2394" w:rsidRPr="00F83C46">
        <w:rPr>
          <w:rFonts w:ascii="Arial" w:hAnsi="Arial" w:cs="Arial"/>
          <w:sz w:val="24"/>
          <w:szCs w:val="24"/>
          <w:lang w:val="en-GB"/>
        </w:rPr>
        <w:t xml:space="preserve"> immune-related signature-based risk score and </w:t>
      </w:r>
      <w:r w:rsidR="00134F7C" w:rsidRPr="00F83C46">
        <w:rPr>
          <w:rFonts w:ascii="Arial" w:hAnsi="Arial" w:cs="Arial"/>
          <w:sz w:val="24"/>
          <w:szCs w:val="24"/>
          <w:lang w:val="en-GB"/>
        </w:rPr>
        <w:t xml:space="preserve">the </w:t>
      </w:r>
      <w:r w:rsidR="004B2394" w:rsidRPr="00F83C46">
        <w:rPr>
          <w:rFonts w:ascii="Arial" w:hAnsi="Arial" w:cs="Arial"/>
          <w:sz w:val="24"/>
          <w:szCs w:val="24"/>
          <w:lang w:val="en-GB"/>
        </w:rPr>
        <w:t>OS of early-stage LUAD patients. Moreover, the immune-related signature also serve</w:t>
      </w:r>
      <w:r w:rsidR="00134F7C" w:rsidRPr="00F83C46">
        <w:rPr>
          <w:rFonts w:ascii="Arial" w:hAnsi="Arial" w:cs="Arial"/>
          <w:sz w:val="24"/>
          <w:szCs w:val="24"/>
          <w:lang w:val="en-GB"/>
        </w:rPr>
        <w:t>d</w:t>
      </w:r>
      <w:r w:rsidR="004B2394" w:rsidRPr="00F83C46">
        <w:rPr>
          <w:rFonts w:ascii="Arial" w:hAnsi="Arial" w:cs="Arial"/>
          <w:sz w:val="24"/>
          <w:szCs w:val="24"/>
          <w:lang w:val="en-GB"/>
        </w:rPr>
        <w:t xml:space="preserve"> as a prognostic factor when constructing the nomogram. We checked the relationship between </w:t>
      </w:r>
      <w:r w:rsidR="00926A2B" w:rsidRPr="00F83C46">
        <w:rPr>
          <w:rFonts w:ascii="Arial" w:eastAsia="宋体" w:hAnsi="Arial" w:cs="Arial"/>
          <w:sz w:val="24"/>
          <w:szCs w:val="24"/>
          <w:lang w:val="en-GB"/>
        </w:rPr>
        <w:t xml:space="preserve">the </w:t>
      </w:r>
      <w:r w:rsidR="004B2394" w:rsidRPr="00F83C46">
        <w:rPr>
          <w:rFonts w:ascii="Arial" w:hAnsi="Arial" w:cs="Arial"/>
          <w:sz w:val="24"/>
          <w:szCs w:val="24"/>
          <w:lang w:val="en-GB"/>
        </w:rPr>
        <w:t xml:space="preserve">immunotherapy response and the immune-related gene signature. Interestingly, patients who had </w:t>
      </w:r>
      <w:r w:rsidR="00134F7C" w:rsidRPr="00F83C46">
        <w:rPr>
          <w:rFonts w:ascii="Arial" w:hAnsi="Arial" w:cs="Arial"/>
          <w:sz w:val="24"/>
          <w:szCs w:val="24"/>
          <w:lang w:val="en-GB"/>
        </w:rPr>
        <w:t xml:space="preserve">larger </w:t>
      </w:r>
      <w:r w:rsidR="004B2394" w:rsidRPr="00F83C46">
        <w:rPr>
          <w:rFonts w:ascii="Arial" w:hAnsi="Arial" w:cs="Arial"/>
          <w:sz w:val="24"/>
          <w:szCs w:val="24"/>
          <w:lang w:val="en-GB"/>
        </w:rPr>
        <w:t>immune-related gene signature-based risk scores usually had poor immunotherapy response</w:t>
      </w:r>
      <w:r w:rsidR="00134F7C" w:rsidRPr="00F83C46">
        <w:rPr>
          <w:rFonts w:ascii="Arial" w:hAnsi="Arial" w:cs="Arial"/>
          <w:sz w:val="24"/>
          <w:szCs w:val="24"/>
          <w:lang w:val="en-GB"/>
        </w:rPr>
        <w:t>s</w:t>
      </w:r>
      <w:r w:rsidR="004B2394" w:rsidRPr="00F83C46">
        <w:rPr>
          <w:rFonts w:ascii="Arial" w:hAnsi="Arial" w:cs="Arial"/>
          <w:sz w:val="24"/>
          <w:szCs w:val="24"/>
          <w:lang w:val="en-GB"/>
        </w:rPr>
        <w:t xml:space="preserve">, which further </w:t>
      </w:r>
      <w:r w:rsidR="00926A2B" w:rsidRPr="00F83C46">
        <w:rPr>
          <w:rFonts w:ascii="Arial" w:eastAsia="宋体" w:hAnsi="Arial" w:cs="Arial"/>
          <w:sz w:val="24"/>
          <w:szCs w:val="24"/>
          <w:lang w:val="en-GB"/>
        </w:rPr>
        <w:t>validates</w:t>
      </w:r>
      <w:r w:rsidR="004B2394" w:rsidRPr="00F83C46">
        <w:rPr>
          <w:rFonts w:ascii="Arial" w:hAnsi="Arial" w:cs="Arial"/>
          <w:sz w:val="24"/>
          <w:szCs w:val="24"/>
          <w:lang w:val="en-GB"/>
        </w:rPr>
        <w:t xml:space="preserve"> the prognos</w:t>
      </w:r>
      <w:r w:rsidR="00134F7C" w:rsidRPr="00F83C46">
        <w:rPr>
          <w:rFonts w:ascii="Arial" w:hAnsi="Arial" w:cs="Arial"/>
          <w:sz w:val="24"/>
          <w:szCs w:val="24"/>
          <w:lang w:val="en-GB"/>
        </w:rPr>
        <w:t>tic value</w:t>
      </w:r>
      <w:r w:rsidR="004B2394" w:rsidRPr="00F83C46">
        <w:rPr>
          <w:rFonts w:ascii="Arial" w:hAnsi="Arial" w:cs="Arial"/>
          <w:sz w:val="24"/>
          <w:szCs w:val="24"/>
          <w:lang w:val="en-GB"/>
        </w:rPr>
        <w:t xml:space="preserve"> of the immune-related gene signature.</w:t>
      </w:r>
    </w:p>
    <w:p w14:paraId="40AD2772" w14:textId="34E9CB8E" w:rsidR="004B2394" w:rsidRPr="00F83C46" w:rsidRDefault="00926A2B" w:rsidP="004B2394">
      <w:pPr>
        <w:ind w:firstLineChars="100" w:firstLine="240"/>
        <w:rPr>
          <w:rFonts w:ascii="Arial" w:hAnsi="Arial" w:cs="Arial"/>
          <w:sz w:val="24"/>
          <w:szCs w:val="24"/>
          <w:lang w:val="en-GB"/>
        </w:rPr>
      </w:pPr>
      <w:r w:rsidRPr="00F83C46">
        <w:rPr>
          <w:rFonts w:ascii="Arial" w:hAnsi="Arial" w:cs="Arial"/>
          <w:sz w:val="24"/>
          <w:szCs w:val="24"/>
          <w:lang w:val="en-GB"/>
        </w:rPr>
        <w:t xml:space="preserve">In this study, we depicted the immune landscape and established a novel immune-related gene signature to discriminate high-risk patients with early-stage LUAD. </w:t>
      </w:r>
      <w:r w:rsidR="003D3BB4">
        <w:rPr>
          <w:rFonts w:ascii="Arial" w:hAnsi="Arial" w:cs="Arial"/>
          <w:sz w:val="24"/>
          <w:szCs w:val="24"/>
          <w:lang w:val="en-GB"/>
        </w:rPr>
        <w:t xml:space="preserve">Through detailed bioinformatics analyses of RNA-seq data and clinical data, we </w:t>
      </w:r>
      <w:r w:rsidR="00E30098">
        <w:rPr>
          <w:rFonts w:ascii="Arial" w:hAnsi="Arial" w:cs="Arial"/>
          <w:sz w:val="24"/>
          <w:szCs w:val="24"/>
          <w:lang w:val="en-GB"/>
        </w:rPr>
        <w:t>confirmed</w:t>
      </w:r>
      <w:r w:rsidR="003D3BB4">
        <w:rPr>
          <w:rFonts w:ascii="Arial" w:hAnsi="Arial" w:cs="Arial"/>
          <w:sz w:val="24"/>
          <w:szCs w:val="24"/>
          <w:lang w:val="en-GB"/>
        </w:rPr>
        <w:t xml:space="preserve"> the immune gene signature is a </w:t>
      </w:r>
      <w:r w:rsidR="003D3BB4" w:rsidRPr="003D3BB4">
        <w:rPr>
          <w:rFonts w:ascii="Arial" w:hAnsi="Arial" w:cs="Arial"/>
          <w:sz w:val="24"/>
          <w:szCs w:val="24"/>
          <w:lang w:val="en-GB"/>
        </w:rPr>
        <w:t>powerful predictor</w:t>
      </w:r>
      <w:r w:rsidR="003D3BB4">
        <w:rPr>
          <w:rFonts w:ascii="Arial" w:hAnsi="Arial" w:cs="Arial"/>
          <w:sz w:val="24"/>
          <w:szCs w:val="24"/>
          <w:lang w:val="en-GB"/>
        </w:rPr>
        <w:t xml:space="preserve">. </w:t>
      </w:r>
      <w:r w:rsidRPr="00F83C46">
        <w:rPr>
          <w:rFonts w:ascii="Arial" w:hAnsi="Arial" w:cs="Arial"/>
          <w:sz w:val="24"/>
          <w:szCs w:val="24"/>
          <w:lang w:val="en-GB"/>
        </w:rPr>
        <w:t>Integrated with clinicopathological traits, we built a decision tree to optimize risk stratification for OS and a nomogram to quantify risk assessment for individual patients.</w:t>
      </w:r>
      <w:r w:rsidRPr="00F83C46">
        <w:rPr>
          <w:rFonts w:ascii="Arial" w:eastAsia="宋体" w:hAnsi="Arial" w:cs="Arial"/>
          <w:sz w:val="24"/>
          <w:szCs w:val="24"/>
          <w:lang w:val="en-GB"/>
        </w:rPr>
        <w:t xml:space="preserve"> </w:t>
      </w:r>
      <w:r w:rsidR="00A6720B" w:rsidRPr="00A6720B">
        <w:rPr>
          <w:rFonts w:ascii="Arial" w:eastAsia="宋体" w:hAnsi="Arial" w:cs="Arial"/>
          <w:sz w:val="24"/>
          <w:szCs w:val="24"/>
          <w:lang w:val="en-GB"/>
        </w:rPr>
        <w:t xml:space="preserve">Our model could be a useful tool for personalized management of </w:t>
      </w:r>
      <w:r w:rsidR="00A6720B" w:rsidRPr="00F83C46">
        <w:rPr>
          <w:rFonts w:ascii="Arial" w:hAnsi="Arial" w:cs="Arial"/>
          <w:sz w:val="24"/>
          <w:szCs w:val="24"/>
          <w:lang w:val="en-GB"/>
        </w:rPr>
        <w:t>early-stage LUAD patients</w:t>
      </w:r>
      <w:r w:rsidR="00A6720B" w:rsidRPr="00A6720B">
        <w:rPr>
          <w:rFonts w:ascii="Arial" w:eastAsia="宋体" w:hAnsi="Arial" w:cs="Arial"/>
          <w:sz w:val="24"/>
          <w:szCs w:val="24"/>
          <w:lang w:val="en-GB"/>
        </w:rPr>
        <w:t>.</w:t>
      </w:r>
    </w:p>
    <w:p w14:paraId="24DA6897" w14:textId="77777777" w:rsidR="00CE502B" w:rsidRPr="00CE502B" w:rsidRDefault="00CE502B" w:rsidP="00CE502B">
      <w:pPr>
        <w:pStyle w:val="a5"/>
        <w:numPr>
          <w:ilvl w:val="0"/>
          <w:numId w:val="5"/>
        </w:numPr>
        <w:spacing w:beforeLines="25" w:before="78" w:afterLines="25" w:after="78" w:line="360" w:lineRule="auto"/>
        <w:ind w:firstLineChars="0"/>
        <w:rPr>
          <w:rFonts w:ascii="Arial" w:hAnsi="Arial" w:cs="Arial"/>
          <w:b/>
          <w:color w:val="000000" w:themeColor="text1"/>
          <w:sz w:val="24"/>
          <w:szCs w:val="24"/>
          <w:lang w:val="en-GB"/>
        </w:rPr>
      </w:pPr>
      <w:r w:rsidRPr="00CE502B">
        <w:rPr>
          <w:rFonts w:ascii="Arial" w:hAnsi="Arial" w:cs="Arial"/>
          <w:b/>
          <w:color w:val="000000" w:themeColor="text1"/>
          <w:sz w:val="24"/>
          <w:szCs w:val="24"/>
          <w:lang w:val="en-GB"/>
        </w:rPr>
        <w:lastRenderedPageBreak/>
        <w:t>Acknowledgements</w:t>
      </w:r>
    </w:p>
    <w:p w14:paraId="5A4504EA" w14:textId="245BC3C9" w:rsidR="00CE502B" w:rsidRPr="00CE502B" w:rsidRDefault="00CE502B" w:rsidP="00CE502B">
      <w:pPr>
        <w:spacing w:beforeLines="25" w:before="78" w:afterLines="25" w:after="78" w:line="360" w:lineRule="auto"/>
        <w:ind w:firstLine="420"/>
        <w:rPr>
          <w:rFonts w:ascii="Arial" w:hAnsi="Arial" w:cs="Arial"/>
          <w:color w:val="000000" w:themeColor="text1"/>
          <w:sz w:val="24"/>
          <w:szCs w:val="24"/>
          <w:lang w:val="en-GB"/>
        </w:rPr>
      </w:pPr>
      <w:r w:rsidRPr="0075332D">
        <w:rPr>
          <w:rFonts w:ascii="Arial" w:hAnsi="Arial" w:cs="Arial"/>
          <w:color w:val="000000" w:themeColor="text1"/>
          <w:sz w:val="24"/>
          <w:szCs w:val="24"/>
          <w:lang w:val="en-GB"/>
        </w:rPr>
        <w:t>We greatly thank the China Scholarship Council (CSC) for supporting the research and work of Xuanwen Bao (No. 201608210186)</w:t>
      </w:r>
      <w:r w:rsidR="00ED69E0">
        <w:rPr>
          <w:rFonts w:ascii="Arial" w:hAnsi="Arial" w:cs="Arial"/>
          <w:color w:val="000000" w:themeColor="text1"/>
          <w:sz w:val="24"/>
          <w:szCs w:val="24"/>
          <w:lang w:val="en-GB"/>
        </w:rPr>
        <w:t>,</w:t>
      </w:r>
      <w:r w:rsidRPr="0075332D">
        <w:rPr>
          <w:rFonts w:ascii="Arial" w:hAnsi="Arial" w:cs="Arial"/>
          <w:color w:val="000000" w:themeColor="text1"/>
          <w:sz w:val="24"/>
          <w:szCs w:val="24"/>
          <w:lang w:val="en-GB"/>
        </w:rPr>
        <w:t xml:space="preserve"> </w:t>
      </w:r>
      <w:r w:rsidR="00ED69E0" w:rsidRPr="00ED69E0">
        <w:rPr>
          <w:rFonts w:ascii="Arial" w:hAnsi="Arial" w:cs="Arial"/>
          <w:color w:val="000000" w:themeColor="text1"/>
          <w:sz w:val="24"/>
          <w:szCs w:val="24"/>
          <w:lang w:val="en-GB"/>
        </w:rPr>
        <w:t>Tianyu Zhao (No. 201708120056)</w:t>
      </w:r>
      <w:r w:rsidR="00ED69E0">
        <w:rPr>
          <w:rFonts w:ascii="Arial" w:hAnsi="Arial" w:cs="Arial"/>
          <w:color w:val="000000" w:themeColor="text1"/>
          <w:sz w:val="24"/>
          <w:szCs w:val="24"/>
          <w:lang w:val="en-GB"/>
        </w:rPr>
        <w:t xml:space="preserve">, </w:t>
      </w:r>
      <w:r w:rsidRPr="0075332D">
        <w:rPr>
          <w:rFonts w:ascii="Arial" w:hAnsi="Arial" w:cs="Arial"/>
          <w:color w:val="000000" w:themeColor="text1"/>
          <w:sz w:val="24"/>
          <w:szCs w:val="24"/>
          <w:lang w:val="en-GB"/>
        </w:rPr>
        <w:t xml:space="preserve">and Run Shi (No. 201708320347). </w:t>
      </w:r>
    </w:p>
    <w:p w14:paraId="09D30CAB" w14:textId="12F849F2" w:rsidR="00175E5B" w:rsidRDefault="00926A2B" w:rsidP="00FA6AC2">
      <w:pPr>
        <w:pStyle w:val="a5"/>
        <w:widowControl/>
        <w:numPr>
          <w:ilvl w:val="0"/>
          <w:numId w:val="5"/>
        </w:numPr>
        <w:shd w:val="clear" w:color="auto" w:fill="FFFFFF"/>
        <w:spacing w:after="120"/>
        <w:ind w:firstLineChars="0"/>
        <w:jc w:val="left"/>
        <w:outlineLvl w:val="1"/>
        <w:rPr>
          <w:rFonts w:ascii="Arial" w:eastAsia="宋体" w:hAnsi="Arial" w:cs="Arial"/>
          <w:b/>
          <w:bCs/>
          <w:kern w:val="0"/>
          <w:sz w:val="24"/>
          <w:szCs w:val="24"/>
          <w:lang w:val="en-GB"/>
        </w:rPr>
      </w:pPr>
      <w:r w:rsidRPr="00F83C46">
        <w:rPr>
          <w:rFonts w:ascii="Arial" w:eastAsia="宋体" w:hAnsi="Arial" w:cs="Arial"/>
          <w:b/>
          <w:bCs/>
          <w:kern w:val="0"/>
          <w:sz w:val="24"/>
          <w:szCs w:val="24"/>
          <w:lang w:val="en-GB"/>
        </w:rPr>
        <w:t>Declarations</w:t>
      </w:r>
    </w:p>
    <w:p w14:paraId="33161388" w14:textId="77777777" w:rsidR="00F83C46" w:rsidRPr="0075332D" w:rsidRDefault="00F83C46" w:rsidP="00F83C46">
      <w:pPr>
        <w:spacing w:beforeLines="25" w:before="78" w:afterLines="25" w:after="78" w:line="360" w:lineRule="auto"/>
        <w:rPr>
          <w:rFonts w:ascii="Arial" w:hAnsi="Arial" w:cs="Arial"/>
          <w:b/>
          <w:color w:val="000000" w:themeColor="text1"/>
          <w:sz w:val="24"/>
          <w:szCs w:val="24"/>
          <w:lang w:val="en-GB"/>
        </w:rPr>
      </w:pPr>
      <w:r w:rsidRPr="0075332D">
        <w:rPr>
          <w:rFonts w:ascii="Arial" w:hAnsi="Arial" w:cs="Arial"/>
          <w:b/>
          <w:color w:val="000000" w:themeColor="text1"/>
          <w:sz w:val="24"/>
          <w:szCs w:val="24"/>
          <w:lang w:val="en-GB"/>
        </w:rPr>
        <w:t>Consent for publication</w:t>
      </w:r>
    </w:p>
    <w:p w14:paraId="70F81CFF" w14:textId="77777777" w:rsidR="00F83C46" w:rsidRPr="0075332D" w:rsidRDefault="00F83C46" w:rsidP="00F83C46">
      <w:pPr>
        <w:spacing w:beforeLines="25" w:before="78" w:afterLines="25" w:after="78" w:line="360" w:lineRule="auto"/>
        <w:ind w:firstLine="420"/>
        <w:rPr>
          <w:rFonts w:ascii="Arial" w:hAnsi="Arial" w:cs="Arial"/>
          <w:color w:val="000000" w:themeColor="text1"/>
          <w:sz w:val="24"/>
          <w:szCs w:val="24"/>
          <w:lang w:val="en-GB"/>
        </w:rPr>
      </w:pPr>
      <w:r w:rsidRPr="0075332D">
        <w:rPr>
          <w:rFonts w:ascii="Arial" w:hAnsi="Arial" w:cs="Arial"/>
          <w:color w:val="000000" w:themeColor="text1"/>
          <w:sz w:val="24"/>
          <w:szCs w:val="24"/>
          <w:lang w:val="en-GB"/>
        </w:rPr>
        <w:t>Not applicable.</w:t>
      </w:r>
    </w:p>
    <w:p w14:paraId="797D659C" w14:textId="77777777" w:rsidR="00F83C46" w:rsidRPr="0075332D" w:rsidRDefault="00F83C46" w:rsidP="00F83C46">
      <w:pPr>
        <w:spacing w:beforeLines="25" w:before="78" w:afterLines="25" w:after="78" w:line="360" w:lineRule="auto"/>
        <w:rPr>
          <w:rFonts w:ascii="Arial" w:hAnsi="Arial" w:cs="Arial"/>
          <w:b/>
          <w:color w:val="000000" w:themeColor="text1"/>
          <w:sz w:val="24"/>
          <w:szCs w:val="24"/>
          <w:lang w:val="en-GB"/>
        </w:rPr>
      </w:pPr>
      <w:r w:rsidRPr="0075332D">
        <w:rPr>
          <w:rFonts w:ascii="Arial" w:hAnsi="Arial" w:cs="Arial"/>
          <w:b/>
          <w:color w:val="000000" w:themeColor="text1"/>
          <w:sz w:val="24"/>
          <w:szCs w:val="24"/>
          <w:lang w:val="en-GB"/>
        </w:rPr>
        <w:t>Data accessibility</w:t>
      </w:r>
    </w:p>
    <w:p w14:paraId="5AAFFEFE" w14:textId="77777777" w:rsidR="00F83C46" w:rsidRPr="0075332D" w:rsidRDefault="00F83C46" w:rsidP="00F83C46">
      <w:pPr>
        <w:spacing w:beforeLines="25" w:before="78" w:afterLines="25" w:after="78" w:line="360" w:lineRule="auto"/>
        <w:ind w:firstLine="420"/>
        <w:rPr>
          <w:rFonts w:ascii="Arial" w:hAnsi="Arial" w:cs="Arial"/>
          <w:color w:val="000000" w:themeColor="text1"/>
          <w:sz w:val="24"/>
          <w:szCs w:val="24"/>
          <w:lang w:val="en-GB"/>
        </w:rPr>
      </w:pPr>
      <w:r w:rsidRPr="0075332D">
        <w:rPr>
          <w:rFonts w:ascii="Arial" w:hAnsi="Arial" w:cs="Arial"/>
          <w:color w:val="000000" w:themeColor="text1"/>
          <w:sz w:val="24"/>
          <w:szCs w:val="24"/>
          <w:lang w:val="en-GB"/>
        </w:rPr>
        <w:t>The datasets supporting the conclusions of this article are available in the Xena browser (https://xenabrowser.net/) repository.</w:t>
      </w:r>
    </w:p>
    <w:p w14:paraId="2CD630B7" w14:textId="77777777" w:rsidR="00F83C46" w:rsidRPr="0075332D" w:rsidRDefault="00F83C46" w:rsidP="00F83C46">
      <w:pPr>
        <w:spacing w:beforeLines="25" w:before="78" w:afterLines="25" w:after="78" w:line="360" w:lineRule="auto"/>
        <w:rPr>
          <w:rFonts w:ascii="Arial" w:hAnsi="Arial" w:cs="Arial"/>
          <w:b/>
          <w:color w:val="000000" w:themeColor="text1"/>
          <w:sz w:val="24"/>
          <w:szCs w:val="24"/>
          <w:lang w:val="en-GB"/>
        </w:rPr>
      </w:pPr>
      <w:r w:rsidRPr="0075332D">
        <w:rPr>
          <w:rFonts w:ascii="Arial" w:hAnsi="Arial" w:cs="Arial"/>
          <w:b/>
          <w:color w:val="000000" w:themeColor="text1"/>
          <w:sz w:val="24"/>
          <w:szCs w:val="24"/>
          <w:lang w:val="en-GB"/>
        </w:rPr>
        <w:t>Competing interests</w:t>
      </w:r>
    </w:p>
    <w:p w14:paraId="3017992C" w14:textId="7171D561" w:rsidR="00F83C46" w:rsidRDefault="00F83C46" w:rsidP="00F83C46">
      <w:pPr>
        <w:spacing w:beforeLines="25" w:before="78" w:afterLines="25" w:after="78" w:line="360" w:lineRule="auto"/>
        <w:rPr>
          <w:rFonts w:ascii="Arial" w:hAnsi="Arial" w:cs="Arial"/>
          <w:color w:val="000000" w:themeColor="text1"/>
          <w:sz w:val="24"/>
          <w:szCs w:val="24"/>
          <w:lang w:val="en-GB"/>
        </w:rPr>
      </w:pPr>
      <w:r w:rsidRPr="0075332D">
        <w:rPr>
          <w:rFonts w:ascii="Arial" w:hAnsi="Arial" w:cs="Arial"/>
          <w:color w:val="000000" w:themeColor="text1"/>
          <w:sz w:val="24"/>
          <w:szCs w:val="24"/>
          <w:lang w:val="en-GB"/>
        </w:rPr>
        <w:tab/>
        <w:t>The authors declare that they have no competing interests.</w:t>
      </w:r>
    </w:p>
    <w:p w14:paraId="4F95DEF6" w14:textId="77777777" w:rsidR="00ED1ABD" w:rsidRPr="00F83C46" w:rsidRDefault="00ED1ABD" w:rsidP="00ED1ABD">
      <w:pPr>
        <w:spacing w:beforeLines="25" w:before="78" w:afterLines="25" w:after="78"/>
        <w:rPr>
          <w:rFonts w:ascii="Arial" w:hAnsi="Arial" w:cs="Arial"/>
          <w:b/>
          <w:sz w:val="24"/>
          <w:szCs w:val="24"/>
          <w:lang w:val="en-GB"/>
        </w:rPr>
      </w:pPr>
      <w:r w:rsidRPr="00F83C46">
        <w:rPr>
          <w:rFonts w:ascii="Arial" w:hAnsi="Arial" w:cs="Arial"/>
          <w:b/>
          <w:sz w:val="24"/>
          <w:szCs w:val="24"/>
          <w:lang w:val="en-GB"/>
        </w:rPr>
        <w:t>Author Contributions</w:t>
      </w:r>
    </w:p>
    <w:p w14:paraId="4397600E" w14:textId="77777777" w:rsidR="00ED1ABD" w:rsidRDefault="00ED1ABD" w:rsidP="003D3BB4">
      <w:pPr>
        <w:ind w:firstLine="420"/>
        <w:rPr>
          <w:rFonts w:ascii="Arial" w:hAnsi="Arial" w:cs="Arial"/>
          <w:sz w:val="24"/>
          <w:szCs w:val="24"/>
          <w:lang w:val="en-GB"/>
        </w:rPr>
      </w:pPr>
      <w:r w:rsidRPr="00F83C46">
        <w:rPr>
          <w:rFonts w:ascii="Arial" w:hAnsi="Arial" w:cs="Arial"/>
          <w:sz w:val="24"/>
          <w:szCs w:val="24"/>
          <w:lang w:val="en-GB"/>
        </w:rPr>
        <w:t xml:space="preserve">XW. B. and </w:t>
      </w:r>
      <w:r>
        <w:rPr>
          <w:rFonts w:ascii="Arial" w:hAnsi="Arial" w:cs="Arial"/>
          <w:sz w:val="24"/>
          <w:szCs w:val="24"/>
          <w:lang w:val="en-GB"/>
        </w:rPr>
        <w:t>YF.W</w:t>
      </w:r>
      <w:r w:rsidRPr="00F83C46">
        <w:rPr>
          <w:rFonts w:ascii="Arial" w:hAnsi="Arial" w:cs="Arial"/>
          <w:sz w:val="24"/>
          <w:szCs w:val="24"/>
          <w:lang w:val="en-GB"/>
        </w:rPr>
        <w:t>. conceived and designed the experiments. XW. B. performed the analysis. XW. B.</w:t>
      </w:r>
      <w:r>
        <w:rPr>
          <w:rFonts w:ascii="Arial" w:hAnsi="Arial" w:cs="Arial"/>
          <w:sz w:val="24"/>
          <w:szCs w:val="24"/>
          <w:lang w:val="en-GB"/>
        </w:rPr>
        <w:t xml:space="preserve">, R.S. </w:t>
      </w:r>
      <w:r w:rsidRPr="00F83C46">
        <w:rPr>
          <w:rFonts w:ascii="Arial" w:hAnsi="Arial" w:cs="Arial"/>
          <w:sz w:val="24"/>
          <w:szCs w:val="24"/>
          <w:lang w:val="en-GB"/>
        </w:rPr>
        <w:t xml:space="preserve">and YF. W. wrote the paper. XW. B., TY. Z., and R. S. reviewed the draft. XW. B. and R. S. </w:t>
      </w:r>
      <w:r w:rsidRPr="00F83C46">
        <w:rPr>
          <w:rFonts w:ascii="Arial" w:hAnsi="Arial" w:cs="Arial"/>
          <w:sz w:val="24"/>
          <w:szCs w:val="24"/>
        </w:rPr>
        <w:t>contributed equally to the manuscript.</w:t>
      </w:r>
      <w:r>
        <w:rPr>
          <w:rFonts w:ascii="Arial" w:hAnsi="Arial" w:cs="Arial" w:hint="eastAsia"/>
          <w:sz w:val="24"/>
          <w:szCs w:val="24"/>
        </w:rPr>
        <w:t xml:space="preserve"> </w:t>
      </w:r>
      <w:r w:rsidRPr="00F83C46">
        <w:rPr>
          <w:rFonts w:ascii="Arial" w:hAnsi="Arial" w:cs="Arial"/>
          <w:sz w:val="24"/>
          <w:szCs w:val="24"/>
          <w:lang w:val="en-GB"/>
        </w:rPr>
        <w:t>All authors read and approved the final manuscript.</w:t>
      </w:r>
    </w:p>
    <w:p w14:paraId="3713CDBE" w14:textId="77777777" w:rsidR="00ED1ABD" w:rsidRPr="0075332D" w:rsidRDefault="00ED1ABD" w:rsidP="00F83C46">
      <w:pPr>
        <w:spacing w:beforeLines="25" w:before="78" w:afterLines="25" w:after="78" w:line="360" w:lineRule="auto"/>
        <w:rPr>
          <w:rFonts w:ascii="Arial" w:hAnsi="Arial" w:cs="Arial"/>
          <w:color w:val="000000" w:themeColor="text1"/>
          <w:sz w:val="24"/>
          <w:szCs w:val="24"/>
          <w:lang w:val="en-GB"/>
        </w:rPr>
      </w:pPr>
    </w:p>
    <w:p w14:paraId="56F8AAE2" w14:textId="2F8A213D" w:rsidR="001E2FF7" w:rsidRPr="00F83C46" w:rsidRDefault="002141FB" w:rsidP="0035497E">
      <w:pPr>
        <w:rPr>
          <w:rFonts w:ascii="Arial" w:hAnsi="Arial" w:cs="Arial"/>
          <w:b/>
          <w:bCs/>
          <w:sz w:val="24"/>
          <w:szCs w:val="24"/>
          <w:lang w:val="en-GB"/>
        </w:rPr>
      </w:pPr>
      <w:r w:rsidRPr="00F83C46">
        <w:rPr>
          <w:rFonts w:ascii="Arial" w:hAnsi="Arial" w:cs="Arial"/>
          <w:b/>
          <w:bCs/>
          <w:sz w:val="24"/>
          <w:szCs w:val="24"/>
          <w:lang w:val="en-GB"/>
        </w:rPr>
        <w:t>References</w:t>
      </w:r>
    </w:p>
    <w:p w14:paraId="24E730DB" w14:textId="77777777" w:rsidR="0038443C" w:rsidRPr="0038443C" w:rsidRDefault="00926A2B" w:rsidP="0038443C">
      <w:pPr>
        <w:rPr>
          <w:rFonts w:ascii="Calibri" w:hAnsi="Calibri" w:cs="Calibri"/>
          <w:noProof/>
          <w:sz w:val="20"/>
          <w:szCs w:val="24"/>
          <w:lang w:val="en-GB"/>
        </w:rPr>
      </w:pPr>
      <w:r w:rsidRPr="00F83C46">
        <w:rPr>
          <w:rFonts w:ascii="Arial" w:hAnsi="Arial" w:cs="Arial"/>
          <w:sz w:val="24"/>
          <w:szCs w:val="24"/>
          <w:lang w:val="en-GB"/>
        </w:rPr>
        <w:fldChar w:fldCharType="begin"/>
      </w:r>
      <w:r w:rsidRPr="00F83C46">
        <w:rPr>
          <w:rFonts w:ascii="Arial" w:hAnsi="Arial" w:cs="Arial"/>
          <w:sz w:val="24"/>
          <w:szCs w:val="24"/>
          <w:lang w:val="en-GB"/>
        </w:rPr>
        <w:instrText xml:space="preserve"> ADDIN EN.REFLIST </w:instrText>
      </w:r>
      <w:r w:rsidRPr="00F83C46">
        <w:rPr>
          <w:rFonts w:ascii="Arial" w:hAnsi="Arial" w:cs="Arial"/>
          <w:sz w:val="24"/>
          <w:szCs w:val="24"/>
          <w:lang w:val="en-GB"/>
        </w:rPr>
        <w:fldChar w:fldCharType="separate"/>
      </w:r>
      <w:bookmarkStart w:id="13" w:name="_ENREF_1"/>
      <w:r w:rsidR="0038443C" w:rsidRPr="0038443C">
        <w:rPr>
          <w:rFonts w:ascii="Calibri" w:hAnsi="Calibri" w:cs="Calibri"/>
          <w:noProof/>
          <w:sz w:val="20"/>
          <w:szCs w:val="24"/>
          <w:lang w:val="en-GB"/>
        </w:rPr>
        <w:t>1.</w:t>
      </w:r>
      <w:r w:rsidR="0038443C" w:rsidRPr="0038443C">
        <w:rPr>
          <w:rFonts w:ascii="Calibri" w:hAnsi="Calibri" w:cs="Calibri"/>
          <w:noProof/>
          <w:sz w:val="20"/>
          <w:szCs w:val="24"/>
          <w:lang w:val="en-GB"/>
        </w:rPr>
        <w:tab/>
        <w:t>Mao Y, Yang D, He J, Krasna MJ. Epidemiology of lung cancer. Surgical Oncology Clinics. 2016;25(3):439-45.</w:t>
      </w:r>
      <w:bookmarkEnd w:id="13"/>
    </w:p>
    <w:p w14:paraId="452FF9EC" w14:textId="77777777" w:rsidR="0038443C" w:rsidRPr="0038443C" w:rsidRDefault="0038443C" w:rsidP="0038443C">
      <w:pPr>
        <w:rPr>
          <w:rFonts w:ascii="Calibri" w:hAnsi="Calibri" w:cs="Calibri"/>
          <w:noProof/>
          <w:sz w:val="20"/>
          <w:szCs w:val="24"/>
          <w:lang w:val="en-GB"/>
        </w:rPr>
      </w:pPr>
      <w:bookmarkStart w:id="14" w:name="_ENREF_2"/>
      <w:r w:rsidRPr="0038443C">
        <w:rPr>
          <w:rFonts w:ascii="Calibri" w:hAnsi="Calibri" w:cs="Calibri"/>
          <w:noProof/>
          <w:sz w:val="20"/>
          <w:szCs w:val="24"/>
          <w:lang w:val="en-GB"/>
        </w:rPr>
        <w:t>2.</w:t>
      </w:r>
      <w:r w:rsidRPr="0038443C">
        <w:rPr>
          <w:rFonts w:ascii="Calibri" w:hAnsi="Calibri" w:cs="Calibri"/>
          <w:noProof/>
          <w:sz w:val="20"/>
          <w:szCs w:val="24"/>
          <w:lang w:val="en-GB"/>
        </w:rPr>
        <w:tab/>
        <w:t>Besse B, Johnson M, Janne P, Garassino M, Eberhardt W, Peters S, et al. 16LBA Phase II, single-arm trial (BIRCH) of atezolizumab as first-line or subsequent therapy for locally advanced or metastatic PD-L1-selected non-small cell lung cancer (NSCLC). European Journal of Cancer. 2015;51:S717-S8.</w:t>
      </w:r>
      <w:bookmarkEnd w:id="14"/>
    </w:p>
    <w:p w14:paraId="0D181219" w14:textId="77777777" w:rsidR="0038443C" w:rsidRPr="0038443C" w:rsidRDefault="0038443C" w:rsidP="0038443C">
      <w:pPr>
        <w:rPr>
          <w:rFonts w:ascii="Calibri" w:hAnsi="Calibri" w:cs="Calibri"/>
          <w:noProof/>
          <w:sz w:val="20"/>
          <w:szCs w:val="24"/>
          <w:lang w:val="en-GB"/>
        </w:rPr>
      </w:pPr>
      <w:bookmarkStart w:id="15" w:name="_ENREF_3"/>
      <w:r w:rsidRPr="0038443C">
        <w:rPr>
          <w:rFonts w:ascii="Calibri" w:hAnsi="Calibri" w:cs="Calibri"/>
          <w:noProof/>
          <w:sz w:val="20"/>
          <w:szCs w:val="24"/>
          <w:lang w:val="en-GB"/>
        </w:rPr>
        <w:t>3.</w:t>
      </w:r>
      <w:r w:rsidRPr="0038443C">
        <w:rPr>
          <w:rFonts w:ascii="Calibri" w:hAnsi="Calibri" w:cs="Calibri"/>
          <w:noProof/>
          <w:sz w:val="20"/>
          <w:szCs w:val="24"/>
          <w:lang w:val="en-GB"/>
        </w:rPr>
        <w:tab/>
        <w:t>Chaft JE, Forde PM, Smith KN, Anagnostou V, Cottrell T, Taube JM, et al. Neoadjuvant nivolumab in early-stage, resectable non-small cell lung cancers. American Society of Clinical Oncology; 2017.</w:t>
      </w:r>
      <w:bookmarkEnd w:id="15"/>
    </w:p>
    <w:p w14:paraId="733F013D" w14:textId="77777777" w:rsidR="0038443C" w:rsidRPr="0038443C" w:rsidRDefault="0038443C" w:rsidP="0038443C">
      <w:pPr>
        <w:rPr>
          <w:rFonts w:ascii="Calibri" w:hAnsi="Calibri" w:cs="Calibri"/>
          <w:noProof/>
          <w:sz w:val="20"/>
          <w:szCs w:val="24"/>
          <w:lang w:val="en-GB"/>
        </w:rPr>
      </w:pPr>
      <w:bookmarkStart w:id="16" w:name="_ENREF_4"/>
      <w:r w:rsidRPr="0038443C">
        <w:rPr>
          <w:rFonts w:ascii="Calibri" w:hAnsi="Calibri" w:cs="Calibri"/>
          <w:noProof/>
          <w:sz w:val="20"/>
          <w:szCs w:val="24"/>
          <w:lang w:val="en-GB"/>
        </w:rPr>
        <w:t>4.</w:t>
      </w:r>
      <w:r w:rsidRPr="0038443C">
        <w:rPr>
          <w:rFonts w:ascii="Calibri" w:hAnsi="Calibri" w:cs="Calibri"/>
          <w:noProof/>
          <w:sz w:val="20"/>
          <w:szCs w:val="24"/>
          <w:lang w:val="en-GB"/>
        </w:rPr>
        <w:tab/>
        <w:t>Lavin Y, Kobayashi S, Leader A, Amir E-aD, Elefant N, Bigenwald C, et al. Innate immune landscape in early lung adenocarcinoma by paired single-cell analyses. Cell. 2017;169(4):750-65. e17.</w:t>
      </w:r>
      <w:bookmarkEnd w:id="16"/>
    </w:p>
    <w:p w14:paraId="76DE6AB4" w14:textId="77777777" w:rsidR="0038443C" w:rsidRPr="0038443C" w:rsidRDefault="0038443C" w:rsidP="0038443C">
      <w:pPr>
        <w:rPr>
          <w:rFonts w:ascii="Calibri" w:hAnsi="Calibri" w:cs="Calibri"/>
          <w:noProof/>
          <w:sz w:val="20"/>
          <w:szCs w:val="24"/>
          <w:lang w:val="en-GB"/>
        </w:rPr>
      </w:pPr>
      <w:bookmarkStart w:id="17" w:name="_ENREF_5"/>
      <w:r w:rsidRPr="0038443C">
        <w:rPr>
          <w:rFonts w:ascii="Calibri" w:hAnsi="Calibri" w:cs="Calibri"/>
          <w:noProof/>
          <w:sz w:val="20"/>
          <w:szCs w:val="24"/>
          <w:lang w:val="en-GB"/>
        </w:rPr>
        <w:t>5.</w:t>
      </w:r>
      <w:r w:rsidRPr="0038443C">
        <w:rPr>
          <w:rFonts w:ascii="Calibri" w:hAnsi="Calibri" w:cs="Calibri"/>
          <w:noProof/>
          <w:sz w:val="20"/>
          <w:szCs w:val="24"/>
          <w:lang w:val="en-GB"/>
        </w:rPr>
        <w:tab/>
        <w:t>Gibney GT, Weiner LM, Atkins MB. Predictive biomarkers for checkpoint inhibitor-based immunotherapy. The Lancet Oncology. 2016;17(12):e542-e51.</w:t>
      </w:r>
      <w:bookmarkEnd w:id="17"/>
    </w:p>
    <w:p w14:paraId="6E98D5F1" w14:textId="77777777" w:rsidR="0038443C" w:rsidRPr="0038443C" w:rsidRDefault="0038443C" w:rsidP="0038443C">
      <w:pPr>
        <w:rPr>
          <w:rFonts w:ascii="Calibri" w:hAnsi="Calibri" w:cs="Calibri"/>
          <w:noProof/>
          <w:sz w:val="20"/>
          <w:szCs w:val="24"/>
          <w:lang w:val="en-GB"/>
        </w:rPr>
      </w:pPr>
      <w:bookmarkStart w:id="18" w:name="_ENREF_6"/>
      <w:r w:rsidRPr="0038443C">
        <w:rPr>
          <w:rFonts w:ascii="Calibri" w:hAnsi="Calibri" w:cs="Calibri"/>
          <w:noProof/>
          <w:sz w:val="20"/>
          <w:szCs w:val="24"/>
          <w:lang w:val="en-GB"/>
        </w:rPr>
        <w:t>6.</w:t>
      </w:r>
      <w:r w:rsidRPr="0038443C">
        <w:rPr>
          <w:rFonts w:ascii="Calibri" w:hAnsi="Calibri" w:cs="Calibri"/>
          <w:noProof/>
          <w:sz w:val="20"/>
          <w:szCs w:val="24"/>
          <w:lang w:val="en-GB"/>
        </w:rPr>
        <w:tab/>
        <w:t>Huang AC, Postow MA, Orlowski RJ, Mick R, Bengsch B, Manne S, et al. T-cell invigoration to tumour burden ratio associated with anti-PD-1 response. Nature. 2017;545(7652):60.</w:t>
      </w:r>
      <w:bookmarkEnd w:id="18"/>
    </w:p>
    <w:p w14:paraId="7F7E353F" w14:textId="77777777" w:rsidR="0038443C" w:rsidRPr="0038443C" w:rsidRDefault="0038443C" w:rsidP="0038443C">
      <w:pPr>
        <w:rPr>
          <w:rFonts w:ascii="Calibri" w:hAnsi="Calibri" w:cs="Calibri"/>
          <w:noProof/>
          <w:sz w:val="20"/>
          <w:szCs w:val="24"/>
          <w:lang w:val="en-GB"/>
        </w:rPr>
      </w:pPr>
      <w:bookmarkStart w:id="19" w:name="_ENREF_7"/>
      <w:r w:rsidRPr="0038443C">
        <w:rPr>
          <w:rFonts w:ascii="Calibri" w:hAnsi="Calibri" w:cs="Calibri"/>
          <w:noProof/>
          <w:sz w:val="20"/>
          <w:szCs w:val="24"/>
          <w:lang w:val="en-GB"/>
        </w:rPr>
        <w:t>7.</w:t>
      </w:r>
      <w:r w:rsidRPr="0038443C">
        <w:rPr>
          <w:rFonts w:ascii="Calibri" w:hAnsi="Calibri" w:cs="Calibri"/>
          <w:noProof/>
          <w:sz w:val="20"/>
          <w:szCs w:val="24"/>
          <w:lang w:val="en-GB"/>
        </w:rPr>
        <w:tab/>
        <w:t>Fehrenbacher L, Spira A, Ballinger M, Kowanetz M, Vansteenkiste J, Mazieres J, et al. Atezolizumab versus docetaxel for patients with previously treated non-small-cell lung cancer (POPLAR): a multicentre, open-label, phase 2 randomised controlled trial. The Lancet. 2016;387(10030):1837-46.</w:t>
      </w:r>
      <w:bookmarkEnd w:id="19"/>
    </w:p>
    <w:p w14:paraId="56F12C41" w14:textId="77777777" w:rsidR="0038443C" w:rsidRPr="0038443C" w:rsidRDefault="0038443C" w:rsidP="0038443C">
      <w:pPr>
        <w:rPr>
          <w:rFonts w:ascii="Calibri" w:hAnsi="Calibri" w:cs="Calibri"/>
          <w:noProof/>
          <w:sz w:val="20"/>
          <w:szCs w:val="24"/>
          <w:lang w:val="en-GB"/>
        </w:rPr>
      </w:pPr>
      <w:bookmarkStart w:id="20" w:name="_ENREF_8"/>
      <w:r w:rsidRPr="0038443C">
        <w:rPr>
          <w:rFonts w:ascii="Calibri" w:hAnsi="Calibri" w:cs="Calibri"/>
          <w:noProof/>
          <w:sz w:val="20"/>
          <w:szCs w:val="24"/>
          <w:lang w:val="en-GB"/>
        </w:rPr>
        <w:lastRenderedPageBreak/>
        <w:t>8.</w:t>
      </w:r>
      <w:r w:rsidRPr="0038443C">
        <w:rPr>
          <w:rFonts w:ascii="Calibri" w:hAnsi="Calibri" w:cs="Calibri"/>
          <w:noProof/>
          <w:sz w:val="20"/>
          <w:szCs w:val="24"/>
          <w:lang w:val="en-GB"/>
        </w:rPr>
        <w:tab/>
        <w:t>Bao X, Shi R, Zhang K, Xin S, Li X, Zhao Y, et al. Immune Landscape of Invasive Ductal Carcinoma Tumor Microenvironment Identifies a Prognostic and Immunotherapeutically Relevant Gene Signature. Frontiers in Oncology. 2019 2019-September-18;9(903). English.</w:t>
      </w:r>
      <w:bookmarkEnd w:id="20"/>
    </w:p>
    <w:p w14:paraId="1BE07B8E" w14:textId="77777777" w:rsidR="0038443C" w:rsidRPr="0038443C" w:rsidRDefault="0038443C" w:rsidP="0038443C">
      <w:pPr>
        <w:rPr>
          <w:rFonts w:ascii="Calibri" w:hAnsi="Calibri" w:cs="Calibri"/>
          <w:noProof/>
          <w:sz w:val="20"/>
          <w:szCs w:val="24"/>
          <w:lang w:val="en-GB"/>
        </w:rPr>
      </w:pPr>
      <w:bookmarkStart w:id="21" w:name="_ENREF_9"/>
      <w:r w:rsidRPr="0038443C">
        <w:rPr>
          <w:rFonts w:ascii="Calibri" w:hAnsi="Calibri" w:cs="Calibri"/>
          <w:noProof/>
          <w:sz w:val="20"/>
          <w:szCs w:val="24"/>
          <w:lang w:val="en-GB"/>
        </w:rPr>
        <w:t>9.</w:t>
      </w:r>
      <w:r w:rsidRPr="0038443C">
        <w:rPr>
          <w:rFonts w:ascii="Calibri" w:hAnsi="Calibri" w:cs="Calibri"/>
          <w:noProof/>
          <w:sz w:val="20"/>
          <w:szCs w:val="24"/>
          <w:lang w:val="en-GB"/>
        </w:rPr>
        <w:tab/>
        <w:t>Hänzelmann S, Castelo R, Guinney J. GSVA: gene set variation analysis for microarray and RNA-seq data. BMC bioinformatics. 2013;14(1):7.</w:t>
      </w:r>
      <w:bookmarkEnd w:id="21"/>
    </w:p>
    <w:p w14:paraId="6942453C" w14:textId="77777777" w:rsidR="0038443C" w:rsidRPr="0038443C" w:rsidRDefault="0038443C" w:rsidP="0038443C">
      <w:pPr>
        <w:rPr>
          <w:rFonts w:ascii="Calibri" w:hAnsi="Calibri" w:cs="Calibri"/>
          <w:noProof/>
          <w:sz w:val="20"/>
          <w:szCs w:val="24"/>
          <w:lang w:val="en-GB"/>
        </w:rPr>
      </w:pPr>
      <w:bookmarkStart w:id="22" w:name="_ENREF_10"/>
      <w:r w:rsidRPr="0038443C">
        <w:rPr>
          <w:rFonts w:ascii="Calibri" w:hAnsi="Calibri" w:cs="Calibri"/>
          <w:noProof/>
          <w:sz w:val="20"/>
          <w:szCs w:val="24"/>
          <w:lang w:val="en-GB"/>
        </w:rPr>
        <w:t>10.</w:t>
      </w:r>
      <w:r w:rsidRPr="0038443C">
        <w:rPr>
          <w:rFonts w:ascii="Calibri" w:hAnsi="Calibri" w:cs="Calibri"/>
          <w:noProof/>
          <w:sz w:val="20"/>
          <w:szCs w:val="24"/>
          <w:lang w:val="en-GB"/>
        </w:rPr>
        <w:tab/>
        <w:t>Bindea G, Mlecnik B, Tosolini M, Kirilovsky A, Waldner M, Obenauf AC, et al. Spatiotemporal dynamics of intratumoral immune cells reveal the immune landscape in human cancer. Immunity. 2013;39(4):782-95.</w:t>
      </w:r>
      <w:bookmarkEnd w:id="22"/>
    </w:p>
    <w:p w14:paraId="160F76D6" w14:textId="77777777" w:rsidR="0038443C" w:rsidRPr="0038443C" w:rsidRDefault="0038443C" w:rsidP="0038443C">
      <w:pPr>
        <w:rPr>
          <w:rFonts w:ascii="Calibri" w:hAnsi="Calibri" w:cs="Calibri"/>
          <w:noProof/>
          <w:sz w:val="20"/>
          <w:szCs w:val="24"/>
          <w:lang w:val="en-GB"/>
        </w:rPr>
      </w:pPr>
      <w:bookmarkStart w:id="23" w:name="_ENREF_11"/>
      <w:r w:rsidRPr="0038443C">
        <w:rPr>
          <w:rFonts w:ascii="Calibri" w:hAnsi="Calibri" w:cs="Calibri"/>
          <w:noProof/>
          <w:sz w:val="20"/>
          <w:szCs w:val="24"/>
          <w:lang w:val="en-GB"/>
        </w:rPr>
        <w:t>11.</w:t>
      </w:r>
      <w:r w:rsidRPr="0038443C">
        <w:rPr>
          <w:rFonts w:ascii="Calibri" w:hAnsi="Calibri" w:cs="Calibri"/>
          <w:noProof/>
          <w:sz w:val="20"/>
          <w:szCs w:val="24"/>
          <w:lang w:val="en-GB"/>
        </w:rPr>
        <w:tab/>
        <w:t>Smyth GK. Limma: linear models for microarray data.  Bioinformatics and computational biology solutions using R and Bioconductor: Springer; 2005. p. 397-420.</w:t>
      </w:r>
      <w:bookmarkEnd w:id="23"/>
    </w:p>
    <w:p w14:paraId="4FE5F5A7" w14:textId="77777777" w:rsidR="0038443C" w:rsidRPr="0038443C" w:rsidRDefault="0038443C" w:rsidP="0038443C">
      <w:pPr>
        <w:rPr>
          <w:rFonts w:ascii="Calibri" w:hAnsi="Calibri" w:cs="Calibri"/>
          <w:noProof/>
          <w:sz w:val="20"/>
          <w:szCs w:val="24"/>
          <w:lang w:val="en-GB"/>
        </w:rPr>
      </w:pPr>
      <w:bookmarkStart w:id="24" w:name="_ENREF_12"/>
      <w:r w:rsidRPr="0038443C">
        <w:rPr>
          <w:rFonts w:ascii="Calibri" w:hAnsi="Calibri" w:cs="Calibri"/>
          <w:noProof/>
          <w:sz w:val="20"/>
          <w:szCs w:val="24"/>
          <w:lang w:val="en-GB"/>
        </w:rPr>
        <w:t>12.</w:t>
      </w:r>
      <w:r w:rsidRPr="0038443C">
        <w:rPr>
          <w:rFonts w:ascii="Calibri" w:hAnsi="Calibri" w:cs="Calibri"/>
          <w:noProof/>
          <w:sz w:val="20"/>
          <w:szCs w:val="24"/>
          <w:lang w:val="en-GB"/>
        </w:rPr>
        <w:tab/>
        <w:t>Bao X, Shi R, Zhang K, Xin S, Li X, Zhao Y, et al. Immune Landscape of Invasive Ductal Carcinoma Tumor Microenvironment Identifies a Prognostic and Immunotherapeutically Relevant Gene Signature. Front. Oncol. 2019;9:903.</w:t>
      </w:r>
      <w:bookmarkEnd w:id="24"/>
    </w:p>
    <w:p w14:paraId="4C4EB1E1" w14:textId="77777777" w:rsidR="0038443C" w:rsidRPr="0038443C" w:rsidRDefault="0038443C" w:rsidP="0038443C">
      <w:pPr>
        <w:rPr>
          <w:rFonts w:ascii="Calibri" w:hAnsi="Calibri" w:cs="Calibri"/>
          <w:noProof/>
          <w:sz w:val="20"/>
          <w:szCs w:val="24"/>
          <w:lang w:val="en-GB"/>
        </w:rPr>
      </w:pPr>
      <w:bookmarkStart w:id="25" w:name="_ENREF_13"/>
      <w:r w:rsidRPr="0038443C">
        <w:rPr>
          <w:rFonts w:ascii="Calibri" w:hAnsi="Calibri" w:cs="Calibri"/>
          <w:noProof/>
          <w:sz w:val="20"/>
          <w:szCs w:val="24"/>
          <w:lang w:val="en-GB"/>
        </w:rPr>
        <w:t>13.</w:t>
      </w:r>
      <w:r w:rsidRPr="0038443C">
        <w:rPr>
          <w:rFonts w:ascii="Calibri" w:hAnsi="Calibri" w:cs="Calibri"/>
          <w:noProof/>
          <w:sz w:val="20"/>
          <w:szCs w:val="24"/>
          <w:lang w:val="en-GB"/>
        </w:rPr>
        <w:tab/>
        <w:t>Wright MN, Ziegler A. ranger: A fast implementation of random forests for high dimensional data in C++ and R. arXiv preprint arXiv:150804409. 2015.</w:t>
      </w:r>
      <w:bookmarkEnd w:id="25"/>
    </w:p>
    <w:p w14:paraId="78066E8B" w14:textId="77777777" w:rsidR="0038443C" w:rsidRPr="0038443C" w:rsidRDefault="0038443C" w:rsidP="0038443C">
      <w:pPr>
        <w:rPr>
          <w:rFonts w:ascii="Calibri" w:hAnsi="Calibri" w:cs="Calibri"/>
          <w:noProof/>
          <w:sz w:val="20"/>
          <w:szCs w:val="24"/>
          <w:lang w:val="en-GB"/>
        </w:rPr>
      </w:pPr>
      <w:bookmarkStart w:id="26" w:name="_ENREF_14"/>
      <w:r w:rsidRPr="0038443C">
        <w:rPr>
          <w:rFonts w:ascii="Calibri" w:hAnsi="Calibri" w:cs="Calibri"/>
          <w:noProof/>
          <w:sz w:val="20"/>
          <w:szCs w:val="24"/>
          <w:lang w:val="en-GB"/>
        </w:rPr>
        <w:t>14.</w:t>
      </w:r>
      <w:r w:rsidRPr="0038443C">
        <w:rPr>
          <w:rFonts w:ascii="Calibri" w:hAnsi="Calibri" w:cs="Calibri"/>
          <w:noProof/>
          <w:sz w:val="20"/>
          <w:szCs w:val="24"/>
          <w:lang w:val="en-GB"/>
        </w:rPr>
        <w:tab/>
        <w:t>Therneau T, Atkinson B, Ripley B, Ripley MB. Package ‘rpart’. Available online: cran ma ic ac uk/web/packages/rpart/rpart pdf (accessed on 20 April 2016). 2015.</w:t>
      </w:r>
      <w:bookmarkEnd w:id="26"/>
    </w:p>
    <w:p w14:paraId="3FEBD202" w14:textId="77777777" w:rsidR="0038443C" w:rsidRPr="0038443C" w:rsidRDefault="0038443C" w:rsidP="0038443C">
      <w:pPr>
        <w:rPr>
          <w:rFonts w:ascii="Calibri" w:hAnsi="Calibri" w:cs="Calibri"/>
          <w:noProof/>
          <w:sz w:val="20"/>
          <w:szCs w:val="24"/>
          <w:lang w:val="en-GB"/>
        </w:rPr>
      </w:pPr>
      <w:bookmarkStart w:id="27" w:name="_ENREF_15"/>
      <w:r w:rsidRPr="0038443C">
        <w:rPr>
          <w:rFonts w:ascii="Calibri" w:hAnsi="Calibri" w:cs="Calibri"/>
          <w:noProof/>
          <w:sz w:val="20"/>
          <w:szCs w:val="24"/>
          <w:lang w:val="en-GB"/>
        </w:rPr>
        <w:t>15.</w:t>
      </w:r>
      <w:r w:rsidRPr="0038443C">
        <w:rPr>
          <w:rFonts w:ascii="Calibri" w:hAnsi="Calibri" w:cs="Calibri"/>
          <w:noProof/>
          <w:sz w:val="20"/>
          <w:szCs w:val="24"/>
          <w:lang w:val="en-GB"/>
        </w:rPr>
        <w:tab/>
        <w:t>Harrell Jr FE. rms: Regression Modeling Strategies. R package version 4.0-0. City. 2013.</w:t>
      </w:r>
      <w:bookmarkEnd w:id="27"/>
    </w:p>
    <w:p w14:paraId="3CDDC896" w14:textId="77777777" w:rsidR="0038443C" w:rsidRPr="0038443C" w:rsidRDefault="0038443C" w:rsidP="0038443C">
      <w:pPr>
        <w:rPr>
          <w:rFonts w:ascii="Calibri" w:hAnsi="Calibri" w:cs="Calibri"/>
          <w:noProof/>
          <w:sz w:val="20"/>
          <w:szCs w:val="24"/>
          <w:lang w:val="en-GB"/>
        </w:rPr>
      </w:pPr>
      <w:bookmarkStart w:id="28" w:name="_ENREF_16"/>
      <w:r w:rsidRPr="0038443C">
        <w:rPr>
          <w:rFonts w:ascii="Calibri" w:hAnsi="Calibri" w:cs="Calibri"/>
          <w:noProof/>
          <w:sz w:val="20"/>
          <w:szCs w:val="24"/>
          <w:lang w:val="en-GB"/>
        </w:rPr>
        <w:t>16.</w:t>
      </w:r>
      <w:r w:rsidRPr="0038443C">
        <w:rPr>
          <w:rFonts w:ascii="Calibri" w:hAnsi="Calibri" w:cs="Calibri"/>
          <w:noProof/>
          <w:sz w:val="20"/>
          <w:szCs w:val="24"/>
          <w:lang w:val="en-GB"/>
        </w:rPr>
        <w:tab/>
        <w:t>Alifano M, Mansuet-Lupo A, Lococo F, Roche N, Bobbio A, Canny E, et al. Systemic inflammation, nutritional status and tumor immune microenvironment determine outcome of resected non-small cell lung cancer. PloS one. 2014;9(9):e106914.</w:t>
      </w:r>
      <w:bookmarkEnd w:id="28"/>
    </w:p>
    <w:p w14:paraId="74E072A9" w14:textId="77777777" w:rsidR="0038443C" w:rsidRPr="0038443C" w:rsidRDefault="0038443C" w:rsidP="0038443C">
      <w:pPr>
        <w:rPr>
          <w:rFonts w:ascii="Calibri" w:hAnsi="Calibri" w:cs="Calibri"/>
          <w:noProof/>
          <w:sz w:val="20"/>
          <w:szCs w:val="24"/>
          <w:lang w:val="en-GB"/>
        </w:rPr>
      </w:pPr>
      <w:bookmarkStart w:id="29" w:name="_ENREF_17"/>
      <w:r w:rsidRPr="0038443C">
        <w:rPr>
          <w:rFonts w:ascii="Calibri" w:hAnsi="Calibri" w:cs="Calibri"/>
          <w:noProof/>
          <w:sz w:val="20"/>
          <w:szCs w:val="24"/>
          <w:lang w:val="en-GB"/>
        </w:rPr>
        <w:t>17.</w:t>
      </w:r>
      <w:r w:rsidRPr="0038443C">
        <w:rPr>
          <w:rFonts w:ascii="Calibri" w:hAnsi="Calibri" w:cs="Calibri"/>
          <w:noProof/>
          <w:sz w:val="20"/>
          <w:szCs w:val="24"/>
          <w:lang w:val="en-GB"/>
        </w:rPr>
        <w:tab/>
        <w:t>Taube JM, Klein A, Brahmer JR, Xu H, Pan X, Kim JH, et al. Association of PD-1, PD-1 ligands, and other features of the tumor immune microenvironment with response to anti–PD-1 therapy. Clinical cancer research. 2014;20(19):5064-74.</w:t>
      </w:r>
      <w:bookmarkEnd w:id="29"/>
    </w:p>
    <w:p w14:paraId="7ED8C0C4" w14:textId="77777777" w:rsidR="0038443C" w:rsidRPr="0038443C" w:rsidRDefault="0038443C" w:rsidP="0038443C">
      <w:pPr>
        <w:rPr>
          <w:rFonts w:ascii="Calibri" w:hAnsi="Calibri" w:cs="Calibri"/>
          <w:noProof/>
          <w:sz w:val="20"/>
          <w:szCs w:val="24"/>
          <w:lang w:val="en-GB"/>
        </w:rPr>
      </w:pPr>
      <w:bookmarkStart w:id="30" w:name="_ENREF_18"/>
      <w:r w:rsidRPr="0038443C">
        <w:rPr>
          <w:rFonts w:ascii="Calibri" w:hAnsi="Calibri" w:cs="Calibri"/>
          <w:noProof/>
          <w:sz w:val="20"/>
          <w:szCs w:val="24"/>
          <w:lang w:val="en-GB"/>
        </w:rPr>
        <w:t>18.</w:t>
      </w:r>
      <w:r w:rsidRPr="0038443C">
        <w:rPr>
          <w:rFonts w:ascii="Calibri" w:hAnsi="Calibri" w:cs="Calibri"/>
          <w:noProof/>
          <w:sz w:val="20"/>
          <w:szCs w:val="24"/>
          <w:lang w:val="en-GB"/>
        </w:rPr>
        <w:tab/>
        <w:t>Suzuki K, Kadota K, Sima CS, Nitadori J-i, Rusch VW, Travis WD, et al. Clinical impact of immune microenvironment in stage I lung adenocarcinoma: tumor interleukin-12 receptor β2 (IL-12Rβ2), IL-7R, and stromal FoxP3/CD3 ratio are independent predictors of recurrence. Journal of clinical oncology. 2013;31(4):490.</w:t>
      </w:r>
      <w:bookmarkEnd w:id="30"/>
    </w:p>
    <w:p w14:paraId="48F1755D" w14:textId="77777777" w:rsidR="0038443C" w:rsidRPr="0038443C" w:rsidRDefault="0038443C" w:rsidP="0038443C">
      <w:pPr>
        <w:rPr>
          <w:rFonts w:ascii="Calibri" w:hAnsi="Calibri" w:cs="Calibri"/>
          <w:noProof/>
          <w:sz w:val="20"/>
          <w:szCs w:val="24"/>
          <w:lang w:val="en-GB"/>
        </w:rPr>
      </w:pPr>
      <w:bookmarkStart w:id="31" w:name="_ENREF_19"/>
      <w:r w:rsidRPr="0038443C">
        <w:rPr>
          <w:rFonts w:ascii="Calibri" w:hAnsi="Calibri" w:cs="Calibri"/>
          <w:noProof/>
          <w:sz w:val="20"/>
          <w:szCs w:val="24"/>
          <w:lang w:val="en-GB"/>
        </w:rPr>
        <w:t>19.</w:t>
      </w:r>
      <w:r w:rsidRPr="0038443C">
        <w:rPr>
          <w:rFonts w:ascii="Calibri" w:hAnsi="Calibri" w:cs="Calibri"/>
          <w:noProof/>
          <w:sz w:val="20"/>
          <w:szCs w:val="24"/>
          <w:lang w:val="en-GB"/>
        </w:rPr>
        <w:tab/>
        <w:t>Mendoza-Rodríguez M, Romero HA, Fuentes-Panana EM, Ayala-Sumuano J-T, Meza I. IL-1β induces up-regulation of BIRC3, a gene involved in chemoresistance to doxorubicin in breast cancer cells. Cancer letters. 2017;390:39-44.</w:t>
      </w:r>
      <w:bookmarkEnd w:id="31"/>
    </w:p>
    <w:p w14:paraId="3F6707EC" w14:textId="77777777" w:rsidR="0038443C" w:rsidRPr="0038443C" w:rsidRDefault="0038443C" w:rsidP="0038443C">
      <w:pPr>
        <w:rPr>
          <w:rFonts w:ascii="Calibri" w:hAnsi="Calibri" w:cs="Calibri"/>
          <w:noProof/>
          <w:sz w:val="20"/>
          <w:szCs w:val="24"/>
          <w:lang w:val="en-GB"/>
        </w:rPr>
      </w:pPr>
      <w:bookmarkStart w:id="32" w:name="_ENREF_20"/>
      <w:r w:rsidRPr="0038443C">
        <w:rPr>
          <w:rFonts w:ascii="Calibri" w:hAnsi="Calibri" w:cs="Calibri"/>
          <w:noProof/>
          <w:sz w:val="20"/>
          <w:szCs w:val="24"/>
          <w:lang w:val="en-GB"/>
        </w:rPr>
        <w:t>20.</w:t>
      </w:r>
      <w:r w:rsidRPr="0038443C">
        <w:rPr>
          <w:rFonts w:ascii="Calibri" w:hAnsi="Calibri" w:cs="Calibri"/>
          <w:noProof/>
          <w:sz w:val="20"/>
          <w:szCs w:val="24"/>
          <w:lang w:val="en-GB"/>
        </w:rPr>
        <w:tab/>
        <w:t>Wang D, Berglund A, Kenchappa RS, Forsyth PA, Mulé JJ, Etame AB. BIRC3 is a novel driver of therapeutic resistance in Glioblastoma. Scientific reports. 2016;6:21710.</w:t>
      </w:r>
      <w:bookmarkEnd w:id="32"/>
    </w:p>
    <w:p w14:paraId="30DDAAF0" w14:textId="77777777" w:rsidR="0038443C" w:rsidRPr="0038443C" w:rsidRDefault="0038443C" w:rsidP="0038443C">
      <w:pPr>
        <w:rPr>
          <w:rFonts w:ascii="Calibri" w:hAnsi="Calibri" w:cs="Calibri"/>
          <w:noProof/>
          <w:sz w:val="20"/>
          <w:szCs w:val="24"/>
          <w:lang w:val="en-GB"/>
        </w:rPr>
      </w:pPr>
      <w:bookmarkStart w:id="33" w:name="_ENREF_21"/>
      <w:r w:rsidRPr="0038443C">
        <w:rPr>
          <w:rFonts w:ascii="Calibri" w:hAnsi="Calibri" w:cs="Calibri"/>
          <w:noProof/>
          <w:sz w:val="20"/>
          <w:szCs w:val="24"/>
          <w:lang w:val="en-GB"/>
        </w:rPr>
        <w:t>21.</w:t>
      </w:r>
      <w:r w:rsidRPr="0038443C">
        <w:rPr>
          <w:rFonts w:ascii="Calibri" w:hAnsi="Calibri" w:cs="Calibri"/>
          <w:noProof/>
          <w:sz w:val="20"/>
          <w:szCs w:val="24"/>
          <w:lang w:val="en-GB"/>
        </w:rPr>
        <w:tab/>
        <w:t>Frasor J, Weaver A, Pradhan M, Dai Y, Miller LD, Lin C-Y, et al. Positive cross-talk between estrogen receptor and NF-κB in breast cancer. Cancer research. 2009;69(23):8918-25.</w:t>
      </w:r>
      <w:bookmarkEnd w:id="33"/>
    </w:p>
    <w:p w14:paraId="12798674" w14:textId="77777777" w:rsidR="0038443C" w:rsidRPr="0038443C" w:rsidRDefault="0038443C" w:rsidP="0038443C">
      <w:pPr>
        <w:rPr>
          <w:rFonts w:ascii="Calibri" w:hAnsi="Calibri" w:cs="Calibri"/>
          <w:noProof/>
          <w:sz w:val="20"/>
          <w:szCs w:val="24"/>
          <w:lang w:val="en-GB"/>
        </w:rPr>
      </w:pPr>
      <w:bookmarkStart w:id="34" w:name="_ENREF_22"/>
      <w:r w:rsidRPr="0038443C">
        <w:rPr>
          <w:rFonts w:ascii="Calibri" w:hAnsi="Calibri" w:cs="Calibri"/>
          <w:noProof/>
          <w:sz w:val="20"/>
          <w:szCs w:val="24"/>
          <w:lang w:val="en-GB"/>
        </w:rPr>
        <w:t>22.</w:t>
      </w:r>
      <w:r w:rsidRPr="0038443C">
        <w:rPr>
          <w:rFonts w:ascii="Calibri" w:hAnsi="Calibri" w:cs="Calibri"/>
          <w:noProof/>
          <w:sz w:val="20"/>
          <w:szCs w:val="24"/>
          <w:lang w:val="en-GB"/>
        </w:rPr>
        <w:tab/>
        <w:t>Chow MT, Möller A, Smyth MJ, editors. Inflammation and immune surveillance in cancer. Seminars in cancer biology; 2012: Elsevier.</w:t>
      </w:r>
      <w:bookmarkEnd w:id="34"/>
    </w:p>
    <w:p w14:paraId="2E3EF295" w14:textId="77777777" w:rsidR="0038443C" w:rsidRPr="0038443C" w:rsidRDefault="0038443C" w:rsidP="0038443C">
      <w:pPr>
        <w:rPr>
          <w:rFonts w:ascii="Calibri" w:hAnsi="Calibri" w:cs="Calibri"/>
          <w:noProof/>
          <w:sz w:val="20"/>
          <w:szCs w:val="24"/>
          <w:lang w:val="en-GB"/>
        </w:rPr>
      </w:pPr>
      <w:bookmarkStart w:id="35" w:name="_ENREF_23"/>
      <w:r w:rsidRPr="0038443C">
        <w:rPr>
          <w:rFonts w:ascii="Calibri" w:hAnsi="Calibri" w:cs="Calibri"/>
          <w:noProof/>
          <w:sz w:val="20"/>
          <w:szCs w:val="24"/>
          <w:lang w:val="en-GB"/>
        </w:rPr>
        <w:t>23.</w:t>
      </w:r>
      <w:r w:rsidRPr="0038443C">
        <w:rPr>
          <w:rFonts w:ascii="Calibri" w:hAnsi="Calibri" w:cs="Calibri"/>
          <w:noProof/>
          <w:sz w:val="20"/>
          <w:szCs w:val="24"/>
          <w:lang w:val="en-GB"/>
        </w:rPr>
        <w:tab/>
        <w:t>Grivennikov SI, Greten FR, Karin M. Immunity, inflammation, and cancer. Cell. 2010;140(6):883-99.</w:t>
      </w:r>
      <w:bookmarkEnd w:id="35"/>
    </w:p>
    <w:p w14:paraId="4A0DCCBE" w14:textId="77777777" w:rsidR="0038443C" w:rsidRPr="0038443C" w:rsidRDefault="0038443C" w:rsidP="0038443C">
      <w:pPr>
        <w:rPr>
          <w:rFonts w:ascii="Calibri" w:hAnsi="Calibri" w:cs="Calibri"/>
          <w:noProof/>
          <w:sz w:val="20"/>
          <w:szCs w:val="24"/>
          <w:lang w:val="en-GB"/>
        </w:rPr>
      </w:pPr>
      <w:bookmarkStart w:id="36" w:name="_ENREF_24"/>
      <w:r w:rsidRPr="0038443C">
        <w:rPr>
          <w:rFonts w:ascii="Calibri" w:hAnsi="Calibri" w:cs="Calibri"/>
          <w:noProof/>
          <w:sz w:val="20"/>
          <w:szCs w:val="24"/>
          <w:lang w:val="en-GB"/>
        </w:rPr>
        <w:t>24.</w:t>
      </w:r>
      <w:r w:rsidRPr="0038443C">
        <w:rPr>
          <w:rFonts w:ascii="Calibri" w:hAnsi="Calibri" w:cs="Calibri"/>
          <w:noProof/>
          <w:sz w:val="20"/>
          <w:szCs w:val="24"/>
          <w:lang w:val="en-GB"/>
        </w:rPr>
        <w:tab/>
        <w:t>Zamarron BF, Chen W. Dual roles of immune cells and their factors in cancer development and progression. International journal of biological sciences. 2011;7(5):651.</w:t>
      </w:r>
      <w:bookmarkEnd w:id="36"/>
    </w:p>
    <w:p w14:paraId="243E00EA" w14:textId="77777777" w:rsidR="0038443C" w:rsidRPr="0038443C" w:rsidRDefault="0038443C" w:rsidP="0038443C">
      <w:pPr>
        <w:rPr>
          <w:rFonts w:ascii="Calibri" w:hAnsi="Calibri" w:cs="Calibri"/>
          <w:noProof/>
          <w:sz w:val="20"/>
          <w:szCs w:val="24"/>
          <w:lang w:val="en-GB"/>
        </w:rPr>
      </w:pPr>
      <w:bookmarkStart w:id="37" w:name="_ENREF_25"/>
      <w:r w:rsidRPr="0038443C">
        <w:rPr>
          <w:rFonts w:ascii="Calibri" w:hAnsi="Calibri" w:cs="Calibri"/>
          <w:noProof/>
          <w:sz w:val="20"/>
          <w:szCs w:val="24"/>
          <w:lang w:val="en-GB"/>
        </w:rPr>
        <w:t>25.</w:t>
      </w:r>
      <w:r w:rsidRPr="0038443C">
        <w:rPr>
          <w:rFonts w:ascii="Calibri" w:hAnsi="Calibri" w:cs="Calibri"/>
          <w:noProof/>
          <w:sz w:val="20"/>
          <w:szCs w:val="24"/>
          <w:lang w:val="en-GB"/>
        </w:rPr>
        <w:tab/>
        <w:t>Chang Q, Bournazou E, Sansone P, Berishaj M, Gao SP, Daly L, et al. The IL-6/JAK/Stat3 feed-forward loop drives tumorigenesis and metastasis. Neoplasia (New York, NY). 2013;15(7):848.</w:t>
      </w:r>
      <w:bookmarkEnd w:id="37"/>
    </w:p>
    <w:p w14:paraId="4A9E8B97" w14:textId="77777777" w:rsidR="0038443C" w:rsidRPr="0038443C" w:rsidRDefault="0038443C" w:rsidP="0038443C">
      <w:pPr>
        <w:rPr>
          <w:rFonts w:ascii="Calibri" w:hAnsi="Calibri" w:cs="Calibri"/>
          <w:noProof/>
          <w:sz w:val="20"/>
          <w:szCs w:val="24"/>
          <w:lang w:val="en-GB"/>
        </w:rPr>
      </w:pPr>
      <w:bookmarkStart w:id="38" w:name="_ENREF_26"/>
      <w:r w:rsidRPr="0038443C">
        <w:rPr>
          <w:rFonts w:ascii="Calibri" w:hAnsi="Calibri" w:cs="Calibri"/>
          <w:noProof/>
          <w:sz w:val="20"/>
          <w:szCs w:val="24"/>
          <w:lang w:val="en-GB"/>
        </w:rPr>
        <w:t>26.</w:t>
      </w:r>
      <w:r w:rsidRPr="0038443C">
        <w:rPr>
          <w:rFonts w:ascii="Calibri" w:hAnsi="Calibri" w:cs="Calibri"/>
          <w:noProof/>
          <w:sz w:val="20"/>
          <w:szCs w:val="24"/>
          <w:lang w:val="en-GB"/>
        </w:rPr>
        <w:tab/>
        <w:t xml:space="preserve">Wichmann G, Rosolowski M, Krohn K, Kreuz M, Boehm </w:t>
      </w:r>
      <w:r w:rsidRPr="0038443C">
        <w:rPr>
          <w:rFonts w:ascii="Calibri" w:hAnsi="Calibri" w:cs="Calibri" w:hint="eastAsia"/>
          <w:noProof/>
          <w:sz w:val="20"/>
          <w:szCs w:val="24"/>
          <w:lang w:val="en-GB"/>
        </w:rPr>
        <w:t>A, Reiche A, et al. The role of HPV RNA transcription, immune response</w:t>
      </w:r>
      <w:r w:rsidRPr="0038443C">
        <w:rPr>
          <w:rFonts w:ascii="Calibri" w:hAnsi="Calibri" w:cs="Calibri" w:hint="eastAsia"/>
          <w:noProof/>
          <w:sz w:val="20"/>
          <w:szCs w:val="24"/>
          <w:lang w:val="en-GB"/>
        </w:rPr>
        <w:t>‐</w:t>
      </w:r>
      <w:r w:rsidRPr="0038443C">
        <w:rPr>
          <w:rFonts w:ascii="Calibri" w:hAnsi="Calibri" w:cs="Calibri" w:hint="eastAsia"/>
          <w:noProof/>
          <w:sz w:val="20"/>
          <w:szCs w:val="24"/>
          <w:lang w:val="en-GB"/>
        </w:rPr>
        <w:t xml:space="preserve">related gene expression and disruptive TP53 mutations in diagnostic </w:t>
      </w:r>
      <w:r w:rsidRPr="0038443C">
        <w:rPr>
          <w:rFonts w:ascii="Calibri" w:hAnsi="Calibri" w:cs="Calibri" w:hint="eastAsia"/>
          <w:noProof/>
          <w:sz w:val="20"/>
          <w:szCs w:val="24"/>
          <w:lang w:val="en-GB"/>
        </w:rPr>
        <w:lastRenderedPageBreak/>
        <w:t>and prognostic profiling of head and neck cancer. International journal of cancer. 2015;137(12):2846-57.</w:t>
      </w:r>
      <w:bookmarkEnd w:id="38"/>
    </w:p>
    <w:p w14:paraId="3DE320BD" w14:textId="77777777" w:rsidR="0038443C" w:rsidRPr="0038443C" w:rsidRDefault="0038443C" w:rsidP="0038443C">
      <w:pPr>
        <w:rPr>
          <w:rFonts w:ascii="Calibri" w:hAnsi="Calibri" w:cs="Calibri"/>
          <w:noProof/>
          <w:sz w:val="20"/>
          <w:szCs w:val="24"/>
          <w:lang w:val="en-GB"/>
        </w:rPr>
      </w:pPr>
      <w:bookmarkStart w:id="39" w:name="_ENREF_27"/>
      <w:r w:rsidRPr="0038443C">
        <w:rPr>
          <w:rFonts w:ascii="Calibri" w:hAnsi="Calibri" w:cs="Calibri"/>
          <w:noProof/>
          <w:sz w:val="20"/>
          <w:szCs w:val="24"/>
          <w:lang w:val="en-GB"/>
        </w:rPr>
        <w:t>27.</w:t>
      </w:r>
      <w:r w:rsidRPr="0038443C">
        <w:rPr>
          <w:rFonts w:ascii="Calibri" w:hAnsi="Calibri" w:cs="Calibri"/>
          <w:noProof/>
          <w:sz w:val="20"/>
          <w:szCs w:val="24"/>
          <w:lang w:val="en-GB"/>
        </w:rPr>
        <w:tab/>
        <w:t>McAlpine JN, Porter H, Köbel M, Nelson BH, Prentice LM, Kalloger SE, et al. BRCA1 and BRCA2 mutations correlate with TP53 abnormalities and presence of immune cell infiltrates in ovarian high-grade serous carcinoma. Modern Pathology. 2012;25(5):740.</w:t>
      </w:r>
      <w:bookmarkEnd w:id="39"/>
    </w:p>
    <w:p w14:paraId="11BFD9E1" w14:textId="77777777" w:rsidR="0038443C" w:rsidRPr="0038443C" w:rsidRDefault="0038443C" w:rsidP="0038443C">
      <w:pPr>
        <w:rPr>
          <w:rFonts w:ascii="Calibri" w:hAnsi="Calibri" w:cs="Calibri"/>
          <w:noProof/>
          <w:sz w:val="20"/>
          <w:szCs w:val="24"/>
          <w:lang w:val="en-GB"/>
        </w:rPr>
      </w:pPr>
      <w:bookmarkStart w:id="40" w:name="_ENREF_28"/>
      <w:r w:rsidRPr="0038443C">
        <w:rPr>
          <w:rFonts w:ascii="Calibri" w:hAnsi="Calibri" w:cs="Calibri"/>
          <w:noProof/>
          <w:sz w:val="20"/>
          <w:szCs w:val="24"/>
          <w:lang w:val="en-GB"/>
        </w:rPr>
        <w:t>28.</w:t>
      </w:r>
      <w:r w:rsidRPr="0038443C">
        <w:rPr>
          <w:rFonts w:ascii="Calibri" w:hAnsi="Calibri" w:cs="Calibri"/>
          <w:noProof/>
          <w:sz w:val="20"/>
          <w:szCs w:val="24"/>
          <w:lang w:val="en-GB"/>
        </w:rPr>
        <w:tab/>
        <w:t>Menendez D, Shatz M, Resnick MA. Interactions between the tumor suppressor p53 and immune responses. Current opinion in oncology. 2013;25(1):85-92.</w:t>
      </w:r>
      <w:bookmarkEnd w:id="40"/>
    </w:p>
    <w:p w14:paraId="401EA483" w14:textId="77777777" w:rsidR="0038443C" w:rsidRPr="0038443C" w:rsidRDefault="0038443C" w:rsidP="0038443C">
      <w:pPr>
        <w:rPr>
          <w:rFonts w:ascii="Calibri" w:hAnsi="Calibri" w:cs="Calibri"/>
          <w:noProof/>
          <w:sz w:val="20"/>
          <w:szCs w:val="24"/>
          <w:lang w:val="en-GB"/>
        </w:rPr>
      </w:pPr>
      <w:bookmarkStart w:id="41" w:name="_ENREF_29"/>
      <w:r w:rsidRPr="0038443C">
        <w:rPr>
          <w:rFonts w:ascii="Calibri" w:hAnsi="Calibri" w:cs="Calibri"/>
          <w:noProof/>
          <w:sz w:val="20"/>
          <w:szCs w:val="24"/>
          <w:lang w:val="en-GB"/>
        </w:rPr>
        <w:t>29.</w:t>
      </w:r>
      <w:r w:rsidRPr="0038443C">
        <w:rPr>
          <w:rFonts w:ascii="Calibri" w:hAnsi="Calibri" w:cs="Calibri"/>
          <w:noProof/>
          <w:sz w:val="20"/>
          <w:szCs w:val="24"/>
          <w:lang w:val="en-GB"/>
        </w:rPr>
        <w:tab/>
        <w:t>Wang Y, Zhang Q, Gao Z, Xin S, Zhao Y, Zhang K, et al. A novel 4-gene signature for overall survival prediction in lung adenocarcinoma patients with lymph node metastasis. Cancer Cell International. 2019;19(1):100.</w:t>
      </w:r>
      <w:bookmarkEnd w:id="41"/>
    </w:p>
    <w:p w14:paraId="377F1A75" w14:textId="77777777" w:rsidR="0038443C" w:rsidRPr="0038443C" w:rsidRDefault="0038443C" w:rsidP="0038443C">
      <w:pPr>
        <w:rPr>
          <w:rFonts w:ascii="Calibri" w:hAnsi="Calibri" w:cs="Calibri"/>
          <w:noProof/>
          <w:sz w:val="20"/>
          <w:szCs w:val="24"/>
          <w:lang w:val="en-GB"/>
        </w:rPr>
      </w:pPr>
      <w:bookmarkStart w:id="42" w:name="_ENREF_30"/>
      <w:r w:rsidRPr="0038443C">
        <w:rPr>
          <w:rFonts w:ascii="Calibri" w:hAnsi="Calibri" w:cs="Calibri"/>
          <w:noProof/>
          <w:sz w:val="20"/>
          <w:szCs w:val="24"/>
          <w:lang w:val="en-GB"/>
        </w:rPr>
        <w:t>30.</w:t>
      </w:r>
      <w:r w:rsidRPr="0038443C">
        <w:rPr>
          <w:rFonts w:ascii="Calibri" w:hAnsi="Calibri" w:cs="Calibri"/>
          <w:noProof/>
          <w:sz w:val="20"/>
          <w:szCs w:val="24"/>
          <w:lang w:val="en-GB"/>
        </w:rPr>
        <w:tab/>
        <w:t>Wang Y, Deng H, Xin S, Zhang K, Shi R, Bao X. Prognostic and Predictive Value of Three DNA Methylation Signatures in Lung Adenocarcinoma. Frontiers in Genetics. 2019 2019-April-24;10(349). English.</w:t>
      </w:r>
      <w:bookmarkEnd w:id="42"/>
    </w:p>
    <w:p w14:paraId="16955155" w14:textId="19D91173" w:rsidR="0038443C" w:rsidRDefault="0038443C" w:rsidP="0038443C">
      <w:pPr>
        <w:rPr>
          <w:rFonts w:ascii="Calibri" w:hAnsi="Calibri" w:cs="Calibri"/>
          <w:noProof/>
          <w:sz w:val="20"/>
          <w:szCs w:val="24"/>
          <w:lang w:val="en-GB"/>
        </w:rPr>
      </w:pPr>
    </w:p>
    <w:p w14:paraId="0B65FA91" w14:textId="37536D4F" w:rsidR="004B2394" w:rsidRPr="00F83C46" w:rsidRDefault="00926A2B" w:rsidP="0035497E">
      <w:pPr>
        <w:rPr>
          <w:rFonts w:ascii="Arial" w:hAnsi="Arial" w:cs="Arial"/>
          <w:b/>
          <w:bCs/>
          <w:sz w:val="24"/>
          <w:szCs w:val="24"/>
          <w:lang w:val="en-GB"/>
        </w:rPr>
      </w:pPr>
      <w:r w:rsidRPr="00F83C46">
        <w:rPr>
          <w:rFonts w:ascii="Arial" w:hAnsi="Arial" w:cs="Arial"/>
          <w:sz w:val="24"/>
          <w:szCs w:val="24"/>
          <w:lang w:val="en-GB"/>
        </w:rPr>
        <w:fldChar w:fldCharType="end"/>
      </w:r>
    </w:p>
    <w:p w14:paraId="75EE6114" w14:textId="77777777" w:rsidR="00672334" w:rsidRPr="00F83C46" w:rsidRDefault="00926A2B" w:rsidP="00672334">
      <w:pPr>
        <w:rPr>
          <w:rFonts w:ascii="Arial" w:hAnsi="Arial" w:cs="Arial"/>
          <w:b/>
          <w:sz w:val="24"/>
          <w:szCs w:val="24"/>
          <w:lang w:val="en-GB"/>
        </w:rPr>
      </w:pPr>
      <w:r w:rsidRPr="00F83C46">
        <w:rPr>
          <w:rFonts w:ascii="Arial" w:hAnsi="Arial" w:cs="Arial"/>
          <w:b/>
          <w:sz w:val="24"/>
          <w:szCs w:val="24"/>
          <w:lang w:val="en-GB"/>
        </w:rPr>
        <w:t>Figure legends</w:t>
      </w:r>
    </w:p>
    <w:p w14:paraId="550F222B" w14:textId="6129F740" w:rsidR="00672334" w:rsidRPr="00F83C46" w:rsidRDefault="00926A2B" w:rsidP="00672334">
      <w:pPr>
        <w:rPr>
          <w:rFonts w:ascii="Arial" w:hAnsi="Arial" w:cs="Arial"/>
          <w:sz w:val="24"/>
          <w:szCs w:val="24"/>
          <w:lang w:val="en-GB"/>
        </w:rPr>
      </w:pPr>
      <w:r w:rsidRPr="00F83C46">
        <w:rPr>
          <w:rFonts w:ascii="Arial" w:hAnsi="Arial" w:cs="Arial"/>
          <w:b/>
          <w:sz w:val="24"/>
          <w:szCs w:val="24"/>
          <w:lang w:val="en-GB"/>
        </w:rPr>
        <w:t>Fig. 1 Immune landscape of early-stage LUAD and TME characteristics.</w:t>
      </w:r>
      <w:r w:rsidRPr="00F83C46">
        <w:rPr>
          <w:rFonts w:ascii="Arial" w:hAnsi="Arial" w:cs="Arial"/>
          <w:sz w:val="24"/>
          <w:szCs w:val="24"/>
          <w:lang w:val="en-GB"/>
        </w:rPr>
        <w:t xml:space="preserve"> </w:t>
      </w:r>
    </w:p>
    <w:p w14:paraId="409EA6A9" w14:textId="62F712EC" w:rsidR="00672334" w:rsidRPr="00F83C46" w:rsidRDefault="00926A2B" w:rsidP="00672334">
      <w:pPr>
        <w:rPr>
          <w:rFonts w:ascii="Arial" w:hAnsi="Arial" w:cs="Arial"/>
          <w:sz w:val="24"/>
          <w:szCs w:val="24"/>
          <w:lang w:val="en-GB"/>
        </w:rPr>
      </w:pPr>
      <w:r w:rsidRPr="00F83C46">
        <w:rPr>
          <w:rFonts w:ascii="Arial" w:hAnsi="Arial" w:cs="Arial"/>
          <w:sz w:val="24"/>
          <w:szCs w:val="24"/>
          <w:lang w:val="en-GB"/>
        </w:rPr>
        <w:t xml:space="preserve">(A) Unsupervised clustering of early-stage LUAD tissues using ssGSEA scores from immune cell types. </w:t>
      </w:r>
      <w:r w:rsidRPr="00F83C46">
        <w:rPr>
          <w:rFonts w:ascii="Arial" w:eastAsia="宋体" w:hAnsi="Arial" w:cs="Arial"/>
          <w:sz w:val="24"/>
          <w:szCs w:val="24"/>
          <w:lang w:val="en-GB"/>
        </w:rPr>
        <w:t>The mutation</w:t>
      </w:r>
      <w:r w:rsidRPr="00F83C46">
        <w:rPr>
          <w:rFonts w:ascii="Arial" w:hAnsi="Arial" w:cs="Arial"/>
          <w:sz w:val="24"/>
          <w:szCs w:val="24"/>
          <w:lang w:val="en-GB"/>
        </w:rPr>
        <w:t xml:space="preserve"> status of TP53, KRAS, TTN, MUC16, CSMD3, </w:t>
      </w:r>
      <w:r w:rsidR="00673410" w:rsidRPr="00F83C46">
        <w:rPr>
          <w:rFonts w:ascii="Arial" w:hAnsi="Arial" w:cs="Arial"/>
          <w:sz w:val="24"/>
          <w:szCs w:val="24"/>
          <w:lang w:val="en-GB"/>
        </w:rPr>
        <w:t xml:space="preserve">and </w:t>
      </w:r>
      <w:r w:rsidRPr="00F83C46">
        <w:rPr>
          <w:rFonts w:ascii="Arial" w:hAnsi="Arial" w:cs="Arial"/>
          <w:sz w:val="24"/>
          <w:szCs w:val="24"/>
          <w:lang w:val="en-GB"/>
        </w:rPr>
        <w:t xml:space="preserve">EGFR, survival, </w:t>
      </w:r>
      <w:r w:rsidR="007C401C" w:rsidRPr="00F83C46">
        <w:rPr>
          <w:rFonts w:ascii="Arial" w:hAnsi="Arial" w:cs="Arial"/>
          <w:sz w:val="24"/>
          <w:szCs w:val="24"/>
          <w:lang w:val="en-GB"/>
        </w:rPr>
        <w:t>sex</w:t>
      </w:r>
      <w:r w:rsidRPr="00F83C46">
        <w:rPr>
          <w:rFonts w:ascii="Arial" w:hAnsi="Arial" w:cs="Arial"/>
          <w:sz w:val="24"/>
          <w:szCs w:val="24"/>
          <w:lang w:val="en-GB"/>
        </w:rPr>
        <w:t>, age, lymph node metastasis</w:t>
      </w:r>
      <w:r w:rsidR="006C03F1" w:rsidRPr="00F83C46">
        <w:rPr>
          <w:rFonts w:ascii="Arial" w:hAnsi="Arial" w:cs="Arial"/>
          <w:sz w:val="24"/>
          <w:szCs w:val="24"/>
          <w:lang w:val="en-GB"/>
        </w:rPr>
        <w:t>,</w:t>
      </w:r>
      <w:r w:rsidRPr="00F83C46">
        <w:rPr>
          <w:rFonts w:ascii="Arial" w:hAnsi="Arial" w:cs="Arial"/>
          <w:sz w:val="24"/>
          <w:szCs w:val="24"/>
          <w:lang w:val="en-GB"/>
        </w:rPr>
        <w:t xml:space="preserve"> </w:t>
      </w:r>
      <w:r w:rsidRPr="00F83C46">
        <w:rPr>
          <w:rFonts w:ascii="Arial" w:eastAsia="宋体" w:hAnsi="Arial" w:cs="Arial"/>
          <w:sz w:val="24"/>
          <w:szCs w:val="24"/>
          <w:lang w:val="en-GB"/>
        </w:rPr>
        <w:t>and</w:t>
      </w:r>
      <w:r w:rsidRPr="00F83C46">
        <w:rPr>
          <w:rFonts w:ascii="Arial" w:hAnsi="Arial" w:cs="Arial"/>
          <w:sz w:val="24"/>
          <w:szCs w:val="24"/>
          <w:lang w:val="en-GB"/>
        </w:rPr>
        <w:t xml:space="preserve"> TNM stage are shown as patient annotations in the lower panel. Hierarchical clustering was performed with Euclidean distance and Ward linkage. Three distinct immune infiltration clusters, termed cluster A, cluster B and cluster C, were defined. (B) Kaplan-Meier curves for </w:t>
      </w:r>
      <w:r w:rsidR="00673410" w:rsidRPr="00F83C46">
        <w:rPr>
          <w:rFonts w:ascii="Arial" w:hAnsi="Arial" w:cs="Arial"/>
          <w:sz w:val="24"/>
          <w:szCs w:val="24"/>
          <w:lang w:val="en-GB"/>
        </w:rPr>
        <w:t xml:space="preserve">the </w:t>
      </w:r>
      <w:r w:rsidRPr="00F83C46">
        <w:rPr>
          <w:rFonts w:ascii="Arial" w:hAnsi="Arial" w:cs="Arial"/>
          <w:sz w:val="24"/>
          <w:szCs w:val="24"/>
          <w:lang w:val="en-GB"/>
        </w:rPr>
        <w:t>OS of early-stage LUAD patients show</w:t>
      </w:r>
      <w:r w:rsidR="00673410" w:rsidRPr="00F83C46">
        <w:rPr>
          <w:rFonts w:ascii="Arial" w:hAnsi="Arial" w:cs="Arial"/>
          <w:sz w:val="24"/>
          <w:szCs w:val="24"/>
          <w:lang w:val="en-GB"/>
        </w:rPr>
        <w:t>ed</w:t>
      </w:r>
      <w:r w:rsidRPr="00F83C46">
        <w:rPr>
          <w:rFonts w:ascii="Arial" w:hAnsi="Arial" w:cs="Arial"/>
          <w:sz w:val="24"/>
          <w:szCs w:val="24"/>
          <w:lang w:val="en-GB"/>
        </w:rPr>
        <w:t xml:space="preserve"> that the cluster C group had a </w:t>
      </w:r>
      <w:r w:rsidRPr="00F83C46">
        <w:rPr>
          <w:rFonts w:ascii="Arial" w:eastAsia="宋体" w:hAnsi="Arial" w:cs="Arial"/>
          <w:sz w:val="24"/>
          <w:szCs w:val="24"/>
          <w:lang w:val="en-GB"/>
        </w:rPr>
        <w:t>favourable</w:t>
      </w:r>
      <w:r w:rsidRPr="00F83C46">
        <w:rPr>
          <w:rFonts w:ascii="Arial" w:hAnsi="Arial" w:cs="Arial"/>
          <w:sz w:val="24"/>
          <w:szCs w:val="24"/>
          <w:lang w:val="en-GB"/>
        </w:rPr>
        <w:t xml:space="preserve"> outcome compared with the other groups. TME: tumour microenvironment; TCGA: The Cancer Genome Atlas; OS: overall survival.</w:t>
      </w:r>
    </w:p>
    <w:p w14:paraId="07B9AEA9" w14:textId="1B9442AF" w:rsidR="00411515" w:rsidRPr="00F83C46" w:rsidRDefault="00F8494A" w:rsidP="00672334">
      <w:pPr>
        <w:rPr>
          <w:rFonts w:ascii="Arial" w:hAnsi="Arial" w:cs="Arial"/>
          <w:b/>
          <w:bCs/>
          <w:sz w:val="24"/>
          <w:szCs w:val="24"/>
          <w:lang w:val="en-GB"/>
        </w:rPr>
      </w:pPr>
      <w:r w:rsidRPr="00F83C46">
        <w:rPr>
          <w:rFonts w:ascii="Arial" w:hAnsi="Arial" w:cs="Arial"/>
          <w:b/>
          <w:bCs/>
          <w:sz w:val="24"/>
          <w:szCs w:val="24"/>
          <w:lang w:val="en-GB"/>
        </w:rPr>
        <w:t>Fig. 2 DEG</w:t>
      </w:r>
      <w:r w:rsidR="00673410" w:rsidRPr="00F83C46">
        <w:rPr>
          <w:rFonts w:ascii="Arial" w:hAnsi="Arial" w:cs="Arial"/>
          <w:b/>
          <w:bCs/>
          <w:sz w:val="24"/>
          <w:szCs w:val="24"/>
          <w:lang w:val="en-GB"/>
        </w:rPr>
        <w:t xml:space="preserve"> analysis</w:t>
      </w:r>
      <w:r w:rsidRPr="00F83C46">
        <w:rPr>
          <w:rFonts w:ascii="Arial" w:hAnsi="Arial" w:cs="Arial"/>
          <w:b/>
          <w:bCs/>
          <w:sz w:val="24"/>
          <w:szCs w:val="24"/>
          <w:lang w:val="en-GB"/>
        </w:rPr>
        <w:t xml:space="preserve"> identified key immune-related genes.</w:t>
      </w:r>
    </w:p>
    <w:p w14:paraId="3E6159CB" w14:textId="3C529CDE" w:rsidR="00F8494A" w:rsidRPr="00F83C46" w:rsidRDefault="003762E8" w:rsidP="00F8494A">
      <w:pPr>
        <w:rPr>
          <w:rFonts w:ascii="Arial" w:hAnsi="Arial" w:cs="Arial"/>
          <w:sz w:val="24"/>
          <w:szCs w:val="24"/>
          <w:lang w:val="en-GB"/>
        </w:rPr>
      </w:pPr>
      <w:r w:rsidRPr="00F83C46">
        <w:rPr>
          <w:rFonts w:ascii="Arial" w:hAnsi="Arial" w:cs="Arial"/>
          <w:sz w:val="24"/>
          <w:szCs w:val="24"/>
          <w:lang w:val="en-GB"/>
        </w:rPr>
        <w:t xml:space="preserve">(A) The volcano plot showing the DEGs among different clusters. (B) The </w:t>
      </w:r>
      <w:r w:rsidR="007C401C" w:rsidRPr="00F83C46">
        <w:rPr>
          <w:rFonts w:ascii="Arial" w:hAnsi="Arial" w:cs="Arial"/>
          <w:sz w:val="24"/>
          <w:szCs w:val="24"/>
          <w:lang w:val="en-GB"/>
        </w:rPr>
        <w:t>V</w:t>
      </w:r>
      <w:r w:rsidRPr="00F83C46">
        <w:rPr>
          <w:rFonts w:ascii="Arial" w:hAnsi="Arial" w:cs="Arial"/>
          <w:sz w:val="24"/>
          <w:szCs w:val="24"/>
          <w:lang w:val="en-GB"/>
        </w:rPr>
        <w:t xml:space="preserve">enn </w:t>
      </w:r>
      <w:r w:rsidR="007C401C" w:rsidRPr="00F83C46">
        <w:rPr>
          <w:rFonts w:ascii="Arial" w:hAnsi="Arial" w:cs="Arial"/>
          <w:sz w:val="24"/>
          <w:szCs w:val="24"/>
          <w:lang w:val="en-GB"/>
        </w:rPr>
        <w:t xml:space="preserve">diagram </w:t>
      </w:r>
      <w:r w:rsidRPr="00F83C46">
        <w:rPr>
          <w:rFonts w:ascii="Arial" w:hAnsi="Arial" w:cs="Arial"/>
          <w:sz w:val="24"/>
          <w:szCs w:val="24"/>
          <w:lang w:val="en-GB"/>
        </w:rPr>
        <w:t xml:space="preserve">showing the key immune-related genes by the overlapping of DEGs between cluster A and cluster B, cluster B and cluster C, </w:t>
      </w:r>
      <w:r w:rsidR="00673410" w:rsidRPr="00F83C46">
        <w:rPr>
          <w:rFonts w:ascii="Arial" w:hAnsi="Arial" w:cs="Arial"/>
          <w:sz w:val="24"/>
          <w:szCs w:val="24"/>
          <w:lang w:val="en-GB"/>
        </w:rPr>
        <w:t xml:space="preserve">and </w:t>
      </w:r>
      <w:r w:rsidRPr="00F83C46">
        <w:rPr>
          <w:rFonts w:ascii="Arial" w:hAnsi="Arial" w:cs="Arial"/>
          <w:sz w:val="24"/>
          <w:szCs w:val="24"/>
          <w:lang w:val="en-GB"/>
        </w:rPr>
        <w:t xml:space="preserve">cluster A and cluster C. (C) The heatmap showing the expression level of the immune-related genes and other genes in </w:t>
      </w:r>
      <w:r w:rsidR="00926A2B" w:rsidRPr="00F83C46">
        <w:rPr>
          <w:rFonts w:ascii="Arial" w:eastAsia="宋体" w:hAnsi="Arial" w:cs="Arial"/>
          <w:sz w:val="24"/>
          <w:szCs w:val="24"/>
          <w:lang w:val="en-GB"/>
        </w:rPr>
        <w:t xml:space="preserve">the </w:t>
      </w:r>
      <w:r w:rsidRPr="00F83C46">
        <w:rPr>
          <w:rFonts w:ascii="Arial" w:hAnsi="Arial" w:cs="Arial"/>
          <w:sz w:val="24"/>
          <w:szCs w:val="24"/>
          <w:lang w:val="en-GB"/>
        </w:rPr>
        <w:t xml:space="preserve">TCGA cohort. (D) GO analysis based on </w:t>
      </w:r>
      <w:r w:rsidR="00673410" w:rsidRPr="00F83C46">
        <w:rPr>
          <w:rFonts w:ascii="Arial" w:hAnsi="Arial" w:cs="Arial"/>
          <w:sz w:val="24"/>
          <w:szCs w:val="24"/>
          <w:lang w:val="en-GB"/>
        </w:rPr>
        <w:t xml:space="preserve">the </w:t>
      </w:r>
      <w:r w:rsidRPr="00F83C46">
        <w:rPr>
          <w:rFonts w:ascii="Arial" w:hAnsi="Arial" w:cs="Arial"/>
          <w:sz w:val="24"/>
          <w:szCs w:val="24"/>
          <w:lang w:val="en-GB"/>
        </w:rPr>
        <w:t>immune-related genes. (E) GO analysis based on other genes.</w:t>
      </w:r>
    </w:p>
    <w:p w14:paraId="5C3E268C" w14:textId="4A3AB594" w:rsidR="00672334" w:rsidRPr="00F83C46" w:rsidRDefault="00926A2B" w:rsidP="0035497E">
      <w:pPr>
        <w:rPr>
          <w:rFonts w:ascii="Arial" w:hAnsi="Arial" w:cs="Arial"/>
          <w:b/>
          <w:bCs/>
          <w:sz w:val="24"/>
          <w:szCs w:val="24"/>
          <w:lang w:val="en-GB"/>
        </w:rPr>
      </w:pPr>
      <w:r w:rsidRPr="00F83C46">
        <w:rPr>
          <w:rFonts w:ascii="Arial" w:hAnsi="Arial" w:cs="Arial"/>
          <w:b/>
          <w:bCs/>
          <w:sz w:val="24"/>
          <w:szCs w:val="24"/>
          <w:lang w:val="en-GB"/>
        </w:rPr>
        <w:t xml:space="preserve">Fig. 3 Construction of </w:t>
      </w:r>
      <w:r w:rsidR="00673410" w:rsidRPr="00F83C46">
        <w:rPr>
          <w:rFonts w:ascii="Arial" w:hAnsi="Arial" w:cs="Arial"/>
          <w:b/>
          <w:bCs/>
          <w:sz w:val="24"/>
          <w:szCs w:val="24"/>
          <w:lang w:val="en-GB"/>
        </w:rPr>
        <w:t xml:space="preserve">a </w:t>
      </w:r>
      <w:r w:rsidRPr="00F83C46">
        <w:rPr>
          <w:rFonts w:ascii="Arial" w:hAnsi="Arial" w:cs="Arial"/>
          <w:b/>
          <w:bCs/>
          <w:sz w:val="24"/>
          <w:szCs w:val="24"/>
          <w:lang w:val="en-GB"/>
        </w:rPr>
        <w:t>prognostic immune-related gene signature.</w:t>
      </w:r>
    </w:p>
    <w:p w14:paraId="6D79C9BE" w14:textId="2FD69E66" w:rsidR="00BF2AD0" w:rsidRPr="00F83C46" w:rsidRDefault="00F104E4" w:rsidP="0035497E">
      <w:pPr>
        <w:rPr>
          <w:rFonts w:ascii="Arial" w:hAnsi="Arial" w:cs="Arial"/>
          <w:sz w:val="24"/>
          <w:szCs w:val="24"/>
          <w:lang w:val="en-GB"/>
        </w:rPr>
      </w:pPr>
      <w:r w:rsidRPr="00F83C46">
        <w:rPr>
          <w:rFonts w:ascii="Arial" w:hAnsi="Arial" w:cs="Arial"/>
          <w:sz w:val="24"/>
          <w:szCs w:val="24"/>
          <w:lang w:val="en-GB"/>
        </w:rPr>
        <w:t xml:space="preserve">(A) LASSO cox regression with L1 regularization. (B) Distribution of LASSO coefficients of the hypoxia-related gene signature. (C) Risk score distribution for </w:t>
      </w:r>
      <w:r w:rsidR="00926A2B" w:rsidRPr="00F83C46">
        <w:rPr>
          <w:rFonts w:ascii="Arial" w:eastAsia="宋体" w:hAnsi="Arial" w:cs="Arial"/>
          <w:sz w:val="24"/>
          <w:szCs w:val="24"/>
          <w:lang w:val="en-GB"/>
        </w:rPr>
        <w:t>each</w:t>
      </w:r>
      <w:r w:rsidRPr="00F83C46">
        <w:rPr>
          <w:rFonts w:ascii="Arial" w:hAnsi="Arial" w:cs="Arial"/>
          <w:sz w:val="24"/>
          <w:szCs w:val="24"/>
          <w:lang w:val="en-GB"/>
        </w:rPr>
        <w:t xml:space="preserve"> patient. (D) Survival overview. (E) Heatmap showing the expression profiles of the signature in low- and high-risk groups. (F) Patients in the high-risk group exhibited worse overall survival </w:t>
      </w:r>
      <w:r w:rsidR="006D0591" w:rsidRPr="00F83C46">
        <w:rPr>
          <w:rFonts w:ascii="Arial" w:hAnsi="Arial" w:cs="Arial"/>
          <w:sz w:val="24"/>
          <w:szCs w:val="24"/>
          <w:lang w:val="en-GB"/>
        </w:rPr>
        <w:t>than</w:t>
      </w:r>
      <w:r w:rsidRPr="00F83C46">
        <w:rPr>
          <w:rFonts w:ascii="Arial" w:hAnsi="Arial" w:cs="Arial"/>
          <w:sz w:val="24"/>
          <w:szCs w:val="24"/>
          <w:lang w:val="en-GB"/>
        </w:rPr>
        <w:t xml:space="preserve"> those in the low-risk group.</w:t>
      </w:r>
      <w:r w:rsidR="006E39B9">
        <w:rPr>
          <w:rFonts w:ascii="Arial" w:hAnsi="Arial" w:cs="Arial"/>
          <w:sz w:val="24"/>
          <w:szCs w:val="24"/>
          <w:lang w:val="en-GB"/>
        </w:rPr>
        <w:t xml:space="preserve"> </w:t>
      </w:r>
      <w:r w:rsidRPr="00F83C46">
        <w:rPr>
          <w:rFonts w:ascii="Arial" w:hAnsi="Arial" w:cs="Arial"/>
          <w:sz w:val="24"/>
          <w:szCs w:val="24"/>
          <w:lang w:val="en-GB"/>
        </w:rPr>
        <w:t xml:space="preserve">(G) ssGSEA revealed </w:t>
      </w:r>
      <w:r w:rsidR="00926A2B" w:rsidRPr="00F83C46">
        <w:rPr>
          <w:rFonts w:ascii="Arial" w:eastAsia="宋体" w:hAnsi="Arial" w:cs="Arial"/>
          <w:sz w:val="24"/>
          <w:szCs w:val="24"/>
          <w:lang w:val="en-GB"/>
        </w:rPr>
        <w:t xml:space="preserve">the </w:t>
      </w:r>
      <w:r w:rsidRPr="00F83C46">
        <w:rPr>
          <w:rFonts w:ascii="Arial" w:hAnsi="Arial" w:cs="Arial"/>
          <w:sz w:val="24"/>
          <w:szCs w:val="24"/>
          <w:lang w:val="en-GB"/>
        </w:rPr>
        <w:t xml:space="preserve">most significant hallmarks correlated with the immune-related signature. (H) The correlation between </w:t>
      </w:r>
      <w:r w:rsidR="006D0591" w:rsidRPr="00F83C46">
        <w:rPr>
          <w:rFonts w:ascii="Arial" w:hAnsi="Arial" w:cs="Arial"/>
          <w:sz w:val="24"/>
          <w:szCs w:val="24"/>
          <w:lang w:val="en-GB"/>
        </w:rPr>
        <w:t xml:space="preserve">the </w:t>
      </w:r>
      <w:r w:rsidRPr="00F83C46">
        <w:rPr>
          <w:rFonts w:ascii="Arial" w:hAnsi="Arial" w:cs="Arial"/>
          <w:sz w:val="24"/>
          <w:szCs w:val="24"/>
          <w:lang w:val="en-GB"/>
        </w:rPr>
        <w:t xml:space="preserve">hypoxia ssGSEA score and immune-related signature-based risk score. (I) The correlation between mTORC1 signalling ssGSEA score and immune-related signature-based risk </w:t>
      </w:r>
      <w:r w:rsidRPr="00F83C46">
        <w:rPr>
          <w:rFonts w:ascii="Arial" w:hAnsi="Arial" w:cs="Arial"/>
          <w:sz w:val="24"/>
          <w:szCs w:val="24"/>
          <w:lang w:val="en-GB"/>
        </w:rPr>
        <w:lastRenderedPageBreak/>
        <w:t>score. (J) The correlation between TNF-α signalling ssGSEA score and immune-related signature-based risk score.</w:t>
      </w:r>
    </w:p>
    <w:p w14:paraId="14D84DA9" w14:textId="15A3B122" w:rsidR="00F104E4" w:rsidRPr="00F83C46" w:rsidRDefault="00926A2B" w:rsidP="0035497E">
      <w:pPr>
        <w:rPr>
          <w:rFonts w:ascii="Arial" w:hAnsi="Arial" w:cs="Arial"/>
          <w:b/>
          <w:bCs/>
          <w:sz w:val="24"/>
          <w:szCs w:val="24"/>
          <w:lang w:val="en-GB"/>
        </w:rPr>
      </w:pPr>
      <w:r w:rsidRPr="00F83C46">
        <w:rPr>
          <w:rFonts w:ascii="Arial" w:hAnsi="Arial" w:cs="Arial"/>
          <w:b/>
          <w:bCs/>
          <w:sz w:val="24"/>
          <w:szCs w:val="24"/>
          <w:lang w:val="en-GB"/>
        </w:rPr>
        <w:t>Fig. 4 The correlation between</w:t>
      </w:r>
      <w:r w:rsidR="006D0591" w:rsidRPr="00F83C46">
        <w:rPr>
          <w:rFonts w:ascii="Arial" w:hAnsi="Arial" w:cs="Arial"/>
          <w:b/>
          <w:bCs/>
          <w:sz w:val="24"/>
          <w:szCs w:val="24"/>
          <w:lang w:val="en-GB"/>
        </w:rPr>
        <w:t xml:space="preserve"> the</w:t>
      </w:r>
      <w:r w:rsidRPr="00F83C46">
        <w:rPr>
          <w:rFonts w:ascii="Arial" w:hAnsi="Arial" w:cs="Arial"/>
          <w:b/>
          <w:bCs/>
          <w:sz w:val="24"/>
          <w:szCs w:val="24"/>
          <w:lang w:val="en-GB"/>
        </w:rPr>
        <w:t xml:space="preserve"> ssGSEA score and immune-related signature-based risk score in CCLE lung cancer cell lines. </w:t>
      </w:r>
    </w:p>
    <w:p w14:paraId="6745B596" w14:textId="288D0FC0" w:rsidR="00F104E4" w:rsidRPr="00F83C46" w:rsidRDefault="00926A2B" w:rsidP="00F104E4">
      <w:pPr>
        <w:rPr>
          <w:rFonts w:ascii="Arial" w:hAnsi="Arial" w:cs="Arial"/>
          <w:sz w:val="24"/>
          <w:szCs w:val="24"/>
          <w:lang w:val="en-GB"/>
        </w:rPr>
      </w:pPr>
      <w:r w:rsidRPr="00F83C46">
        <w:rPr>
          <w:rFonts w:ascii="Arial" w:hAnsi="Arial" w:cs="Arial"/>
          <w:sz w:val="24"/>
          <w:szCs w:val="24"/>
          <w:lang w:val="en-GB"/>
        </w:rPr>
        <w:t xml:space="preserve">(A) ssGSEA revealed </w:t>
      </w:r>
      <w:r w:rsidRPr="00F83C46">
        <w:rPr>
          <w:rFonts w:ascii="Arial" w:eastAsia="宋体" w:hAnsi="Arial" w:cs="Arial"/>
          <w:sz w:val="24"/>
          <w:szCs w:val="24"/>
          <w:lang w:val="en-GB"/>
        </w:rPr>
        <w:t xml:space="preserve">the </w:t>
      </w:r>
      <w:r w:rsidRPr="00F83C46">
        <w:rPr>
          <w:rFonts w:ascii="Arial" w:hAnsi="Arial" w:cs="Arial"/>
          <w:sz w:val="24"/>
          <w:szCs w:val="24"/>
          <w:lang w:val="en-GB"/>
        </w:rPr>
        <w:t>most significant hallmarks correlated with the immune-related signature in CCLE lung cancer cell lines. (B) The correlation between</w:t>
      </w:r>
      <w:r w:rsidR="006D0591" w:rsidRPr="00F83C46">
        <w:rPr>
          <w:rFonts w:ascii="Arial" w:hAnsi="Arial" w:cs="Arial"/>
          <w:sz w:val="24"/>
          <w:szCs w:val="24"/>
          <w:lang w:val="en-GB"/>
        </w:rPr>
        <w:t xml:space="preserve"> the</w:t>
      </w:r>
      <w:r w:rsidRPr="00F83C46">
        <w:rPr>
          <w:rFonts w:ascii="Arial" w:hAnsi="Arial" w:cs="Arial"/>
          <w:sz w:val="24"/>
          <w:szCs w:val="24"/>
          <w:lang w:val="en-GB"/>
        </w:rPr>
        <w:t xml:space="preserve"> TNF-α signalling ssGSEA score and immune-related signature-based risk score. (C) The correlation between </w:t>
      </w:r>
      <w:r w:rsidR="006D0591" w:rsidRPr="00F83C46">
        <w:rPr>
          <w:rFonts w:ascii="Arial" w:hAnsi="Arial" w:cs="Arial"/>
          <w:sz w:val="24"/>
          <w:szCs w:val="24"/>
          <w:lang w:val="en-GB"/>
        </w:rPr>
        <w:t xml:space="preserve">the </w:t>
      </w:r>
      <w:r w:rsidRPr="00F83C46">
        <w:rPr>
          <w:rFonts w:ascii="Arial" w:hAnsi="Arial" w:cs="Arial"/>
          <w:sz w:val="24"/>
          <w:szCs w:val="24"/>
          <w:lang w:val="en-GB"/>
        </w:rPr>
        <w:t>IL-6/JAK/STAT3 signalling ssGSEA score and immune-related signature-based risk score.</w:t>
      </w:r>
    </w:p>
    <w:p w14:paraId="4825BE15" w14:textId="25A49461" w:rsidR="00127995" w:rsidRPr="00F83C46" w:rsidRDefault="00926A2B" w:rsidP="00127995">
      <w:pPr>
        <w:rPr>
          <w:rFonts w:ascii="Arial" w:hAnsi="Arial" w:cs="Arial"/>
          <w:b/>
          <w:bCs/>
          <w:sz w:val="24"/>
          <w:szCs w:val="24"/>
          <w:lang w:val="en-GB"/>
        </w:rPr>
      </w:pPr>
      <w:r w:rsidRPr="00F83C46">
        <w:rPr>
          <w:rFonts w:ascii="Arial" w:hAnsi="Arial" w:cs="Arial"/>
          <w:b/>
          <w:bCs/>
          <w:sz w:val="24"/>
          <w:szCs w:val="24"/>
          <w:lang w:val="en-GB"/>
        </w:rPr>
        <w:t xml:space="preserve">Fig. 5 </w:t>
      </w:r>
      <w:r w:rsidRPr="00F83C46">
        <w:rPr>
          <w:rFonts w:ascii="Arial" w:eastAsia="宋体" w:hAnsi="Arial" w:cs="Arial"/>
          <w:b/>
          <w:bCs/>
          <w:sz w:val="24"/>
          <w:szCs w:val="24"/>
          <w:lang w:val="en-GB"/>
        </w:rPr>
        <w:t>Classifier</w:t>
      </w:r>
      <w:r w:rsidRPr="00F83C46">
        <w:rPr>
          <w:rFonts w:ascii="Arial" w:hAnsi="Arial" w:cs="Arial"/>
          <w:b/>
          <w:bCs/>
          <w:sz w:val="24"/>
          <w:szCs w:val="24"/>
          <w:lang w:val="en-GB"/>
        </w:rPr>
        <w:t xml:space="preserve"> construction based on key immune-related genes.</w:t>
      </w:r>
    </w:p>
    <w:p w14:paraId="6AFA1A39" w14:textId="64EDC321" w:rsidR="00127995" w:rsidRPr="00F83C46" w:rsidRDefault="00926A2B" w:rsidP="00127995">
      <w:pPr>
        <w:rPr>
          <w:rFonts w:ascii="Arial" w:hAnsi="Arial" w:cs="Arial"/>
          <w:sz w:val="24"/>
          <w:szCs w:val="24"/>
          <w:lang w:val="en-GB"/>
        </w:rPr>
      </w:pPr>
      <w:r w:rsidRPr="00F83C46">
        <w:rPr>
          <w:rFonts w:ascii="Arial" w:hAnsi="Arial" w:cs="Arial"/>
          <w:sz w:val="24"/>
          <w:szCs w:val="24"/>
          <w:lang w:val="en-GB"/>
        </w:rPr>
        <w:t xml:space="preserve">(A) Schematic diagram for training and testing the classifiers. (B) The relationship between tree building and </w:t>
      </w:r>
      <w:r w:rsidR="006D0591" w:rsidRPr="00F83C46">
        <w:rPr>
          <w:rFonts w:ascii="Arial" w:hAnsi="Arial" w:cs="Arial"/>
          <w:sz w:val="24"/>
          <w:szCs w:val="24"/>
          <w:lang w:val="en-GB"/>
        </w:rPr>
        <w:t xml:space="preserve">the </w:t>
      </w:r>
      <w:r w:rsidRPr="00F83C46">
        <w:rPr>
          <w:rFonts w:ascii="Arial" w:hAnsi="Arial" w:cs="Arial"/>
          <w:sz w:val="24"/>
          <w:szCs w:val="24"/>
          <w:lang w:val="en-GB"/>
        </w:rPr>
        <w:t>error rate in</w:t>
      </w:r>
      <w:r w:rsidRPr="00F83C46">
        <w:rPr>
          <w:rFonts w:ascii="Arial" w:eastAsia="宋体" w:hAnsi="Arial" w:cs="Arial"/>
          <w:sz w:val="24"/>
          <w:szCs w:val="24"/>
          <w:lang w:val="en-GB"/>
        </w:rPr>
        <w:t xml:space="preserve"> </w:t>
      </w:r>
      <w:r w:rsidR="006D0591" w:rsidRPr="00F83C46">
        <w:rPr>
          <w:rFonts w:ascii="Arial" w:eastAsia="宋体" w:hAnsi="Arial" w:cs="Arial"/>
          <w:sz w:val="24"/>
          <w:szCs w:val="24"/>
          <w:lang w:val="en-GB"/>
        </w:rPr>
        <w:t>the</w:t>
      </w:r>
      <w:r w:rsidRPr="00F83C46">
        <w:rPr>
          <w:rFonts w:ascii="Arial" w:hAnsi="Arial" w:cs="Arial"/>
          <w:sz w:val="24"/>
          <w:szCs w:val="24"/>
          <w:lang w:val="en-GB"/>
        </w:rPr>
        <w:t xml:space="preserve"> random forest classifier. (C) The confusion matrix for </w:t>
      </w:r>
      <w:r w:rsidRPr="00F83C46">
        <w:rPr>
          <w:rFonts w:ascii="Arial" w:eastAsia="宋体" w:hAnsi="Arial" w:cs="Arial"/>
          <w:sz w:val="24"/>
          <w:szCs w:val="24"/>
          <w:lang w:val="en-GB"/>
        </w:rPr>
        <w:t xml:space="preserve">the </w:t>
      </w:r>
      <w:r w:rsidRPr="00F83C46">
        <w:rPr>
          <w:rFonts w:ascii="Arial" w:hAnsi="Arial" w:cs="Arial"/>
          <w:sz w:val="24"/>
          <w:szCs w:val="24"/>
          <w:lang w:val="en-GB"/>
        </w:rPr>
        <w:t>random forest classifier. (D) The confusion matrix for</w:t>
      </w:r>
      <w:r w:rsidRPr="00F83C46">
        <w:rPr>
          <w:rFonts w:ascii="Arial" w:eastAsia="宋体" w:hAnsi="Arial" w:cs="Arial"/>
          <w:sz w:val="24"/>
          <w:szCs w:val="24"/>
          <w:lang w:val="en-GB"/>
        </w:rPr>
        <w:t xml:space="preserve"> the</w:t>
      </w:r>
      <w:r w:rsidRPr="00F83C46">
        <w:rPr>
          <w:rFonts w:ascii="Arial" w:hAnsi="Arial" w:cs="Arial"/>
          <w:sz w:val="24"/>
          <w:szCs w:val="24"/>
          <w:lang w:val="en-GB"/>
        </w:rPr>
        <w:t xml:space="preserve"> </w:t>
      </w:r>
      <w:r w:rsidR="006D0591" w:rsidRPr="00F83C46">
        <w:rPr>
          <w:rFonts w:ascii="Arial" w:hAnsi="Arial" w:cs="Arial"/>
          <w:sz w:val="24"/>
          <w:szCs w:val="24"/>
          <w:lang w:val="en-GB"/>
        </w:rPr>
        <w:t>n</w:t>
      </w:r>
      <w:r w:rsidRPr="00F83C46">
        <w:rPr>
          <w:rFonts w:ascii="Arial" w:hAnsi="Arial" w:cs="Arial"/>
          <w:sz w:val="24"/>
          <w:szCs w:val="24"/>
          <w:lang w:val="en-GB"/>
        </w:rPr>
        <w:t xml:space="preserve">aive Bayes classifier. (E) The confusion matrix for </w:t>
      </w:r>
      <w:r w:rsidRPr="00F83C46">
        <w:rPr>
          <w:rFonts w:ascii="Arial" w:eastAsia="宋体" w:hAnsi="Arial" w:cs="Arial"/>
          <w:sz w:val="24"/>
          <w:szCs w:val="24"/>
          <w:lang w:val="en-GB"/>
        </w:rPr>
        <w:t xml:space="preserve">the </w:t>
      </w:r>
      <w:r w:rsidRPr="00F83C46">
        <w:rPr>
          <w:rFonts w:ascii="Arial" w:hAnsi="Arial" w:cs="Arial"/>
          <w:sz w:val="24"/>
          <w:szCs w:val="24"/>
          <w:lang w:val="en-GB"/>
        </w:rPr>
        <w:t>support vector machine classifier. (F) The confusion matrix for</w:t>
      </w:r>
      <w:r w:rsidRPr="00F83C46">
        <w:rPr>
          <w:rFonts w:ascii="Arial" w:eastAsia="宋体" w:hAnsi="Arial" w:cs="Arial"/>
          <w:sz w:val="24"/>
          <w:szCs w:val="24"/>
          <w:lang w:val="en-GB"/>
        </w:rPr>
        <w:t xml:space="preserve"> the</w:t>
      </w:r>
      <w:r w:rsidRPr="00F83C46">
        <w:rPr>
          <w:rFonts w:ascii="Arial" w:hAnsi="Arial" w:cs="Arial"/>
          <w:sz w:val="24"/>
          <w:szCs w:val="24"/>
          <w:lang w:val="en-GB"/>
        </w:rPr>
        <w:t xml:space="preserve"> neural network classifier.</w:t>
      </w:r>
    </w:p>
    <w:p w14:paraId="18589F34" w14:textId="77777777" w:rsidR="004C4B2F" w:rsidRPr="00F83C46" w:rsidRDefault="00C43C7A" w:rsidP="00F104E4">
      <w:pPr>
        <w:rPr>
          <w:rFonts w:ascii="Arial" w:hAnsi="Arial" w:cs="Arial"/>
          <w:b/>
          <w:bCs/>
          <w:sz w:val="24"/>
          <w:szCs w:val="24"/>
          <w:lang w:val="en-GB"/>
        </w:rPr>
      </w:pPr>
      <w:r w:rsidRPr="00F83C46">
        <w:rPr>
          <w:rFonts w:ascii="Arial" w:hAnsi="Arial" w:cs="Arial"/>
          <w:b/>
          <w:bCs/>
          <w:sz w:val="24"/>
          <w:szCs w:val="24"/>
          <w:lang w:val="en-GB"/>
        </w:rPr>
        <w:t xml:space="preserve">Fig. 6 The association of the immune signature with </w:t>
      </w:r>
      <w:bookmarkStart w:id="43" w:name="_Hlk20594519"/>
      <w:r w:rsidRPr="00F83C46">
        <w:rPr>
          <w:rFonts w:ascii="Arial" w:hAnsi="Arial" w:cs="Arial"/>
          <w:b/>
          <w:bCs/>
          <w:sz w:val="24"/>
          <w:szCs w:val="24"/>
          <w:lang w:val="en-GB"/>
        </w:rPr>
        <w:t>early-stage LUAD gene mutations</w:t>
      </w:r>
      <w:bookmarkEnd w:id="43"/>
      <w:r w:rsidRPr="00F83C46">
        <w:rPr>
          <w:rFonts w:ascii="Arial" w:hAnsi="Arial" w:cs="Arial"/>
          <w:b/>
          <w:bCs/>
          <w:sz w:val="24"/>
          <w:szCs w:val="24"/>
          <w:lang w:val="en-GB"/>
        </w:rPr>
        <w:t>.</w:t>
      </w:r>
    </w:p>
    <w:p w14:paraId="63AB0227" w14:textId="1AE05F31" w:rsidR="00F104E4" w:rsidRPr="00F83C46" w:rsidRDefault="00C43C7A" w:rsidP="00F104E4">
      <w:pPr>
        <w:rPr>
          <w:rFonts w:ascii="Arial" w:hAnsi="Arial" w:cs="Arial"/>
          <w:sz w:val="24"/>
          <w:szCs w:val="24"/>
          <w:lang w:val="en-GB"/>
        </w:rPr>
      </w:pPr>
      <w:r w:rsidRPr="00F83C46">
        <w:rPr>
          <w:rFonts w:ascii="Arial" w:hAnsi="Arial" w:cs="Arial"/>
          <w:sz w:val="24"/>
          <w:szCs w:val="24"/>
          <w:lang w:val="en-GB"/>
        </w:rPr>
        <w:t>(A) The correlation between the immune signature and early-stage LUAD gene mutations. (B) Distribution of gene mutations correlated with the immune signature.</w:t>
      </w:r>
    </w:p>
    <w:p w14:paraId="6F64C146" w14:textId="4D344E2E" w:rsidR="00C43C7A" w:rsidRPr="00F83C46" w:rsidRDefault="00926A2B" w:rsidP="00F104E4">
      <w:pPr>
        <w:rPr>
          <w:rFonts w:ascii="Arial" w:hAnsi="Arial" w:cs="Arial"/>
          <w:b/>
          <w:bCs/>
          <w:sz w:val="24"/>
          <w:szCs w:val="24"/>
          <w:lang w:val="en-GB"/>
        </w:rPr>
      </w:pPr>
      <w:bookmarkStart w:id="44" w:name="_Hlk40987596"/>
      <w:r w:rsidRPr="00F83C46">
        <w:rPr>
          <w:rFonts w:ascii="Arial" w:hAnsi="Arial" w:cs="Arial"/>
          <w:b/>
          <w:bCs/>
          <w:sz w:val="24"/>
          <w:szCs w:val="24"/>
          <w:lang w:val="en-GB"/>
        </w:rPr>
        <w:t>Fig. 7 The subgroup survival analysis.</w:t>
      </w:r>
      <w:bookmarkEnd w:id="44"/>
      <w:r w:rsidR="00E30098">
        <w:rPr>
          <w:rFonts w:ascii="Arial" w:hAnsi="Arial" w:cs="Arial"/>
          <w:b/>
          <w:bCs/>
          <w:sz w:val="24"/>
          <w:szCs w:val="24"/>
          <w:lang w:val="en-GB"/>
        </w:rPr>
        <w:t xml:space="preserve"> </w:t>
      </w:r>
      <w:bookmarkStart w:id="45" w:name="_Hlk40987582"/>
      <w:r w:rsidR="00E30098">
        <w:rPr>
          <w:rFonts w:ascii="Arial" w:hAnsi="Arial" w:cs="Arial"/>
          <w:sz w:val="24"/>
          <w:szCs w:val="24"/>
          <w:lang w:val="en-GB"/>
        </w:rPr>
        <w:t>P&lt;0.05 is considered as significance.</w:t>
      </w:r>
      <w:r w:rsidR="00E30098" w:rsidRPr="00E30098">
        <w:rPr>
          <w:rFonts w:ascii="Arial" w:hAnsi="Arial" w:cs="Arial"/>
          <w:sz w:val="24"/>
          <w:szCs w:val="24"/>
          <w:lang w:val="en-GB"/>
        </w:rPr>
        <w:t xml:space="preserve"> </w:t>
      </w:r>
      <w:r w:rsidR="00E30098">
        <w:rPr>
          <w:rFonts w:ascii="Arial" w:hAnsi="Arial" w:cs="Arial"/>
          <w:sz w:val="24"/>
          <w:szCs w:val="24"/>
          <w:lang w:val="en-GB"/>
        </w:rPr>
        <w:t>HR, CI, and P-value for univariate Cox analysis is shown in each survival plot.</w:t>
      </w:r>
      <w:r w:rsidR="006E39B9" w:rsidRPr="006E39B9">
        <w:rPr>
          <w:rFonts w:ascii="Arial" w:hAnsi="Arial" w:cs="Arial"/>
          <w:sz w:val="24"/>
          <w:szCs w:val="24"/>
          <w:lang w:val="en-GB"/>
        </w:rPr>
        <w:t xml:space="preserve"> </w:t>
      </w:r>
    </w:p>
    <w:bookmarkEnd w:id="45"/>
    <w:p w14:paraId="02F50D7B" w14:textId="77777777" w:rsidR="004C4B2F" w:rsidRPr="00F83C46" w:rsidRDefault="00926A2B" w:rsidP="00C43C7A">
      <w:pPr>
        <w:rPr>
          <w:rFonts w:ascii="Arial" w:hAnsi="Arial" w:cs="Arial"/>
          <w:b/>
          <w:bCs/>
          <w:sz w:val="24"/>
          <w:szCs w:val="24"/>
          <w:lang w:val="en-GB"/>
        </w:rPr>
      </w:pPr>
      <w:r w:rsidRPr="00F83C46">
        <w:rPr>
          <w:rFonts w:ascii="Arial" w:hAnsi="Arial" w:cs="Arial"/>
          <w:b/>
          <w:bCs/>
          <w:sz w:val="24"/>
          <w:szCs w:val="24"/>
          <w:lang w:val="en-GB"/>
        </w:rPr>
        <w:t xml:space="preserve">Fig. 8 Combination with clinicopathological traits to improve risk stratification and survival prediction. </w:t>
      </w:r>
    </w:p>
    <w:p w14:paraId="60A82709" w14:textId="18CAE9CB" w:rsidR="00C43C7A" w:rsidRPr="00F83C46" w:rsidRDefault="00C77FAA" w:rsidP="00C43C7A">
      <w:pPr>
        <w:rPr>
          <w:rFonts w:ascii="Arial" w:hAnsi="Arial" w:cs="Arial"/>
          <w:sz w:val="24"/>
          <w:szCs w:val="24"/>
          <w:lang w:val="en-GB"/>
        </w:rPr>
      </w:pPr>
      <w:r w:rsidRPr="00F83C46">
        <w:rPr>
          <w:rFonts w:ascii="Arial" w:hAnsi="Arial" w:cs="Arial"/>
          <w:sz w:val="24"/>
          <w:szCs w:val="24"/>
          <w:lang w:val="en-GB"/>
        </w:rPr>
        <w:t>(A) The association between the immune-related signature-based risk score and immunotherapy response.</w:t>
      </w:r>
      <w:r>
        <w:rPr>
          <w:rFonts w:ascii="Arial" w:hAnsi="Arial" w:cs="Arial"/>
          <w:sz w:val="24"/>
          <w:szCs w:val="24"/>
          <w:lang w:val="en-GB"/>
        </w:rPr>
        <w:t xml:space="preserve"> (B) </w:t>
      </w:r>
      <w:r w:rsidR="00926A2B" w:rsidRPr="00F83C46">
        <w:rPr>
          <w:rFonts w:ascii="Arial" w:hAnsi="Arial" w:cs="Arial"/>
          <w:sz w:val="24"/>
          <w:szCs w:val="24"/>
          <w:lang w:val="en-GB"/>
        </w:rPr>
        <w:t>A decision tree was constructed to improve risk stratification. (</w:t>
      </w:r>
      <w:r>
        <w:rPr>
          <w:rFonts w:ascii="Arial" w:hAnsi="Arial" w:cs="Arial"/>
          <w:sz w:val="24"/>
          <w:szCs w:val="24"/>
          <w:lang w:val="en-GB"/>
        </w:rPr>
        <w:t>C</w:t>
      </w:r>
      <w:r w:rsidR="00926A2B" w:rsidRPr="00F83C46">
        <w:rPr>
          <w:rFonts w:ascii="Arial" w:hAnsi="Arial" w:cs="Arial"/>
          <w:sz w:val="24"/>
          <w:szCs w:val="24"/>
          <w:lang w:val="en-GB"/>
        </w:rPr>
        <w:t xml:space="preserve">) OS differed markedly </w:t>
      </w:r>
      <w:r w:rsidR="00D25CC6" w:rsidRPr="00F83C46">
        <w:rPr>
          <w:rFonts w:ascii="Arial" w:hAnsi="Arial" w:cs="Arial"/>
          <w:sz w:val="24"/>
          <w:szCs w:val="24"/>
          <w:lang w:val="en-GB"/>
        </w:rPr>
        <w:t xml:space="preserve">among </w:t>
      </w:r>
      <w:r w:rsidR="00926A2B" w:rsidRPr="00F83C46">
        <w:rPr>
          <w:rFonts w:ascii="Arial" w:hAnsi="Arial" w:cs="Arial"/>
          <w:sz w:val="24"/>
          <w:szCs w:val="24"/>
          <w:lang w:val="en-GB"/>
        </w:rPr>
        <w:t xml:space="preserve">the three risk subgroups from </w:t>
      </w:r>
      <w:r w:rsidR="00926A2B" w:rsidRPr="00F83C46">
        <w:rPr>
          <w:rFonts w:ascii="Arial" w:eastAsia="宋体" w:hAnsi="Arial" w:cs="Arial"/>
          <w:sz w:val="24"/>
          <w:szCs w:val="24"/>
          <w:lang w:val="en-GB"/>
        </w:rPr>
        <w:t xml:space="preserve">the </w:t>
      </w:r>
      <w:r w:rsidR="00926A2B" w:rsidRPr="00F83C46">
        <w:rPr>
          <w:rFonts w:ascii="Arial" w:hAnsi="Arial" w:cs="Arial"/>
          <w:sz w:val="24"/>
          <w:szCs w:val="24"/>
          <w:lang w:val="en-GB"/>
        </w:rPr>
        <w:t>decision tree.</w:t>
      </w:r>
      <w:r w:rsidR="00926A2B" w:rsidRPr="00F83C46">
        <w:rPr>
          <w:rFonts w:ascii="Arial" w:eastAsia="宋体" w:hAnsi="Arial" w:cs="Arial"/>
          <w:sz w:val="24"/>
          <w:szCs w:val="24"/>
          <w:lang w:val="en-GB"/>
        </w:rPr>
        <w:t xml:space="preserve"> </w:t>
      </w:r>
      <w:r w:rsidR="00926A2B" w:rsidRPr="00F83C46">
        <w:rPr>
          <w:rFonts w:ascii="Arial" w:hAnsi="Arial" w:cs="Arial"/>
          <w:sz w:val="24"/>
          <w:szCs w:val="24"/>
          <w:lang w:val="en-GB"/>
        </w:rPr>
        <w:t>(</w:t>
      </w:r>
      <w:r>
        <w:rPr>
          <w:rFonts w:ascii="Arial" w:hAnsi="Arial" w:cs="Arial"/>
          <w:sz w:val="24"/>
          <w:szCs w:val="24"/>
          <w:lang w:val="en-GB"/>
        </w:rPr>
        <w:t>D</w:t>
      </w:r>
      <w:r w:rsidR="00926A2B" w:rsidRPr="00F83C46">
        <w:rPr>
          <w:rFonts w:ascii="Arial" w:hAnsi="Arial" w:cs="Arial"/>
          <w:sz w:val="24"/>
          <w:szCs w:val="24"/>
          <w:lang w:val="en-GB"/>
        </w:rPr>
        <w:t xml:space="preserve">) A nomogram was constructed to quantify risk assessment for individual patients. (E) Calibration analysis indicated a high accuracy </w:t>
      </w:r>
      <w:r w:rsidR="00D25CC6" w:rsidRPr="00F83C46">
        <w:rPr>
          <w:rFonts w:ascii="Arial" w:hAnsi="Arial" w:cs="Arial"/>
          <w:sz w:val="24"/>
          <w:szCs w:val="24"/>
          <w:lang w:val="en-GB"/>
        </w:rPr>
        <w:t>for</w:t>
      </w:r>
      <w:r w:rsidR="00926A2B" w:rsidRPr="00F83C46">
        <w:rPr>
          <w:rFonts w:ascii="Arial" w:hAnsi="Arial" w:cs="Arial"/>
          <w:sz w:val="24"/>
          <w:szCs w:val="24"/>
          <w:lang w:val="en-GB"/>
        </w:rPr>
        <w:t xml:space="preserve"> survival prediction. </w:t>
      </w:r>
    </w:p>
    <w:p w14:paraId="68942B9E" w14:textId="785909B3" w:rsidR="004F7CB3" w:rsidRPr="00F83C46" w:rsidRDefault="00926A2B" w:rsidP="00C43C7A">
      <w:pPr>
        <w:rPr>
          <w:rFonts w:ascii="Arial" w:hAnsi="Arial" w:cs="Arial"/>
          <w:sz w:val="24"/>
          <w:szCs w:val="24"/>
          <w:lang w:val="en-GB"/>
        </w:rPr>
      </w:pPr>
      <w:r w:rsidRPr="00F83C46">
        <w:rPr>
          <w:rFonts w:ascii="Arial" w:hAnsi="Arial" w:cs="Arial"/>
          <w:b/>
          <w:bCs/>
          <w:sz w:val="24"/>
          <w:szCs w:val="24"/>
          <w:lang w:val="en-GB"/>
        </w:rPr>
        <w:t xml:space="preserve">Fig. </w:t>
      </w:r>
      <w:r w:rsidR="00A723F5">
        <w:rPr>
          <w:rFonts w:ascii="Arial" w:hAnsi="Arial" w:cs="Arial"/>
          <w:b/>
          <w:bCs/>
          <w:sz w:val="24"/>
          <w:szCs w:val="24"/>
          <w:lang w:val="en-GB"/>
        </w:rPr>
        <w:t>9</w:t>
      </w:r>
      <w:r w:rsidR="00A723F5" w:rsidRPr="00F83C46">
        <w:rPr>
          <w:rFonts w:ascii="Arial" w:hAnsi="Arial" w:cs="Arial"/>
          <w:b/>
          <w:bCs/>
          <w:sz w:val="24"/>
          <w:szCs w:val="24"/>
          <w:lang w:val="en-GB"/>
        </w:rPr>
        <w:t xml:space="preserve"> </w:t>
      </w:r>
      <w:r w:rsidRPr="00F83C46">
        <w:rPr>
          <w:rFonts w:ascii="Arial" w:hAnsi="Arial" w:cs="Arial"/>
          <w:b/>
          <w:bCs/>
          <w:sz w:val="24"/>
          <w:szCs w:val="24"/>
          <w:lang w:val="en-GB"/>
        </w:rPr>
        <w:t>The gene signature serves as a valuable marker for poor survival in several external cohorts.</w:t>
      </w:r>
      <w:r w:rsidRPr="00F83C46">
        <w:rPr>
          <w:rFonts w:ascii="Arial" w:hAnsi="Arial" w:cs="Arial"/>
          <w:sz w:val="24"/>
          <w:szCs w:val="24"/>
          <w:lang w:val="en-GB"/>
        </w:rPr>
        <w:t xml:space="preserve"> </w:t>
      </w:r>
    </w:p>
    <w:p w14:paraId="6154CAB3" w14:textId="7884CDE6" w:rsidR="001E3853" w:rsidRDefault="00926A2B" w:rsidP="00C43C7A">
      <w:pPr>
        <w:rPr>
          <w:rFonts w:ascii="Arial" w:hAnsi="Arial" w:cs="Arial"/>
          <w:sz w:val="24"/>
          <w:szCs w:val="24"/>
          <w:lang w:val="en-GB"/>
        </w:rPr>
      </w:pPr>
      <w:r w:rsidRPr="00F83C46">
        <w:rPr>
          <w:rFonts w:ascii="Arial" w:hAnsi="Arial" w:cs="Arial"/>
          <w:sz w:val="24"/>
          <w:szCs w:val="24"/>
          <w:lang w:val="en-GB"/>
        </w:rPr>
        <w:t>(A</w:t>
      </w:r>
      <w:r w:rsidR="00A16240" w:rsidRPr="00F83C46">
        <w:rPr>
          <w:rFonts w:ascii="Arial" w:hAnsi="Arial" w:cs="Arial"/>
          <w:sz w:val="24"/>
          <w:szCs w:val="24"/>
          <w:lang w:val="en-GB"/>
        </w:rPr>
        <w:t>-E</w:t>
      </w:r>
      <w:r w:rsidRPr="00F83C46">
        <w:rPr>
          <w:rFonts w:ascii="Arial" w:hAnsi="Arial" w:cs="Arial"/>
          <w:sz w:val="24"/>
          <w:szCs w:val="24"/>
          <w:lang w:val="en-GB"/>
        </w:rPr>
        <w:t xml:space="preserve">) Patients with higher risk </w:t>
      </w:r>
      <w:r w:rsidRPr="00F83C46">
        <w:rPr>
          <w:rFonts w:ascii="Arial" w:eastAsia="宋体" w:hAnsi="Arial" w:cs="Arial"/>
          <w:sz w:val="24"/>
          <w:szCs w:val="24"/>
          <w:lang w:val="en-GB"/>
        </w:rPr>
        <w:t>scores</w:t>
      </w:r>
      <w:r w:rsidRPr="00F83C46">
        <w:rPr>
          <w:rFonts w:ascii="Arial" w:hAnsi="Arial" w:cs="Arial"/>
          <w:sz w:val="24"/>
          <w:szCs w:val="24"/>
          <w:lang w:val="en-GB"/>
        </w:rPr>
        <w:t xml:space="preserve"> exhibited worse overall survival among different external cohorts.</w:t>
      </w:r>
      <w:r w:rsidR="006E39B9">
        <w:rPr>
          <w:rFonts w:ascii="Arial" w:hAnsi="Arial" w:cs="Arial"/>
          <w:sz w:val="24"/>
          <w:szCs w:val="24"/>
          <w:lang w:val="en-GB"/>
        </w:rPr>
        <w:t xml:space="preserve"> </w:t>
      </w:r>
    </w:p>
    <w:p w14:paraId="38D07AC2" w14:textId="77777777" w:rsidR="008B4F38" w:rsidRDefault="008B4F38" w:rsidP="008B4F38">
      <w:pPr>
        <w:rPr>
          <w:rFonts w:ascii="Arial" w:hAnsi="Arial" w:cs="Arial"/>
          <w:sz w:val="24"/>
          <w:szCs w:val="24"/>
          <w:lang w:val="en-GB"/>
        </w:rPr>
      </w:pPr>
      <w:r>
        <w:rPr>
          <w:rFonts w:ascii="Arial" w:hAnsi="Arial" w:cs="Arial"/>
          <w:b/>
          <w:bCs/>
          <w:sz w:val="24"/>
          <w:szCs w:val="24"/>
          <w:lang w:val="en-GB"/>
        </w:rPr>
        <w:t>Supplementary Table 1</w:t>
      </w:r>
      <w:r>
        <w:rPr>
          <w:rFonts w:ascii="Arial" w:hAnsi="Arial" w:cs="Arial"/>
          <w:sz w:val="24"/>
          <w:szCs w:val="24"/>
          <w:lang w:val="en-GB"/>
        </w:rPr>
        <w:t>:</w:t>
      </w:r>
    </w:p>
    <w:p w14:paraId="310227EA" w14:textId="77777777" w:rsidR="008B4F38" w:rsidRDefault="008B4F38" w:rsidP="008B4F38">
      <w:pPr>
        <w:rPr>
          <w:rFonts w:ascii="Arial" w:hAnsi="Arial" w:cs="Arial"/>
          <w:sz w:val="24"/>
          <w:szCs w:val="24"/>
          <w:lang w:val="en-GB"/>
        </w:rPr>
      </w:pPr>
    </w:p>
    <w:tbl>
      <w:tblPr>
        <w:tblStyle w:val="20"/>
        <w:tblW w:w="0" w:type="auto"/>
        <w:shd w:val="clear" w:color="auto" w:fill="FFFFFF" w:themeFill="background1"/>
        <w:tblLook w:val="04A0" w:firstRow="1" w:lastRow="0" w:firstColumn="1" w:lastColumn="0" w:noHBand="0" w:noVBand="1"/>
      </w:tblPr>
      <w:tblGrid>
        <w:gridCol w:w="4261"/>
        <w:gridCol w:w="1252"/>
      </w:tblGrid>
      <w:tr w:rsidR="008B4F38" w:rsidRPr="0095259B" w14:paraId="3FCA9A2A" w14:textId="77777777" w:rsidTr="00652D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gridSpan w:val="2"/>
            <w:tcBorders>
              <w:bottom w:val="single" w:sz="12" w:space="0" w:color="auto"/>
            </w:tcBorders>
          </w:tcPr>
          <w:p w14:paraId="3AC201C4" w14:textId="77777777" w:rsidR="008B4F38" w:rsidRPr="0095259B" w:rsidRDefault="008B4F38" w:rsidP="00652D1D">
            <w:pPr>
              <w:jc w:val="center"/>
              <w:rPr>
                <w:rFonts w:ascii="Arial" w:hAnsi="Arial" w:cs="Arial"/>
                <w:szCs w:val="21"/>
              </w:rPr>
            </w:pPr>
            <w:r w:rsidRPr="0095259B">
              <w:rPr>
                <w:rFonts w:ascii="Arial" w:hAnsi="Arial" w:cs="Arial"/>
                <w:szCs w:val="21"/>
              </w:rPr>
              <w:t>Patient information</w:t>
            </w:r>
          </w:p>
        </w:tc>
      </w:tr>
      <w:tr w:rsidR="008B4F38" w:rsidRPr="0095259B" w14:paraId="3ED0FCF8" w14:textId="77777777" w:rsidTr="0065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single" w:sz="12" w:space="0" w:color="auto"/>
              <w:bottom w:val="single" w:sz="12" w:space="0" w:color="auto"/>
              <w:right w:val="nil"/>
            </w:tcBorders>
            <w:shd w:val="clear" w:color="auto" w:fill="FFFFFF" w:themeFill="background1"/>
          </w:tcPr>
          <w:p w14:paraId="5A890E8E" w14:textId="77777777" w:rsidR="008B4F38" w:rsidRPr="0095259B" w:rsidRDefault="008B4F38" w:rsidP="00652D1D">
            <w:pPr>
              <w:rPr>
                <w:rFonts w:ascii="Arial" w:hAnsi="Arial" w:cs="Arial"/>
                <w:b w:val="0"/>
                <w:bCs w:val="0"/>
                <w:szCs w:val="21"/>
              </w:rPr>
            </w:pPr>
            <w:r>
              <w:rPr>
                <w:rFonts w:ascii="Arial" w:hAnsi="Arial" w:cs="Arial" w:hint="eastAsia"/>
                <w:szCs w:val="21"/>
              </w:rPr>
              <w:t>V</w:t>
            </w:r>
            <w:r>
              <w:rPr>
                <w:rFonts w:ascii="Arial" w:hAnsi="Arial" w:cs="Arial"/>
                <w:szCs w:val="21"/>
              </w:rPr>
              <w:t xml:space="preserve">ariable </w:t>
            </w:r>
          </w:p>
        </w:tc>
        <w:tc>
          <w:tcPr>
            <w:tcW w:w="1252" w:type="dxa"/>
            <w:tcBorders>
              <w:top w:val="single" w:sz="12" w:space="0" w:color="auto"/>
              <w:left w:val="nil"/>
              <w:bottom w:val="single" w:sz="12" w:space="0" w:color="auto"/>
            </w:tcBorders>
            <w:shd w:val="clear" w:color="auto" w:fill="FFFFFF" w:themeFill="background1"/>
          </w:tcPr>
          <w:p w14:paraId="57003A7F" w14:textId="77777777" w:rsidR="008B4F38" w:rsidRPr="0095259B" w:rsidRDefault="008B4F38" w:rsidP="00652D1D">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szCs w:val="21"/>
              </w:rPr>
              <w:t>Number</w:t>
            </w:r>
          </w:p>
        </w:tc>
      </w:tr>
      <w:tr w:rsidR="008B4F38" w:rsidRPr="0095259B" w14:paraId="29B0E7E4" w14:textId="77777777" w:rsidTr="00652D1D">
        <w:tc>
          <w:tcPr>
            <w:cnfStyle w:val="001000000000" w:firstRow="0" w:lastRow="0" w:firstColumn="1" w:lastColumn="0" w:oddVBand="0" w:evenVBand="0" w:oddHBand="0" w:evenHBand="0" w:firstRowFirstColumn="0" w:firstRowLastColumn="0" w:lastRowFirstColumn="0" w:lastRowLastColumn="0"/>
            <w:tcW w:w="4261" w:type="dxa"/>
            <w:tcBorders>
              <w:top w:val="single" w:sz="12" w:space="0" w:color="auto"/>
              <w:bottom w:val="nil"/>
              <w:right w:val="nil"/>
            </w:tcBorders>
            <w:shd w:val="clear" w:color="auto" w:fill="FFFFFF" w:themeFill="background1"/>
          </w:tcPr>
          <w:p w14:paraId="72857FF8" w14:textId="77777777" w:rsidR="008B4F38" w:rsidRPr="0095259B" w:rsidRDefault="008B4F38" w:rsidP="00652D1D">
            <w:pPr>
              <w:rPr>
                <w:rFonts w:ascii="Arial" w:hAnsi="Arial" w:cs="Arial"/>
                <w:b w:val="0"/>
                <w:bCs w:val="0"/>
                <w:szCs w:val="21"/>
              </w:rPr>
            </w:pPr>
            <w:r w:rsidRPr="0095259B">
              <w:rPr>
                <w:rFonts w:ascii="Arial" w:hAnsi="Arial" w:cs="Arial"/>
                <w:b w:val="0"/>
                <w:bCs w:val="0"/>
                <w:szCs w:val="21"/>
              </w:rPr>
              <w:t>Gender (female/male)</w:t>
            </w:r>
          </w:p>
        </w:tc>
        <w:tc>
          <w:tcPr>
            <w:tcW w:w="1252" w:type="dxa"/>
            <w:tcBorders>
              <w:top w:val="single" w:sz="12" w:space="0" w:color="auto"/>
              <w:left w:val="nil"/>
              <w:bottom w:val="nil"/>
            </w:tcBorders>
            <w:shd w:val="clear" w:color="auto" w:fill="FFFFFF" w:themeFill="background1"/>
          </w:tcPr>
          <w:p w14:paraId="068B510C" w14:textId="77777777" w:rsidR="008B4F38" w:rsidRPr="0095259B" w:rsidRDefault="008B4F38" w:rsidP="00652D1D">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95259B">
              <w:rPr>
                <w:rFonts w:ascii="Arial" w:hAnsi="Arial" w:cs="Arial"/>
                <w:szCs w:val="21"/>
              </w:rPr>
              <w:t>166/142</w:t>
            </w:r>
          </w:p>
        </w:tc>
      </w:tr>
      <w:tr w:rsidR="008B4F38" w:rsidRPr="0095259B" w14:paraId="425E5E66" w14:textId="77777777" w:rsidTr="0065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il"/>
              <w:bottom w:val="nil"/>
              <w:right w:val="nil"/>
            </w:tcBorders>
            <w:shd w:val="clear" w:color="auto" w:fill="FFFFFF" w:themeFill="background1"/>
          </w:tcPr>
          <w:p w14:paraId="02BCE7F4" w14:textId="47352BBA" w:rsidR="008B4F38" w:rsidRPr="0095259B" w:rsidRDefault="00076F42" w:rsidP="00652D1D">
            <w:pPr>
              <w:rPr>
                <w:rFonts w:ascii="Arial" w:hAnsi="Arial" w:cs="Arial"/>
                <w:szCs w:val="21"/>
              </w:rPr>
            </w:pPr>
            <w:r>
              <w:rPr>
                <w:rFonts w:ascii="Arial" w:hAnsi="Arial" w:cs="Arial"/>
                <w:b w:val="0"/>
                <w:bCs w:val="0"/>
                <w:szCs w:val="21"/>
              </w:rPr>
              <w:t>TNM</w:t>
            </w:r>
            <w:r w:rsidR="008B4F38" w:rsidRPr="0095259B">
              <w:rPr>
                <w:rFonts w:ascii="Arial" w:hAnsi="Arial" w:cs="Arial"/>
                <w:b w:val="0"/>
                <w:bCs w:val="0"/>
                <w:szCs w:val="21"/>
              </w:rPr>
              <w:t xml:space="preserve"> Stage (stage I/stage II)</w:t>
            </w:r>
          </w:p>
        </w:tc>
        <w:tc>
          <w:tcPr>
            <w:tcW w:w="1252" w:type="dxa"/>
            <w:tcBorders>
              <w:top w:val="nil"/>
              <w:left w:val="nil"/>
              <w:bottom w:val="nil"/>
            </w:tcBorders>
            <w:shd w:val="clear" w:color="auto" w:fill="FFFFFF" w:themeFill="background1"/>
          </w:tcPr>
          <w:p w14:paraId="241B321E" w14:textId="77777777" w:rsidR="008B4F38" w:rsidRPr="0095259B" w:rsidRDefault="008B4F38" w:rsidP="00652D1D">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sidRPr="0095259B">
              <w:rPr>
                <w:rFonts w:ascii="Arial" w:hAnsi="Arial" w:cs="Arial"/>
                <w:szCs w:val="21"/>
              </w:rPr>
              <w:t>212/96</w:t>
            </w:r>
          </w:p>
        </w:tc>
      </w:tr>
      <w:tr w:rsidR="008B4F38" w:rsidRPr="0095259B" w14:paraId="14CD7B63" w14:textId="77777777" w:rsidTr="00652D1D">
        <w:tc>
          <w:tcPr>
            <w:cnfStyle w:val="001000000000" w:firstRow="0" w:lastRow="0" w:firstColumn="1" w:lastColumn="0" w:oddVBand="0" w:evenVBand="0" w:oddHBand="0" w:evenHBand="0" w:firstRowFirstColumn="0" w:firstRowLastColumn="0" w:lastRowFirstColumn="0" w:lastRowLastColumn="0"/>
            <w:tcW w:w="4261" w:type="dxa"/>
            <w:tcBorders>
              <w:top w:val="nil"/>
              <w:bottom w:val="nil"/>
              <w:right w:val="nil"/>
            </w:tcBorders>
            <w:shd w:val="clear" w:color="auto" w:fill="FFFFFF" w:themeFill="background1"/>
          </w:tcPr>
          <w:p w14:paraId="3958540F" w14:textId="77777777" w:rsidR="008B4F38" w:rsidRPr="0095259B" w:rsidRDefault="008B4F38" w:rsidP="00652D1D">
            <w:pPr>
              <w:rPr>
                <w:rFonts w:ascii="Arial" w:hAnsi="Arial" w:cs="Arial"/>
                <w:szCs w:val="21"/>
              </w:rPr>
            </w:pPr>
            <w:r w:rsidRPr="0095259B">
              <w:rPr>
                <w:rFonts w:ascii="Arial" w:hAnsi="Arial" w:cs="Arial"/>
                <w:b w:val="0"/>
                <w:bCs w:val="0"/>
                <w:szCs w:val="21"/>
              </w:rPr>
              <w:t>Lymph node metastasis (positive/negative)</w:t>
            </w:r>
          </w:p>
        </w:tc>
        <w:tc>
          <w:tcPr>
            <w:tcW w:w="1252" w:type="dxa"/>
            <w:tcBorders>
              <w:top w:val="nil"/>
              <w:left w:val="nil"/>
              <w:bottom w:val="nil"/>
            </w:tcBorders>
            <w:shd w:val="clear" w:color="auto" w:fill="FFFFFF" w:themeFill="background1"/>
          </w:tcPr>
          <w:p w14:paraId="0C9D9799" w14:textId="77777777" w:rsidR="008B4F38" w:rsidRPr="0095259B" w:rsidRDefault="008B4F38" w:rsidP="00652D1D">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95259B">
              <w:rPr>
                <w:rFonts w:ascii="Arial" w:hAnsi="Arial" w:cs="Arial"/>
                <w:szCs w:val="21"/>
              </w:rPr>
              <w:t>61/247</w:t>
            </w:r>
          </w:p>
        </w:tc>
      </w:tr>
      <w:tr w:rsidR="008B4F38" w:rsidRPr="0095259B" w14:paraId="1DCA8E12" w14:textId="77777777" w:rsidTr="0065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il"/>
              <w:bottom w:val="nil"/>
              <w:right w:val="nil"/>
            </w:tcBorders>
            <w:shd w:val="clear" w:color="auto" w:fill="FFFFFF" w:themeFill="background1"/>
          </w:tcPr>
          <w:p w14:paraId="2A033E49" w14:textId="77777777" w:rsidR="008B4F38" w:rsidRPr="0095259B" w:rsidRDefault="008B4F38" w:rsidP="00652D1D">
            <w:pPr>
              <w:rPr>
                <w:rFonts w:ascii="Arial" w:hAnsi="Arial" w:cs="Arial"/>
                <w:b w:val="0"/>
                <w:bCs w:val="0"/>
                <w:szCs w:val="21"/>
              </w:rPr>
            </w:pPr>
            <w:r w:rsidRPr="0095259B">
              <w:rPr>
                <w:rFonts w:ascii="Arial" w:hAnsi="Arial" w:cs="Arial"/>
                <w:b w:val="0"/>
                <w:bCs w:val="0"/>
                <w:szCs w:val="21"/>
              </w:rPr>
              <w:t>Age (&gt;60/&lt;=60/missing)</w:t>
            </w:r>
          </w:p>
        </w:tc>
        <w:tc>
          <w:tcPr>
            <w:tcW w:w="1252" w:type="dxa"/>
            <w:tcBorders>
              <w:top w:val="nil"/>
              <w:left w:val="nil"/>
              <w:bottom w:val="nil"/>
            </w:tcBorders>
            <w:shd w:val="clear" w:color="auto" w:fill="FFFFFF" w:themeFill="background1"/>
          </w:tcPr>
          <w:p w14:paraId="59794EA2" w14:textId="77777777" w:rsidR="008B4F38" w:rsidRPr="0095259B" w:rsidRDefault="008B4F38" w:rsidP="00652D1D">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sidRPr="0095259B">
              <w:rPr>
                <w:rFonts w:ascii="Arial" w:hAnsi="Arial" w:cs="Arial"/>
                <w:szCs w:val="21"/>
              </w:rPr>
              <w:t>221/78/9</w:t>
            </w:r>
          </w:p>
        </w:tc>
      </w:tr>
      <w:tr w:rsidR="008B4F38" w:rsidRPr="0095259B" w14:paraId="3CC09465" w14:textId="77777777" w:rsidTr="00652D1D">
        <w:tc>
          <w:tcPr>
            <w:cnfStyle w:val="001000000000" w:firstRow="0" w:lastRow="0" w:firstColumn="1" w:lastColumn="0" w:oddVBand="0" w:evenVBand="0" w:oddHBand="0" w:evenHBand="0" w:firstRowFirstColumn="0" w:firstRowLastColumn="0" w:lastRowFirstColumn="0" w:lastRowLastColumn="0"/>
            <w:tcW w:w="4261" w:type="dxa"/>
            <w:tcBorders>
              <w:top w:val="nil"/>
              <w:bottom w:val="nil"/>
              <w:right w:val="nil"/>
            </w:tcBorders>
            <w:shd w:val="clear" w:color="auto" w:fill="FFFFFF" w:themeFill="background1"/>
          </w:tcPr>
          <w:p w14:paraId="7EB90D9F" w14:textId="77777777" w:rsidR="008B4F38" w:rsidRPr="0095259B" w:rsidRDefault="008B4F38" w:rsidP="00652D1D">
            <w:pPr>
              <w:rPr>
                <w:rFonts w:ascii="Arial" w:hAnsi="Arial" w:cs="Arial"/>
                <w:szCs w:val="21"/>
              </w:rPr>
            </w:pPr>
            <w:r>
              <w:rPr>
                <w:rFonts w:ascii="Arial" w:hAnsi="Arial" w:cs="Arial"/>
                <w:b w:val="0"/>
                <w:bCs w:val="0"/>
                <w:szCs w:val="21"/>
              </w:rPr>
              <w:t>TP53</w:t>
            </w:r>
            <w:r w:rsidRPr="0095259B">
              <w:rPr>
                <w:rFonts w:ascii="Arial" w:hAnsi="Arial" w:cs="Arial"/>
                <w:b w:val="0"/>
                <w:bCs w:val="0"/>
                <w:szCs w:val="21"/>
              </w:rPr>
              <w:t xml:space="preserve"> </w:t>
            </w:r>
            <w:r>
              <w:rPr>
                <w:rFonts w:ascii="Arial" w:hAnsi="Arial" w:cs="Arial"/>
                <w:b w:val="0"/>
                <w:bCs w:val="0"/>
                <w:szCs w:val="21"/>
              </w:rPr>
              <w:t>Status</w:t>
            </w:r>
            <w:r w:rsidRPr="0095259B">
              <w:rPr>
                <w:rFonts w:ascii="Arial" w:hAnsi="Arial" w:cs="Arial"/>
                <w:b w:val="0"/>
                <w:bCs w:val="0"/>
                <w:szCs w:val="21"/>
              </w:rPr>
              <w:t xml:space="preserve"> (WT/MUT)</w:t>
            </w:r>
          </w:p>
        </w:tc>
        <w:tc>
          <w:tcPr>
            <w:tcW w:w="1252" w:type="dxa"/>
            <w:tcBorders>
              <w:top w:val="nil"/>
              <w:left w:val="nil"/>
              <w:bottom w:val="nil"/>
            </w:tcBorders>
            <w:shd w:val="clear" w:color="auto" w:fill="FFFFFF" w:themeFill="background1"/>
          </w:tcPr>
          <w:p w14:paraId="1C4C78BC" w14:textId="77777777" w:rsidR="008B4F38" w:rsidRPr="0095259B" w:rsidRDefault="008B4F38" w:rsidP="00652D1D">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95259B">
              <w:rPr>
                <w:rFonts w:ascii="Arial" w:hAnsi="Arial" w:cs="Arial"/>
                <w:szCs w:val="21"/>
              </w:rPr>
              <w:t>210/98</w:t>
            </w:r>
          </w:p>
        </w:tc>
      </w:tr>
      <w:tr w:rsidR="008B4F38" w:rsidRPr="0095259B" w14:paraId="4F93EFEC" w14:textId="77777777" w:rsidTr="0065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il"/>
              <w:bottom w:val="single" w:sz="12" w:space="0" w:color="auto"/>
              <w:right w:val="nil"/>
            </w:tcBorders>
            <w:shd w:val="clear" w:color="auto" w:fill="FFFFFF" w:themeFill="background1"/>
          </w:tcPr>
          <w:p w14:paraId="4309C733" w14:textId="77777777" w:rsidR="008B4F38" w:rsidRPr="0095259B" w:rsidRDefault="008B4F38" w:rsidP="00652D1D">
            <w:pPr>
              <w:rPr>
                <w:rFonts w:ascii="Arial" w:hAnsi="Arial" w:cs="Arial"/>
                <w:szCs w:val="21"/>
              </w:rPr>
            </w:pPr>
            <w:r w:rsidRPr="0095259B">
              <w:rPr>
                <w:rFonts w:ascii="Arial" w:hAnsi="Arial" w:cs="Arial"/>
                <w:b w:val="0"/>
                <w:bCs w:val="0"/>
                <w:szCs w:val="21"/>
              </w:rPr>
              <w:lastRenderedPageBreak/>
              <w:t>Smoking (no/yes/missing)</w:t>
            </w:r>
          </w:p>
        </w:tc>
        <w:tc>
          <w:tcPr>
            <w:tcW w:w="1252" w:type="dxa"/>
            <w:tcBorders>
              <w:top w:val="nil"/>
              <w:left w:val="nil"/>
              <w:bottom w:val="single" w:sz="12" w:space="0" w:color="auto"/>
            </w:tcBorders>
            <w:shd w:val="clear" w:color="auto" w:fill="FFFFFF" w:themeFill="background1"/>
          </w:tcPr>
          <w:p w14:paraId="692BC791" w14:textId="77777777" w:rsidR="008B4F38" w:rsidRPr="0095259B" w:rsidRDefault="008B4F38" w:rsidP="00652D1D">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sidRPr="0095259B">
              <w:rPr>
                <w:rFonts w:ascii="Arial" w:hAnsi="Arial" w:cs="Arial"/>
                <w:szCs w:val="21"/>
              </w:rPr>
              <w:t>15/93/200</w:t>
            </w:r>
          </w:p>
        </w:tc>
      </w:tr>
    </w:tbl>
    <w:p w14:paraId="69BB4A96" w14:textId="4C84EC0B" w:rsidR="008B4F38" w:rsidRDefault="008B4F38" w:rsidP="008B4F38"/>
    <w:p w14:paraId="2260467A" w14:textId="45991910" w:rsidR="005D3CA0" w:rsidRDefault="005D3CA0" w:rsidP="008B4F38"/>
    <w:p w14:paraId="49EA36D9" w14:textId="77777777" w:rsidR="00F23ED2" w:rsidRDefault="00F23ED2" w:rsidP="00F23ED2">
      <w:pPr>
        <w:rPr>
          <w:rFonts w:ascii="Arial" w:hAnsi="Arial" w:cs="Arial"/>
          <w:sz w:val="24"/>
          <w:szCs w:val="24"/>
          <w:lang w:val="en-GB"/>
        </w:rPr>
      </w:pPr>
      <w:r>
        <w:rPr>
          <w:rFonts w:ascii="Arial" w:hAnsi="Arial" w:cs="Arial"/>
          <w:b/>
          <w:bCs/>
          <w:sz w:val="24"/>
          <w:szCs w:val="24"/>
          <w:lang w:val="en-GB"/>
        </w:rPr>
        <w:t>Supplementary Table 2</w:t>
      </w:r>
      <w:r>
        <w:rPr>
          <w:rFonts w:ascii="Arial" w:hAnsi="Arial" w:cs="Arial"/>
          <w:sz w:val="24"/>
          <w:szCs w:val="24"/>
          <w:lang w:val="en-GB"/>
        </w:rPr>
        <w:t>:</w:t>
      </w:r>
    </w:p>
    <w:p w14:paraId="3946FD7F" w14:textId="77777777" w:rsidR="00F23ED2" w:rsidRPr="005B7B69" w:rsidRDefault="00F23ED2" w:rsidP="00F23ED2">
      <w:pPr>
        <w:rPr>
          <w:rFonts w:ascii="Arial" w:hAnsi="Arial" w:cs="Arial"/>
          <w:sz w:val="24"/>
          <w:szCs w:val="24"/>
          <w:lang w:val="en-GB"/>
        </w:rPr>
      </w:pPr>
    </w:p>
    <w:tbl>
      <w:tblPr>
        <w:tblStyle w:val="20"/>
        <w:tblW w:w="8647" w:type="dxa"/>
        <w:shd w:val="clear" w:color="auto" w:fill="FFFFFF" w:themeFill="background1"/>
        <w:tblLayout w:type="fixed"/>
        <w:tblLook w:val="04A0" w:firstRow="1" w:lastRow="0" w:firstColumn="1" w:lastColumn="0" w:noHBand="0" w:noVBand="1"/>
      </w:tblPr>
      <w:tblGrid>
        <w:gridCol w:w="2410"/>
        <w:gridCol w:w="709"/>
        <w:gridCol w:w="247"/>
        <w:gridCol w:w="1029"/>
        <w:gridCol w:w="117"/>
        <w:gridCol w:w="236"/>
        <w:gridCol w:w="781"/>
        <w:gridCol w:w="567"/>
        <w:gridCol w:w="141"/>
        <w:gridCol w:w="1096"/>
        <w:gridCol w:w="38"/>
        <w:gridCol w:w="943"/>
        <w:gridCol w:w="333"/>
      </w:tblGrid>
      <w:tr w:rsidR="00F23ED2" w:rsidRPr="0095259B" w14:paraId="106869AC" w14:textId="77777777" w:rsidTr="00231528">
        <w:trPr>
          <w:gridAfter w:val="1"/>
          <w:cnfStyle w:val="100000000000" w:firstRow="1" w:lastRow="0" w:firstColumn="0" w:lastColumn="0" w:oddVBand="0" w:evenVBand="0" w:oddHBand="0" w:evenHBand="0" w:firstRowFirstColumn="0" w:firstRowLastColumn="0" w:lastRowFirstColumn="0" w:lastRowLastColumn="0"/>
          <w:wAfter w:w="333" w:type="dxa"/>
        </w:trPr>
        <w:tc>
          <w:tcPr>
            <w:cnfStyle w:val="001000000000" w:firstRow="0" w:lastRow="0" w:firstColumn="1" w:lastColumn="0" w:oddVBand="0" w:evenVBand="0" w:oddHBand="0" w:evenHBand="0" w:firstRowFirstColumn="0" w:firstRowLastColumn="0" w:lastRowFirstColumn="0" w:lastRowLastColumn="0"/>
            <w:tcW w:w="3366" w:type="dxa"/>
            <w:gridSpan w:val="3"/>
            <w:tcBorders>
              <w:bottom w:val="single" w:sz="12" w:space="0" w:color="auto"/>
            </w:tcBorders>
          </w:tcPr>
          <w:p w14:paraId="7377C2BB" w14:textId="77777777" w:rsidR="00F23ED2" w:rsidRPr="0095259B" w:rsidRDefault="00F23ED2" w:rsidP="00231528">
            <w:pPr>
              <w:rPr>
                <w:rFonts w:ascii="Arial" w:hAnsi="Arial" w:cs="Arial"/>
                <w:szCs w:val="21"/>
              </w:rPr>
            </w:pPr>
            <w:r>
              <w:rPr>
                <w:rFonts w:ascii="Arial" w:hAnsi="Arial" w:cs="Arial" w:hint="eastAsia"/>
                <w:szCs w:val="21"/>
              </w:rPr>
              <w:t>S</w:t>
            </w:r>
            <w:r>
              <w:rPr>
                <w:rFonts w:ascii="Arial" w:hAnsi="Arial" w:cs="Arial"/>
                <w:szCs w:val="21"/>
              </w:rPr>
              <w:t>urvival analysis</w:t>
            </w:r>
          </w:p>
        </w:tc>
        <w:tc>
          <w:tcPr>
            <w:tcW w:w="1146" w:type="dxa"/>
            <w:gridSpan w:val="2"/>
            <w:tcBorders>
              <w:bottom w:val="single" w:sz="12" w:space="0" w:color="auto"/>
            </w:tcBorders>
          </w:tcPr>
          <w:p w14:paraId="547678B8" w14:textId="77777777" w:rsidR="00F23ED2" w:rsidRPr="0095259B" w:rsidRDefault="00F23ED2" w:rsidP="00231528">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1"/>
              </w:rPr>
            </w:pPr>
          </w:p>
        </w:tc>
        <w:tc>
          <w:tcPr>
            <w:tcW w:w="236" w:type="dxa"/>
            <w:tcBorders>
              <w:bottom w:val="single" w:sz="12" w:space="0" w:color="auto"/>
            </w:tcBorders>
          </w:tcPr>
          <w:p w14:paraId="6001FD30" w14:textId="77777777" w:rsidR="00F23ED2" w:rsidRPr="0095259B" w:rsidRDefault="00F23ED2" w:rsidP="00231528">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1"/>
              </w:rPr>
            </w:pPr>
          </w:p>
        </w:tc>
        <w:tc>
          <w:tcPr>
            <w:tcW w:w="1348" w:type="dxa"/>
            <w:gridSpan w:val="2"/>
            <w:tcBorders>
              <w:bottom w:val="single" w:sz="12" w:space="0" w:color="auto"/>
            </w:tcBorders>
          </w:tcPr>
          <w:p w14:paraId="475B0C2E" w14:textId="77777777" w:rsidR="00F23ED2" w:rsidRPr="0095259B" w:rsidRDefault="00F23ED2" w:rsidP="00231528">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1"/>
              </w:rPr>
            </w:pPr>
          </w:p>
        </w:tc>
        <w:tc>
          <w:tcPr>
            <w:tcW w:w="1237" w:type="dxa"/>
            <w:gridSpan w:val="2"/>
            <w:tcBorders>
              <w:bottom w:val="single" w:sz="12" w:space="0" w:color="auto"/>
            </w:tcBorders>
          </w:tcPr>
          <w:p w14:paraId="0AEF1037" w14:textId="77777777" w:rsidR="00F23ED2" w:rsidRPr="0095259B" w:rsidRDefault="00F23ED2" w:rsidP="00231528">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1"/>
              </w:rPr>
            </w:pPr>
          </w:p>
        </w:tc>
        <w:tc>
          <w:tcPr>
            <w:tcW w:w="981" w:type="dxa"/>
            <w:gridSpan w:val="2"/>
            <w:tcBorders>
              <w:bottom w:val="single" w:sz="12" w:space="0" w:color="auto"/>
            </w:tcBorders>
          </w:tcPr>
          <w:p w14:paraId="104DB6BF" w14:textId="77777777" w:rsidR="00F23ED2" w:rsidRPr="0095259B" w:rsidRDefault="00F23ED2" w:rsidP="00231528">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1"/>
              </w:rPr>
            </w:pPr>
          </w:p>
        </w:tc>
      </w:tr>
      <w:tr w:rsidR="00F23ED2" w14:paraId="50D09AB3" w14:textId="77777777" w:rsidTr="00231528">
        <w:trPr>
          <w:gridAfter w:val="1"/>
          <w:cnfStyle w:val="000000100000" w:firstRow="0" w:lastRow="0" w:firstColumn="0" w:lastColumn="0" w:oddVBand="0" w:evenVBand="0" w:oddHBand="1" w:evenHBand="0" w:firstRowFirstColumn="0" w:firstRowLastColumn="0" w:lastRowFirstColumn="0" w:lastRowLastColumn="0"/>
          <w:wAfter w:w="333" w:type="dxa"/>
        </w:trPr>
        <w:tc>
          <w:tcPr>
            <w:cnfStyle w:val="001000000000" w:firstRow="0" w:lastRow="0" w:firstColumn="1" w:lastColumn="0" w:oddVBand="0" w:evenVBand="0" w:oddHBand="0" w:evenHBand="0" w:firstRowFirstColumn="0" w:firstRowLastColumn="0" w:lastRowFirstColumn="0" w:lastRowLastColumn="0"/>
            <w:tcW w:w="2410" w:type="dxa"/>
            <w:tcBorders>
              <w:top w:val="single" w:sz="12" w:space="0" w:color="auto"/>
              <w:bottom w:val="single" w:sz="12" w:space="0" w:color="auto"/>
              <w:right w:val="nil"/>
            </w:tcBorders>
            <w:shd w:val="clear" w:color="auto" w:fill="FFFFFF" w:themeFill="background1"/>
          </w:tcPr>
          <w:p w14:paraId="10AAAC60" w14:textId="77777777" w:rsidR="00F23ED2" w:rsidRDefault="00F23ED2" w:rsidP="00231528">
            <w:pPr>
              <w:rPr>
                <w:rFonts w:ascii="Arial" w:hAnsi="Arial" w:cs="Arial"/>
                <w:szCs w:val="21"/>
              </w:rPr>
            </w:pPr>
          </w:p>
        </w:tc>
        <w:tc>
          <w:tcPr>
            <w:tcW w:w="3119" w:type="dxa"/>
            <w:gridSpan w:val="6"/>
            <w:tcBorders>
              <w:top w:val="single" w:sz="12" w:space="0" w:color="auto"/>
              <w:left w:val="nil"/>
              <w:bottom w:val="single" w:sz="12" w:space="0" w:color="auto"/>
              <w:right w:val="nil"/>
            </w:tcBorders>
            <w:shd w:val="clear" w:color="auto" w:fill="FFFFFF" w:themeFill="background1"/>
          </w:tcPr>
          <w:p w14:paraId="7EA39DE3"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U</w:t>
            </w:r>
            <w:r>
              <w:rPr>
                <w:rFonts w:ascii="Arial" w:hAnsi="Arial" w:cs="Arial"/>
                <w:szCs w:val="21"/>
              </w:rPr>
              <w:t>nivariate Cox analysis</w:t>
            </w:r>
          </w:p>
        </w:tc>
        <w:tc>
          <w:tcPr>
            <w:tcW w:w="2785" w:type="dxa"/>
            <w:gridSpan w:val="5"/>
            <w:tcBorders>
              <w:top w:val="single" w:sz="12" w:space="0" w:color="auto"/>
              <w:left w:val="nil"/>
              <w:bottom w:val="single" w:sz="12" w:space="0" w:color="auto"/>
            </w:tcBorders>
            <w:shd w:val="clear" w:color="auto" w:fill="FFFFFF" w:themeFill="background1"/>
          </w:tcPr>
          <w:p w14:paraId="65ED0473"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proofErr w:type="spellStart"/>
            <w:r>
              <w:rPr>
                <w:rFonts w:ascii="Arial" w:hAnsi="Arial" w:cs="Arial" w:hint="eastAsia"/>
                <w:szCs w:val="21"/>
              </w:rPr>
              <w:t>M</w:t>
            </w:r>
            <w:r>
              <w:rPr>
                <w:rFonts w:ascii="Arial" w:hAnsi="Arial" w:cs="Arial"/>
                <w:szCs w:val="21"/>
              </w:rPr>
              <w:t>ulvariate</w:t>
            </w:r>
            <w:proofErr w:type="spellEnd"/>
            <w:r>
              <w:rPr>
                <w:rFonts w:ascii="Arial" w:hAnsi="Arial" w:cs="Arial"/>
                <w:szCs w:val="21"/>
              </w:rPr>
              <w:t xml:space="preserve"> Cox analysis</w:t>
            </w:r>
          </w:p>
        </w:tc>
      </w:tr>
      <w:tr w:rsidR="00F23ED2" w14:paraId="2A5F8D9B" w14:textId="77777777" w:rsidTr="00231528">
        <w:tc>
          <w:tcPr>
            <w:cnfStyle w:val="001000000000" w:firstRow="0" w:lastRow="0" w:firstColumn="1" w:lastColumn="0" w:oddVBand="0" w:evenVBand="0" w:oddHBand="0" w:evenHBand="0" w:firstRowFirstColumn="0" w:firstRowLastColumn="0" w:lastRowFirstColumn="0" w:lastRowLastColumn="0"/>
            <w:tcW w:w="2410" w:type="dxa"/>
            <w:tcBorders>
              <w:top w:val="single" w:sz="12" w:space="0" w:color="auto"/>
              <w:bottom w:val="single" w:sz="12" w:space="0" w:color="auto"/>
              <w:right w:val="nil"/>
            </w:tcBorders>
            <w:shd w:val="clear" w:color="auto" w:fill="FFFFFF" w:themeFill="background1"/>
          </w:tcPr>
          <w:p w14:paraId="6DCBA695" w14:textId="77777777" w:rsidR="00F23ED2" w:rsidRPr="0095259B" w:rsidRDefault="00F23ED2" w:rsidP="00231528">
            <w:pPr>
              <w:rPr>
                <w:rFonts w:ascii="Arial" w:hAnsi="Arial" w:cs="Arial"/>
                <w:b w:val="0"/>
                <w:bCs w:val="0"/>
                <w:szCs w:val="21"/>
              </w:rPr>
            </w:pPr>
            <w:r>
              <w:rPr>
                <w:rFonts w:ascii="Arial" w:hAnsi="Arial" w:cs="Arial" w:hint="eastAsia"/>
                <w:szCs w:val="21"/>
              </w:rPr>
              <w:t>V</w:t>
            </w:r>
            <w:r>
              <w:rPr>
                <w:rFonts w:ascii="Arial" w:hAnsi="Arial" w:cs="Arial"/>
                <w:szCs w:val="21"/>
              </w:rPr>
              <w:t xml:space="preserve">ariable </w:t>
            </w:r>
          </w:p>
        </w:tc>
        <w:tc>
          <w:tcPr>
            <w:tcW w:w="709" w:type="dxa"/>
            <w:tcBorders>
              <w:top w:val="single" w:sz="12" w:space="0" w:color="auto"/>
              <w:left w:val="nil"/>
              <w:bottom w:val="single" w:sz="12" w:space="0" w:color="auto"/>
              <w:right w:val="nil"/>
            </w:tcBorders>
            <w:shd w:val="clear" w:color="auto" w:fill="FFFFFF" w:themeFill="background1"/>
          </w:tcPr>
          <w:p w14:paraId="38C28F00" w14:textId="77777777" w:rsidR="00F23ED2" w:rsidRPr="0095259B"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H</w:t>
            </w:r>
            <w:r>
              <w:rPr>
                <w:rFonts w:ascii="Arial" w:hAnsi="Arial" w:cs="Arial"/>
                <w:szCs w:val="21"/>
              </w:rPr>
              <w:t>R</w:t>
            </w:r>
          </w:p>
        </w:tc>
        <w:tc>
          <w:tcPr>
            <w:tcW w:w="1276" w:type="dxa"/>
            <w:gridSpan w:val="2"/>
            <w:tcBorders>
              <w:top w:val="single" w:sz="12" w:space="0" w:color="auto"/>
              <w:left w:val="nil"/>
              <w:bottom w:val="single" w:sz="12" w:space="0" w:color="auto"/>
              <w:right w:val="nil"/>
            </w:tcBorders>
            <w:shd w:val="clear" w:color="auto" w:fill="FFFFFF" w:themeFill="background1"/>
          </w:tcPr>
          <w:p w14:paraId="1AF4C9FF"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5D3CA0">
              <w:rPr>
                <w:rFonts w:ascii="Arial" w:hAnsi="Arial" w:cs="Arial"/>
                <w:szCs w:val="21"/>
              </w:rPr>
              <w:t xml:space="preserve">95% </w:t>
            </w:r>
            <w:r>
              <w:rPr>
                <w:rFonts w:ascii="Arial" w:hAnsi="Arial" w:cs="Arial"/>
                <w:szCs w:val="21"/>
              </w:rPr>
              <w:t>CI</w:t>
            </w:r>
          </w:p>
        </w:tc>
        <w:tc>
          <w:tcPr>
            <w:tcW w:w="1134" w:type="dxa"/>
            <w:gridSpan w:val="3"/>
            <w:tcBorders>
              <w:top w:val="single" w:sz="12" w:space="0" w:color="auto"/>
              <w:left w:val="nil"/>
              <w:bottom w:val="single" w:sz="12" w:space="0" w:color="auto"/>
              <w:right w:val="nil"/>
            </w:tcBorders>
            <w:shd w:val="clear" w:color="auto" w:fill="FFFFFF" w:themeFill="background1"/>
          </w:tcPr>
          <w:p w14:paraId="3BF5EAB1"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P</w:t>
            </w:r>
            <w:r>
              <w:rPr>
                <w:rFonts w:ascii="Arial" w:hAnsi="Arial" w:cs="Arial"/>
                <w:szCs w:val="21"/>
              </w:rPr>
              <w:t>-value</w:t>
            </w:r>
          </w:p>
        </w:tc>
        <w:tc>
          <w:tcPr>
            <w:tcW w:w="708" w:type="dxa"/>
            <w:gridSpan w:val="2"/>
            <w:tcBorders>
              <w:top w:val="single" w:sz="12" w:space="0" w:color="auto"/>
              <w:left w:val="nil"/>
              <w:bottom w:val="single" w:sz="12" w:space="0" w:color="auto"/>
              <w:right w:val="nil"/>
            </w:tcBorders>
            <w:shd w:val="clear" w:color="auto" w:fill="FFFFFF" w:themeFill="background1"/>
          </w:tcPr>
          <w:p w14:paraId="643964D6"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H</w:t>
            </w:r>
            <w:r>
              <w:rPr>
                <w:rFonts w:ascii="Arial" w:hAnsi="Arial" w:cs="Arial"/>
                <w:szCs w:val="21"/>
              </w:rPr>
              <w:t>R</w:t>
            </w:r>
          </w:p>
        </w:tc>
        <w:tc>
          <w:tcPr>
            <w:tcW w:w="1134" w:type="dxa"/>
            <w:gridSpan w:val="2"/>
            <w:tcBorders>
              <w:top w:val="single" w:sz="12" w:space="0" w:color="auto"/>
              <w:left w:val="nil"/>
              <w:bottom w:val="single" w:sz="12" w:space="0" w:color="auto"/>
              <w:right w:val="nil"/>
            </w:tcBorders>
            <w:shd w:val="clear" w:color="auto" w:fill="FFFFFF" w:themeFill="background1"/>
          </w:tcPr>
          <w:p w14:paraId="08DE4C19"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5D3CA0">
              <w:rPr>
                <w:rFonts w:ascii="Arial" w:hAnsi="Arial" w:cs="Arial"/>
                <w:szCs w:val="21"/>
              </w:rPr>
              <w:t xml:space="preserve">95% </w:t>
            </w:r>
            <w:r>
              <w:rPr>
                <w:rFonts w:ascii="Arial" w:hAnsi="Arial" w:cs="Arial"/>
                <w:szCs w:val="21"/>
              </w:rPr>
              <w:t>CI</w:t>
            </w:r>
          </w:p>
        </w:tc>
        <w:tc>
          <w:tcPr>
            <w:tcW w:w="1276" w:type="dxa"/>
            <w:gridSpan w:val="2"/>
            <w:tcBorders>
              <w:top w:val="single" w:sz="12" w:space="0" w:color="auto"/>
              <w:left w:val="nil"/>
              <w:bottom w:val="single" w:sz="12" w:space="0" w:color="auto"/>
            </w:tcBorders>
            <w:shd w:val="clear" w:color="auto" w:fill="FFFFFF" w:themeFill="background1"/>
          </w:tcPr>
          <w:p w14:paraId="531A1334"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P</w:t>
            </w:r>
            <w:r>
              <w:rPr>
                <w:rFonts w:ascii="Arial" w:hAnsi="Arial" w:cs="Arial"/>
                <w:szCs w:val="21"/>
              </w:rPr>
              <w:t>-value</w:t>
            </w:r>
          </w:p>
        </w:tc>
      </w:tr>
      <w:tr w:rsidR="00F23ED2" w:rsidRPr="0095259B" w14:paraId="0A7C8EE0" w14:textId="77777777" w:rsidTr="0023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12" w:space="0" w:color="auto"/>
              <w:bottom w:val="nil"/>
              <w:right w:val="nil"/>
            </w:tcBorders>
            <w:shd w:val="clear" w:color="auto" w:fill="FFFFFF" w:themeFill="background1"/>
          </w:tcPr>
          <w:p w14:paraId="2EC83360" w14:textId="77777777" w:rsidR="00F23ED2" w:rsidRDefault="00F23ED2" w:rsidP="00231528">
            <w:pPr>
              <w:rPr>
                <w:rFonts w:ascii="Arial" w:hAnsi="Arial" w:cs="Arial"/>
                <w:szCs w:val="21"/>
              </w:rPr>
            </w:pPr>
            <w:r w:rsidRPr="0095259B">
              <w:rPr>
                <w:rFonts w:ascii="Arial" w:hAnsi="Arial" w:cs="Arial"/>
                <w:b w:val="0"/>
                <w:bCs w:val="0"/>
                <w:szCs w:val="21"/>
              </w:rPr>
              <w:t xml:space="preserve">Gender </w:t>
            </w:r>
          </w:p>
          <w:p w14:paraId="5167A8F7" w14:textId="77777777" w:rsidR="00F23ED2" w:rsidRPr="0095259B" w:rsidRDefault="00F23ED2" w:rsidP="00231528">
            <w:pPr>
              <w:rPr>
                <w:rFonts w:ascii="Arial" w:hAnsi="Arial" w:cs="Arial"/>
                <w:b w:val="0"/>
                <w:bCs w:val="0"/>
                <w:szCs w:val="21"/>
              </w:rPr>
            </w:pPr>
            <w:r w:rsidRPr="0095259B">
              <w:rPr>
                <w:rFonts w:ascii="Arial" w:hAnsi="Arial" w:cs="Arial"/>
                <w:b w:val="0"/>
                <w:bCs w:val="0"/>
                <w:szCs w:val="21"/>
              </w:rPr>
              <w:t>(female</w:t>
            </w:r>
            <w:r>
              <w:rPr>
                <w:rFonts w:ascii="Arial" w:hAnsi="Arial" w:cs="Arial"/>
                <w:b w:val="0"/>
                <w:bCs w:val="0"/>
                <w:szCs w:val="21"/>
              </w:rPr>
              <w:t xml:space="preserve"> vs </w:t>
            </w:r>
            <w:r w:rsidRPr="0095259B">
              <w:rPr>
                <w:rFonts w:ascii="Arial" w:hAnsi="Arial" w:cs="Arial"/>
                <w:b w:val="0"/>
                <w:bCs w:val="0"/>
                <w:szCs w:val="21"/>
              </w:rPr>
              <w:t>male)</w:t>
            </w:r>
          </w:p>
        </w:tc>
        <w:tc>
          <w:tcPr>
            <w:tcW w:w="709" w:type="dxa"/>
            <w:tcBorders>
              <w:top w:val="single" w:sz="12" w:space="0" w:color="auto"/>
              <w:left w:val="nil"/>
              <w:bottom w:val="nil"/>
              <w:right w:val="nil"/>
            </w:tcBorders>
            <w:shd w:val="clear" w:color="auto" w:fill="FFFFFF" w:themeFill="background1"/>
          </w:tcPr>
          <w:p w14:paraId="10C9E353"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.04</w:t>
            </w:r>
          </w:p>
        </w:tc>
        <w:tc>
          <w:tcPr>
            <w:tcW w:w="1276" w:type="dxa"/>
            <w:gridSpan w:val="2"/>
            <w:tcBorders>
              <w:top w:val="single" w:sz="12" w:space="0" w:color="auto"/>
              <w:left w:val="nil"/>
              <w:bottom w:val="nil"/>
              <w:right w:val="nil"/>
            </w:tcBorders>
            <w:shd w:val="clear" w:color="auto" w:fill="FFFFFF" w:themeFill="background1"/>
          </w:tcPr>
          <w:p w14:paraId="2C22A798"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.69-1.58</w:t>
            </w:r>
          </w:p>
        </w:tc>
        <w:tc>
          <w:tcPr>
            <w:tcW w:w="1134" w:type="dxa"/>
            <w:gridSpan w:val="3"/>
            <w:tcBorders>
              <w:top w:val="single" w:sz="12" w:space="0" w:color="auto"/>
              <w:left w:val="nil"/>
              <w:bottom w:val="nil"/>
              <w:right w:val="single" w:sz="12" w:space="0" w:color="auto"/>
            </w:tcBorders>
            <w:shd w:val="clear" w:color="auto" w:fill="FFFFFF" w:themeFill="background1"/>
          </w:tcPr>
          <w:p w14:paraId="48842DC9"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.85</w:t>
            </w:r>
          </w:p>
        </w:tc>
        <w:tc>
          <w:tcPr>
            <w:tcW w:w="708" w:type="dxa"/>
            <w:gridSpan w:val="2"/>
            <w:tcBorders>
              <w:top w:val="single" w:sz="12" w:space="0" w:color="auto"/>
              <w:left w:val="single" w:sz="12" w:space="0" w:color="auto"/>
              <w:bottom w:val="nil"/>
              <w:right w:val="nil"/>
            </w:tcBorders>
            <w:shd w:val="clear" w:color="auto" w:fill="FFFFFF" w:themeFill="background1"/>
          </w:tcPr>
          <w:p w14:paraId="11DD615F"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p>
        </w:tc>
        <w:tc>
          <w:tcPr>
            <w:tcW w:w="1134" w:type="dxa"/>
            <w:gridSpan w:val="2"/>
            <w:tcBorders>
              <w:top w:val="single" w:sz="12" w:space="0" w:color="auto"/>
              <w:left w:val="nil"/>
              <w:bottom w:val="nil"/>
              <w:right w:val="nil"/>
            </w:tcBorders>
            <w:shd w:val="clear" w:color="auto" w:fill="FFFFFF" w:themeFill="background1"/>
          </w:tcPr>
          <w:p w14:paraId="74ED3BD2"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p>
        </w:tc>
        <w:tc>
          <w:tcPr>
            <w:tcW w:w="1276" w:type="dxa"/>
            <w:gridSpan w:val="2"/>
            <w:tcBorders>
              <w:top w:val="single" w:sz="12" w:space="0" w:color="auto"/>
              <w:left w:val="nil"/>
              <w:bottom w:val="nil"/>
            </w:tcBorders>
            <w:shd w:val="clear" w:color="auto" w:fill="FFFFFF" w:themeFill="background1"/>
          </w:tcPr>
          <w:p w14:paraId="4C1CDDFA"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p>
        </w:tc>
      </w:tr>
      <w:tr w:rsidR="00F23ED2" w:rsidRPr="0095259B" w14:paraId="1D2A5025" w14:textId="77777777" w:rsidTr="00231528">
        <w:tc>
          <w:tcPr>
            <w:cnfStyle w:val="001000000000" w:firstRow="0" w:lastRow="0" w:firstColumn="1" w:lastColumn="0" w:oddVBand="0" w:evenVBand="0" w:oddHBand="0" w:evenHBand="0" w:firstRowFirstColumn="0" w:firstRowLastColumn="0" w:lastRowFirstColumn="0" w:lastRowLastColumn="0"/>
            <w:tcW w:w="2410" w:type="dxa"/>
            <w:tcBorders>
              <w:top w:val="nil"/>
              <w:bottom w:val="nil"/>
              <w:right w:val="nil"/>
            </w:tcBorders>
            <w:shd w:val="clear" w:color="auto" w:fill="FFFFFF" w:themeFill="background1"/>
          </w:tcPr>
          <w:p w14:paraId="6781CCB0" w14:textId="77777777" w:rsidR="00F23ED2" w:rsidRDefault="00F23ED2" w:rsidP="00231528">
            <w:pPr>
              <w:rPr>
                <w:rFonts w:ascii="Arial" w:hAnsi="Arial" w:cs="Arial"/>
                <w:szCs w:val="21"/>
              </w:rPr>
            </w:pPr>
            <w:r>
              <w:rPr>
                <w:rFonts w:ascii="Arial" w:hAnsi="Arial" w:cs="Arial"/>
                <w:b w:val="0"/>
                <w:bCs w:val="0"/>
                <w:szCs w:val="21"/>
              </w:rPr>
              <w:t>KRAS Status</w:t>
            </w:r>
            <w:r w:rsidRPr="0095259B">
              <w:rPr>
                <w:rFonts w:ascii="Arial" w:hAnsi="Arial" w:cs="Arial"/>
                <w:b w:val="0"/>
                <w:bCs w:val="0"/>
                <w:szCs w:val="21"/>
              </w:rPr>
              <w:t xml:space="preserve"> </w:t>
            </w:r>
          </w:p>
          <w:p w14:paraId="7996674E" w14:textId="77777777" w:rsidR="00F23ED2" w:rsidRPr="0095259B" w:rsidRDefault="00F23ED2" w:rsidP="00231528">
            <w:pPr>
              <w:rPr>
                <w:rFonts w:ascii="Arial" w:hAnsi="Arial" w:cs="Arial"/>
                <w:szCs w:val="21"/>
              </w:rPr>
            </w:pPr>
            <w:r w:rsidRPr="0095259B">
              <w:rPr>
                <w:rFonts w:ascii="Arial" w:hAnsi="Arial" w:cs="Arial"/>
                <w:b w:val="0"/>
                <w:bCs w:val="0"/>
                <w:szCs w:val="21"/>
              </w:rPr>
              <w:t>(WT</w:t>
            </w:r>
            <w:r>
              <w:rPr>
                <w:rFonts w:ascii="Arial" w:hAnsi="Arial" w:cs="Arial"/>
                <w:b w:val="0"/>
                <w:bCs w:val="0"/>
                <w:szCs w:val="21"/>
              </w:rPr>
              <w:t xml:space="preserve"> vs </w:t>
            </w:r>
            <w:r w:rsidRPr="0095259B">
              <w:rPr>
                <w:rFonts w:ascii="Arial" w:hAnsi="Arial" w:cs="Arial"/>
                <w:b w:val="0"/>
                <w:bCs w:val="0"/>
                <w:szCs w:val="21"/>
              </w:rPr>
              <w:t>MUT)</w:t>
            </w:r>
          </w:p>
        </w:tc>
        <w:tc>
          <w:tcPr>
            <w:tcW w:w="709" w:type="dxa"/>
            <w:tcBorders>
              <w:top w:val="nil"/>
              <w:left w:val="nil"/>
              <w:bottom w:val="nil"/>
              <w:right w:val="nil"/>
            </w:tcBorders>
            <w:shd w:val="clear" w:color="auto" w:fill="FFFFFF" w:themeFill="background1"/>
          </w:tcPr>
          <w:p w14:paraId="1A0626B5" w14:textId="77777777" w:rsidR="00F23ED2" w:rsidRPr="0095259B"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.01</w:t>
            </w:r>
          </w:p>
        </w:tc>
        <w:tc>
          <w:tcPr>
            <w:tcW w:w="1276" w:type="dxa"/>
            <w:gridSpan w:val="2"/>
            <w:tcBorders>
              <w:top w:val="nil"/>
              <w:left w:val="nil"/>
              <w:bottom w:val="nil"/>
              <w:right w:val="nil"/>
            </w:tcBorders>
            <w:shd w:val="clear" w:color="auto" w:fill="FFFFFF" w:themeFill="background1"/>
          </w:tcPr>
          <w:p w14:paraId="79079B88" w14:textId="77777777" w:rsidR="00F23ED2" w:rsidRPr="0095259B"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.62-1.56</w:t>
            </w:r>
          </w:p>
        </w:tc>
        <w:tc>
          <w:tcPr>
            <w:tcW w:w="1134" w:type="dxa"/>
            <w:gridSpan w:val="3"/>
            <w:tcBorders>
              <w:top w:val="nil"/>
              <w:left w:val="nil"/>
              <w:bottom w:val="nil"/>
              <w:right w:val="single" w:sz="12" w:space="0" w:color="auto"/>
            </w:tcBorders>
            <w:shd w:val="clear" w:color="auto" w:fill="FFFFFF" w:themeFill="background1"/>
          </w:tcPr>
          <w:p w14:paraId="33E6AFEF" w14:textId="77777777" w:rsidR="00F23ED2" w:rsidRPr="0095259B"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.95</w:t>
            </w:r>
          </w:p>
        </w:tc>
        <w:tc>
          <w:tcPr>
            <w:tcW w:w="708" w:type="dxa"/>
            <w:gridSpan w:val="2"/>
            <w:tcBorders>
              <w:top w:val="nil"/>
              <w:left w:val="single" w:sz="12" w:space="0" w:color="auto"/>
              <w:bottom w:val="nil"/>
              <w:right w:val="nil"/>
            </w:tcBorders>
            <w:shd w:val="clear" w:color="auto" w:fill="FFFFFF" w:themeFill="background1"/>
          </w:tcPr>
          <w:p w14:paraId="33F843A9"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p>
        </w:tc>
        <w:tc>
          <w:tcPr>
            <w:tcW w:w="1134" w:type="dxa"/>
            <w:gridSpan w:val="2"/>
            <w:tcBorders>
              <w:top w:val="nil"/>
              <w:left w:val="nil"/>
              <w:bottom w:val="nil"/>
              <w:right w:val="nil"/>
            </w:tcBorders>
            <w:shd w:val="clear" w:color="auto" w:fill="FFFFFF" w:themeFill="background1"/>
          </w:tcPr>
          <w:p w14:paraId="56486A15"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p>
        </w:tc>
        <w:tc>
          <w:tcPr>
            <w:tcW w:w="1276" w:type="dxa"/>
            <w:gridSpan w:val="2"/>
            <w:tcBorders>
              <w:top w:val="nil"/>
              <w:left w:val="nil"/>
              <w:bottom w:val="nil"/>
            </w:tcBorders>
            <w:shd w:val="clear" w:color="auto" w:fill="FFFFFF" w:themeFill="background1"/>
          </w:tcPr>
          <w:p w14:paraId="331A909B"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p>
        </w:tc>
      </w:tr>
      <w:tr w:rsidR="00F23ED2" w:rsidRPr="0095259B" w14:paraId="4FBB4B83" w14:textId="77777777" w:rsidTr="0023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right w:val="nil"/>
            </w:tcBorders>
            <w:shd w:val="clear" w:color="auto" w:fill="FFFFFF" w:themeFill="background1"/>
          </w:tcPr>
          <w:p w14:paraId="7B515A01" w14:textId="77777777" w:rsidR="00F23ED2" w:rsidRDefault="00F23ED2" w:rsidP="00231528">
            <w:pPr>
              <w:rPr>
                <w:rFonts w:ascii="Arial" w:hAnsi="Arial" w:cs="Arial"/>
                <w:szCs w:val="21"/>
              </w:rPr>
            </w:pPr>
            <w:r>
              <w:rPr>
                <w:rFonts w:ascii="Arial" w:hAnsi="Arial" w:cs="Arial"/>
                <w:b w:val="0"/>
                <w:bCs w:val="0"/>
                <w:szCs w:val="21"/>
              </w:rPr>
              <w:t>EGFR Status</w:t>
            </w:r>
            <w:r w:rsidRPr="0095259B">
              <w:rPr>
                <w:rFonts w:ascii="Arial" w:hAnsi="Arial" w:cs="Arial"/>
                <w:b w:val="0"/>
                <w:bCs w:val="0"/>
                <w:szCs w:val="21"/>
              </w:rPr>
              <w:t xml:space="preserve"> </w:t>
            </w:r>
          </w:p>
          <w:p w14:paraId="7AF6CBE6" w14:textId="77777777" w:rsidR="00F23ED2" w:rsidRPr="0095259B" w:rsidRDefault="00F23ED2" w:rsidP="00231528">
            <w:pPr>
              <w:rPr>
                <w:rFonts w:ascii="Arial" w:hAnsi="Arial" w:cs="Arial"/>
                <w:szCs w:val="21"/>
              </w:rPr>
            </w:pPr>
            <w:r w:rsidRPr="0095259B">
              <w:rPr>
                <w:rFonts w:ascii="Arial" w:hAnsi="Arial" w:cs="Arial"/>
                <w:b w:val="0"/>
                <w:bCs w:val="0"/>
                <w:szCs w:val="21"/>
              </w:rPr>
              <w:t>(WT</w:t>
            </w:r>
            <w:r>
              <w:rPr>
                <w:rFonts w:ascii="Arial" w:hAnsi="Arial" w:cs="Arial"/>
                <w:b w:val="0"/>
                <w:bCs w:val="0"/>
                <w:szCs w:val="21"/>
              </w:rPr>
              <w:t xml:space="preserve"> vs </w:t>
            </w:r>
            <w:r w:rsidRPr="0095259B">
              <w:rPr>
                <w:rFonts w:ascii="Arial" w:hAnsi="Arial" w:cs="Arial"/>
                <w:b w:val="0"/>
                <w:bCs w:val="0"/>
                <w:szCs w:val="21"/>
              </w:rPr>
              <w:t>MUT)</w:t>
            </w:r>
          </w:p>
        </w:tc>
        <w:tc>
          <w:tcPr>
            <w:tcW w:w="709" w:type="dxa"/>
            <w:tcBorders>
              <w:top w:val="nil"/>
              <w:left w:val="nil"/>
              <w:bottom w:val="nil"/>
              <w:right w:val="nil"/>
            </w:tcBorders>
            <w:shd w:val="clear" w:color="auto" w:fill="FFFFFF" w:themeFill="background1"/>
          </w:tcPr>
          <w:p w14:paraId="68F93A5A"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.35</w:t>
            </w:r>
          </w:p>
        </w:tc>
        <w:tc>
          <w:tcPr>
            <w:tcW w:w="1276" w:type="dxa"/>
            <w:gridSpan w:val="2"/>
            <w:tcBorders>
              <w:top w:val="nil"/>
              <w:left w:val="nil"/>
              <w:bottom w:val="nil"/>
              <w:right w:val="nil"/>
            </w:tcBorders>
            <w:shd w:val="clear" w:color="auto" w:fill="FFFFFF" w:themeFill="background1"/>
          </w:tcPr>
          <w:p w14:paraId="3C407C04"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.73-2.48</w:t>
            </w:r>
          </w:p>
        </w:tc>
        <w:tc>
          <w:tcPr>
            <w:tcW w:w="1134" w:type="dxa"/>
            <w:gridSpan w:val="3"/>
            <w:tcBorders>
              <w:top w:val="nil"/>
              <w:left w:val="nil"/>
              <w:bottom w:val="nil"/>
              <w:right w:val="single" w:sz="12" w:space="0" w:color="auto"/>
            </w:tcBorders>
            <w:shd w:val="clear" w:color="auto" w:fill="FFFFFF" w:themeFill="background1"/>
          </w:tcPr>
          <w:p w14:paraId="10E27FD2"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.33</w:t>
            </w:r>
          </w:p>
        </w:tc>
        <w:tc>
          <w:tcPr>
            <w:tcW w:w="708" w:type="dxa"/>
            <w:gridSpan w:val="2"/>
            <w:tcBorders>
              <w:top w:val="nil"/>
              <w:left w:val="single" w:sz="12" w:space="0" w:color="auto"/>
              <w:bottom w:val="nil"/>
              <w:right w:val="nil"/>
            </w:tcBorders>
            <w:shd w:val="clear" w:color="auto" w:fill="FFFFFF" w:themeFill="background1"/>
          </w:tcPr>
          <w:p w14:paraId="5C4E5103"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p>
        </w:tc>
        <w:tc>
          <w:tcPr>
            <w:tcW w:w="1134" w:type="dxa"/>
            <w:gridSpan w:val="2"/>
            <w:tcBorders>
              <w:top w:val="nil"/>
              <w:left w:val="nil"/>
              <w:bottom w:val="nil"/>
              <w:right w:val="nil"/>
            </w:tcBorders>
            <w:shd w:val="clear" w:color="auto" w:fill="FFFFFF" w:themeFill="background1"/>
          </w:tcPr>
          <w:p w14:paraId="4386C2FF"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p>
        </w:tc>
        <w:tc>
          <w:tcPr>
            <w:tcW w:w="1276" w:type="dxa"/>
            <w:gridSpan w:val="2"/>
            <w:tcBorders>
              <w:top w:val="nil"/>
              <w:left w:val="nil"/>
              <w:bottom w:val="nil"/>
            </w:tcBorders>
            <w:shd w:val="clear" w:color="auto" w:fill="FFFFFF" w:themeFill="background1"/>
          </w:tcPr>
          <w:p w14:paraId="23F3817D"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p>
        </w:tc>
      </w:tr>
      <w:tr w:rsidR="00F23ED2" w:rsidRPr="0095259B" w14:paraId="56572C23" w14:textId="77777777" w:rsidTr="00231528">
        <w:tc>
          <w:tcPr>
            <w:cnfStyle w:val="001000000000" w:firstRow="0" w:lastRow="0" w:firstColumn="1" w:lastColumn="0" w:oddVBand="0" w:evenVBand="0" w:oddHBand="0" w:evenHBand="0" w:firstRowFirstColumn="0" w:firstRowLastColumn="0" w:lastRowFirstColumn="0" w:lastRowLastColumn="0"/>
            <w:tcW w:w="2410" w:type="dxa"/>
            <w:tcBorders>
              <w:top w:val="nil"/>
              <w:bottom w:val="nil"/>
              <w:right w:val="nil"/>
            </w:tcBorders>
            <w:shd w:val="clear" w:color="auto" w:fill="FFFFFF" w:themeFill="background1"/>
          </w:tcPr>
          <w:p w14:paraId="5F4CB5C8" w14:textId="77777777" w:rsidR="00F23ED2" w:rsidRDefault="00F23ED2" w:rsidP="00231528">
            <w:pPr>
              <w:rPr>
                <w:rFonts w:ascii="Arial" w:hAnsi="Arial" w:cs="Arial"/>
                <w:szCs w:val="21"/>
              </w:rPr>
            </w:pPr>
            <w:r>
              <w:rPr>
                <w:rFonts w:ascii="Arial" w:hAnsi="Arial" w:cs="Arial" w:hint="eastAsia"/>
                <w:b w:val="0"/>
                <w:bCs w:val="0"/>
                <w:szCs w:val="21"/>
              </w:rPr>
              <w:t>A</w:t>
            </w:r>
            <w:r>
              <w:rPr>
                <w:rFonts w:ascii="Arial" w:hAnsi="Arial" w:cs="Arial"/>
                <w:b w:val="0"/>
                <w:bCs w:val="0"/>
                <w:szCs w:val="21"/>
              </w:rPr>
              <w:t>ge</w:t>
            </w:r>
          </w:p>
          <w:p w14:paraId="1CE6A7A7" w14:textId="77777777" w:rsidR="00F23ED2" w:rsidRPr="007E6C26" w:rsidRDefault="00F23ED2" w:rsidP="00231528">
            <w:pPr>
              <w:rPr>
                <w:rFonts w:ascii="Arial" w:hAnsi="Arial" w:cs="Arial"/>
                <w:szCs w:val="21"/>
              </w:rPr>
            </w:pPr>
            <w:r>
              <w:rPr>
                <w:rFonts w:ascii="Arial" w:hAnsi="Arial" w:cs="Arial"/>
                <w:b w:val="0"/>
                <w:bCs w:val="0"/>
                <w:szCs w:val="21"/>
              </w:rPr>
              <w:t>(Old vs Young)</w:t>
            </w:r>
          </w:p>
        </w:tc>
        <w:tc>
          <w:tcPr>
            <w:tcW w:w="709" w:type="dxa"/>
            <w:tcBorders>
              <w:top w:val="nil"/>
              <w:left w:val="nil"/>
              <w:bottom w:val="nil"/>
              <w:right w:val="nil"/>
            </w:tcBorders>
            <w:shd w:val="clear" w:color="auto" w:fill="FFFFFF" w:themeFill="background1"/>
          </w:tcPr>
          <w:p w14:paraId="57BA7E05"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szCs w:val="21"/>
              </w:rPr>
              <w:t>1.70</w:t>
            </w:r>
          </w:p>
        </w:tc>
        <w:tc>
          <w:tcPr>
            <w:tcW w:w="1276" w:type="dxa"/>
            <w:gridSpan w:val="2"/>
            <w:tcBorders>
              <w:top w:val="nil"/>
              <w:left w:val="nil"/>
              <w:bottom w:val="nil"/>
              <w:right w:val="nil"/>
            </w:tcBorders>
            <w:shd w:val="clear" w:color="auto" w:fill="FFFFFF" w:themeFill="background1"/>
          </w:tcPr>
          <w:p w14:paraId="2881632E"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.10-2.58</w:t>
            </w:r>
          </w:p>
        </w:tc>
        <w:tc>
          <w:tcPr>
            <w:tcW w:w="1134" w:type="dxa"/>
            <w:gridSpan w:val="3"/>
            <w:tcBorders>
              <w:top w:val="nil"/>
              <w:left w:val="nil"/>
              <w:bottom w:val="nil"/>
              <w:right w:val="single" w:sz="12" w:space="0" w:color="auto"/>
            </w:tcBorders>
            <w:shd w:val="clear" w:color="auto" w:fill="FFFFFF" w:themeFill="background1"/>
          </w:tcPr>
          <w:p w14:paraId="06C69BA1"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szCs w:val="21"/>
              </w:rPr>
              <w:t>0.016*</w:t>
            </w:r>
          </w:p>
        </w:tc>
        <w:tc>
          <w:tcPr>
            <w:tcW w:w="708" w:type="dxa"/>
            <w:gridSpan w:val="2"/>
            <w:tcBorders>
              <w:top w:val="nil"/>
              <w:left w:val="single" w:sz="12" w:space="0" w:color="auto"/>
              <w:bottom w:val="nil"/>
              <w:right w:val="nil"/>
            </w:tcBorders>
            <w:shd w:val="clear" w:color="auto" w:fill="FFFFFF" w:themeFill="background1"/>
          </w:tcPr>
          <w:p w14:paraId="0C4D20A5"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2</w:t>
            </w:r>
            <w:r>
              <w:rPr>
                <w:rFonts w:ascii="Arial" w:hAnsi="Arial" w:cs="Arial"/>
                <w:szCs w:val="21"/>
              </w:rPr>
              <w:t>.10</w:t>
            </w:r>
          </w:p>
        </w:tc>
        <w:tc>
          <w:tcPr>
            <w:tcW w:w="1134" w:type="dxa"/>
            <w:gridSpan w:val="2"/>
            <w:tcBorders>
              <w:top w:val="nil"/>
              <w:left w:val="nil"/>
              <w:bottom w:val="nil"/>
              <w:right w:val="nil"/>
            </w:tcBorders>
            <w:shd w:val="clear" w:color="auto" w:fill="FFFFFF" w:themeFill="background1"/>
          </w:tcPr>
          <w:p w14:paraId="05EA136A"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.34-3.30</w:t>
            </w:r>
          </w:p>
        </w:tc>
        <w:tc>
          <w:tcPr>
            <w:tcW w:w="1276" w:type="dxa"/>
            <w:gridSpan w:val="2"/>
            <w:tcBorders>
              <w:top w:val="nil"/>
              <w:left w:val="nil"/>
              <w:bottom w:val="nil"/>
            </w:tcBorders>
            <w:shd w:val="clear" w:color="auto" w:fill="FFFFFF" w:themeFill="background1"/>
          </w:tcPr>
          <w:p w14:paraId="7FF78931"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.001*</w:t>
            </w:r>
          </w:p>
        </w:tc>
      </w:tr>
      <w:tr w:rsidR="00F23ED2" w:rsidRPr="0095259B" w14:paraId="2C7753FF" w14:textId="77777777" w:rsidTr="0023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right w:val="nil"/>
            </w:tcBorders>
            <w:shd w:val="clear" w:color="auto" w:fill="FFFFFF" w:themeFill="background1"/>
          </w:tcPr>
          <w:p w14:paraId="694526FC" w14:textId="77777777" w:rsidR="00F23ED2" w:rsidRDefault="00F23ED2" w:rsidP="00231528">
            <w:pPr>
              <w:rPr>
                <w:rFonts w:ascii="Arial" w:hAnsi="Arial" w:cs="Arial"/>
                <w:szCs w:val="21"/>
              </w:rPr>
            </w:pPr>
            <w:r>
              <w:rPr>
                <w:rFonts w:ascii="Arial" w:hAnsi="Arial" w:cs="Arial"/>
                <w:b w:val="0"/>
                <w:bCs w:val="0"/>
                <w:szCs w:val="21"/>
              </w:rPr>
              <w:t>TP53</w:t>
            </w:r>
            <w:r w:rsidRPr="0095259B">
              <w:rPr>
                <w:rFonts w:ascii="Arial" w:hAnsi="Arial" w:cs="Arial"/>
                <w:b w:val="0"/>
                <w:bCs w:val="0"/>
                <w:szCs w:val="21"/>
              </w:rPr>
              <w:t xml:space="preserve"> </w:t>
            </w:r>
            <w:r>
              <w:rPr>
                <w:rFonts w:ascii="Arial" w:hAnsi="Arial" w:cs="Arial"/>
                <w:b w:val="0"/>
                <w:bCs w:val="0"/>
                <w:szCs w:val="21"/>
              </w:rPr>
              <w:t>Status</w:t>
            </w:r>
            <w:r w:rsidRPr="0095259B">
              <w:rPr>
                <w:rFonts w:ascii="Arial" w:hAnsi="Arial" w:cs="Arial"/>
                <w:b w:val="0"/>
                <w:bCs w:val="0"/>
                <w:szCs w:val="21"/>
              </w:rPr>
              <w:t xml:space="preserve"> </w:t>
            </w:r>
          </w:p>
          <w:p w14:paraId="1CF57D72" w14:textId="77777777" w:rsidR="00F23ED2" w:rsidRPr="0095259B" w:rsidRDefault="00F23ED2" w:rsidP="00231528">
            <w:pPr>
              <w:rPr>
                <w:rFonts w:ascii="Arial" w:hAnsi="Arial" w:cs="Arial"/>
                <w:szCs w:val="21"/>
              </w:rPr>
            </w:pPr>
            <w:r w:rsidRPr="0095259B">
              <w:rPr>
                <w:rFonts w:ascii="Arial" w:hAnsi="Arial" w:cs="Arial"/>
                <w:b w:val="0"/>
                <w:bCs w:val="0"/>
                <w:szCs w:val="21"/>
              </w:rPr>
              <w:t>(WT</w:t>
            </w:r>
            <w:r>
              <w:rPr>
                <w:rFonts w:ascii="Arial" w:hAnsi="Arial" w:cs="Arial"/>
                <w:b w:val="0"/>
                <w:bCs w:val="0"/>
                <w:szCs w:val="21"/>
              </w:rPr>
              <w:t xml:space="preserve"> vs </w:t>
            </w:r>
            <w:r w:rsidRPr="0095259B">
              <w:rPr>
                <w:rFonts w:ascii="Arial" w:hAnsi="Arial" w:cs="Arial"/>
                <w:b w:val="0"/>
                <w:bCs w:val="0"/>
                <w:szCs w:val="21"/>
              </w:rPr>
              <w:t>MUT)</w:t>
            </w:r>
          </w:p>
        </w:tc>
        <w:tc>
          <w:tcPr>
            <w:tcW w:w="709" w:type="dxa"/>
            <w:tcBorders>
              <w:top w:val="nil"/>
              <w:left w:val="nil"/>
              <w:bottom w:val="nil"/>
              <w:right w:val="nil"/>
            </w:tcBorders>
            <w:shd w:val="clear" w:color="auto" w:fill="FFFFFF" w:themeFill="background1"/>
          </w:tcPr>
          <w:p w14:paraId="10DA4779"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szCs w:val="21"/>
              </w:rPr>
              <w:t>2.07</w:t>
            </w:r>
          </w:p>
        </w:tc>
        <w:tc>
          <w:tcPr>
            <w:tcW w:w="1276" w:type="dxa"/>
            <w:gridSpan w:val="2"/>
            <w:tcBorders>
              <w:top w:val="nil"/>
              <w:left w:val="nil"/>
              <w:bottom w:val="nil"/>
              <w:right w:val="nil"/>
            </w:tcBorders>
            <w:shd w:val="clear" w:color="auto" w:fill="FFFFFF" w:themeFill="background1"/>
          </w:tcPr>
          <w:p w14:paraId="20F4A442"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.33-3.20</w:t>
            </w:r>
          </w:p>
        </w:tc>
        <w:tc>
          <w:tcPr>
            <w:tcW w:w="1134" w:type="dxa"/>
            <w:gridSpan w:val="3"/>
            <w:tcBorders>
              <w:top w:val="nil"/>
              <w:left w:val="nil"/>
              <w:bottom w:val="nil"/>
              <w:right w:val="single" w:sz="12" w:space="0" w:color="auto"/>
            </w:tcBorders>
            <w:shd w:val="clear" w:color="auto" w:fill="FFFFFF" w:themeFill="background1"/>
          </w:tcPr>
          <w:p w14:paraId="644E2D66"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.001*</w:t>
            </w:r>
          </w:p>
        </w:tc>
        <w:tc>
          <w:tcPr>
            <w:tcW w:w="708" w:type="dxa"/>
            <w:gridSpan w:val="2"/>
            <w:tcBorders>
              <w:top w:val="nil"/>
              <w:left w:val="single" w:sz="12" w:space="0" w:color="auto"/>
              <w:bottom w:val="nil"/>
              <w:right w:val="nil"/>
            </w:tcBorders>
            <w:shd w:val="clear" w:color="auto" w:fill="FFFFFF" w:themeFill="background1"/>
          </w:tcPr>
          <w:p w14:paraId="26308F74"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.58</w:t>
            </w:r>
          </w:p>
        </w:tc>
        <w:tc>
          <w:tcPr>
            <w:tcW w:w="1134" w:type="dxa"/>
            <w:gridSpan w:val="2"/>
            <w:tcBorders>
              <w:top w:val="nil"/>
              <w:left w:val="nil"/>
              <w:bottom w:val="nil"/>
              <w:right w:val="nil"/>
            </w:tcBorders>
            <w:shd w:val="clear" w:color="auto" w:fill="FFFFFF" w:themeFill="background1"/>
          </w:tcPr>
          <w:p w14:paraId="2FFC101C"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.97-2.59</w:t>
            </w:r>
          </w:p>
        </w:tc>
        <w:tc>
          <w:tcPr>
            <w:tcW w:w="1276" w:type="dxa"/>
            <w:gridSpan w:val="2"/>
            <w:tcBorders>
              <w:top w:val="nil"/>
              <w:left w:val="nil"/>
              <w:bottom w:val="nil"/>
            </w:tcBorders>
            <w:shd w:val="clear" w:color="auto" w:fill="FFFFFF" w:themeFill="background1"/>
          </w:tcPr>
          <w:p w14:paraId="7402DA23"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sidRPr="0091713B">
              <w:rPr>
                <w:rFonts w:ascii="Arial" w:hAnsi="Arial" w:cs="Arial"/>
                <w:szCs w:val="21"/>
              </w:rPr>
              <w:t>0.0</w:t>
            </w:r>
            <w:r>
              <w:rPr>
                <w:rFonts w:ascii="Arial" w:hAnsi="Arial" w:cs="Arial"/>
                <w:szCs w:val="21"/>
              </w:rPr>
              <w:t>7</w:t>
            </w:r>
          </w:p>
        </w:tc>
      </w:tr>
      <w:tr w:rsidR="00F23ED2" w:rsidRPr="0095259B" w14:paraId="7C2DD89D" w14:textId="77777777" w:rsidTr="00231528">
        <w:tc>
          <w:tcPr>
            <w:cnfStyle w:val="001000000000" w:firstRow="0" w:lastRow="0" w:firstColumn="1" w:lastColumn="0" w:oddVBand="0" w:evenVBand="0" w:oddHBand="0" w:evenHBand="0" w:firstRowFirstColumn="0" w:firstRowLastColumn="0" w:lastRowFirstColumn="0" w:lastRowLastColumn="0"/>
            <w:tcW w:w="2410" w:type="dxa"/>
            <w:tcBorders>
              <w:top w:val="nil"/>
              <w:bottom w:val="nil"/>
              <w:right w:val="nil"/>
            </w:tcBorders>
            <w:shd w:val="clear" w:color="auto" w:fill="FFFFFF" w:themeFill="background1"/>
          </w:tcPr>
          <w:p w14:paraId="78DE2B09" w14:textId="77777777" w:rsidR="00F23ED2" w:rsidRDefault="00F23ED2" w:rsidP="00231528">
            <w:pPr>
              <w:rPr>
                <w:rFonts w:ascii="Arial" w:hAnsi="Arial" w:cs="Arial"/>
                <w:szCs w:val="21"/>
              </w:rPr>
            </w:pPr>
            <w:r>
              <w:rPr>
                <w:rFonts w:ascii="Arial" w:hAnsi="Arial" w:cs="Arial"/>
                <w:b w:val="0"/>
                <w:bCs w:val="0"/>
                <w:szCs w:val="21"/>
              </w:rPr>
              <w:t>TNM</w:t>
            </w:r>
            <w:r w:rsidRPr="0095259B">
              <w:rPr>
                <w:rFonts w:ascii="Arial" w:hAnsi="Arial" w:cs="Arial"/>
                <w:b w:val="0"/>
                <w:bCs w:val="0"/>
                <w:szCs w:val="21"/>
              </w:rPr>
              <w:t xml:space="preserve"> Stage </w:t>
            </w:r>
          </w:p>
          <w:p w14:paraId="7E25EA75" w14:textId="77777777" w:rsidR="00F23ED2" w:rsidRPr="0095259B" w:rsidRDefault="00F23ED2" w:rsidP="00231528">
            <w:pPr>
              <w:rPr>
                <w:rFonts w:ascii="Arial" w:hAnsi="Arial" w:cs="Arial"/>
                <w:szCs w:val="21"/>
              </w:rPr>
            </w:pPr>
            <w:r w:rsidRPr="0095259B">
              <w:rPr>
                <w:rFonts w:ascii="Arial" w:hAnsi="Arial" w:cs="Arial"/>
                <w:b w:val="0"/>
                <w:bCs w:val="0"/>
                <w:szCs w:val="21"/>
              </w:rPr>
              <w:t>(</w:t>
            </w:r>
            <w:r>
              <w:rPr>
                <w:rFonts w:ascii="Arial" w:hAnsi="Arial" w:cs="Arial"/>
                <w:b w:val="0"/>
                <w:bCs w:val="0"/>
                <w:szCs w:val="21"/>
              </w:rPr>
              <w:t>S</w:t>
            </w:r>
            <w:r w:rsidRPr="0095259B">
              <w:rPr>
                <w:rFonts w:ascii="Arial" w:hAnsi="Arial" w:cs="Arial"/>
                <w:b w:val="0"/>
                <w:bCs w:val="0"/>
                <w:szCs w:val="21"/>
              </w:rPr>
              <w:t>tage I</w:t>
            </w:r>
            <w:r>
              <w:rPr>
                <w:rFonts w:ascii="Arial" w:hAnsi="Arial" w:cs="Arial"/>
                <w:b w:val="0"/>
                <w:bCs w:val="0"/>
                <w:szCs w:val="21"/>
              </w:rPr>
              <w:t>I vs S</w:t>
            </w:r>
            <w:r w:rsidRPr="0095259B">
              <w:rPr>
                <w:rFonts w:ascii="Arial" w:hAnsi="Arial" w:cs="Arial"/>
                <w:b w:val="0"/>
                <w:bCs w:val="0"/>
                <w:szCs w:val="21"/>
              </w:rPr>
              <w:t>tage I)</w:t>
            </w:r>
          </w:p>
        </w:tc>
        <w:tc>
          <w:tcPr>
            <w:tcW w:w="709" w:type="dxa"/>
            <w:tcBorders>
              <w:top w:val="nil"/>
              <w:left w:val="nil"/>
              <w:bottom w:val="nil"/>
              <w:right w:val="nil"/>
            </w:tcBorders>
            <w:shd w:val="clear" w:color="auto" w:fill="FFFFFF" w:themeFill="background1"/>
          </w:tcPr>
          <w:p w14:paraId="0FA083D1" w14:textId="77777777" w:rsidR="00F23ED2" w:rsidRPr="0095259B"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2</w:t>
            </w:r>
            <w:r>
              <w:rPr>
                <w:rFonts w:ascii="Arial" w:hAnsi="Arial" w:cs="Arial"/>
                <w:szCs w:val="21"/>
              </w:rPr>
              <w:t>.34</w:t>
            </w:r>
          </w:p>
        </w:tc>
        <w:tc>
          <w:tcPr>
            <w:tcW w:w="1276" w:type="dxa"/>
            <w:gridSpan w:val="2"/>
            <w:tcBorders>
              <w:top w:val="nil"/>
              <w:left w:val="nil"/>
              <w:bottom w:val="nil"/>
              <w:right w:val="nil"/>
            </w:tcBorders>
            <w:shd w:val="clear" w:color="auto" w:fill="FFFFFF" w:themeFill="background1"/>
          </w:tcPr>
          <w:p w14:paraId="1BED9F67" w14:textId="77777777" w:rsidR="00F23ED2" w:rsidRPr="0095259B"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.53-3.57</w:t>
            </w:r>
          </w:p>
        </w:tc>
        <w:tc>
          <w:tcPr>
            <w:tcW w:w="1134" w:type="dxa"/>
            <w:gridSpan w:val="3"/>
            <w:tcBorders>
              <w:top w:val="nil"/>
              <w:left w:val="nil"/>
              <w:bottom w:val="nil"/>
              <w:right w:val="single" w:sz="12" w:space="0" w:color="auto"/>
            </w:tcBorders>
            <w:shd w:val="clear" w:color="auto" w:fill="FFFFFF" w:themeFill="background1"/>
          </w:tcPr>
          <w:p w14:paraId="0608E7EC" w14:textId="77777777" w:rsidR="00F23ED2" w:rsidRPr="0095259B"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&lt;</w:t>
            </w:r>
            <w:r>
              <w:rPr>
                <w:rFonts w:ascii="Arial" w:hAnsi="Arial" w:cs="Arial"/>
                <w:szCs w:val="21"/>
              </w:rPr>
              <w:t>0.0001*</w:t>
            </w:r>
          </w:p>
        </w:tc>
        <w:tc>
          <w:tcPr>
            <w:tcW w:w="708" w:type="dxa"/>
            <w:gridSpan w:val="2"/>
            <w:tcBorders>
              <w:top w:val="nil"/>
              <w:left w:val="single" w:sz="12" w:space="0" w:color="auto"/>
              <w:bottom w:val="nil"/>
              <w:right w:val="nil"/>
            </w:tcBorders>
            <w:shd w:val="clear" w:color="auto" w:fill="FFFFFF" w:themeFill="background1"/>
          </w:tcPr>
          <w:p w14:paraId="1EB5F060"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.80</w:t>
            </w:r>
          </w:p>
        </w:tc>
        <w:tc>
          <w:tcPr>
            <w:tcW w:w="1134" w:type="dxa"/>
            <w:gridSpan w:val="2"/>
            <w:tcBorders>
              <w:top w:val="nil"/>
              <w:left w:val="nil"/>
              <w:bottom w:val="nil"/>
              <w:right w:val="nil"/>
            </w:tcBorders>
            <w:shd w:val="clear" w:color="auto" w:fill="FFFFFF" w:themeFill="background1"/>
          </w:tcPr>
          <w:p w14:paraId="44D349B9"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1</w:t>
            </w:r>
            <w:r>
              <w:rPr>
                <w:rFonts w:ascii="Arial" w:hAnsi="Arial" w:cs="Arial"/>
                <w:szCs w:val="21"/>
              </w:rPr>
              <w:t>.28-3.13</w:t>
            </w:r>
          </w:p>
        </w:tc>
        <w:tc>
          <w:tcPr>
            <w:tcW w:w="1276" w:type="dxa"/>
            <w:gridSpan w:val="2"/>
            <w:tcBorders>
              <w:top w:val="nil"/>
              <w:left w:val="nil"/>
              <w:bottom w:val="nil"/>
            </w:tcBorders>
            <w:shd w:val="clear" w:color="auto" w:fill="FFFFFF" w:themeFill="background1"/>
          </w:tcPr>
          <w:p w14:paraId="78C0168B" w14:textId="77777777" w:rsidR="00F23ED2" w:rsidRDefault="00F23ED2" w:rsidP="00231528">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Pr>
                <w:rFonts w:ascii="Arial" w:hAnsi="Arial" w:cs="Arial" w:hint="eastAsia"/>
                <w:szCs w:val="21"/>
              </w:rPr>
              <w:t>0</w:t>
            </w:r>
            <w:r>
              <w:rPr>
                <w:rFonts w:ascii="Arial" w:hAnsi="Arial" w:cs="Arial"/>
                <w:szCs w:val="21"/>
              </w:rPr>
              <w:t>.002*</w:t>
            </w:r>
          </w:p>
        </w:tc>
      </w:tr>
      <w:tr w:rsidR="00F23ED2" w:rsidRPr="0095259B" w14:paraId="07C7E787" w14:textId="77777777" w:rsidTr="0023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12" w:space="0" w:color="auto"/>
              <w:right w:val="nil"/>
            </w:tcBorders>
            <w:shd w:val="clear" w:color="auto" w:fill="FFFFFF" w:themeFill="background1"/>
          </w:tcPr>
          <w:p w14:paraId="05DC04A3" w14:textId="77777777" w:rsidR="00F23ED2" w:rsidRDefault="00F23ED2" w:rsidP="00231528">
            <w:pPr>
              <w:rPr>
                <w:rFonts w:ascii="Arial" w:hAnsi="Arial" w:cs="Arial"/>
                <w:szCs w:val="21"/>
              </w:rPr>
            </w:pPr>
            <w:r>
              <w:rPr>
                <w:rFonts w:ascii="Arial" w:hAnsi="Arial" w:cs="Arial"/>
                <w:b w:val="0"/>
                <w:bCs w:val="0"/>
                <w:szCs w:val="21"/>
              </w:rPr>
              <w:t>Immune signature-</w:t>
            </w:r>
          </w:p>
          <w:p w14:paraId="64AA8F98" w14:textId="77777777" w:rsidR="00F23ED2" w:rsidRDefault="00F23ED2" w:rsidP="00231528">
            <w:pPr>
              <w:rPr>
                <w:rFonts w:ascii="Arial" w:hAnsi="Arial" w:cs="Arial"/>
                <w:b w:val="0"/>
                <w:bCs w:val="0"/>
                <w:szCs w:val="21"/>
              </w:rPr>
            </w:pPr>
            <w:r>
              <w:rPr>
                <w:rFonts w:ascii="Arial" w:hAnsi="Arial" w:cs="Arial"/>
                <w:b w:val="0"/>
                <w:bCs w:val="0"/>
                <w:szCs w:val="21"/>
              </w:rPr>
              <w:t>based risk score</w:t>
            </w:r>
          </w:p>
        </w:tc>
        <w:tc>
          <w:tcPr>
            <w:tcW w:w="709" w:type="dxa"/>
            <w:tcBorders>
              <w:top w:val="nil"/>
              <w:left w:val="nil"/>
              <w:bottom w:val="single" w:sz="12" w:space="0" w:color="auto"/>
              <w:right w:val="nil"/>
            </w:tcBorders>
            <w:shd w:val="clear" w:color="auto" w:fill="FFFFFF" w:themeFill="background1"/>
          </w:tcPr>
          <w:p w14:paraId="7E53A4C3"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6</w:t>
            </w:r>
            <w:r>
              <w:rPr>
                <w:rFonts w:ascii="Arial" w:hAnsi="Arial" w:cs="Arial"/>
                <w:szCs w:val="21"/>
              </w:rPr>
              <w:t>.35</w:t>
            </w:r>
          </w:p>
        </w:tc>
        <w:tc>
          <w:tcPr>
            <w:tcW w:w="1276" w:type="dxa"/>
            <w:gridSpan w:val="2"/>
            <w:tcBorders>
              <w:top w:val="nil"/>
              <w:left w:val="nil"/>
              <w:bottom w:val="single" w:sz="12" w:space="0" w:color="auto"/>
              <w:right w:val="nil"/>
            </w:tcBorders>
            <w:shd w:val="clear" w:color="auto" w:fill="FFFFFF" w:themeFill="background1"/>
          </w:tcPr>
          <w:p w14:paraId="69E4D847"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3</w:t>
            </w:r>
            <w:r>
              <w:rPr>
                <w:rFonts w:ascii="Arial" w:hAnsi="Arial" w:cs="Arial"/>
                <w:szCs w:val="21"/>
              </w:rPr>
              <w:t>.82-10.55</w:t>
            </w:r>
          </w:p>
        </w:tc>
        <w:tc>
          <w:tcPr>
            <w:tcW w:w="1134" w:type="dxa"/>
            <w:gridSpan w:val="3"/>
            <w:tcBorders>
              <w:top w:val="nil"/>
              <w:left w:val="nil"/>
              <w:bottom w:val="single" w:sz="12" w:space="0" w:color="auto"/>
              <w:right w:val="single" w:sz="12" w:space="0" w:color="auto"/>
            </w:tcBorders>
            <w:shd w:val="clear" w:color="auto" w:fill="FFFFFF" w:themeFill="background1"/>
          </w:tcPr>
          <w:p w14:paraId="0B4A1D59" w14:textId="77777777" w:rsidR="00F23ED2" w:rsidRPr="0095259B"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&lt;</w:t>
            </w:r>
            <w:r>
              <w:rPr>
                <w:rFonts w:ascii="Arial" w:hAnsi="Arial" w:cs="Arial"/>
                <w:szCs w:val="21"/>
              </w:rPr>
              <w:t>0.0001*</w:t>
            </w:r>
          </w:p>
        </w:tc>
        <w:tc>
          <w:tcPr>
            <w:tcW w:w="708" w:type="dxa"/>
            <w:gridSpan w:val="2"/>
            <w:tcBorders>
              <w:top w:val="nil"/>
              <w:left w:val="single" w:sz="12" w:space="0" w:color="auto"/>
              <w:bottom w:val="single" w:sz="12" w:space="0" w:color="auto"/>
              <w:right w:val="nil"/>
            </w:tcBorders>
            <w:shd w:val="clear" w:color="auto" w:fill="FFFFFF" w:themeFill="background1"/>
          </w:tcPr>
          <w:p w14:paraId="355494FB"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szCs w:val="21"/>
              </w:rPr>
              <w:t>4.53</w:t>
            </w:r>
          </w:p>
        </w:tc>
        <w:tc>
          <w:tcPr>
            <w:tcW w:w="1134" w:type="dxa"/>
            <w:gridSpan w:val="2"/>
            <w:tcBorders>
              <w:top w:val="nil"/>
              <w:left w:val="nil"/>
              <w:bottom w:val="single" w:sz="12" w:space="0" w:color="auto"/>
              <w:right w:val="nil"/>
            </w:tcBorders>
            <w:shd w:val="clear" w:color="auto" w:fill="FFFFFF" w:themeFill="background1"/>
          </w:tcPr>
          <w:p w14:paraId="08E43D20"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2</w:t>
            </w:r>
            <w:r>
              <w:rPr>
                <w:rFonts w:ascii="Arial" w:hAnsi="Arial" w:cs="Arial"/>
                <w:szCs w:val="21"/>
              </w:rPr>
              <w:t>.62-7.81</w:t>
            </w:r>
          </w:p>
        </w:tc>
        <w:tc>
          <w:tcPr>
            <w:tcW w:w="1276" w:type="dxa"/>
            <w:gridSpan w:val="2"/>
            <w:tcBorders>
              <w:top w:val="nil"/>
              <w:left w:val="nil"/>
              <w:bottom w:val="single" w:sz="12" w:space="0" w:color="auto"/>
            </w:tcBorders>
            <w:shd w:val="clear" w:color="auto" w:fill="FFFFFF" w:themeFill="background1"/>
          </w:tcPr>
          <w:p w14:paraId="3709A33B" w14:textId="77777777" w:rsidR="00F23ED2" w:rsidRDefault="00F23ED2" w:rsidP="00231528">
            <w:pPr>
              <w:cnfStyle w:val="000000100000" w:firstRow="0" w:lastRow="0" w:firstColumn="0" w:lastColumn="0" w:oddVBand="0" w:evenVBand="0" w:oddHBand="1" w:evenHBand="0" w:firstRowFirstColumn="0" w:firstRowLastColumn="0" w:lastRowFirstColumn="0" w:lastRowLastColumn="0"/>
              <w:rPr>
                <w:rFonts w:ascii="Arial" w:hAnsi="Arial" w:cs="Arial"/>
                <w:szCs w:val="21"/>
              </w:rPr>
            </w:pPr>
            <w:r>
              <w:rPr>
                <w:rFonts w:ascii="Arial" w:hAnsi="Arial" w:cs="Arial" w:hint="eastAsia"/>
                <w:szCs w:val="21"/>
              </w:rPr>
              <w:t>&lt;</w:t>
            </w:r>
            <w:r>
              <w:rPr>
                <w:rFonts w:ascii="Arial" w:hAnsi="Arial" w:cs="Arial"/>
                <w:szCs w:val="21"/>
              </w:rPr>
              <w:t>0.0001*</w:t>
            </w:r>
          </w:p>
        </w:tc>
      </w:tr>
    </w:tbl>
    <w:p w14:paraId="05D7AF9D" w14:textId="0C794C12" w:rsidR="008B4F38" w:rsidRDefault="008B4F38" w:rsidP="00C43C7A">
      <w:pPr>
        <w:rPr>
          <w:rFonts w:ascii="Arial" w:hAnsi="Arial" w:cs="Arial"/>
          <w:sz w:val="24"/>
          <w:szCs w:val="24"/>
          <w:lang w:val="en-GB"/>
        </w:rPr>
      </w:pPr>
    </w:p>
    <w:p w14:paraId="24680CF5" w14:textId="77777777" w:rsidR="008B4F38" w:rsidRPr="00F83C46" w:rsidRDefault="008B4F38" w:rsidP="00C43C7A">
      <w:pPr>
        <w:rPr>
          <w:rFonts w:ascii="Arial" w:hAnsi="Arial" w:cs="Arial"/>
          <w:sz w:val="24"/>
          <w:szCs w:val="24"/>
          <w:lang w:val="en-GB"/>
        </w:rPr>
      </w:pPr>
    </w:p>
    <w:p w14:paraId="486CA677" w14:textId="59C57B9B" w:rsidR="00CE4475" w:rsidRPr="00056152" w:rsidRDefault="008A7E76" w:rsidP="00CE4475">
      <w:pPr>
        <w:spacing w:line="360" w:lineRule="auto"/>
        <w:rPr>
          <w:rFonts w:ascii="Arial" w:hAnsi="Arial" w:cs="Arial"/>
          <w:color w:val="000000" w:themeColor="text1"/>
          <w:sz w:val="24"/>
          <w:szCs w:val="24"/>
          <w:lang w:val="en-GB"/>
        </w:rPr>
      </w:pPr>
      <w:r>
        <w:rPr>
          <w:rFonts w:ascii="Arial" w:hAnsi="Arial" w:cs="Arial"/>
          <w:b/>
          <w:bCs/>
          <w:color w:val="000000" w:themeColor="text1"/>
          <w:sz w:val="24"/>
          <w:szCs w:val="24"/>
          <w:lang w:val="en-GB"/>
        </w:rPr>
        <w:t>Doc. S1</w:t>
      </w:r>
      <w:r w:rsidR="00CE4475" w:rsidRPr="008A7E76">
        <w:rPr>
          <w:rFonts w:ascii="Arial" w:hAnsi="Arial" w:cs="Arial"/>
          <w:b/>
          <w:bCs/>
          <w:color w:val="000000" w:themeColor="text1"/>
          <w:sz w:val="24"/>
          <w:szCs w:val="24"/>
          <w:lang w:val="en-GB"/>
        </w:rPr>
        <w:t xml:space="preserve"> </w:t>
      </w:r>
      <w:r w:rsidRPr="008A7E76">
        <w:rPr>
          <w:rFonts w:ascii="Arial" w:hAnsi="Arial" w:cs="Arial"/>
          <w:b/>
          <w:bCs/>
          <w:color w:val="000000" w:themeColor="text1"/>
          <w:sz w:val="24"/>
          <w:szCs w:val="24"/>
          <w:lang w:val="en-GB"/>
        </w:rPr>
        <w:t>N</w:t>
      </w:r>
      <w:r w:rsidR="00CE4475" w:rsidRPr="008A7E76">
        <w:rPr>
          <w:rFonts w:ascii="Arial" w:hAnsi="Arial" w:cs="Arial"/>
          <w:b/>
          <w:bCs/>
          <w:color w:val="000000" w:themeColor="text1"/>
          <w:sz w:val="24"/>
          <w:szCs w:val="24"/>
          <w:lang w:val="en-GB"/>
        </w:rPr>
        <w:t>eural network-based deep learning framework</w:t>
      </w:r>
      <w:r w:rsidRPr="008A7E76">
        <w:rPr>
          <w:rFonts w:ascii="Arial" w:hAnsi="Arial" w:cs="Arial" w:hint="eastAsia"/>
          <w:b/>
          <w:bCs/>
          <w:color w:val="000000" w:themeColor="text1"/>
          <w:sz w:val="24"/>
          <w:szCs w:val="24"/>
          <w:lang w:val="en-GB"/>
        </w:rPr>
        <w:t>.</w:t>
      </w:r>
    </w:p>
    <w:p w14:paraId="0B3AFE6C" w14:textId="659A4B43" w:rsidR="00CE4475" w:rsidRPr="008A7E76" w:rsidRDefault="008A7E76" w:rsidP="00CE4475">
      <w:pPr>
        <w:spacing w:line="360" w:lineRule="auto"/>
        <w:rPr>
          <w:rFonts w:ascii="Arial" w:hAnsi="Arial" w:cs="Arial"/>
          <w:b/>
          <w:bCs/>
          <w:color w:val="000000" w:themeColor="text1"/>
          <w:sz w:val="24"/>
          <w:szCs w:val="24"/>
          <w:lang w:val="en-GB"/>
        </w:rPr>
      </w:pPr>
      <w:r>
        <w:rPr>
          <w:rFonts w:ascii="Arial" w:hAnsi="Arial" w:cs="Arial"/>
          <w:b/>
          <w:bCs/>
          <w:color w:val="000000" w:themeColor="text1"/>
          <w:sz w:val="24"/>
          <w:szCs w:val="24"/>
          <w:lang w:val="en-GB"/>
        </w:rPr>
        <w:t>Doc. S2</w:t>
      </w:r>
      <w:r w:rsidR="00CE4475" w:rsidRPr="00056152">
        <w:rPr>
          <w:rFonts w:ascii="Arial" w:hAnsi="Arial" w:cs="Arial"/>
          <w:color w:val="000000" w:themeColor="text1"/>
          <w:sz w:val="24"/>
          <w:szCs w:val="24"/>
          <w:lang w:val="en-GB"/>
        </w:rPr>
        <w:t xml:space="preserve"> </w:t>
      </w:r>
      <w:r w:rsidR="00CE4475" w:rsidRPr="008A7E76">
        <w:rPr>
          <w:rFonts w:ascii="Arial" w:hAnsi="Arial" w:cs="Arial"/>
          <w:b/>
          <w:bCs/>
          <w:color w:val="000000" w:themeColor="text1"/>
          <w:sz w:val="24"/>
          <w:szCs w:val="24"/>
          <w:lang w:val="en-GB"/>
        </w:rPr>
        <w:t xml:space="preserve">Differently expressed </w:t>
      </w:r>
      <w:r w:rsidR="00CE4475" w:rsidRPr="008A7E76">
        <w:rPr>
          <w:rFonts w:ascii="Arial" w:hAnsi="Arial" w:cs="Arial"/>
          <w:b/>
          <w:bCs/>
          <w:sz w:val="24"/>
          <w:szCs w:val="24"/>
          <w:lang w:val="en-GB"/>
        </w:rPr>
        <w:t>immune-related genes</w:t>
      </w:r>
      <w:r w:rsidRPr="008A7E76">
        <w:rPr>
          <w:rFonts w:ascii="Arial" w:hAnsi="Arial" w:cs="Arial"/>
          <w:b/>
          <w:bCs/>
          <w:sz w:val="24"/>
          <w:szCs w:val="24"/>
          <w:lang w:val="en-GB"/>
        </w:rPr>
        <w:t>.</w:t>
      </w:r>
    </w:p>
    <w:p w14:paraId="5F03246D" w14:textId="77777777" w:rsidR="00C43C7A" w:rsidRPr="00CE4475" w:rsidRDefault="00C43C7A" w:rsidP="00C43C7A">
      <w:pPr>
        <w:rPr>
          <w:rFonts w:ascii="Arial" w:hAnsi="Arial" w:cs="Arial"/>
          <w:sz w:val="24"/>
          <w:szCs w:val="24"/>
          <w:lang w:val="en-GB"/>
        </w:rPr>
      </w:pPr>
    </w:p>
    <w:p w14:paraId="6AE1389D" w14:textId="5D199008" w:rsidR="00C43C7A" w:rsidRPr="00F83C46" w:rsidRDefault="00C43C7A" w:rsidP="00F104E4">
      <w:pPr>
        <w:rPr>
          <w:rFonts w:ascii="Arial" w:hAnsi="Arial" w:cs="Arial"/>
          <w:sz w:val="24"/>
          <w:szCs w:val="24"/>
          <w:lang w:val="en-GB"/>
        </w:rPr>
      </w:pPr>
    </w:p>
    <w:p w14:paraId="4CCE0E64" w14:textId="77777777" w:rsidR="00F104E4" w:rsidRPr="00F83C46" w:rsidRDefault="00F104E4" w:rsidP="00F104E4">
      <w:pPr>
        <w:rPr>
          <w:rFonts w:ascii="Arial" w:hAnsi="Arial" w:cs="Arial"/>
          <w:sz w:val="24"/>
          <w:szCs w:val="24"/>
          <w:lang w:val="en-GB"/>
        </w:rPr>
      </w:pPr>
    </w:p>
    <w:p w14:paraId="62D2A3C1" w14:textId="66088E86" w:rsidR="00F104E4" w:rsidRPr="00F83C46" w:rsidRDefault="00F104E4" w:rsidP="0035497E">
      <w:pPr>
        <w:rPr>
          <w:rFonts w:ascii="Arial" w:hAnsi="Arial" w:cs="Arial"/>
          <w:sz w:val="24"/>
          <w:szCs w:val="24"/>
          <w:lang w:val="en-GB"/>
        </w:rPr>
      </w:pPr>
    </w:p>
    <w:sectPr w:rsidR="00F104E4" w:rsidRPr="00F83C46" w:rsidSect="00360882">
      <w:headerReference w:type="default" r:id="rId14"/>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63465" w14:textId="77777777" w:rsidR="001F563A" w:rsidRDefault="001F563A" w:rsidP="00360882">
      <w:r>
        <w:separator/>
      </w:r>
    </w:p>
  </w:endnote>
  <w:endnote w:type="continuationSeparator" w:id="0">
    <w:p w14:paraId="1940BE89" w14:textId="77777777" w:rsidR="001F563A" w:rsidRDefault="001F563A" w:rsidP="0036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3CEA0" w14:textId="77777777" w:rsidR="001F563A" w:rsidRDefault="001F563A" w:rsidP="00360882">
      <w:r>
        <w:separator/>
      </w:r>
    </w:p>
  </w:footnote>
  <w:footnote w:type="continuationSeparator" w:id="0">
    <w:p w14:paraId="4F15C544" w14:textId="77777777" w:rsidR="001F563A" w:rsidRDefault="001F563A" w:rsidP="00360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091650"/>
      <w:docPartObj>
        <w:docPartGallery w:val="Page Numbers (Top of Page)"/>
        <w:docPartUnique/>
      </w:docPartObj>
    </w:sdtPr>
    <w:sdtEndPr/>
    <w:sdtContent>
      <w:p w14:paraId="3AD1F154" w14:textId="373CB7E9" w:rsidR="00EB067B" w:rsidRDefault="00EB067B">
        <w:pPr>
          <w:pStyle w:val="af"/>
        </w:pPr>
        <w:r>
          <w:fldChar w:fldCharType="begin"/>
        </w:r>
        <w:r>
          <w:instrText>PAGE   \* MERGEFORMAT</w:instrText>
        </w:r>
        <w:r>
          <w:fldChar w:fldCharType="separate"/>
        </w:r>
        <w:r>
          <w:rPr>
            <w:lang w:val="zh-CN"/>
          </w:rPr>
          <w:t>2</w:t>
        </w:r>
        <w:r>
          <w:fldChar w:fldCharType="end"/>
        </w:r>
      </w:p>
    </w:sdtContent>
  </w:sdt>
  <w:p w14:paraId="661A7404" w14:textId="77777777" w:rsidR="00EB067B" w:rsidRDefault="00EB067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64E46"/>
    <w:multiLevelType w:val="hybridMultilevel"/>
    <w:tmpl w:val="D2C44A3E"/>
    <w:lvl w:ilvl="0" w:tplc="16CACC90">
      <w:start w:val="1"/>
      <w:numFmt w:val="upperLetter"/>
      <w:lvlText w:val="(%1)"/>
      <w:lvlJc w:val="left"/>
      <w:pPr>
        <w:ind w:left="360" w:hanging="360"/>
      </w:pPr>
      <w:rPr>
        <w:rFonts w:hint="default"/>
      </w:rPr>
    </w:lvl>
    <w:lvl w:ilvl="1" w:tplc="6F84BDF2" w:tentative="1">
      <w:start w:val="1"/>
      <w:numFmt w:val="lowerLetter"/>
      <w:lvlText w:val="%2)"/>
      <w:lvlJc w:val="left"/>
      <w:pPr>
        <w:ind w:left="840" w:hanging="420"/>
      </w:pPr>
    </w:lvl>
    <w:lvl w:ilvl="2" w:tplc="69B49F48" w:tentative="1">
      <w:start w:val="1"/>
      <w:numFmt w:val="lowerRoman"/>
      <w:lvlText w:val="%3."/>
      <w:lvlJc w:val="right"/>
      <w:pPr>
        <w:ind w:left="1260" w:hanging="420"/>
      </w:pPr>
    </w:lvl>
    <w:lvl w:ilvl="3" w:tplc="198C6050" w:tentative="1">
      <w:start w:val="1"/>
      <w:numFmt w:val="decimal"/>
      <w:lvlText w:val="%4."/>
      <w:lvlJc w:val="left"/>
      <w:pPr>
        <w:ind w:left="1680" w:hanging="420"/>
      </w:pPr>
    </w:lvl>
    <w:lvl w:ilvl="4" w:tplc="6B843A80" w:tentative="1">
      <w:start w:val="1"/>
      <w:numFmt w:val="lowerLetter"/>
      <w:lvlText w:val="%5)"/>
      <w:lvlJc w:val="left"/>
      <w:pPr>
        <w:ind w:left="2100" w:hanging="420"/>
      </w:pPr>
    </w:lvl>
    <w:lvl w:ilvl="5" w:tplc="AE94DAF6" w:tentative="1">
      <w:start w:val="1"/>
      <w:numFmt w:val="lowerRoman"/>
      <w:lvlText w:val="%6."/>
      <w:lvlJc w:val="right"/>
      <w:pPr>
        <w:ind w:left="2520" w:hanging="420"/>
      </w:pPr>
    </w:lvl>
    <w:lvl w:ilvl="6" w:tplc="C36E0882" w:tentative="1">
      <w:start w:val="1"/>
      <w:numFmt w:val="decimal"/>
      <w:lvlText w:val="%7."/>
      <w:lvlJc w:val="left"/>
      <w:pPr>
        <w:ind w:left="2940" w:hanging="420"/>
      </w:pPr>
    </w:lvl>
    <w:lvl w:ilvl="7" w:tplc="C180D1F6" w:tentative="1">
      <w:start w:val="1"/>
      <w:numFmt w:val="lowerLetter"/>
      <w:lvlText w:val="%8)"/>
      <w:lvlJc w:val="left"/>
      <w:pPr>
        <w:ind w:left="3360" w:hanging="420"/>
      </w:pPr>
    </w:lvl>
    <w:lvl w:ilvl="8" w:tplc="429CCD28" w:tentative="1">
      <w:start w:val="1"/>
      <w:numFmt w:val="lowerRoman"/>
      <w:lvlText w:val="%9."/>
      <w:lvlJc w:val="right"/>
      <w:pPr>
        <w:ind w:left="3780" w:hanging="420"/>
      </w:pPr>
    </w:lvl>
  </w:abstractNum>
  <w:abstractNum w:abstractNumId="1" w15:restartNumberingAfterBreak="0">
    <w:nsid w:val="4D8C40A7"/>
    <w:multiLevelType w:val="hybridMultilevel"/>
    <w:tmpl w:val="8DA46D50"/>
    <w:lvl w:ilvl="0" w:tplc="33047710">
      <w:start w:val="1"/>
      <w:numFmt w:val="upperLetter"/>
      <w:lvlText w:val="(%1)"/>
      <w:lvlJc w:val="left"/>
      <w:pPr>
        <w:ind w:left="360" w:hanging="360"/>
      </w:pPr>
      <w:rPr>
        <w:rFonts w:hint="default"/>
      </w:rPr>
    </w:lvl>
    <w:lvl w:ilvl="1" w:tplc="23D64330" w:tentative="1">
      <w:start w:val="1"/>
      <w:numFmt w:val="lowerLetter"/>
      <w:lvlText w:val="%2)"/>
      <w:lvlJc w:val="left"/>
      <w:pPr>
        <w:ind w:left="840" w:hanging="420"/>
      </w:pPr>
    </w:lvl>
    <w:lvl w:ilvl="2" w:tplc="058AE5D6" w:tentative="1">
      <w:start w:val="1"/>
      <w:numFmt w:val="lowerRoman"/>
      <w:lvlText w:val="%3."/>
      <w:lvlJc w:val="right"/>
      <w:pPr>
        <w:ind w:left="1260" w:hanging="420"/>
      </w:pPr>
    </w:lvl>
    <w:lvl w:ilvl="3" w:tplc="E6166584" w:tentative="1">
      <w:start w:val="1"/>
      <w:numFmt w:val="decimal"/>
      <w:lvlText w:val="%4."/>
      <w:lvlJc w:val="left"/>
      <w:pPr>
        <w:ind w:left="1680" w:hanging="420"/>
      </w:pPr>
    </w:lvl>
    <w:lvl w:ilvl="4" w:tplc="E3E09616" w:tentative="1">
      <w:start w:val="1"/>
      <w:numFmt w:val="lowerLetter"/>
      <w:lvlText w:val="%5)"/>
      <w:lvlJc w:val="left"/>
      <w:pPr>
        <w:ind w:left="2100" w:hanging="420"/>
      </w:pPr>
    </w:lvl>
    <w:lvl w:ilvl="5" w:tplc="6E62110C" w:tentative="1">
      <w:start w:val="1"/>
      <w:numFmt w:val="lowerRoman"/>
      <w:lvlText w:val="%6."/>
      <w:lvlJc w:val="right"/>
      <w:pPr>
        <w:ind w:left="2520" w:hanging="420"/>
      </w:pPr>
    </w:lvl>
    <w:lvl w:ilvl="6" w:tplc="58A66BA2" w:tentative="1">
      <w:start w:val="1"/>
      <w:numFmt w:val="decimal"/>
      <w:lvlText w:val="%7."/>
      <w:lvlJc w:val="left"/>
      <w:pPr>
        <w:ind w:left="2940" w:hanging="420"/>
      </w:pPr>
    </w:lvl>
    <w:lvl w:ilvl="7" w:tplc="9ABA6960" w:tentative="1">
      <w:start w:val="1"/>
      <w:numFmt w:val="lowerLetter"/>
      <w:lvlText w:val="%8)"/>
      <w:lvlJc w:val="left"/>
      <w:pPr>
        <w:ind w:left="3360" w:hanging="420"/>
      </w:pPr>
    </w:lvl>
    <w:lvl w:ilvl="8" w:tplc="E7985BB6" w:tentative="1">
      <w:start w:val="1"/>
      <w:numFmt w:val="lowerRoman"/>
      <w:lvlText w:val="%9."/>
      <w:lvlJc w:val="right"/>
      <w:pPr>
        <w:ind w:left="3780" w:hanging="420"/>
      </w:pPr>
    </w:lvl>
  </w:abstractNum>
  <w:abstractNum w:abstractNumId="2" w15:restartNumberingAfterBreak="0">
    <w:nsid w:val="586902EE"/>
    <w:multiLevelType w:val="hybridMultilevel"/>
    <w:tmpl w:val="C87E0828"/>
    <w:lvl w:ilvl="0" w:tplc="43ECFF4C">
      <w:start w:val="1"/>
      <w:numFmt w:val="decimal"/>
      <w:lvlText w:val="%1."/>
      <w:lvlJc w:val="left"/>
      <w:pPr>
        <w:ind w:left="360" w:hanging="360"/>
      </w:pPr>
      <w:rPr>
        <w:rFonts w:hint="default"/>
        <w:color w:val="222222"/>
        <w:sz w:val="21"/>
      </w:rPr>
    </w:lvl>
    <w:lvl w:ilvl="1" w:tplc="B1BCFA14" w:tentative="1">
      <w:start w:val="1"/>
      <w:numFmt w:val="lowerLetter"/>
      <w:lvlText w:val="%2)"/>
      <w:lvlJc w:val="left"/>
      <w:pPr>
        <w:ind w:left="840" w:hanging="420"/>
      </w:pPr>
    </w:lvl>
    <w:lvl w:ilvl="2" w:tplc="8D904128" w:tentative="1">
      <w:start w:val="1"/>
      <w:numFmt w:val="lowerRoman"/>
      <w:lvlText w:val="%3."/>
      <w:lvlJc w:val="right"/>
      <w:pPr>
        <w:ind w:left="1260" w:hanging="420"/>
      </w:pPr>
    </w:lvl>
    <w:lvl w:ilvl="3" w:tplc="F2740EE6" w:tentative="1">
      <w:start w:val="1"/>
      <w:numFmt w:val="decimal"/>
      <w:lvlText w:val="%4."/>
      <w:lvlJc w:val="left"/>
      <w:pPr>
        <w:ind w:left="1680" w:hanging="420"/>
      </w:pPr>
    </w:lvl>
    <w:lvl w:ilvl="4" w:tplc="F6D883B4" w:tentative="1">
      <w:start w:val="1"/>
      <w:numFmt w:val="lowerLetter"/>
      <w:lvlText w:val="%5)"/>
      <w:lvlJc w:val="left"/>
      <w:pPr>
        <w:ind w:left="2100" w:hanging="420"/>
      </w:pPr>
    </w:lvl>
    <w:lvl w:ilvl="5" w:tplc="301AC8B0" w:tentative="1">
      <w:start w:val="1"/>
      <w:numFmt w:val="lowerRoman"/>
      <w:lvlText w:val="%6."/>
      <w:lvlJc w:val="right"/>
      <w:pPr>
        <w:ind w:left="2520" w:hanging="420"/>
      </w:pPr>
    </w:lvl>
    <w:lvl w:ilvl="6" w:tplc="C2F6E27C" w:tentative="1">
      <w:start w:val="1"/>
      <w:numFmt w:val="decimal"/>
      <w:lvlText w:val="%7."/>
      <w:lvlJc w:val="left"/>
      <w:pPr>
        <w:ind w:left="2940" w:hanging="420"/>
      </w:pPr>
    </w:lvl>
    <w:lvl w:ilvl="7" w:tplc="744C0966" w:tentative="1">
      <w:start w:val="1"/>
      <w:numFmt w:val="lowerLetter"/>
      <w:lvlText w:val="%8)"/>
      <w:lvlJc w:val="left"/>
      <w:pPr>
        <w:ind w:left="3360" w:hanging="420"/>
      </w:pPr>
    </w:lvl>
    <w:lvl w:ilvl="8" w:tplc="EA6025DC" w:tentative="1">
      <w:start w:val="1"/>
      <w:numFmt w:val="lowerRoman"/>
      <w:lvlText w:val="%9."/>
      <w:lvlJc w:val="right"/>
      <w:pPr>
        <w:ind w:left="3780" w:hanging="420"/>
      </w:pPr>
    </w:lvl>
  </w:abstractNum>
  <w:abstractNum w:abstractNumId="3" w15:restartNumberingAfterBreak="0">
    <w:nsid w:val="62A35A2D"/>
    <w:multiLevelType w:val="multilevel"/>
    <w:tmpl w:val="C92E885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4A3671C"/>
    <w:multiLevelType w:val="hybridMultilevel"/>
    <w:tmpl w:val="F5347B4E"/>
    <w:lvl w:ilvl="0" w:tplc="23E6B330">
      <w:start w:val="1"/>
      <w:numFmt w:val="decimal"/>
      <w:lvlText w:val="%1)"/>
      <w:lvlJc w:val="left"/>
      <w:pPr>
        <w:ind w:left="360" w:hanging="360"/>
      </w:pPr>
      <w:rPr>
        <w:rFonts w:hint="default"/>
      </w:rPr>
    </w:lvl>
    <w:lvl w:ilvl="1" w:tplc="DFB00B28" w:tentative="1">
      <w:start w:val="1"/>
      <w:numFmt w:val="lowerLetter"/>
      <w:lvlText w:val="%2)"/>
      <w:lvlJc w:val="left"/>
      <w:pPr>
        <w:ind w:left="840" w:hanging="420"/>
      </w:pPr>
    </w:lvl>
    <w:lvl w:ilvl="2" w:tplc="69C29FF4" w:tentative="1">
      <w:start w:val="1"/>
      <w:numFmt w:val="lowerRoman"/>
      <w:lvlText w:val="%3."/>
      <w:lvlJc w:val="right"/>
      <w:pPr>
        <w:ind w:left="1260" w:hanging="420"/>
      </w:pPr>
    </w:lvl>
    <w:lvl w:ilvl="3" w:tplc="C5E22518" w:tentative="1">
      <w:start w:val="1"/>
      <w:numFmt w:val="decimal"/>
      <w:lvlText w:val="%4."/>
      <w:lvlJc w:val="left"/>
      <w:pPr>
        <w:ind w:left="1680" w:hanging="420"/>
      </w:pPr>
    </w:lvl>
    <w:lvl w:ilvl="4" w:tplc="7B306B9C" w:tentative="1">
      <w:start w:val="1"/>
      <w:numFmt w:val="lowerLetter"/>
      <w:lvlText w:val="%5)"/>
      <w:lvlJc w:val="left"/>
      <w:pPr>
        <w:ind w:left="2100" w:hanging="420"/>
      </w:pPr>
    </w:lvl>
    <w:lvl w:ilvl="5" w:tplc="DE282964" w:tentative="1">
      <w:start w:val="1"/>
      <w:numFmt w:val="lowerRoman"/>
      <w:lvlText w:val="%6."/>
      <w:lvlJc w:val="right"/>
      <w:pPr>
        <w:ind w:left="2520" w:hanging="420"/>
      </w:pPr>
    </w:lvl>
    <w:lvl w:ilvl="6" w:tplc="6956825A" w:tentative="1">
      <w:start w:val="1"/>
      <w:numFmt w:val="decimal"/>
      <w:lvlText w:val="%7."/>
      <w:lvlJc w:val="left"/>
      <w:pPr>
        <w:ind w:left="2940" w:hanging="420"/>
      </w:pPr>
    </w:lvl>
    <w:lvl w:ilvl="7" w:tplc="263041A0" w:tentative="1">
      <w:start w:val="1"/>
      <w:numFmt w:val="lowerLetter"/>
      <w:lvlText w:val="%8)"/>
      <w:lvlJc w:val="left"/>
      <w:pPr>
        <w:ind w:left="3360" w:hanging="420"/>
      </w:pPr>
    </w:lvl>
    <w:lvl w:ilvl="8" w:tplc="1486A36E" w:tentative="1">
      <w:start w:val="1"/>
      <w:numFmt w:val="lowerRoman"/>
      <w:lvlText w:val="%9."/>
      <w:lvlJc w:val="right"/>
      <w:pPr>
        <w:ind w:left="3780" w:hanging="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hideSpellingErrors/>
  <w:hideGrammaticalErrors/>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xNDQxN7S0MDW3MDBT0lEKTi0uzszPAykwqQUA3yad9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9aa22z2jdzvtfe52vqxpfw9wpraze9w25rw&quot;&gt;My EndNote Library&lt;record-ids&gt;&lt;item&gt;604&lt;/item&gt;&lt;item&gt;605&lt;/item&gt;&lt;item&gt;606&lt;/item&gt;&lt;item&gt;607&lt;/item&gt;&lt;item&gt;609&lt;/item&gt;&lt;item&gt;611&lt;/item&gt;&lt;item&gt;612&lt;/item&gt;&lt;item&gt;613&lt;/item&gt;&lt;item&gt;614&lt;/item&gt;&lt;item&gt;615&lt;/item&gt;&lt;item&gt;620&lt;/item&gt;&lt;item&gt;621&lt;/item&gt;&lt;item&gt;622&lt;/item&gt;&lt;item&gt;623&lt;/item&gt;&lt;item&gt;624&lt;/item&gt;&lt;item&gt;625&lt;/item&gt;&lt;item&gt;626&lt;/item&gt;&lt;item&gt;631&lt;/item&gt;&lt;item&gt;632&lt;/item&gt;&lt;item&gt;633&lt;/item&gt;&lt;item&gt;634&lt;/item&gt;&lt;item&gt;635&lt;/item&gt;&lt;item&gt;636&lt;/item&gt;&lt;item&gt;641&lt;/item&gt;&lt;item&gt;642&lt;/item&gt;&lt;item&gt;644&lt;/item&gt;&lt;item&gt;645&lt;/item&gt;&lt;item&gt;646&lt;/item&gt;&lt;item&gt;649&lt;/item&gt;&lt;item&gt;650&lt;/item&gt;&lt;item&gt;651&lt;/item&gt;&lt;item&gt;652&lt;/item&gt;&lt;item&gt;1099&lt;/item&gt;&lt;item&gt;1100&lt;/item&gt;&lt;/record-ids&gt;&lt;/item&gt;&lt;/Libraries&gt;"/>
    <w:docVar w:name="MachineID" w:val="186|199|197|201|190|197|201|203|197|204|205|197|201|188|197|198|198|"/>
    <w:docVar w:name="Username" w:val="Editor"/>
  </w:docVars>
  <w:rsids>
    <w:rsidRoot w:val="00440DC1"/>
    <w:rsid w:val="00022782"/>
    <w:rsid w:val="00025C6C"/>
    <w:rsid w:val="00026B89"/>
    <w:rsid w:val="00044503"/>
    <w:rsid w:val="00047EE5"/>
    <w:rsid w:val="00050ED6"/>
    <w:rsid w:val="00071435"/>
    <w:rsid w:val="00076F42"/>
    <w:rsid w:val="00082CDE"/>
    <w:rsid w:val="000955ED"/>
    <w:rsid w:val="000A1D43"/>
    <w:rsid w:val="000A6A25"/>
    <w:rsid w:val="000B53BF"/>
    <w:rsid w:val="000C47BB"/>
    <w:rsid w:val="000D798D"/>
    <w:rsid w:val="000F520E"/>
    <w:rsid w:val="00100F02"/>
    <w:rsid w:val="00102AC8"/>
    <w:rsid w:val="001130FA"/>
    <w:rsid w:val="00114391"/>
    <w:rsid w:val="00127995"/>
    <w:rsid w:val="00134F7C"/>
    <w:rsid w:val="001360C7"/>
    <w:rsid w:val="00141815"/>
    <w:rsid w:val="00142CD6"/>
    <w:rsid w:val="001478A5"/>
    <w:rsid w:val="00155076"/>
    <w:rsid w:val="00166911"/>
    <w:rsid w:val="00175E5B"/>
    <w:rsid w:val="001809B7"/>
    <w:rsid w:val="001839FC"/>
    <w:rsid w:val="00185CCF"/>
    <w:rsid w:val="00197BE5"/>
    <w:rsid w:val="001B2345"/>
    <w:rsid w:val="001D4A22"/>
    <w:rsid w:val="001D5FDB"/>
    <w:rsid w:val="001E2FF7"/>
    <w:rsid w:val="001E3853"/>
    <w:rsid w:val="001E3A2C"/>
    <w:rsid w:val="001F07F0"/>
    <w:rsid w:val="001F1A70"/>
    <w:rsid w:val="001F563A"/>
    <w:rsid w:val="002141FB"/>
    <w:rsid w:val="00217209"/>
    <w:rsid w:val="002243AB"/>
    <w:rsid w:val="00236FF6"/>
    <w:rsid w:val="0024031C"/>
    <w:rsid w:val="00240E18"/>
    <w:rsid w:val="0024124E"/>
    <w:rsid w:val="00255E32"/>
    <w:rsid w:val="002646D5"/>
    <w:rsid w:val="002652EA"/>
    <w:rsid w:val="00265422"/>
    <w:rsid w:val="0027520E"/>
    <w:rsid w:val="002764D1"/>
    <w:rsid w:val="00277711"/>
    <w:rsid w:val="002959DF"/>
    <w:rsid w:val="002A6161"/>
    <w:rsid w:val="002B0BF3"/>
    <w:rsid w:val="002B21D5"/>
    <w:rsid w:val="002B462A"/>
    <w:rsid w:val="002B5C89"/>
    <w:rsid w:val="002C3C5B"/>
    <w:rsid w:val="002D4BF8"/>
    <w:rsid w:val="002D6E37"/>
    <w:rsid w:val="002F6705"/>
    <w:rsid w:val="00305AB5"/>
    <w:rsid w:val="003075CB"/>
    <w:rsid w:val="00315376"/>
    <w:rsid w:val="00321B7F"/>
    <w:rsid w:val="00346A83"/>
    <w:rsid w:val="0034734D"/>
    <w:rsid w:val="00347521"/>
    <w:rsid w:val="00352AE8"/>
    <w:rsid w:val="00353A45"/>
    <w:rsid w:val="0035497E"/>
    <w:rsid w:val="00360882"/>
    <w:rsid w:val="003672EA"/>
    <w:rsid w:val="003762E8"/>
    <w:rsid w:val="00381DF0"/>
    <w:rsid w:val="0038443C"/>
    <w:rsid w:val="00391F64"/>
    <w:rsid w:val="003A22DD"/>
    <w:rsid w:val="003A5707"/>
    <w:rsid w:val="003C21D9"/>
    <w:rsid w:val="003C75E6"/>
    <w:rsid w:val="003D2084"/>
    <w:rsid w:val="003D3BB4"/>
    <w:rsid w:val="003D4BC5"/>
    <w:rsid w:val="003D569A"/>
    <w:rsid w:val="003E70E1"/>
    <w:rsid w:val="003F2D92"/>
    <w:rsid w:val="003F3D82"/>
    <w:rsid w:val="00401EDB"/>
    <w:rsid w:val="00405FEE"/>
    <w:rsid w:val="00411515"/>
    <w:rsid w:val="00412EB6"/>
    <w:rsid w:val="004156C7"/>
    <w:rsid w:val="00420C65"/>
    <w:rsid w:val="00421ABA"/>
    <w:rsid w:val="00431191"/>
    <w:rsid w:val="004312C4"/>
    <w:rsid w:val="00440A53"/>
    <w:rsid w:val="00440DC1"/>
    <w:rsid w:val="004446A8"/>
    <w:rsid w:val="00471C0B"/>
    <w:rsid w:val="004853B5"/>
    <w:rsid w:val="00487ECF"/>
    <w:rsid w:val="0049711C"/>
    <w:rsid w:val="004B2394"/>
    <w:rsid w:val="004B46EB"/>
    <w:rsid w:val="004B5021"/>
    <w:rsid w:val="004C21E9"/>
    <w:rsid w:val="004C4B2F"/>
    <w:rsid w:val="004E49FE"/>
    <w:rsid w:val="004F1C7F"/>
    <w:rsid w:val="004F24A2"/>
    <w:rsid w:val="004F7CB3"/>
    <w:rsid w:val="00511E50"/>
    <w:rsid w:val="00517BD8"/>
    <w:rsid w:val="00534E2E"/>
    <w:rsid w:val="0055252D"/>
    <w:rsid w:val="00554EAE"/>
    <w:rsid w:val="005554B2"/>
    <w:rsid w:val="00556771"/>
    <w:rsid w:val="0056389D"/>
    <w:rsid w:val="00565638"/>
    <w:rsid w:val="005936B6"/>
    <w:rsid w:val="005B0CC8"/>
    <w:rsid w:val="005B7B69"/>
    <w:rsid w:val="005C2C63"/>
    <w:rsid w:val="005C2D63"/>
    <w:rsid w:val="005D19F9"/>
    <w:rsid w:val="005D3CA0"/>
    <w:rsid w:val="005E1341"/>
    <w:rsid w:val="005E4E76"/>
    <w:rsid w:val="006125CE"/>
    <w:rsid w:val="00623CC2"/>
    <w:rsid w:val="006261DD"/>
    <w:rsid w:val="00632E35"/>
    <w:rsid w:val="00642D66"/>
    <w:rsid w:val="00644A1A"/>
    <w:rsid w:val="006510AE"/>
    <w:rsid w:val="006529A5"/>
    <w:rsid w:val="00652D1D"/>
    <w:rsid w:val="006624C2"/>
    <w:rsid w:val="00671A72"/>
    <w:rsid w:val="00672334"/>
    <w:rsid w:val="00673410"/>
    <w:rsid w:val="006752BD"/>
    <w:rsid w:val="00675FF8"/>
    <w:rsid w:val="006812B1"/>
    <w:rsid w:val="00695882"/>
    <w:rsid w:val="006A2B23"/>
    <w:rsid w:val="006A7842"/>
    <w:rsid w:val="006A7ABF"/>
    <w:rsid w:val="006B35A7"/>
    <w:rsid w:val="006C03F1"/>
    <w:rsid w:val="006C550B"/>
    <w:rsid w:val="006D0591"/>
    <w:rsid w:val="006D193E"/>
    <w:rsid w:val="006E39B9"/>
    <w:rsid w:val="006F5541"/>
    <w:rsid w:val="006F7629"/>
    <w:rsid w:val="00716223"/>
    <w:rsid w:val="0071703D"/>
    <w:rsid w:val="0072013A"/>
    <w:rsid w:val="0072639F"/>
    <w:rsid w:val="00753B04"/>
    <w:rsid w:val="00757605"/>
    <w:rsid w:val="00764C38"/>
    <w:rsid w:val="00764EDC"/>
    <w:rsid w:val="00776AAD"/>
    <w:rsid w:val="007912D2"/>
    <w:rsid w:val="00792B0F"/>
    <w:rsid w:val="00793388"/>
    <w:rsid w:val="007952B8"/>
    <w:rsid w:val="007A3243"/>
    <w:rsid w:val="007B2D5D"/>
    <w:rsid w:val="007B3835"/>
    <w:rsid w:val="007B6F5F"/>
    <w:rsid w:val="007C401C"/>
    <w:rsid w:val="007D7FDF"/>
    <w:rsid w:val="007E0AF9"/>
    <w:rsid w:val="007E2089"/>
    <w:rsid w:val="007E6C26"/>
    <w:rsid w:val="007F0698"/>
    <w:rsid w:val="007F25CE"/>
    <w:rsid w:val="0081537F"/>
    <w:rsid w:val="00815B64"/>
    <w:rsid w:val="0081775A"/>
    <w:rsid w:val="0083165F"/>
    <w:rsid w:val="008434DA"/>
    <w:rsid w:val="0086092F"/>
    <w:rsid w:val="0087334E"/>
    <w:rsid w:val="0088248B"/>
    <w:rsid w:val="008977F9"/>
    <w:rsid w:val="008A3EB8"/>
    <w:rsid w:val="008A7E76"/>
    <w:rsid w:val="008B4D7D"/>
    <w:rsid w:val="008B4F38"/>
    <w:rsid w:val="008C0CEC"/>
    <w:rsid w:val="008D1BF4"/>
    <w:rsid w:val="008E1A4A"/>
    <w:rsid w:val="008E452C"/>
    <w:rsid w:val="008E49E3"/>
    <w:rsid w:val="008F5262"/>
    <w:rsid w:val="009137B1"/>
    <w:rsid w:val="0091713B"/>
    <w:rsid w:val="00926A2B"/>
    <w:rsid w:val="00933E2A"/>
    <w:rsid w:val="0094354B"/>
    <w:rsid w:val="00951680"/>
    <w:rsid w:val="00954000"/>
    <w:rsid w:val="00954684"/>
    <w:rsid w:val="00960075"/>
    <w:rsid w:val="0096754E"/>
    <w:rsid w:val="00986493"/>
    <w:rsid w:val="00986A27"/>
    <w:rsid w:val="00996073"/>
    <w:rsid w:val="009C0B5D"/>
    <w:rsid w:val="009C689C"/>
    <w:rsid w:val="009D295B"/>
    <w:rsid w:val="009E4209"/>
    <w:rsid w:val="009F1E30"/>
    <w:rsid w:val="009F20DA"/>
    <w:rsid w:val="009F2C00"/>
    <w:rsid w:val="009F6B2C"/>
    <w:rsid w:val="009F7AB8"/>
    <w:rsid w:val="00A002DC"/>
    <w:rsid w:val="00A005EA"/>
    <w:rsid w:val="00A025E1"/>
    <w:rsid w:val="00A147B3"/>
    <w:rsid w:val="00A16240"/>
    <w:rsid w:val="00A2573E"/>
    <w:rsid w:val="00A25FE6"/>
    <w:rsid w:val="00A40F08"/>
    <w:rsid w:val="00A41332"/>
    <w:rsid w:val="00A53A2B"/>
    <w:rsid w:val="00A55C70"/>
    <w:rsid w:val="00A644FD"/>
    <w:rsid w:val="00A6720B"/>
    <w:rsid w:val="00A723F5"/>
    <w:rsid w:val="00A737D1"/>
    <w:rsid w:val="00A942E4"/>
    <w:rsid w:val="00AA240F"/>
    <w:rsid w:val="00AA269D"/>
    <w:rsid w:val="00AB40C5"/>
    <w:rsid w:val="00AB6501"/>
    <w:rsid w:val="00AC2F0B"/>
    <w:rsid w:val="00AC6EAD"/>
    <w:rsid w:val="00AE3E86"/>
    <w:rsid w:val="00AE5B17"/>
    <w:rsid w:val="00AF1A58"/>
    <w:rsid w:val="00AF1C91"/>
    <w:rsid w:val="00B1440B"/>
    <w:rsid w:val="00B17FBD"/>
    <w:rsid w:val="00B22A38"/>
    <w:rsid w:val="00B27465"/>
    <w:rsid w:val="00B43AF5"/>
    <w:rsid w:val="00B4419E"/>
    <w:rsid w:val="00B51D90"/>
    <w:rsid w:val="00B52DE3"/>
    <w:rsid w:val="00B54E1F"/>
    <w:rsid w:val="00B6505C"/>
    <w:rsid w:val="00B6609E"/>
    <w:rsid w:val="00B77D89"/>
    <w:rsid w:val="00B94EB6"/>
    <w:rsid w:val="00B97133"/>
    <w:rsid w:val="00B97351"/>
    <w:rsid w:val="00BA2B81"/>
    <w:rsid w:val="00BB3334"/>
    <w:rsid w:val="00BC0906"/>
    <w:rsid w:val="00BC2D8C"/>
    <w:rsid w:val="00BC31D0"/>
    <w:rsid w:val="00BD1D55"/>
    <w:rsid w:val="00BE0993"/>
    <w:rsid w:val="00BE3EB6"/>
    <w:rsid w:val="00BF25BD"/>
    <w:rsid w:val="00BF2AD0"/>
    <w:rsid w:val="00BF310B"/>
    <w:rsid w:val="00C0447B"/>
    <w:rsid w:val="00C156B4"/>
    <w:rsid w:val="00C21F6C"/>
    <w:rsid w:val="00C43C7A"/>
    <w:rsid w:val="00C440C0"/>
    <w:rsid w:val="00C6706D"/>
    <w:rsid w:val="00C73631"/>
    <w:rsid w:val="00C77FAA"/>
    <w:rsid w:val="00C8145A"/>
    <w:rsid w:val="00C82F9D"/>
    <w:rsid w:val="00C85E23"/>
    <w:rsid w:val="00C910EC"/>
    <w:rsid w:val="00CB1FB6"/>
    <w:rsid w:val="00CC6059"/>
    <w:rsid w:val="00CE4475"/>
    <w:rsid w:val="00CE502B"/>
    <w:rsid w:val="00D031AE"/>
    <w:rsid w:val="00D065CF"/>
    <w:rsid w:val="00D25CC6"/>
    <w:rsid w:val="00D33FBB"/>
    <w:rsid w:val="00D40408"/>
    <w:rsid w:val="00D444D1"/>
    <w:rsid w:val="00D44B26"/>
    <w:rsid w:val="00D4611B"/>
    <w:rsid w:val="00D53D27"/>
    <w:rsid w:val="00D761CA"/>
    <w:rsid w:val="00D764C1"/>
    <w:rsid w:val="00D812E1"/>
    <w:rsid w:val="00D84378"/>
    <w:rsid w:val="00D87077"/>
    <w:rsid w:val="00D923D8"/>
    <w:rsid w:val="00D93999"/>
    <w:rsid w:val="00D974AF"/>
    <w:rsid w:val="00DA1F8E"/>
    <w:rsid w:val="00DB6673"/>
    <w:rsid w:val="00DC1286"/>
    <w:rsid w:val="00DF7A28"/>
    <w:rsid w:val="00E01661"/>
    <w:rsid w:val="00E175A2"/>
    <w:rsid w:val="00E27D84"/>
    <w:rsid w:val="00E30098"/>
    <w:rsid w:val="00E33C1C"/>
    <w:rsid w:val="00E505ED"/>
    <w:rsid w:val="00E55CC5"/>
    <w:rsid w:val="00E81629"/>
    <w:rsid w:val="00E84125"/>
    <w:rsid w:val="00E85B2F"/>
    <w:rsid w:val="00E95AE7"/>
    <w:rsid w:val="00EA6426"/>
    <w:rsid w:val="00EA6C98"/>
    <w:rsid w:val="00EB067B"/>
    <w:rsid w:val="00ED1ABD"/>
    <w:rsid w:val="00ED69E0"/>
    <w:rsid w:val="00EE2B37"/>
    <w:rsid w:val="00F06D09"/>
    <w:rsid w:val="00F104E4"/>
    <w:rsid w:val="00F12B0A"/>
    <w:rsid w:val="00F15BEA"/>
    <w:rsid w:val="00F179A9"/>
    <w:rsid w:val="00F208FB"/>
    <w:rsid w:val="00F23188"/>
    <w:rsid w:val="00F23ED2"/>
    <w:rsid w:val="00F31CD8"/>
    <w:rsid w:val="00F35862"/>
    <w:rsid w:val="00F41E70"/>
    <w:rsid w:val="00F548AB"/>
    <w:rsid w:val="00F56DC6"/>
    <w:rsid w:val="00F65022"/>
    <w:rsid w:val="00F7325E"/>
    <w:rsid w:val="00F82C36"/>
    <w:rsid w:val="00F83C46"/>
    <w:rsid w:val="00F8494A"/>
    <w:rsid w:val="00F919F4"/>
    <w:rsid w:val="00FA6AC2"/>
    <w:rsid w:val="00FA6D39"/>
    <w:rsid w:val="00FD0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D82170"/>
  <w15:chartTrackingRefBased/>
  <w15:docId w15:val="{FD833974-72D6-49D7-8B94-B21EEE93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6D09"/>
    <w:rPr>
      <w:color w:val="0000FF"/>
      <w:u w:val="single"/>
    </w:rPr>
  </w:style>
  <w:style w:type="character" w:styleId="a4">
    <w:name w:val="Placeholder Text"/>
    <w:basedOn w:val="a0"/>
    <w:uiPriority w:val="99"/>
    <w:semiHidden/>
    <w:rsid w:val="0096754E"/>
    <w:rPr>
      <w:color w:val="808080"/>
    </w:rPr>
  </w:style>
  <w:style w:type="character" w:customStyle="1" w:styleId="1">
    <w:name w:val="未处理的提及1"/>
    <w:basedOn w:val="a0"/>
    <w:uiPriority w:val="99"/>
    <w:semiHidden/>
    <w:unhideWhenUsed/>
    <w:rsid w:val="001E2FF7"/>
    <w:rPr>
      <w:color w:val="605E5C"/>
      <w:shd w:val="clear" w:color="auto" w:fill="E1DFDD"/>
    </w:rPr>
  </w:style>
  <w:style w:type="paragraph" w:styleId="a5">
    <w:name w:val="List Paragraph"/>
    <w:basedOn w:val="a"/>
    <w:uiPriority w:val="34"/>
    <w:qFormat/>
    <w:rsid w:val="00175E5B"/>
    <w:pPr>
      <w:ind w:firstLineChars="200" w:firstLine="420"/>
    </w:pPr>
  </w:style>
  <w:style w:type="paragraph" w:customStyle="1" w:styleId="MDPI14history">
    <w:name w:val="MDPI_1.4_history"/>
    <w:basedOn w:val="a"/>
    <w:next w:val="a"/>
    <w:qFormat/>
    <w:rsid w:val="00A644FD"/>
    <w:pPr>
      <w:widowControl/>
      <w:adjustRightInd w:val="0"/>
      <w:snapToGrid w:val="0"/>
      <w:spacing w:before="120" w:line="200" w:lineRule="atLeast"/>
      <w:ind w:left="113"/>
      <w:jc w:val="left"/>
    </w:pPr>
    <w:rPr>
      <w:rFonts w:ascii="Palatino Linotype" w:eastAsia="Times New Roman" w:hAnsi="Palatino Linotype" w:cs="Times New Roman"/>
      <w:color w:val="000000"/>
      <w:kern w:val="0"/>
      <w:sz w:val="18"/>
      <w:szCs w:val="20"/>
      <w:lang w:eastAsia="de-DE" w:bidi="en-US"/>
    </w:rPr>
  </w:style>
  <w:style w:type="paragraph" w:styleId="a6">
    <w:name w:val="Balloon Text"/>
    <w:basedOn w:val="a"/>
    <w:link w:val="a7"/>
    <w:uiPriority w:val="99"/>
    <w:semiHidden/>
    <w:unhideWhenUsed/>
    <w:rsid w:val="006624C2"/>
    <w:rPr>
      <w:rFonts w:ascii="Segoe UI" w:hAnsi="Segoe UI" w:cs="Segoe UI"/>
      <w:sz w:val="18"/>
      <w:szCs w:val="18"/>
    </w:rPr>
  </w:style>
  <w:style w:type="character" w:customStyle="1" w:styleId="a7">
    <w:name w:val="批注框文本 字符"/>
    <w:basedOn w:val="a0"/>
    <w:link w:val="a6"/>
    <w:uiPriority w:val="99"/>
    <w:semiHidden/>
    <w:rsid w:val="006624C2"/>
    <w:rPr>
      <w:rFonts w:ascii="Segoe UI" w:hAnsi="Segoe UI" w:cs="Segoe UI"/>
      <w:sz w:val="18"/>
      <w:szCs w:val="18"/>
    </w:rPr>
  </w:style>
  <w:style w:type="character" w:styleId="a8">
    <w:name w:val="annotation reference"/>
    <w:basedOn w:val="a0"/>
    <w:uiPriority w:val="99"/>
    <w:semiHidden/>
    <w:unhideWhenUsed/>
    <w:rsid w:val="00C82F9D"/>
    <w:rPr>
      <w:rFonts w:ascii="Tahoma" w:hAnsi="Tahoma" w:cs="Tahoma"/>
      <w:b w:val="0"/>
      <w:i w:val="0"/>
      <w:caps w:val="0"/>
      <w:strike w:val="0"/>
      <w:sz w:val="16"/>
      <w:szCs w:val="16"/>
      <w:u w:val="none"/>
    </w:rPr>
  </w:style>
  <w:style w:type="paragraph" w:styleId="a9">
    <w:name w:val="annotation text"/>
    <w:basedOn w:val="a"/>
    <w:link w:val="aa"/>
    <w:uiPriority w:val="99"/>
    <w:semiHidden/>
    <w:unhideWhenUsed/>
    <w:rsid w:val="00C82F9D"/>
    <w:rPr>
      <w:rFonts w:ascii="Tahoma" w:hAnsi="Tahoma" w:cs="Tahoma"/>
      <w:sz w:val="16"/>
      <w:szCs w:val="20"/>
    </w:rPr>
  </w:style>
  <w:style w:type="character" w:customStyle="1" w:styleId="aa">
    <w:name w:val="批注文字 字符"/>
    <w:basedOn w:val="a0"/>
    <w:link w:val="a9"/>
    <w:uiPriority w:val="99"/>
    <w:semiHidden/>
    <w:rsid w:val="00C82F9D"/>
    <w:rPr>
      <w:rFonts w:ascii="Tahoma" w:hAnsi="Tahoma" w:cs="Tahoma"/>
      <w:sz w:val="16"/>
      <w:szCs w:val="20"/>
    </w:rPr>
  </w:style>
  <w:style w:type="paragraph" w:styleId="ab">
    <w:name w:val="annotation subject"/>
    <w:basedOn w:val="a9"/>
    <w:next w:val="a9"/>
    <w:link w:val="ac"/>
    <w:uiPriority w:val="99"/>
    <w:semiHidden/>
    <w:unhideWhenUsed/>
    <w:rsid w:val="00C82F9D"/>
    <w:rPr>
      <w:b/>
      <w:bCs/>
    </w:rPr>
  </w:style>
  <w:style w:type="character" w:customStyle="1" w:styleId="ac">
    <w:name w:val="批注主题 字符"/>
    <w:basedOn w:val="aa"/>
    <w:link w:val="ab"/>
    <w:uiPriority w:val="99"/>
    <w:semiHidden/>
    <w:rsid w:val="00C82F9D"/>
    <w:rPr>
      <w:rFonts w:ascii="Tahoma" w:hAnsi="Tahoma" w:cs="Tahoma"/>
      <w:b/>
      <w:bCs/>
      <w:sz w:val="16"/>
      <w:szCs w:val="20"/>
    </w:rPr>
  </w:style>
  <w:style w:type="character" w:customStyle="1" w:styleId="UnresolvedMention1">
    <w:name w:val="Unresolved Mention1"/>
    <w:basedOn w:val="a0"/>
    <w:uiPriority w:val="99"/>
    <w:semiHidden/>
    <w:unhideWhenUsed/>
    <w:rsid w:val="00141815"/>
    <w:rPr>
      <w:color w:val="605E5C"/>
      <w:shd w:val="clear" w:color="auto" w:fill="E1DFDD"/>
    </w:rPr>
  </w:style>
  <w:style w:type="character" w:styleId="ad">
    <w:name w:val="line number"/>
    <w:basedOn w:val="a0"/>
    <w:uiPriority w:val="99"/>
    <w:semiHidden/>
    <w:unhideWhenUsed/>
    <w:rsid w:val="00926A2B"/>
  </w:style>
  <w:style w:type="paragraph" w:styleId="ae">
    <w:name w:val="Revision"/>
    <w:hidden/>
    <w:uiPriority w:val="99"/>
    <w:semiHidden/>
    <w:rsid w:val="00926A2B"/>
  </w:style>
  <w:style w:type="character" w:customStyle="1" w:styleId="2">
    <w:name w:val="未处理的提及2"/>
    <w:basedOn w:val="a0"/>
    <w:uiPriority w:val="99"/>
    <w:rsid w:val="00CB1FB6"/>
    <w:rPr>
      <w:color w:val="605E5C"/>
      <w:shd w:val="clear" w:color="auto" w:fill="E1DFDD"/>
    </w:rPr>
  </w:style>
  <w:style w:type="character" w:customStyle="1" w:styleId="3">
    <w:name w:val="未处理的提及3"/>
    <w:basedOn w:val="a0"/>
    <w:uiPriority w:val="99"/>
    <w:semiHidden/>
    <w:unhideWhenUsed/>
    <w:rsid w:val="004156C7"/>
    <w:rPr>
      <w:color w:val="605E5C"/>
      <w:shd w:val="clear" w:color="auto" w:fill="E1DFDD"/>
    </w:rPr>
  </w:style>
  <w:style w:type="paragraph" w:styleId="af">
    <w:name w:val="header"/>
    <w:basedOn w:val="a"/>
    <w:link w:val="af0"/>
    <w:uiPriority w:val="99"/>
    <w:unhideWhenUsed/>
    <w:rsid w:val="00360882"/>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uiPriority w:val="99"/>
    <w:rsid w:val="00360882"/>
    <w:rPr>
      <w:sz w:val="18"/>
      <w:szCs w:val="18"/>
    </w:rPr>
  </w:style>
  <w:style w:type="paragraph" w:styleId="af1">
    <w:name w:val="footer"/>
    <w:basedOn w:val="a"/>
    <w:link w:val="af2"/>
    <w:uiPriority w:val="99"/>
    <w:unhideWhenUsed/>
    <w:rsid w:val="00360882"/>
    <w:pPr>
      <w:tabs>
        <w:tab w:val="center" w:pos="4153"/>
        <w:tab w:val="right" w:pos="8306"/>
      </w:tabs>
      <w:snapToGrid w:val="0"/>
      <w:jc w:val="left"/>
    </w:pPr>
    <w:rPr>
      <w:sz w:val="18"/>
      <w:szCs w:val="18"/>
    </w:rPr>
  </w:style>
  <w:style w:type="character" w:customStyle="1" w:styleId="af2">
    <w:name w:val="页脚 字符"/>
    <w:basedOn w:val="a0"/>
    <w:link w:val="af1"/>
    <w:uiPriority w:val="99"/>
    <w:rsid w:val="00360882"/>
    <w:rPr>
      <w:sz w:val="18"/>
      <w:szCs w:val="18"/>
    </w:rPr>
  </w:style>
  <w:style w:type="table" w:styleId="20">
    <w:name w:val="Grid Table 2"/>
    <w:basedOn w:val="a1"/>
    <w:uiPriority w:val="47"/>
    <w:rsid w:val="008B4F3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3">
    <w:name w:val="Unresolved Mention"/>
    <w:basedOn w:val="a0"/>
    <w:uiPriority w:val="99"/>
    <w:semiHidden/>
    <w:unhideWhenUsed/>
    <w:rsid w:val="0083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75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uanwen.bao@tum.de" TargetMode="External"/><Relationship Id="rId13" Type="http://schemas.openxmlformats.org/officeDocument/2006/relationships/hyperlink" Target="https://www.innatedb.com/redirect.do?go=resourcesGeneLis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ide.dfci.harvard.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s.broadinstitute.org/cc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bi.nlm.nih.gov/geo/" TargetMode="External"/><Relationship Id="rId4" Type="http://schemas.openxmlformats.org/officeDocument/2006/relationships/settings" Target="settings.xml"/><Relationship Id="rId9" Type="http://schemas.openxmlformats.org/officeDocument/2006/relationships/hyperlink" Target="mailto:yangfang.wang@cup.uni-muenchen.de"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9B878-BE8F-4BE0-8969-800B114B2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3391</TotalTime>
  <Pages>14</Pages>
  <Words>8904</Words>
  <Characters>50757</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bao</dc:creator>
  <cp:lastModifiedBy>bao</cp:lastModifiedBy>
  <cp:revision>100</cp:revision>
  <dcterms:created xsi:type="dcterms:W3CDTF">2019-10-08T22:16:00Z</dcterms:created>
  <dcterms:modified xsi:type="dcterms:W3CDTF">2020-05-22T09:59:00Z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43747.3517013889</vt:r8>
  </property>
  <property fmtid="{D5CDD505-2E9C-101B-9397-08002B2CF9AE}" pid="4" name="EditTimer">
    <vt:i4>5020</vt:i4>
  </property>
</Properties>
</file>