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2F5172" w14:textId="5A16C7F6" w:rsidR="00635322" w:rsidRDefault="00635322" w:rsidP="00635322">
      <w:pPr>
        <w:jc w:val="both"/>
        <w:rPr>
          <w:rFonts w:ascii="Times New Roman" w:hAnsi="Times New Roman" w:cs="Times New Roman"/>
          <w:b/>
          <w:bCs/>
          <w:iCs/>
          <w:lang w:val="en-AU"/>
        </w:rPr>
      </w:pPr>
      <w:bookmarkStart w:id="0" w:name="_Hlk36202382"/>
      <w:r>
        <w:rPr>
          <w:rFonts w:ascii="Times New Roman" w:hAnsi="Times New Roman" w:cs="Times New Roman"/>
          <w:b/>
          <w:bCs/>
          <w:iCs/>
          <w:lang w:val="en-AU"/>
        </w:rPr>
        <w:t>Supplement Methods</w:t>
      </w:r>
    </w:p>
    <w:p w14:paraId="21E831BA" w14:textId="126029C6" w:rsidR="004E330D" w:rsidRPr="004E330D" w:rsidRDefault="004E330D" w:rsidP="00635322">
      <w:pPr>
        <w:jc w:val="both"/>
        <w:rPr>
          <w:rFonts w:ascii="Times New Roman" w:hAnsi="Times New Roman" w:cs="Times New Roman"/>
          <w:b/>
          <w:bCs/>
          <w:iCs/>
          <w:lang w:val="en-AU"/>
        </w:rPr>
      </w:pPr>
      <w:r w:rsidRPr="004E330D">
        <w:rPr>
          <w:rFonts w:ascii="Times New Roman" w:hAnsi="Times New Roman" w:cs="Times New Roman"/>
          <w:b/>
          <w:bCs/>
          <w:iCs/>
          <w:lang w:val="en-AU"/>
        </w:rPr>
        <w:t>Emollients and application procedure</w:t>
      </w:r>
    </w:p>
    <w:p w14:paraId="63C85E78" w14:textId="77777777" w:rsidR="004E330D" w:rsidRPr="004E330D" w:rsidRDefault="004E330D" w:rsidP="00635322">
      <w:pPr>
        <w:jc w:val="both"/>
        <w:rPr>
          <w:rFonts w:ascii="Times New Roman" w:hAnsi="Times New Roman" w:cs="Times New Roman"/>
          <w:lang w:val="en-AU"/>
        </w:rPr>
      </w:pPr>
      <w:r w:rsidRPr="004E330D">
        <w:rPr>
          <w:rFonts w:ascii="Times New Roman" w:hAnsi="Times New Roman" w:cs="Times New Roman"/>
          <w:lang w:val="en-AU"/>
        </w:rPr>
        <w:t xml:space="preserve">All study emollients were provided by </w:t>
      </w:r>
      <w:proofErr w:type="spellStart"/>
      <w:r w:rsidRPr="004E330D">
        <w:rPr>
          <w:rFonts w:ascii="Times New Roman" w:hAnsi="Times New Roman" w:cs="Times New Roman"/>
          <w:lang w:val="en-AU"/>
        </w:rPr>
        <w:t>Sebapharma</w:t>
      </w:r>
      <w:proofErr w:type="spellEnd"/>
      <w:r w:rsidRPr="004E330D">
        <w:rPr>
          <w:rFonts w:ascii="Times New Roman" w:hAnsi="Times New Roman" w:cs="Times New Roman"/>
          <w:lang w:val="en-AU"/>
        </w:rPr>
        <w:t xml:space="preserve"> GmbH &amp; Co. KG. </w:t>
      </w:r>
      <w:bookmarkStart w:id="1" w:name="_Hlk39834562"/>
      <w:r w:rsidRPr="004E330D">
        <w:rPr>
          <w:rFonts w:ascii="Times New Roman" w:hAnsi="Times New Roman" w:cs="Times New Roman"/>
          <w:lang w:val="en-AU"/>
        </w:rPr>
        <w:t xml:space="preserve">Ingredients were as follows: Aqua, Prunus </w:t>
      </w:r>
      <w:proofErr w:type="spellStart"/>
      <w:r w:rsidRPr="004E330D">
        <w:rPr>
          <w:rFonts w:ascii="Times New Roman" w:hAnsi="Times New Roman" w:cs="Times New Roman"/>
          <w:lang w:val="en-AU"/>
        </w:rPr>
        <w:t>amygdalus</w:t>
      </w:r>
      <w:proofErr w:type="spellEnd"/>
      <w:r w:rsidRPr="004E330D">
        <w:rPr>
          <w:rFonts w:ascii="Times New Roman" w:hAnsi="Times New Roman" w:cs="Times New Roman"/>
          <w:lang w:val="en-AU"/>
        </w:rPr>
        <w:t xml:space="preserve"> </w:t>
      </w:r>
      <w:proofErr w:type="spellStart"/>
      <w:r w:rsidRPr="004E330D">
        <w:rPr>
          <w:rFonts w:ascii="Times New Roman" w:hAnsi="Times New Roman" w:cs="Times New Roman"/>
          <w:lang w:val="en-AU"/>
        </w:rPr>
        <w:t>dulcis</w:t>
      </w:r>
      <w:proofErr w:type="spellEnd"/>
      <w:r w:rsidRPr="004E330D">
        <w:rPr>
          <w:rFonts w:ascii="Times New Roman" w:hAnsi="Times New Roman" w:cs="Times New Roman"/>
          <w:lang w:val="en-AU"/>
        </w:rPr>
        <w:t xml:space="preserve"> oil, Propylene Glycol </w:t>
      </w:r>
      <w:proofErr w:type="spellStart"/>
      <w:r w:rsidRPr="004E330D">
        <w:rPr>
          <w:rFonts w:ascii="Times New Roman" w:hAnsi="Times New Roman" w:cs="Times New Roman"/>
          <w:lang w:val="en-AU"/>
        </w:rPr>
        <w:t>Dicaprylate</w:t>
      </w:r>
      <w:proofErr w:type="spellEnd"/>
      <w:r w:rsidRPr="004E330D">
        <w:rPr>
          <w:rFonts w:ascii="Times New Roman" w:hAnsi="Times New Roman" w:cs="Times New Roman"/>
          <w:lang w:val="en-AU"/>
        </w:rPr>
        <w:t>/</w:t>
      </w:r>
      <w:proofErr w:type="spellStart"/>
      <w:r w:rsidRPr="004E330D">
        <w:rPr>
          <w:rFonts w:ascii="Times New Roman" w:hAnsi="Times New Roman" w:cs="Times New Roman"/>
          <w:lang w:val="en-AU"/>
        </w:rPr>
        <w:t>Dicaprate</w:t>
      </w:r>
      <w:proofErr w:type="spellEnd"/>
      <w:r w:rsidRPr="004E330D">
        <w:rPr>
          <w:rFonts w:ascii="Times New Roman" w:hAnsi="Times New Roman" w:cs="Times New Roman"/>
          <w:lang w:val="en-AU"/>
        </w:rPr>
        <w:t xml:space="preserve">, Panthenol, </w:t>
      </w:r>
      <w:proofErr w:type="spellStart"/>
      <w:r w:rsidRPr="004E330D">
        <w:rPr>
          <w:rFonts w:ascii="Times New Roman" w:hAnsi="Times New Roman" w:cs="Times New Roman"/>
          <w:lang w:val="en-AU"/>
        </w:rPr>
        <w:t>Glycerin</w:t>
      </w:r>
      <w:proofErr w:type="spellEnd"/>
      <w:r w:rsidRPr="004E330D">
        <w:rPr>
          <w:rFonts w:ascii="Times New Roman" w:hAnsi="Times New Roman" w:cs="Times New Roman"/>
          <w:lang w:val="en-AU"/>
        </w:rPr>
        <w:t xml:space="preserve">, </w:t>
      </w:r>
      <w:proofErr w:type="spellStart"/>
      <w:r w:rsidRPr="004E330D">
        <w:rPr>
          <w:rFonts w:ascii="Times New Roman" w:hAnsi="Times New Roman" w:cs="Times New Roman"/>
          <w:lang w:val="en-AU"/>
        </w:rPr>
        <w:t>Butyrospermum</w:t>
      </w:r>
      <w:proofErr w:type="spellEnd"/>
      <w:r w:rsidRPr="004E330D">
        <w:rPr>
          <w:rFonts w:ascii="Times New Roman" w:hAnsi="Times New Roman" w:cs="Times New Roman"/>
          <w:lang w:val="en-AU"/>
        </w:rPr>
        <w:t xml:space="preserve"> </w:t>
      </w:r>
      <w:proofErr w:type="spellStart"/>
      <w:r w:rsidRPr="004E330D">
        <w:rPr>
          <w:rFonts w:ascii="Times New Roman" w:hAnsi="Times New Roman" w:cs="Times New Roman"/>
          <w:lang w:val="en-AU"/>
        </w:rPr>
        <w:t>parkii</w:t>
      </w:r>
      <w:proofErr w:type="spellEnd"/>
      <w:r w:rsidRPr="004E330D">
        <w:rPr>
          <w:rFonts w:ascii="Times New Roman" w:hAnsi="Times New Roman" w:cs="Times New Roman"/>
          <w:lang w:val="en-AU"/>
        </w:rPr>
        <w:t xml:space="preserve"> butter, Polyglyceryl-3 </w:t>
      </w:r>
      <w:proofErr w:type="spellStart"/>
      <w:r w:rsidRPr="004E330D">
        <w:rPr>
          <w:rFonts w:ascii="Times New Roman" w:hAnsi="Times New Roman" w:cs="Times New Roman"/>
          <w:lang w:val="en-AU"/>
        </w:rPr>
        <w:t>Methylglucose</w:t>
      </w:r>
      <w:proofErr w:type="spellEnd"/>
      <w:r w:rsidRPr="004E330D">
        <w:rPr>
          <w:rFonts w:ascii="Times New Roman" w:hAnsi="Times New Roman" w:cs="Times New Roman"/>
          <w:lang w:val="en-AU"/>
        </w:rPr>
        <w:t xml:space="preserve"> </w:t>
      </w:r>
      <w:proofErr w:type="spellStart"/>
      <w:r w:rsidRPr="004E330D">
        <w:rPr>
          <w:rFonts w:ascii="Times New Roman" w:hAnsi="Times New Roman" w:cs="Times New Roman"/>
          <w:lang w:val="en-AU"/>
        </w:rPr>
        <w:t>Distearate</w:t>
      </w:r>
      <w:proofErr w:type="spellEnd"/>
      <w:r w:rsidRPr="004E330D">
        <w:rPr>
          <w:rFonts w:ascii="Times New Roman" w:hAnsi="Times New Roman" w:cs="Times New Roman"/>
          <w:lang w:val="en-AU"/>
        </w:rPr>
        <w:t xml:space="preserve">, </w:t>
      </w:r>
      <w:proofErr w:type="spellStart"/>
      <w:r w:rsidRPr="004E330D">
        <w:rPr>
          <w:rFonts w:ascii="Times New Roman" w:hAnsi="Times New Roman" w:cs="Times New Roman"/>
          <w:lang w:val="en-AU"/>
        </w:rPr>
        <w:t>Squalane</w:t>
      </w:r>
      <w:proofErr w:type="spellEnd"/>
      <w:r w:rsidRPr="004E330D">
        <w:rPr>
          <w:rFonts w:ascii="Times New Roman" w:hAnsi="Times New Roman" w:cs="Times New Roman"/>
          <w:lang w:val="en-AU"/>
        </w:rPr>
        <w:t xml:space="preserve">, Lecithin, Allantoin, </w:t>
      </w:r>
      <w:proofErr w:type="spellStart"/>
      <w:r w:rsidRPr="004E330D">
        <w:rPr>
          <w:rFonts w:ascii="Times New Roman" w:hAnsi="Times New Roman" w:cs="Times New Roman"/>
          <w:lang w:val="en-AU"/>
        </w:rPr>
        <w:t>Ascorbyl</w:t>
      </w:r>
      <w:proofErr w:type="spellEnd"/>
      <w:r w:rsidRPr="004E330D">
        <w:rPr>
          <w:rFonts w:ascii="Times New Roman" w:hAnsi="Times New Roman" w:cs="Times New Roman"/>
          <w:lang w:val="en-AU"/>
        </w:rPr>
        <w:t xml:space="preserve"> Palmitate, Caprylic/Capric Triglyceride, Citric Acid, Sodium Carbomer, Sodium Hydroxide, Parfum, Benzyl Alcohol, Phenoxyethanol. </w:t>
      </w:r>
      <w:bookmarkEnd w:id="1"/>
      <w:r w:rsidRPr="004E330D">
        <w:rPr>
          <w:rFonts w:ascii="Times New Roman" w:hAnsi="Times New Roman" w:cs="Times New Roman"/>
          <w:lang w:val="en-AU"/>
        </w:rPr>
        <w:t xml:space="preserve">Participants were asked not to use any other skin care products or topical treatment beside the study emollients in the determined body region. For the application of each emollient a new glove was used each time. Emollients were applied widely in the test region in a field of about 10x15cm. On average 4.7 mg of emollient, comparable in both study groups and treatment arms, was applied per cm².  Time distance from measurements and samplings to the last emollient application was at least 3 hours and to the last shower at least 12 hours. </w:t>
      </w:r>
      <w:bookmarkStart w:id="2" w:name="_Hlk39833429"/>
      <w:r w:rsidRPr="004E330D">
        <w:rPr>
          <w:rFonts w:ascii="Times New Roman" w:hAnsi="Times New Roman" w:cs="Times New Roman"/>
          <w:lang w:val="en-AU"/>
        </w:rPr>
        <w:t>Emollient pH was measured at the beginning and end of study period.</w:t>
      </w:r>
      <w:bookmarkEnd w:id="2"/>
    </w:p>
    <w:p w14:paraId="4A37C741" w14:textId="77777777" w:rsidR="0021123D" w:rsidRPr="0021123D" w:rsidRDefault="0021123D" w:rsidP="00635322">
      <w:pPr>
        <w:jc w:val="both"/>
        <w:rPr>
          <w:rFonts w:ascii="Times New Roman" w:hAnsi="Times New Roman" w:cs="Times New Roman"/>
          <w:b/>
          <w:bCs/>
          <w:lang w:val="en-AU"/>
        </w:rPr>
      </w:pPr>
      <w:r w:rsidRPr="0021123D">
        <w:rPr>
          <w:rFonts w:ascii="Times New Roman" w:hAnsi="Times New Roman" w:cs="Times New Roman"/>
          <w:b/>
          <w:bCs/>
          <w:lang w:val="en-AU"/>
        </w:rPr>
        <w:t>Physiological measurements</w:t>
      </w:r>
    </w:p>
    <w:p w14:paraId="58E3E5D3" w14:textId="1776E946" w:rsidR="0021123D" w:rsidRPr="0021123D" w:rsidRDefault="0021123D" w:rsidP="00635322">
      <w:pPr>
        <w:jc w:val="both"/>
        <w:rPr>
          <w:rFonts w:ascii="Times New Roman" w:hAnsi="Times New Roman" w:cs="Times New Roman"/>
          <w:lang w:val="en-AU"/>
        </w:rPr>
      </w:pPr>
      <w:bookmarkStart w:id="3" w:name="_Hlk39835223"/>
      <w:proofErr w:type="spellStart"/>
      <w:r w:rsidRPr="0021123D">
        <w:rPr>
          <w:rFonts w:ascii="Times New Roman" w:hAnsi="Times New Roman" w:cs="Times New Roman"/>
          <w:lang w:val="en-AU"/>
        </w:rPr>
        <w:t>Masurements</w:t>
      </w:r>
      <w:proofErr w:type="spellEnd"/>
      <w:r w:rsidRPr="0021123D">
        <w:rPr>
          <w:rFonts w:ascii="Times New Roman" w:hAnsi="Times New Roman" w:cs="Times New Roman"/>
          <w:lang w:val="en-AU"/>
        </w:rPr>
        <w:t xml:space="preserve"> were taken after an acclimatization period for the skin of 20 minutes at a mean room temperature of 22.2°C and a mean humidity of 46.6g/m³. </w:t>
      </w:r>
      <w:proofErr w:type="spellStart"/>
      <w:r w:rsidRPr="0021123D">
        <w:rPr>
          <w:rFonts w:ascii="Times New Roman" w:hAnsi="Times New Roman" w:cs="Times New Roman"/>
          <w:lang w:val="en-AU"/>
        </w:rPr>
        <w:t>Transepidermal</w:t>
      </w:r>
      <w:proofErr w:type="spellEnd"/>
      <w:r w:rsidRPr="0021123D">
        <w:rPr>
          <w:rFonts w:ascii="Times New Roman" w:hAnsi="Times New Roman" w:cs="Times New Roman"/>
          <w:lang w:val="en-AU"/>
        </w:rPr>
        <w:t xml:space="preserve"> water loss (TEWL), hydration and skin pH were measured with </w:t>
      </w:r>
      <w:proofErr w:type="spellStart"/>
      <w:r w:rsidRPr="0021123D">
        <w:rPr>
          <w:rFonts w:ascii="Times New Roman" w:hAnsi="Times New Roman" w:cs="Times New Roman"/>
          <w:lang w:val="en-AU"/>
        </w:rPr>
        <w:t>Tewameter</w:t>
      </w:r>
      <w:proofErr w:type="spellEnd"/>
      <w:r w:rsidRPr="0021123D">
        <w:rPr>
          <w:rFonts w:ascii="Times New Roman" w:hAnsi="Times New Roman" w:cs="Times New Roman"/>
          <w:lang w:val="en-AU"/>
        </w:rPr>
        <w:t xml:space="preserve">® TM300, </w:t>
      </w:r>
      <w:proofErr w:type="spellStart"/>
      <w:r w:rsidRPr="0021123D">
        <w:rPr>
          <w:rFonts w:ascii="Times New Roman" w:hAnsi="Times New Roman" w:cs="Times New Roman"/>
          <w:lang w:val="en-AU"/>
        </w:rPr>
        <w:t>Corneometer</w:t>
      </w:r>
      <w:proofErr w:type="spellEnd"/>
      <w:r w:rsidRPr="0021123D">
        <w:rPr>
          <w:rFonts w:ascii="Times New Roman" w:hAnsi="Times New Roman" w:cs="Times New Roman"/>
          <w:lang w:val="en-AU"/>
        </w:rPr>
        <w:t xml:space="preserve">® CM825 and Skin-pH-Meter PH905 by Courage + </w:t>
      </w:r>
      <w:proofErr w:type="spellStart"/>
      <w:r w:rsidRPr="0021123D">
        <w:rPr>
          <w:rFonts w:ascii="Times New Roman" w:hAnsi="Times New Roman" w:cs="Times New Roman"/>
          <w:lang w:val="en-AU"/>
        </w:rPr>
        <w:t>Khazaka</w:t>
      </w:r>
      <w:proofErr w:type="spellEnd"/>
      <w:r w:rsidRPr="0021123D">
        <w:rPr>
          <w:rFonts w:ascii="Times New Roman" w:hAnsi="Times New Roman" w:cs="Times New Roman"/>
          <w:lang w:val="en-AU"/>
        </w:rPr>
        <w:t xml:space="preserve"> electronic GmbH. The mean out of 3 measurements was taken for statistical analysis, respectively. General severity of AD was evaluated using objective SCORAD </w:t>
      </w:r>
      <w:r w:rsidRPr="0021123D">
        <w:rPr>
          <w:rFonts w:ascii="Times New Roman" w:hAnsi="Times New Roman" w:cs="Times New Roman"/>
          <w:lang w:val="en-AU"/>
        </w:rPr>
        <w:fldChar w:fldCharType="begin"/>
      </w:r>
      <w:r w:rsidRPr="0021123D">
        <w:rPr>
          <w:rFonts w:ascii="Times New Roman" w:hAnsi="Times New Roman" w:cs="Times New Roman"/>
          <w:lang w:val="en-AU"/>
        </w:rPr>
        <w:instrText xml:space="preserve"> ADDIN EN.CITE &lt;EndNote&gt;&lt;Cite&gt;&lt;Author&gt;Oranje&lt;/Author&gt;&lt;Year&gt;2007&lt;/Year&gt;&lt;RecNum&gt;36&lt;/RecNum&gt;&lt;DisplayText&gt;&lt;style face="superscript"&gt;26&lt;/style&gt;&lt;/DisplayText&gt;&lt;record&gt;&lt;rec-number&gt;36&lt;/rec-number&gt;&lt;foreign-keys&gt;&lt;key app="EN" db-id="9fvadzzfirs0abetze35frz7vwpretr2vazv" timestamp="1585329939"&gt;36&lt;/key&gt;&lt;/foreign-keys&gt;&lt;ref-type name="Journal Article"&gt;17&lt;/ref-type&gt;&lt;contributors&gt;&lt;authors&gt;&lt;author&gt;Oranje, A. P.&lt;/author&gt;&lt;author&gt;Glazenburg, E. J.&lt;/author&gt;&lt;author&gt;Wolkerstorfer, A.&lt;/author&gt;&lt;author&gt;de Waard-van der Spek, F. B.&lt;/author&gt;&lt;/authors&gt;&lt;/contributors&gt;&lt;auth-address&gt;Department of Dermatology and Venereology (Pediatric Dermatology), Erasmus MC, Postbus 2040, 3000 CA Rotterdam, The Netherlands. arnold.p.oranje@inter.nl.net&lt;/auth-address&gt;&lt;titles&gt;&lt;title&gt;Practical issues on interpretation of scoring atopic dermatitis: the SCORAD index, objective SCORAD and the three-item severity score&lt;/title&gt;&lt;secondary-title&gt;Br J Dermatol&lt;/secondary-title&gt;&lt;/titles&gt;&lt;periodical&gt;&lt;full-title&gt;Br J Dermatol&lt;/full-title&gt;&lt;/periodical&gt;&lt;pages&gt;645-8&lt;/pages&gt;&lt;volume&gt;157&lt;/volume&gt;&lt;number&gt;4&lt;/number&gt;&lt;edition&gt;2007/08/24&lt;/edition&gt;&lt;keywords&gt;&lt;keyword&gt;Dermatitis, Atopic/complications/*diagnosis/pathology&lt;/keyword&gt;&lt;keyword&gt;Humans&lt;/keyword&gt;&lt;keyword&gt;Reproducibility of Results&lt;/keyword&gt;&lt;keyword&gt;*Severity of Illness Index&lt;/keyword&gt;&lt;/keywords&gt;&lt;dates&gt;&lt;year&gt;2007&lt;/year&gt;&lt;pub-dates&gt;&lt;date&gt;Oct&lt;/date&gt;&lt;/pub-dates&gt;&lt;/dates&gt;&lt;isbn&gt;0007-0963 (Print)&amp;#xD;0007-0963&lt;/isbn&gt;&lt;accession-num&gt;17714568&lt;/accession-num&gt;&lt;urls&gt;&lt;/urls&gt;&lt;electronic-resource-num&gt;10.1111/j.1365-2133.2007.08112.x&lt;/electronic-resource-num&gt;&lt;remote-database-provider&gt;NLM&lt;/remote-database-provider&gt;&lt;language&gt;eng&lt;/language&gt;&lt;/record&gt;&lt;/Cite&gt;&lt;/EndNote&gt;</w:instrText>
      </w:r>
      <w:r w:rsidRPr="0021123D">
        <w:rPr>
          <w:rFonts w:ascii="Times New Roman" w:hAnsi="Times New Roman" w:cs="Times New Roman"/>
          <w:lang w:val="en-AU"/>
        </w:rPr>
        <w:fldChar w:fldCharType="separate"/>
      </w:r>
      <w:r w:rsidRPr="0021123D">
        <w:rPr>
          <w:rFonts w:ascii="Times New Roman" w:hAnsi="Times New Roman" w:cs="Times New Roman"/>
          <w:vertAlign w:val="superscript"/>
          <w:lang w:val="en-AU"/>
        </w:rPr>
        <w:t>26</w:t>
      </w:r>
      <w:r w:rsidRPr="0021123D">
        <w:rPr>
          <w:rFonts w:ascii="Times New Roman" w:hAnsi="Times New Roman" w:cs="Times New Roman"/>
          <w:lang w:val="en-AU"/>
        </w:rPr>
        <w:fldChar w:fldCharType="end"/>
      </w:r>
      <w:r w:rsidRPr="0021123D">
        <w:rPr>
          <w:rFonts w:ascii="Times New Roman" w:hAnsi="Times New Roman" w:cs="Times New Roman"/>
          <w:lang w:val="en-AU"/>
        </w:rPr>
        <w:t xml:space="preserve"> </w:t>
      </w:r>
      <w:r w:rsidRPr="0021123D">
        <w:rPr>
          <w:rFonts w:ascii="Times New Roman" w:hAnsi="Times New Roman" w:cs="Times New Roman"/>
        </w:rPr>
        <w:fldChar w:fldCharType="begin"/>
      </w:r>
      <w:r w:rsidRPr="0021123D">
        <w:rPr>
          <w:rFonts w:ascii="Times New Roman" w:hAnsi="Times New Roman" w:cs="Times New Roman"/>
          <w:lang w:val="en-US"/>
        </w:rPr>
        <w:instrText xml:space="preserve"> ADDIN EN.CITE &lt;EndNote&gt;&lt;Cite&gt;&lt;Author&gt;Atopic Dermatitis&lt;/Author&gt;&lt;Year&gt;1993&lt;/Year&gt;&lt;RecNum&gt;20&lt;/RecNum&gt;&lt;DisplayText&gt;&lt;style face="superscript"&gt;27&lt;/style&gt;&lt;/DisplayText&gt;&lt;record&gt;&lt;rec-number&gt;20&lt;/rec-number&gt;&lt;foreign-keys&gt;&lt;key app="EN" db-id="9fvadzzfirs0abetze35frz7vwpretr2vazv" timestamp="1585329683"&gt;20&lt;/key&gt;&lt;/foreign-keys&gt;&lt;ref-type name="Journal Article"&gt;17&lt;/ref-type&gt;&lt;contributors&gt;&lt;authors&gt;&lt;author&gt;Atopic Dermatitis, European_Task_Force &lt;/author&gt;&lt;/authors&gt;&lt;/contributors&gt;&lt;titles&gt;&lt;title&gt;Severity scoring of atopic dermatitis: the SCORAD index. Consensus Report of the European Task Force on Atopic Dermatitis&lt;/title&gt;&lt;secondary-title&gt;Dermatology&lt;/secondary-title&gt;&lt;alt-title&gt;Dermatology (Basel, Switzerland)&lt;/alt-title&gt;&lt;/titles&gt;&lt;periodical&gt;&lt;full-title&gt;Dermatology&lt;/full-title&gt;&lt;abbr-1&gt;Dermatology (Basel, Switzerland)&lt;/abbr-1&gt;&lt;/periodical&gt;&lt;alt-periodical&gt;&lt;full-title&gt;Dermatology&lt;/full-title&gt;&lt;abbr-1&gt;Dermatology (Basel, Switzerland)&lt;/abbr-1&gt;&lt;/alt-periodical&gt;&lt;pages&gt;23-31&lt;/pages&gt;&lt;volume&gt;186&lt;/volume&gt;&lt;number&gt;1&lt;/number&gt;&lt;edition&gt;1993/01/01&lt;/edition&gt;&lt;keywords&gt;&lt;keyword&gt;Adolescent&lt;/keyword&gt;&lt;keyword&gt;Adult&lt;/keyword&gt;&lt;keyword&gt;Analysis of Variance&lt;/keyword&gt;&lt;keyword&gt;Child&lt;/keyword&gt;&lt;keyword&gt;Child, Preschool&lt;/keyword&gt;&lt;keyword&gt;Dermatitis, Atopic/*diagnosis/epidemiology&lt;/keyword&gt;&lt;keyword&gt;Europe&lt;/keyword&gt;&lt;keyword&gt;Female&lt;/keyword&gt;&lt;keyword&gt;Humans&lt;/keyword&gt;&lt;keyword&gt;Infant&lt;/keyword&gt;&lt;keyword&gt;Male&lt;/keyword&gt;&lt;keyword&gt;Medical Illustration&lt;/keyword&gt;&lt;keyword&gt;Middle Aged&lt;/keyword&gt;&lt;keyword&gt;Observer Variation&lt;/keyword&gt;&lt;keyword&gt;*Severity of Illness Index&lt;/keyword&gt;&lt;/keywords&gt;&lt;dates&gt;&lt;year&gt;1993&lt;/year&gt;&lt;/dates&gt;&lt;isbn&gt;1018-8665 (Print)&amp;#xD;1018-8665 (Linking)&lt;/isbn&gt;&lt;accession-num&gt;8435513&lt;/accession-num&gt;&lt;urls&gt;&lt;related-urls&gt;&lt;url&gt;https://www.ncbi.nlm.nih.gov/pubmed/8435513&lt;/url&gt;&lt;/related-urls&gt;&lt;/urls&gt;&lt;electronic-resource-num&gt;10.1159/000247298&lt;/electronic-resource-num&gt;&lt;remote-database-provider&gt;NLM&lt;/remote-database-provider&gt;&lt;language&gt;eng&lt;/language&gt;&lt;/record&gt;&lt;/Cite&gt;&lt;/EndNote&gt;</w:instrText>
      </w:r>
      <w:r w:rsidRPr="0021123D">
        <w:rPr>
          <w:rFonts w:ascii="Times New Roman" w:hAnsi="Times New Roman" w:cs="Times New Roman"/>
        </w:rPr>
        <w:fldChar w:fldCharType="separate"/>
      </w:r>
      <w:r w:rsidRPr="0021123D">
        <w:rPr>
          <w:rFonts w:ascii="Times New Roman" w:hAnsi="Times New Roman" w:cs="Times New Roman"/>
          <w:vertAlign w:val="superscript"/>
          <w:lang w:val="en-US"/>
        </w:rPr>
        <w:t>27</w:t>
      </w:r>
      <w:r w:rsidRPr="0021123D">
        <w:rPr>
          <w:rFonts w:ascii="Times New Roman" w:hAnsi="Times New Roman" w:cs="Times New Roman"/>
          <w:lang w:val="en-AU"/>
        </w:rPr>
        <w:fldChar w:fldCharType="end"/>
      </w:r>
      <w:r w:rsidRPr="0021123D">
        <w:rPr>
          <w:rFonts w:ascii="Times New Roman" w:hAnsi="Times New Roman" w:cs="Times New Roman"/>
          <w:lang w:val="en-AU"/>
        </w:rPr>
        <w:t xml:space="preserve">,EASI </w:t>
      </w:r>
      <w:r w:rsidRPr="0021123D">
        <w:rPr>
          <w:rFonts w:ascii="Times New Roman" w:hAnsi="Times New Roman" w:cs="Times New Roman"/>
        </w:rPr>
        <w:fldChar w:fldCharType="begin"/>
      </w:r>
      <w:r w:rsidRPr="0021123D">
        <w:rPr>
          <w:rFonts w:ascii="Times New Roman" w:hAnsi="Times New Roman" w:cs="Times New Roman"/>
          <w:lang w:val="en-US"/>
        </w:rPr>
        <w:instrText xml:space="preserve"> ADDIN EN.CITE &lt;EndNote&gt;&lt;Cite&gt;&lt;Author&gt;Hanifin&lt;/Author&gt;&lt;Year&gt;2001&lt;/Year&gt;&lt;RecNum&gt;21&lt;/RecNum&gt;&lt;DisplayText&gt;&lt;style face="superscript"&gt;28&lt;/style&gt;&lt;/DisplayText&gt;&lt;record&gt;&lt;rec-number&gt;21&lt;/rec-number&gt;&lt;foreign-keys&gt;&lt;key app="EN" db-id="9fvadzzfirs0abetze35frz7vwpretr2vazv" timestamp="1585329685"&gt;21&lt;/key&gt;&lt;/foreign-keys&gt;&lt;ref-type name="Journal Article"&gt;17&lt;/ref-type&gt;&lt;contributors&gt;&lt;authors&gt;&lt;author&gt;Hanifin, J. M.&lt;/author&gt;&lt;author&gt;Thurston, M.&lt;/author&gt;&lt;author&gt;Omoto, M.&lt;/author&gt;&lt;author&gt;Cherill, R.&lt;/author&gt;&lt;author&gt;Tofte, S. J.&lt;/author&gt;&lt;author&gt;Graeber, M.&lt;/author&gt;&lt;/authors&gt;&lt;/contributors&gt;&lt;auth-address&gt;Department of Dermatology, Oregon Health Sciences University, Portland 97201-3098, USA. hanifinj@ohsu.edu&lt;/auth-address&gt;&lt;titles&gt;&lt;title&gt;The eczema area and severity index (EASI): assessment of reliability in atopic dermatitis. EASI Evaluator Group&lt;/title&gt;&lt;secondary-title&gt;Exp Dermatol&lt;/secondary-title&gt;&lt;alt-title&gt;Experimental dermatology&lt;/alt-title&gt;&lt;/titles&gt;&lt;periodical&gt;&lt;full-title&gt;Exp Dermatol&lt;/full-title&gt;&lt;abbr-1&gt;Experimental dermatology&lt;/abbr-1&gt;&lt;/periodical&gt;&lt;alt-periodical&gt;&lt;full-title&gt;Exp Dermatol&lt;/full-title&gt;&lt;abbr-1&gt;Experimental dermatology&lt;/abbr-1&gt;&lt;/alt-periodical&gt;&lt;pages&gt;11-8&lt;/pages&gt;&lt;volume&gt;10&lt;/volume&gt;&lt;number&gt;1&lt;/number&gt;&lt;edition&gt;2001/02/13&lt;/edition&gt;&lt;keywords&gt;&lt;keyword&gt;Adolescent&lt;/keyword&gt;&lt;keyword&gt;Adult&lt;/keyword&gt;&lt;keyword&gt;Child&lt;/keyword&gt;&lt;keyword&gt;Child, Preschool&lt;/keyword&gt;&lt;keyword&gt;Cohort Studies&lt;/keyword&gt;&lt;keyword&gt;Dermatitis, Atopic/classification/*diagnosis&lt;/keyword&gt;&lt;keyword&gt;Dermatology/*instrumentation&lt;/keyword&gt;&lt;keyword&gt;Eczema/*diagnosis&lt;/keyword&gt;&lt;keyword&gt;Humans&lt;/keyword&gt;&lt;keyword&gt;Infant&lt;/keyword&gt;&lt;keyword&gt;Infant, Newborn&lt;/keyword&gt;&lt;keyword&gt;Observer Variation&lt;/keyword&gt;&lt;keyword&gt;Reproducibility of Results&lt;/keyword&gt;&lt;keyword&gt;*Severity of Illness Index&lt;/keyword&gt;&lt;/keywords&gt;&lt;dates&gt;&lt;year&gt;2001&lt;/year&gt;&lt;pub-dates&gt;&lt;date&gt;Feb&lt;/date&gt;&lt;/pub-dates&gt;&lt;/dates&gt;&lt;isbn&gt;0906-6705 (Print)&amp;#xD;0906-6705&lt;/isbn&gt;&lt;accession-num&gt;11168575&lt;/accession-num&gt;&lt;urls&gt;&lt;/urls&gt;&lt;remote-database-provider&gt;NLM&lt;/remote-database-provider&gt;&lt;language&gt;eng&lt;/language&gt;&lt;/record&gt;&lt;/Cite&gt;&lt;/EndNote&gt;</w:instrText>
      </w:r>
      <w:r w:rsidRPr="0021123D">
        <w:rPr>
          <w:rFonts w:ascii="Times New Roman" w:hAnsi="Times New Roman" w:cs="Times New Roman"/>
        </w:rPr>
        <w:fldChar w:fldCharType="separate"/>
      </w:r>
      <w:r w:rsidRPr="0021123D">
        <w:rPr>
          <w:rFonts w:ascii="Times New Roman" w:hAnsi="Times New Roman" w:cs="Times New Roman"/>
          <w:vertAlign w:val="superscript"/>
          <w:lang w:val="en-US"/>
        </w:rPr>
        <w:t>28</w:t>
      </w:r>
      <w:r w:rsidRPr="0021123D">
        <w:rPr>
          <w:rFonts w:ascii="Times New Roman" w:hAnsi="Times New Roman" w:cs="Times New Roman"/>
          <w:lang w:val="en-AU"/>
        </w:rPr>
        <w:fldChar w:fldCharType="end"/>
      </w:r>
      <w:r w:rsidRPr="0021123D">
        <w:rPr>
          <w:rFonts w:ascii="Times New Roman" w:hAnsi="Times New Roman" w:cs="Times New Roman"/>
          <w:lang w:val="en-AU"/>
        </w:rPr>
        <w:t xml:space="preserve"> or local symptoms within the test region were evaluated using the local SCORAD. Therefore 0 (missing), 1 (mild), 2 (moderate) or 3 (severe) points were given for each of the 6 criteria: reddening, </w:t>
      </w:r>
      <w:proofErr w:type="spellStart"/>
      <w:r w:rsidRPr="0021123D">
        <w:rPr>
          <w:rFonts w:ascii="Times New Roman" w:hAnsi="Times New Roman" w:cs="Times New Roman"/>
          <w:lang w:val="en-AU"/>
        </w:rPr>
        <w:t>edema</w:t>
      </w:r>
      <w:proofErr w:type="spellEnd"/>
      <w:r w:rsidRPr="0021123D">
        <w:rPr>
          <w:rFonts w:ascii="Times New Roman" w:hAnsi="Times New Roman" w:cs="Times New Roman"/>
          <w:lang w:val="en-AU"/>
        </w:rPr>
        <w:t xml:space="preserve">/papulation, excoriation, oozing/crusts, </w:t>
      </w:r>
      <w:proofErr w:type="spellStart"/>
      <w:r w:rsidRPr="0021123D">
        <w:rPr>
          <w:rFonts w:ascii="Times New Roman" w:hAnsi="Times New Roman" w:cs="Times New Roman"/>
          <w:lang w:val="en-AU"/>
        </w:rPr>
        <w:t>lichenification</w:t>
      </w:r>
      <w:proofErr w:type="spellEnd"/>
      <w:r w:rsidRPr="0021123D">
        <w:rPr>
          <w:rFonts w:ascii="Times New Roman" w:hAnsi="Times New Roman" w:cs="Times New Roman"/>
          <w:lang w:val="en-AU"/>
        </w:rPr>
        <w:t xml:space="preserve"> and subjective itching. </w:t>
      </w:r>
    </w:p>
    <w:bookmarkEnd w:id="3"/>
    <w:p w14:paraId="489FBF29" w14:textId="4169F21A" w:rsidR="004E330D" w:rsidRPr="00635322" w:rsidRDefault="004E330D" w:rsidP="00635322">
      <w:pPr>
        <w:jc w:val="both"/>
        <w:rPr>
          <w:rFonts w:ascii="Times New Roman" w:hAnsi="Times New Roman" w:cs="Times New Roman"/>
          <w:b/>
          <w:bCs/>
          <w:lang w:val="en-AU"/>
        </w:rPr>
      </w:pPr>
      <w:r w:rsidRPr="00635322">
        <w:rPr>
          <w:rFonts w:ascii="Times New Roman" w:hAnsi="Times New Roman" w:cs="Times New Roman"/>
          <w:b/>
          <w:bCs/>
          <w:lang w:val="en-AU"/>
        </w:rPr>
        <w:t>Microbiome analysis</w:t>
      </w:r>
    </w:p>
    <w:p w14:paraId="1963DA48" w14:textId="64AFD588" w:rsidR="004222E3" w:rsidRPr="004222E3" w:rsidRDefault="004222E3" w:rsidP="00635322">
      <w:pPr>
        <w:jc w:val="both"/>
        <w:rPr>
          <w:rFonts w:ascii="Times New Roman" w:hAnsi="Times New Roman" w:cs="Times New Roman"/>
          <w:lang w:val="en-US"/>
        </w:rPr>
      </w:pPr>
      <w:r w:rsidRPr="004222E3">
        <w:rPr>
          <w:rFonts w:ascii="Times New Roman" w:hAnsi="Times New Roman" w:cs="Times New Roman"/>
          <w:lang w:val="en-AU"/>
        </w:rPr>
        <w:t xml:space="preserve">For microbiome analysis, skin swabs (Sigma-swab, MWE) were taken dry, rubbing 20 times in a field of 2cmx2cm.and stored in 500 </w:t>
      </w:r>
      <w:r w:rsidRPr="004222E3">
        <w:rPr>
          <w:rFonts w:ascii="Times New Roman" w:hAnsi="Times New Roman" w:cs="Times New Roman"/>
          <w:lang w:val="en-US"/>
        </w:rPr>
        <w:t>μ</w:t>
      </w:r>
      <w:r w:rsidRPr="004222E3">
        <w:rPr>
          <w:rFonts w:ascii="Times New Roman" w:hAnsi="Times New Roman" w:cs="Times New Roman"/>
          <w:lang w:val="en-AU"/>
        </w:rPr>
        <w:t>L Stool DNA Stabilizer solution (</w:t>
      </w:r>
      <w:proofErr w:type="spellStart"/>
      <w:r w:rsidRPr="004222E3">
        <w:rPr>
          <w:rFonts w:ascii="Times New Roman" w:hAnsi="Times New Roman" w:cs="Times New Roman"/>
          <w:lang w:val="en-AU"/>
        </w:rPr>
        <w:t>Stratec</w:t>
      </w:r>
      <w:proofErr w:type="spellEnd"/>
      <w:r w:rsidRPr="004222E3">
        <w:rPr>
          <w:rFonts w:ascii="Times New Roman" w:hAnsi="Times New Roman" w:cs="Times New Roman"/>
          <w:lang w:val="en-AU"/>
        </w:rPr>
        <w:t xml:space="preserve">, Berlin, Germany) at -80 °C and analysed using 16S (variable region V1-V3) amplicon based next generation sequencing. </w:t>
      </w:r>
      <w:bookmarkEnd w:id="0"/>
      <w:r w:rsidRPr="004222E3">
        <w:rPr>
          <w:rFonts w:ascii="Times New Roman" w:hAnsi="Times New Roman" w:cs="Times New Roman"/>
          <w:lang w:val="en-AU"/>
        </w:rPr>
        <w:t xml:space="preserve">For DNA extraction, the </w:t>
      </w:r>
      <w:proofErr w:type="spellStart"/>
      <w:r w:rsidRPr="004222E3">
        <w:rPr>
          <w:rFonts w:ascii="Times New Roman" w:hAnsi="Times New Roman" w:cs="Times New Roman"/>
          <w:lang w:val="en-AU"/>
        </w:rPr>
        <w:t>QIAamp</w:t>
      </w:r>
      <w:proofErr w:type="spellEnd"/>
      <w:r w:rsidRPr="004222E3">
        <w:rPr>
          <w:rFonts w:ascii="Times New Roman" w:hAnsi="Times New Roman" w:cs="Times New Roman"/>
          <w:lang w:val="en-AU"/>
        </w:rPr>
        <w:t xml:space="preserve"> UCP Pathogen kit (Qiagen: Hilden, Germany) was used.; 650µl of buffer ATL were added to the tube containing the swab and the stabilizing solution. Lysis was performed in the presence of 500mg of 100µm diameter zirconia-silica beads (</w:t>
      </w:r>
      <w:proofErr w:type="spellStart"/>
      <w:r w:rsidRPr="004222E3">
        <w:rPr>
          <w:rFonts w:ascii="Times New Roman" w:hAnsi="Times New Roman" w:cs="Times New Roman"/>
          <w:lang w:val="en-AU"/>
        </w:rPr>
        <w:t>BioSpec</w:t>
      </w:r>
      <w:proofErr w:type="spellEnd"/>
      <w:r w:rsidRPr="004222E3">
        <w:rPr>
          <w:rFonts w:ascii="Times New Roman" w:hAnsi="Times New Roman" w:cs="Times New Roman"/>
          <w:lang w:val="en-AU"/>
        </w:rPr>
        <w:t xml:space="preserve">: Bartlesville, USA) using </w:t>
      </w:r>
      <w:proofErr w:type="spellStart"/>
      <w:r w:rsidRPr="004222E3">
        <w:rPr>
          <w:rFonts w:ascii="Times New Roman" w:hAnsi="Times New Roman" w:cs="Times New Roman"/>
          <w:lang w:val="en-AU"/>
        </w:rPr>
        <w:t>Precellys</w:t>
      </w:r>
      <w:proofErr w:type="spellEnd"/>
      <w:r w:rsidRPr="004222E3">
        <w:rPr>
          <w:rFonts w:ascii="Times New Roman" w:hAnsi="Times New Roman" w:cs="Times New Roman"/>
          <w:lang w:val="en-AU"/>
        </w:rPr>
        <w:t xml:space="preserve"> Evolution (</w:t>
      </w:r>
      <w:proofErr w:type="spellStart"/>
      <w:r w:rsidRPr="004222E3">
        <w:rPr>
          <w:rFonts w:ascii="Times New Roman" w:hAnsi="Times New Roman" w:cs="Times New Roman"/>
          <w:lang w:val="en-AU"/>
        </w:rPr>
        <w:t>Bertin</w:t>
      </w:r>
      <w:proofErr w:type="spellEnd"/>
      <w:r w:rsidRPr="004222E3">
        <w:rPr>
          <w:rFonts w:ascii="Times New Roman" w:hAnsi="Times New Roman" w:cs="Times New Roman"/>
          <w:lang w:val="en-AU"/>
        </w:rPr>
        <w:t xml:space="preserve"> technologies: </w:t>
      </w:r>
      <w:proofErr w:type="spellStart"/>
      <w:r w:rsidRPr="004222E3">
        <w:rPr>
          <w:rFonts w:ascii="Times New Roman" w:hAnsi="Times New Roman" w:cs="Times New Roman"/>
          <w:lang w:val="en-AU"/>
        </w:rPr>
        <w:t>Montigny</w:t>
      </w:r>
      <w:proofErr w:type="spellEnd"/>
      <w:r w:rsidRPr="004222E3">
        <w:rPr>
          <w:rFonts w:ascii="Times New Roman" w:hAnsi="Times New Roman" w:cs="Times New Roman"/>
          <w:lang w:val="en-AU"/>
        </w:rPr>
        <w:t xml:space="preserve">-le-Bretonneux, France) for 90 seconds twice with 15 seconds break. The lysate was then purified according to the manufacturer’s instructions and the DNA was eluted twice with 50µl TRIS 10mM EDTA free. Each samples DNA was amplified with the primers 27F-YM (5 -AGAGTTTGATYMTGGCTCAG-3) and 534R (5 -ATTACCGCGGCTGCTGG-3). In a second PCR step, double barcodes were added. The amplicons were purified using </w:t>
      </w:r>
      <w:proofErr w:type="spellStart"/>
      <w:r w:rsidRPr="004222E3">
        <w:rPr>
          <w:rFonts w:ascii="Times New Roman" w:hAnsi="Times New Roman" w:cs="Times New Roman"/>
          <w:lang w:val="en-AU"/>
        </w:rPr>
        <w:t>AMPure</w:t>
      </w:r>
      <w:proofErr w:type="spellEnd"/>
      <w:r w:rsidRPr="004222E3">
        <w:rPr>
          <w:rFonts w:ascii="Times New Roman" w:hAnsi="Times New Roman" w:cs="Times New Roman"/>
          <w:lang w:val="en-AU"/>
        </w:rPr>
        <w:t xml:space="preserve"> XP beads (Beckman Coulter, Fullerton, Calif) with a bead/DNA ratio of 0.7:1 (vol/vol), according to the manufacturer's instructions. The purified indexed amplicons were quantified using the fluorescent dye-based Qubit® dsDNA HS Assay Kit (Invitrogen) and all samples were pooled equimolarly. Additionally, 12 biological and 4 technical negative controls as well as 2 positive controls treated as the samples were added to the library. Subsequently, the pool was purified with </w:t>
      </w:r>
      <w:proofErr w:type="spellStart"/>
      <w:r w:rsidRPr="004222E3">
        <w:rPr>
          <w:rFonts w:ascii="Times New Roman" w:hAnsi="Times New Roman" w:cs="Times New Roman"/>
          <w:lang w:val="en-AU"/>
        </w:rPr>
        <w:t>AMPure</w:t>
      </w:r>
      <w:proofErr w:type="spellEnd"/>
      <w:r w:rsidRPr="004222E3">
        <w:rPr>
          <w:rFonts w:ascii="Times New Roman" w:hAnsi="Times New Roman" w:cs="Times New Roman"/>
          <w:lang w:val="en-AU"/>
        </w:rPr>
        <w:t xml:space="preserve"> XP as described before. Before and after pooling, the High Sensitivity DNA </w:t>
      </w:r>
      <w:proofErr w:type="spellStart"/>
      <w:r w:rsidRPr="004222E3">
        <w:rPr>
          <w:rFonts w:ascii="Times New Roman" w:hAnsi="Times New Roman" w:cs="Times New Roman"/>
          <w:lang w:val="en-AU"/>
        </w:rPr>
        <w:t>LabChip</w:t>
      </w:r>
      <w:proofErr w:type="spellEnd"/>
      <w:r w:rsidRPr="004222E3">
        <w:rPr>
          <w:rFonts w:ascii="Times New Roman" w:hAnsi="Times New Roman" w:cs="Times New Roman"/>
          <w:lang w:val="en-AU"/>
        </w:rPr>
        <w:t xml:space="preserve"> Kit (Agilent Technologies) was used on the 2100 Bioanalyzer (Agilent Technologies) to </w:t>
      </w:r>
      <w:proofErr w:type="spellStart"/>
      <w:r w:rsidRPr="004222E3">
        <w:rPr>
          <w:rFonts w:ascii="Times New Roman" w:hAnsi="Times New Roman" w:cs="Times New Roman"/>
          <w:lang w:val="en-AU"/>
        </w:rPr>
        <w:t>analyze</w:t>
      </w:r>
      <w:proofErr w:type="spellEnd"/>
      <w:r w:rsidRPr="004222E3">
        <w:rPr>
          <w:rFonts w:ascii="Times New Roman" w:hAnsi="Times New Roman" w:cs="Times New Roman"/>
          <w:lang w:val="en-AU"/>
        </w:rPr>
        <w:t xml:space="preserve"> the integrity and peak distribution of the library pool. The pool was denatured using NaOH to ensure single stranded DNA. The 16S rRNA sequencing was performed with a final concentration of 8 </w:t>
      </w:r>
      <w:proofErr w:type="spellStart"/>
      <w:r w:rsidRPr="004222E3">
        <w:rPr>
          <w:rFonts w:ascii="Times New Roman" w:hAnsi="Times New Roman" w:cs="Times New Roman"/>
          <w:lang w:val="en-AU"/>
        </w:rPr>
        <w:t>pM</w:t>
      </w:r>
      <w:proofErr w:type="spellEnd"/>
      <w:r w:rsidRPr="004222E3">
        <w:rPr>
          <w:rFonts w:ascii="Times New Roman" w:hAnsi="Times New Roman" w:cs="Times New Roman"/>
          <w:lang w:val="en-AU"/>
        </w:rPr>
        <w:t xml:space="preserve"> of the library and 20% </w:t>
      </w:r>
      <w:proofErr w:type="spellStart"/>
      <w:r w:rsidRPr="004222E3">
        <w:rPr>
          <w:rFonts w:ascii="Times New Roman" w:hAnsi="Times New Roman" w:cs="Times New Roman"/>
          <w:lang w:val="en-AU"/>
        </w:rPr>
        <w:t>PhiX</w:t>
      </w:r>
      <w:proofErr w:type="spellEnd"/>
      <w:r w:rsidRPr="004222E3">
        <w:rPr>
          <w:rFonts w:ascii="Times New Roman" w:hAnsi="Times New Roman" w:cs="Times New Roman"/>
          <w:lang w:val="en-AU"/>
        </w:rPr>
        <w:t xml:space="preserve"> control library spike-in (Illumina Inc.) on Illumina </w:t>
      </w:r>
      <w:proofErr w:type="spellStart"/>
      <w:r w:rsidRPr="004222E3">
        <w:rPr>
          <w:rFonts w:ascii="Times New Roman" w:hAnsi="Times New Roman" w:cs="Times New Roman"/>
          <w:lang w:val="en-AU"/>
        </w:rPr>
        <w:t>MiSeq</w:t>
      </w:r>
      <w:proofErr w:type="spellEnd"/>
      <w:r w:rsidRPr="004222E3">
        <w:rPr>
          <w:rFonts w:ascii="Times New Roman" w:hAnsi="Times New Roman" w:cs="Times New Roman"/>
          <w:lang w:val="en-AU"/>
        </w:rPr>
        <w:t>® platform (Illumina Inc.) using 2x300 bp pair-end reads (</w:t>
      </w:r>
      <w:proofErr w:type="spellStart"/>
      <w:r w:rsidRPr="004222E3">
        <w:rPr>
          <w:rFonts w:ascii="Times New Roman" w:hAnsi="Times New Roman" w:cs="Times New Roman"/>
          <w:lang w:val="en-AU"/>
        </w:rPr>
        <w:t>MiSeq</w:t>
      </w:r>
      <w:proofErr w:type="spellEnd"/>
      <w:r w:rsidRPr="004222E3">
        <w:rPr>
          <w:rFonts w:ascii="Times New Roman" w:hAnsi="Times New Roman" w:cs="Times New Roman"/>
          <w:lang w:val="en-AU"/>
        </w:rPr>
        <w:t xml:space="preserve">® Reagent Kit v3 600 cycles; Illumina Inc.). For imaging, data processing and evaluation, the Illumina software </w:t>
      </w:r>
      <w:proofErr w:type="spellStart"/>
      <w:r w:rsidRPr="004222E3">
        <w:rPr>
          <w:rFonts w:ascii="Times New Roman" w:hAnsi="Times New Roman" w:cs="Times New Roman"/>
          <w:lang w:val="en-AU"/>
        </w:rPr>
        <w:t>MiSeq</w:t>
      </w:r>
      <w:proofErr w:type="spellEnd"/>
      <w:r w:rsidRPr="004222E3">
        <w:rPr>
          <w:rFonts w:ascii="Times New Roman" w:hAnsi="Times New Roman" w:cs="Times New Roman"/>
          <w:lang w:val="en-AU"/>
        </w:rPr>
        <w:t xml:space="preserve">® Reporter (MSR) v 2.5.1.3 on the </w:t>
      </w:r>
      <w:proofErr w:type="spellStart"/>
      <w:r w:rsidRPr="004222E3">
        <w:rPr>
          <w:rFonts w:ascii="Times New Roman" w:hAnsi="Times New Roman" w:cs="Times New Roman"/>
          <w:lang w:val="en-AU"/>
        </w:rPr>
        <w:t>MiSeq</w:t>
      </w:r>
      <w:proofErr w:type="spellEnd"/>
      <w:r w:rsidRPr="004222E3">
        <w:rPr>
          <w:rFonts w:ascii="Times New Roman" w:hAnsi="Times New Roman" w:cs="Times New Roman"/>
          <w:lang w:val="en-AU"/>
        </w:rPr>
        <w:t xml:space="preserve">® system and the Illumina Sequence Analysis Viewer (SAV) v 2.4.5 were used. OTU clustering against the SILVA database was performed using CLC Genomics Workbench 11.0.1 and its microbial genomics module. After quality control </w:t>
      </w:r>
      <w:r w:rsidRPr="004222E3">
        <w:rPr>
          <w:rFonts w:ascii="Times New Roman" w:hAnsi="Times New Roman" w:cs="Times New Roman"/>
          <w:lang w:val="en-AU"/>
        </w:rPr>
        <w:lastRenderedPageBreak/>
        <w:t xml:space="preserve">(merging, chimera reduction), samples with less than 1000 reads were excluded from analysis (2 samples from HE_ID_6, week 1, 6 - pH 5.5 or pH 8.5, respectively). </w:t>
      </w:r>
      <w:bookmarkStart w:id="4" w:name="_Hlk36202801"/>
      <w:r w:rsidRPr="004222E3">
        <w:rPr>
          <w:rFonts w:ascii="Times New Roman" w:hAnsi="Times New Roman" w:cs="Times New Roman"/>
          <w:lang w:val="en-AU"/>
        </w:rPr>
        <w:t xml:space="preserve">The </w:t>
      </w:r>
      <w:r w:rsidRPr="004222E3">
        <w:rPr>
          <w:rFonts w:ascii="Times New Roman" w:hAnsi="Times New Roman" w:cs="Times New Roman"/>
          <w:lang w:val="en-US"/>
        </w:rPr>
        <w:t>α-,</w:t>
      </w:r>
      <w:r w:rsidRPr="004222E3">
        <w:rPr>
          <w:rFonts w:ascii="Times New Roman" w:hAnsi="Times New Roman" w:cs="Times New Roman"/>
          <w:lang w:val="en-AU"/>
        </w:rPr>
        <w:t xml:space="preserve"> </w:t>
      </w:r>
      <w:r w:rsidRPr="004222E3">
        <w:rPr>
          <w:rFonts w:ascii="Times New Roman" w:hAnsi="Times New Roman" w:cs="Times New Roman"/>
          <w:lang w:val="en-US"/>
        </w:rPr>
        <w:t>β</w:t>
      </w:r>
      <w:r w:rsidRPr="004222E3">
        <w:rPr>
          <w:rFonts w:ascii="Times New Roman" w:hAnsi="Times New Roman" w:cs="Times New Roman"/>
          <w:lang w:val="en-AU"/>
        </w:rPr>
        <w:t xml:space="preserve">-diversity and frequency of the top 10 families and species were </w:t>
      </w:r>
      <w:proofErr w:type="spellStart"/>
      <w:r w:rsidRPr="004222E3">
        <w:rPr>
          <w:rFonts w:ascii="Times New Roman" w:hAnsi="Times New Roman" w:cs="Times New Roman"/>
          <w:lang w:val="en-AU"/>
        </w:rPr>
        <w:t>analyzed</w:t>
      </w:r>
      <w:proofErr w:type="spellEnd"/>
      <w:r w:rsidRPr="004222E3">
        <w:rPr>
          <w:rFonts w:ascii="Times New Roman" w:hAnsi="Times New Roman" w:cs="Times New Roman"/>
          <w:lang w:val="en-AU"/>
        </w:rPr>
        <w:t xml:space="preserve"> based on the RHEA R-scripts published by </w:t>
      </w:r>
      <w:proofErr w:type="spellStart"/>
      <w:r w:rsidRPr="004222E3">
        <w:rPr>
          <w:rFonts w:ascii="Times New Roman" w:hAnsi="Times New Roman" w:cs="Times New Roman"/>
          <w:lang w:val="en-AU"/>
        </w:rPr>
        <w:t>Lagkouvardos</w:t>
      </w:r>
      <w:proofErr w:type="spellEnd"/>
      <w:r w:rsidRPr="004222E3">
        <w:rPr>
          <w:rFonts w:ascii="Times New Roman" w:hAnsi="Times New Roman" w:cs="Times New Roman"/>
          <w:lang w:val="en-AU"/>
        </w:rPr>
        <w:t xml:space="preserve"> et al 2017</w:t>
      </w:r>
      <w:r w:rsidRPr="004222E3">
        <w:rPr>
          <w:rFonts w:ascii="Times New Roman" w:hAnsi="Times New Roman" w:cs="Times New Roman"/>
          <w:lang w:val="en-AU"/>
        </w:rPr>
        <w:fldChar w:fldCharType="begin"/>
      </w:r>
      <w:r w:rsidRPr="004222E3">
        <w:rPr>
          <w:rFonts w:ascii="Times New Roman" w:hAnsi="Times New Roman" w:cs="Times New Roman"/>
          <w:lang w:val="en-AU"/>
        </w:rPr>
        <w:instrText xml:space="preserve"> ADDIN EN.CITE &lt;EndNote&gt;&lt;Cite&gt;&lt;Author&gt;Lagkouvardos&lt;/Author&gt;&lt;Year&gt;2017&lt;/Year&gt;&lt;RecNum&gt;37&lt;/RecNum&gt;&lt;DisplayText&gt;&lt;style face="superscript"&gt;23&lt;/style&gt;&lt;/DisplayText&gt;&lt;record&gt;&lt;rec-number&gt;37&lt;/rec-number&gt;&lt;foreign-keys&gt;&lt;key app="EN" db-id="9fvadzzfirs0abetze35frz7vwpretr2vazv" timestamp="1585330137"&gt;37&lt;/key&gt;&lt;/foreign-keys&gt;&lt;ref-type name="Journal Article"&gt;17&lt;/ref-type&gt;&lt;contributors&gt;&lt;authors&gt;&lt;author&gt;Lagkouvardos, I.&lt;/author&gt;&lt;author&gt;Fischer, S.&lt;/author&gt;&lt;author&gt;Kumar, N.&lt;/author&gt;&lt;author&gt;Clavel, T.&lt;/author&gt;&lt;/authors&gt;&lt;/contributors&gt;&lt;auth-address&gt;ZIEL-Core Facility Microbiome/NGS, Technical University of Munich , Freising , Germany.&lt;/auth-address&gt;&lt;titles&gt;&lt;title&gt;Rhea: a transparent and modular R pipeline for microbial profiling based on 16S rRNA gene amplicons&lt;/title&gt;&lt;secondary-title&gt;PeerJ&lt;/secondary-title&gt;&lt;/titles&gt;&lt;periodical&gt;&lt;full-title&gt;PeerJ&lt;/full-title&gt;&lt;/periodical&gt;&lt;pages&gt;e2836&lt;/pages&gt;&lt;volume&gt;5&lt;/volume&gt;&lt;edition&gt;2017/01/18&lt;/edition&gt;&lt;keywords&gt;&lt;keyword&gt;16S rRNA gene&lt;/keyword&gt;&lt;keyword&gt;Alpha-diversity&lt;/keyword&gt;&lt;keyword&gt;Beta-diversity&lt;/keyword&gt;&lt;keyword&gt;Correlations&lt;/keyword&gt;&lt;keyword&gt;Host-microbe interactions&lt;/keyword&gt;&lt;keyword&gt;Microbial profile&lt;/keyword&gt;&lt;keyword&gt;Microbiome analysis&lt;/keyword&gt;&lt;keyword&gt;R script&lt;/keyword&gt;&lt;keyword&gt;Statistical analysis&lt;/keyword&gt;&lt;/keywords&gt;&lt;dates&gt;&lt;year&gt;2017&lt;/year&gt;&lt;/dates&gt;&lt;isbn&gt;2167-8359 (Print)&amp;#xD;2167-8359&lt;/isbn&gt;&lt;accession-num&gt;28097056&lt;/accession-num&gt;&lt;urls&gt;&lt;/urls&gt;&lt;custom2&gt;PMC5234437&lt;/custom2&gt;&lt;electronic-resource-num&gt;10.7717/peerj.2836&lt;/electronic-resource-num&gt;&lt;remote-database-provider&gt;NLM&lt;/remote-database-provider&gt;&lt;language&gt;eng&lt;/language&gt;&lt;/record&gt;&lt;/Cite&gt;&lt;/EndNote&gt;</w:instrText>
      </w:r>
      <w:r w:rsidRPr="004222E3">
        <w:rPr>
          <w:rFonts w:ascii="Times New Roman" w:hAnsi="Times New Roman" w:cs="Times New Roman"/>
          <w:lang w:val="en-AU"/>
        </w:rPr>
        <w:fldChar w:fldCharType="separate"/>
      </w:r>
      <w:r w:rsidRPr="004222E3">
        <w:rPr>
          <w:rFonts w:ascii="Times New Roman" w:hAnsi="Times New Roman" w:cs="Times New Roman"/>
          <w:vertAlign w:val="superscript"/>
          <w:lang w:val="en-AU"/>
        </w:rPr>
        <w:t>23</w:t>
      </w:r>
      <w:r w:rsidRPr="004222E3">
        <w:rPr>
          <w:rFonts w:ascii="Times New Roman" w:hAnsi="Times New Roman" w:cs="Times New Roman"/>
          <w:lang w:val="en-AU"/>
        </w:rPr>
        <w:fldChar w:fldCharType="end"/>
      </w:r>
      <w:r w:rsidRPr="004222E3">
        <w:rPr>
          <w:rFonts w:ascii="Times New Roman" w:hAnsi="Times New Roman" w:cs="Times New Roman"/>
          <w:lang w:val="en-AU"/>
        </w:rPr>
        <w:t xml:space="preserve">. </w:t>
      </w:r>
      <w:bookmarkEnd w:id="4"/>
      <w:r w:rsidRPr="004222E3">
        <w:rPr>
          <w:rFonts w:ascii="Times New Roman" w:hAnsi="Times New Roman" w:cs="Times New Roman"/>
          <w:lang w:val="en-AU"/>
        </w:rPr>
        <w:t>Optimized species annotation was performed by using the algorithm of Bhattacharyya et al 2020</w:t>
      </w:r>
      <w:r w:rsidRPr="004222E3">
        <w:rPr>
          <w:rFonts w:ascii="Times New Roman" w:hAnsi="Times New Roman" w:cs="Times New Roman"/>
          <w:lang w:val="en-AU"/>
        </w:rPr>
        <w:fldChar w:fldCharType="begin"/>
      </w:r>
      <w:r w:rsidRPr="004222E3">
        <w:rPr>
          <w:rFonts w:ascii="Times New Roman" w:hAnsi="Times New Roman" w:cs="Times New Roman"/>
          <w:lang w:val="en-AU"/>
        </w:rPr>
        <w:instrText xml:space="preserve"> ADDIN EN.CITE &lt;EndNote&gt;&lt;Cite&gt;&lt;Author&gt;Bhattacharyya  M.&lt;/Author&gt;&lt;Year&gt;2019&lt;/Year&gt;&lt;RecNum&gt;38&lt;/RecNum&gt;&lt;DisplayText&gt;&lt;style face="superscript"&gt;24&lt;/style&gt;&lt;/DisplayText&gt;&lt;record&gt;&lt;rec-number&gt;38&lt;/rec-number&gt;&lt;foreign-keys&gt;&lt;key app="EN" db-id="9fvadzzfirs0abetze35frz7vwpretr2vazv" timestamp="1585330635"&gt;38&lt;/key&gt;&lt;/foreign-keys&gt;&lt;ref-type name="Journal Article"&gt;17&lt;/ref-type&gt;&lt;contributors&gt;&lt;authors&gt;&lt;author&gt;Bhattacharyya  M., , Reiger M.,, Rauer, L. , Huelpuesch, C. , Traidl-Hoffman, C. , Neumann, A. U.&lt;/author&gt;&lt;/authors&gt;&lt;/contributors&gt;&lt;titles&gt;&lt;title&gt; AnnotIEM: A Novel algorithm for Species level annotation of 16S gene based microbial OTUs&lt;/title&gt;&lt;secondary-title&gt;ISCB Comm J&lt;/secondary-title&gt;&lt;/titles&gt;&lt;periodical&gt;&lt;full-title&gt;ISCB Comm J&lt;/full-title&gt;&lt;/periodical&gt;&lt;volume&gt;8&lt;/volume&gt;&lt;section&gt;1660&lt;/section&gt;&lt;dates&gt;&lt;year&gt;2019&lt;/year&gt;&lt;/dates&gt;&lt;urls&gt;&lt;/urls&gt;&lt;/record&gt;&lt;/Cite&gt;&lt;/EndNote&gt;</w:instrText>
      </w:r>
      <w:r w:rsidRPr="004222E3">
        <w:rPr>
          <w:rFonts w:ascii="Times New Roman" w:hAnsi="Times New Roman" w:cs="Times New Roman"/>
          <w:lang w:val="en-AU"/>
        </w:rPr>
        <w:fldChar w:fldCharType="separate"/>
      </w:r>
      <w:r w:rsidRPr="004222E3">
        <w:rPr>
          <w:rFonts w:ascii="Times New Roman" w:hAnsi="Times New Roman" w:cs="Times New Roman"/>
          <w:vertAlign w:val="superscript"/>
          <w:lang w:val="en-AU"/>
        </w:rPr>
        <w:t>24</w:t>
      </w:r>
      <w:r w:rsidRPr="004222E3">
        <w:rPr>
          <w:rFonts w:ascii="Times New Roman" w:hAnsi="Times New Roman" w:cs="Times New Roman"/>
          <w:lang w:val="en-AU"/>
        </w:rPr>
        <w:fldChar w:fldCharType="end"/>
      </w:r>
      <w:r w:rsidRPr="004222E3">
        <w:rPr>
          <w:rFonts w:ascii="Times New Roman" w:hAnsi="Times New Roman" w:cs="Times New Roman"/>
          <w:lang w:val="en-AU"/>
        </w:rPr>
        <w:t>.</w:t>
      </w:r>
      <w:r w:rsidRPr="004222E3">
        <w:rPr>
          <w:rFonts w:ascii="Times New Roman" w:hAnsi="Times New Roman" w:cs="Times New Roman"/>
          <w:lang w:val="en-US"/>
        </w:rPr>
        <w:t xml:space="preserve"> </w:t>
      </w:r>
    </w:p>
    <w:p w14:paraId="507DA758" w14:textId="02EB568C" w:rsidR="000654F7" w:rsidRPr="004222E3" w:rsidRDefault="000654F7" w:rsidP="00635322">
      <w:pPr>
        <w:jc w:val="both"/>
        <w:rPr>
          <w:lang w:val="en-US"/>
        </w:rPr>
      </w:pPr>
    </w:p>
    <w:sectPr w:rsidR="000654F7" w:rsidRPr="004222E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22E3"/>
    <w:rsid w:val="000654F7"/>
    <w:rsid w:val="0021123D"/>
    <w:rsid w:val="004222E3"/>
    <w:rsid w:val="004E330D"/>
    <w:rsid w:val="00635322"/>
    <w:rsid w:val="0070664F"/>
    <w:rsid w:val="00A70F4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B3E08"/>
  <w15:chartTrackingRefBased/>
  <w15:docId w15:val="{016BE1A9-2921-4D95-85DC-C148BC08F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4222E3"/>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222E3"/>
    <w:rPr>
      <w:rFonts w:ascii="Segoe UI" w:hAnsi="Segoe UI" w:cs="Segoe UI"/>
      <w:sz w:val="18"/>
      <w:szCs w:val="18"/>
    </w:rPr>
  </w:style>
  <w:style w:type="paragraph" w:styleId="Listenabsatz">
    <w:name w:val="List Paragraph"/>
    <w:basedOn w:val="Standard"/>
    <w:link w:val="ListenabsatzZchn"/>
    <w:uiPriority w:val="34"/>
    <w:qFormat/>
    <w:rsid w:val="0021123D"/>
    <w:pPr>
      <w:ind w:left="720"/>
      <w:contextualSpacing/>
    </w:pPr>
  </w:style>
  <w:style w:type="character" w:customStyle="1" w:styleId="ListenabsatzZchn">
    <w:name w:val="Listenabsatz Zchn"/>
    <w:basedOn w:val="Absatz-Standardschriftart"/>
    <w:link w:val="Listenabsatz"/>
    <w:uiPriority w:val="34"/>
    <w:rsid w:val="002112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1761</Words>
  <Characters>11096</Characters>
  <Application>Microsoft Office Word</Application>
  <DocSecurity>0</DocSecurity>
  <Lines>92</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dc:creator>
  <cp:keywords/>
  <dc:description/>
  <cp:lastModifiedBy>Claudia</cp:lastModifiedBy>
  <cp:revision>2</cp:revision>
  <dcterms:created xsi:type="dcterms:W3CDTF">2020-06-13T09:35:00Z</dcterms:created>
  <dcterms:modified xsi:type="dcterms:W3CDTF">2020-06-13T09:35:00Z</dcterms:modified>
</cp:coreProperties>
</file>