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PlainTable3"/>
        <w:tblW w:w="1332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20" w:noHBand="0" w:lastColumn="0" w:firstColumn="0" w:lastRow="0" w:firstRow="1"/>
      </w:tblPr>
      <w:tblGrid>
        <w:gridCol w:w="1397"/>
        <w:gridCol w:w="4542"/>
        <w:gridCol w:w="7381"/>
      </w:tblGrid>
      <w:tr>
        <w:trPr>
          <w:trHeight w:val="285" w:hRule="atLeast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97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b/>
                <w:bCs w:val="false"/>
                <w:caps/>
                <w:color w:val="000000"/>
                <w:kern w:val="0"/>
                <w:sz w:val="22"/>
                <w:szCs w:val="22"/>
                <w:lang w:val="en-US" w:eastAsia="en-US" w:bidi="ar-SA"/>
              </w:rPr>
              <w:t>Tool</w:t>
            </w:r>
          </w:p>
        </w:tc>
        <w:tc>
          <w:tcPr>
            <w:tcW w:w="4542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b/>
                <w:bCs/>
                <w:caps/>
                <w:color w:val="000000"/>
                <w:kern w:val="0"/>
                <w:sz w:val="22"/>
                <w:szCs w:val="22"/>
                <w:lang w:val="en-US" w:eastAsia="en-US" w:bidi="ar-SA"/>
              </w:rPr>
              <w:t>Purpose</w:t>
            </w:r>
          </w:p>
        </w:tc>
        <w:tc>
          <w:tcPr>
            <w:tcW w:w="7381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b/>
                <w:bCs/>
                <w:caps/>
                <w:color w:val="000000"/>
                <w:kern w:val="0"/>
                <w:sz w:val="22"/>
                <w:szCs w:val="22"/>
                <w:lang w:val="en-US" w:eastAsia="en-US" w:bidi="ar-SA"/>
              </w:rPr>
              <w:t>Method</w:t>
            </w:r>
          </w:p>
        </w:tc>
      </w:tr>
      <w:tr>
        <w:trPr>
          <w:trHeight w:val="285" w:hRule="atLeast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97" w:type="dxa"/>
            <w:tcBorders>
              <w:top w:val="single" w:sz="8" w:space="0" w:color="000000"/>
            </w:tcBorders>
            <w:shd w:color="auto" w:fill="F2F2F2" w:themeFill="background1" w:themeFillShade="f2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MACS2</w:t>
            </w:r>
          </w:p>
        </w:tc>
        <w:tc>
          <w:tcPr>
            <w:tcW w:w="4542" w:type="dxa"/>
            <w:tcBorders>
              <w:top w:val="single" w:sz="8" w:space="0" w:color="000000"/>
            </w:tcBorders>
            <w:shd w:color="auto" w:fill="F2F2F2" w:themeFill="background1" w:themeFillShade="f2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peak calling</w:t>
            </w:r>
          </w:p>
        </w:tc>
        <w:tc>
          <w:tcPr>
            <w:tcW w:w="7381" w:type="dxa"/>
            <w:tcBorders>
              <w:top w:val="single" w:sz="8" w:space="0" w:color="000000"/>
            </w:tcBorders>
            <w:shd w:color="auto" w:fill="F2F2F2" w:themeFill="background1" w:themeFillShade="f2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sliding windows approach using dynamic Poisson distribution</w:t>
            </w:r>
          </w:p>
        </w:tc>
      </w:tr>
      <w:tr>
        <w:trPr>
          <w:trHeight w:val="285" w:hRule="atLeast"/>
        </w:trPr>
        <w:tc>
          <w:tcPr>
            <w:tcW w:w="139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histoneHMM</w:t>
            </w:r>
          </w:p>
        </w:tc>
        <w:tc>
          <w:tcPr>
            <w:tcW w:w="45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peak calling / differential binding</w:t>
            </w:r>
          </w:p>
        </w:tc>
        <w:tc>
          <w:tcPr>
            <w:tcW w:w="73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bivariate HMM</w:t>
            </w:r>
          </w:p>
        </w:tc>
      </w:tr>
      <w:tr>
        <w:trPr>
          <w:trHeight w:val="285" w:hRule="atLeast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97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BCP</w:t>
            </w:r>
          </w:p>
        </w:tc>
        <w:tc>
          <w:tcPr>
            <w:tcW w:w="454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peak calling</w:t>
            </w:r>
          </w:p>
        </w:tc>
        <w:tc>
          <w:tcPr>
            <w:tcW w:w="7381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infinite-state HMM and change point identification</w:t>
            </w:r>
          </w:p>
        </w:tc>
      </w:tr>
      <w:tr>
        <w:trPr>
          <w:trHeight w:val="285" w:hRule="atLeast"/>
        </w:trPr>
        <w:tc>
          <w:tcPr>
            <w:tcW w:w="139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MUSIC</w:t>
            </w:r>
          </w:p>
        </w:tc>
        <w:tc>
          <w:tcPr>
            <w:tcW w:w="45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peak calling</w:t>
            </w:r>
          </w:p>
        </w:tc>
        <w:tc>
          <w:tcPr>
            <w:tcW w:w="73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multiscale decomposition using median filtering</w:t>
            </w:r>
          </w:p>
        </w:tc>
      </w:tr>
      <w:tr>
        <w:trPr>
          <w:trHeight w:val="285" w:hRule="atLeast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97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SEACR</w:t>
            </w:r>
          </w:p>
        </w:tc>
        <w:tc>
          <w:tcPr>
            <w:tcW w:w="454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peak calling</w:t>
            </w:r>
          </w:p>
        </w:tc>
        <w:tc>
          <w:tcPr>
            <w:tcW w:w="7381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model free; optimal threshold determined based on experimental data</w:t>
            </w:r>
          </w:p>
        </w:tc>
      </w:tr>
      <w:tr>
        <w:trPr>
          <w:trHeight w:val="285" w:hRule="atLeast"/>
        </w:trPr>
        <w:tc>
          <w:tcPr>
            <w:tcW w:w="139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csaw</w:t>
            </w:r>
          </w:p>
        </w:tc>
        <w:tc>
          <w:tcPr>
            <w:tcW w:w="45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differential binding</w:t>
            </w:r>
          </w:p>
        </w:tc>
        <w:tc>
          <w:tcPr>
            <w:tcW w:w="73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window-based approach using quasi-likelihood</w:t>
            </w:r>
          </w:p>
        </w:tc>
      </w:tr>
      <w:tr>
        <w:trPr>
          <w:trHeight w:val="285" w:hRule="atLeast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97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DiffBind</w:t>
            </w:r>
          </w:p>
        </w:tc>
        <w:tc>
          <w:tcPr>
            <w:tcW w:w="454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differential binding</w:t>
            </w:r>
          </w:p>
        </w:tc>
        <w:tc>
          <w:tcPr>
            <w:tcW w:w="7381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peak based counts are tested for DB using GLM methods in edgeR</w:t>
            </w:r>
          </w:p>
        </w:tc>
      </w:tr>
      <w:tr>
        <w:trPr>
          <w:trHeight w:val="285" w:hRule="atLeast"/>
        </w:trPr>
        <w:tc>
          <w:tcPr>
            <w:tcW w:w="139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MAnorm</w:t>
            </w:r>
          </w:p>
        </w:tc>
        <w:tc>
          <w:tcPr>
            <w:tcW w:w="45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peak read normalization</w:t>
            </w:r>
          </w:p>
        </w:tc>
        <w:tc>
          <w:tcPr>
            <w:tcW w:w="73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 xml:space="preserve">uses linear regression to normalize based on read densities of common peaks </w:t>
            </w:r>
          </w:p>
        </w:tc>
      </w:tr>
      <w:tr>
        <w:trPr>
          <w:trHeight w:val="285" w:hRule="atLeast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97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edgeR</w:t>
            </w:r>
          </w:p>
        </w:tc>
        <w:tc>
          <w:tcPr>
            <w:tcW w:w="454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differential binding / differential expression</w:t>
            </w:r>
          </w:p>
        </w:tc>
        <w:tc>
          <w:tcPr>
            <w:tcW w:w="7381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negative binomial distribution for counts, GLM for hypothesis testing</w:t>
            </w:r>
          </w:p>
        </w:tc>
      </w:tr>
      <w:tr>
        <w:trPr>
          <w:trHeight w:val="285" w:hRule="atLeast"/>
        </w:trPr>
        <w:tc>
          <w:tcPr>
            <w:tcW w:w="139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DESeq2</w:t>
            </w:r>
          </w:p>
        </w:tc>
        <w:tc>
          <w:tcPr>
            <w:tcW w:w="45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differential binding / differential expression</w:t>
            </w:r>
          </w:p>
        </w:tc>
        <w:tc>
          <w:tcPr>
            <w:tcW w:w="73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negative binomial distribution for counts, GLM for hypothesis testing</w:t>
            </w:r>
          </w:p>
        </w:tc>
      </w:tr>
      <w:tr>
        <w:trPr>
          <w:trHeight w:val="285" w:hRule="atLeast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97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GSEA</w:t>
            </w:r>
          </w:p>
        </w:tc>
        <w:tc>
          <w:tcPr>
            <w:tcW w:w="454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gene set enrichment</w:t>
            </w:r>
          </w:p>
        </w:tc>
        <w:tc>
          <w:tcPr>
            <w:tcW w:w="7381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enrichment scores and class-label permutation to assess their significance</w:t>
            </w:r>
          </w:p>
        </w:tc>
      </w:tr>
      <w:tr>
        <w:trPr>
          <w:trHeight w:val="285" w:hRule="atLeast"/>
        </w:trPr>
        <w:tc>
          <w:tcPr>
            <w:tcW w:w="139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DAVID</w:t>
            </w:r>
          </w:p>
        </w:tc>
        <w:tc>
          <w:tcPr>
            <w:tcW w:w="45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gene set enrichment</w:t>
            </w:r>
          </w:p>
        </w:tc>
        <w:tc>
          <w:tcPr>
            <w:tcW w:w="73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Fisher’s exact test</w:t>
            </w:r>
          </w:p>
        </w:tc>
      </w:tr>
      <w:tr>
        <w:trPr>
          <w:trHeight w:val="285" w:hRule="atLeast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97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HOMER</w:t>
            </w:r>
          </w:p>
        </w:tc>
        <w:tc>
          <w:tcPr>
            <w:tcW w:w="454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motif discovery</w:t>
            </w:r>
          </w:p>
        </w:tc>
        <w:tc>
          <w:tcPr>
            <w:tcW w:w="7381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cumulative hypergeometric distributions</w:t>
            </w:r>
          </w:p>
        </w:tc>
      </w:tr>
      <w:tr>
        <w:trPr>
          <w:trHeight w:val="285" w:hRule="atLeast"/>
        </w:trPr>
        <w:tc>
          <w:tcPr>
            <w:tcW w:w="139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MEME-ChIP</w:t>
            </w:r>
          </w:p>
        </w:tc>
        <w:tc>
          <w:tcPr>
            <w:tcW w:w="45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motif discovery</w:t>
            </w:r>
          </w:p>
        </w:tc>
        <w:tc>
          <w:tcPr>
            <w:tcW w:w="73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expectation maximization</w:t>
            </w:r>
          </w:p>
        </w:tc>
      </w:tr>
      <w:tr>
        <w:trPr>
          <w:trHeight w:val="285" w:hRule="atLeast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97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Discrover</w:t>
            </w:r>
          </w:p>
        </w:tc>
        <w:tc>
          <w:tcPr>
            <w:tcW w:w="454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motif discovery</w:t>
            </w:r>
          </w:p>
        </w:tc>
        <w:tc>
          <w:tcPr>
            <w:tcW w:w="7381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discriminative learning based on HMMs</w:t>
            </w:r>
          </w:p>
        </w:tc>
      </w:tr>
      <w:tr>
        <w:trPr>
          <w:trHeight w:val="285" w:hRule="atLeast"/>
        </w:trPr>
        <w:tc>
          <w:tcPr>
            <w:tcW w:w="139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IMAGE</w:t>
            </w:r>
          </w:p>
        </w:tc>
        <w:tc>
          <w:tcPr>
            <w:tcW w:w="4542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eastAsia="Calibri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identify causal transcription factors</w:t>
            </w:r>
          </w:p>
        </w:tc>
        <w:tc>
          <w:tcPr>
            <w:tcW w:w="7381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eastAsia="Calibri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ridge regression</w:t>
            </w:r>
          </w:p>
        </w:tc>
      </w:tr>
      <w:tr>
        <w:trPr>
          <w:trHeight w:val="285" w:hRule="atLeast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97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CENTIPEDE</w:t>
            </w:r>
          </w:p>
        </w:tc>
        <w:tc>
          <w:tcPr>
            <w:tcW w:w="4542" w:type="dxa"/>
            <w:tcBorders/>
            <w:shd w:color="auto" w:fill="F2F2F2" w:themeFill="background1" w:themeFillShade="f2" w:val="clear"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eastAsia="Calibri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predict TF binding</w:t>
            </w:r>
          </w:p>
        </w:tc>
        <w:tc>
          <w:tcPr>
            <w:tcW w:w="7381" w:type="dxa"/>
            <w:tcBorders/>
            <w:shd w:color="auto" w:fill="F2F2F2" w:themeFill="background1" w:themeFillShade="f2" w:val="clear"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eastAsia="Calibri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hierarchical mixture models</w:t>
            </w:r>
          </w:p>
        </w:tc>
      </w:tr>
      <w:tr>
        <w:trPr>
          <w:trHeight w:val="285" w:hRule="atLeast"/>
        </w:trPr>
        <w:tc>
          <w:tcPr>
            <w:tcW w:w="139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HINT</w:t>
            </w:r>
          </w:p>
        </w:tc>
        <w:tc>
          <w:tcPr>
            <w:tcW w:w="4542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eastAsia="Calibri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TF footprinting</w:t>
            </w:r>
          </w:p>
        </w:tc>
        <w:tc>
          <w:tcPr>
            <w:tcW w:w="7381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eastAsia="Calibri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HMM</w:t>
            </w:r>
          </w:p>
        </w:tc>
      </w:tr>
      <w:tr>
        <w:trPr>
          <w:trHeight w:val="285" w:hRule="atLeast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97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HINT-ATAC</w:t>
            </w:r>
          </w:p>
        </w:tc>
        <w:tc>
          <w:tcPr>
            <w:tcW w:w="4542" w:type="dxa"/>
            <w:tcBorders/>
            <w:shd w:color="auto" w:fill="F2F2F2" w:themeFill="background1" w:themeFillShade="f2" w:val="clear"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eastAsia="Calibri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TF footprinting</w:t>
            </w:r>
          </w:p>
        </w:tc>
        <w:tc>
          <w:tcPr>
            <w:tcW w:w="7381" w:type="dxa"/>
            <w:tcBorders/>
            <w:shd w:color="auto" w:fill="F2F2F2" w:themeFill="background1" w:themeFillShade="f2" w:val="clear"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eastAsia="Calibri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combines a position dependency model and HMM</w:t>
            </w:r>
          </w:p>
        </w:tc>
      </w:tr>
      <w:tr>
        <w:trPr>
          <w:trHeight w:val="285" w:hRule="atLeast"/>
        </w:trPr>
        <w:tc>
          <w:tcPr>
            <w:tcW w:w="139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DeepSEA</w:t>
            </w:r>
          </w:p>
        </w:tc>
        <w:tc>
          <w:tcPr>
            <w:tcW w:w="45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predict regulatory features</w:t>
            </w:r>
          </w:p>
        </w:tc>
        <w:tc>
          <w:tcPr>
            <w:tcW w:w="73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CNN</w:t>
            </w:r>
          </w:p>
        </w:tc>
      </w:tr>
      <w:tr>
        <w:trPr>
          <w:trHeight w:val="285" w:hRule="atLeast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97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DeepBind</w:t>
            </w:r>
          </w:p>
        </w:tc>
        <w:tc>
          <w:tcPr>
            <w:tcW w:w="454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predict TF binding</w:t>
            </w:r>
          </w:p>
        </w:tc>
        <w:tc>
          <w:tcPr>
            <w:tcW w:w="7381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CNN</w:t>
            </w:r>
          </w:p>
        </w:tc>
      </w:tr>
      <w:tr>
        <w:trPr>
          <w:trHeight w:val="285" w:hRule="atLeast"/>
        </w:trPr>
        <w:tc>
          <w:tcPr>
            <w:tcW w:w="139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FactorNet</w:t>
            </w:r>
          </w:p>
        </w:tc>
        <w:tc>
          <w:tcPr>
            <w:tcW w:w="45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predict TF binding</w:t>
            </w:r>
          </w:p>
        </w:tc>
        <w:tc>
          <w:tcPr>
            <w:tcW w:w="73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convolutional-recurrent neural network</w:t>
            </w:r>
          </w:p>
        </w:tc>
      </w:tr>
      <w:tr>
        <w:trPr>
          <w:trHeight w:val="285" w:hRule="atLeast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97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ExPecto</w:t>
            </w:r>
          </w:p>
        </w:tc>
        <w:tc>
          <w:tcPr>
            <w:tcW w:w="454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predict regulatory features and gene expression</w:t>
            </w:r>
          </w:p>
        </w:tc>
        <w:tc>
          <w:tcPr>
            <w:tcW w:w="7381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CNN and celltype-specific linear model</w:t>
            </w:r>
          </w:p>
        </w:tc>
      </w:tr>
      <w:tr>
        <w:trPr>
          <w:trHeight w:val="285" w:hRule="atLeast"/>
        </w:trPr>
        <w:tc>
          <w:tcPr>
            <w:tcW w:w="1397" w:type="dxa"/>
            <w:tcBorders>
              <w:bottom w:val="single" w:sz="8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BPNet</w:t>
            </w:r>
          </w:p>
        </w:tc>
        <w:tc>
          <w:tcPr>
            <w:tcW w:w="4542" w:type="dxa"/>
            <w:tcBorders>
              <w:bottom w:val="single" w:sz="8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predict ChIPexo signal</w:t>
            </w:r>
          </w:p>
        </w:tc>
        <w:tc>
          <w:tcPr>
            <w:tcW w:w="7381" w:type="dxa"/>
            <w:tcBorders>
              <w:bottom w:val="single" w:sz="8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en-US" w:eastAsia="en-US" w:bidi="ar-SA"/>
              </w:rPr>
              <w:t>CNN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>
          <w:rFonts w:cs="Arial" w:ascii="Arial" w:hAnsi="Arial"/>
          <w:b/>
          <w:bCs/>
          <w:color w:val="000000"/>
        </w:rPr>
        <w:t xml:space="preserve">Supplementary Table 1: Tools, their purpose and the underlying method. </w:t>
      </w:r>
      <w:r>
        <w:rPr>
          <w:rFonts w:cs="Arial" w:ascii="Arial" w:hAnsi="Arial"/>
          <w:bCs/>
          <w:color w:val="000000"/>
        </w:rPr>
        <w:t>Several methods have multiple purposes in which case we listed those that we referred to in this review. TF: transcription factor, HMM: Hidden Markov Model, DB: differential binding, GLM: Generalized Linear Model, CNN: convolutional neural network</w:t>
      </w:r>
    </w:p>
    <w:sectPr>
      <w:type w:val="nextPage"/>
      <w:pgSz w:orient="landscape" w:w="15840" w:h="12240"/>
      <w:pgMar w:left="1440" w:right="1440" w:header="0" w:top="1440" w:footer="0" w:bottom="144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verknpfung">
    <w:name w:val="Internetverknüpfung"/>
    <w:basedOn w:val="DefaultParagraphFont"/>
    <w:uiPriority w:val="99"/>
    <w:semiHidden/>
    <w:unhideWhenUsed/>
    <w:rPr>
      <w:color w:val="0563C1"/>
      <w:u w:val="single"/>
    </w:rPr>
  </w:style>
  <w:style w:type="paragraph" w:styleId="Berschrift">
    <w:name w:val="Überschrift"/>
    <w:basedOn w:val="Normal"/>
    <w:next w:val="Textkrper"/>
    <w:qFormat/>
    <w:pPr>
      <w:keepNext w:val="true"/>
      <w:spacing w:before="240" w:after="120"/>
    </w:pPr>
    <w:rPr>
      <w:rFonts w:ascii="Liberation Sans" w:hAnsi="Liberation Sans" w:eastAsia="Noto Sans CJK SC" w:cs="DejaVu Sans"/>
      <w:sz w:val="28"/>
      <w:szCs w:val="28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krper"/>
    <w:pPr/>
    <w:rPr>
      <w:rFonts w:cs="DejaVu Sans"/>
    </w:rPr>
  </w:style>
  <w:style w:type="paragraph" w:styleId="Beschriftung">
    <w:name w:val="Caption"/>
    <w:basedOn w:val="Normal"/>
    <w:qFormat/>
    <w:pPr>
      <w:suppressLineNumbers/>
      <w:spacing w:before="120" w:after="120"/>
    </w:pPr>
    <w:rPr>
      <w:rFonts w:cs="DejaVu Sans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DejaVu San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3">
    <w:name w:val="Plain Table 3"/>
    <w:basedOn w:val="TableNormal"/>
    <w:uiPriority w:val="4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color="7F7F7F" w:themeColor="text1" w:sz="4" w:space="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color="7F7F7F" w:themeColor="text1" w:sz="4" w:space="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LibreOffice/7.0.0.0.alpha0$Linux_X86_64 LibreOffice_project/d34b6243d6a84b0c979a6858a48a15c90a077f9e</Application>
  <Pages>1</Pages>
  <Words>265</Words>
  <Characters>1759</Characters>
  <CharactersWithSpaces>1949</CharactersWithSpaces>
  <Paragraphs>76</Paragraphs>
  <Company>Helmholtz Zentrum München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2020-05-04T09:14:00Z</dcterms:created>
  <dc:creator>Hoellbacher, Barbara</dc:creator>
  <dc:description/>
  <dc:language>de-DE</dc:language>
  <cp:lastModifiedBy/>
  <dcterms:modified xsi:type="dcterms:W3CDTF">2020-05-13T10:02:40Z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Helmholtz Zentrum München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