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C61234" w14:textId="77777777" w:rsidR="00B82631" w:rsidRPr="00B82631" w:rsidRDefault="00B82631" w:rsidP="00B82631">
      <w:pPr>
        <w:spacing w:after="200" w:line="276" w:lineRule="auto"/>
        <w:rPr>
          <w:rFonts w:asciiTheme="minorHAnsi" w:eastAsiaTheme="minorHAnsi" w:hAnsiTheme="minorHAnsi" w:cstheme="minorBidi"/>
          <w:i/>
          <w:kern w:val="0"/>
          <w:lang w:eastAsia="en-US" w:bidi="ar-SA"/>
        </w:rPr>
      </w:pPr>
      <w:r w:rsidRPr="00B82631">
        <w:rPr>
          <w:rFonts w:asciiTheme="minorHAnsi" w:eastAsiaTheme="minorHAnsi" w:hAnsiTheme="minorHAnsi" w:cstheme="minorBidi"/>
          <w:i/>
          <w:kern w:val="0"/>
          <w:lang w:eastAsia="en-US" w:bidi="ar-SA"/>
        </w:rPr>
        <w:t>MANUSCRIPT TITLE:</w:t>
      </w:r>
    </w:p>
    <w:p w14:paraId="23B51841" w14:textId="77777777" w:rsidR="00B82631" w:rsidRPr="00B82631" w:rsidRDefault="00B82631" w:rsidP="00B82631">
      <w:pPr>
        <w:spacing w:after="200" w:line="276" w:lineRule="auto"/>
        <w:rPr>
          <w:rFonts w:asciiTheme="minorHAnsi" w:eastAsiaTheme="minorHAnsi" w:hAnsiTheme="minorHAnsi" w:cstheme="minorBidi"/>
          <w:b/>
          <w:kern w:val="0"/>
          <w:lang w:eastAsia="en-US" w:bidi="ar-SA"/>
        </w:rPr>
      </w:pPr>
      <w:r w:rsidRPr="00B82631">
        <w:rPr>
          <w:rFonts w:asciiTheme="minorHAnsi" w:eastAsiaTheme="minorHAnsi" w:hAnsiTheme="minorHAnsi" w:cstheme="minorBidi"/>
          <w:b/>
          <w:kern w:val="0"/>
          <w:lang w:eastAsia="en-US" w:bidi="ar-SA"/>
        </w:rPr>
        <w:t>Distinct abdominal and gluteal adipose tissue transcriptome signatures are altered by exercise training in African women with obesity</w:t>
      </w:r>
    </w:p>
    <w:p w14:paraId="75703466" w14:textId="77777777" w:rsidR="00B82631" w:rsidRPr="00B82631" w:rsidRDefault="00B82631" w:rsidP="00B82631">
      <w:pPr>
        <w:spacing w:after="200" w:line="276" w:lineRule="auto"/>
        <w:rPr>
          <w:rFonts w:asciiTheme="minorHAnsi" w:eastAsiaTheme="minorHAnsi" w:hAnsiTheme="minorHAnsi" w:cstheme="minorBidi"/>
          <w:b/>
          <w:kern w:val="0"/>
          <w:lang w:eastAsia="en-US" w:bidi="ar-SA"/>
        </w:rPr>
      </w:pPr>
    </w:p>
    <w:p w14:paraId="6C97357F" w14:textId="77777777" w:rsidR="00B82631" w:rsidRPr="00B82631" w:rsidRDefault="00B82631" w:rsidP="00B82631">
      <w:pPr>
        <w:spacing w:after="200" w:line="276" w:lineRule="auto"/>
        <w:rPr>
          <w:rFonts w:asciiTheme="minorHAnsi" w:eastAsiaTheme="minorHAnsi" w:hAnsiTheme="minorHAnsi" w:cstheme="minorBidi"/>
          <w:i/>
          <w:kern w:val="0"/>
          <w:lang w:eastAsia="en-US" w:bidi="ar-SA"/>
        </w:rPr>
      </w:pPr>
      <w:r w:rsidRPr="00B82631">
        <w:rPr>
          <w:rFonts w:asciiTheme="minorHAnsi" w:eastAsiaTheme="minorHAnsi" w:hAnsiTheme="minorHAnsi" w:cstheme="minorBidi"/>
          <w:b/>
          <w:i/>
          <w:kern w:val="0"/>
          <w:lang w:eastAsia="en-US" w:bidi="ar-SA"/>
        </w:rPr>
        <w:t>AUTHORS:</w:t>
      </w:r>
      <w:r w:rsidRPr="00B82631">
        <w:rPr>
          <w:rFonts w:asciiTheme="minorHAnsi" w:eastAsiaTheme="minorHAnsi" w:hAnsiTheme="minorHAnsi" w:cstheme="minorBidi"/>
          <w:i/>
          <w:kern w:val="0"/>
          <w:lang w:eastAsia="en-US" w:bidi="ar-SA"/>
        </w:rPr>
        <w:t xml:space="preserve"> </w:t>
      </w:r>
    </w:p>
    <w:p w14:paraId="7FEC407E" w14:textId="77777777" w:rsidR="00B82631" w:rsidRPr="00B82631" w:rsidRDefault="00B82631" w:rsidP="00B82631">
      <w:pPr>
        <w:spacing w:after="200" w:line="276" w:lineRule="auto"/>
        <w:rPr>
          <w:rFonts w:asciiTheme="minorHAnsi" w:eastAsiaTheme="minorHAnsi" w:hAnsiTheme="minorHAnsi" w:cstheme="minorBidi"/>
          <w:kern w:val="0"/>
          <w:lang w:eastAsia="en-US" w:bidi="ar-SA"/>
        </w:rPr>
      </w:pPr>
      <w:r w:rsidRPr="00B82631">
        <w:rPr>
          <w:rFonts w:asciiTheme="minorHAnsi" w:eastAsiaTheme="minorHAnsi" w:hAnsiTheme="minorHAnsi" w:cstheme="minorBidi"/>
          <w:kern w:val="0"/>
          <w:lang w:eastAsia="en-US" w:bidi="ar-SA"/>
        </w:rPr>
        <w:t>Pamela A. Nono Nankam</w:t>
      </w:r>
      <w:r w:rsidRPr="00B82631">
        <w:rPr>
          <w:rFonts w:asciiTheme="minorHAnsi" w:eastAsiaTheme="minorHAnsi" w:hAnsiTheme="minorHAnsi" w:cstheme="minorBidi"/>
          <w:kern w:val="0"/>
          <w:vertAlign w:val="superscript"/>
          <w:lang w:eastAsia="en-US" w:bidi="ar-SA"/>
        </w:rPr>
        <w:t>1,2*</w:t>
      </w:r>
      <w:r w:rsidRPr="00B82631">
        <w:rPr>
          <w:rFonts w:asciiTheme="minorHAnsi" w:eastAsiaTheme="minorHAnsi" w:hAnsiTheme="minorHAnsi" w:cstheme="minorBidi"/>
          <w:kern w:val="0"/>
          <w:lang w:eastAsia="en-US" w:bidi="ar-SA"/>
        </w:rPr>
        <w:t>, Matthias Blüher</w:t>
      </w:r>
      <w:r w:rsidRPr="00B82631">
        <w:rPr>
          <w:rFonts w:asciiTheme="minorHAnsi" w:eastAsiaTheme="minorHAnsi" w:hAnsiTheme="minorHAnsi" w:cstheme="minorBidi"/>
          <w:kern w:val="0"/>
          <w:vertAlign w:val="superscript"/>
          <w:lang w:eastAsia="en-US" w:bidi="ar-SA"/>
        </w:rPr>
        <w:t>2,3</w:t>
      </w:r>
      <w:r w:rsidRPr="00B82631">
        <w:rPr>
          <w:rFonts w:asciiTheme="minorHAnsi" w:eastAsiaTheme="minorHAnsi" w:hAnsiTheme="minorHAnsi" w:cstheme="minorBidi"/>
          <w:kern w:val="0"/>
          <w:lang w:eastAsia="en-US" w:bidi="ar-SA"/>
        </w:rPr>
        <w:t>, Stephanie Kehr</w:t>
      </w:r>
      <w:r w:rsidRPr="00B82631">
        <w:rPr>
          <w:rFonts w:asciiTheme="minorHAnsi" w:eastAsiaTheme="minorHAnsi" w:hAnsiTheme="minorHAnsi" w:cstheme="minorBidi"/>
          <w:kern w:val="0"/>
          <w:vertAlign w:val="superscript"/>
          <w:lang w:eastAsia="en-US" w:bidi="ar-SA"/>
        </w:rPr>
        <w:t>4</w:t>
      </w:r>
      <w:r w:rsidRPr="00B82631">
        <w:rPr>
          <w:rFonts w:asciiTheme="minorHAnsi" w:eastAsiaTheme="minorHAnsi" w:hAnsiTheme="minorHAnsi" w:cstheme="minorBidi"/>
          <w:kern w:val="0"/>
          <w:lang w:eastAsia="en-US" w:bidi="ar-SA"/>
        </w:rPr>
        <w:t>, Nora Klöting</w:t>
      </w:r>
      <w:r w:rsidRPr="00B82631">
        <w:rPr>
          <w:rFonts w:asciiTheme="minorHAnsi" w:eastAsiaTheme="minorHAnsi" w:hAnsiTheme="minorHAnsi" w:cstheme="minorBidi"/>
          <w:kern w:val="0"/>
          <w:vertAlign w:val="superscript"/>
          <w:lang w:eastAsia="en-US" w:bidi="ar-SA"/>
        </w:rPr>
        <w:t>2,3</w:t>
      </w:r>
      <w:r w:rsidRPr="00B82631">
        <w:rPr>
          <w:rFonts w:asciiTheme="minorHAnsi" w:eastAsiaTheme="minorHAnsi" w:hAnsiTheme="minorHAnsi" w:cstheme="minorBidi"/>
          <w:kern w:val="0"/>
          <w:lang w:eastAsia="en-US" w:bidi="ar-SA"/>
        </w:rPr>
        <w:t>, Knut Krohn</w:t>
      </w:r>
      <w:r w:rsidRPr="00B82631">
        <w:rPr>
          <w:rFonts w:asciiTheme="minorHAnsi" w:eastAsiaTheme="minorHAnsi" w:hAnsiTheme="minorHAnsi" w:cstheme="minorBidi"/>
          <w:kern w:val="0"/>
          <w:vertAlign w:val="superscript"/>
          <w:lang w:eastAsia="en-US" w:bidi="ar-SA"/>
        </w:rPr>
        <w:t>5</w:t>
      </w:r>
      <w:r w:rsidRPr="00B82631">
        <w:rPr>
          <w:rFonts w:asciiTheme="minorHAnsi" w:eastAsiaTheme="minorHAnsi" w:hAnsiTheme="minorHAnsi" w:cstheme="minorBidi"/>
          <w:kern w:val="0"/>
          <w:lang w:eastAsia="en-US" w:bidi="ar-SA"/>
        </w:rPr>
        <w:t>, Kevin Adams</w:t>
      </w:r>
      <w:r w:rsidRPr="00B82631">
        <w:rPr>
          <w:rFonts w:asciiTheme="minorHAnsi" w:eastAsia="Times New Roman" w:hAnsiTheme="minorHAnsi" w:cs="Times New Roman"/>
          <w:kern w:val="0"/>
          <w:vertAlign w:val="superscript"/>
          <w:lang w:eastAsia="en-US" w:bidi="ar-SA"/>
        </w:rPr>
        <w:t>1</w:t>
      </w:r>
      <w:r w:rsidRPr="00B82631">
        <w:rPr>
          <w:rFonts w:asciiTheme="minorHAnsi" w:eastAsiaTheme="minorHAnsi" w:hAnsiTheme="minorHAnsi" w:cstheme="minorBidi"/>
          <w:kern w:val="0"/>
          <w:lang w:eastAsia="en-US" w:bidi="ar-SA"/>
        </w:rPr>
        <w:t>,</w:t>
      </w:r>
      <w:r w:rsidRPr="00B82631">
        <w:rPr>
          <w:rFonts w:asciiTheme="minorHAnsi" w:eastAsiaTheme="minorHAnsi" w:hAnsiTheme="minorHAnsi" w:cstheme="minorBidi"/>
          <w:kern w:val="0"/>
          <w:sz w:val="22"/>
          <w:szCs w:val="22"/>
          <w:lang w:eastAsia="en-US" w:bidi="ar-SA"/>
        </w:rPr>
        <w:t xml:space="preserve"> </w:t>
      </w:r>
      <w:r w:rsidRPr="00B82631">
        <w:rPr>
          <w:rFonts w:asciiTheme="minorHAnsi" w:eastAsiaTheme="minorHAnsi" w:hAnsiTheme="minorHAnsi" w:cstheme="minorBidi"/>
          <w:kern w:val="0"/>
          <w:lang w:eastAsia="en-US" w:bidi="ar-SA"/>
        </w:rPr>
        <w:t>Peter F. Stadler</w:t>
      </w:r>
      <w:r w:rsidRPr="00B82631">
        <w:rPr>
          <w:rFonts w:asciiTheme="minorHAnsi" w:eastAsiaTheme="minorHAnsi" w:hAnsiTheme="minorHAnsi" w:cstheme="minorBidi"/>
          <w:kern w:val="0"/>
          <w:vertAlign w:val="superscript"/>
          <w:lang w:eastAsia="en-US" w:bidi="ar-SA"/>
        </w:rPr>
        <w:t>4</w:t>
      </w:r>
      <w:r w:rsidRPr="00B82631">
        <w:rPr>
          <w:rFonts w:asciiTheme="minorHAnsi" w:eastAsiaTheme="minorHAnsi" w:hAnsiTheme="minorHAnsi" w:cstheme="minorBidi"/>
          <w:kern w:val="0"/>
          <w:lang w:eastAsia="en-US" w:bidi="ar-SA"/>
        </w:rPr>
        <w:t>,  Amy E. Mendham</w:t>
      </w:r>
      <w:r w:rsidRPr="00B82631">
        <w:rPr>
          <w:rFonts w:asciiTheme="minorHAnsi" w:eastAsiaTheme="minorHAnsi" w:hAnsiTheme="minorHAnsi" w:cstheme="minorBidi"/>
          <w:kern w:val="0"/>
          <w:vertAlign w:val="superscript"/>
          <w:lang w:eastAsia="en-US" w:bidi="ar-SA"/>
        </w:rPr>
        <w:t>1,6</w:t>
      </w:r>
      <w:r w:rsidRPr="00B82631">
        <w:rPr>
          <w:rFonts w:asciiTheme="minorHAnsi" w:eastAsiaTheme="minorHAnsi" w:hAnsiTheme="minorHAnsi" w:cstheme="minorBidi"/>
          <w:kern w:val="0"/>
          <w:lang w:eastAsia="en-US" w:bidi="ar-SA"/>
        </w:rPr>
        <w:t>, Julia H. Goedecke</w:t>
      </w:r>
      <w:r w:rsidRPr="00B82631">
        <w:rPr>
          <w:rFonts w:asciiTheme="minorHAnsi" w:eastAsiaTheme="minorHAnsi" w:hAnsiTheme="minorHAnsi" w:cstheme="minorBidi"/>
          <w:kern w:val="0"/>
          <w:vertAlign w:val="superscript"/>
          <w:lang w:eastAsia="en-US" w:bidi="ar-SA"/>
        </w:rPr>
        <w:t>1,6</w:t>
      </w:r>
    </w:p>
    <w:p w14:paraId="25732F9D" w14:textId="77777777" w:rsidR="00B82631" w:rsidRPr="00B82631" w:rsidRDefault="00B82631" w:rsidP="00B82631">
      <w:pPr>
        <w:spacing w:after="200" w:line="276" w:lineRule="auto"/>
        <w:rPr>
          <w:rFonts w:asciiTheme="minorHAnsi" w:eastAsiaTheme="minorHAnsi" w:hAnsiTheme="minorHAnsi" w:cstheme="minorBidi"/>
          <w:b/>
          <w:i/>
          <w:kern w:val="0"/>
          <w:lang w:eastAsia="en-US" w:bidi="ar-SA"/>
        </w:rPr>
      </w:pPr>
      <w:r w:rsidRPr="00B82631">
        <w:rPr>
          <w:rFonts w:asciiTheme="minorHAnsi" w:eastAsiaTheme="minorHAnsi" w:hAnsiTheme="minorHAnsi" w:cstheme="minorBidi"/>
          <w:b/>
          <w:i/>
          <w:kern w:val="0"/>
          <w:lang w:eastAsia="en-US" w:bidi="ar-SA"/>
        </w:rPr>
        <w:t>AFFILIATIONS:</w:t>
      </w:r>
      <w:bookmarkStart w:id="0" w:name="_GoBack"/>
      <w:bookmarkEnd w:id="0"/>
    </w:p>
    <w:p w14:paraId="4EF66E07" w14:textId="77777777" w:rsidR="00B82631" w:rsidRPr="00B82631" w:rsidRDefault="00B82631" w:rsidP="00B82631">
      <w:pPr>
        <w:spacing w:line="480" w:lineRule="auto"/>
        <w:jc w:val="both"/>
        <w:rPr>
          <w:rFonts w:asciiTheme="minorHAnsi" w:eastAsia="Times New Roman" w:hAnsiTheme="minorHAnsi" w:cs="Times New Roman"/>
          <w:kern w:val="0"/>
          <w:lang w:eastAsia="en-US" w:bidi="ar-SA"/>
        </w:rPr>
      </w:pPr>
      <w:r w:rsidRPr="00B82631">
        <w:rPr>
          <w:rFonts w:asciiTheme="minorHAnsi" w:eastAsia="Times New Roman" w:hAnsiTheme="minorHAnsi" w:cs="Times New Roman"/>
          <w:kern w:val="0"/>
          <w:vertAlign w:val="superscript"/>
          <w:lang w:eastAsia="en-US" w:bidi="ar-SA"/>
        </w:rPr>
        <w:t>1</w:t>
      </w:r>
      <w:r w:rsidRPr="00B82631">
        <w:rPr>
          <w:rFonts w:asciiTheme="minorHAnsi" w:eastAsia="Times New Roman" w:hAnsiTheme="minorHAnsi" w:cs="Times New Roman"/>
          <w:kern w:val="0"/>
          <w:lang w:eastAsia="en-US" w:bidi="ar-SA"/>
        </w:rPr>
        <w:t xml:space="preserve">Division of Exercise Science and Sports Medicine, Department of Human Biology, University of Cape Town, Cape Town, South Africa </w:t>
      </w:r>
    </w:p>
    <w:p w14:paraId="5EE7F422" w14:textId="77777777" w:rsidR="00B82631" w:rsidRPr="00B82631" w:rsidRDefault="00B82631" w:rsidP="00B82631">
      <w:pPr>
        <w:spacing w:line="480" w:lineRule="auto"/>
        <w:jc w:val="both"/>
        <w:rPr>
          <w:rFonts w:asciiTheme="minorHAnsi" w:eastAsia="Times New Roman" w:hAnsiTheme="minorHAnsi" w:cs="Times New Roman"/>
          <w:kern w:val="0"/>
          <w:lang w:eastAsia="en-US" w:bidi="ar-SA"/>
        </w:rPr>
      </w:pPr>
      <w:r w:rsidRPr="00B82631">
        <w:rPr>
          <w:rFonts w:asciiTheme="minorHAnsi" w:eastAsia="Times New Roman" w:hAnsiTheme="minorHAnsi" w:cs="Times New Roman"/>
          <w:kern w:val="0"/>
          <w:vertAlign w:val="superscript"/>
          <w:lang w:eastAsia="en-US" w:bidi="ar-SA"/>
        </w:rPr>
        <w:t>2</w:t>
      </w:r>
      <w:r w:rsidRPr="00B82631">
        <w:rPr>
          <w:rFonts w:asciiTheme="minorHAnsi" w:eastAsia="Times New Roman" w:hAnsiTheme="minorHAnsi" w:cs="Times New Roman"/>
          <w:kern w:val="0"/>
          <w:lang w:eastAsia="en-US" w:bidi="ar-SA"/>
        </w:rPr>
        <w:t>Department of Endocrinology, Faculty of Medicine, University of Leipzig, Leipzig, Germany</w:t>
      </w:r>
    </w:p>
    <w:p w14:paraId="038DA448" w14:textId="77777777" w:rsidR="00B82631" w:rsidRPr="00B82631" w:rsidRDefault="00B82631" w:rsidP="00B82631">
      <w:pPr>
        <w:spacing w:line="480" w:lineRule="auto"/>
        <w:jc w:val="both"/>
        <w:rPr>
          <w:rFonts w:asciiTheme="minorHAnsi" w:eastAsiaTheme="minorHAnsi" w:hAnsiTheme="minorHAnsi" w:cs="Arial"/>
          <w:kern w:val="0"/>
          <w:lang w:eastAsia="en-US" w:bidi="ar-SA"/>
        </w:rPr>
      </w:pPr>
      <w:r w:rsidRPr="00B82631">
        <w:rPr>
          <w:rFonts w:asciiTheme="minorHAnsi" w:eastAsiaTheme="minorHAnsi" w:hAnsiTheme="minorHAnsi" w:cs="Arial"/>
          <w:kern w:val="0"/>
          <w:vertAlign w:val="superscript"/>
          <w:lang w:eastAsia="en-US" w:bidi="ar-SA"/>
        </w:rPr>
        <w:t>3</w:t>
      </w:r>
      <w:r w:rsidRPr="00B82631">
        <w:rPr>
          <w:rFonts w:asciiTheme="minorHAnsi" w:eastAsiaTheme="minorHAnsi" w:hAnsiTheme="minorHAnsi" w:cs="Arial"/>
          <w:kern w:val="0"/>
          <w:lang w:eastAsia="en-US" w:bidi="ar-SA"/>
        </w:rPr>
        <w:t>Helmholtz Institute for Metabolic, Obesity and Vascular Research (HI-MAG) of the Helmholtz Zentrum München at the University of Leipzig and University Hospital Leipzig</w:t>
      </w:r>
    </w:p>
    <w:p w14:paraId="6BE40F28" w14:textId="77777777" w:rsidR="00B82631" w:rsidRPr="00B82631" w:rsidRDefault="00B82631" w:rsidP="00B82631">
      <w:pPr>
        <w:spacing w:line="480" w:lineRule="auto"/>
        <w:jc w:val="both"/>
        <w:rPr>
          <w:rFonts w:asciiTheme="minorHAnsi" w:eastAsiaTheme="minorHAnsi" w:hAnsiTheme="minorHAnsi" w:cstheme="minorBidi"/>
          <w:kern w:val="0"/>
          <w:sz w:val="22"/>
          <w:szCs w:val="22"/>
          <w:lang w:eastAsia="en-US" w:bidi="ar-SA"/>
        </w:rPr>
      </w:pPr>
      <w:r w:rsidRPr="00B82631">
        <w:rPr>
          <w:rFonts w:asciiTheme="minorHAnsi" w:eastAsiaTheme="minorHAnsi" w:hAnsiTheme="minorHAnsi" w:cs="Arial"/>
          <w:kern w:val="0"/>
          <w:vertAlign w:val="superscript"/>
          <w:lang w:eastAsia="en-US" w:bidi="ar-SA"/>
        </w:rPr>
        <w:t>4</w:t>
      </w:r>
      <w:r w:rsidRPr="00B82631">
        <w:rPr>
          <w:rFonts w:asciiTheme="minorHAnsi" w:eastAsiaTheme="minorHAnsi" w:hAnsiTheme="minorHAnsi" w:cs="Arial"/>
          <w:kern w:val="0"/>
          <w:lang w:eastAsia="en-US" w:bidi="ar-SA"/>
        </w:rPr>
        <w:t xml:space="preserve">Bioinformatics Group, Department of Computer Science, and Interdisciplinary Center for Bioinformatics, University of Leipzig, Germany </w:t>
      </w:r>
    </w:p>
    <w:p w14:paraId="272669CB" w14:textId="77777777" w:rsidR="00B82631" w:rsidRPr="00B82631" w:rsidRDefault="00B82631" w:rsidP="00B82631">
      <w:pPr>
        <w:spacing w:after="200" w:line="276" w:lineRule="auto"/>
        <w:rPr>
          <w:rFonts w:asciiTheme="minorHAnsi" w:eastAsiaTheme="minorHAnsi" w:hAnsiTheme="minorHAnsi" w:cstheme="minorBidi"/>
          <w:kern w:val="0"/>
          <w:lang w:eastAsia="en-US" w:bidi="ar-SA"/>
        </w:rPr>
      </w:pPr>
      <w:r w:rsidRPr="00B82631">
        <w:rPr>
          <w:rFonts w:asciiTheme="minorHAnsi" w:eastAsiaTheme="minorHAnsi" w:hAnsiTheme="minorHAnsi" w:cstheme="minorBidi"/>
          <w:kern w:val="0"/>
          <w:vertAlign w:val="superscript"/>
          <w:lang w:eastAsia="en-US" w:bidi="ar-SA"/>
        </w:rPr>
        <w:t>5</w:t>
      </w:r>
      <w:r w:rsidRPr="00B82631">
        <w:rPr>
          <w:rFonts w:asciiTheme="minorHAnsi" w:eastAsiaTheme="minorHAnsi" w:hAnsiTheme="minorHAnsi" w:cstheme="minorBidi"/>
          <w:kern w:val="0"/>
          <w:lang w:eastAsia="en-US" w:bidi="ar-SA"/>
        </w:rPr>
        <w:t>Core Unit DNA-Technologies, Medical Faculty, University Leipzig, Leipzig, Germany</w:t>
      </w:r>
    </w:p>
    <w:p w14:paraId="07B558C2" w14:textId="77777777" w:rsidR="00B82631" w:rsidRPr="00B82631" w:rsidRDefault="00B82631" w:rsidP="00B82631">
      <w:pPr>
        <w:spacing w:after="200" w:line="276" w:lineRule="auto"/>
        <w:rPr>
          <w:rFonts w:asciiTheme="minorHAnsi" w:eastAsiaTheme="minorHAnsi" w:hAnsiTheme="minorHAnsi" w:cstheme="minorBidi"/>
          <w:kern w:val="0"/>
          <w:lang w:val="en-ZA" w:eastAsia="en-US" w:bidi="ar-SA"/>
        </w:rPr>
      </w:pPr>
      <w:r w:rsidRPr="00B82631">
        <w:rPr>
          <w:rFonts w:asciiTheme="minorHAnsi" w:eastAsiaTheme="minorHAnsi" w:hAnsiTheme="minorHAnsi" w:cstheme="minorBidi"/>
          <w:kern w:val="0"/>
          <w:vertAlign w:val="superscript"/>
          <w:lang w:val="en-ZA" w:eastAsia="en-US" w:bidi="ar-SA"/>
        </w:rPr>
        <w:t>6</w:t>
      </w:r>
      <w:r w:rsidRPr="00B82631">
        <w:rPr>
          <w:rFonts w:asciiTheme="minorHAnsi" w:eastAsiaTheme="minorHAnsi" w:hAnsiTheme="minorHAnsi" w:cstheme="minorBidi"/>
          <w:kern w:val="0"/>
          <w:lang w:val="en-ZA" w:eastAsia="en-US" w:bidi="ar-SA"/>
        </w:rPr>
        <w:t xml:space="preserve">Non-communicable Diseases Research Unit, South African Medical Research Council </w:t>
      </w:r>
    </w:p>
    <w:p w14:paraId="531AACF1" w14:textId="77777777" w:rsidR="00B82631" w:rsidRPr="00B82631" w:rsidRDefault="00B82631" w:rsidP="00B82631">
      <w:pPr>
        <w:spacing w:after="200" w:line="276" w:lineRule="auto"/>
        <w:rPr>
          <w:rFonts w:asciiTheme="minorHAnsi" w:eastAsiaTheme="minorHAnsi" w:hAnsiTheme="minorHAnsi" w:cstheme="minorBidi"/>
          <w:kern w:val="0"/>
          <w:lang w:eastAsia="en-US" w:bidi="ar-SA"/>
        </w:rPr>
      </w:pPr>
      <w:r w:rsidRPr="00B82631">
        <w:rPr>
          <w:rFonts w:asciiTheme="minorHAnsi" w:eastAsiaTheme="minorHAnsi" w:hAnsiTheme="minorHAnsi" w:cstheme="minorBidi"/>
          <w:kern w:val="0"/>
          <w:lang w:val="en-ZA" w:eastAsia="en-US" w:bidi="ar-SA"/>
        </w:rPr>
        <w:t>Tygerberg, Cape Town, South Africa.</w:t>
      </w:r>
    </w:p>
    <w:p w14:paraId="416988AB" w14:textId="77777777" w:rsidR="00B82631" w:rsidRPr="00B82631" w:rsidRDefault="00B82631" w:rsidP="00B82631">
      <w:pPr>
        <w:spacing w:after="200" w:line="276" w:lineRule="auto"/>
        <w:rPr>
          <w:rFonts w:asciiTheme="minorHAnsi" w:eastAsiaTheme="minorHAnsi" w:hAnsiTheme="minorHAnsi" w:cstheme="minorBidi"/>
          <w:kern w:val="0"/>
          <w:lang w:eastAsia="en-US" w:bidi="ar-SA"/>
        </w:rPr>
      </w:pPr>
    </w:p>
    <w:p w14:paraId="08ACF046" w14:textId="77777777" w:rsidR="00B82631" w:rsidRPr="00B82631" w:rsidRDefault="00B82631" w:rsidP="00B82631">
      <w:pPr>
        <w:spacing w:after="200" w:line="276" w:lineRule="auto"/>
        <w:rPr>
          <w:rFonts w:asciiTheme="minorHAnsi" w:eastAsiaTheme="minorHAnsi" w:hAnsiTheme="minorHAnsi" w:cstheme="minorBidi"/>
          <w:b/>
          <w:kern w:val="0"/>
          <w:lang w:eastAsia="en-US" w:bidi="ar-SA"/>
        </w:rPr>
      </w:pPr>
      <w:r w:rsidRPr="00B82631">
        <w:rPr>
          <w:rFonts w:asciiTheme="minorHAnsi" w:eastAsiaTheme="minorHAnsi" w:hAnsiTheme="minorHAnsi" w:cstheme="minorBidi"/>
          <w:b/>
          <w:kern w:val="0"/>
          <w:lang w:eastAsia="en-US" w:bidi="ar-SA"/>
        </w:rPr>
        <w:t xml:space="preserve">*Correspondence to: </w:t>
      </w:r>
      <w:r w:rsidRPr="00B82631">
        <w:rPr>
          <w:rFonts w:asciiTheme="minorHAnsi" w:eastAsiaTheme="minorHAnsi" w:hAnsiTheme="minorHAnsi" w:cstheme="minorBidi"/>
          <w:kern w:val="0"/>
          <w:lang w:eastAsia="en-US" w:bidi="ar-SA"/>
        </w:rPr>
        <w:t>pamela.nononankam@medizin.uni-leipzig.de</w:t>
      </w:r>
    </w:p>
    <w:p w14:paraId="6CF48D4B" w14:textId="77777777" w:rsidR="00B82631" w:rsidRDefault="00B82631">
      <w:pPr>
        <w:rPr>
          <w:rFonts w:asciiTheme="minorHAnsi" w:hAnsiTheme="minorHAnsi" w:cstheme="minorHAnsi"/>
          <w:b/>
          <w:i/>
        </w:rPr>
      </w:pPr>
      <w:r>
        <w:rPr>
          <w:rFonts w:asciiTheme="minorHAnsi" w:hAnsiTheme="minorHAnsi" w:cstheme="minorHAnsi"/>
          <w:b/>
          <w:i/>
        </w:rPr>
        <w:br w:type="page"/>
      </w:r>
    </w:p>
    <w:p w14:paraId="4D3C7142" w14:textId="0BCDB063" w:rsidR="0052616E" w:rsidRPr="0052616E" w:rsidRDefault="0052616E" w:rsidP="0052616E">
      <w:pPr>
        <w:pStyle w:val="Heading"/>
        <w:spacing w:line="360" w:lineRule="auto"/>
        <w:jc w:val="both"/>
        <w:rPr>
          <w:rFonts w:asciiTheme="minorHAnsi" w:hAnsiTheme="minorHAnsi" w:cstheme="minorHAnsi"/>
          <w:b/>
          <w:i/>
          <w:sz w:val="24"/>
          <w:szCs w:val="24"/>
        </w:rPr>
      </w:pPr>
      <w:r w:rsidRPr="0052616E">
        <w:rPr>
          <w:rFonts w:asciiTheme="minorHAnsi" w:hAnsiTheme="minorHAnsi" w:cstheme="minorHAnsi"/>
          <w:b/>
          <w:i/>
          <w:sz w:val="24"/>
          <w:szCs w:val="24"/>
        </w:rPr>
        <w:lastRenderedPageBreak/>
        <w:t>In Silico Promotor Analysis</w:t>
      </w:r>
    </w:p>
    <w:p w14:paraId="22D1DB60" w14:textId="77777777" w:rsidR="0052616E" w:rsidRPr="0052616E" w:rsidRDefault="0052616E" w:rsidP="0052616E">
      <w:pPr>
        <w:pStyle w:val="Heading"/>
        <w:spacing w:line="360" w:lineRule="auto"/>
        <w:jc w:val="both"/>
        <w:rPr>
          <w:rFonts w:asciiTheme="minorHAnsi" w:hAnsiTheme="minorHAnsi" w:cstheme="minorHAnsi"/>
          <w:b/>
          <w:sz w:val="24"/>
          <w:szCs w:val="24"/>
        </w:rPr>
      </w:pPr>
      <w:r w:rsidRPr="0052616E">
        <w:rPr>
          <w:rFonts w:asciiTheme="minorHAnsi" w:hAnsiTheme="minorHAnsi" w:cstheme="minorHAnsi"/>
          <w:b/>
          <w:sz w:val="24"/>
          <w:szCs w:val="24"/>
        </w:rPr>
        <w:t>Methods</w:t>
      </w:r>
    </w:p>
    <w:p w14:paraId="67D9C904" w14:textId="77777777" w:rsidR="0052616E" w:rsidRPr="0052616E" w:rsidRDefault="0052616E" w:rsidP="0052616E">
      <w:pPr>
        <w:pStyle w:val="Textkrper"/>
        <w:spacing w:line="360" w:lineRule="auto"/>
        <w:jc w:val="both"/>
        <w:rPr>
          <w:rFonts w:asciiTheme="minorHAnsi" w:hAnsiTheme="minorHAnsi" w:cstheme="minorHAnsi"/>
        </w:rPr>
      </w:pPr>
      <w:r w:rsidRPr="0052616E">
        <w:rPr>
          <w:rFonts w:asciiTheme="minorHAnsi" w:hAnsiTheme="minorHAnsi" w:cstheme="minorHAnsi"/>
        </w:rPr>
        <w:t xml:space="preserve">Additionally, the DEGs were analyzed for over-represented motifs in their promoter regions using HOMER (Hypergeometric Optimization of Motif EnRichment) v4.10 </w:t>
      </w:r>
      <w:r w:rsidRPr="0052616E">
        <w:rPr>
          <w:rFonts w:asciiTheme="minorHAnsi" w:hAnsiTheme="minorHAnsi" w:cstheme="minorHAnsi"/>
        </w:rPr>
        <w:fldChar w:fldCharType="begin">
          <w:fldData xml:space="preserve">PEVuZE5vdGU+PENpdGU+PEF1dGhvcj5IZWluejwvQXV0aG9yPjxZZWFyPjIwMTA8L1llYXI+PFJl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</w:fldData>
        </w:fldChar>
      </w:r>
      <w:r w:rsidRPr="0052616E">
        <w:rPr>
          <w:rFonts w:asciiTheme="minorHAnsi" w:hAnsiTheme="minorHAnsi" w:cstheme="minorHAnsi"/>
        </w:rPr>
        <w:instrText xml:space="preserve"> ADDIN EN.CITE </w:instrText>
      </w:r>
      <w:r w:rsidRPr="0052616E">
        <w:rPr>
          <w:rFonts w:asciiTheme="minorHAnsi" w:hAnsiTheme="minorHAnsi" w:cstheme="minorHAnsi"/>
        </w:rPr>
        <w:fldChar w:fldCharType="begin">
          <w:fldData xml:space="preserve">PEVuZE5vdGU+PENpdGU+PEF1dGhvcj5IZWluejwvQXV0aG9yPjxZZWFyPjIwMTA8L1llYXI+PFJl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</w:fldData>
        </w:fldChar>
      </w:r>
      <w:r w:rsidRPr="0052616E">
        <w:rPr>
          <w:rFonts w:asciiTheme="minorHAnsi" w:hAnsiTheme="minorHAnsi" w:cstheme="minorHAnsi"/>
        </w:rPr>
        <w:instrText xml:space="preserve"> ADDIN EN.CITE.DATA </w:instrText>
      </w:r>
      <w:r w:rsidRPr="0052616E">
        <w:rPr>
          <w:rFonts w:asciiTheme="minorHAnsi" w:hAnsiTheme="minorHAnsi" w:cstheme="minorHAnsi"/>
        </w:rPr>
      </w:r>
      <w:r w:rsidRPr="0052616E">
        <w:rPr>
          <w:rFonts w:asciiTheme="minorHAnsi" w:hAnsiTheme="minorHAnsi" w:cstheme="minorHAnsi"/>
        </w:rPr>
        <w:fldChar w:fldCharType="end"/>
      </w:r>
      <w:r w:rsidRPr="0052616E">
        <w:rPr>
          <w:rFonts w:asciiTheme="minorHAnsi" w:hAnsiTheme="minorHAnsi" w:cstheme="minorHAnsi"/>
        </w:rPr>
      </w:r>
      <w:r w:rsidRPr="0052616E">
        <w:rPr>
          <w:rFonts w:asciiTheme="minorHAnsi" w:hAnsiTheme="minorHAnsi" w:cstheme="minorHAnsi"/>
        </w:rPr>
        <w:fldChar w:fldCharType="separate"/>
      </w:r>
      <w:r w:rsidRPr="0052616E">
        <w:rPr>
          <w:rFonts w:asciiTheme="minorHAnsi" w:hAnsiTheme="minorHAnsi" w:cstheme="minorHAnsi"/>
          <w:noProof/>
        </w:rPr>
        <w:t>[1]</w:t>
      </w:r>
      <w:r w:rsidRPr="0052616E">
        <w:rPr>
          <w:rFonts w:asciiTheme="minorHAnsi" w:hAnsiTheme="minorHAnsi" w:cstheme="minorHAnsi"/>
        </w:rPr>
        <w:fldChar w:fldCharType="end"/>
      </w:r>
      <w:r w:rsidRPr="0052616E">
        <w:rPr>
          <w:rFonts w:asciiTheme="minorHAnsi" w:hAnsiTheme="minorHAnsi" w:cstheme="minorHAnsi"/>
        </w:rPr>
        <w:t>. The analysis was done for all DEG contrast, and separately for up- and down-regulated gene sets respectively, if the number of genes in both sets exceeds 50 genes. For the HOMER computation, the default parameters were kept, thus considering the region of -300bp/50bp as putative promoter regions. As the background gene set of all genes on the array were considered, only the motifs present in at least 5% of the target genes were considered. A p-value cut-off of 1e</w:t>
      </w:r>
      <w:r w:rsidRPr="0052616E">
        <w:rPr>
          <w:rFonts w:asciiTheme="minorHAnsi" w:hAnsiTheme="minorHAnsi" w:cstheme="minorHAnsi"/>
          <w:vertAlign w:val="superscript"/>
        </w:rPr>
        <w:t>-2</w:t>
      </w:r>
      <w:r w:rsidRPr="0052616E">
        <w:rPr>
          <w:rFonts w:asciiTheme="minorHAnsi" w:hAnsiTheme="minorHAnsi" w:cstheme="minorHAnsi"/>
        </w:rPr>
        <w:t xml:space="preserve"> (known motifs) and 1e</w:t>
      </w:r>
      <w:r w:rsidRPr="0052616E">
        <w:rPr>
          <w:rFonts w:asciiTheme="minorHAnsi" w:hAnsiTheme="minorHAnsi" w:cstheme="minorHAnsi"/>
          <w:vertAlign w:val="superscript"/>
        </w:rPr>
        <w:t>-9</w:t>
      </w:r>
      <w:r w:rsidRPr="0052616E">
        <w:rPr>
          <w:rFonts w:asciiTheme="minorHAnsi" w:hAnsiTheme="minorHAnsi" w:cstheme="minorHAnsi"/>
        </w:rPr>
        <w:t xml:space="preserve"> (de novo motifs) were chosen for over-represented motifs. The alignment of the 'best match motifs' were manually inspected to reject false positive matches. The best matches were only reported when the consensus sequence matched the core region of the suggested binding motif. </w:t>
      </w:r>
      <w:bookmarkStart w:id="1" w:name="_Hlk40778136"/>
      <w:r w:rsidRPr="0052616E">
        <w:rPr>
          <w:rFonts w:asciiTheme="minorHAnsi" w:hAnsiTheme="minorHAnsi" w:cstheme="minorHAnsi"/>
        </w:rPr>
        <w:t>Detailed data processing of each comparison set (aSAT vs gSAT in both time point, aSAT pre- vs post-exercise training and gSAT pre- vs post-exercise training) as well as the outcome from the HOMER analysis are provided below.</w:t>
      </w:r>
    </w:p>
    <w:bookmarkEnd w:id="1"/>
    <w:p w14:paraId="290181CF" w14:textId="77777777" w:rsidR="0052616E" w:rsidRPr="0052616E" w:rsidRDefault="0052616E" w:rsidP="0052616E">
      <w:pPr>
        <w:pStyle w:val="Heading"/>
        <w:spacing w:line="360" w:lineRule="auto"/>
        <w:jc w:val="both"/>
        <w:rPr>
          <w:rFonts w:asciiTheme="minorHAnsi" w:hAnsiTheme="minorHAnsi" w:cstheme="minorHAnsi"/>
          <w:b/>
          <w:sz w:val="24"/>
          <w:szCs w:val="24"/>
        </w:rPr>
      </w:pPr>
      <w:r w:rsidRPr="0052616E">
        <w:rPr>
          <w:rFonts w:asciiTheme="minorHAnsi" w:hAnsiTheme="minorHAnsi" w:cstheme="minorHAnsi"/>
          <w:b/>
          <w:sz w:val="24"/>
          <w:szCs w:val="24"/>
        </w:rPr>
        <w:t>Abdominal SAT vs gSAT at baseline</w:t>
      </w:r>
    </w:p>
    <w:p w14:paraId="39DDB67F" w14:textId="77777777" w:rsidR="0052616E" w:rsidRPr="0052616E" w:rsidRDefault="0052616E" w:rsidP="0052616E">
      <w:pPr>
        <w:pStyle w:val="Textkrper"/>
        <w:spacing w:line="360" w:lineRule="auto"/>
        <w:jc w:val="both"/>
        <w:rPr>
          <w:rFonts w:asciiTheme="minorHAnsi" w:hAnsiTheme="minorHAnsi" w:cstheme="minorHAnsi"/>
        </w:rPr>
      </w:pPr>
      <w:r w:rsidRPr="0052616E">
        <w:rPr>
          <w:rFonts w:asciiTheme="minorHAnsi" w:hAnsiTheme="minorHAnsi" w:cstheme="minorHAnsi"/>
        </w:rPr>
        <w:t>The set of DEGs between both fat depots included only 15 genes, making motif enrichment analysis unreliable. Each of the four identified known motifs is only present in four promoter sequences. Given the shortness of the motifs and the high degree of freedom in the according position weight matrices (PWM) no results are reported for putative transcription factor binding sites (TFBS) at baseline.</w:t>
      </w:r>
    </w:p>
    <w:p w14:paraId="09AEE6E1" w14:textId="77777777" w:rsidR="0052616E" w:rsidRPr="0052616E" w:rsidRDefault="0052616E" w:rsidP="0052616E">
      <w:pPr>
        <w:pStyle w:val="Heading"/>
        <w:spacing w:line="360" w:lineRule="auto"/>
        <w:jc w:val="both"/>
        <w:rPr>
          <w:rFonts w:asciiTheme="minorHAnsi" w:hAnsiTheme="minorHAnsi" w:cstheme="minorHAnsi"/>
          <w:b/>
          <w:sz w:val="24"/>
          <w:szCs w:val="24"/>
        </w:rPr>
      </w:pPr>
      <w:r w:rsidRPr="0052616E">
        <w:rPr>
          <w:rFonts w:asciiTheme="minorHAnsi" w:hAnsiTheme="minorHAnsi" w:cstheme="minorHAnsi"/>
          <w:b/>
          <w:sz w:val="24"/>
          <w:szCs w:val="24"/>
        </w:rPr>
        <w:t>Abdominal SAT vs gSAT after exercise training</w:t>
      </w:r>
    </w:p>
    <w:p w14:paraId="15DBF6D2" w14:textId="77777777" w:rsidR="0052616E" w:rsidRPr="0052616E" w:rsidRDefault="0052616E" w:rsidP="0052616E">
      <w:pPr>
        <w:pStyle w:val="Textkrper"/>
        <w:spacing w:line="360" w:lineRule="auto"/>
        <w:jc w:val="both"/>
        <w:rPr>
          <w:rFonts w:asciiTheme="minorHAnsi" w:hAnsiTheme="minorHAnsi" w:cstheme="minorHAnsi"/>
        </w:rPr>
      </w:pPr>
      <w:r w:rsidRPr="0052616E">
        <w:rPr>
          <w:rFonts w:asciiTheme="minorHAnsi" w:hAnsiTheme="minorHAnsi" w:cstheme="minorHAnsi"/>
        </w:rPr>
        <w:t>Enrichment for TFBS in promoters’ regions was done for higher and lower DEGs (in aSAT vs gSAT), separately.</w:t>
      </w:r>
    </w:p>
    <w:p w14:paraId="329888CB" w14:textId="77777777" w:rsidR="0052616E" w:rsidRPr="0052616E" w:rsidRDefault="0052616E" w:rsidP="0052616E">
      <w:pPr>
        <w:pStyle w:val="Textkrper"/>
        <w:spacing w:line="360" w:lineRule="auto"/>
        <w:jc w:val="both"/>
        <w:rPr>
          <w:rFonts w:asciiTheme="minorHAnsi" w:hAnsiTheme="minorHAnsi" w:cstheme="minorHAnsi"/>
        </w:rPr>
      </w:pPr>
      <w:r w:rsidRPr="0052616E">
        <w:rPr>
          <w:rFonts w:asciiTheme="minorHAnsi" w:hAnsiTheme="minorHAnsi" w:cstheme="minorHAnsi"/>
          <w:i/>
          <w:iCs/>
        </w:rPr>
        <w:t>Known results</w:t>
      </w:r>
      <w:r w:rsidRPr="0052616E">
        <w:rPr>
          <w:rFonts w:asciiTheme="minorHAnsi" w:hAnsiTheme="minorHAnsi" w:cstheme="minorHAnsi"/>
        </w:rPr>
        <w:t xml:space="preserve">: In the lower expressed genes in aSAT vs gSAT, an enrichment of RUNX binding site, an E-box promoter element and USF1 binding site was found. RUNX (Runt‐domain family of transcription factors) is essential for haemopoiesis. In humans, granulocyte macrophage colony-stimulating factor (GM-CSF or CSF2; pro-inflammatory cytokine) gene is a key target of regulation by RUNX1. GM-CSF (produced by activated T cells and mast cells) is induced by stimuli that activate the immune system </w:t>
      </w:r>
      <w:r w:rsidRPr="0052616E">
        <w:rPr>
          <w:rFonts w:asciiTheme="minorHAnsi" w:hAnsiTheme="minorHAnsi" w:cstheme="minorHAnsi"/>
        </w:rPr>
        <w:lastRenderedPageBreak/>
        <w:fldChar w:fldCharType="begin"/>
      </w:r>
      <w:r w:rsidRPr="0052616E">
        <w:rPr>
          <w:rFonts w:asciiTheme="minorHAnsi" w:hAnsiTheme="minorHAnsi" w:cstheme="minorHAnsi"/>
        </w:rPr>
        <w:instrText xml:space="preserve"> ADDIN EN.CITE &lt;EndNote&gt;&lt;Cite&gt;&lt;Author&gt;Bowers&lt;/Author&gt;&lt;Year&gt;2010&lt;/Year&gt;&lt;RecNum&gt;1476&lt;/RecNum&gt;&lt;DisplayText&gt;[2]&lt;/DisplayText&gt;&lt;record&gt;&lt;rec-number&gt;1476&lt;/rec-number&gt;&lt;foreign-keys&gt;&lt;key app="EN" db-id="a9v5x02589assfeserr5erdu509ta9dfd9rv" timestamp="1589881890"&gt;1476&lt;/key&gt;&lt;/foreign-keys&gt;&lt;ref-type name="Journal Article"&gt;17&lt;/ref-type&gt;&lt;contributors&gt;&lt;authors&gt;&lt;author&gt;Bowers, S. R.&lt;/author&gt;&lt;author&gt;Calero-Nieto, F. J.&lt;/author&gt;&lt;author&gt;Valeaux, S.&lt;/author&gt;&lt;author&gt;Fernandez-Fuentes, N.&lt;/author&gt;&lt;author&gt;Cockerill, P. N.&lt;/author&gt;&lt;/authors&gt;&lt;/contributors&gt;&lt;auth-address&gt;Experimental Haematology, Leeds Institute of Molecular Medicine, University of Leeds, St James&amp;apos;s University Hospital, Leeds LS9 7TF, UK.&lt;/auth-address&gt;&lt;titles&gt;&lt;title&gt;Runx1 binds as a dimeric complex to overlapping Runx1 sites within a palindromic element in the human GM-CSF enhancer&lt;/title&gt;&lt;secondary-title&gt;Nucleic Acids Res&lt;/secondary-title&gt;&lt;/titles&gt;&lt;periodical&gt;&lt;full-title&gt;Nucleic Acids Res&lt;/full-title&gt;&lt;/periodical&gt;&lt;pages&gt;6124-34&lt;/pages&gt;&lt;volume&gt;38&lt;/volume&gt;&lt;number&gt;18&lt;/number&gt;&lt;edition&gt;2010/05/21&lt;/edition&gt;&lt;keywords&gt;&lt;keyword&gt;Animals&lt;/keyword&gt;&lt;keyword&gt;Binding Sites&lt;/keyword&gt;&lt;keyword&gt;Cell Line&lt;/keyword&gt;&lt;keyword&gt;Core Binding Factor Alpha 2 Subunit/*chemistry/metabolism&lt;/keyword&gt;&lt;keyword&gt;Core Binding Factor beta Subunit/*chemistry/metabolism&lt;/keyword&gt;&lt;keyword&gt;Dimerization&lt;/keyword&gt;&lt;keyword&gt;*Enhancer Elements, Genetic&lt;/keyword&gt;&lt;keyword&gt;Granulocyte-Macrophage Colony-Stimulating Factor/*genetics&lt;/keyword&gt;&lt;keyword&gt;Humans&lt;/keyword&gt;&lt;keyword&gt;*Inverted Repeat Sequences&lt;/keyword&gt;&lt;keyword&gt;Mice&lt;/keyword&gt;&lt;keyword&gt;Models, Molecular&lt;/keyword&gt;&lt;/keywords&gt;&lt;dates&gt;&lt;year&gt;2010&lt;/year&gt;&lt;pub-dates&gt;&lt;date&gt;Oct&lt;/date&gt;&lt;/pub-dates&gt;&lt;/dates&gt;&lt;isbn&gt;1362-4962 (Electronic)&amp;#xD;0305-1048 (Linking)&lt;/isbn&gt;&lt;accession-num&gt;20483917&lt;/accession-num&gt;&lt;urls&gt;&lt;related-urls&gt;&lt;url&gt;https://www.ncbi.nlm.nih.gov/pubmed/20483917&lt;/url&gt;&lt;/related-urls&gt;&lt;/urls&gt;&lt;custom2&gt;PMC2952845&lt;/custom2&gt;&lt;electronic-resource-num&gt;10.1093/nar/gkq356&lt;/electronic-resource-num&gt;&lt;/record&gt;&lt;/Cite&gt;&lt;/EndNote&gt;</w:instrText>
      </w:r>
      <w:r w:rsidRPr="0052616E">
        <w:rPr>
          <w:rFonts w:asciiTheme="minorHAnsi" w:hAnsiTheme="minorHAnsi" w:cstheme="minorHAnsi"/>
        </w:rPr>
        <w:fldChar w:fldCharType="separate"/>
      </w:r>
      <w:r w:rsidRPr="0052616E">
        <w:rPr>
          <w:rFonts w:asciiTheme="minorHAnsi" w:hAnsiTheme="minorHAnsi" w:cstheme="minorHAnsi"/>
          <w:noProof/>
        </w:rPr>
        <w:t>[2]</w:t>
      </w:r>
      <w:r w:rsidRPr="0052616E">
        <w:rPr>
          <w:rFonts w:asciiTheme="minorHAnsi" w:hAnsiTheme="minorHAnsi" w:cstheme="minorHAnsi"/>
        </w:rPr>
        <w:fldChar w:fldCharType="end"/>
      </w:r>
      <w:r w:rsidRPr="0052616E">
        <w:rPr>
          <w:rFonts w:asciiTheme="minorHAnsi" w:hAnsiTheme="minorHAnsi" w:cstheme="minorHAnsi"/>
        </w:rPr>
        <w:t xml:space="preserve">. RUNX sites (RUNX1) have also been involved in the transcriptional regulation and activation of the macrophage inflammatory protein‐1α (MIP-1α) promoter 1 </w:t>
      </w:r>
      <w:r w:rsidRPr="0052616E">
        <w:rPr>
          <w:rFonts w:asciiTheme="minorHAnsi" w:hAnsiTheme="minorHAnsi" w:cstheme="minorHAnsi"/>
        </w:rPr>
        <w:fldChar w:fldCharType="begin">
          <w:fldData xml:space="preserve">PEVuZE5vdGU+PENpdGU+PEF1dGhvcj5CcmlzdG93PC9BdXRob3I+PFllYXI+MjAwMzwvWWVhcj48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</w:fldData>
        </w:fldChar>
      </w:r>
      <w:r w:rsidRPr="0052616E">
        <w:rPr>
          <w:rFonts w:asciiTheme="minorHAnsi" w:hAnsiTheme="minorHAnsi" w:cstheme="minorHAnsi"/>
        </w:rPr>
        <w:instrText xml:space="preserve"> ADDIN EN.CITE </w:instrText>
      </w:r>
      <w:r w:rsidRPr="0052616E">
        <w:rPr>
          <w:rFonts w:asciiTheme="minorHAnsi" w:hAnsiTheme="minorHAnsi" w:cstheme="minorHAnsi"/>
        </w:rPr>
        <w:fldChar w:fldCharType="begin">
          <w:fldData xml:space="preserve">PEVuZE5vdGU+PENpdGU+PEF1dGhvcj5CcmlzdG93PC9BdXRob3I+PFllYXI+MjAwMzwvWWVhcj48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</w:fldData>
        </w:fldChar>
      </w:r>
      <w:r w:rsidRPr="0052616E">
        <w:rPr>
          <w:rFonts w:asciiTheme="minorHAnsi" w:hAnsiTheme="minorHAnsi" w:cstheme="minorHAnsi"/>
        </w:rPr>
        <w:instrText xml:space="preserve"> ADDIN EN.CITE.DATA </w:instrText>
      </w:r>
      <w:r w:rsidRPr="0052616E">
        <w:rPr>
          <w:rFonts w:asciiTheme="minorHAnsi" w:hAnsiTheme="minorHAnsi" w:cstheme="minorHAnsi"/>
        </w:rPr>
      </w:r>
      <w:r w:rsidRPr="0052616E">
        <w:rPr>
          <w:rFonts w:asciiTheme="minorHAnsi" w:hAnsiTheme="minorHAnsi" w:cstheme="minorHAnsi"/>
        </w:rPr>
        <w:fldChar w:fldCharType="end"/>
      </w:r>
      <w:r w:rsidRPr="0052616E">
        <w:rPr>
          <w:rFonts w:asciiTheme="minorHAnsi" w:hAnsiTheme="minorHAnsi" w:cstheme="minorHAnsi"/>
        </w:rPr>
      </w:r>
      <w:r w:rsidRPr="0052616E">
        <w:rPr>
          <w:rFonts w:asciiTheme="minorHAnsi" w:hAnsiTheme="minorHAnsi" w:cstheme="minorHAnsi"/>
        </w:rPr>
        <w:fldChar w:fldCharType="separate"/>
      </w:r>
      <w:r w:rsidRPr="0052616E">
        <w:rPr>
          <w:rFonts w:asciiTheme="minorHAnsi" w:hAnsiTheme="minorHAnsi" w:cstheme="minorHAnsi"/>
          <w:noProof/>
        </w:rPr>
        <w:t>[3]</w:t>
      </w:r>
      <w:r w:rsidRPr="0052616E">
        <w:rPr>
          <w:rFonts w:asciiTheme="minorHAnsi" w:hAnsiTheme="minorHAnsi" w:cstheme="minorHAnsi"/>
        </w:rPr>
        <w:fldChar w:fldCharType="end"/>
      </w:r>
      <w:r w:rsidRPr="0052616E">
        <w:rPr>
          <w:rFonts w:asciiTheme="minorHAnsi" w:hAnsiTheme="minorHAnsi" w:cstheme="minorHAnsi"/>
        </w:rPr>
        <w:t>.</w:t>
      </w:r>
    </w:p>
    <w:p w14:paraId="20C4978F" w14:textId="77777777" w:rsidR="0052616E" w:rsidRPr="0052616E" w:rsidRDefault="0052616E" w:rsidP="0052616E">
      <w:pPr>
        <w:pStyle w:val="Textkrper"/>
        <w:spacing w:line="360" w:lineRule="auto"/>
        <w:jc w:val="both"/>
        <w:rPr>
          <w:rFonts w:asciiTheme="minorHAnsi" w:hAnsiTheme="minorHAnsi" w:cstheme="minorHAnsi"/>
        </w:rPr>
      </w:pPr>
      <w:r w:rsidRPr="0052616E">
        <w:rPr>
          <w:rFonts w:asciiTheme="minorHAnsi" w:hAnsiTheme="minorHAnsi" w:cstheme="minorHAnsi"/>
        </w:rPr>
        <w:t xml:space="preserve">The E-box motif CCGGTCACGTGA and the TFBS for upstream stimulatory factor 1 (USF1) are almost identical. The USF1 motif is shorter and starts after the leading CC. Therefore, E-box can also act as an USF1 binding site </w:t>
      </w:r>
      <w:r w:rsidRPr="0052616E">
        <w:rPr>
          <w:rFonts w:asciiTheme="minorHAnsi" w:hAnsiTheme="minorHAnsi" w:cstheme="minorHAnsi"/>
        </w:rPr>
        <w:fldChar w:fldCharType="begin"/>
      </w:r>
      <w:r w:rsidRPr="0052616E">
        <w:rPr>
          <w:rFonts w:asciiTheme="minorHAnsi" w:hAnsiTheme="minorHAnsi" w:cstheme="minorHAnsi"/>
        </w:rPr>
        <w:instrText xml:space="preserve"> ADDIN EN.CITE &lt;EndNote&gt;&lt;Cite&gt;&lt;Author&gt;Ito&lt;/Author&gt;&lt;Year&gt;2011&lt;/Year&gt;&lt;RecNum&gt;1480&lt;/RecNum&gt;&lt;DisplayText&gt;[4]&lt;/DisplayText&gt;&lt;record&gt;&lt;rec-number&gt;1480&lt;/rec-number&gt;&lt;foreign-keys&gt;&lt;key app="EN" db-id="a9v5x02589assfeserr5erdu509ta9dfd9rv" timestamp="1589882250"&gt;1480&lt;/key&gt;&lt;/foreign-keys&gt;&lt;ref-type name="Journal Article"&gt;17&lt;/ref-type&gt;&lt;contributors&gt;&lt;authors&gt;&lt;author&gt;Ito, Y.&lt;/author&gt;&lt;author&gt;Zhang, Y.&lt;/author&gt;&lt;author&gt;Dangaria, S.&lt;/author&gt;&lt;author&gt;Luan, X.&lt;/author&gt;&lt;author&gt;Diekwisch, T. G.&lt;/author&gt;&lt;/authors&gt;&lt;/contributors&gt;&lt;auth-address&gt;Brodie Laboratory for Craniofacial Genetics, University of Illinois at Chicago, 801 South Paulina Street, Chicago, IL 60612, USA.&lt;/auth-address&gt;&lt;titles&gt;&lt;title&gt;NF-Y and USF1 transcription factor binding to CCAAT-box and E-box elements activates the CP27 promoter&lt;/title&gt;&lt;secondary-title&gt;Gene&lt;/secondary-title&gt;&lt;/titles&gt;&lt;periodical&gt;&lt;full-title&gt;Gene&lt;/full-title&gt;&lt;/periodical&gt;&lt;pages&gt;92-9&lt;/pages&gt;&lt;volume&gt;473&lt;/volume&gt;&lt;number&gt;2&lt;/number&gt;&lt;edition&gt;2010/11/17&lt;/edition&gt;&lt;keywords&gt;&lt;keyword&gt;Animals&lt;/keyword&gt;&lt;keyword&gt;Base Sequence&lt;/keyword&gt;&lt;keyword&gt;CCAAT-Binding Factor/*metabolism&lt;/keyword&gt;&lt;keyword&gt;E-Box Elements/*physiology&lt;/keyword&gt;&lt;keyword&gt;Embryonic Stem Cells/metabolism&lt;/keyword&gt;&lt;keyword&gt;Extracellular Matrix Proteins&lt;/keyword&gt;&lt;keyword&gt;Gene Expression Regulation&lt;/keyword&gt;&lt;keyword&gt;Mice&lt;/keyword&gt;&lt;keyword&gt;Promoter Regions, Genetic&lt;/keyword&gt;&lt;keyword&gt;Proteins/*metabolism&lt;/keyword&gt;&lt;keyword&gt;Upstream Stimulatory Factors/*metabolism&lt;/keyword&gt;&lt;/keywords&gt;&lt;dates&gt;&lt;year&gt;2011&lt;/year&gt;&lt;pub-dates&gt;&lt;date&gt;Mar 1&lt;/date&gt;&lt;/pub-dates&gt;&lt;/dates&gt;&lt;isbn&gt;1879-0038 (Electronic)&amp;#xD;0378-1119 (Linking)&lt;/isbn&gt;&lt;accession-num&gt;21078375&lt;/accession-num&gt;&lt;urls&gt;&lt;related-urls&gt;&lt;url&gt;https://www.ncbi.nlm.nih.gov/pubmed/21078375&lt;/url&gt;&lt;/related-urls&gt;&lt;/urls&gt;&lt;custom2&gt;PMC3039062&lt;/custom2&gt;&lt;electronic-resource-num&gt;10.1016/j.gene.2010.11.001&lt;/electronic-resource-num&gt;&lt;/record&gt;&lt;/Cite&gt;&lt;/EndNote&gt;</w:instrText>
      </w:r>
      <w:r w:rsidRPr="0052616E">
        <w:rPr>
          <w:rFonts w:asciiTheme="minorHAnsi" w:hAnsiTheme="minorHAnsi" w:cstheme="minorHAnsi"/>
        </w:rPr>
        <w:fldChar w:fldCharType="separate"/>
      </w:r>
      <w:r w:rsidRPr="0052616E">
        <w:rPr>
          <w:rFonts w:asciiTheme="minorHAnsi" w:hAnsiTheme="minorHAnsi" w:cstheme="minorHAnsi"/>
          <w:noProof/>
        </w:rPr>
        <w:t>[4]</w:t>
      </w:r>
      <w:r w:rsidRPr="0052616E">
        <w:rPr>
          <w:rFonts w:asciiTheme="minorHAnsi" w:hAnsiTheme="minorHAnsi" w:cstheme="minorHAnsi"/>
        </w:rPr>
        <w:fldChar w:fldCharType="end"/>
      </w:r>
      <w:r w:rsidRPr="0052616E">
        <w:rPr>
          <w:rFonts w:asciiTheme="minorHAnsi" w:hAnsiTheme="minorHAnsi" w:cstheme="minorHAnsi"/>
        </w:rPr>
        <w:t xml:space="preserve">. The transcription factor USF1 is linked to familial combined hyperlipidemia (FCHL) and associated to the metabolism of BAT in mice </w:t>
      </w:r>
      <w:r w:rsidRPr="0052616E">
        <w:rPr>
          <w:rFonts w:asciiTheme="minorHAnsi" w:hAnsiTheme="minorHAnsi" w:cstheme="minorHAnsi"/>
        </w:rPr>
        <w:fldChar w:fldCharType="begin"/>
      </w:r>
      <w:r w:rsidRPr="0052616E">
        <w:rPr>
          <w:rFonts w:asciiTheme="minorHAnsi" w:hAnsiTheme="minorHAnsi" w:cstheme="minorHAnsi"/>
        </w:rPr>
        <w:instrText xml:space="preserve"> ADDIN EN.CITE &lt;EndNote&gt;&lt;Cite&gt;&lt;Author&gt;Laurila PP&lt;/Author&gt;&lt;Year&gt;2016&lt;/Year&gt;&lt;RecNum&gt;1482&lt;/RecNum&gt;&lt;DisplayText&gt;[5]&lt;/DisplayText&gt;&lt;record&gt;&lt;rec-number&gt;1482&lt;/rec-number&gt;&lt;foreign-keys&gt;&lt;key app="EN" db-id="a9v5x02589assfeserr5erdu509ta9dfd9rv" timestamp="1589882402"&gt;1482&lt;/key&gt;&lt;/foreign-keys&gt;&lt;ref-type name="Journal Article"&gt;17&lt;/ref-type&gt;&lt;contributors&gt;&lt;authors&gt;&lt;author&gt;Laurila PP, Soronen J, Kooijman S, Forsström S, Boon MR, Surakka I, et al.&lt;/author&gt;&lt;/authors&gt;&lt;/contributors&gt;&lt;titles&gt;&lt;title&gt;USF1 deficiency activates brown adipose tissue and improves cardiometabolic health&lt;/title&gt;&lt;secondary-title&gt;Science Translational Medicine&lt;/secondary-title&gt;&lt;/titles&gt;&lt;periodical&gt;&lt;full-title&gt;Science Translational Medicine&lt;/full-title&gt;&lt;/periodical&gt;&lt;pages&gt;323ra13.&lt;/pages&gt;&lt;volume&gt;8&lt;/volume&gt;&lt;number&gt;323&lt;/number&gt;&lt;dates&gt;&lt;year&gt;2016&lt;/year&gt;&lt;/dates&gt;&lt;urls&gt;&lt;/urls&gt;&lt;/record&gt;&lt;/Cite&gt;&lt;/EndNote&gt;</w:instrText>
      </w:r>
      <w:r w:rsidRPr="0052616E">
        <w:rPr>
          <w:rFonts w:asciiTheme="minorHAnsi" w:hAnsiTheme="minorHAnsi" w:cstheme="minorHAnsi"/>
        </w:rPr>
        <w:fldChar w:fldCharType="separate"/>
      </w:r>
      <w:r w:rsidRPr="0052616E">
        <w:rPr>
          <w:rFonts w:asciiTheme="minorHAnsi" w:hAnsiTheme="minorHAnsi" w:cstheme="minorHAnsi"/>
          <w:noProof/>
        </w:rPr>
        <w:t>[5]</w:t>
      </w:r>
      <w:r w:rsidRPr="0052616E">
        <w:rPr>
          <w:rFonts w:asciiTheme="minorHAnsi" w:hAnsiTheme="minorHAnsi" w:cstheme="minorHAnsi"/>
        </w:rPr>
        <w:fldChar w:fldCharType="end"/>
      </w:r>
      <w:r w:rsidRPr="0052616E">
        <w:rPr>
          <w:rFonts w:asciiTheme="minorHAnsi" w:hAnsiTheme="minorHAnsi" w:cstheme="minorHAnsi"/>
        </w:rPr>
        <w:t>.</w:t>
      </w:r>
    </w:p>
    <w:p w14:paraId="30F70B30" w14:textId="77777777" w:rsidR="0052616E" w:rsidRPr="0052616E" w:rsidRDefault="0052616E" w:rsidP="0052616E">
      <w:pPr>
        <w:pStyle w:val="Textkrper"/>
        <w:spacing w:line="360" w:lineRule="auto"/>
        <w:jc w:val="both"/>
        <w:rPr>
          <w:rFonts w:asciiTheme="minorHAnsi" w:hAnsiTheme="minorHAnsi" w:cstheme="minorHAnsi"/>
        </w:rPr>
      </w:pPr>
      <w:r w:rsidRPr="0052616E">
        <w:rPr>
          <w:rFonts w:asciiTheme="minorHAnsi" w:hAnsiTheme="minorHAnsi" w:cstheme="minorHAnsi"/>
        </w:rPr>
        <w:t xml:space="preserve">In higher expressed genes in aSAT vs gSAT, nuclear factor 1 (NF1)-half-site and lymphoma related factor (LRF, aka ZBTB7A) binding motifs are predicted to be enriched. LRF represses a variety of genes and has previously been associated to adipogenesis </w:t>
      </w:r>
      <w:r w:rsidRPr="0052616E">
        <w:rPr>
          <w:rFonts w:asciiTheme="minorHAnsi" w:hAnsiTheme="minorHAnsi" w:cstheme="minorHAnsi"/>
        </w:rPr>
        <w:fldChar w:fldCharType="begin">
          <w:fldData xml:space="preserve">PEVuZE5vdGU+PENpdGU+PEF1dGhvcj5MYXVkZXM8L0F1dGhvcj48WWVhcj4yMDA0PC9ZZWFyPjxS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</w:fldData>
        </w:fldChar>
      </w:r>
      <w:r w:rsidRPr="0052616E">
        <w:rPr>
          <w:rFonts w:asciiTheme="minorHAnsi" w:hAnsiTheme="minorHAnsi" w:cstheme="minorHAnsi"/>
        </w:rPr>
        <w:instrText xml:space="preserve"> ADDIN EN.CITE </w:instrText>
      </w:r>
      <w:r w:rsidRPr="0052616E">
        <w:rPr>
          <w:rFonts w:asciiTheme="minorHAnsi" w:hAnsiTheme="minorHAnsi" w:cstheme="minorHAnsi"/>
        </w:rPr>
        <w:fldChar w:fldCharType="begin">
          <w:fldData xml:space="preserve">PEVuZE5vdGU+PENpdGU+PEF1dGhvcj5MYXVkZXM8L0F1dGhvcj48WWVhcj4yMDA0PC9ZZWFyPjxS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</w:fldData>
        </w:fldChar>
      </w:r>
      <w:r w:rsidRPr="0052616E">
        <w:rPr>
          <w:rFonts w:asciiTheme="minorHAnsi" w:hAnsiTheme="minorHAnsi" w:cstheme="minorHAnsi"/>
        </w:rPr>
        <w:instrText xml:space="preserve"> ADDIN EN.CITE.DATA </w:instrText>
      </w:r>
      <w:r w:rsidRPr="0052616E">
        <w:rPr>
          <w:rFonts w:asciiTheme="minorHAnsi" w:hAnsiTheme="minorHAnsi" w:cstheme="minorHAnsi"/>
        </w:rPr>
      </w:r>
      <w:r w:rsidRPr="0052616E">
        <w:rPr>
          <w:rFonts w:asciiTheme="minorHAnsi" w:hAnsiTheme="minorHAnsi" w:cstheme="minorHAnsi"/>
        </w:rPr>
        <w:fldChar w:fldCharType="end"/>
      </w:r>
      <w:r w:rsidRPr="0052616E">
        <w:rPr>
          <w:rFonts w:asciiTheme="minorHAnsi" w:hAnsiTheme="minorHAnsi" w:cstheme="minorHAnsi"/>
        </w:rPr>
      </w:r>
      <w:r w:rsidRPr="0052616E">
        <w:rPr>
          <w:rFonts w:asciiTheme="minorHAnsi" w:hAnsiTheme="minorHAnsi" w:cstheme="minorHAnsi"/>
        </w:rPr>
        <w:fldChar w:fldCharType="separate"/>
      </w:r>
      <w:r w:rsidRPr="0052616E">
        <w:rPr>
          <w:rFonts w:asciiTheme="minorHAnsi" w:hAnsiTheme="minorHAnsi" w:cstheme="minorHAnsi"/>
          <w:noProof/>
        </w:rPr>
        <w:t>[6]</w:t>
      </w:r>
      <w:r w:rsidRPr="0052616E">
        <w:rPr>
          <w:rFonts w:asciiTheme="minorHAnsi" w:hAnsiTheme="minorHAnsi" w:cstheme="minorHAnsi"/>
        </w:rPr>
        <w:fldChar w:fldCharType="end"/>
      </w:r>
      <w:r w:rsidRPr="0052616E">
        <w:rPr>
          <w:rFonts w:asciiTheme="minorHAnsi" w:hAnsiTheme="minorHAnsi" w:cstheme="minorHAnsi"/>
        </w:rPr>
        <w:t xml:space="preserve"> and glycolysis </w:t>
      </w:r>
      <w:r w:rsidRPr="0052616E">
        <w:rPr>
          <w:rFonts w:asciiTheme="minorHAnsi" w:hAnsiTheme="minorHAnsi" w:cstheme="minorHAnsi"/>
        </w:rPr>
        <w:fldChar w:fldCharType="begin">
          <w:fldData xml:space="preserve">PEVuZE5vdGU+PENpdGU+PEF1dGhvcj5MaXU8L0F1dGhvcj48WWVhcj4yMDE2PC9ZZWFyPjxSZWNO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</w:fldData>
        </w:fldChar>
      </w:r>
      <w:r w:rsidRPr="0052616E">
        <w:rPr>
          <w:rFonts w:asciiTheme="minorHAnsi" w:hAnsiTheme="minorHAnsi" w:cstheme="minorHAnsi"/>
        </w:rPr>
        <w:instrText xml:space="preserve"> ADDIN EN.CITE </w:instrText>
      </w:r>
      <w:r w:rsidRPr="0052616E">
        <w:rPr>
          <w:rFonts w:asciiTheme="minorHAnsi" w:hAnsiTheme="minorHAnsi" w:cstheme="minorHAnsi"/>
        </w:rPr>
        <w:fldChar w:fldCharType="begin">
          <w:fldData xml:space="preserve">PEVuZE5vdGU+PENpdGU+PEF1dGhvcj5MaXU8L0F1dGhvcj48WWVhcj4yMDE2PC9ZZWFyPjxSZWNO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</w:fldData>
        </w:fldChar>
      </w:r>
      <w:r w:rsidRPr="0052616E">
        <w:rPr>
          <w:rFonts w:asciiTheme="minorHAnsi" w:hAnsiTheme="minorHAnsi" w:cstheme="minorHAnsi"/>
        </w:rPr>
        <w:instrText xml:space="preserve"> ADDIN EN.CITE.DATA </w:instrText>
      </w:r>
      <w:r w:rsidRPr="0052616E">
        <w:rPr>
          <w:rFonts w:asciiTheme="minorHAnsi" w:hAnsiTheme="minorHAnsi" w:cstheme="minorHAnsi"/>
        </w:rPr>
      </w:r>
      <w:r w:rsidRPr="0052616E">
        <w:rPr>
          <w:rFonts w:asciiTheme="minorHAnsi" w:hAnsiTheme="minorHAnsi" w:cstheme="minorHAnsi"/>
        </w:rPr>
        <w:fldChar w:fldCharType="end"/>
      </w:r>
      <w:r w:rsidRPr="0052616E">
        <w:rPr>
          <w:rFonts w:asciiTheme="minorHAnsi" w:hAnsiTheme="minorHAnsi" w:cstheme="minorHAnsi"/>
        </w:rPr>
      </w:r>
      <w:r w:rsidRPr="0052616E">
        <w:rPr>
          <w:rFonts w:asciiTheme="minorHAnsi" w:hAnsiTheme="minorHAnsi" w:cstheme="minorHAnsi"/>
        </w:rPr>
        <w:fldChar w:fldCharType="separate"/>
      </w:r>
      <w:r w:rsidRPr="0052616E">
        <w:rPr>
          <w:rFonts w:asciiTheme="minorHAnsi" w:hAnsiTheme="minorHAnsi" w:cstheme="minorHAnsi"/>
          <w:noProof/>
        </w:rPr>
        <w:t>[7]</w:t>
      </w:r>
      <w:r w:rsidRPr="0052616E">
        <w:rPr>
          <w:rFonts w:asciiTheme="minorHAnsi" w:hAnsiTheme="minorHAnsi" w:cstheme="minorHAnsi"/>
        </w:rPr>
        <w:fldChar w:fldCharType="end"/>
      </w:r>
      <w:r w:rsidRPr="0052616E">
        <w:rPr>
          <w:rFonts w:asciiTheme="minorHAnsi" w:hAnsiTheme="minorHAnsi" w:cstheme="minorHAnsi"/>
        </w:rPr>
        <w:t>. However, in the union of differential expressed genes the binding site for transcription factor STAT6 is found enriched. STAT6 is associated with the IL4 mediated immune system responses to cytokines and growth factors.</w:t>
      </w:r>
    </w:p>
    <w:p w14:paraId="1074F9CC" w14:textId="77777777" w:rsidR="0052616E" w:rsidRPr="0052616E" w:rsidRDefault="0052616E" w:rsidP="0052616E">
      <w:pPr>
        <w:pStyle w:val="Textkrper"/>
        <w:spacing w:line="360" w:lineRule="auto"/>
        <w:jc w:val="both"/>
        <w:rPr>
          <w:rFonts w:asciiTheme="minorHAnsi" w:hAnsiTheme="minorHAnsi" w:cstheme="minorHAnsi"/>
        </w:rPr>
      </w:pPr>
      <w:r w:rsidRPr="0052616E">
        <w:rPr>
          <w:rFonts w:asciiTheme="minorHAnsi" w:hAnsiTheme="minorHAnsi" w:cstheme="minorHAnsi"/>
          <w:i/>
          <w:iCs/>
        </w:rPr>
        <w:t xml:space="preserve">De novo results: </w:t>
      </w:r>
      <w:r w:rsidRPr="0052616E">
        <w:rPr>
          <w:rFonts w:asciiTheme="minorHAnsi" w:hAnsiTheme="minorHAnsi" w:cstheme="minorHAnsi"/>
        </w:rPr>
        <w:t xml:space="preserve">Among the enriched </w:t>
      </w:r>
      <w:r w:rsidRPr="0052616E">
        <w:rPr>
          <w:rFonts w:asciiTheme="minorHAnsi" w:hAnsiTheme="minorHAnsi" w:cstheme="minorHAnsi"/>
          <w:i/>
        </w:rPr>
        <w:t>de novo</w:t>
      </w:r>
      <w:r w:rsidRPr="0052616E">
        <w:rPr>
          <w:rFonts w:asciiTheme="minorHAnsi" w:hAnsiTheme="minorHAnsi" w:cstheme="minorHAnsi"/>
        </w:rPr>
        <w:t xml:space="preserve"> motifs in the genes with lower expression in aSAT vs gSAT, two are similar to binding motifs of known transcription factors (TF):  ZNF467 has been found involved in adipocyte differentiation in mice and humans </w:t>
      </w:r>
      <w:r w:rsidRPr="0052616E">
        <w:rPr>
          <w:rFonts w:asciiTheme="minorHAnsi" w:hAnsiTheme="minorHAnsi" w:cstheme="minorHAnsi"/>
        </w:rPr>
        <w:fldChar w:fldCharType="begin">
          <w:fldData xml:space="preserve">PEVuZE5vdGU+PENpdGU+PEF1dGhvcj5RdWFjaDwvQXV0aG9yPjxZZWFyPjIwMTE8L1llYXI+PFJl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</w:fldData>
        </w:fldChar>
      </w:r>
      <w:r w:rsidRPr="0052616E">
        <w:rPr>
          <w:rFonts w:asciiTheme="minorHAnsi" w:hAnsiTheme="minorHAnsi" w:cstheme="minorHAnsi"/>
        </w:rPr>
        <w:instrText xml:space="preserve"> ADDIN EN.CITE </w:instrText>
      </w:r>
      <w:r w:rsidRPr="0052616E">
        <w:rPr>
          <w:rFonts w:asciiTheme="minorHAnsi" w:hAnsiTheme="minorHAnsi" w:cstheme="minorHAnsi"/>
        </w:rPr>
        <w:fldChar w:fldCharType="begin">
          <w:fldData xml:space="preserve">PEVuZE5vdGU+PENpdGU+PEF1dGhvcj5RdWFjaDwvQXV0aG9yPjxZZWFyPjIwMTE8L1llYXI+PFJl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</w:fldData>
        </w:fldChar>
      </w:r>
      <w:r w:rsidRPr="0052616E">
        <w:rPr>
          <w:rFonts w:asciiTheme="minorHAnsi" w:hAnsiTheme="minorHAnsi" w:cstheme="minorHAnsi"/>
        </w:rPr>
        <w:instrText xml:space="preserve"> ADDIN EN.CITE.DATA </w:instrText>
      </w:r>
      <w:r w:rsidRPr="0052616E">
        <w:rPr>
          <w:rFonts w:asciiTheme="minorHAnsi" w:hAnsiTheme="minorHAnsi" w:cstheme="minorHAnsi"/>
        </w:rPr>
      </w:r>
      <w:r w:rsidRPr="0052616E">
        <w:rPr>
          <w:rFonts w:asciiTheme="minorHAnsi" w:hAnsiTheme="minorHAnsi" w:cstheme="minorHAnsi"/>
        </w:rPr>
        <w:fldChar w:fldCharType="end"/>
      </w:r>
      <w:r w:rsidRPr="0052616E">
        <w:rPr>
          <w:rFonts w:asciiTheme="minorHAnsi" w:hAnsiTheme="minorHAnsi" w:cstheme="minorHAnsi"/>
        </w:rPr>
      </w:r>
      <w:r w:rsidRPr="0052616E">
        <w:rPr>
          <w:rFonts w:asciiTheme="minorHAnsi" w:hAnsiTheme="minorHAnsi" w:cstheme="minorHAnsi"/>
        </w:rPr>
        <w:fldChar w:fldCharType="separate"/>
      </w:r>
      <w:r w:rsidRPr="0052616E">
        <w:rPr>
          <w:rFonts w:asciiTheme="minorHAnsi" w:hAnsiTheme="minorHAnsi" w:cstheme="minorHAnsi"/>
          <w:noProof/>
        </w:rPr>
        <w:t>[8, 9]</w:t>
      </w:r>
      <w:r w:rsidRPr="0052616E">
        <w:rPr>
          <w:rFonts w:asciiTheme="minorHAnsi" w:hAnsiTheme="minorHAnsi" w:cstheme="minorHAnsi"/>
        </w:rPr>
        <w:fldChar w:fldCharType="end"/>
      </w:r>
      <w:r w:rsidRPr="0052616E">
        <w:rPr>
          <w:rFonts w:asciiTheme="minorHAnsi" w:hAnsiTheme="minorHAnsi" w:cstheme="minorHAnsi"/>
        </w:rPr>
        <w:t xml:space="preserve">, and PRDM1 is associated to immune system responses </w:t>
      </w:r>
      <w:r w:rsidRPr="0052616E">
        <w:rPr>
          <w:rFonts w:asciiTheme="minorHAnsi" w:hAnsiTheme="minorHAnsi" w:cstheme="minorHAnsi"/>
        </w:rPr>
        <w:fldChar w:fldCharType="begin">
          <w:fldData xml:space="preserve">PEVuZE5vdGU+PENpdGU+PEF1dGhvcj5TbWl0aDwvQXV0aG9yPjxZZWFyPjIwMTA8L1llYXI+PFJl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</w:fldData>
        </w:fldChar>
      </w:r>
      <w:r w:rsidRPr="0052616E">
        <w:rPr>
          <w:rFonts w:asciiTheme="minorHAnsi" w:hAnsiTheme="minorHAnsi" w:cstheme="minorHAnsi"/>
        </w:rPr>
        <w:instrText xml:space="preserve"> ADDIN EN.CITE </w:instrText>
      </w:r>
      <w:r w:rsidRPr="0052616E">
        <w:rPr>
          <w:rFonts w:asciiTheme="minorHAnsi" w:hAnsiTheme="minorHAnsi" w:cstheme="minorHAnsi"/>
        </w:rPr>
        <w:fldChar w:fldCharType="begin">
          <w:fldData xml:space="preserve">PEVuZE5vdGU+PENpdGU+PEF1dGhvcj5TbWl0aDwvQXV0aG9yPjxZZWFyPjIwMTA8L1llYXI+PFJl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</w:fldData>
        </w:fldChar>
      </w:r>
      <w:r w:rsidRPr="0052616E">
        <w:rPr>
          <w:rFonts w:asciiTheme="minorHAnsi" w:hAnsiTheme="minorHAnsi" w:cstheme="minorHAnsi"/>
        </w:rPr>
        <w:instrText xml:space="preserve"> ADDIN EN.CITE.DATA </w:instrText>
      </w:r>
      <w:r w:rsidRPr="0052616E">
        <w:rPr>
          <w:rFonts w:asciiTheme="minorHAnsi" w:hAnsiTheme="minorHAnsi" w:cstheme="minorHAnsi"/>
        </w:rPr>
      </w:r>
      <w:r w:rsidRPr="0052616E">
        <w:rPr>
          <w:rFonts w:asciiTheme="minorHAnsi" w:hAnsiTheme="minorHAnsi" w:cstheme="minorHAnsi"/>
        </w:rPr>
        <w:fldChar w:fldCharType="end"/>
      </w:r>
      <w:r w:rsidRPr="0052616E">
        <w:rPr>
          <w:rFonts w:asciiTheme="minorHAnsi" w:hAnsiTheme="minorHAnsi" w:cstheme="minorHAnsi"/>
        </w:rPr>
      </w:r>
      <w:r w:rsidRPr="0052616E">
        <w:rPr>
          <w:rFonts w:asciiTheme="minorHAnsi" w:hAnsiTheme="minorHAnsi" w:cstheme="minorHAnsi"/>
        </w:rPr>
        <w:fldChar w:fldCharType="separate"/>
      </w:r>
      <w:r w:rsidRPr="0052616E">
        <w:rPr>
          <w:rFonts w:asciiTheme="minorHAnsi" w:hAnsiTheme="minorHAnsi" w:cstheme="minorHAnsi"/>
          <w:noProof/>
        </w:rPr>
        <w:t>[10, 11]</w:t>
      </w:r>
      <w:r w:rsidRPr="0052616E">
        <w:rPr>
          <w:rFonts w:asciiTheme="minorHAnsi" w:hAnsiTheme="minorHAnsi" w:cstheme="minorHAnsi"/>
        </w:rPr>
        <w:fldChar w:fldCharType="end"/>
      </w:r>
      <w:r w:rsidRPr="0052616E">
        <w:rPr>
          <w:rFonts w:asciiTheme="minorHAnsi" w:hAnsiTheme="minorHAnsi" w:cstheme="minorHAnsi"/>
        </w:rPr>
        <w:t>. Additionally, two enriched motifs that have no obvious similarity to known TFBS are detected in the union of higher and lower DEGs. No</w:t>
      </w:r>
      <w:r w:rsidRPr="0052616E">
        <w:rPr>
          <w:rFonts w:asciiTheme="minorHAnsi" w:hAnsiTheme="minorHAnsi" w:cstheme="minorHAnsi"/>
          <w:i/>
          <w:iCs/>
        </w:rPr>
        <w:t xml:space="preserve"> </w:t>
      </w:r>
      <w:r w:rsidRPr="0052616E">
        <w:rPr>
          <w:rFonts w:asciiTheme="minorHAnsi" w:hAnsiTheme="minorHAnsi" w:cstheme="minorHAnsi"/>
        </w:rPr>
        <w:t>enriched</w:t>
      </w:r>
      <w:r w:rsidRPr="0052616E">
        <w:rPr>
          <w:rFonts w:asciiTheme="minorHAnsi" w:hAnsiTheme="minorHAnsi" w:cstheme="minorHAnsi"/>
          <w:i/>
          <w:iCs/>
        </w:rPr>
        <w:t xml:space="preserve"> de novo </w:t>
      </w:r>
      <w:r w:rsidRPr="0052616E">
        <w:rPr>
          <w:rFonts w:asciiTheme="minorHAnsi" w:hAnsiTheme="minorHAnsi" w:cstheme="minorHAnsi"/>
        </w:rPr>
        <w:t>motif where found in for genes with higher expression in aSAT vs gSAT.</w:t>
      </w:r>
    </w:p>
    <w:p w14:paraId="729FB3EA" w14:textId="77777777" w:rsidR="0052616E" w:rsidRPr="00342DC6" w:rsidRDefault="0052616E" w:rsidP="0052616E">
      <w:pPr>
        <w:pStyle w:val="Textkrper"/>
        <w:spacing w:line="360" w:lineRule="auto"/>
        <w:jc w:val="both"/>
        <w:rPr>
          <w:rFonts w:asciiTheme="minorHAnsi" w:hAnsiTheme="minorHAnsi" w:cstheme="minorHAnsi"/>
          <w:sz w:val="22"/>
          <w:szCs w:val="22"/>
        </w:rPr>
      </w:pPr>
    </w:p>
    <w:p w14:paraId="73C609AC" w14:textId="06182333" w:rsidR="0052616E" w:rsidRPr="00342DC6" w:rsidRDefault="0052616E" w:rsidP="0052616E">
      <w:pPr>
        <w:spacing w:line="360" w:lineRule="auto"/>
        <w:rPr>
          <w:rFonts w:asciiTheme="minorHAnsi" w:hAnsiTheme="minorHAnsi" w:cstheme="minorHAnsi"/>
          <w:sz w:val="22"/>
          <w:szCs w:val="22"/>
        </w:rPr>
      </w:pPr>
      <w:r w:rsidRPr="00342DC6">
        <w:rPr>
          <w:rFonts w:asciiTheme="minorHAnsi" w:hAnsiTheme="minorHAnsi" w:cstheme="minorHAnsi"/>
          <w:b/>
          <w:bCs/>
          <w:i/>
          <w:iCs/>
          <w:sz w:val="22"/>
          <w:szCs w:val="22"/>
        </w:rPr>
        <w:t xml:space="preserve">Supplementary Table </w:t>
      </w:r>
      <w:r>
        <w:rPr>
          <w:rFonts w:asciiTheme="minorHAnsi" w:hAnsiTheme="minorHAnsi" w:cstheme="minorHAnsi"/>
          <w:b/>
          <w:bCs/>
          <w:i/>
          <w:iCs/>
          <w:sz w:val="22"/>
          <w:szCs w:val="22"/>
        </w:rPr>
        <w:t>S5</w:t>
      </w:r>
      <w:r w:rsidRPr="00342DC6">
        <w:rPr>
          <w:rFonts w:asciiTheme="minorHAnsi" w:hAnsiTheme="minorHAnsi" w:cstheme="minorHAnsi"/>
          <w:sz w:val="22"/>
          <w:szCs w:val="22"/>
        </w:rPr>
        <w:t>: HOMER known motif enrichment results of genes with lower expression in aSAT vs. gSAT after training.</w:t>
      </w:r>
    </w:p>
    <w:tbl>
      <w:tblPr>
        <w:tblW w:w="10042" w:type="dxa"/>
        <w:tblInd w:w="-2" w:type="dxa"/>
        <w:tblBorders>
          <w:top w:val="single" w:sz="6" w:space="0" w:color="808080"/>
          <w:left w:val="single" w:sz="2" w:space="0" w:color="808080"/>
          <w:bottom w:val="single" w:sz="2" w:space="0" w:color="808080"/>
          <w:insideH w:val="single" w:sz="2" w:space="0" w:color="808080"/>
        </w:tblBorders>
        <w:tblCellMar>
          <w:top w:w="28" w:type="dxa"/>
          <w:left w:w="24" w:type="dxa"/>
          <w:bottom w:w="28" w:type="dxa"/>
          <w:right w:w="28" w:type="dxa"/>
        </w:tblCellMar>
        <w:tblLook w:val="0000" w:firstRow="0" w:lastRow="0" w:firstColumn="0" w:lastColumn="0" w:noHBand="0" w:noVBand="0"/>
      </w:tblPr>
      <w:tblGrid>
        <w:gridCol w:w="4170"/>
        <w:gridCol w:w="997"/>
        <w:gridCol w:w="724"/>
        <w:gridCol w:w="816"/>
        <w:gridCol w:w="815"/>
        <w:gridCol w:w="906"/>
        <w:gridCol w:w="724"/>
        <w:gridCol w:w="890"/>
      </w:tblGrid>
      <w:tr w:rsidR="0052616E" w:rsidRPr="00342DC6" w14:paraId="4A7E75F1" w14:textId="77777777" w:rsidTr="00C36E44">
        <w:trPr>
          <w:trHeight w:val="865"/>
        </w:trPr>
        <w:tc>
          <w:tcPr>
            <w:tcW w:w="4168" w:type="dxa"/>
            <w:tcBorders>
              <w:top w:val="single" w:sz="6" w:space="0" w:color="808080"/>
              <w:left w:val="single" w:sz="2" w:space="0" w:color="808080"/>
              <w:bottom w:val="single" w:sz="2" w:space="0" w:color="808080"/>
            </w:tcBorders>
            <w:shd w:val="clear" w:color="auto" w:fill="auto"/>
            <w:tcMar>
              <w:left w:w="24" w:type="dxa"/>
            </w:tcMar>
            <w:vAlign w:val="center"/>
          </w:tcPr>
          <w:p w14:paraId="0F6DFA75"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Motif</w:t>
            </w:r>
          </w:p>
        </w:tc>
        <w:tc>
          <w:tcPr>
            <w:tcW w:w="997" w:type="dxa"/>
            <w:tcBorders>
              <w:top w:val="single" w:sz="6" w:space="0" w:color="808080"/>
              <w:left w:val="single" w:sz="2" w:space="0" w:color="808080"/>
              <w:bottom w:val="single" w:sz="2" w:space="0" w:color="808080"/>
            </w:tcBorders>
            <w:shd w:val="clear" w:color="auto" w:fill="auto"/>
            <w:tcMar>
              <w:left w:w="24" w:type="dxa"/>
            </w:tcMar>
            <w:vAlign w:val="center"/>
          </w:tcPr>
          <w:p w14:paraId="092E0E6F"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Name</w:t>
            </w:r>
          </w:p>
        </w:tc>
        <w:tc>
          <w:tcPr>
            <w:tcW w:w="724" w:type="dxa"/>
            <w:tcBorders>
              <w:top w:val="single" w:sz="6" w:space="0" w:color="808080"/>
              <w:left w:val="single" w:sz="2" w:space="0" w:color="808080"/>
              <w:bottom w:val="single" w:sz="2" w:space="0" w:color="808080"/>
            </w:tcBorders>
            <w:shd w:val="clear" w:color="auto" w:fill="auto"/>
            <w:tcMar>
              <w:left w:w="24" w:type="dxa"/>
            </w:tcMar>
            <w:vAlign w:val="center"/>
          </w:tcPr>
          <w:p w14:paraId="46EC6714"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P-val</w:t>
            </w:r>
          </w:p>
        </w:tc>
        <w:tc>
          <w:tcPr>
            <w:tcW w:w="816" w:type="dxa"/>
            <w:tcBorders>
              <w:top w:val="single" w:sz="6" w:space="0" w:color="808080"/>
              <w:left w:val="single" w:sz="2" w:space="0" w:color="808080"/>
              <w:bottom w:val="single" w:sz="2" w:space="0" w:color="808080"/>
            </w:tcBorders>
            <w:shd w:val="clear" w:color="auto" w:fill="auto"/>
            <w:tcMar>
              <w:left w:w="24" w:type="dxa"/>
            </w:tcMar>
            <w:vAlign w:val="center"/>
          </w:tcPr>
          <w:p w14:paraId="763B514A"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q-val</w:t>
            </w:r>
          </w:p>
        </w:tc>
        <w:tc>
          <w:tcPr>
            <w:tcW w:w="815" w:type="dxa"/>
            <w:tcBorders>
              <w:top w:val="single" w:sz="6" w:space="0" w:color="808080"/>
              <w:left w:val="single" w:sz="2" w:space="0" w:color="808080"/>
              <w:bottom w:val="single" w:sz="2" w:space="0" w:color="808080"/>
            </w:tcBorders>
            <w:shd w:val="clear" w:color="auto" w:fill="auto"/>
            <w:tcMar>
              <w:left w:w="24" w:type="dxa"/>
            </w:tcMar>
            <w:vAlign w:val="center"/>
          </w:tcPr>
          <w:p w14:paraId="5CAA7AB8"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Target Seq</w:t>
            </w:r>
          </w:p>
        </w:tc>
        <w:tc>
          <w:tcPr>
            <w:tcW w:w="906" w:type="dxa"/>
            <w:tcBorders>
              <w:top w:val="single" w:sz="6" w:space="0" w:color="808080"/>
              <w:left w:val="single" w:sz="2" w:space="0" w:color="808080"/>
              <w:bottom w:val="single" w:sz="2" w:space="0" w:color="808080"/>
            </w:tcBorders>
            <w:shd w:val="clear" w:color="auto" w:fill="auto"/>
            <w:tcMar>
              <w:left w:w="24" w:type="dxa"/>
            </w:tcMar>
            <w:vAlign w:val="center"/>
          </w:tcPr>
          <w:p w14:paraId="1332C1FC"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Targets Seq</w:t>
            </w:r>
          </w:p>
        </w:tc>
        <w:tc>
          <w:tcPr>
            <w:tcW w:w="724" w:type="dxa"/>
            <w:tcBorders>
              <w:top w:val="single" w:sz="6" w:space="0" w:color="808080"/>
              <w:left w:val="single" w:sz="2" w:space="0" w:color="808080"/>
              <w:bottom w:val="single" w:sz="2" w:space="0" w:color="808080"/>
            </w:tcBorders>
            <w:shd w:val="clear" w:color="auto" w:fill="auto"/>
            <w:tcMar>
              <w:left w:w="24" w:type="dxa"/>
            </w:tcMar>
            <w:vAlign w:val="center"/>
          </w:tcPr>
          <w:p w14:paraId="1D488B8F"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Bkg Seq</w:t>
            </w:r>
          </w:p>
        </w:tc>
        <w:tc>
          <w:tcPr>
            <w:tcW w:w="890" w:type="dxa"/>
            <w:tcBorders>
              <w:top w:val="single" w:sz="6" w:space="0" w:color="808080"/>
              <w:left w:val="single" w:sz="2" w:space="0" w:color="808080"/>
              <w:bottom w:val="single" w:sz="2" w:space="0" w:color="808080"/>
              <w:right w:val="single" w:sz="2" w:space="0" w:color="808080"/>
            </w:tcBorders>
            <w:shd w:val="clear" w:color="auto" w:fill="auto"/>
            <w:tcMar>
              <w:left w:w="24" w:type="dxa"/>
            </w:tcMar>
            <w:vAlign w:val="center"/>
          </w:tcPr>
          <w:p w14:paraId="031EAA78"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Bkg Seq</w:t>
            </w:r>
          </w:p>
        </w:tc>
      </w:tr>
      <w:tr w:rsidR="0052616E" w:rsidRPr="00342DC6" w14:paraId="65F724C8" w14:textId="77777777" w:rsidTr="00C36E44">
        <w:trPr>
          <w:trHeight w:val="837"/>
        </w:trPr>
        <w:tc>
          <w:tcPr>
            <w:tcW w:w="4168" w:type="dxa"/>
            <w:tcBorders>
              <w:top w:val="single" w:sz="2" w:space="0" w:color="808080"/>
              <w:left w:val="single" w:sz="2" w:space="0" w:color="808080"/>
              <w:bottom w:val="single" w:sz="2" w:space="0" w:color="808080"/>
            </w:tcBorders>
            <w:shd w:val="clear" w:color="auto" w:fill="auto"/>
            <w:tcMar>
              <w:left w:w="24" w:type="dxa"/>
            </w:tcMar>
            <w:vAlign w:val="center"/>
          </w:tcPr>
          <w:p w14:paraId="707F68CE"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62336" behindDoc="0" locked="0" layoutInCell="1" allowOverlap="1" wp14:anchorId="545FE0D5" wp14:editId="7D413001">
                  <wp:simplePos x="0" y="0"/>
                  <wp:positionH relativeFrom="column">
                    <wp:align>center</wp:align>
                  </wp:positionH>
                  <wp:positionV relativeFrom="paragraph">
                    <wp:posOffset>635</wp:posOffset>
                  </wp:positionV>
                  <wp:extent cx="2438400" cy="485775"/>
                  <wp:effectExtent l="0" t="0" r="0" b="0"/>
                  <wp:wrapSquare wrapText="largest"/>
                  <wp:docPr id="25" name="Imag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1"/>
                          <pic:cNvPicPr>
                            <a:picLocks noChangeAspect="1" noChangeArrowheads="1"/>
                          </pic:cNvPicPr>
                        </pic:nvPicPr>
                        <pic:blipFill>
                          <a:blip r:embed="rId7"/>
                          <a:stretch>
                            <a:fillRect/>
                          </a:stretch>
                        </pic:blipFill>
                        <pic:spPr bwMode="auto">
                          <a:xfrm>
                            <a:off x="0" y="0"/>
                            <a:ext cx="2438400" cy="485775"/>
                          </a:xfrm>
                          <a:prstGeom prst="rect">
                            <a:avLst/>
                          </a:prstGeom>
                        </pic:spPr>
                      </pic:pic>
                    </a:graphicData>
                  </a:graphic>
                </wp:anchor>
              </w:drawing>
            </w:r>
          </w:p>
        </w:tc>
        <w:tc>
          <w:tcPr>
            <w:tcW w:w="997" w:type="dxa"/>
            <w:tcBorders>
              <w:top w:val="single" w:sz="2" w:space="0" w:color="808080"/>
              <w:left w:val="single" w:sz="2" w:space="0" w:color="808080"/>
              <w:bottom w:val="single" w:sz="2" w:space="0" w:color="808080"/>
            </w:tcBorders>
            <w:shd w:val="clear" w:color="auto" w:fill="auto"/>
            <w:tcMar>
              <w:left w:w="24" w:type="dxa"/>
            </w:tcMar>
            <w:vAlign w:val="center"/>
          </w:tcPr>
          <w:p w14:paraId="62E497E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 xml:space="preserve">RUNX </w:t>
            </w:r>
            <w:r w:rsidRPr="00342DC6">
              <w:rPr>
                <w:rFonts w:asciiTheme="minorHAnsi" w:hAnsiTheme="minorHAnsi" w:cstheme="minorHAnsi"/>
                <w:sz w:val="22"/>
                <w:szCs w:val="22"/>
              </w:rPr>
              <w:t>(Runt)</w:t>
            </w:r>
          </w:p>
        </w:tc>
        <w:tc>
          <w:tcPr>
            <w:tcW w:w="724" w:type="dxa"/>
            <w:tcBorders>
              <w:top w:val="single" w:sz="2" w:space="0" w:color="808080"/>
              <w:left w:val="single" w:sz="2" w:space="0" w:color="808080"/>
              <w:bottom w:val="single" w:sz="2" w:space="0" w:color="808080"/>
            </w:tcBorders>
            <w:shd w:val="clear" w:color="auto" w:fill="auto"/>
            <w:tcMar>
              <w:left w:w="24" w:type="dxa"/>
            </w:tcMar>
            <w:vAlign w:val="center"/>
          </w:tcPr>
          <w:p w14:paraId="76A45680"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1e-2</w:t>
            </w:r>
          </w:p>
        </w:tc>
        <w:tc>
          <w:tcPr>
            <w:tcW w:w="816" w:type="dxa"/>
            <w:tcBorders>
              <w:top w:val="single" w:sz="2" w:space="0" w:color="808080"/>
              <w:left w:val="single" w:sz="2" w:space="0" w:color="808080"/>
              <w:bottom w:val="single" w:sz="2" w:space="0" w:color="808080"/>
            </w:tcBorders>
            <w:shd w:val="clear" w:color="auto" w:fill="auto"/>
            <w:tcMar>
              <w:left w:w="24" w:type="dxa"/>
            </w:tcMar>
            <w:vAlign w:val="center"/>
          </w:tcPr>
          <w:p w14:paraId="199767AF"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1.0000</w:t>
            </w:r>
          </w:p>
        </w:tc>
        <w:tc>
          <w:tcPr>
            <w:tcW w:w="815" w:type="dxa"/>
            <w:tcBorders>
              <w:top w:val="single" w:sz="2" w:space="0" w:color="808080"/>
              <w:left w:val="single" w:sz="2" w:space="0" w:color="808080"/>
              <w:bottom w:val="single" w:sz="2" w:space="0" w:color="808080"/>
            </w:tcBorders>
            <w:shd w:val="clear" w:color="auto" w:fill="auto"/>
            <w:tcMar>
              <w:left w:w="24" w:type="dxa"/>
            </w:tcMar>
            <w:vAlign w:val="center"/>
          </w:tcPr>
          <w:p w14:paraId="60716FBA"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19.0</w:t>
            </w:r>
          </w:p>
        </w:tc>
        <w:tc>
          <w:tcPr>
            <w:tcW w:w="906" w:type="dxa"/>
            <w:tcBorders>
              <w:top w:val="single" w:sz="2" w:space="0" w:color="808080"/>
              <w:left w:val="single" w:sz="2" w:space="0" w:color="808080"/>
              <w:bottom w:val="single" w:sz="2" w:space="0" w:color="808080"/>
            </w:tcBorders>
            <w:shd w:val="clear" w:color="auto" w:fill="auto"/>
            <w:tcMar>
              <w:left w:w="24" w:type="dxa"/>
            </w:tcMar>
            <w:vAlign w:val="center"/>
          </w:tcPr>
          <w:p w14:paraId="7AD81386"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15.83%</w:t>
            </w:r>
          </w:p>
        </w:tc>
        <w:tc>
          <w:tcPr>
            <w:tcW w:w="724" w:type="dxa"/>
            <w:tcBorders>
              <w:top w:val="single" w:sz="2" w:space="0" w:color="808080"/>
              <w:left w:val="single" w:sz="2" w:space="0" w:color="808080"/>
              <w:bottom w:val="single" w:sz="2" w:space="0" w:color="808080"/>
            </w:tcBorders>
            <w:shd w:val="clear" w:color="auto" w:fill="auto"/>
            <w:tcMar>
              <w:left w:w="24" w:type="dxa"/>
            </w:tcMar>
            <w:vAlign w:val="center"/>
          </w:tcPr>
          <w:p w14:paraId="4E71FD8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1186.9</w:t>
            </w:r>
          </w:p>
        </w:tc>
        <w:tc>
          <w:tcPr>
            <w:tcW w:w="890"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06181C02"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7.89%</w:t>
            </w:r>
          </w:p>
        </w:tc>
      </w:tr>
      <w:tr w:rsidR="0052616E" w:rsidRPr="00342DC6" w14:paraId="7D49B6FF" w14:textId="77777777" w:rsidTr="00C36E44">
        <w:trPr>
          <w:trHeight w:val="751"/>
        </w:trPr>
        <w:tc>
          <w:tcPr>
            <w:tcW w:w="4168" w:type="dxa"/>
            <w:tcBorders>
              <w:top w:val="single" w:sz="2" w:space="0" w:color="808080"/>
              <w:left w:val="single" w:sz="2" w:space="0" w:color="808080"/>
              <w:bottom w:val="single" w:sz="2" w:space="0" w:color="808080"/>
            </w:tcBorders>
            <w:shd w:val="clear" w:color="auto" w:fill="auto"/>
            <w:tcMar>
              <w:left w:w="24" w:type="dxa"/>
            </w:tcMar>
            <w:vAlign w:val="center"/>
          </w:tcPr>
          <w:p w14:paraId="554B055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63360" behindDoc="0" locked="0" layoutInCell="1" allowOverlap="1" wp14:anchorId="48DB9464" wp14:editId="2AD8AE40">
                  <wp:simplePos x="0" y="0"/>
                  <wp:positionH relativeFrom="column">
                    <wp:align>center</wp:align>
                  </wp:positionH>
                  <wp:positionV relativeFrom="paragraph">
                    <wp:posOffset>635</wp:posOffset>
                  </wp:positionV>
                  <wp:extent cx="2593340" cy="431800"/>
                  <wp:effectExtent l="0" t="0" r="0" b="0"/>
                  <wp:wrapSquare wrapText="largest"/>
                  <wp:docPr id="26" name="Image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5"/>
                          <pic:cNvPicPr>
                            <a:picLocks noChangeAspect="1" noChangeArrowheads="1"/>
                          </pic:cNvPicPr>
                        </pic:nvPicPr>
                        <pic:blipFill>
                          <a:blip r:embed="rId8"/>
                          <a:stretch>
                            <a:fillRect/>
                          </a:stretch>
                        </pic:blipFill>
                        <pic:spPr bwMode="auto">
                          <a:xfrm>
                            <a:off x="0" y="0"/>
                            <a:ext cx="2593340" cy="431800"/>
                          </a:xfrm>
                          <a:prstGeom prst="rect">
                            <a:avLst/>
                          </a:prstGeom>
                        </pic:spPr>
                      </pic:pic>
                    </a:graphicData>
                  </a:graphic>
                </wp:anchor>
              </w:drawing>
            </w:r>
          </w:p>
        </w:tc>
        <w:tc>
          <w:tcPr>
            <w:tcW w:w="997" w:type="dxa"/>
            <w:tcBorders>
              <w:top w:val="single" w:sz="2" w:space="0" w:color="808080"/>
              <w:left w:val="single" w:sz="2" w:space="0" w:color="808080"/>
              <w:bottom w:val="single" w:sz="2" w:space="0" w:color="808080"/>
            </w:tcBorders>
            <w:shd w:val="clear" w:color="auto" w:fill="auto"/>
            <w:tcMar>
              <w:left w:w="24" w:type="dxa"/>
            </w:tcMar>
            <w:vAlign w:val="center"/>
          </w:tcPr>
          <w:p w14:paraId="3A19B28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 xml:space="preserve">E-box </w:t>
            </w:r>
            <w:r w:rsidRPr="00342DC6">
              <w:rPr>
                <w:rFonts w:asciiTheme="minorHAnsi" w:hAnsiTheme="minorHAnsi" w:cstheme="minorHAnsi"/>
                <w:sz w:val="22"/>
                <w:szCs w:val="22"/>
              </w:rPr>
              <w:t>(bHLH)</w:t>
            </w:r>
          </w:p>
        </w:tc>
        <w:tc>
          <w:tcPr>
            <w:tcW w:w="724" w:type="dxa"/>
            <w:tcBorders>
              <w:top w:val="single" w:sz="2" w:space="0" w:color="808080"/>
              <w:left w:val="single" w:sz="2" w:space="0" w:color="808080"/>
              <w:bottom w:val="single" w:sz="2" w:space="0" w:color="808080"/>
            </w:tcBorders>
            <w:shd w:val="clear" w:color="auto" w:fill="auto"/>
            <w:tcMar>
              <w:left w:w="24" w:type="dxa"/>
            </w:tcMar>
            <w:vAlign w:val="center"/>
          </w:tcPr>
          <w:p w14:paraId="06E2B48C"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1e-2</w:t>
            </w:r>
          </w:p>
        </w:tc>
        <w:tc>
          <w:tcPr>
            <w:tcW w:w="816" w:type="dxa"/>
            <w:tcBorders>
              <w:top w:val="single" w:sz="2" w:space="0" w:color="808080"/>
              <w:left w:val="single" w:sz="2" w:space="0" w:color="808080"/>
              <w:bottom w:val="single" w:sz="2" w:space="0" w:color="808080"/>
            </w:tcBorders>
            <w:shd w:val="clear" w:color="auto" w:fill="auto"/>
            <w:tcMar>
              <w:left w:w="24" w:type="dxa"/>
            </w:tcMar>
            <w:vAlign w:val="center"/>
          </w:tcPr>
          <w:p w14:paraId="4235079F"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1.0000</w:t>
            </w:r>
          </w:p>
        </w:tc>
        <w:tc>
          <w:tcPr>
            <w:tcW w:w="815" w:type="dxa"/>
            <w:tcBorders>
              <w:top w:val="single" w:sz="2" w:space="0" w:color="808080"/>
              <w:left w:val="single" w:sz="2" w:space="0" w:color="808080"/>
              <w:bottom w:val="single" w:sz="2" w:space="0" w:color="808080"/>
            </w:tcBorders>
            <w:shd w:val="clear" w:color="auto" w:fill="auto"/>
            <w:tcMar>
              <w:left w:w="24" w:type="dxa"/>
            </w:tcMar>
            <w:vAlign w:val="center"/>
          </w:tcPr>
          <w:p w14:paraId="07723169"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11.0</w:t>
            </w:r>
          </w:p>
        </w:tc>
        <w:tc>
          <w:tcPr>
            <w:tcW w:w="906" w:type="dxa"/>
            <w:tcBorders>
              <w:top w:val="single" w:sz="2" w:space="0" w:color="808080"/>
              <w:left w:val="single" w:sz="2" w:space="0" w:color="808080"/>
              <w:bottom w:val="single" w:sz="2" w:space="0" w:color="808080"/>
            </w:tcBorders>
            <w:shd w:val="clear" w:color="auto" w:fill="auto"/>
            <w:tcMar>
              <w:left w:w="24" w:type="dxa"/>
            </w:tcMar>
            <w:vAlign w:val="center"/>
          </w:tcPr>
          <w:p w14:paraId="42DE4A0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9.17%</w:t>
            </w:r>
          </w:p>
        </w:tc>
        <w:tc>
          <w:tcPr>
            <w:tcW w:w="724" w:type="dxa"/>
            <w:tcBorders>
              <w:top w:val="single" w:sz="2" w:space="0" w:color="808080"/>
              <w:left w:val="single" w:sz="2" w:space="0" w:color="808080"/>
              <w:bottom w:val="single" w:sz="2" w:space="0" w:color="808080"/>
            </w:tcBorders>
            <w:shd w:val="clear" w:color="auto" w:fill="auto"/>
            <w:tcMar>
              <w:left w:w="24" w:type="dxa"/>
            </w:tcMar>
            <w:vAlign w:val="center"/>
          </w:tcPr>
          <w:p w14:paraId="64CAFA4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525.5</w:t>
            </w:r>
          </w:p>
        </w:tc>
        <w:tc>
          <w:tcPr>
            <w:tcW w:w="890"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59F09324"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3.49%</w:t>
            </w:r>
          </w:p>
        </w:tc>
      </w:tr>
      <w:tr w:rsidR="0052616E" w:rsidRPr="00342DC6" w14:paraId="7FD256A8" w14:textId="77777777" w:rsidTr="00C36E44">
        <w:trPr>
          <w:trHeight w:val="851"/>
        </w:trPr>
        <w:tc>
          <w:tcPr>
            <w:tcW w:w="4168" w:type="dxa"/>
            <w:tcBorders>
              <w:top w:val="single" w:sz="2" w:space="0" w:color="808080"/>
              <w:left w:val="single" w:sz="2" w:space="0" w:color="808080"/>
              <w:bottom w:val="single" w:sz="6" w:space="0" w:color="808080"/>
            </w:tcBorders>
            <w:shd w:val="clear" w:color="auto" w:fill="auto"/>
            <w:tcMar>
              <w:left w:w="24" w:type="dxa"/>
            </w:tcMar>
            <w:vAlign w:val="center"/>
          </w:tcPr>
          <w:p w14:paraId="0FFE5C8F"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64384" behindDoc="0" locked="0" layoutInCell="1" allowOverlap="1" wp14:anchorId="55A192A2" wp14:editId="32833256">
                  <wp:simplePos x="0" y="0"/>
                  <wp:positionH relativeFrom="column">
                    <wp:align>center</wp:align>
                  </wp:positionH>
                  <wp:positionV relativeFrom="paragraph">
                    <wp:posOffset>635</wp:posOffset>
                  </wp:positionV>
                  <wp:extent cx="2438400" cy="485775"/>
                  <wp:effectExtent l="0" t="0" r="0" b="0"/>
                  <wp:wrapSquare wrapText="largest"/>
                  <wp:docPr id="27" name="Image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6"/>
                          <pic:cNvPicPr>
                            <a:picLocks noChangeAspect="1" noChangeArrowheads="1"/>
                          </pic:cNvPicPr>
                        </pic:nvPicPr>
                        <pic:blipFill>
                          <a:blip r:embed="rId9"/>
                          <a:stretch>
                            <a:fillRect/>
                          </a:stretch>
                        </pic:blipFill>
                        <pic:spPr bwMode="auto">
                          <a:xfrm>
                            <a:off x="0" y="0"/>
                            <a:ext cx="2438400" cy="485775"/>
                          </a:xfrm>
                          <a:prstGeom prst="rect">
                            <a:avLst/>
                          </a:prstGeom>
                        </pic:spPr>
                      </pic:pic>
                    </a:graphicData>
                  </a:graphic>
                </wp:anchor>
              </w:drawing>
            </w:r>
          </w:p>
        </w:tc>
        <w:tc>
          <w:tcPr>
            <w:tcW w:w="997" w:type="dxa"/>
            <w:tcBorders>
              <w:top w:val="single" w:sz="2" w:space="0" w:color="808080"/>
              <w:left w:val="single" w:sz="2" w:space="0" w:color="808080"/>
              <w:bottom w:val="single" w:sz="6" w:space="0" w:color="808080"/>
            </w:tcBorders>
            <w:shd w:val="clear" w:color="auto" w:fill="auto"/>
            <w:tcMar>
              <w:left w:w="24" w:type="dxa"/>
            </w:tcMar>
            <w:vAlign w:val="center"/>
          </w:tcPr>
          <w:p w14:paraId="2C31A09C"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 xml:space="preserve">USF1 </w:t>
            </w:r>
            <w:r w:rsidRPr="00342DC6">
              <w:rPr>
                <w:rFonts w:asciiTheme="minorHAnsi" w:hAnsiTheme="minorHAnsi" w:cstheme="minorHAnsi"/>
                <w:sz w:val="22"/>
                <w:szCs w:val="22"/>
              </w:rPr>
              <w:t>(bHLH)</w:t>
            </w:r>
          </w:p>
        </w:tc>
        <w:tc>
          <w:tcPr>
            <w:tcW w:w="724" w:type="dxa"/>
            <w:tcBorders>
              <w:top w:val="single" w:sz="2" w:space="0" w:color="808080"/>
              <w:left w:val="single" w:sz="2" w:space="0" w:color="808080"/>
              <w:bottom w:val="single" w:sz="6" w:space="0" w:color="808080"/>
            </w:tcBorders>
            <w:shd w:val="clear" w:color="auto" w:fill="auto"/>
            <w:tcMar>
              <w:left w:w="24" w:type="dxa"/>
            </w:tcMar>
            <w:vAlign w:val="center"/>
          </w:tcPr>
          <w:p w14:paraId="06EB3F2A"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1e-2</w:t>
            </w:r>
          </w:p>
        </w:tc>
        <w:tc>
          <w:tcPr>
            <w:tcW w:w="816" w:type="dxa"/>
            <w:tcBorders>
              <w:top w:val="single" w:sz="2" w:space="0" w:color="808080"/>
              <w:left w:val="single" w:sz="2" w:space="0" w:color="808080"/>
              <w:bottom w:val="single" w:sz="6" w:space="0" w:color="808080"/>
            </w:tcBorders>
            <w:shd w:val="clear" w:color="auto" w:fill="auto"/>
            <w:tcMar>
              <w:left w:w="24" w:type="dxa"/>
            </w:tcMar>
            <w:vAlign w:val="center"/>
          </w:tcPr>
          <w:p w14:paraId="09E2F47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1.0000</w:t>
            </w:r>
          </w:p>
        </w:tc>
        <w:tc>
          <w:tcPr>
            <w:tcW w:w="815" w:type="dxa"/>
            <w:tcBorders>
              <w:top w:val="single" w:sz="2" w:space="0" w:color="808080"/>
              <w:left w:val="single" w:sz="2" w:space="0" w:color="808080"/>
              <w:bottom w:val="single" w:sz="6" w:space="0" w:color="808080"/>
            </w:tcBorders>
            <w:shd w:val="clear" w:color="auto" w:fill="auto"/>
            <w:tcMar>
              <w:left w:w="24" w:type="dxa"/>
            </w:tcMar>
            <w:vAlign w:val="center"/>
          </w:tcPr>
          <w:p w14:paraId="62C95AA3"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20.0</w:t>
            </w:r>
          </w:p>
        </w:tc>
        <w:tc>
          <w:tcPr>
            <w:tcW w:w="906" w:type="dxa"/>
            <w:tcBorders>
              <w:top w:val="single" w:sz="2" w:space="0" w:color="808080"/>
              <w:left w:val="single" w:sz="2" w:space="0" w:color="808080"/>
              <w:bottom w:val="single" w:sz="6" w:space="0" w:color="808080"/>
            </w:tcBorders>
            <w:shd w:val="clear" w:color="auto" w:fill="auto"/>
            <w:tcMar>
              <w:left w:w="24" w:type="dxa"/>
            </w:tcMar>
            <w:vAlign w:val="center"/>
          </w:tcPr>
          <w:p w14:paraId="61A6FE26"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16.67%</w:t>
            </w:r>
          </w:p>
        </w:tc>
        <w:tc>
          <w:tcPr>
            <w:tcW w:w="724" w:type="dxa"/>
            <w:tcBorders>
              <w:top w:val="single" w:sz="2" w:space="0" w:color="808080"/>
              <w:left w:val="single" w:sz="2" w:space="0" w:color="808080"/>
              <w:bottom w:val="single" w:sz="6" w:space="0" w:color="808080"/>
            </w:tcBorders>
            <w:shd w:val="clear" w:color="auto" w:fill="auto"/>
            <w:tcMar>
              <w:left w:w="24" w:type="dxa"/>
            </w:tcMar>
            <w:vAlign w:val="center"/>
          </w:tcPr>
          <w:p w14:paraId="5E70D6F6"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1414.1</w:t>
            </w:r>
          </w:p>
        </w:tc>
        <w:tc>
          <w:tcPr>
            <w:tcW w:w="890" w:type="dxa"/>
            <w:tcBorders>
              <w:top w:val="single" w:sz="2" w:space="0" w:color="808080"/>
              <w:left w:val="single" w:sz="2" w:space="0" w:color="808080"/>
              <w:bottom w:val="single" w:sz="6" w:space="0" w:color="808080"/>
              <w:right w:val="single" w:sz="2" w:space="0" w:color="808080"/>
            </w:tcBorders>
            <w:shd w:val="clear" w:color="auto" w:fill="auto"/>
            <w:tcMar>
              <w:left w:w="24" w:type="dxa"/>
            </w:tcMar>
            <w:vAlign w:val="center"/>
          </w:tcPr>
          <w:p w14:paraId="29F38F6F"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9.40%</w:t>
            </w:r>
          </w:p>
        </w:tc>
      </w:tr>
    </w:tbl>
    <w:p w14:paraId="06303BFE" w14:textId="7E0C3E2D" w:rsidR="0052616E" w:rsidRPr="00342DC6" w:rsidRDefault="0052616E" w:rsidP="0052616E">
      <w:pPr>
        <w:rPr>
          <w:rFonts w:asciiTheme="minorHAnsi" w:hAnsiTheme="minorHAnsi" w:cstheme="minorHAnsi"/>
          <w:b/>
          <w:bCs/>
          <w:i/>
          <w:iCs/>
          <w:sz w:val="22"/>
          <w:szCs w:val="22"/>
        </w:rPr>
      </w:pPr>
      <w:r>
        <w:rPr>
          <w:rFonts w:asciiTheme="minorHAnsi" w:hAnsiTheme="minorHAnsi" w:cstheme="minorHAnsi"/>
          <w:b/>
          <w:bCs/>
          <w:i/>
          <w:iCs/>
          <w:sz w:val="22"/>
          <w:szCs w:val="22"/>
        </w:rPr>
        <w:lastRenderedPageBreak/>
        <w:t>Supplementary Table S6</w:t>
      </w:r>
      <w:r w:rsidRPr="00342DC6">
        <w:rPr>
          <w:rFonts w:asciiTheme="minorHAnsi" w:hAnsiTheme="minorHAnsi" w:cstheme="minorHAnsi"/>
          <w:b/>
          <w:bCs/>
          <w:i/>
          <w:iCs/>
          <w:sz w:val="22"/>
          <w:szCs w:val="22"/>
        </w:rPr>
        <w:t xml:space="preserve">: </w:t>
      </w:r>
      <w:r w:rsidRPr="00342DC6">
        <w:rPr>
          <w:rFonts w:asciiTheme="minorHAnsi" w:hAnsiTheme="minorHAnsi" w:cstheme="minorHAnsi"/>
          <w:sz w:val="22"/>
          <w:szCs w:val="22"/>
        </w:rPr>
        <w:t>HOMER known motif enrichment results of genes with higher expression in aSAT vs gSAT after training.</w:t>
      </w:r>
    </w:p>
    <w:tbl>
      <w:tblPr>
        <w:tblW w:w="9975" w:type="dxa"/>
        <w:tblInd w:w="-2" w:type="dxa"/>
        <w:tblBorders>
          <w:top w:val="single" w:sz="6" w:space="0" w:color="808080"/>
          <w:left w:val="single" w:sz="2" w:space="0" w:color="808080"/>
          <w:bottom w:val="single" w:sz="2" w:space="0" w:color="808080"/>
          <w:insideH w:val="single" w:sz="2" w:space="0" w:color="808080"/>
        </w:tblBorders>
        <w:tblCellMar>
          <w:top w:w="28" w:type="dxa"/>
          <w:left w:w="24" w:type="dxa"/>
          <w:bottom w:w="28" w:type="dxa"/>
          <w:right w:w="28" w:type="dxa"/>
        </w:tblCellMar>
        <w:tblLook w:val="0000" w:firstRow="0" w:lastRow="0" w:firstColumn="0" w:lastColumn="0" w:noHBand="0" w:noVBand="0"/>
      </w:tblPr>
      <w:tblGrid>
        <w:gridCol w:w="4141"/>
        <w:gridCol w:w="990"/>
        <w:gridCol w:w="720"/>
        <w:gridCol w:w="810"/>
        <w:gridCol w:w="810"/>
        <w:gridCol w:w="900"/>
        <w:gridCol w:w="720"/>
        <w:gridCol w:w="884"/>
      </w:tblGrid>
      <w:tr w:rsidR="0052616E" w:rsidRPr="00342DC6" w14:paraId="3E05F64B" w14:textId="77777777" w:rsidTr="00C36E44">
        <w:tc>
          <w:tcPr>
            <w:tcW w:w="4139" w:type="dxa"/>
            <w:tcBorders>
              <w:top w:val="single" w:sz="6" w:space="0" w:color="808080"/>
              <w:left w:val="single" w:sz="2" w:space="0" w:color="808080"/>
              <w:bottom w:val="single" w:sz="2" w:space="0" w:color="808080"/>
            </w:tcBorders>
            <w:shd w:val="clear" w:color="auto" w:fill="auto"/>
            <w:tcMar>
              <w:left w:w="24" w:type="dxa"/>
            </w:tcMar>
            <w:vAlign w:val="center"/>
          </w:tcPr>
          <w:p w14:paraId="037A4363"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Motif</w:t>
            </w:r>
          </w:p>
        </w:tc>
        <w:tc>
          <w:tcPr>
            <w:tcW w:w="990" w:type="dxa"/>
            <w:tcBorders>
              <w:top w:val="single" w:sz="6" w:space="0" w:color="808080"/>
              <w:left w:val="single" w:sz="2" w:space="0" w:color="808080"/>
              <w:bottom w:val="single" w:sz="2" w:space="0" w:color="808080"/>
            </w:tcBorders>
            <w:shd w:val="clear" w:color="auto" w:fill="auto"/>
            <w:tcMar>
              <w:left w:w="24" w:type="dxa"/>
            </w:tcMar>
            <w:vAlign w:val="center"/>
          </w:tcPr>
          <w:p w14:paraId="0477E4B7"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Name</w:t>
            </w:r>
          </w:p>
        </w:tc>
        <w:tc>
          <w:tcPr>
            <w:tcW w:w="720" w:type="dxa"/>
            <w:tcBorders>
              <w:top w:val="single" w:sz="6" w:space="0" w:color="808080"/>
              <w:left w:val="single" w:sz="2" w:space="0" w:color="808080"/>
              <w:bottom w:val="single" w:sz="2" w:space="0" w:color="808080"/>
            </w:tcBorders>
            <w:shd w:val="clear" w:color="auto" w:fill="auto"/>
            <w:tcMar>
              <w:left w:w="24" w:type="dxa"/>
            </w:tcMar>
            <w:vAlign w:val="center"/>
          </w:tcPr>
          <w:p w14:paraId="068DF95B"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P-val</w:t>
            </w:r>
          </w:p>
        </w:tc>
        <w:tc>
          <w:tcPr>
            <w:tcW w:w="810" w:type="dxa"/>
            <w:tcBorders>
              <w:top w:val="single" w:sz="6" w:space="0" w:color="808080"/>
              <w:left w:val="single" w:sz="2" w:space="0" w:color="808080"/>
              <w:bottom w:val="single" w:sz="2" w:space="0" w:color="808080"/>
            </w:tcBorders>
            <w:shd w:val="clear" w:color="auto" w:fill="auto"/>
            <w:tcMar>
              <w:left w:w="24" w:type="dxa"/>
            </w:tcMar>
            <w:vAlign w:val="center"/>
          </w:tcPr>
          <w:p w14:paraId="0FA3C65E"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q-val</w:t>
            </w:r>
          </w:p>
        </w:tc>
        <w:tc>
          <w:tcPr>
            <w:tcW w:w="810" w:type="dxa"/>
            <w:tcBorders>
              <w:top w:val="single" w:sz="6" w:space="0" w:color="808080"/>
              <w:left w:val="single" w:sz="2" w:space="0" w:color="808080"/>
              <w:bottom w:val="single" w:sz="2" w:space="0" w:color="808080"/>
            </w:tcBorders>
            <w:shd w:val="clear" w:color="auto" w:fill="auto"/>
            <w:tcMar>
              <w:left w:w="24" w:type="dxa"/>
            </w:tcMar>
            <w:vAlign w:val="center"/>
          </w:tcPr>
          <w:p w14:paraId="18FDC15E"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Target Seq</w:t>
            </w:r>
          </w:p>
        </w:tc>
        <w:tc>
          <w:tcPr>
            <w:tcW w:w="900" w:type="dxa"/>
            <w:tcBorders>
              <w:top w:val="single" w:sz="6" w:space="0" w:color="808080"/>
              <w:left w:val="single" w:sz="2" w:space="0" w:color="808080"/>
              <w:bottom w:val="single" w:sz="2" w:space="0" w:color="808080"/>
            </w:tcBorders>
            <w:shd w:val="clear" w:color="auto" w:fill="auto"/>
            <w:tcMar>
              <w:left w:w="24" w:type="dxa"/>
            </w:tcMar>
            <w:vAlign w:val="center"/>
          </w:tcPr>
          <w:p w14:paraId="59EFF5FC"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Targets Seq</w:t>
            </w:r>
          </w:p>
        </w:tc>
        <w:tc>
          <w:tcPr>
            <w:tcW w:w="720" w:type="dxa"/>
            <w:tcBorders>
              <w:top w:val="single" w:sz="6" w:space="0" w:color="808080"/>
              <w:left w:val="single" w:sz="2" w:space="0" w:color="808080"/>
              <w:bottom w:val="single" w:sz="2" w:space="0" w:color="808080"/>
            </w:tcBorders>
            <w:shd w:val="clear" w:color="auto" w:fill="auto"/>
            <w:tcMar>
              <w:left w:w="24" w:type="dxa"/>
            </w:tcMar>
            <w:vAlign w:val="center"/>
          </w:tcPr>
          <w:p w14:paraId="65BC9F48"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Bkg Seq</w:t>
            </w:r>
          </w:p>
        </w:tc>
        <w:tc>
          <w:tcPr>
            <w:tcW w:w="884" w:type="dxa"/>
            <w:tcBorders>
              <w:top w:val="single" w:sz="6" w:space="0" w:color="808080"/>
              <w:left w:val="single" w:sz="2" w:space="0" w:color="808080"/>
              <w:bottom w:val="single" w:sz="2" w:space="0" w:color="808080"/>
              <w:right w:val="single" w:sz="2" w:space="0" w:color="808080"/>
            </w:tcBorders>
            <w:shd w:val="clear" w:color="auto" w:fill="auto"/>
            <w:tcMar>
              <w:left w:w="24" w:type="dxa"/>
            </w:tcMar>
            <w:vAlign w:val="center"/>
          </w:tcPr>
          <w:p w14:paraId="10378C17"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Bkg Seq</w:t>
            </w:r>
          </w:p>
        </w:tc>
      </w:tr>
      <w:tr w:rsidR="0052616E" w:rsidRPr="00342DC6" w14:paraId="45181A5B" w14:textId="77777777" w:rsidTr="00C36E44">
        <w:tc>
          <w:tcPr>
            <w:tcW w:w="4139" w:type="dxa"/>
            <w:tcBorders>
              <w:top w:val="single" w:sz="2" w:space="0" w:color="808080"/>
              <w:left w:val="single" w:sz="2" w:space="0" w:color="808080"/>
              <w:bottom w:val="single" w:sz="2" w:space="0" w:color="808080"/>
            </w:tcBorders>
            <w:shd w:val="clear" w:color="auto" w:fill="auto"/>
            <w:tcMar>
              <w:left w:w="24" w:type="dxa"/>
            </w:tcMar>
            <w:vAlign w:val="center"/>
          </w:tcPr>
          <w:p w14:paraId="05C66DF9"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65408" behindDoc="0" locked="0" layoutInCell="1" allowOverlap="1" wp14:anchorId="6E2ECCC7" wp14:editId="1472EFB2">
                  <wp:simplePos x="0" y="0"/>
                  <wp:positionH relativeFrom="column">
                    <wp:align>center</wp:align>
                  </wp:positionH>
                  <wp:positionV relativeFrom="paragraph">
                    <wp:posOffset>635</wp:posOffset>
                  </wp:positionV>
                  <wp:extent cx="1962150" cy="485775"/>
                  <wp:effectExtent l="0" t="0" r="0" b="0"/>
                  <wp:wrapSquare wrapText="largest"/>
                  <wp:docPr id="28" name="Image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7"/>
                          <pic:cNvPicPr>
                            <a:picLocks noChangeAspect="1" noChangeArrowheads="1"/>
                          </pic:cNvPicPr>
                        </pic:nvPicPr>
                        <pic:blipFill>
                          <a:blip r:embed="rId10"/>
                          <a:stretch>
                            <a:fillRect/>
                          </a:stretch>
                        </pic:blipFill>
                        <pic:spPr bwMode="auto">
                          <a:xfrm>
                            <a:off x="0" y="0"/>
                            <a:ext cx="1962150" cy="485775"/>
                          </a:xfrm>
                          <a:prstGeom prst="rect">
                            <a:avLst/>
                          </a:prstGeom>
                        </pic:spPr>
                      </pic:pic>
                    </a:graphicData>
                  </a:graphic>
                </wp:anchor>
              </w:drawing>
            </w:r>
          </w:p>
        </w:tc>
        <w:tc>
          <w:tcPr>
            <w:tcW w:w="990" w:type="dxa"/>
            <w:tcBorders>
              <w:top w:val="single" w:sz="2" w:space="0" w:color="808080"/>
              <w:left w:val="single" w:sz="2" w:space="0" w:color="808080"/>
              <w:bottom w:val="single" w:sz="2" w:space="0" w:color="808080"/>
            </w:tcBorders>
            <w:shd w:val="clear" w:color="auto" w:fill="auto"/>
            <w:tcMar>
              <w:left w:w="24" w:type="dxa"/>
            </w:tcMar>
            <w:vAlign w:val="center"/>
          </w:tcPr>
          <w:p w14:paraId="28758AF4"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NF1-halfsite</w:t>
            </w:r>
            <w:r w:rsidRPr="00342DC6">
              <w:rPr>
                <w:rFonts w:asciiTheme="minorHAnsi" w:hAnsiTheme="minorHAnsi" w:cstheme="minorHAnsi"/>
                <w:sz w:val="22"/>
                <w:szCs w:val="22"/>
              </w:rPr>
              <w:t xml:space="preserve"> (CTF)</w:t>
            </w:r>
          </w:p>
        </w:tc>
        <w:tc>
          <w:tcPr>
            <w:tcW w:w="720" w:type="dxa"/>
            <w:tcBorders>
              <w:top w:val="single" w:sz="2" w:space="0" w:color="808080"/>
              <w:left w:val="single" w:sz="2" w:space="0" w:color="808080"/>
              <w:bottom w:val="single" w:sz="2" w:space="0" w:color="808080"/>
            </w:tcBorders>
            <w:shd w:val="clear" w:color="auto" w:fill="auto"/>
            <w:tcMar>
              <w:left w:w="24" w:type="dxa"/>
            </w:tcMar>
            <w:vAlign w:val="center"/>
          </w:tcPr>
          <w:p w14:paraId="40606D89"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1e-2</w:t>
            </w:r>
          </w:p>
        </w:tc>
        <w:tc>
          <w:tcPr>
            <w:tcW w:w="810" w:type="dxa"/>
            <w:tcBorders>
              <w:top w:val="single" w:sz="2" w:space="0" w:color="808080"/>
              <w:left w:val="single" w:sz="2" w:space="0" w:color="808080"/>
              <w:bottom w:val="single" w:sz="2" w:space="0" w:color="808080"/>
            </w:tcBorders>
            <w:shd w:val="clear" w:color="auto" w:fill="auto"/>
            <w:tcMar>
              <w:left w:w="24" w:type="dxa"/>
            </w:tcMar>
            <w:vAlign w:val="center"/>
          </w:tcPr>
          <w:p w14:paraId="4E56F1C4"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1.0000</w:t>
            </w:r>
          </w:p>
        </w:tc>
        <w:tc>
          <w:tcPr>
            <w:tcW w:w="810" w:type="dxa"/>
            <w:tcBorders>
              <w:top w:val="single" w:sz="2" w:space="0" w:color="808080"/>
              <w:left w:val="single" w:sz="2" w:space="0" w:color="808080"/>
              <w:bottom w:val="single" w:sz="2" w:space="0" w:color="808080"/>
            </w:tcBorders>
            <w:shd w:val="clear" w:color="auto" w:fill="auto"/>
            <w:tcMar>
              <w:left w:w="24" w:type="dxa"/>
            </w:tcMar>
            <w:vAlign w:val="center"/>
          </w:tcPr>
          <w:p w14:paraId="7885D39A"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44.0</w:t>
            </w:r>
          </w:p>
        </w:tc>
        <w:tc>
          <w:tcPr>
            <w:tcW w:w="900" w:type="dxa"/>
            <w:tcBorders>
              <w:top w:val="single" w:sz="2" w:space="0" w:color="808080"/>
              <w:left w:val="single" w:sz="2" w:space="0" w:color="808080"/>
              <w:bottom w:val="single" w:sz="2" w:space="0" w:color="808080"/>
            </w:tcBorders>
            <w:shd w:val="clear" w:color="auto" w:fill="auto"/>
            <w:tcMar>
              <w:left w:w="24" w:type="dxa"/>
            </w:tcMar>
            <w:vAlign w:val="center"/>
          </w:tcPr>
          <w:p w14:paraId="4113AE43"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35.48%</w:t>
            </w:r>
          </w:p>
        </w:tc>
        <w:tc>
          <w:tcPr>
            <w:tcW w:w="720" w:type="dxa"/>
            <w:tcBorders>
              <w:top w:val="single" w:sz="2" w:space="0" w:color="808080"/>
              <w:left w:val="single" w:sz="2" w:space="0" w:color="808080"/>
              <w:bottom w:val="single" w:sz="2" w:space="0" w:color="808080"/>
            </w:tcBorders>
            <w:shd w:val="clear" w:color="auto" w:fill="auto"/>
            <w:tcMar>
              <w:left w:w="24" w:type="dxa"/>
            </w:tcMar>
            <w:vAlign w:val="center"/>
          </w:tcPr>
          <w:p w14:paraId="2B1108CC"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3794.5</w:t>
            </w:r>
          </w:p>
        </w:tc>
        <w:tc>
          <w:tcPr>
            <w:tcW w:w="884"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478B4663"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24.68%</w:t>
            </w:r>
          </w:p>
        </w:tc>
      </w:tr>
      <w:tr w:rsidR="0052616E" w:rsidRPr="00342DC6" w14:paraId="4B727464" w14:textId="77777777" w:rsidTr="00C36E44">
        <w:tc>
          <w:tcPr>
            <w:tcW w:w="4139" w:type="dxa"/>
            <w:tcBorders>
              <w:top w:val="single" w:sz="2" w:space="0" w:color="808080"/>
              <w:left w:val="single" w:sz="2" w:space="0" w:color="808080"/>
              <w:bottom w:val="single" w:sz="6" w:space="0" w:color="808080"/>
            </w:tcBorders>
            <w:shd w:val="clear" w:color="auto" w:fill="auto"/>
            <w:tcMar>
              <w:left w:w="24" w:type="dxa"/>
            </w:tcMar>
            <w:vAlign w:val="center"/>
          </w:tcPr>
          <w:p w14:paraId="48B7FF7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66432" behindDoc="0" locked="0" layoutInCell="1" allowOverlap="1" wp14:anchorId="18624DD1" wp14:editId="0E500FB7">
                  <wp:simplePos x="0" y="0"/>
                  <wp:positionH relativeFrom="column">
                    <wp:align>center</wp:align>
                  </wp:positionH>
                  <wp:positionV relativeFrom="paragraph">
                    <wp:posOffset>635</wp:posOffset>
                  </wp:positionV>
                  <wp:extent cx="2428875" cy="476250"/>
                  <wp:effectExtent l="0" t="0" r="0" b="0"/>
                  <wp:wrapSquare wrapText="largest"/>
                  <wp:docPr id="29" name="Image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8"/>
                          <pic:cNvPicPr>
                            <a:picLocks noChangeAspect="1" noChangeArrowheads="1"/>
                          </pic:cNvPicPr>
                        </pic:nvPicPr>
                        <pic:blipFill>
                          <a:blip r:embed="rId11"/>
                          <a:stretch>
                            <a:fillRect/>
                          </a:stretch>
                        </pic:blipFill>
                        <pic:spPr bwMode="auto">
                          <a:xfrm>
                            <a:off x="0" y="0"/>
                            <a:ext cx="2428875" cy="476250"/>
                          </a:xfrm>
                          <a:prstGeom prst="rect">
                            <a:avLst/>
                          </a:prstGeom>
                        </pic:spPr>
                      </pic:pic>
                    </a:graphicData>
                  </a:graphic>
                </wp:anchor>
              </w:drawing>
            </w:r>
          </w:p>
        </w:tc>
        <w:tc>
          <w:tcPr>
            <w:tcW w:w="990" w:type="dxa"/>
            <w:tcBorders>
              <w:top w:val="single" w:sz="2" w:space="0" w:color="808080"/>
              <w:left w:val="single" w:sz="2" w:space="0" w:color="808080"/>
              <w:bottom w:val="single" w:sz="6" w:space="0" w:color="808080"/>
            </w:tcBorders>
            <w:shd w:val="clear" w:color="auto" w:fill="auto"/>
            <w:tcMar>
              <w:left w:w="24" w:type="dxa"/>
            </w:tcMar>
            <w:vAlign w:val="center"/>
          </w:tcPr>
          <w:p w14:paraId="55D002A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LRF</w:t>
            </w:r>
            <w:r w:rsidRPr="00342DC6">
              <w:rPr>
                <w:rFonts w:asciiTheme="minorHAnsi" w:hAnsiTheme="minorHAnsi" w:cstheme="minorHAnsi"/>
                <w:sz w:val="22"/>
                <w:szCs w:val="22"/>
              </w:rPr>
              <w:t xml:space="preserve"> (Zf)</w:t>
            </w:r>
          </w:p>
        </w:tc>
        <w:tc>
          <w:tcPr>
            <w:tcW w:w="720" w:type="dxa"/>
            <w:tcBorders>
              <w:top w:val="single" w:sz="2" w:space="0" w:color="808080"/>
              <w:left w:val="single" w:sz="2" w:space="0" w:color="808080"/>
              <w:bottom w:val="single" w:sz="6" w:space="0" w:color="808080"/>
            </w:tcBorders>
            <w:shd w:val="clear" w:color="auto" w:fill="auto"/>
            <w:tcMar>
              <w:left w:w="24" w:type="dxa"/>
            </w:tcMar>
            <w:vAlign w:val="center"/>
          </w:tcPr>
          <w:p w14:paraId="2802574C"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1e-2</w:t>
            </w:r>
          </w:p>
        </w:tc>
        <w:tc>
          <w:tcPr>
            <w:tcW w:w="810" w:type="dxa"/>
            <w:tcBorders>
              <w:top w:val="single" w:sz="2" w:space="0" w:color="808080"/>
              <w:left w:val="single" w:sz="2" w:space="0" w:color="808080"/>
              <w:bottom w:val="single" w:sz="6" w:space="0" w:color="808080"/>
            </w:tcBorders>
            <w:shd w:val="clear" w:color="auto" w:fill="auto"/>
            <w:tcMar>
              <w:left w:w="24" w:type="dxa"/>
            </w:tcMar>
            <w:vAlign w:val="center"/>
          </w:tcPr>
          <w:p w14:paraId="7CDBD2E6"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1.0000</w:t>
            </w:r>
          </w:p>
        </w:tc>
        <w:tc>
          <w:tcPr>
            <w:tcW w:w="810" w:type="dxa"/>
            <w:tcBorders>
              <w:top w:val="single" w:sz="2" w:space="0" w:color="808080"/>
              <w:left w:val="single" w:sz="2" w:space="0" w:color="808080"/>
              <w:bottom w:val="single" w:sz="6" w:space="0" w:color="808080"/>
            </w:tcBorders>
            <w:shd w:val="clear" w:color="auto" w:fill="auto"/>
            <w:tcMar>
              <w:left w:w="24" w:type="dxa"/>
            </w:tcMar>
            <w:vAlign w:val="center"/>
          </w:tcPr>
          <w:p w14:paraId="1836CF06"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60.0</w:t>
            </w:r>
          </w:p>
        </w:tc>
        <w:tc>
          <w:tcPr>
            <w:tcW w:w="900" w:type="dxa"/>
            <w:tcBorders>
              <w:top w:val="single" w:sz="2" w:space="0" w:color="808080"/>
              <w:left w:val="single" w:sz="2" w:space="0" w:color="808080"/>
              <w:bottom w:val="single" w:sz="6" w:space="0" w:color="808080"/>
            </w:tcBorders>
            <w:shd w:val="clear" w:color="auto" w:fill="auto"/>
            <w:tcMar>
              <w:left w:w="24" w:type="dxa"/>
            </w:tcMar>
            <w:vAlign w:val="center"/>
          </w:tcPr>
          <w:p w14:paraId="09B0CA43"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48.39%</w:t>
            </w:r>
          </w:p>
        </w:tc>
        <w:tc>
          <w:tcPr>
            <w:tcW w:w="720" w:type="dxa"/>
            <w:tcBorders>
              <w:top w:val="single" w:sz="2" w:space="0" w:color="808080"/>
              <w:left w:val="single" w:sz="2" w:space="0" w:color="808080"/>
              <w:bottom w:val="single" w:sz="6" w:space="0" w:color="808080"/>
            </w:tcBorders>
            <w:shd w:val="clear" w:color="auto" w:fill="auto"/>
            <w:tcMar>
              <w:left w:w="24" w:type="dxa"/>
            </w:tcMar>
            <w:vAlign w:val="center"/>
          </w:tcPr>
          <w:p w14:paraId="5E4C1ED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5759.2</w:t>
            </w:r>
          </w:p>
        </w:tc>
        <w:tc>
          <w:tcPr>
            <w:tcW w:w="884" w:type="dxa"/>
            <w:tcBorders>
              <w:top w:val="single" w:sz="2" w:space="0" w:color="808080"/>
              <w:left w:val="single" w:sz="2" w:space="0" w:color="808080"/>
              <w:bottom w:val="single" w:sz="6" w:space="0" w:color="808080"/>
              <w:right w:val="single" w:sz="2" w:space="0" w:color="808080"/>
            </w:tcBorders>
            <w:shd w:val="clear" w:color="auto" w:fill="auto"/>
            <w:tcMar>
              <w:left w:w="24" w:type="dxa"/>
            </w:tcMar>
            <w:vAlign w:val="center"/>
          </w:tcPr>
          <w:p w14:paraId="2948084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37.46%</w:t>
            </w:r>
          </w:p>
        </w:tc>
      </w:tr>
    </w:tbl>
    <w:p w14:paraId="00E8100D" w14:textId="77777777" w:rsidR="0052616E" w:rsidRPr="00342DC6" w:rsidRDefault="0052616E" w:rsidP="0052616E">
      <w:pPr>
        <w:rPr>
          <w:rFonts w:asciiTheme="minorHAnsi" w:hAnsiTheme="minorHAnsi" w:cstheme="minorHAnsi"/>
          <w:b/>
          <w:bCs/>
          <w:i/>
          <w:iCs/>
          <w:sz w:val="22"/>
          <w:szCs w:val="22"/>
        </w:rPr>
      </w:pPr>
    </w:p>
    <w:p w14:paraId="6E5D6EBD" w14:textId="77777777" w:rsidR="0052616E" w:rsidRDefault="0052616E" w:rsidP="0052616E">
      <w:pPr>
        <w:spacing w:line="276" w:lineRule="auto"/>
        <w:rPr>
          <w:rFonts w:asciiTheme="minorHAnsi" w:hAnsiTheme="minorHAnsi" w:cstheme="minorHAnsi"/>
          <w:b/>
          <w:bCs/>
          <w:i/>
          <w:iCs/>
          <w:sz w:val="22"/>
          <w:szCs w:val="22"/>
        </w:rPr>
      </w:pPr>
    </w:p>
    <w:p w14:paraId="61BC6F87" w14:textId="1F111B9F" w:rsidR="0052616E" w:rsidRPr="00342DC6" w:rsidRDefault="0052616E" w:rsidP="0052616E">
      <w:pPr>
        <w:spacing w:line="276" w:lineRule="auto"/>
        <w:rPr>
          <w:rFonts w:asciiTheme="minorHAnsi" w:hAnsiTheme="minorHAnsi" w:cstheme="minorHAnsi"/>
          <w:sz w:val="22"/>
          <w:szCs w:val="22"/>
        </w:rPr>
      </w:pPr>
      <w:r w:rsidRPr="00342DC6">
        <w:rPr>
          <w:rFonts w:asciiTheme="minorHAnsi" w:hAnsiTheme="minorHAnsi" w:cstheme="minorHAnsi"/>
          <w:b/>
          <w:bCs/>
          <w:i/>
          <w:iCs/>
          <w:sz w:val="22"/>
          <w:szCs w:val="22"/>
        </w:rPr>
        <w:t xml:space="preserve">Supplementary Table </w:t>
      </w:r>
      <w:r>
        <w:rPr>
          <w:rFonts w:asciiTheme="minorHAnsi" w:hAnsiTheme="minorHAnsi" w:cstheme="minorHAnsi"/>
          <w:b/>
          <w:bCs/>
          <w:i/>
          <w:iCs/>
          <w:sz w:val="22"/>
          <w:szCs w:val="22"/>
        </w:rPr>
        <w:t>S7</w:t>
      </w:r>
      <w:r w:rsidRPr="00342DC6">
        <w:rPr>
          <w:rFonts w:asciiTheme="minorHAnsi" w:hAnsiTheme="minorHAnsi" w:cstheme="minorHAnsi"/>
          <w:b/>
          <w:bCs/>
          <w:i/>
          <w:iCs/>
          <w:sz w:val="22"/>
          <w:szCs w:val="22"/>
        </w:rPr>
        <w:t xml:space="preserve">: </w:t>
      </w:r>
      <w:r w:rsidRPr="00342DC6">
        <w:rPr>
          <w:rFonts w:asciiTheme="minorHAnsi" w:hAnsiTheme="minorHAnsi" w:cstheme="minorHAnsi"/>
          <w:sz w:val="22"/>
          <w:szCs w:val="22"/>
        </w:rPr>
        <w:t>HOMER known motif enrichment results of all DEG between aSAT and gSAT after training.</w:t>
      </w:r>
    </w:p>
    <w:tbl>
      <w:tblPr>
        <w:tblW w:w="9975" w:type="dxa"/>
        <w:tblInd w:w="-2" w:type="dxa"/>
        <w:tblBorders>
          <w:top w:val="single" w:sz="6" w:space="0" w:color="808080"/>
          <w:left w:val="single" w:sz="2" w:space="0" w:color="808080"/>
          <w:bottom w:val="single" w:sz="2" w:space="0" w:color="808080"/>
          <w:insideH w:val="single" w:sz="2" w:space="0" w:color="808080"/>
        </w:tblBorders>
        <w:tblCellMar>
          <w:top w:w="28" w:type="dxa"/>
          <w:left w:w="24" w:type="dxa"/>
          <w:bottom w:w="28" w:type="dxa"/>
          <w:right w:w="28" w:type="dxa"/>
        </w:tblCellMar>
        <w:tblLook w:val="0000" w:firstRow="0" w:lastRow="0" w:firstColumn="0" w:lastColumn="0" w:noHBand="0" w:noVBand="0"/>
      </w:tblPr>
      <w:tblGrid>
        <w:gridCol w:w="3988"/>
        <w:gridCol w:w="1331"/>
        <w:gridCol w:w="528"/>
        <w:gridCol w:w="774"/>
        <w:gridCol w:w="727"/>
        <w:gridCol w:w="1095"/>
        <w:gridCol w:w="730"/>
        <w:gridCol w:w="802"/>
      </w:tblGrid>
      <w:tr w:rsidR="0052616E" w:rsidRPr="00342DC6" w14:paraId="2FCCDFC6" w14:textId="77777777" w:rsidTr="00C36E44">
        <w:tc>
          <w:tcPr>
            <w:tcW w:w="3986" w:type="dxa"/>
            <w:tcBorders>
              <w:top w:val="single" w:sz="6" w:space="0" w:color="808080"/>
              <w:left w:val="single" w:sz="2" w:space="0" w:color="808080"/>
              <w:bottom w:val="single" w:sz="2" w:space="0" w:color="808080"/>
            </w:tcBorders>
            <w:shd w:val="clear" w:color="auto" w:fill="auto"/>
            <w:tcMar>
              <w:left w:w="24" w:type="dxa"/>
            </w:tcMar>
            <w:vAlign w:val="center"/>
          </w:tcPr>
          <w:p w14:paraId="150F7FB7"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Motif</w:t>
            </w:r>
          </w:p>
        </w:tc>
        <w:tc>
          <w:tcPr>
            <w:tcW w:w="1331" w:type="dxa"/>
            <w:tcBorders>
              <w:top w:val="single" w:sz="6" w:space="0" w:color="808080"/>
              <w:left w:val="single" w:sz="2" w:space="0" w:color="808080"/>
              <w:bottom w:val="single" w:sz="2" w:space="0" w:color="808080"/>
            </w:tcBorders>
            <w:shd w:val="clear" w:color="auto" w:fill="auto"/>
            <w:tcMar>
              <w:left w:w="24" w:type="dxa"/>
            </w:tcMar>
            <w:vAlign w:val="center"/>
          </w:tcPr>
          <w:p w14:paraId="0EA33D1D"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Name</w:t>
            </w:r>
          </w:p>
        </w:tc>
        <w:tc>
          <w:tcPr>
            <w:tcW w:w="528" w:type="dxa"/>
            <w:tcBorders>
              <w:top w:val="single" w:sz="6" w:space="0" w:color="808080"/>
              <w:left w:val="single" w:sz="2" w:space="0" w:color="808080"/>
              <w:bottom w:val="single" w:sz="2" w:space="0" w:color="808080"/>
            </w:tcBorders>
            <w:shd w:val="clear" w:color="auto" w:fill="auto"/>
            <w:tcMar>
              <w:left w:w="24" w:type="dxa"/>
            </w:tcMar>
            <w:vAlign w:val="center"/>
          </w:tcPr>
          <w:p w14:paraId="276C4CC4"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P-val</w:t>
            </w:r>
          </w:p>
        </w:tc>
        <w:tc>
          <w:tcPr>
            <w:tcW w:w="774" w:type="dxa"/>
            <w:tcBorders>
              <w:top w:val="single" w:sz="6" w:space="0" w:color="808080"/>
              <w:left w:val="single" w:sz="2" w:space="0" w:color="808080"/>
              <w:bottom w:val="single" w:sz="2" w:space="0" w:color="808080"/>
            </w:tcBorders>
            <w:shd w:val="clear" w:color="auto" w:fill="auto"/>
            <w:tcMar>
              <w:left w:w="24" w:type="dxa"/>
            </w:tcMar>
            <w:vAlign w:val="center"/>
          </w:tcPr>
          <w:p w14:paraId="00C9BCC5"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q-val</w:t>
            </w:r>
          </w:p>
        </w:tc>
        <w:tc>
          <w:tcPr>
            <w:tcW w:w="727" w:type="dxa"/>
            <w:tcBorders>
              <w:top w:val="single" w:sz="6" w:space="0" w:color="808080"/>
              <w:left w:val="single" w:sz="2" w:space="0" w:color="808080"/>
              <w:bottom w:val="single" w:sz="2" w:space="0" w:color="808080"/>
            </w:tcBorders>
            <w:shd w:val="clear" w:color="auto" w:fill="auto"/>
            <w:tcMar>
              <w:left w:w="24" w:type="dxa"/>
            </w:tcMar>
            <w:vAlign w:val="center"/>
          </w:tcPr>
          <w:p w14:paraId="565B8292"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Target Seq</w:t>
            </w:r>
          </w:p>
        </w:tc>
        <w:tc>
          <w:tcPr>
            <w:tcW w:w="1095" w:type="dxa"/>
            <w:tcBorders>
              <w:top w:val="single" w:sz="6" w:space="0" w:color="808080"/>
              <w:left w:val="single" w:sz="2" w:space="0" w:color="808080"/>
              <w:bottom w:val="single" w:sz="2" w:space="0" w:color="808080"/>
            </w:tcBorders>
            <w:shd w:val="clear" w:color="auto" w:fill="auto"/>
            <w:tcMar>
              <w:left w:w="24" w:type="dxa"/>
            </w:tcMar>
            <w:vAlign w:val="center"/>
          </w:tcPr>
          <w:p w14:paraId="0FACECF1"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Targets Seq</w:t>
            </w:r>
          </w:p>
        </w:tc>
        <w:tc>
          <w:tcPr>
            <w:tcW w:w="730" w:type="dxa"/>
            <w:tcBorders>
              <w:top w:val="single" w:sz="6" w:space="0" w:color="808080"/>
              <w:left w:val="single" w:sz="2" w:space="0" w:color="808080"/>
              <w:bottom w:val="single" w:sz="2" w:space="0" w:color="808080"/>
            </w:tcBorders>
            <w:shd w:val="clear" w:color="auto" w:fill="auto"/>
            <w:tcMar>
              <w:left w:w="24" w:type="dxa"/>
            </w:tcMar>
            <w:vAlign w:val="center"/>
          </w:tcPr>
          <w:p w14:paraId="780A8694"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Bkg Seq</w:t>
            </w:r>
          </w:p>
        </w:tc>
        <w:tc>
          <w:tcPr>
            <w:tcW w:w="802" w:type="dxa"/>
            <w:tcBorders>
              <w:top w:val="single" w:sz="6" w:space="0" w:color="808080"/>
              <w:left w:val="single" w:sz="2" w:space="0" w:color="808080"/>
              <w:bottom w:val="single" w:sz="2" w:space="0" w:color="808080"/>
              <w:right w:val="single" w:sz="2" w:space="0" w:color="808080"/>
            </w:tcBorders>
            <w:shd w:val="clear" w:color="auto" w:fill="auto"/>
            <w:tcMar>
              <w:left w:w="24" w:type="dxa"/>
            </w:tcMar>
            <w:vAlign w:val="center"/>
          </w:tcPr>
          <w:p w14:paraId="46D9E256"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Bkg Seq</w:t>
            </w:r>
          </w:p>
        </w:tc>
      </w:tr>
      <w:tr w:rsidR="0052616E" w:rsidRPr="00342DC6" w14:paraId="25B0197C" w14:textId="77777777" w:rsidTr="00C36E44">
        <w:tc>
          <w:tcPr>
            <w:tcW w:w="3986" w:type="dxa"/>
            <w:tcBorders>
              <w:top w:val="single" w:sz="2" w:space="0" w:color="808080"/>
              <w:left w:val="single" w:sz="2" w:space="0" w:color="808080"/>
              <w:bottom w:val="single" w:sz="6" w:space="0" w:color="808080"/>
            </w:tcBorders>
            <w:shd w:val="clear" w:color="auto" w:fill="auto"/>
            <w:tcMar>
              <w:left w:w="24" w:type="dxa"/>
            </w:tcMar>
            <w:vAlign w:val="center"/>
          </w:tcPr>
          <w:p w14:paraId="61B1834C"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67456" behindDoc="0" locked="0" layoutInCell="1" allowOverlap="1" wp14:anchorId="30778938" wp14:editId="74D7E37C">
                  <wp:simplePos x="0" y="0"/>
                  <wp:positionH relativeFrom="column">
                    <wp:align>center</wp:align>
                  </wp:positionH>
                  <wp:positionV relativeFrom="paragraph">
                    <wp:posOffset>635</wp:posOffset>
                  </wp:positionV>
                  <wp:extent cx="2428875" cy="476250"/>
                  <wp:effectExtent l="0" t="0" r="0" b="0"/>
                  <wp:wrapSquare wrapText="largest"/>
                  <wp:docPr id="30" name="Image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9"/>
                          <pic:cNvPicPr>
                            <a:picLocks noChangeAspect="1" noChangeArrowheads="1"/>
                          </pic:cNvPicPr>
                        </pic:nvPicPr>
                        <pic:blipFill>
                          <a:blip r:embed="rId12"/>
                          <a:stretch>
                            <a:fillRect/>
                          </a:stretch>
                        </pic:blipFill>
                        <pic:spPr bwMode="auto">
                          <a:xfrm>
                            <a:off x="0" y="0"/>
                            <a:ext cx="2428875" cy="476250"/>
                          </a:xfrm>
                          <a:prstGeom prst="rect">
                            <a:avLst/>
                          </a:prstGeom>
                        </pic:spPr>
                      </pic:pic>
                    </a:graphicData>
                  </a:graphic>
                </wp:anchor>
              </w:drawing>
            </w:r>
          </w:p>
        </w:tc>
        <w:tc>
          <w:tcPr>
            <w:tcW w:w="1331" w:type="dxa"/>
            <w:tcBorders>
              <w:top w:val="single" w:sz="2" w:space="0" w:color="808080"/>
              <w:left w:val="single" w:sz="2" w:space="0" w:color="808080"/>
              <w:bottom w:val="single" w:sz="6" w:space="0" w:color="808080"/>
            </w:tcBorders>
            <w:shd w:val="clear" w:color="auto" w:fill="auto"/>
            <w:tcMar>
              <w:left w:w="24" w:type="dxa"/>
            </w:tcMar>
            <w:vAlign w:val="center"/>
          </w:tcPr>
          <w:p w14:paraId="7206E8A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STAT6</w:t>
            </w:r>
            <w:r w:rsidRPr="00342DC6">
              <w:rPr>
                <w:rFonts w:asciiTheme="minorHAnsi" w:hAnsiTheme="minorHAnsi" w:cstheme="minorHAnsi"/>
                <w:sz w:val="22"/>
                <w:szCs w:val="22"/>
              </w:rPr>
              <w:t>(Stat)</w:t>
            </w:r>
          </w:p>
        </w:tc>
        <w:tc>
          <w:tcPr>
            <w:tcW w:w="528" w:type="dxa"/>
            <w:tcBorders>
              <w:top w:val="single" w:sz="2" w:space="0" w:color="808080"/>
              <w:left w:val="single" w:sz="2" w:space="0" w:color="808080"/>
              <w:bottom w:val="single" w:sz="6" w:space="0" w:color="808080"/>
            </w:tcBorders>
            <w:shd w:val="clear" w:color="auto" w:fill="auto"/>
            <w:tcMar>
              <w:left w:w="24" w:type="dxa"/>
            </w:tcMar>
            <w:vAlign w:val="center"/>
          </w:tcPr>
          <w:p w14:paraId="0E192E89"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1e-2</w:t>
            </w:r>
          </w:p>
        </w:tc>
        <w:tc>
          <w:tcPr>
            <w:tcW w:w="774" w:type="dxa"/>
            <w:tcBorders>
              <w:top w:val="single" w:sz="2" w:space="0" w:color="808080"/>
              <w:left w:val="single" w:sz="2" w:space="0" w:color="808080"/>
              <w:bottom w:val="single" w:sz="6" w:space="0" w:color="808080"/>
            </w:tcBorders>
            <w:shd w:val="clear" w:color="auto" w:fill="auto"/>
            <w:tcMar>
              <w:left w:w="24" w:type="dxa"/>
            </w:tcMar>
            <w:vAlign w:val="center"/>
          </w:tcPr>
          <w:p w14:paraId="771AF0A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1.0000</w:t>
            </w:r>
          </w:p>
        </w:tc>
        <w:tc>
          <w:tcPr>
            <w:tcW w:w="727" w:type="dxa"/>
            <w:tcBorders>
              <w:top w:val="single" w:sz="2" w:space="0" w:color="808080"/>
              <w:left w:val="single" w:sz="2" w:space="0" w:color="808080"/>
              <w:bottom w:val="single" w:sz="6" w:space="0" w:color="808080"/>
            </w:tcBorders>
            <w:shd w:val="clear" w:color="auto" w:fill="auto"/>
            <w:tcMar>
              <w:left w:w="24" w:type="dxa"/>
            </w:tcMar>
            <w:vAlign w:val="center"/>
          </w:tcPr>
          <w:p w14:paraId="5F8ED09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25.0</w:t>
            </w:r>
          </w:p>
        </w:tc>
        <w:tc>
          <w:tcPr>
            <w:tcW w:w="1095" w:type="dxa"/>
            <w:tcBorders>
              <w:top w:val="single" w:sz="2" w:space="0" w:color="808080"/>
              <w:left w:val="single" w:sz="2" w:space="0" w:color="808080"/>
              <w:bottom w:val="single" w:sz="6" w:space="0" w:color="808080"/>
            </w:tcBorders>
            <w:shd w:val="clear" w:color="auto" w:fill="auto"/>
            <w:tcMar>
              <w:left w:w="24" w:type="dxa"/>
            </w:tcMar>
            <w:vAlign w:val="center"/>
          </w:tcPr>
          <w:p w14:paraId="04E52B5E"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10.25.88%</w:t>
            </w:r>
          </w:p>
        </w:tc>
        <w:tc>
          <w:tcPr>
            <w:tcW w:w="730" w:type="dxa"/>
            <w:tcBorders>
              <w:top w:val="single" w:sz="2" w:space="0" w:color="808080"/>
              <w:left w:val="single" w:sz="2" w:space="0" w:color="808080"/>
              <w:bottom w:val="single" w:sz="6" w:space="0" w:color="808080"/>
            </w:tcBorders>
            <w:shd w:val="clear" w:color="auto" w:fill="auto"/>
            <w:tcMar>
              <w:left w:w="24" w:type="dxa"/>
            </w:tcMar>
            <w:vAlign w:val="center"/>
          </w:tcPr>
          <w:p w14:paraId="66BD67F3"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871.4</w:t>
            </w:r>
          </w:p>
        </w:tc>
        <w:tc>
          <w:tcPr>
            <w:tcW w:w="802" w:type="dxa"/>
            <w:tcBorders>
              <w:top w:val="single" w:sz="2" w:space="0" w:color="808080"/>
              <w:left w:val="single" w:sz="2" w:space="0" w:color="808080"/>
              <w:bottom w:val="single" w:sz="6" w:space="0" w:color="808080"/>
              <w:right w:val="single" w:sz="2" w:space="0" w:color="808080"/>
            </w:tcBorders>
            <w:shd w:val="clear" w:color="auto" w:fill="auto"/>
            <w:tcMar>
              <w:left w:w="24" w:type="dxa"/>
            </w:tcMar>
            <w:vAlign w:val="center"/>
          </w:tcPr>
          <w:p w14:paraId="0B49B4F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5.64%</w:t>
            </w:r>
          </w:p>
        </w:tc>
      </w:tr>
    </w:tbl>
    <w:p w14:paraId="6FCE74E6" w14:textId="77777777" w:rsidR="0052616E" w:rsidRPr="00342DC6" w:rsidRDefault="0052616E" w:rsidP="0052616E">
      <w:pPr>
        <w:rPr>
          <w:rFonts w:asciiTheme="minorHAnsi" w:hAnsiTheme="minorHAnsi" w:cstheme="minorHAnsi"/>
          <w:sz w:val="22"/>
          <w:szCs w:val="22"/>
        </w:rPr>
      </w:pPr>
    </w:p>
    <w:p w14:paraId="5E678700" w14:textId="77777777" w:rsidR="0052616E" w:rsidRPr="00342DC6" w:rsidRDefault="0052616E" w:rsidP="0052616E">
      <w:pPr>
        <w:spacing w:line="360" w:lineRule="auto"/>
        <w:rPr>
          <w:rFonts w:asciiTheme="minorHAnsi" w:hAnsiTheme="minorHAnsi" w:cstheme="minorHAnsi"/>
          <w:b/>
          <w:bCs/>
          <w:i/>
          <w:iCs/>
          <w:sz w:val="22"/>
          <w:szCs w:val="22"/>
        </w:rPr>
      </w:pPr>
    </w:p>
    <w:p w14:paraId="44B2F71F" w14:textId="3984E615" w:rsidR="0052616E" w:rsidRPr="00342DC6" w:rsidRDefault="0052616E" w:rsidP="0052616E">
      <w:pPr>
        <w:spacing w:line="360" w:lineRule="auto"/>
        <w:rPr>
          <w:rFonts w:asciiTheme="minorHAnsi" w:hAnsiTheme="minorHAnsi" w:cstheme="minorHAnsi"/>
          <w:sz w:val="22"/>
          <w:szCs w:val="22"/>
        </w:rPr>
      </w:pPr>
      <w:r w:rsidRPr="00342DC6">
        <w:rPr>
          <w:rFonts w:asciiTheme="minorHAnsi" w:hAnsiTheme="minorHAnsi" w:cstheme="minorHAnsi"/>
          <w:b/>
          <w:bCs/>
          <w:i/>
          <w:iCs/>
          <w:sz w:val="22"/>
          <w:szCs w:val="22"/>
        </w:rPr>
        <w:t xml:space="preserve">Supplementary Table </w:t>
      </w:r>
      <w:r>
        <w:rPr>
          <w:rFonts w:asciiTheme="minorHAnsi" w:hAnsiTheme="minorHAnsi" w:cstheme="minorHAnsi"/>
          <w:b/>
          <w:bCs/>
          <w:i/>
          <w:iCs/>
          <w:sz w:val="22"/>
          <w:szCs w:val="22"/>
        </w:rPr>
        <w:t>S8</w:t>
      </w:r>
      <w:r w:rsidRPr="00342DC6">
        <w:rPr>
          <w:rFonts w:asciiTheme="minorHAnsi" w:hAnsiTheme="minorHAnsi" w:cstheme="minorHAnsi"/>
          <w:b/>
          <w:bCs/>
          <w:i/>
          <w:iCs/>
          <w:sz w:val="22"/>
          <w:szCs w:val="22"/>
        </w:rPr>
        <w:t xml:space="preserve">: </w:t>
      </w:r>
      <w:r w:rsidRPr="00342DC6">
        <w:rPr>
          <w:rFonts w:asciiTheme="minorHAnsi" w:hAnsiTheme="minorHAnsi" w:cstheme="minorHAnsi"/>
          <w:sz w:val="22"/>
          <w:szCs w:val="22"/>
        </w:rPr>
        <w:t xml:space="preserve">HOMER </w:t>
      </w:r>
      <w:r w:rsidRPr="00342DC6">
        <w:rPr>
          <w:rFonts w:asciiTheme="minorHAnsi" w:hAnsiTheme="minorHAnsi" w:cstheme="minorHAnsi"/>
          <w:i/>
          <w:iCs/>
          <w:sz w:val="22"/>
          <w:szCs w:val="22"/>
        </w:rPr>
        <w:t>de novo</w:t>
      </w:r>
      <w:r w:rsidRPr="00342DC6">
        <w:rPr>
          <w:rFonts w:asciiTheme="minorHAnsi" w:hAnsiTheme="minorHAnsi" w:cstheme="minorHAnsi"/>
          <w:sz w:val="22"/>
          <w:szCs w:val="22"/>
        </w:rPr>
        <w:t xml:space="preserve"> motif enrichment results of genes with lower expression in aSAT vs. gSAT after training.</w:t>
      </w:r>
    </w:p>
    <w:tbl>
      <w:tblPr>
        <w:tblW w:w="9975" w:type="dxa"/>
        <w:tblInd w:w="-2" w:type="dxa"/>
        <w:tblBorders>
          <w:top w:val="single" w:sz="6" w:space="0" w:color="808080"/>
          <w:left w:val="single" w:sz="2" w:space="0" w:color="808080"/>
          <w:bottom w:val="single" w:sz="2" w:space="0" w:color="808080"/>
          <w:insideH w:val="single" w:sz="2" w:space="0" w:color="808080"/>
        </w:tblBorders>
        <w:tblCellMar>
          <w:top w:w="28" w:type="dxa"/>
          <w:left w:w="24" w:type="dxa"/>
          <w:bottom w:w="28" w:type="dxa"/>
          <w:right w:w="28" w:type="dxa"/>
        </w:tblCellMar>
        <w:tblLook w:val="0000" w:firstRow="0" w:lastRow="0" w:firstColumn="0" w:lastColumn="0" w:noHBand="0" w:noVBand="0"/>
      </w:tblPr>
      <w:tblGrid>
        <w:gridCol w:w="4681"/>
        <w:gridCol w:w="629"/>
        <w:gridCol w:w="901"/>
        <w:gridCol w:w="810"/>
        <w:gridCol w:w="1799"/>
        <w:gridCol w:w="1155"/>
      </w:tblGrid>
      <w:tr w:rsidR="0052616E" w:rsidRPr="00342DC6" w14:paraId="16AC1D5C" w14:textId="77777777" w:rsidTr="00C36E44">
        <w:tc>
          <w:tcPr>
            <w:tcW w:w="4680" w:type="dxa"/>
            <w:tcBorders>
              <w:top w:val="single" w:sz="6" w:space="0" w:color="808080"/>
              <w:left w:val="single" w:sz="2" w:space="0" w:color="808080"/>
              <w:bottom w:val="single" w:sz="2" w:space="0" w:color="808080"/>
            </w:tcBorders>
            <w:shd w:val="clear" w:color="auto" w:fill="auto"/>
            <w:tcMar>
              <w:left w:w="24" w:type="dxa"/>
            </w:tcMar>
            <w:vAlign w:val="center"/>
          </w:tcPr>
          <w:p w14:paraId="20BF3E39"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Motif</w:t>
            </w:r>
          </w:p>
        </w:tc>
        <w:tc>
          <w:tcPr>
            <w:tcW w:w="629" w:type="dxa"/>
            <w:tcBorders>
              <w:top w:val="single" w:sz="6" w:space="0" w:color="808080"/>
              <w:left w:val="single" w:sz="2" w:space="0" w:color="808080"/>
              <w:bottom w:val="single" w:sz="2" w:space="0" w:color="808080"/>
            </w:tcBorders>
            <w:shd w:val="clear" w:color="auto" w:fill="auto"/>
            <w:tcMar>
              <w:left w:w="24" w:type="dxa"/>
            </w:tcMar>
            <w:vAlign w:val="center"/>
          </w:tcPr>
          <w:p w14:paraId="63C2E201"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P-val</w:t>
            </w:r>
          </w:p>
        </w:tc>
        <w:tc>
          <w:tcPr>
            <w:tcW w:w="901" w:type="dxa"/>
            <w:tcBorders>
              <w:top w:val="single" w:sz="6" w:space="0" w:color="808080"/>
              <w:left w:val="single" w:sz="2" w:space="0" w:color="808080"/>
              <w:bottom w:val="single" w:sz="2" w:space="0" w:color="808080"/>
            </w:tcBorders>
            <w:shd w:val="clear" w:color="auto" w:fill="auto"/>
            <w:tcMar>
              <w:left w:w="24" w:type="dxa"/>
            </w:tcMar>
            <w:vAlign w:val="center"/>
          </w:tcPr>
          <w:p w14:paraId="46651D46"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Targets</w:t>
            </w:r>
          </w:p>
        </w:tc>
        <w:tc>
          <w:tcPr>
            <w:tcW w:w="810" w:type="dxa"/>
            <w:tcBorders>
              <w:top w:val="single" w:sz="6" w:space="0" w:color="808080"/>
              <w:left w:val="single" w:sz="2" w:space="0" w:color="808080"/>
              <w:bottom w:val="single" w:sz="2" w:space="0" w:color="808080"/>
            </w:tcBorders>
            <w:shd w:val="clear" w:color="auto" w:fill="auto"/>
            <w:tcMar>
              <w:left w:w="24" w:type="dxa"/>
            </w:tcMar>
            <w:vAlign w:val="center"/>
          </w:tcPr>
          <w:p w14:paraId="3020E943"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Bkg</w:t>
            </w:r>
          </w:p>
        </w:tc>
        <w:tc>
          <w:tcPr>
            <w:tcW w:w="1799" w:type="dxa"/>
            <w:tcBorders>
              <w:top w:val="single" w:sz="6" w:space="0" w:color="808080"/>
              <w:left w:val="single" w:sz="2" w:space="0" w:color="808080"/>
              <w:bottom w:val="single" w:sz="2" w:space="0" w:color="808080"/>
            </w:tcBorders>
            <w:shd w:val="clear" w:color="auto" w:fill="auto"/>
            <w:tcMar>
              <w:left w:w="24" w:type="dxa"/>
            </w:tcMar>
            <w:vAlign w:val="center"/>
          </w:tcPr>
          <w:p w14:paraId="79A17937"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STD(Bg STD)</w:t>
            </w:r>
          </w:p>
        </w:tc>
        <w:tc>
          <w:tcPr>
            <w:tcW w:w="1155" w:type="dxa"/>
            <w:tcBorders>
              <w:top w:val="single" w:sz="6" w:space="0" w:color="808080"/>
              <w:left w:val="single" w:sz="2" w:space="0" w:color="808080"/>
              <w:bottom w:val="single" w:sz="2" w:space="0" w:color="808080"/>
              <w:right w:val="single" w:sz="2" w:space="0" w:color="808080"/>
            </w:tcBorders>
            <w:shd w:val="clear" w:color="auto" w:fill="auto"/>
            <w:tcMar>
              <w:left w:w="24" w:type="dxa"/>
            </w:tcMar>
            <w:vAlign w:val="center"/>
          </w:tcPr>
          <w:p w14:paraId="42B436EE"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Best Match</w:t>
            </w:r>
          </w:p>
        </w:tc>
      </w:tr>
      <w:tr w:rsidR="0052616E" w:rsidRPr="00342DC6" w14:paraId="761A2BDF" w14:textId="77777777" w:rsidTr="00C36E44">
        <w:tc>
          <w:tcPr>
            <w:tcW w:w="4680" w:type="dxa"/>
            <w:tcBorders>
              <w:top w:val="single" w:sz="2" w:space="0" w:color="808080"/>
              <w:left w:val="single" w:sz="2" w:space="0" w:color="808080"/>
              <w:bottom w:val="single" w:sz="2" w:space="0" w:color="808080"/>
            </w:tcBorders>
            <w:shd w:val="clear" w:color="auto" w:fill="auto"/>
            <w:tcMar>
              <w:left w:w="24" w:type="dxa"/>
            </w:tcMar>
            <w:vAlign w:val="center"/>
          </w:tcPr>
          <w:p w14:paraId="63EEFE2E"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68480" behindDoc="0" locked="0" layoutInCell="1" allowOverlap="1" wp14:anchorId="193F0A74" wp14:editId="2280C81A">
                  <wp:simplePos x="0" y="0"/>
                  <wp:positionH relativeFrom="column">
                    <wp:align>center</wp:align>
                  </wp:positionH>
                  <wp:positionV relativeFrom="paragraph">
                    <wp:posOffset>635</wp:posOffset>
                  </wp:positionV>
                  <wp:extent cx="2914650" cy="485775"/>
                  <wp:effectExtent l="0" t="0" r="0" b="0"/>
                  <wp:wrapSquare wrapText="largest"/>
                  <wp:docPr id="7" name="Image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2"/>
                          <pic:cNvPicPr>
                            <a:picLocks noChangeAspect="1" noChangeArrowheads="1"/>
                          </pic:cNvPicPr>
                        </pic:nvPicPr>
                        <pic:blipFill>
                          <a:blip r:embed="rId13"/>
                          <a:stretch>
                            <a:fillRect/>
                          </a:stretch>
                        </pic:blipFill>
                        <pic:spPr bwMode="auto">
                          <a:xfrm>
                            <a:off x="0" y="0"/>
                            <a:ext cx="2914650" cy="485775"/>
                          </a:xfrm>
                          <a:prstGeom prst="rect">
                            <a:avLst/>
                          </a:prstGeom>
                        </pic:spPr>
                      </pic:pic>
                    </a:graphicData>
                  </a:graphic>
                </wp:anchor>
              </w:drawing>
            </w:r>
          </w:p>
        </w:tc>
        <w:tc>
          <w:tcPr>
            <w:tcW w:w="629" w:type="dxa"/>
            <w:tcBorders>
              <w:top w:val="single" w:sz="2" w:space="0" w:color="808080"/>
              <w:left w:val="single" w:sz="2" w:space="0" w:color="808080"/>
              <w:bottom w:val="single" w:sz="2" w:space="0" w:color="808080"/>
            </w:tcBorders>
            <w:shd w:val="clear" w:color="auto" w:fill="auto"/>
            <w:tcMar>
              <w:left w:w="24" w:type="dxa"/>
            </w:tcMar>
            <w:vAlign w:val="center"/>
          </w:tcPr>
          <w:p w14:paraId="629A078C"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1e-12</w:t>
            </w:r>
          </w:p>
        </w:tc>
        <w:tc>
          <w:tcPr>
            <w:tcW w:w="901" w:type="dxa"/>
            <w:tcBorders>
              <w:top w:val="single" w:sz="2" w:space="0" w:color="808080"/>
              <w:left w:val="single" w:sz="2" w:space="0" w:color="808080"/>
              <w:bottom w:val="single" w:sz="2" w:space="0" w:color="808080"/>
            </w:tcBorders>
            <w:shd w:val="clear" w:color="auto" w:fill="auto"/>
            <w:tcMar>
              <w:left w:w="24" w:type="dxa"/>
            </w:tcMar>
            <w:vAlign w:val="center"/>
          </w:tcPr>
          <w:p w14:paraId="4A2061B9"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6.67%</w:t>
            </w:r>
          </w:p>
        </w:tc>
        <w:tc>
          <w:tcPr>
            <w:tcW w:w="810" w:type="dxa"/>
            <w:tcBorders>
              <w:top w:val="single" w:sz="2" w:space="0" w:color="808080"/>
              <w:left w:val="single" w:sz="2" w:space="0" w:color="808080"/>
              <w:bottom w:val="single" w:sz="2" w:space="0" w:color="808080"/>
            </w:tcBorders>
            <w:shd w:val="clear" w:color="auto" w:fill="auto"/>
            <w:tcMar>
              <w:left w:w="24" w:type="dxa"/>
            </w:tcMar>
            <w:vAlign w:val="center"/>
          </w:tcPr>
          <w:p w14:paraId="5751C43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0.06%</w:t>
            </w:r>
          </w:p>
        </w:tc>
        <w:tc>
          <w:tcPr>
            <w:tcW w:w="1799" w:type="dxa"/>
            <w:tcBorders>
              <w:top w:val="single" w:sz="2" w:space="0" w:color="808080"/>
              <w:left w:val="single" w:sz="2" w:space="0" w:color="808080"/>
              <w:bottom w:val="single" w:sz="2" w:space="0" w:color="808080"/>
            </w:tcBorders>
            <w:shd w:val="clear" w:color="auto" w:fill="auto"/>
            <w:tcMar>
              <w:left w:w="24" w:type="dxa"/>
            </w:tcMar>
            <w:vAlign w:val="center"/>
          </w:tcPr>
          <w:p w14:paraId="76E10276"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88.1bp (101.6bp)</w:t>
            </w:r>
          </w:p>
        </w:tc>
        <w:tc>
          <w:tcPr>
            <w:tcW w:w="1155"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31286792"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undefined</w:t>
            </w:r>
          </w:p>
        </w:tc>
      </w:tr>
      <w:tr w:rsidR="0052616E" w:rsidRPr="00342DC6" w14:paraId="2190E802" w14:textId="77777777" w:rsidTr="00C36E44">
        <w:tc>
          <w:tcPr>
            <w:tcW w:w="4680" w:type="dxa"/>
            <w:tcBorders>
              <w:top w:val="single" w:sz="2" w:space="0" w:color="808080"/>
              <w:left w:val="single" w:sz="2" w:space="0" w:color="808080"/>
              <w:bottom w:val="single" w:sz="2" w:space="0" w:color="808080"/>
            </w:tcBorders>
            <w:shd w:val="clear" w:color="auto" w:fill="auto"/>
            <w:tcMar>
              <w:left w:w="24" w:type="dxa"/>
            </w:tcMar>
            <w:vAlign w:val="center"/>
          </w:tcPr>
          <w:p w14:paraId="6511F010"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69504" behindDoc="0" locked="0" layoutInCell="1" allowOverlap="1" wp14:anchorId="41895D9E" wp14:editId="4DD95DE0">
                  <wp:simplePos x="0" y="0"/>
                  <wp:positionH relativeFrom="column">
                    <wp:align>center</wp:align>
                  </wp:positionH>
                  <wp:positionV relativeFrom="paragraph">
                    <wp:posOffset>635</wp:posOffset>
                  </wp:positionV>
                  <wp:extent cx="2914650" cy="485775"/>
                  <wp:effectExtent l="0" t="0" r="0" b="0"/>
                  <wp:wrapSquare wrapText="largest"/>
                  <wp:docPr id="8" name="Image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3"/>
                          <pic:cNvPicPr>
                            <a:picLocks noChangeAspect="1" noChangeArrowheads="1"/>
                          </pic:cNvPicPr>
                        </pic:nvPicPr>
                        <pic:blipFill>
                          <a:blip r:embed="rId14"/>
                          <a:stretch>
                            <a:fillRect/>
                          </a:stretch>
                        </pic:blipFill>
                        <pic:spPr bwMode="auto">
                          <a:xfrm>
                            <a:off x="0" y="0"/>
                            <a:ext cx="2914650" cy="485775"/>
                          </a:xfrm>
                          <a:prstGeom prst="rect">
                            <a:avLst/>
                          </a:prstGeom>
                        </pic:spPr>
                      </pic:pic>
                    </a:graphicData>
                  </a:graphic>
                </wp:anchor>
              </w:drawing>
            </w:r>
          </w:p>
        </w:tc>
        <w:tc>
          <w:tcPr>
            <w:tcW w:w="629" w:type="dxa"/>
            <w:tcBorders>
              <w:top w:val="single" w:sz="2" w:space="0" w:color="808080"/>
              <w:left w:val="single" w:sz="2" w:space="0" w:color="808080"/>
              <w:bottom w:val="single" w:sz="2" w:space="0" w:color="808080"/>
            </w:tcBorders>
            <w:shd w:val="clear" w:color="auto" w:fill="auto"/>
            <w:tcMar>
              <w:left w:w="24" w:type="dxa"/>
            </w:tcMar>
            <w:vAlign w:val="center"/>
          </w:tcPr>
          <w:p w14:paraId="7C337EEF"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1e-9</w:t>
            </w:r>
          </w:p>
        </w:tc>
        <w:tc>
          <w:tcPr>
            <w:tcW w:w="901" w:type="dxa"/>
            <w:tcBorders>
              <w:top w:val="single" w:sz="2" w:space="0" w:color="808080"/>
              <w:left w:val="single" w:sz="2" w:space="0" w:color="808080"/>
              <w:bottom w:val="single" w:sz="2" w:space="0" w:color="808080"/>
            </w:tcBorders>
            <w:shd w:val="clear" w:color="auto" w:fill="auto"/>
            <w:tcMar>
              <w:left w:w="24" w:type="dxa"/>
            </w:tcMar>
            <w:vAlign w:val="center"/>
          </w:tcPr>
          <w:p w14:paraId="5E9990F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9.17%</w:t>
            </w:r>
          </w:p>
        </w:tc>
        <w:tc>
          <w:tcPr>
            <w:tcW w:w="810" w:type="dxa"/>
            <w:tcBorders>
              <w:top w:val="single" w:sz="2" w:space="0" w:color="808080"/>
              <w:left w:val="single" w:sz="2" w:space="0" w:color="808080"/>
              <w:bottom w:val="single" w:sz="2" w:space="0" w:color="808080"/>
            </w:tcBorders>
            <w:shd w:val="clear" w:color="auto" w:fill="auto"/>
            <w:tcMar>
              <w:left w:w="24" w:type="dxa"/>
            </w:tcMar>
            <w:vAlign w:val="center"/>
          </w:tcPr>
          <w:p w14:paraId="445AE3D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0.61%</w:t>
            </w:r>
          </w:p>
        </w:tc>
        <w:tc>
          <w:tcPr>
            <w:tcW w:w="1799" w:type="dxa"/>
            <w:tcBorders>
              <w:top w:val="single" w:sz="2" w:space="0" w:color="808080"/>
              <w:left w:val="single" w:sz="2" w:space="0" w:color="808080"/>
              <w:bottom w:val="single" w:sz="2" w:space="0" w:color="808080"/>
            </w:tcBorders>
            <w:shd w:val="clear" w:color="auto" w:fill="auto"/>
            <w:tcMar>
              <w:left w:w="24" w:type="dxa"/>
            </w:tcMar>
            <w:vAlign w:val="center"/>
          </w:tcPr>
          <w:p w14:paraId="6DE38AF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106.4bp (115.9bp)</w:t>
            </w:r>
          </w:p>
        </w:tc>
        <w:tc>
          <w:tcPr>
            <w:tcW w:w="1155"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4D571A1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 xml:space="preserve">ZNF467 </w:t>
            </w:r>
            <w:r w:rsidRPr="00342DC6">
              <w:rPr>
                <w:rFonts w:asciiTheme="minorHAnsi" w:hAnsiTheme="minorHAnsi" w:cstheme="minorHAnsi"/>
                <w:sz w:val="22"/>
                <w:szCs w:val="22"/>
              </w:rPr>
              <w:t>(Zf)</w:t>
            </w:r>
          </w:p>
        </w:tc>
      </w:tr>
      <w:tr w:rsidR="0052616E" w:rsidRPr="00342DC6" w14:paraId="7CAC2099" w14:textId="77777777" w:rsidTr="00C36E44">
        <w:tc>
          <w:tcPr>
            <w:tcW w:w="4680" w:type="dxa"/>
            <w:tcBorders>
              <w:top w:val="single" w:sz="2" w:space="0" w:color="808080"/>
              <w:left w:val="single" w:sz="2" w:space="0" w:color="808080"/>
              <w:bottom w:val="single" w:sz="2" w:space="0" w:color="808080"/>
            </w:tcBorders>
            <w:shd w:val="clear" w:color="auto" w:fill="auto"/>
            <w:tcMar>
              <w:left w:w="24" w:type="dxa"/>
            </w:tcMar>
            <w:vAlign w:val="center"/>
          </w:tcPr>
          <w:p w14:paraId="4F214DAC"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70528" behindDoc="0" locked="0" layoutInCell="1" allowOverlap="1" wp14:anchorId="26F32E4C" wp14:editId="5A43DDDE">
                  <wp:simplePos x="0" y="0"/>
                  <wp:positionH relativeFrom="column">
                    <wp:align>center</wp:align>
                  </wp:positionH>
                  <wp:positionV relativeFrom="paragraph">
                    <wp:posOffset>635</wp:posOffset>
                  </wp:positionV>
                  <wp:extent cx="2914650" cy="485775"/>
                  <wp:effectExtent l="0" t="0" r="0" b="0"/>
                  <wp:wrapSquare wrapText="largest"/>
                  <wp:docPr id="9" name="Imag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4"/>
                          <pic:cNvPicPr>
                            <a:picLocks noChangeAspect="1" noChangeArrowheads="1"/>
                          </pic:cNvPicPr>
                        </pic:nvPicPr>
                        <pic:blipFill>
                          <a:blip r:embed="rId15"/>
                          <a:stretch>
                            <a:fillRect/>
                          </a:stretch>
                        </pic:blipFill>
                        <pic:spPr bwMode="auto">
                          <a:xfrm>
                            <a:off x="0" y="0"/>
                            <a:ext cx="2914650" cy="485775"/>
                          </a:xfrm>
                          <a:prstGeom prst="rect">
                            <a:avLst/>
                          </a:prstGeom>
                        </pic:spPr>
                      </pic:pic>
                    </a:graphicData>
                  </a:graphic>
                </wp:anchor>
              </w:drawing>
            </w:r>
          </w:p>
        </w:tc>
        <w:tc>
          <w:tcPr>
            <w:tcW w:w="629" w:type="dxa"/>
            <w:tcBorders>
              <w:top w:val="single" w:sz="2" w:space="0" w:color="808080"/>
              <w:left w:val="single" w:sz="2" w:space="0" w:color="808080"/>
              <w:bottom w:val="single" w:sz="2" w:space="0" w:color="808080"/>
            </w:tcBorders>
            <w:shd w:val="clear" w:color="auto" w:fill="auto"/>
            <w:tcMar>
              <w:left w:w="24" w:type="dxa"/>
            </w:tcMar>
            <w:vAlign w:val="center"/>
          </w:tcPr>
          <w:p w14:paraId="4BAD9B1F"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1e-9</w:t>
            </w:r>
          </w:p>
        </w:tc>
        <w:tc>
          <w:tcPr>
            <w:tcW w:w="901" w:type="dxa"/>
            <w:tcBorders>
              <w:top w:val="single" w:sz="2" w:space="0" w:color="808080"/>
              <w:left w:val="single" w:sz="2" w:space="0" w:color="808080"/>
              <w:bottom w:val="single" w:sz="2" w:space="0" w:color="808080"/>
            </w:tcBorders>
            <w:shd w:val="clear" w:color="auto" w:fill="auto"/>
            <w:tcMar>
              <w:left w:w="24" w:type="dxa"/>
            </w:tcMar>
            <w:vAlign w:val="center"/>
          </w:tcPr>
          <w:p w14:paraId="5E24D3B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10.00%</w:t>
            </w:r>
          </w:p>
        </w:tc>
        <w:tc>
          <w:tcPr>
            <w:tcW w:w="810" w:type="dxa"/>
            <w:tcBorders>
              <w:top w:val="single" w:sz="2" w:space="0" w:color="808080"/>
              <w:left w:val="single" w:sz="2" w:space="0" w:color="808080"/>
              <w:bottom w:val="single" w:sz="2" w:space="0" w:color="808080"/>
            </w:tcBorders>
            <w:shd w:val="clear" w:color="auto" w:fill="auto"/>
            <w:tcMar>
              <w:left w:w="24" w:type="dxa"/>
            </w:tcMar>
            <w:vAlign w:val="center"/>
          </w:tcPr>
          <w:p w14:paraId="45DB236B"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0.81%</w:t>
            </w:r>
          </w:p>
        </w:tc>
        <w:tc>
          <w:tcPr>
            <w:tcW w:w="1799" w:type="dxa"/>
            <w:tcBorders>
              <w:top w:val="single" w:sz="2" w:space="0" w:color="808080"/>
              <w:left w:val="single" w:sz="2" w:space="0" w:color="808080"/>
              <w:bottom w:val="single" w:sz="2" w:space="0" w:color="808080"/>
            </w:tcBorders>
            <w:shd w:val="clear" w:color="auto" w:fill="auto"/>
            <w:tcMar>
              <w:left w:w="24" w:type="dxa"/>
            </w:tcMar>
            <w:vAlign w:val="center"/>
          </w:tcPr>
          <w:p w14:paraId="02EA971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82.2bp (88.7bp)</w:t>
            </w:r>
          </w:p>
        </w:tc>
        <w:tc>
          <w:tcPr>
            <w:tcW w:w="1155"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7CB31150"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undefined</w:t>
            </w:r>
          </w:p>
        </w:tc>
      </w:tr>
      <w:tr w:rsidR="0052616E" w:rsidRPr="00342DC6" w14:paraId="4C32C7C0" w14:textId="77777777" w:rsidTr="00C36E44">
        <w:tc>
          <w:tcPr>
            <w:tcW w:w="4680" w:type="dxa"/>
            <w:tcBorders>
              <w:top w:val="single" w:sz="2" w:space="0" w:color="808080"/>
              <w:left w:val="single" w:sz="2" w:space="0" w:color="808080"/>
              <w:bottom w:val="single" w:sz="6" w:space="0" w:color="808080"/>
            </w:tcBorders>
            <w:shd w:val="clear" w:color="auto" w:fill="auto"/>
            <w:tcMar>
              <w:left w:w="24" w:type="dxa"/>
            </w:tcMar>
            <w:vAlign w:val="center"/>
          </w:tcPr>
          <w:p w14:paraId="726B8C22"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71552" behindDoc="0" locked="0" layoutInCell="1" allowOverlap="1" wp14:anchorId="78A379B1" wp14:editId="328078A8">
                  <wp:simplePos x="0" y="0"/>
                  <wp:positionH relativeFrom="column">
                    <wp:align>center</wp:align>
                  </wp:positionH>
                  <wp:positionV relativeFrom="paragraph">
                    <wp:posOffset>635</wp:posOffset>
                  </wp:positionV>
                  <wp:extent cx="2438400" cy="485775"/>
                  <wp:effectExtent l="0" t="0" r="0" b="0"/>
                  <wp:wrapSquare wrapText="largest"/>
                  <wp:docPr id="10" name="Imag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0"/>
                          <pic:cNvPicPr>
                            <a:picLocks noChangeAspect="1" noChangeArrowheads="1"/>
                          </pic:cNvPicPr>
                        </pic:nvPicPr>
                        <pic:blipFill>
                          <a:blip r:embed="rId16"/>
                          <a:stretch>
                            <a:fillRect/>
                          </a:stretch>
                        </pic:blipFill>
                        <pic:spPr bwMode="auto">
                          <a:xfrm>
                            <a:off x="0" y="0"/>
                            <a:ext cx="2438400" cy="485775"/>
                          </a:xfrm>
                          <a:prstGeom prst="rect">
                            <a:avLst/>
                          </a:prstGeom>
                        </pic:spPr>
                      </pic:pic>
                    </a:graphicData>
                  </a:graphic>
                </wp:anchor>
              </w:drawing>
            </w:r>
          </w:p>
        </w:tc>
        <w:tc>
          <w:tcPr>
            <w:tcW w:w="629" w:type="dxa"/>
            <w:tcBorders>
              <w:top w:val="single" w:sz="2" w:space="0" w:color="808080"/>
              <w:left w:val="single" w:sz="2" w:space="0" w:color="808080"/>
              <w:bottom w:val="single" w:sz="6" w:space="0" w:color="808080"/>
            </w:tcBorders>
            <w:shd w:val="clear" w:color="auto" w:fill="auto"/>
            <w:tcMar>
              <w:left w:w="24" w:type="dxa"/>
            </w:tcMar>
            <w:vAlign w:val="center"/>
          </w:tcPr>
          <w:p w14:paraId="22EBEC9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1e-9</w:t>
            </w:r>
          </w:p>
        </w:tc>
        <w:tc>
          <w:tcPr>
            <w:tcW w:w="901" w:type="dxa"/>
            <w:tcBorders>
              <w:top w:val="single" w:sz="2" w:space="0" w:color="808080"/>
              <w:left w:val="single" w:sz="2" w:space="0" w:color="808080"/>
              <w:bottom w:val="single" w:sz="6" w:space="0" w:color="808080"/>
            </w:tcBorders>
            <w:shd w:val="clear" w:color="auto" w:fill="auto"/>
            <w:tcMar>
              <w:left w:w="24" w:type="dxa"/>
            </w:tcMar>
            <w:vAlign w:val="center"/>
          </w:tcPr>
          <w:p w14:paraId="4FE10B0A"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16.67%</w:t>
            </w:r>
          </w:p>
        </w:tc>
        <w:tc>
          <w:tcPr>
            <w:tcW w:w="810" w:type="dxa"/>
            <w:tcBorders>
              <w:top w:val="single" w:sz="2" w:space="0" w:color="808080"/>
              <w:left w:val="single" w:sz="2" w:space="0" w:color="808080"/>
              <w:bottom w:val="single" w:sz="6" w:space="0" w:color="808080"/>
            </w:tcBorders>
            <w:shd w:val="clear" w:color="auto" w:fill="auto"/>
            <w:tcMar>
              <w:left w:w="24" w:type="dxa"/>
            </w:tcMar>
            <w:vAlign w:val="center"/>
          </w:tcPr>
          <w:p w14:paraId="07716DD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2.97%</w:t>
            </w:r>
          </w:p>
        </w:tc>
        <w:tc>
          <w:tcPr>
            <w:tcW w:w="1799" w:type="dxa"/>
            <w:tcBorders>
              <w:top w:val="single" w:sz="2" w:space="0" w:color="808080"/>
              <w:left w:val="single" w:sz="2" w:space="0" w:color="808080"/>
              <w:bottom w:val="single" w:sz="6" w:space="0" w:color="808080"/>
            </w:tcBorders>
            <w:shd w:val="clear" w:color="auto" w:fill="auto"/>
            <w:tcMar>
              <w:left w:w="24" w:type="dxa"/>
            </w:tcMar>
            <w:vAlign w:val="center"/>
          </w:tcPr>
          <w:p w14:paraId="258F26C6"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88.8bp (106.9bp)</w:t>
            </w:r>
          </w:p>
        </w:tc>
        <w:tc>
          <w:tcPr>
            <w:tcW w:w="1155" w:type="dxa"/>
            <w:tcBorders>
              <w:top w:val="single" w:sz="2" w:space="0" w:color="808080"/>
              <w:left w:val="single" w:sz="2" w:space="0" w:color="808080"/>
              <w:bottom w:val="single" w:sz="6" w:space="0" w:color="808080"/>
              <w:right w:val="single" w:sz="2" w:space="0" w:color="808080"/>
            </w:tcBorders>
            <w:shd w:val="clear" w:color="auto" w:fill="auto"/>
            <w:tcMar>
              <w:left w:w="24" w:type="dxa"/>
            </w:tcMar>
            <w:vAlign w:val="center"/>
          </w:tcPr>
          <w:p w14:paraId="7FCF3BB7"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PRDM1</w:t>
            </w:r>
          </w:p>
        </w:tc>
      </w:tr>
    </w:tbl>
    <w:p w14:paraId="5325FCB9" w14:textId="77777777" w:rsidR="0052616E" w:rsidRPr="00342DC6" w:rsidRDefault="0052616E" w:rsidP="0052616E">
      <w:pPr>
        <w:rPr>
          <w:rFonts w:asciiTheme="minorHAnsi" w:hAnsiTheme="minorHAnsi" w:cstheme="minorHAnsi"/>
          <w:sz w:val="22"/>
          <w:szCs w:val="22"/>
        </w:rPr>
      </w:pPr>
    </w:p>
    <w:p w14:paraId="1F6DFB9E" w14:textId="11C22AE7" w:rsidR="0052616E" w:rsidRDefault="0052616E" w:rsidP="0052616E">
      <w:pPr>
        <w:spacing w:line="360" w:lineRule="auto"/>
        <w:rPr>
          <w:rFonts w:asciiTheme="minorHAnsi" w:hAnsiTheme="minorHAnsi" w:cstheme="minorHAnsi"/>
          <w:b/>
          <w:bCs/>
          <w:i/>
          <w:iCs/>
          <w:sz w:val="22"/>
          <w:szCs w:val="22"/>
        </w:rPr>
      </w:pPr>
    </w:p>
    <w:p w14:paraId="48523135" w14:textId="77777777" w:rsidR="0052616E" w:rsidRDefault="0052616E" w:rsidP="0052616E">
      <w:pPr>
        <w:spacing w:line="360" w:lineRule="auto"/>
        <w:rPr>
          <w:rFonts w:asciiTheme="minorHAnsi" w:hAnsiTheme="minorHAnsi" w:cstheme="minorHAnsi"/>
          <w:b/>
          <w:bCs/>
          <w:i/>
          <w:iCs/>
          <w:sz w:val="22"/>
          <w:szCs w:val="22"/>
        </w:rPr>
      </w:pPr>
    </w:p>
    <w:p w14:paraId="735D153A" w14:textId="48E9B1AE" w:rsidR="0052616E" w:rsidRPr="00342DC6" w:rsidRDefault="0052616E" w:rsidP="0052616E">
      <w:pPr>
        <w:spacing w:line="360" w:lineRule="auto"/>
        <w:rPr>
          <w:rFonts w:asciiTheme="minorHAnsi" w:hAnsiTheme="minorHAnsi" w:cstheme="minorHAnsi"/>
          <w:sz w:val="22"/>
          <w:szCs w:val="22"/>
        </w:rPr>
      </w:pPr>
      <w:r w:rsidRPr="00342DC6">
        <w:rPr>
          <w:rFonts w:asciiTheme="minorHAnsi" w:hAnsiTheme="minorHAnsi" w:cstheme="minorHAnsi"/>
          <w:b/>
          <w:bCs/>
          <w:i/>
          <w:iCs/>
          <w:sz w:val="22"/>
          <w:szCs w:val="22"/>
        </w:rPr>
        <w:t xml:space="preserve">Supplementary Table </w:t>
      </w:r>
      <w:r>
        <w:rPr>
          <w:rFonts w:asciiTheme="minorHAnsi" w:hAnsiTheme="minorHAnsi" w:cstheme="minorHAnsi"/>
          <w:b/>
          <w:bCs/>
          <w:i/>
          <w:iCs/>
          <w:sz w:val="22"/>
          <w:szCs w:val="22"/>
        </w:rPr>
        <w:t>S9</w:t>
      </w:r>
      <w:r w:rsidRPr="00342DC6">
        <w:rPr>
          <w:rFonts w:asciiTheme="minorHAnsi" w:hAnsiTheme="minorHAnsi" w:cstheme="minorHAnsi"/>
          <w:b/>
          <w:bCs/>
          <w:i/>
          <w:iCs/>
          <w:sz w:val="22"/>
          <w:szCs w:val="22"/>
        </w:rPr>
        <w:t xml:space="preserve">: </w:t>
      </w:r>
      <w:r w:rsidRPr="00342DC6">
        <w:rPr>
          <w:rFonts w:asciiTheme="minorHAnsi" w:hAnsiTheme="minorHAnsi" w:cstheme="minorHAnsi"/>
          <w:sz w:val="22"/>
          <w:szCs w:val="22"/>
        </w:rPr>
        <w:t xml:space="preserve">HOMER </w:t>
      </w:r>
      <w:r w:rsidRPr="00342DC6">
        <w:rPr>
          <w:rFonts w:asciiTheme="minorHAnsi" w:hAnsiTheme="minorHAnsi" w:cstheme="minorHAnsi"/>
          <w:i/>
          <w:iCs/>
          <w:sz w:val="22"/>
          <w:szCs w:val="22"/>
        </w:rPr>
        <w:t>de novo</w:t>
      </w:r>
      <w:r w:rsidRPr="00342DC6">
        <w:rPr>
          <w:rFonts w:asciiTheme="minorHAnsi" w:hAnsiTheme="minorHAnsi" w:cstheme="minorHAnsi"/>
          <w:sz w:val="22"/>
          <w:szCs w:val="22"/>
        </w:rPr>
        <w:t xml:space="preserve"> motif enrichment results of all DEG between aSAT and gSAT after training.</w:t>
      </w:r>
    </w:p>
    <w:tbl>
      <w:tblPr>
        <w:tblW w:w="9975" w:type="dxa"/>
        <w:tblInd w:w="-2" w:type="dxa"/>
        <w:tblBorders>
          <w:top w:val="single" w:sz="6" w:space="0" w:color="808080"/>
          <w:left w:val="single" w:sz="2" w:space="0" w:color="808080"/>
          <w:bottom w:val="single" w:sz="2" w:space="0" w:color="808080"/>
          <w:insideH w:val="single" w:sz="2" w:space="0" w:color="808080"/>
        </w:tblBorders>
        <w:tblCellMar>
          <w:top w:w="28" w:type="dxa"/>
          <w:left w:w="24" w:type="dxa"/>
          <w:bottom w:w="28" w:type="dxa"/>
          <w:right w:w="28" w:type="dxa"/>
        </w:tblCellMar>
        <w:tblLook w:val="0000" w:firstRow="0" w:lastRow="0" w:firstColumn="0" w:lastColumn="0" w:noHBand="0" w:noVBand="0"/>
      </w:tblPr>
      <w:tblGrid>
        <w:gridCol w:w="4681"/>
        <w:gridCol w:w="629"/>
        <w:gridCol w:w="901"/>
        <w:gridCol w:w="810"/>
        <w:gridCol w:w="1799"/>
        <w:gridCol w:w="1155"/>
      </w:tblGrid>
      <w:tr w:rsidR="0052616E" w:rsidRPr="00342DC6" w14:paraId="5E89335E" w14:textId="77777777" w:rsidTr="00C36E44">
        <w:tc>
          <w:tcPr>
            <w:tcW w:w="4681" w:type="dxa"/>
            <w:tcBorders>
              <w:top w:val="single" w:sz="6" w:space="0" w:color="808080"/>
              <w:left w:val="single" w:sz="2" w:space="0" w:color="808080"/>
              <w:bottom w:val="single" w:sz="2" w:space="0" w:color="808080"/>
            </w:tcBorders>
            <w:shd w:val="clear" w:color="auto" w:fill="auto"/>
            <w:tcMar>
              <w:left w:w="24" w:type="dxa"/>
            </w:tcMar>
            <w:vAlign w:val="center"/>
          </w:tcPr>
          <w:p w14:paraId="550451F9"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Motif</w:t>
            </w:r>
          </w:p>
        </w:tc>
        <w:tc>
          <w:tcPr>
            <w:tcW w:w="629" w:type="dxa"/>
            <w:tcBorders>
              <w:top w:val="single" w:sz="6" w:space="0" w:color="808080"/>
              <w:left w:val="single" w:sz="2" w:space="0" w:color="808080"/>
              <w:bottom w:val="single" w:sz="2" w:space="0" w:color="808080"/>
            </w:tcBorders>
            <w:shd w:val="clear" w:color="auto" w:fill="auto"/>
            <w:tcMar>
              <w:left w:w="24" w:type="dxa"/>
            </w:tcMar>
            <w:vAlign w:val="center"/>
          </w:tcPr>
          <w:p w14:paraId="21C999B2"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P-val</w:t>
            </w:r>
          </w:p>
        </w:tc>
        <w:tc>
          <w:tcPr>
            <w:tcW w:w="901" w:type="dxa"/>
            <w:tcBorders>
              <w:top w:val="single" w:sz="6" w:space="0" w:color="808080"/>
              <w:left w:val="single" w:sz="2" w:space="0" w:color="808080"/>
              <w:bottom w:val="single" w:sz="2" w:space="0" w:color="808080"/>
            </w:tcBorders>
            <w:shd w:val="clear" w:color="auto" w:fill="auto"/>
            <w:tcMar>
              <w:left w:w="24" w:type="dxa"/>
            </w:tcMar>
            <w:vAlign w:val="center"/>
          </w:tcPr>
          <w:p w14:paraId="4E1A0C24"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Targets</w:t>
            </w:r>
          </w:p>
        </w:tc>
        <w:tc>
          <w:tcPr>
            <w:tcW w:w="810" w:type="dxa"/>
            <w:tcBorders>
              <w:top w:val="single" w:sz="6" w:space="0" w:color="808080"/>
              <w:left w:val="single" w:sz="2" w:space="0" w:color="808080"/>
              <w:bottom w:val="single" w:sz="2" w:space="0" w:color="808080"/>
            </w:tcBorders>
            <w:shd w:val="clear" w:color="auto" w:fill="auto"/>
            <w:tcMar>
              <w:left w:w="24" w:type="dxa"/>
            </w:tcMar>
            <w:vAlign w:val="center"/>
          </w:tcPr>
          <w:p w14:paraId="5850B00C"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Bkg</w:t>
            </w:r>
          </w:p>
        </w:tc>
        <w:tc>
          <w:tcPr>
            <w:tcW w:w="1799" w:type="dxa"/>
            <w:tcBorders>
              <w:top w:val="single" w:sz="6" w:space="0" w:color="808080"/>
              <w:left w:val="single" w:sz="2" w:space="0" w:color="808080"/>
              <w:bottom w:val="single" w:sz="2" w:space="0" w:color="808080"/>
            </w:tcBorders>
            <w:shd w:val="clear" w:color="auto" w:fill="auto"/>
            <w:tcMar>
              <w:left w:w="24" w:type="dxa"/>
            </w:tcMar>
            <w:vAlign w:val="center"/>
          </w:tcPr>
          <w:p w14:paraId="2A7E9693"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STD(Bg STD)</w:t>
            </w:r>
          </w:p>
        </w:tc>
        <w:tc>
          <w:tcPr>
            <w:tcW w:w="1155" w:type="dxa"/>
            <w:tcBorders>
              <w:top w:val="single" w:sz="6" w:space="0" w:color="808080"/>
              <w:left w:val="single" w:sz="2" w:space="0" w:color="808080"/>
              <w:bottom w:val="single" w:sz="2" w:space="0" w:color="808080"/>
              <w:right w:val="single" w:sz="2" w:space="0" w:color="808080"/>
            </w:tcBorders>
            <w:shd w:val="clear" w:color="auto" w:fill="auto"/>
            <w:tcMar>
              <w:left w:w="24" w:type="dxa"/>
            </w:tcMar>
            <w:vAlign w:val="center"/>
          </w:tcPr>
          <w:p w14:paraId="5563538D"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Best Match</w:t>
            </w:r>
          </w:p>
        </w:tc>
      </w:tr>
      <w:tr w:rsidR="0052616E" w:rsidRPr="00342DC6" w14:paraId="3FD7F1F5" w14:textId="77777777" w:rsidTr="00C36E44">
        <w:tc>
          <w:tcPr>
            <w:tcW w:w="4681" w:type="dxa"/>
            <w:tcBorders>
              <w:top w:val="single" w:sz="2" w:space="0" w:color="808080"/>
              <w:left w:val="single" w:sz="2" w:space="0" w:color="808080"/>
              <w:bottom w:val="single" w:sz="2" w:space="0" w:color="808080"/>
            </w:tcBorders>
            <w:shd w:val="clear" w:color="auto" w:fill="auto"/>
            <w:tcMar>
              <w:left w:w="24" w:type="dxa"/>
            </w:tcMar>
            <w:vAlign w:val="center"/>
          </w:tcPr>
          <w:p w14:paraId="5084939C"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81792" behindDoc="0" locked="0" layoutInCell="1" allowOverlap="1" wp14:anchorId="05A19A87" wp14:editId="23B1EA30">
                  <wp:simplePos x="0" y="0"/>
                  <wp:positionH relativeFrom="column">
                    <wp:align>center</wp:align>
                  </wp:positionH>
                  <wp:positionV relativeFrom="paragraph">
                    <wp:posOffset>635</wp:posOffset>
                  </wp:positionV>
                  <wp:extent cx="2914650" cy="485775"/>
                  <wp:effectExtent l="0" t="0" r="0" b="0"/>
                  <wp:wrapSquare wrapText="largest"/>
                  <wp:docPr id="11" name="Image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31"/>
                          <pic:cNvPicPr>
                            <a:picLocks noChangeAspect="1" noChangeArrowheads="1"/>
                          </pic:cNvPicPr>
                        </pic:nvPicPr>
                        <pic:blipFill>
                          <a:blip r:embed="rId17"/>
                          <a:stretch>
                            <a:fillRect/>
                          </a:stretch>
                        </pic:blipFill>
                        <pic:spPr bwMode="auto">
                          <a:xfrm>
                            <a:off x="0" y="0"/>
                            <a:ext cx="2914650" cy="485775"/>
                          </a:xfrm>
                          <a:prstGeom prst="rect">
                            <a:avLst/>
                          </a:prstGeom>
                        </pic:spPr>
                      </pic:pic>
                    </a:graphicData>
                  </a:graphic>
                </wp:anchor>
              </w:drawing>
            </w:r>
          </w:p>
        </w:tc>
        <w:tc>
          <w:tcPr>
            <w:tcW w:w="629" w:type="dxa"/>
            <w:tcBorders>
              <w:top w:val="single" w:sz="2" w:space="0" w:color="808080"/>
              <w:left w:val="single" w:sz="2" w:space="0" w:color="808080"/>
              <w:bottom w:val="single" w:sz="2" w:space="0" w:color="808080"/>
            </w:tcBorders>
            <w:shd w:val="clear" w:color="auto" w:fill="auto"/>
            <w:tcMar>
              <w:left w:w="24" w:type="dxa"/>
            </w:tcMar>
            <w:vAlign w:val="center"/>
          </w:tcPr>
          <w:p w14:paraId="091FA82F"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1e-11</w:t>
            </w:r>
          </w:p>
        </w:tc>
        <w:tc>
          <w:tcPr>
            <w:tcW w:w="901" w:type="dxa"/>
            <w:tcBorders>
              <w:top w:val="single" w:sz="2" w:space="0" w:color="808080"/>
              <w:left w:val="single" w:sz="2" w:space="0" w:color="808080"/>
              <w:bottom w:val="single" w:sz="2" w:space="0" w:color="808080"/>
            </w:tcBorders>
            <w:shd w:val="clear" w:color="auto" w:fill="auto"/>
            <w:tcMar>
              <w:left w:w="24" w:type="dxa"/>
            </w:tcMar>
            <w:vAlign w:val="center"/>
          </w:tcPr>
          <w:p w14:paraId="1E83C4C1"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13.11%</w:t>
            </w:r>
          </w:p>
        </w:tc>
        <w:tc>
          <w:tcPr>
            <w:tcW w:w="810" w:type="dxa"/>
            <w:tcBorders>
              <w:top w:val="single" w:sz="2" w:space="0" w:color="808080"/>
              <w:left w:val="single" w:sz="2" w:space="0" w:color="808080"/>
              <w:bottom w:val="single" w:sz="2" w:space="0" w:color="808080"/>
            </w:tcBorders>
            <w:shd w:val="clear" w:color="auto" w:fill="auto"/>
            <w:tcMar>
              <w:left w:w="24" w:type="dxa"/>
            </w:tcMar>
            <w:vAlign w:val="center"/>
          </w:tcPr>
          <w:p w14:paraId="401FE400"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2.94%</w:t>
            </w:r>
          </w:p>
        </w:tc>
        <w:tc>
          <w:tcPr>
            <w:tcW w:w="1799" w:type="dxa"/>
            <w:tcBorders>
              <w:top w:val="single" w:sz="2" w:space="0" w:color="808080"/>
              <w:left w:val="single" w:sz="2" w:space="0" w:color="808080"/>
              <w:bottom w:val="single" w:sz="2" w:space="0" w:color="808080"/>
            </w:tcBorders>
            <w:shd w:val="clear" w:color="auto" w:fill="auto"/>
            <w:tcMar>
              <w:left w:w="24" w:type="dxa"/>
            </w:tcMar>
            <w:vAlign w:val="center"/>
          </w:tcPr>
          <w:p w14:paraId="227A9D3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94.3bp (103.9bp)</w:t>
            </w:r>
          </w:p>
        </w:tc>
        <w:tc>
          <w:tcPr>
            <w:tcW w:w="1155"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54EDBF7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undefined</w:t>
            </w:r>
          </w:p>
        </w:tc>
      </w:tr>
      <w:tr w:rsidR="0052616E" w:rsidRPr="00342DC6" w14:paraId="7B1E8D1D" w14:textId="77777777" w:rsidTr="00C36E44">
        <w:tc>
          <w:tcPr>
            <w:tcW w:w="4681" w:type="dxa"/>
            <w:tcBorders>
              <w:top w:val="single" w:sz="2" w:space="0" w:color="808080"/>
              <w:left w:val="single" w:sz="2" w:space="0" w:color="808080"/>
              <w:bottom w:val="single" w:sz="2" w:space="0" w:color="808080"/>
            </w:tcBorders>
            <w:shd w:val="clear" w:color="auto" w:fill="auto"/>
            <w:tcMar>
              <w:left w:w="24" w:type="dxa"/>
            </w:tcMar>
            <w:vAlign w:val="center"/>
          </w:tcPr>
          <w:p w14:paraId="5A6A0BC9"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82816" behindDoc="0" locked="0" layoutInCell="1" allowOverlap="1" wp14:anchorId="7B71EF4D" wp14:editId="5CF66232">
                  <wp:simplePos x="0" y="0"/>
                  <wp:positionH relativeFrom="column">
                    <wp:align>center</wp:align>
                  </wp:positionH>
                  <wp:positionV relativeFrom="paragraph">
                    <wp:posOffset>635</wp:posOffset>
                  </wp:positionV>
                  <wp:extent cx="2438400" cy="485775"/>
                  <wp:effectExtent l="0" t="0" r="0" b="0"/>
                  <wp:wrapSquare wrapText="largest"/>
                  <wp:docPr id="12" name="Image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2"/>
                          <pic:cNvPicPr>
                            <a:picLocks noChangeAspect="1" noChangeArrowheads="1"/>
                          </pic:cNvPicPr>
                        </pic:nvPicPr>
                        <pic:blipFill>
                          <a:blip r:embed="rId18"/>
                          <a:stretch>
                            <a:fillRect/>
                          </a:stretch>
                        </pic:blipFill>
                        <pic:spPr bwMode="auto">
                          <a:xfrm>
                            <a:off x="0" y="0"/>
                            <a:ext cx="2438400" cy="485775"/>
                          </a:xfrm>
                          <a:prstGeom prst="rect">
                            <a:avLst/>
                          </a:prstGeom>
                        </pic:spPr>
                      </pic:pic>
                    </a:graphicData>
                  </a:graphic>
                </wp:anchor>
              </w:drawing>
            </w:r>
          </w:p>
        </w:tc>
        <w:tc>
          <w:tcPr>
            <w:tcW w:w="629" w:type="dxa"/>
            <w:tcBorders>
              <w:top w:val="single" w:sz="2" w:space="0" w:color="808080"/>
              <w:left w:val="single" w:sz="2" w:space="0" w:color="808080"/>
              <w:bottom w:val="single" w:sz="2" w:space="0" w:color="808080"/>
            </w:tcBorders>
            <w:shd w:val="clear" w:color="auto" w:fill="auto"/>
            <w:tcMar>
              <w:left w:w="24" w:type="dxa"/>
            </w:tcMar>
            <w:vAlign w:val="center"/>
          </w:tcPr>
          <w:p w14:paraId="3152F84F"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1e-10</w:t>
            </w:r>
          </w:p>
        </w:tc>
        <w:tc>
          <w:tcPr>
            <w:tcW w:w="901" w:type="dxa"/>
            <w:tcBorders>
              <w:top w:val="single" w:sz="2" w:space="0" w:color="808080"/>
              <w:left w:val="single" w:sz="2" w:space="0" w:color="808080"/>
              <w:bottom w:val="single" w:sz="2" w:space="0" w:color="808080"/>
            </w:tcBorders>
            <w:shd w:val="clear" w:color="auto" w:fill="auto"/>
            <w:tcMar>
              <w:left w:w="24" w:type="dxa"/>
            </w:tcMar>
            <w:vAlign w:val="center"/>
          </w:tcPr>
          <w:p w14:paraId="570CC3D1"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11.48%</w:t>
            </w:r>
          </w:p>
        </w:tc>
        <w:tc>
          <w:tcPr>
            <w:tcW w:w="810" w:type="dxa"/>
            <w:tcBorders>
              <w:top w:val="single" w:sz="2" w:space="0" w:color="808080"/>
              <w:left w:val="single" w:sz="2" w:space="0" w:color="808080"/>
              <w:bottom w:val="single" w:sz="2" w:space="0" w:color="808080"/>
            </w:tcBorders>
            <w:shd w:val="clear" w:color="auto" w:fill="auto"/>
            <w:tcMar>
              <w:left w:w="24" w:type="dxa"/>
            </w:tcMar>
            <w:vAlign w:val="center"/>
          </w:tcPr>
          <w:p w14:paraId="1FC10FF4"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2.37%</w:t>
            </w:r>
          </w:p>
        </w:tc>
        <w:tc>
          <w:tcPr>
            <w:tcW w:w="1799" w:type="dxa"/>
            <w:tcBorders>
              <w:top w:val="single" w:sz="2" w:space="0" w:color="808080"/>
              <w:left w:val="single" w:sz="2" w:space="0" w:color="808080"/>
              <w:bottom w:val="single" w:sz="2" w:space="0" w:color="808080"/>
            </w:tcBorders>
            <w:shd w:val="clear" w:color="auto" w:fill="auto"/>
            <w:tcMar>
              <w:left w:w="24" w:type="dxa"/>
            </w:tcMar>
            <w:vAlign w:val="center"/>
          </w:tcPr>
          <w:p w14:paraId="4C8DD41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106.3bp (98.7bp)</w:t>
            </w:r>
          </w:p>
        </w:tc>
        <w:tc>
          <w:tcPr>
            <w:tcW w:w="1155"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780F398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undefined</w:t>
            </w:r>
          </w:p>
        </w:tc>
      </w:tr>
    </w:tbl>
    <w:p w14:paraId="5E187DA8" w14:textId="77777777" w:rsidR="0052616E" w:rsidRPr="00342DC6" w:rsidRDefault="0052616E" w:rsidP="0052616E">
      <w:pPr>
        <w:pStyle w:val="Heading"/>
        <w:spacing w:before="0" w:after="0"/>
        <w:jc w:val="both"/>
        <w:rPr>
          <w:rFonts w:asciiTheme="minorHAnsi" w:hAnsiTheme="minorHAnsi" w:cstheme="minorHAnsi"/>
          <w:b/>
          <w:sz w:val="22"/>
          <w:szCs w:val="22"/>
          <w:u w:val="single"/>
        </w:rPr>
      </w:pPr>
    </w:p>
    <w:p w14:paraId="6C997410" w14:textId="77777777" w:rsidR="0052616E" w:rsidRPr="00342DC6" w:rsidRDefault="0052616E" w:rsidP="0052616E">
      <w:pPr>
        <w:rPr>
          <w:rFonts w:asciiTheme="minorHAnsi" w:hAnsiTheme="minorHAnsi" w:cstheme="minorHAnsi"/>
          <w:b/>
          <w:sz w:val="22"/>
          <w:szCs w:val="22"/>
          <w:u w:val="single"/>
        </w:rPr>
      </w:pPr>
    </w:p>
    <w:p w14:paraId="56068871" w14:textId="77777777" w:rsidR="0052616E" w:rsidRPr="0052616E" w:rsidRDefault="0052616E" w:rsidP="0052616E">
      <w:pPr>
        <w:pStyle w:val="Heading"/>
        <w:spacing w:before="0" w:after="0" w:line="360" w:lineRule="auto"/>
        <w:jc w:val="both"/>
        <w:rPr>
          <w:rFonts w:asciiTheme="minorHAnsi" w:hAnsiTheme="minorHAnsi" w:cstheme="minorHAnsi"/>
          <w:b/>
          <w:sz w:val="24"/>
          <w:szCs w:val="22"/>
          <w:u w:val="single"/>
        </w:rPr>
      </w:pPr>
      <w:r w:rsidRPr="0052616E">
        <w:rPr>
          <w:rFonts w:asciiTheme="minorHAnsi" w:hAnsiTheme="minorHAnsi" w:cstheme="minorHAnsi"/>
          <w:b/>
          <w:sz w:val="24"/>
          <w:szCs w:val="22"/>
          <w:u w:val="single"/>
        </w:rPr>
        <w:t>Gluteal SAT pre- vs post-exercise training</w:t>
      </w:r>
    </w:p>
    <w:p w14:paraId="53AD2FFD" w14:textId="77777777" w:rsidR="0052616E" w:rsidRPr="0052616E" w:rsidRDefault="0052616E" w:rsidP="0052616E">
      <w:pPr>
        <w:spacing w:line="360" w:lineRule="auto"/>
        <w:jc w:val="both"/>
        <w:rPr>
          <w:rFonts w:asciiTheme="minorHAnsi" w:hAnsiTheme="minorHAnsi" w:cstheme="minorHAnsi"/>
          <w:szCs w:val="22"/>
        </w:rPr>
      </w:pPr>
      <w:r w:rsidRPr="0052616E">
        <w:rPr>
          <w:rFonts w:asciiTheme="minorHAnsi" w:hAnsiTheme="minorHAnsi" w:cstheme="minorHAnsi"/>
          <w:szCs w:val="22"/>
        </w:rPr>
        <w:t xml:space="preserve">The number of downregulated genes in gSAT after exercise training was too low to perform separate enrichment analysis of TFBS for up and down regulated genes. Therefore, we combined both sets for one analysis. The enriched motifs found with HOMER belong to or interact with transcription factor complex AP-1. Most of the predicted known and </w:t>
      </w:r>
      <w:r w:rsidRPr="0052616E">
        <w:rPr>
          <w:rFonts w:asciiTheme="minorHAnsi" w:hAnsiTheme="minorHAnsi" w:cstheme="minorHAnsi"/>
          <w:i/>
          <w:iCs/>
          <w:szCs w:val="22"/>
        </w:rPr>
        <w:t>de novo</w:t>
      </w:r>
      <w:r w:rsidRPr="0052616E">
        <w:rPr>
          <w:rFonts w:asciiTheme="minorHAnsi" w:hAnsiTheme="minorHAnsi" w:cstheme="minorHAnsi"/>
          <w:szCs w:val="22"/>
        </w:rPr>
        <w:t xml:space="preserve"> motifs resemble binding motifs of Fos-related factors (leucine-zipper-proteins) or the JUN family. By dimerization, both form the AP-1 complex. Additionally, one predicted over-represented binding motif is for activation transcription factor 3 (Atf3), which belongs to the cAMP responsive element binding (CREB) class interacts with JUN related factors, and BATF mediates the dimerization of FOS and JUN factors to form the AP-1 transcription factor (TF) complex. Worth noting, all predicted motifs are very similar and share a consensus TGASTCA </w:t>
      </w:r>
      <w:r w:rsidRPr="0052616E">
        <w:rPr>
          <w:rFonts w:asciiTheme="minorHAnsi" w:hAnsiTheme="minorHAnsi" w:cstheme="minorHAnsi"/>
          <w:szCs w:val="22"/>
        </w:rPr>
        <w:fldChar w:fldCharType="begin"/>
      </w:r>
      <w:r w:rsidRPr="0052616E">
        <w:rPr>
          <w:rFonts w:asciiTheme="minorHAnsi" w:hAnsiTheme="minorHAnsi" w:cstheme="minorHAnsi"/>
          <w:szCs w:val="22"/>
        </w:rPr>
        <w:instrText xml:space="preserve"> ADDIN EN.CITE &lt;EndNote&gt;&lt;Cite&gt;&lt;Author&gt;Karin&lt;/Author&gt;&lt;Year&gt;1997&lt;/Year&gt;&lt;RecNum&gt;1491&lt;/RecNum&gt;&lt;DisplayText&gt;[12]&lt;/DisplayText&gt;&lt;record&gt;&lt;rec-number&gt;1491&lt;/rec-number&gt;&lt;foreign-keys&gt;&lt;key app="EN" db-id="a9v5x02589assfeserr5erdu509ta9dfd9rv" timestamp="1589884093"&gt;1491&lt;/key&gt;&lt;/foreign-keys&gt;&lt;ref-type name="Journal Article"&gt;17&lt;/ref-type&gt;&lt;contributors&gt;&lt;authors&gt;&lt;author&gt; Karin, M., Liu, Zg., Zandi, E.&lt;/author&gt;&lt;/authors&gt;&lt;/contributors&gt;&lt;titles&gt;&lt;title&gt;AP-1 function and regulation&lt;/title&gt;&lt;secondary-title&gt;Curr Opin Cell Biol.&lt;/secondary-title&gt;&lt;/titles&gt;&lt;periodical&gt;&lt;full-title&gt;Curr Opin Cell Biol.&lt;/full-title&gt;&lt;/periodical&gt;&lt;pages&gt;240‐246&lt;/pages&gt;&lt;volume&gt;9&lt;/volume&gt;&lt;number&gt;2&lt;/number&gt;&lt;dates&gt;&lt;year&gt;1997&lt;/year&gt;&lt;/dates&gt;&lt;urls&gt;&lt;/urls&gt;&lt;/record&gt;&lt;/Cite&gt;&lt;/EndNote&gt;</w:instrText>
      </w:r>
      <w:r w:rsidRPr="0052616E">
        <w:rPr>
          <w:rFonts w:asciiTheme="minorHAnsi" w:hAnsiTheme="minorHAnsi" w:cstheme="minorHAnsi"/>
          <w:szCs w:val="22"/>
        </w:rPr>
        <w:fldChar w:fldCharType="separate"/>
      </w:r>
      <w:r w:rsidRPr="0052616E">
        <w:rPr>
          <w:rFonts w:asciiTheme="minorHAnsi" w:hAnsiTheme="minorHAnsi" w:cstheme="minorHAnsi"/>
          <w:noProof/>
          <w:szCs w:val="22"/>
        </w:rPr>
        <w:t>[12]</w:t>
      </w:r>
      <w:r w:rsidRPr="0052616E">
        <w:rPr>
          <w:rFonts w:asciiTheme="minorHAnsi" w:hAnsiTheme="minorHAnsi" w:cstheme="minorHAnsi"/>
          <w:szCs w:val="22"/>
        </w:rPr>
        <w:fldChar w:fldCharType="end"/>
      </w:r>
      <w:r w:rsidRPr="0052616E">
        <w:rPr>
          <w:rFonts w:asciiTheme="minorHAnsi" w:hAnsiTheme="minorHAnsi" w:cstheme="minorHAnsi"/>
          <w:szCs w:val="22"/>
        </w:rPr>
        <w:t>.</w:t>
      </w:r>
    </w:p>
    <w:p w14:paraId="3616EE0E" w14:textId="77777777" w:rsidR="0052616E" w:rsidRPr="0052616E" w:rsidRDefault="0052616E" w:rsidP="0052616E">
      <w:pPr>
        <w:spacing w:line="360" w:lineRule="auto"/>
        <w:jc w:val="both"/>
        <w:rPr>
          <w:rFonts w:asciiTheme="minorHAnsi" w:hAnsiTheme="minorHAnsi" w:cstheme="minorHAnsi"/>
          <w:szCs w:val="22"/>
        </w:rPr>
      </w:pPr>
      <w:r w:rsidRPr="0052616E">
        <w:rPr>
          <w:rFonts w:asciiTheme="minorHAnsi" w:hAnsiTheme="minorHAnsi" w:cstheme="minorHAnsi"/>
          <w:szCs w:val="22"/>
        </w:rPr>
        <w:t xml:space="preserve">The AP-1 TF complex is a regulator of cell proliferation, differentiation and transformation in response to stimuli like cytokine, stress, growth factor, or infection </w:t>
      </w:r>
      <w:r w:rsidRPr="0052616E">
        <w:rPr>
          <w:rFonts w:asciiTheme="minorHAnsi" w:hAnsiTheme="minorHAnsi" w:cstheme="minorHAnsi"/>
          <w:szCs w:val="22"/>
        </w:rPr>
        <w:fldChar w:fldCharType="begin"/>
      </w:r>
      <w:r w:rsidRPr="0052616E">
        <w:rPr>
          <w:rFonts w:asciiTheme="minorHAnsi" w:hAnsiTheme="minorHAnsi" w:cstheme="minorHAnsi"/>
          <w:szCs w:val="22"/>
        </w:rPr>
        <w:instrText xml:space="preserve"> ADDIN EN.CITE &lt;EndNote&gt;&lt;Cite&gt;&lt;Author&gt;Papoudou-Bai&lt;/Author&gt;&lt;Year&gt;2017&lt;/Year&gt;&lt;RecNum&gt;1493&lt;/RecNum&gt;&lt;DisplayText&gt;[13]&lt;/DisplayText&gt;&lt;record&gt;&lt;rec-number&gt;1493&lt;/rec-number&gt;&lt;foreign-keys&gt;&lt;key app="EN" db-id="a9v5x02589assfeserr5erdu509ta9dfd9rv" timestamp="1589884238"&gt;1493&lt;/key&gt;&lt;/foreign-keys&gt;&lt;ref-type name="Journal Article"&gt;17&lt;/ref-type&gt;&lt;contributors&gt;&lt;authors&gt;&lt;author&gt;Papoudou-Bai, A.&lt;/author&gt;&lt;author&gt;Hatzimichael, E.&lt;/author&gt;&lt;author&gt;Barbouti, A.&lt;/author&gt;&lt;author&gt;Kanavaros, P.&lt;/author&gt;&lt;/authors&gt;&lt;/contributors&gt;&lt;auth-address&gt;Department of Pathology, Faculty of Medicine, University of Ioannina, Ioannina, Greece. apapoudoubai@gmail.com.&amp;#xD;Department of Hematology, Faculty of Medicine, University of Ioannina, Ioannina, Greece.&amp;#xD;Department of Anatomy-Histology-Embryology, Faculty of Medicine, University of Ioannina, Ioannina, Greece.&amp;#xD;Department of Anatomy-Histology-Embryology, Faculty of Medicine, University of Ioannina, Ioannina, Greece. pkanavar@cc.uoi.gr.&lt;/auth-address&gt;&lt;titles&gt;&lt;title&gt;Expression patterns of the activator protein-1 (AP-1) family members in lymphoid neoplasms&lt;/title&gt;&lt;secondary-title&gt;Clin Exp Med&lt;/secondary-title&gt;&lt;/titles&gt;&lt;periodical&gt;&lt;full-title&gt;Clin Exp Med&lt;/full-title&gt;&lt;/periodical&gt;&lt;pages&gt;291-304&lt;/pages&gt;&lt;volume&gt;17&lt;/volume&gt;&lt;number&gt;3&lt;/number&gt;&lt;edition&gt;2016/09/08&lt;/edition&gt;&lt;keywords&gt;&lt;keyword&gt;Gene Expression Regulation&lt;/keyword&gt;&lt;keyword&gt;Humans&lt;/keyword&gt;&lt;keyword&gt;Lymphoma/*pathology/*physiopathology&lt;/keyword&gt;&lt;keyword&gt;Transcription Factor AP-1/*metabolism&lt;/keyword&gt;&lt;keyword&gt;Ap-1&lt;/keyword&gt;&lt;keyword&gt;Lymphoid tissues&lt;/keyword&gt;&lt;keyword&gt;Lymphomas&lt;/keyword&gt;&lt;/keywords&gt;&lt;dates&gt;&lt;year&gt;2017&lt;/year&gt;&lt;pub-dates&gt;&lt;date&gt;Aug&lt;/date&gt;&lt;/pub-dates&gt;&lt;/dates&gt;&lt;isbn&gt;1591-9528 (Electronic)&amp;#xD;1591-8890 (Linking)&lt;/isbn&gt;&lt;accession-num&gt;27600282&lt;/accession-num&gt;&lt;urls&gt;&lt;related-urls&gt;&lt;url&gt;https://www.ncbi.nlm.nih.gov/pubmed/27600282&lt;/url&gt;&lt;/related-urls&gt;&lt;/urls&gt;&lt;electronic-resource-num&gt;10.1007/s10238-016-0436-z&lt;/electronic-resource-num&gt;&lt;/record&gt;&lt;/Cite&gt;&lt;/EndNote&gt;</w:instrText>
      </w:r>
      <w:r w:rsidRPr="0052616E">
        <w:rPr>
          <w:rFonts w:asciiTheme="minorHAnsi" w:hAnsiTheme="minorHAnsi" w:cstheme="minorHAnsi"/>
          <w:szCs w:val="22"/>
        </w:rPr>
        <w:fldChar w:fldCharType="separate"/>
      </w:r>
      <w:r w:rsidRPr="0052616E">
        <w:rPr>
          <w:rFonts w:asciiTheme="minorHAnsi" w:hAnsiTheme="minorHAnsi" w:cstheme="minorHAnsi"/>
          <w:noProof/>
          <w:szCs w:val="22"/>
        </w:rPr>
        <w:t>[13]</w:t>
      </w:r>
      <w:r w:rsidRPr="0052616E">
        <w:rPr>
          <w:rFonts w:asciiTheme="minorHAnsi" w:hAnsiTheme="minorHAnsi" w:cstheme="minorHAnsi"/>
          <w:szCs w:val="22"/>
        </w:rPr>
        <w:fldChar w:fldCharType="end"/>
      </w:r>
      <w:bookmarkStart w:id="2" w:name="__DdeLink__37296_3925396796"/>
      <w:r w:rsidRPr="0052616E">
        <w:rPr>
          <w:rFonts w:asciiTheme="minorHAnsi" w:hAnsiTheme="minorHAnsi" w:cstheme="minorHAnsi"/>
          <w:szCs w:val="22"/>
        </w:rPr>
        <w:t>.</w:t>
      </w:r>
      <w:bookmarkEnd w:id="2"/>
      <w:r w:rsidRPr="0052616E">
        <w:rPr>
          <w:rFonts w:asciiTheme="minorHAnsi" w:hAnsiTheme="minorHAnsi" w:cstheme="minorHAnsi"/>
          <w:szCs w:val="22"/>
        </w:rPr>
        <w:t xml:space="preserve"> Additionally, predicted enriched known motifs are binding sites for MITF and VDR.</w:t>
      </w:r>
    </w:p>
    <w:p w14:paraId="28B74D34" w14:textId="77777777" w:rsidR="0052616E" w:rsidRPr="0052616E" w:rsidRDefault="0052616E" w:rsidP="0052616E">
      <w:pPr>
        <w:spacing w:line="360" w:lineRule="auto"/>
        <w:rPr>
          <w:rFonts w:asciiTheme="minorHAnsi" w:hAnsiTheme="minorHAnsi" w:cstheme="minorHAnsi"/>
          <w:szCs w:val="22"/>
        </w:rPr>
      </w:pPr>
    </w:p>
    <w:p w14:paraId="1B198D9F" w14:textId="77777777" w:rsidR="0052616E" w:rsidRDefault="0052616E" w:rsidP="0052616E">
      <w:pPr>
        <w:spacing w:line="360" w:lineRule="auto"/>
        <w:rPr>
          <w:rFonts w:asciiTheme="minorHAnsi" w:hAnsiTheme="minorHAnsi" w:cstheme="minorHAnsi"/>
        </w:rPr>
      </w:pPr>
      <w:r w:rsidRPr="00342DC6">
        <w:rPr>
          <w:rFonts w:asciiTheme="minorHAnsi" w:hAnsiTheme="minorHAnsi" w:cstheme="minorHAnsi"/>
          <w:sz w:val="22"/>
          <w:szCs w:val="22"/>
        </w:rPr>
        <w:t xml:space="preserve"> </w:t>
      </w:r>
    </w:p>
    <w:p w14:paraId="3E5ADC69" w14:textId="77777777" w:rsidR="0052616E" w:rsidRDefault="0052616E" w:rsidP="0052616E">
      <w:pPr>
        <w:spacing w:line="360" w:lineRule="auto"/>
        <w:rPr>
          <w:rFonts w:asciiTheme="minorHAnsi" w:hAnsiTheme="minorHAnsi" w:cstheme="minorHAnsi"/>
        </w:rPr>
      </w:pPr>
    </w:p>
    <w:p w14:paraId="3EC68535" w14:textId="77777777" w:rsidR="0052616E" w:rsidRDefault="0052616E" w:rsidP="0052616E">
      <w:pPr>
        <w:spacing w:line="360" w:lineRule="auto"/>
        <w:rPr>
          <w:rFonts w:asciiTheme="minorHAnsi" w:hAnsiTheme="minorHAnsi" w:cstheme="minorHAnsi"/>
        </w:rPr>
      </w:pPr>
    </w:p>
    <w:p w14:paraId="60F10CA8" w14:textId="78A33E90" w:rsidR="0052616E" w:rsidRDefault="0052616E" w:rsidP="0052616E">
      <w:pPr>
        <w:spacing w:line="360" w:lineRule="auto"/>
        <w:rPr>
          <w:rFonts w:asciiTheme="minorHAnsi" w:hAnsiTheme="minorHAnsi" w:cstheme="minorHAnsi"/>
        </w:rPr>
      </w:pPr>
    </w:p>
    <w:p w14:paraId="29A4119A" w14:textId="77777777" w:rsidR="0052616E" w:rsidRDefault="0052616E" w:rsidP="0052616E">
      <w:pPr>
        <w:spacing w:line="360" w:lineRule="auto"/>
        <w:rPr>
          <w:rFonts w:asciiTheme="minorHAnsi" w:hAnsiTheme="minorHAnsi" w:cstheme="minorHAnsi"/>
        </w:rPr>
      </w:pPr>
    </w:p>
    <w:p w14:paraId="1A7F7109" w14:textId="77777777" w:rsidR="0052616E" w:rsidRPr="00342DC6" w:rsidRDefault="0052616E" w:rsidP="0052616E">
      <w:pPr>
        <w:spacing w:line="360" w:lineRule="auto"/>
        <w:rPr>
          <w:rFonts w:asciiTheme="minorHAnsi" w:hAnsiTheme="minorHAnsi" w:cstheme="minorHAnsi"/>
          <w:sz w:val="22"/>
          <w:szCs w:val="22"/>
        </w:rPr>
      </w:pPr>
    </w:p>
    <w:p w14:paraId="26201E3E" w14:textId="10718FD1" w:rsidR="0052616E" w:rsidRPr="00342DC6" w:rsidRDefault="0052616E" w:rsidP="0052616E">
      <w:pPr>
        <w:spacing w:line="360" w:lineRule="auto"/>
        <w:rPr>
          <w:rFonts w:asciiTheme="minorHAnsi" w:hAnsiTheme="minorHAnsi" w:cstheme="minorHAnsi"/>
          <w:sz w:val="22"/>
          <w:szCs w:val="22"/>
        </w:rPr>
      </w:pPr>
      <w:r>
        <w:rPr>
          <w:rFonts w:asciiTheme="minorHAnsi" w:hAnsiTheme="minorHAnsi" w:cstheme="minorHAnsi"/>
          <w:b/>
          <w:bCs/>
          <w:i/>
          <w:iCs/>
          <w:sz w:val="22"/>
          <w:szCs w:val="22"/>
        </w:rPr>
        <w:lastRenderedPageBreak/>
        <w:t>Supplementary Table S10</w:t>
      </w:r>
      <w:r w:rsidRPr="00342DC6">
        <w:rPr>
          <w:rFonts w:asciiTheme="minorHAnsi" w:hAnsiTheme="minorHAnsi" w:cstheme="minorHAnsi"/>
          <w:sz w:val="22"/>
          <w:szCs w:val="22"/>
        </w:rPr>
        <w:t>: HOMER known motif enrichment results of DEG in gSAT before and after training.</w:t>
      </w:r>
    </w:p>
    <w:tbl>
      <w:tblPr>
        <w:tblW w:w="9990" w:type="dxa"/>
        <w:tblInd w:w="-2" w:type="dxa"/>
        <w:tblBorders>
          <w:top w:val="single" w:sz="6" w:space="0" w:color="808080"/>
          <w:left w:val="single" w:sz="2" w:space="0" w:color="808080"/>
          <w:bottom w:val="single" w:sz="2" w:space="0" w:color="808080"/>
          <w:insideH w:val="single" w:sz="2" w:space="0" w:color="808080"/>
        </w:tblBorders>
        <w:tblCellMar>
          <w:top w:w="28" w:type="dxa"/>
          <w:left w:w="24" w:type="dxa"/>
          <w:bottom w:w="28" w:type="dxa"/>
          <w:right w:w="28" w:type="dxa"/>
        </w:tblCellMar>
        <w:tblLook w:val="0000" w:firstRow="0" w:lastRow="0" w:firstColumn="0" w:lastColumn="0" w:noHBand="0" w:noVBand="0"/>
      </w:tblPr>
      <w:tblGrid>
        <w:gridCol w:w="4592"/>
        <w:gridCol w:w="878"/>
        <w:gridCol w:w="609"/>
        <w:gridCol w:w="844"/>
        <w:gridCol w:w="727"/>
        <w:gridCol w:w="820"/>
        <w:gridCol w:w="718"/>
        <w:gridCol w:w="802"/>
      </w:tblGrid>
      <w:tr w:rsidR="0052616E" w:rsidRPr="00342DC6" w14:paraId="340D3B8A" w14:textId="77777777" w:rsidTr="00C36E44">
        <w:tc>
          <w:tcPr>
            <w:tcW w:w="4590" w:type="dxa"/>
            <w:tcBorders>
              <w:top w:val="single" w:sz="6" w:space="0" w:color="808080"/>
              <w:left w:val="single" w:sz="2" w:space="0" w:color="808080"/>
              <w:bottom w:val="single" w:sz="2" w:space="0" w:color="808080"/>
            </w:tcBorders>
            <w:shd w:val="clear" w:color="auto" w:fill="auto"/>
            <w:tcMar>
              <w:left w:w="24" w:type="dxa"/>
            </w:tcMar>
            <w:vAlign w:val="center"/>
          </w:tcPr>
          <w:p w14:paraId="3934FE4D"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Motif</w:t>
            </w:r>
          </w:p>
        </w:tc>
        <w:tc>
          <w:tcPr>
            <w:tcW w:w="878" w:type="dxa"/>
            <w:tcBorders>
              <w:top w:val="single" w:sz="6" w:space="0" w:color="808080"/>
              <w:left w:val="single" w:sz="2" w:space="0" w:color="808080"/>
              <w:bottom w:val="single" w:sz="2" w:space="0" w:color="808080"/>
            </w:tcBorders>
            <w:shd w:val="clear" w:color="auto" w:fill="auto"/>
            <w:tcMar>
              <w:left w:w="24" w:type="dxa"/>
            </w:tcMar>
            <w:vAlign w:val="center"/>
          </w:tcPr>
          <w:p w14:paraId="410C9847"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Name</w:t>
            </w:r>
          </w:p>
        </w:tc>
        <w:tc>
          <w:tcPr>
            <w:tcW w:w="609" w:type="dxa"/>
            <w:tcBorders>
              <w:top w:val="single" w:sz="6" w:space="0" w:color="808080"/>
              <w:left w:val="single" w:sz="2" w:space="0" w:color="808080"/>
              <w:bottom w:val="single" w:sz="2" w:space="0" w:color="808080"/>
            </w:tcBorders>
            <w:shd w:val="clear" w:color="auto" w:fill="auto"/>
            <w:tcMar>
              <w:left w:w="24" w:type="dxa"/>
            </w:tcMar>
            <w:vAlign w:val="center"/>
          </w:tcPr>
          <w:p w14:paraId="1B3AC080"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P-val</w:t>
            </w:r>
          </w:p>
        </w:tc>
        <w:tc>
          <w:tcPr>
            <w:tcW w:w="844" w:type="dxa"/>
            <w:tcBorders>
              <w:top w:val="single" w:sz="6" w:space="0" w:color="808080"/>
              <w:left w:val="single" w:sz="2" w:space="0" w:color="808080"/>
              <w:bottom w:val="single" w:sz="2" w:space="0" w:color="808080"/>
            </w:tcBorders>
            <w:shd w:val="clear" w:color="auto" w:fill="auto"/>
            <w:tcMar>
              <w:left w:w="24" w:type="dxa"/>
            </w:tcMar>
            <w:vAlign w:val="center"/>
          </w:tcPr>
          <w:p w14:paraId="37F7A6C6"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q-val</w:t>
            </w:r>
          </w:p>
        </w:tc>
        <w:tc>
          <w:tcPr>
            <w:tcW w:w="727" w:type="dxa"/>
            <w:tcBorders>
              <w:top w:val="single" w:sz="6" w:space="0" w:color="808080"/>
              <w:left w:val="single" w:sz="2" w:space="0" w:color="808080"/>
              <w:bottom w:val="single" w:sz="2" w:space="0" w:color="808080"/>
            </w:tcBorders>
            <w:shd w:val="clear" w:color="auto" w:fill="auto"/>
            <w:tcMar>
              <w:left w:w="24" w:type="dxa"/>
            </w:tcMar>
            <w:vAlign w:val="center"/>
          </w:tcPr>
          <w:p w14:paraId="32C5BD37"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Target Seq</w:t>
            </w:r>
          </w:p>
        </w:tc>
        <w:tc>
          <w:tcPr>
            <w:tcW w:w="820" w:type="dxa"/>
            <w:tcBorders>
              <w:top w:val="single" w:sz="6" w:space="0" w:color="808080"/>
              <w:left w:val="single" w:sz="2" w:space="0" w:color="808080"/>
              <w:bottom w:val="single" w:sz="2" w:space="0" w:color="808080"/>
            </w:tcBorders>
            <w:shd w:val="clear" w:color="auto" w:fill="auto"/>
            <w:tcMar>
              <w:left w:w="24" w:type="dxa"/>
            </w:tcMar>
            <w:vAlign w:val="center"/>
          </w:tcPr>
          <w:p w14:paraId="66F8C52A"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Targets Seq</w:t>
            </w:r>
          </w:p>
        </w:tc>
        <w:tc>
          <w:tcPr>
            <w:tcW w:w="718" w:type="dxa"/>
            <w:tcBorders>
              <w:top w:val="single" w:sz="6" w:space="0" w:color="808080"/>
              <w:left w:val="single" w:sz="2" w:space="0" w:color="808080"/>
              <w:bottom w:val="single" w:sz="2" w:space="0" w:color="808080"/>
            </w:tcBorders>
            <w:shd w:val="clear" w:color="auto" w:fill="auto"/>
            <w:tcMar>
              <w:left w:w="24" w:type="dxa"/>
            </w:tcMar>
            <w:vAlign w:val="center"/>
          </w:tcPr>
          <w:p w14:paraId="70B0C275"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Bkg Seq</w:t>
            </w:r>
          </w:p>
        </w:tc>
        <w:tc>
          <w:tcPr>
            <w:tcW w:w="802" w:type="dxa"/>
            <w:tcBorders>
              <w:top w:val="single" w:sz="6" w:space="0" w:color="808080"/>
              <w:left w:val="single" w:sz="2" w:space="0" w:color="808080"/>
              <w:bottom w:val="single" w:sz="2" w:space="0" w:color="808080"/>
              <w:right w:val="single" w:sz="2" w:space="0" w:color="808080"/>
            </w:tcBorders>
            <w:shd w:val="clear" w:color="auto" w:fill="auto"/>
            <w:tcMar>
              <w:left w:w="24" w:type="dxa"/>
            </w:tcMar>
            <w:vAlign w:val="center"/>
          </w:tcPr>
          <w:p w14:paraId="4820F96A"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Bkg Seq</w:t>
            </w:r>
          </w:p>
        </w:tc>
      </w:tr>
      <w:tr w:rsidR="0052616E" w:rsidRPr="00342DC6" w14:paraId="684B85D0" w14:textId="77777777" w:rsidTr="00C36E44">
        <w:tc>
          <w:tcPr>
            <w:tcW w:w="4590" w:type="dxa"/>
            <w:tcBorders>
              <w:top w:val="single" w:sz="2" w:space="0" w:color="808080"/>
              <w:left w:val="single" w:sz="2" w:space="0" w:color="808080"/>
              <w:bottom w:val="single" w:sz="2" w:space="0" w:color="808080"/>
            </w:tcBorders>
            <w:shd w:val="clear" w:color="auto" w:fill="auto"/>
            <w:tcMar>
              <w:left w:w="24" w:type="dxa"/>
            </w:tcMar>
            <w:vAlign w:val="center"/>
          </w:tcPr>
          <w:p w14:paraId="7AB1E36A"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72576" behindDoc="0" locked="0" layoutInCell="1" allowOverlap="1" wp14:anchorId="7321F080" wp14:editId="7814649E">
                  <wp:simplePos x="0" y="0"/>
                  <wp:positionH relativeFrom="column">
                    <wp:align>center</wp:align>
                  </wp:positionH>
                  <wp:positionV relativeFrom="paragraph">
                    <wp:posOffset>635</wp:posOffset>
                  </wp:positionV>
                  <wp:extent cx="2879090" cy="471805"/>
                  <wp:effectExtent l="0" t="0" r="0" b="0"/>
                  <wp:wrapSquare wrapText="largest"/>
                  <wp:docPr id="1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
                          <pic:cNvPicPr>
                            <a:picLocks noChangeAspect="1" noChangeArrowheads="1"/>
                          </pic:cNvPicPr>
                        </pic:nvPicPr>
                        <pic:blipFill>
                          <a:blip r:embed="rId19"/>
                          <a:stretch>
                            <a:fillRect/>
                          </a:stretch>
                        </pic:blipFill>
                        <pic:spPr bwMode="auto">
                          <a:xfrm>
                            <a:off x="0" y="0"/>
                            <a:ext cx="2879090" cy="471805"/>
                          </a:xfrm>
                          <a:prstGeom prst="rect">
                            <a:avLst/>
                          </a:prstGeom>
                        </pic:spPr>
                      </pic:pic>
                    </a:graphicData>
                  </a:graphic>
                </wp:anchor>
              </w:drawing>
            </w:r>
          </w:p>
        </w:tc>
        <w:tc>
          <w:tcPr>
            <w:tcW w:w="878" w:type="dxa"/>
            <w:tcBorders>
              <w:top w:val="single" w:sz="2" w:space="0" w:color="808080"/>
              <w:left w:val="single" w:sz="2" w:space="0" w:color="808080"/>
              <w:bottom w:val="single" w:sz="2" w:space="0" w:color="808080"/>
            </w:tcBorders>
            <w:shd w:val="clear" w:color="auto" w:fill="auto"/>
            <w:tcMar>
              <w:left w:w="24" w:type="dxa"/>
            </w:tcMar>
            <w:vAlign w:val="center"/>
          </w:tcPr>
          <w:p w14:paraId="156E41E3"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 xml:space="preserve">Atf3 </w:t>
            </w:r>
            <w:r w:rsidRPr="00342DC6">
              <w:rPr>
                <w:rFonts w:asciiTheme="minorHAnsi" w:hAnsiTheme="minorHAnsi" w:cstheme="minorHAnsi"/>
                <w:sz w:val="22"/>
                <w:szCs w:val="22"/>
              </w:rPr>
              <w:t>(bZIP)</w:t>
            </w:r>
          </w:p>
        </w:tc>
        <w:tc>
          <w:tcPr>
            <w:tcW w:w="609" w:type="dxa"/>
            <w:tcBorders>
              <w:top w:val="single" w:sz="2" w:space="0" w:color="808080"/>
              <w:left w:val="single" w:sz="2" w:space="0" w:color="808080"/>
              <w:bottom w:val="single" w:sz="2" w:space="0" w:color="808080"/>
            </w:tcBorders>
            <w:shd w:val="clear" w:color="auto" w:fill="auto"/>
            <w:tcMar>
              <w:left w:w="24" w:type="dxa"/>
            </w:tcMar>
            <w:vAlign w:val="center"/>
          </w:tcPr>
          <w:p w14:paraId="41E255F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1e-3</w:t>
            </w:r>
          </w:p>
        </w:tc>
        <w:tc>
          <w:tcPr>
            <w:tcW w:w="844" w:type="dxa"/>
            <w:tcBorders>
              <w:top w:val="single" w:sz="2" w:space="0" w:color="808080"/>
              <w:left w:val="single" w:sz="2" w:space="0" w:color="808080"/>
              <w:bottom w:val="single" w:sz="2" w:space="0" w:color="808080"/>
            </w:tcBorders>
            <w:shd w:val="clear" w:color="auto" w:fill="auto"/>
            <w:tcMar>
              <w:left w:w="24" w:type="dxa"/>
            </w:tcMar>
            <w:vAlign w:val="center"/>
          </w:tcPr>
          <w:p w14:paraId="2309B16A"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0.3459</w:t>
            </w:r>
          </w:p>
        </w:tc>
        <w:tc>
          <w:tcPr>
            <w:tcW w:w="727" w:type="dxa"/>
            <w:tcBorders>
              <w:top w:val="single" w:sz="2" w:space="0" w:color="808080"/>
              <w:left w:val="single" w:sz="2" w:space="0" w:color="808080"/>
              <w:bottom w:val="single" w:sz="2" w:space="0" w:color="808080"/>
            </w:tcBorders>
            <w:shd w:val="clear" w:color="auto" w:fill="auto"/>
            <w:tcMar>
              <w:left w:w="24" w:type="dxa"/>
            </w:tcMar>
            <w:vAlign w:val="center"/>
          </w:tcPr>
          <w:p w14:paraId="45E7F591"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10.0</w:t>
            </w:r>
          </w:p>
        </w:tc>
        <w:tc>
          <w:tcPr>
            <w:tcW w:w="820" w:type="dxa"/>
            <w:tcBorders>
              <w:top w:val="single" w:sz="2" w:space="0" w:color="808080"/>
              <w:left w:val="single" w:sz="2" w:space="0" w:color="808080"/>
              <w:bottom w:val="single" w:sz="2" w:space="0" w:color="808080"/>
            </w:tcBorders>
            <w:shd w:val="clear" w:color="auto" w:fill="auto"/>
            <w:tcMar>
              <w:left w:w="24" w:type="dxa"/>
            </w:tcMar>
            <w:vAlign w:val="center"/>
          </w:tcPr>
          <w:p w14:paraId="6EC48F2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20.41%</w:t>
            </w:r>
          </w:p>
        </w:tc>
        <w:tc>
          <w:tcPr>
            <w:tcW w:w="718" w:type="dxa"/>
            <w:tcBorders>
              <w:top w:val="single" w:sz="2" w:space="0" w:color="808080"/>
              <w:left w:val="single" w:sz="2" w:space="0" w:color="808080"/>
              <w:bottom w:val="single" w:sz="2" w:space="0" w:color="808080"/>
            </w:tcBorders>
            <w:shd w:val="clear" w:color="auto" w:fill="auto"/>
            <w:tcMar>
              <w:left w:w="24" w:type="dxa"/>
            </w:tcMar>
            <w:vAlign w:val="center"/>
          </w:tcPr>
          <w:p w14:paraId="05B4659F"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825.7</w:t>
            </w:r>
          </w:p>
        </w:tc>
        <w:tc>
          <w:tcPr>
            <w:tcW w:w="802"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74AB3CE1"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6.25%</w:t>
            </w:r>
          </w:p>
        </w:tc>
      </w:tr>
      <w:tr w:rsidR="0052616E" w:rsidRPr="00342DC6" w14:paraId="3AE6D13D" w14:textId="77777777" w:rsidTr="00C36E44">
        <w:tc>
          <w:tcPr>
            <w:tcW w:w="4590" w:type="dxa"/>
            <w:tcBorders>
              <w:top w:val="single" w:sz="2" w:space="0" w:color="808080"/>
              <w:left w:val="single" w:sz="2" w:space="0" w:color="808080"/>
              <w:bottom w:val="single" w:sz="2" w:space="0" w:color="808080"/>
            </w:tcBorders>
            <w:shd w:val="clear" w:color="auto" w:fill="auto"/>
            <w:tcMar>
              <w:left w:w="24" w:type="dxa"/>
            </w:tcMar>
            <w:vAlign w:val="center"/>
          </w:tcPr>
          <w:p w14:paraId="345962FE"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73600" behindDoc="0" locked="0" layoutInCell="1" allowOverlap="1" wp14:anchorId="416506FF" wp14:editId="5BCA3961">
                  <wp:simplePos x="0" y="0"/>
                  <wp:positionH relativeFrom="column">
                    <wp:align>center</wp:align>
                  </wp:positionH>
                  <wp:positionV relativeFrom="paragraph">
                    <wp:posOffset>635</wp:posOffset>
                  </wp:positionV>
                  <wp:extent cx="2879090" cy="471805"/>
                  <wp:effectExtent l="0" t="0" r="0" b="0"/>
                  <wp:wrapSquare wrapText="largest"/>
                  <wp:docPr id="1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
                          <pic:cNvPicPr>
                            <a:picLocks noChangeAspect="1" noChangeArrowheads="1"/>
                          </pic:cNvPicPr>
                        </pic:nvPicPr>
                        <pic:blipFill>
                          <a:blip r:embed="rId20"/>
                          <a:stretch>
                            <a:fillRect/>
                          </a:stretch>
                        </pic:blipFill>
                        <pic:spPr bwMode="auto">
                          <a:xfrm>
                            <a:off x="0" y="0"/>
                            <a:ext cx="2879090" cy="471805"/>
                          </a:xfrm>
                          <a:prstGeom prst="rect">
                            <a:avLst/>
                          </a:prstGeom>
                        </pic:spPr>
                      </pic:pic>
                    </a:graphicData>
                  </a:graphic>
                </wp:anchor>
              </w:drawing>
            </w:r>
          </w:p>
        </w:tc>
        <w:tc>
          <w:tcPr>
            <w:tcW w:w="878" w:type="dxa"/>
            <w:tcBorders>
              <w:top w:val="single" w:sz="2" w:space="0" w:color="808080"/>
              <w:left w:val="single" w:sz="2" w:space="0" w:color="808080"/>
              <w:bottom w:val="single" w:sz="2" w:space="0" w:color="808080"/>
            </w:tcBorders>
            <w:shd w:val="clear" w:color="auto" w:fill="auto"/>
            <w:tcMar>
              <w:left w:w="24" w:type="dxa"/>
            </w:tcMar>
            <w:vAlign w:val="center"/>
          </w:tcPr>
          <w:p w14:paraId="6437695C"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 xml:space="preserve">Fra1 </w:t>
            </w:r>
            <w:r w:rsidRPr="00342DC6">
              <w:rPr>
                <w:rFonts w:asciiTheme="minorHAnsi" w:hAnsiTheme="minorHAnsi" w:cstheme="minorHAnsi"/>
                <w:sz w:val="22"/>
                <w:szCs w:val="22"/>
              </w:rPr>
              <w:t>(bZIP)</w:t>
            </w:r>
          </w:p>
        </w:tc>
        <w:tc>
          <w:tcPr>
            <w:tcW w:w="609" w:type="dxa"/>
            <w:tcBorders>
              <w:top w:val="single" w:sz="2" w:space="0" w:color="808080"/>
              <w:left w:val="single" w:sz="2" w:space="0" w:color="808080"/>
              <w:bottom w:val="single" w:sz="2" w:space="0" w:color="808080"/>
            </w:tcBorders>
            <w:shd w:val="clear" w:color="auto" w:fill="auto"/>
            <w:tcMar>
              <w:left w:w="24" w:type="dxa"/>
            </w:tcMar>
            <w:vAlign w:val="center"/>
          </w:tcPr>
          <w:p w14:paraId="3CD1EC60"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1e-2</w:t>
            </w:r>
          </w:p>
        </w:tc>
        <w:tc>
          <w:tcPr>
            <w:tcW w:w="844" w:type="dxa"/>
            <w:tcBorders>
              <w:top w:val="single" w:sz="2" w:space="0" w:color="808080"/>
              <w:left w:val="single" w:sz="2" w:space="0" w:color="808080"/>
              <w:bottom w:val="single" w:sz="2" w:space="0" w:color="808080"/>
            </w:tcBorders>
            <w:shd w:val="clear" w:color="auto" w:fill="auto"/>
            <w:tcMar>
              <w:left w:w="24" w:type="dxa"/>
            </w:tcMar>
            <w:vAlign w:val="center"/>
          </w:tcPr>
          <w:p w14:paraId="5C6605A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0.3459</w:t>
            </w:r>
          </w:p>
        </w:tc>
        <w:tc>
          <w:tcPr>
            <w:tcW w:w="727" w:type="dxa"/>
            <w:tcBorders>
              <w:top w:val="single" w:sz="2" w:space="0" w:color="808080"/>
              <w:left w:val="single" w:sz="2" w:space="0" w:color="808080"/>
              <w:bottom w:val="single" w:sz="2" w:space="0" w:color="808080"/>
            </w:tcBorders>
            <w:shd w:val="clear" w:color="auto" w:fill="auto"/>
            <w:tcMar>
              <w:left w:w="24" w:type="dxa"/>
            </w:tcMar>
            <w:vAlign w:val="center"/>
          </w:tcPr>
          <w:p w14:paraId="50F49FC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9.0</w:t>
            </w:r>
          </w:p>
        </w:tc>
        <w:tc>
          <w:tcPr>
            <w:tcW w:w="820" w:type="dxa"/>
            <w:tcBorders>
              <w:top w:val="single" w:sz="2" w:space="0" w:color="808080"/>
              <w:left w:val="single" w:sz="2" w:space="0" w:color="808080"/>
              <w:bottom w:val="single" w:sz="2" w:space="0" w:color="808080"/>
            </w:tcBorders>
            <w:shd w:val="clear" w:color="auto" w:fill="auto"/>
            <w:tcMar>
              <w:left w:w="24" w:type="dxa"/>
            </w:tcMar>
            <w:vAlign w:val="center"/>
          </w:tcPr>
          <w:p w14:paraId="53A27EA4"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18.37%</w:t>
            </w:r>
          </w:p>
        </w:tc>
        <w:tc>
          <w:tcPr>
            <w:tcW w:w="718" w:type="dxa"/>
            <w:tcBorders>
              <w:top w:val="single" w:sz="2" w:space="0" w:color="808080"/>
              <w:left w:val="single" w:sz="2" w:space="0" w:color="808080"/>
              <w:bottom w:val="single" w:sz="2" w:space="0" w:color="808080"/>
            </w:tcBorders>
            <w:shd w:val="clear" w:color="auto" w:fill="auto"/>
            <w:tcMar>
              <w:left w:w="24" w:type="dxa"/>
            </w:tcMar>
            <w:vAlign w:val="center"/>
          </w:tcPr>
          <w:p w14:paraId="1BE14241"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727.7</w:t>
            </w:r>
          </w:p>
        </w:tc>
        <w:tc>
          <w:tcPr>
            <w:tcW w:w="802"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2BB787F0"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5.51%</w:t>
            </w:r>
          </w:p>
        </w:tc>
      </w:tr>
      <w:tr w:rsidR="0052616E" w:rsidRPr="00342DC6" w14:paraId="6065E7A2" w14:textId="77777777" w:rsidTr="00C36E44">
        <w:tc>
          <w:tcPr>
            <w:tcW w:w="4590" w:type="dxa"/>
            <w:tcBorders>
              <w:top w:val="single" w:sz="2" w:space="0" w:color="808080"/>
              <w:left w:val="single" w:sz="2" w:space="0" w:color="808080"/>
              <w:bottom w:val="single" w:sz="2" w:space="0" w:color="808080"/>
            </w:tcBorders>
            <w:shd w:val="clear" w:color="auto" w:fill="auto"/>
            <w:tcMar>
              <w:left w:w="24" w:type="dxa"/>
            </w:tcMar>
            <w:vAlign w:val="center"/>
          </w:tcPr>
          <w:p w14:paraId="43F5DCD6"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74624" behindDoc="0" locked="0" layoutInCell="1" allowOverlap="1" wp14:anchorId="780828C9" wp14:editId="6C118C18">
                  <wp:simplePos x="0" y="0"/>
                  <wp:positionH relativeFrom="column">
                    <wp:align>center</wp:align>
                  </wp:positionH>
                  <wp:positionV relativeFrom="paragraph">
                    <wp:posOffset>635</wp:posOffset>
                  </wp:positionV>
                  <wp:extent cx="2438400" cy="485775"/>
                  <wp:effectExtent l="0" t="0" r="0" b="0"/>
                  <wp:wrapSquare wrapText="largest"/>
                  <wp:docPr id="15"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3"/>
                          <pic:cNvPicPr>
                            <a:picLocks noChangeAspect="1" noChangeArrowheads="1"/>
                          </pic:cNvPicPr>
                        </pic:nvPicPr>
                        <pic:blipFill>
                          <a:blip r:embed="rId21"/>
                          <a:stretch>
                            <a:fillRect/>
                          </a:stretch>
                        </pic:blipFill>
                        <pic:spPr bwMode="auto">
                          <a:xfrm>
                            <a:off x="0" y="0"/>
                            <a:ext cx="2438400" cy="485775"/>
                          </a:xfrm>
                          <a:prstGeom prst="rect">
                            <a:avLst/>
                          </a:prstGeom>
                        </pic:spPr>
                      </pic:pic>
                    </a:graphicData>
                  </a:graphic>
                </wp:anchor>
              </w:drawing>
            </w:r>
          </w:p>
        </w:tc>
        <w:tc>
          <w:tcPr>
            <w:tcW w:w="878" w:type="dxa"/>
            <w:tcBorders>
              <w:top w:val="single" w:sz="2" w:space="0" w:color="808080"/>
              <w:left w:val="single" w:sz="2" w:space="0" w:color="808080"/>
              <w:bottom w:val="single" w:sz="2" w:space="0" w:color="808080"/>
            </w:tcBorders>
            <w:shd w:val="clear" w:color="auto" w:fill="auto"/>
            <w:tcMar>
              <w:left w:w="24" w:type="dxa"/>
            </w:tcMar>
            <w:vAlign w:val="center"/>
          </w:tcPr>
          <w:p w14:paraId="4A25E91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 xml:space="preserve">MITF </w:t>
            </w:r>
            <w:r w:rsidRPr="00342DC6">
              <w:rPr>
                <w:rFonts w:asciiTheme="minorHAnsi" w:hAnsiTheme="minorHAnsi" w:cstheme="minorHAnsi"/>
                <w:sz w:val="22"/>
                <w:szCs w:val="22"/>
              </w:rPr>
              <w:t>(bHLH)</w:t>
            </w:r>
          </w:p>
        </w:tc>
        <w:tc>
          <w:tcPr>
            <w:tcW w:w="609" w:type="dxa"/>
            <w:tcBorders>
              <w:top w:val="single" w:sz="2" w:space="0" w:color="808080"/>
              <w:left w:val="single" w:sz="2" w:space="0" w:color="808080"/>
              <w:bottom w:val="single" w:sz="2" w:space="0" w:color="808080"/>
            </w:tcBorders>
            <w:shd w:val="clear" w:color="auto" w:fill="auto"/>
            <w:tcMar>
              <w:left w:w="24" w:type="dxa"/>
            </w:tcMar>
            <w:vAlign w:val="center"/>
          </w:tcPr>
          <w:p w14:paraId="2B6CE28A"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1e-2</w:t>
            </w:r>
          </w:p>
        </w:tc>
        <w:tc>
          <w:tcPr>
            <w:tcW w:w="844" w:type="dxa"/>
            <w:tcBorders>
              <w:top w:val="single" w:sz="2" w:space="0" w:color="808080"/>
              <w:left w:val="single" w:sz="2" w:space="0" w:color="808080"/>
              <w:bottom w:val="single" w:sz="2" w:space="0" w:color="808080"/>
            </w:tcBorders>
            <w:shd w:val="clear" w:color="auto" w:fill="auto"/>
            <w:tcMar>
              <w:left w:w="24" w:type="dxa"/>
            </w:tcMar>
            <w:vAlign w:val="center"/>
          </w:tcPr>
          <w:p w14:paraId="0B3B9C4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0.5623</w:t>
            </w:r>
          </w:p>
        </w:tc>
        <w:tc>
          <w:tcPr>
            <w:tcW w:w="727" w:type="dxa"/>
            <w:tcBorders>
              <w:top w:val="single" w:sz="2" w:space="0" w:color="808080"/>
              <w:left w:val="single" w:sz="2" w:space="0" w:color="808080"/>
              <w:bottom w:val="single" w:sz="2" w:space="0" w:color="808080"/>
            </w:tcBorders>
            <w:shd w:val="clear" w:color="auto" w:fill="auto"/>
            <w:tcMar>
              <w:left w:w="24" w:type="dxa"/>
            </w:tcMar>
            <w:vAlign w:val="center"/>
          </w:tcPr>
          <w:p w14:paraId="08E728F6"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14.0</w:t>
            </w:r>
          </w:p>
        </w:tc>
        <w:tc>
          <w:tcPr>
            <w:tcW w:w="820" w:type="dxa"/>
            <w:tcBorders>
              <w:top w:val="single" w:sz="2" w:space="0" w:color="808080"/>
              <w:left w:val="single" w:sz="2" w:space="0" w:color="808080"/>
              <w:bottom w:val="single" w:sz="2" w:space="0" w:color="808080"/>
            </w:tcBorders>
            <w:shd w:val="clear" w:color="auto" w:fill="auto"/>
            <w:tcMar>
              <w:left w:w="24" w:type="dxa"/>
            </w:tcMar>
            <w:vAlign w:val="center"/>
          </w:tcPr>
          <w:p w14:paraId="271B1EB0"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28.57%</w:t>
            </w:r>
          </w:p>
        </w:tc>
        <w:tc>
          <w:tcPr>
            <w:tcW w:w="718" w:type="dxa"/>
            <w:tcBorders>
              <w:top w:val="single" w:sz="2" w:space="0" w:color="808080"/>
              <w:left w:val="single" w:sz="2" w:space="0" w:color="808080"/>
              <w:bottom w:val="single" w:sz="2" w:space="0" w:color="808080"/>
            </w:tcBorders>
            <w:shd w:val="clear" w:color="auto" w:fill="auto"/>
            <w:tcMar>
              <w:left w:w="24" w:type="dxa"/>
            </w:tcMar>
            <w:vAlign w:val="center"/>
          </w:tcPr>
          <w:p w14:paraId="56751E0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1761.8</w:t>
            </w:r>
          </w:p>
        </w:tc>
        <w:tc>
          <w:tcPr>
            <w:tcW w:w="802"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660EC9F0"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13.34%</w:t>
            </w:r>
          </w:p>
        </w:tc>
      </w:tr>
      <w:tr w:rsidR="0052616E" w:rsidRPr="00342DC6" w14:paraId="683DB1D0" w14:textId="77777777" w:rsidTr="00C36E44">
        <w:tc>
          <w:tcPr>
            <w:tcW w:w="4590" w:type="dxa"/>
            <w:tcBorders>
              <w:top w:val="single" w:sz="2" w:space="0" w:color="808080"/>
              <w:left w:val="single" w:sz="2" w:space="0" w:color="808080"/>
              <w:bottom w:val="single" w:sz="2" w:space="0" w:color="808080"/>
            </w:tcBorders>
            <w:shd w:val="clear" w:color="auto" w:fill="auto"/>
            <w:tcMar>
              <w:left w:w="24" w:type="dxa"/>
            </w:tcMar>
            <w:vAlign w:val="center"/>
          </w:tcPr>
          <w:p w14:paraId="40741DD3"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75648" behindDoc="0" locked="0" layoutInCell="1" allowOverlap="1" wp14:anchorId="78387644" wp14:editId="291E1128">
                  <wp:simplePos x="0" y="0"/>
                  <wp:positionH relativeFrom="column">
                    <wp:align>center</wp:align>
                  </wp:positionH>
                  <wp:positionV relativeFrom="paragraph">
                    <wp:posOffset>635</wp:posOffset>
                  </wp:positionV>
                  <wp:extent cx="2879090" cy="284480"/>
                  <wp:effectExtent l="0" t="0" r="0" b="0"/>
                  <wp:wrapSquare wrapText="largest"/>
                  <wp:docPr id="16"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
                          <pic:cNvPicPr>
                            <a:picLocks noChangeAspect="1" noChangeArrowheads="1"/>
                          </pic:cNvPicPr>
                        </pic:nvPicPr>
                        <pic:blipFill>
                          <a:blip r:embed="rId22"/>
                          <a:stretch>
                            <a:fillRect/>
                          </a:stretch>
                        </pic:blipFill>
                        <pic:spPr bwMode="auto">
                          <a:xfrm>
                            <a:off x="0" y="0"/>
                            <a:ext cx="2879090" cy="284480"/>
                          </a:xfrm>
                          <a:prstGeom prst="rect">
                            <a:avLst/>
                          </a:prstGeom>
                        </pic:spPr>
                      </pic:pic>
                    </a:graphicData>
                  </a:graphic>
                </wp:anchor>
              </w:drawing>
            </w:r>
          </w:p>
        </w:tc>
        <w:tc>
          <w:tcPr>
            <w:tcW w:w="878" w:type="dxa"/>
            <w:tcBorders>
              <w:top w:val="single" w:sz="2" w:space="0" w:color="808080"/>
              <w:left w:val="single" w:sz="2" w:space="0" w:color="808080"/>
              <w:bottom w:val="single" w:sz="2" w:space="0" w:color="808080"/>
            </w:tcBorders>
            <w:shd w:val="clear" w:color="auto" w:fill="auto"/>
            <w:tcMar>
              <w:left w:w="24" w:type="dxa"/>
            </w:tcMar>
            <w:vAlign w:val="center"/>
          </w:tcPr>
          <w:p w14:paraId="41A8F7A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 xml:space="preserve">VDR </w:t>
            </w:r>
            <w:r w:rsidRPr="00342DC6">
              <w:rPr>
                <w:rFonts w:asciiTheme="minorHAnsi" w:hAnsiTheme="minorHAnsi" w:cstheme="minorHAnsi"/>
                <w:sz w:val="22"/>
                <w:szCs w:val="22"/>
              </w:rPr>
              <w:t>(NR)</w:t>
            </w:r>
          </w:p>
        </w:tc>
        <w:tc>
          <w:tcPr>
            <w:tcW w:w="609" w:type="dxa"/>
            <w:tcBorders>
              <w:top w:val="single" w:sz="2" w:space="0" w:color="808080"/>
              <w:left w:val="single" w:sz="2" w:space="0" w:color="808080"/>
              <w:bottom w:val="single" w:sz="2" w:space="0" w:color="808080"/>
            </w:tcBorders>
            <w:shd w:val="clear" w:color="auto" w:fill="auto"/>
            <w:tcMar>
              <w:left w:w="24" w:type="dxa"/>
            </w:tcMar>
            <w:vAlign w:val="center"/>
          </w:tcPr>
          <w:p w14:paraId="0A328164"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1e-2</w:t>
            </w:r>
          </w:p>
        </w:tc>
        <w:tc>
          <w:tcPr>
            <w:tcW w:w="844" w:type="dxa"/>
            <w:tcBorders>
              <w:top w:val="single" w:sz="2" w:space="0" w:color="808080"/>
              <w:left w:val="single" w:sz="2" w:space="0" w:color="808080"/>
              <w:bottom w:val="single" w:sz="2" w:space="0" w:color="808080"/>
            </w:tcBorders>
            <w:shd w:val="clear" w:color="auto" w:fill="auto"/>
            <w:tcMar>
              <w:left w:w="24" w:type="dxa"/>
            </w:tcMar>
            <w:vAlign w:val="center"/>
          </w:tcPr>
          <w:p w14:paraId="4E9A8F20"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0.5623</w:t>
            </w:r>
          </w:p>
        </w:tc>
        <w:tc>
          <w:tcPr>
            <w:tcW w:w="727" w:type="dxa"/>
            <w:tcBorders>
              <w:top w:val="single" w:sz="2" w:space="0" w:color="808080"/>
              <w:left w:val="single" w:sz="2" w:space="0" w:color="808080"/>
              <w:bottom w:val="single" w:sz="2" w:space="0" w:color="808080"/>
            </w:tcBorders>
            <w:shd w:val="clear" w:color="auto" w:fill="auto"/>
            <w:tcMar>
              <w:left w:w="24" w:type="dxa"/>
            </w:tcMar>
            <w:vAlign w:val="center"/>
          </w:tcPr>
          <w:p w14:paraId="1A71A880"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6.0</w:t>
            </w:r>
          </w:p>
        </w:tc>
        <w:tc>
          <w:tcPr>
            <w:tcW w:w="820" w:type="dxa"/>
            <w:tcBorders>
              <w:top w:val="single" w:sz="2" w:space="0" w:color="808080"/>
              <w:left w:val="single" w:sz="2" w:space="0" w:color="808080"/>
              <w:bottom w:val="single" w:sz="2" w:space="0" w:color="808080"/>
            </w:tcBorders>
            <w:shd w:val="clear" w:color="auto" w:fill="auto"/>
            <w:tcMar>
              <w:left w:w="24" w:type="dxa"/>
            </w:tcMar>
            <w:vAlign w:val="center"/>
          </w:tcPr>
          <w:p w14:paraId="155A033B"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12.24%</w:t>
            </w:r>
          </w:p>
        </w:tc>
        <w:tc>
          <w:tcPr>
            <w:tcW w:w="718" w:type="dxa"/>
            <w:tcBorders>
              <w:top w:val="single" w:sz="2" w:space="0" w:color="808080"/>
              <w:left w:val="single" w:sz="2" w:space="0" w:color="808080"/>
              <w:bottom w:val="single" w:sz="2" w:space="0" w:color="808080"/>
            </w:tcBorders>
            <w:shd w:val="clear" w:color="auto" w:fill="auto"/>
            <w:tcMar>
              <w:left w:w="24" w:type="dxa"/>
            </w:tcMar>
            <w:vAlign w:val="center"/>
          </w:tcPr>
          <w:p w14:paraId="393AA1E9"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410.6</w:t>
            </w:r>
          </w:p>
        </w:tc>
        <w:tc>
          <w:tcPr>
            <w:tcW w:w="802"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19623952"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3.11%</w:t>
            </w:r>
          </w:p>
        </w:tc>
      </w:tr>
      <w:tr w:rsidR="0052616E" w:rsidRPr="00342DC6" w14:paraId="6FA87AD6" w14:textId="77777777" w:rsidTr="00C36E44">
        <w:tc>
          <w:tcPr>
            <w:tcW w:w="4590" w:type="dxa"/>
            <w:tcBorders>
              <w:top w:val="single" w:sz="2" w:space="0" w:color="808080"/>
              <w:left w:val="single" w:sz="2" w:space="0" w:color="808080"/>
              <w:bottom w:val="single" w:sz="6" w:space="0" w:color="808080"/>
            </w:tcBorders>
            <w:shd w:val="clear" w:color="auto" w:fill="auto"/>
            <w:tcMar>
              <w:left w:w="24" w:type="dxa"/>
            </w:tcMar>
            <w:vAlign w:val="center"/>
          </w:tcPr>
          <w:p w14:paraId="21DB6D2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76672" behindDoc="0" locked="0" layoutInCell="1" allowOverlap="1" wp14:anchorId="0184E827" wp14:editId="62CAD19E">
                  <wp:simplePos x="0" y="0"/>
                  <wp:positionH relativeFrom="column">
                    <wp:align>center</wp:align>
                  </wp:positionH>
                  <wp:positionV relativeFrom="paragraph">
                    <wp:posOffset>635</wp:posOffset>
                  </wp:positionV>
                  <wp:extent cx="2438400" cy="485775"/>
                  <wp:effectExtent l="0" t="0" r="0" b="0"/>
                  <wp:wrapSquare wrapText="largest"/>
                  <wp:docPr id="17"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5"/>
                          <pic:cNvPicPr>
                            <a:picLocks noChangeAspect="1" noChangeArrowheads="1"/>
                          </pic:cNvPicPr>
                        </pic:nvPicPr>
                        <pic:blipFill>
                          <a:blip r:embed="rId23"/>
                          <a:stretch>
                            <a:fillRect/>
                          </a:stretch>
                        </pic:blipFill>
                        <pic:spPr bwMode="auto">
                          <a:xfrm>
                            <a:off x="0" y="0"/>
                            <a:ext cx="2438400" cy="485775"/>
                          </a:xfrm>
                          <a:prstGeom prst="rect">
                            <a:avLst/>
                          </a:prstGeom>
                        </pic:spPr>
                      </pic:pic>
                    </a:graphicData>
                  </a:graphic>
                </wp:anchor>
              </w:drawing>
            </w:r>
          </w:p>
        </w:tc>
        <w:tc>
          <w:tcPr>
            <w:tcW w:w="878" w:type="dxa"/>
            <w:tcBorders>
              <w:top w:val="single" w:sz="2" w:space="0" w:color="808080"/>
              <w:left w:val="single" w:sz="2" w:space="0" w:color="808080"/>
              <w:bottom w:val="single" w:sz="6" w:space="0" w:color="808080"/>
            </w:tcBorders>
            <w:shd w:val="clear" w:color="auto" w:fill="auto"/>
            <w:tcMar>
              <w:left w:w="24" w:type="dxa"/>
            </w:tcMar>
            <w:vAlign w:val="center"/>
          </w:tcPr>
          <w:p w14:paraId="79F73CEB"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 xml:space="preserve">BATF </w:t>
            </w:r>
            <w:r w:rsidRPr="00342DC6">
              <w:rPr>
                <w:rFonts w:asciiTheme="minorHAnsi" w:hAnsiTheme="minorHAnsi" w:cstheme="minorHAnsi"/>
                <w:sz w:val="22"/>
                <w:szCs w:val="22"/>
              </w:rPr>
              <w:t>(bZIP)</w:t>
            </w:r>
          </w:p>
        </w:tc>
        <w:tc>
          <w:tcPr>
            <w:tcW w:w="609" w:type="dxa"/>
            <w:tcBorders>
              <w:top w:val="single" w:sz="2" w:space="0" w:color="808080"/>
              <w:left w:val="single" w:sz="2" w:space="0" w:color="808080"/>
              <w:bottom w:val="single" w:sz="6" w:space="0" w:color="808080"/>
            </w:tcBorders>
            <w:shd w:val="clear" w:color="auto" w:fill="auto"/>
            <w:tcMar>
              <w:left w:w="24" w:type="dxa"/>
            </w:tcMar>
            <w:vAlign w:val="center"/>
          </w:tcPr>
          <w:p w14:paraId="1CE8F5B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1e-2</w:t>
            </w:r>
          </w:p>
        </w:tc>
        <w:tc>
          <w:tcPr>
            <w:tcW w:w="844" w:type="dxa"/>
            <w:tcBorders>
              <w:top w:val="single" w:sz="2" w:space="0" w:color="808080"/>
              <w:left w:val="single" w:sz="2" w:space="0" w:color="808080"/>
              <w:bottom w:val="single" w:sz="6" w:space="0" w:color="808080"/>
            </w:tcBorders>
            <w:shd w:val="clear" w:color="auto" w:fill="auto"/>
            <w:tcMar>
              <w:left w:w="24" w:type="dxa"/>
            </w:tcMar>
            <w:vAlign w:val="center"/>
          </w:tcPr>
          <w:p w14:paraId="3027282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0.7614</w:t>
            </w:r>
          </w:p>
        </w:tc>
        <w:tc>
          <w:tcPr>
            <w:tcW w:w="727" w:type="dxa"/>
            <w:tcBorders>
              <w:top w:val="single" w:sz="2" w:space="0" w:color="808080"/>
              <w:left w:val="single" w:sz="2" w:space="0" w:color="808080"/>
              <w:bottom w:val="single" w:sz="6" w:space="0" w:color="808080"/>
            </w:tcBorders>
            <w:shd w:val="clear" w:color="auto" w:fill="auto"/>
            <w:tcMar>
              <w:left w:w="24" w:type="dxa"/>
            </w:tcMar>
            <w:vAlign w:val="center"/>
          </w:tcPr>
          <w:p w14:paraId="693C1C42"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8.0</w:t>
            </w:r>
          </w:p>
        </w:tc>
        <w:tc>
          <w:tcPr>
            <w:tcW w:w="820" w:type="dxa"/>
            <w:tcBorders>
              <w:top w:val="single" w:sz="2" w:space="0" w:color="808080"/>
              <w:left w:val="single" w:sz="2" w:space="0" w:color="808080"/>
              <w:bottom w:val="single" w:sz="6" w:space="0" w:color="808080"/>
            </w:tcBorders>
            <w:shd w:val="clear" w:color="auto" w:fill="auto"/>
            <w:tcMar>
              <w:left w:w="24" w:type="dxa"/>
            </w:tcMar>
            <w:vAlign w:val="center"/>
          </w:tcPr>
          <w:p w14:paraId="421503BE"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16.33%</w:t>
            </w:r>
          </w:p>
        </w:tc>
        <w:tc>
          <w:tcPr>
            <w:tcW w:w="718" w:type="dxa"/>
            <w:tcBorders>
              <w:top w:val="single" w:sz="2" w:space="0" w:color="808080"/>
              <w:left w:val="single" w:sz="2" w:space="0" w:color="808080"/>
              <w:bottom w:val="single" w:sz="6" w:space="0" w:color="808080"/>
            </w:tcBorders>
            <w:shd w:val="clear" w:color="auto" w:fill="auto"/>
            <w:tcMar>
              <w:left w:w="24" w:type="dxa"/>
            </w:tcMar>
            <w:vAlign w:val="center"/>
          </w:tcPr>
          <w:p w14:paraId="3B3D5BDA"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799.1</w:t>
            </w:r>
          </w:p>
        </w:tc>
        <w:tc>
          <w:tcPr>
            <w:tcW w:w="802" w:type="dxa"/>
            <w:tcBorders>
              <w:top w:val="single" w:sz="2" w:space="0" w:color="808080"/>
              <w:left w:val="single" w:sz="2" w:space="0" w:color="808080"/>
              <w:bottom w:val="single" w:sz="6" w:space="0" w:color="808080"/>
              <w:right w:val="single" w:sz="2" w:space="0" w:color="808080"/>
            </w:tcBorders>
            <w:shd w:val="clear" w:color="auto" w:fill="auto"/>
            <w:tcMar>
              <w:left w:w="24" w:type="dxa"/>
            </w:tcMar>
            <w:vAlign w:val="center"/>
          </w:tcPr>
          <w:p w14:paraId="3BF98D24"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6.05%</w:t>
            </w:r>
          </w:p>
        </w:tc>
      </w:tr>
    </w:tbl>
    <w:p w14:paraId="2D7D5F00" w14:textId="77777777" w:rsidR="0052616E" w:rsidRPr="00342DC6" w:rsidRDefault="0052616E" w:rsidP="0052616E">
      <w:pPr>
        <w:rPr>
          <w:rFonts w:asciiTheme="minorHAnsi" w:hAnsiTheme="minorHAnsi" w:cstheme="minorHAnsi"/>
          <w:sz w:val="22"/>
          <w:szCs w:val="22"/>
        </w:rPr>
      </w:pPr>
    </w:p>
    <w:p w14:paraId="3DB25532" w14:textId="77777777" w:rsidR="0052616E" w:rsidRPr="00342DC6" w:rsidRDefault="0052616E" w:rsidP="0052616E">
      <w:pPr>
        <w:rPr>
          <w:rFonts w:asciiTheme="minorHAnsi" w:hAnsiTheme="minorHAnsi" w:cstheme="minorHAnsi"/>
          <w:sz w:val="22"/>
          <w:szCs w:val="22"/>
        </w:rPr>
      </w:pPr>
    </w:p>
    <w:p w14:paraId="7D7B42F7" w14:textId="46FA66AF" w:rsidR="0052616E" w:rsidRPr="00342DC6" w:rsidRDefault="0052616E" w:rsidP="0052616E">
      <w:pPr>
        <w:spacing w:line="360" w:lineRule="auto"/>
        <w:rPr>
          <w:rFonts w:asciiTheme="minorHAnsi" w:hAnsiTheme="minorHAnsi" w:cstheme="minorHAnsi"/>
          <w:sz w:val="22"/>
          <w:szCs w:val="22"/>
        </w:rPr>
      </w:pPr>
      <w:r w:rsidRPr="00342DC6">
        <w:rPr>
          <w:rFonts w:asciiTheme="minorHAnsi" w:hAnsiTheme="minorHAnsi" w:cstheme="minorHAnsi"/>
          <w:b/>
          <w:bCs/>
          <w:i/>
          <w:iCs/>
          <w:sz w:val="22"/>
          <w:szCs w:val="22"/>
        </w:rPr>
        <w:t xml:space="preserve">Supplementary Table </w:t>
      </w:r>
      <w:r>
        <w:rPr>
          <w:rFonts w:asciiTheme="minorHAnsi" w:hAnsiTheme="minorHAnsi" w:cstheme="minorHAnsi"/>
          <w:b/>
          <w:bCs/>
          <w:i/>
          <w:iCs/>
          <w:sz w:val="22"/>
          <w:szCs w:val="22"/>
        </w:rPr>
        <w:t>S11</w:t>
      </w:r>
      <w:r w:rsidRPr="00342DC6">
        <w:rPr>
          <w:rFonts w:asciiTheme="minorHAnsi" w:hAnsiTheme="minorHAnsi" w:cstheme="minorHAnsi"/>
          <w:sz w:val="22"/>
          <w:szCs w:val="22"/>
        </w:rPr>
        <w:t>: HOMER</w:t>
      </w:r>
      <w:r w:rsidRPr="00342DC6">
        <w:rPr>
          <w:rFonts w:asciiTheme="minorHAnsi" w:hAnsiTheme="minorHAnsi" w:cstheme="minorHAnsi"/>
          <w:b/>
          <w:bCs/>
          <w:i/>
          <w:iCs/>
          <w:sz w:val="22"/>
          <w:szCs w:val="22"/>
        </w:rPr>
        <w:t xml:space="preserve"> </w:t>
      </w:r>
      <w:r w:rsidRPr="00342DC6">
        <w:rPr>
          <w:rFonts w:asciiTheme="minorHAnsi" w:hAnsiTheme="minorHAnsi" w:cstheme="minorHAnsi"/>
          <w:i/>
          <w:iCs/>
          <w:sz w:val="22"/>
          <w:szCs w:val="22"/>
        </w:rPr>
        <w:t>de novo</w:t>
      </w:r>
      <w:r w:rsidRPr="00342DC6">
        <w:rPr>
          <w:rFonts w:asciiTheme="minorHAnsi" w:hAnsiTheme="minorHAnsi" w:cstheme="minorHAnsi"/>
          <w:sz w:val="22"/>
          <w:szCs w:val="22"/>
        </w:rPr>
        <w:t xml:space="preserve"> motif enrichment results of DEG in gSAT before and after training.</w:t>
      </w:r>
    </w:p>
    <w:tbl>
      <w:tblPr>
        <w:tblW w:w="9975" w:type="dxa"/>
        <w:tblInd w:w="-2" w:type="dxa"/>
        <w:tblBorders>
          <w:top w:val="single" w:sz="6" w:space="0" w:color="808080"/>
          <w:left w:val="single" w:sz="2" w:space="0" w:color="808080"/>
          <w:bottom w:val="single" w:sz="2" w:space="0" w:color="808080"/>
          <w:insideH w:val="single" w:sz="2" w:space="0" w:color="808080"/>
        </w:tblBorders>
        <w:tblCellMar>
          <w:top w:w="28" w:type="dxa"/>
          <w:left w:w="24" w:type="dxa"/>
          <w:bottom w:w="28" w:type="dxa"/>
          <w:right w:w="28" w:type="dxa"/>
        </w:tblCellMar>
        <w:tblLook w:val="0000" w:firstRow="0" w:lastRow="0" w:firstColumn="0" w:lastColumn="0" w:noHBand="0" w:noVBand="0"/>
      </w:tblPr>
      <w:tblGrid>
        <w:gridCol w:w="5040"/>
        <w:gridCol w:w="541"/>
        <w:gridCol w:w="809"/>
        <w:gridCol w:w="721"/>
        <w:gridCol w:w="1620"/>
        <w:gridCol w:w="1244"/>
      </w:tblGrid>
      <w:tr w:rsidR="0052616E" w:rsidRPr="00342DC6" w14:paraId="234F1A8A" w14:textId="77777777" w:rsidTr="00C36E44">
        <w:tc>
          <w:tcPr>
            <w:tcW w:w="5039" w:type="dxa"/>
            <w:tcBorders>
              <w:top w:val="single" w:sz="6" w:space="0" w:color="808080"/>
              <w:left w:val="single" w:sz="2" w:space="0" w:color="808080"/>
              <w:bottom w:val="single" w:sz="2" w:space="0" w:color="808080"/>
            </w:tcBorders>
            <w:shd w:val="clear" w:color="auto" w:fill="auto"/>
            <w:tcMar>
              <w:left w:w="24" w:type="dxa"/>
            </w:tcMar>
            <w:vAlign w:val="center"/>
          </w:tcPr>
          <w:p w14:paraId="7CC4FBD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Motif</w:t>
            </w:r>
          </w:p>
        </w:tc>
        <w:tc>
          <w:tcPr>
            <w:tcW w:w="541" w:type="dxa"/>
            <w:tcBorders>
              <w:top w:val="single" w:sz="6" w:space="0" w:color="808080"/>
              <w:left w:val="single" w:sz="2" w:space="0" w:color="808080"/>
              <w:bottom w:val="single" w:sz="2" w:space="0" w:color="808080"/>
            </w:tcBorders>
            <w:shd w:val="clear" w:color="auto" w:fill="auto"/>
            <w:tcMar>
              <w:left w:w="24" w:type="dxa"/>
            </w:tcMar>
            <w:vAlign w:val="center"/>
          </w:tcPr>
          <w:p w14:paraId="2BFE0F32"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P-val</w:t>
            </w:r>
          </w:p>
        </w:tc>
        <w:tc>
          <w:tcPr>
            <w:tcW w:w="809" w:type="dxa"/>
            <w:tcBorders>
              <w:top w:val="single" w:sz="6" w:space="0" w:color="808080"/>
              <w:left w:val="single" w:sz="2" w:space="0" w:color="808080"/>
              <w:bottom w:val="single" w:sz="2" w:space="0" w:color="808080"/>
            </w:tcBorders>
            <w:shd w:val="clear" w:color="auto" w:fill="auto"/>
            <w:tcMar>
              <w:left w:w="24" w:type="dxa"/>
            </w:tcMar>
            <w:vAlign w:val="center"/>
          </w:tcPr>
          <w:p w14:paraId="4C99AB8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 of Targets</w:t>
            </w:r>
          </w:p>
        </w:tc>
        <w:tc>
          <w:tcPr>
            <w:tcW w:w="721" w:type="dxa"/>
            <w:tcBorders>
              <w:top w:val="single" w:sz="6" w:space="0" w:color="808080"/>
              <w:left w:val="single" w:sz="2" w:space="0" w:color="808080"/>
              <w:bottom w:val="single" w:sz="2" w:space="0" w:color="808080"/>
            </w:tcBorders>
            <w:shd w:val="clear" w:color="auto" w:fill="auto"/>
            <w:tcMar>
              <w:left w:w="24" w:type="dxa"/>
            </w:tcMar>
            <w:vAlign w:val="center"/>
          </w:tcPr>
          <w:p w14:paraId="3E566D5A"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 of Bkg</w:t>
            </w:r>
          </w:p>
        </w:tc>
        <w:tc>
          <w:tcPr>
            <w:tcW w:w="1620" w:type="dxa"/>
            <w:tcBorders>
              <w:top w:val="single" w:sz="6" w:space="0" w:color="808080"/>
              <w:left w:val="single" w:sz="2" w:space="0" w:color="808080"/>
              <w:bottom w:val="single" w:sz="2" w:space="0" w:color="808080"/>
            </w:tcBorders>
            <w:shd w:val="clear" w:color="auto" w:fill="auto"/>
            <w:tcMar>
              <w:left w:w="24" w:type="dxa"/>
            </w:tcMar>
            <w:vAlign w:val="center"/>
          </w:tcPr>
          <w:p w14:paraId="14ADF39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STD(Bg STD)</w:t>
            </w:r>
          </w:p>
        </w:tc>
        <w:tc>
          <w:tcPr>
            <w:tcW w:w="1244" w:type="dxa"/>
            <w:tcBorders>
              <w:top w:val="single" w:sz="6" w:space="0" w:color="808080"/>
              <w:left w:val="single" w:sz="2" w:space="0" w:color="808080"/>
              <w:bottom w:val="single" w:sz="2" w:space="0" w:color="808080"/>
              <w:right w:val="single" w:sz="2" w:space="0" w:color="808080"/>
            </w:tcBorders>
            <w:shd w:val="clear" w:color="auto" w:fill="auto"/>
            <w:tcMar>
              <w:left w:w="24" w:type="dxa"/>
            </w:tcMar>
            <w:vAlign w:val="center"/>
          </w:tcPr>
          <w:p w14:paraId="7066657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Best Match</w:t>
            </w:r>
          </w:p>
        </w:tc>
      </w:tr>
      <w:tr w:rsidR="0052616E" w:rsidRPr="00342DC6" w14:paraId="0EA6D49A" w14:textId="77777777" w:rsidTr="00C36E44">
        <w:tc>
          <w:tcPr>
            <w:tcW w:w="5039" w:type="dxa"/>
            <w:tcBorders>
              <w:top w:val="single" w:sz="2" w:space="0" w:color="808080"/>
              <w:left w:val="single" w:sz="2" w:space="0" w:color="808080"/>
              <w:bottom w:val="single" w:sz="6" w:space="0" w:color="808080"/>
            </w:tcBorders>
            <w:shd w:val="clear" w:color="auto" w:fill="auto"/>
            <w:tcMar>
              <w:left w:w="24" w:type="dxa"/>
            </w:tcMar>
            <w:vAlign w:val="center"/>
          </w:tcPr>
          <w:p w14:paraId="2CB9DC4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59264" behindDoc="0" locked="0" layoutInCell="1" allowOverlap="1" wp14:anchorId="19D8961C" wp14:editId="25036AD8">
                  <wp:simplePos x="0" y="0"/>
                  <wp:positionH relativeFrom="column">
                    <wp:align>center</wp:align>
                  </wp:positionH>
                  <wp:positionV relativeFrom="paragraph">
                    <wp:posOffset>635</wp:posOffset>
                  </wp:positionV>
                  <wp:extent cx="2914650" cy="485775"/>
                  <wp:effectExtent l="0" t="0" r="0" b="0"/>
                  <wp:wrapSquare wrapText="largest"/>
                  <wp:docPr id="18"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
                          <pic:cNvPicPr>
                            <a:picLocks noChangeAspect="1" noChangeArrowheads="1"/>
                          </pic:cNvPicPr>
                        </pic:nvPicPr>
                        <pic:blipFill>
                          <a:blip r:embed="rId24"/>
                          <a:stretch>
                            <a:fillRect/>
                          </a:stretch>
                        </pic:blipFill>
                        <pic:spPr bwMode="auto">
                          <a:xfrm>
                            <a:off x="0" y="0"/>
                            <a:ext cx="2914650" cy="485775"/>
                          </a:xfrm>
                          <a:prstGeom prst="rect">
                            <a:avLst/>
                          </a:prstGeom>
                        </pic:spPr>
                      </pic:pic>
                    </a:graphicData>
                  </a:graphic>
                </wp:anchor>
              </w:drawing>
            </w:r>
          </w:p>
        </w:tc>
        <w:tc>
          <w:tcPr>
            <w:tcW w:w="541" w:type="dxa"/>
            <w:tcBorders>
              <w:top w:val="single" w:sz="2" w:space="0" w:color="808080"/>
              <w:left w:val="single" w:sz="2" w:space="0" w:color="808080"/>
              <w:bottom w:val="single" w:sz="6" w:space="0" w:color="808080"/>
            </w:tcBorders>
            <w:shd w:val="clear" w:color="auto" w:fill="auto"/>
            <w:tcMar>
              <w:left w:w="24" w:type="dxa"/>
            </w:tcMar>
            <w:vAlign w:val="center"/>
          </w:tcPr>
          <w:p w14:paraId="71454A5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1e-9</w:t>
            </w:r>
          </w:p>
        </w:tc>
        <w:tc>
          <w:tcPr>
            <w:tcW w:w="809" w:type="dxa"/>
            <w:tcBorders>
              <w:top w:val="single" w:sz="2" w:space="0" w:color="808080"/>
              <w:left w:val="single" w:sz="2" w:space="0" w:color="808080"/>
              <w:bottom w:val="single" w:sz="6" w:space="0" w:color="808080"/>
            </w:tcBorders>
            <w:shd w:val="clear" w:color="auto" w:fill="auto"/>
            <w:tcMar>
              <w:left w:w="24" w:type="dxa"/>
            </w:tcMar>
            <w:vAlign w:val="center"/>
          </w:tcPr>
          <w:p w14:paraId="0A41D9AE"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8.16%</w:t>
            </w:r>
          </w:p>
        </w:tc>
        <w:tc>
          <w:tcPr>
            <w:tcW w:w="721" w:type="dxa"/>
            <w:tcBorders>
              <w:top w:val="single" w:sz="2" w:space="0" w:color="808080"/>
              <w:left w:val="single" w:sz="2" w:space="0" w:color="808080"/>
              <w:bottom w:val="single" w:sz="6" w:space="0" w:color="808080"/>
            </w:tcBorders>
            <w:shd w:val="clear" w:color="auto" w:fill="auto"/>
            <w:tcMar>
              <w:left w:w="24" w:type="dxa"/>
            </w:tcMar>
            <w:vAlign w:val="center"/>
          </w:tcPr>
          <w:p w14:paraId="1B48953F"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0.00%</w:t>
            </w:r>
          </w:p>
        </w:tc>
        <w:tc>
          <w:tcPr>
            <w:tcW w:w="1620" w:type="dxa"/>
            <w:tcBorders>
              <w:top w:val="single" w:sz="2" w:space="0" w:color="808080"/>
              <w:left w:val="single" w:sz="2" w:space="0" w:color="808080"/>
              <w:bottom w:val="single" w:sz="6" w:space="0" w:color="808080"/>
            </w:tcBorders>
            <w:shd w:val="clear" w:color="auto" w:fill="auto"/>
            <w:tcMar>
              <w:left w:w="24" w:type="dxa"/>
            </w:tcMar>
            <w:vAlign w:val="center"/>
          </w:tcPr>
          <w:p w14:paraId="4A924BBB"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95.0bp (0.0bp)</w:t>
            </w:r>
          </w:p>
        </w:tc>
        <w:tc>
          <w:tcPr>
            <w:tcW w:w="1244" w:type="dxa"/>
            <w:tcBorders>
              <w:top w:val="single" w:sz="2" w:space="0" w:color="808080"/>
              <w:left w:val="single" w:sz="2" w:space="0" w:color="808080"/>
              <w:bottom w:val="single" w:sz="6" w:space="0" w:color="808080"/>
              <w:right w:val="single" w:sz="2" w:space="0" w:color="808080"/>
            </w:tcBorders>
            <w:shd w:val="clear" w:color="auto" w:fill="auto"/>
            <w:tcMar>
              <w:left w:w="24" w:type="dxa"/>
            </w:tcMar>
            <w:vAlign w:val="center"/>
          </w:tcPr>
          <w:p w14:paraId="69702776"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JUND</w:t>
            </w:r>
            <w:r w:rsidRPr="00342DC6">
              <w:rPr>
                <w:rFonts w:asciiTheme="minorHAnsi" w:hAnsiTheme="minorHAnsi" w:cstheme="minorHAnsi"/>
                <w:b/>
                <w:sz w:val="22"/>
                <w:szCs w:val="22"/>
              </w:rPr>
              <w:br/>
            </w:r>
          </w:p>
        </w:tc>
      </w:tr>
    </w:tbl>
    <w:p w14:paraId="3136DFA7" w14:textId="77777777" w:rsidR="0052616E" w:rsidRPr="00342DC6" w:rsidRDefault="0052616E" w:rsidP="0052616E">
      <w:pPr>
        <w:rPr>
          <w:rFonts w:asciiTheme="minorHAnsi" w:hAnsiTheme="minorHAnsi" w:cstheme="minorHAnsi"/>
          <w:sz w:val="22"/>
          <w:szCs w:val="22"/>
        </w:rPr>
      </w:pPr>
    </w:p>
    <w:p w14:paraId="212EDCFE" w14:textId="77777777" w:rsidR="0052616E" w:rsidRPr="00342DC6" w:rsidRDefault="0052616E" w:rsidP="0052616E">
      <w:pPr>
        <w:rPr>
          <w:rFonts w:asciiTheme="minorHAnsi" w:hAnsiTheme="minorHAnsi" w:cstheme="minorHAnsi"/>
          <w:sz w:val="22"/>
          <w:szCs w:val="22"/>
        </w:rPr>
      </w:pPr>
    </w:p>
    <w:p w14:paraId="1DE0AF27" w14:textId="5F55FE0D" w:rsidR="0052616E" w:rsidRDefault="0052616E" w:rsidP="0052616E">
      <w:pPr>
        <w:rPr>
          <w:rFonts w:asciiTheme="minorHAnsi" w:hAnsiTheme="minorHAnsi" w:cstheme="minorHAnsi"/>
        </w:rPr>
      </w:pPr>
    </w:p>
    <w:p w14:paraId="010033B0" w14:textId="2D0B6B1E" w:rsidR="0052616E" w:rsidRDefault="0052616E" w:rsidP="0052616E">
      <w:pPr>
        <w:rPr>
          <w:rFonts w:asciiTheme="minorHAnsi" w:hAnsiTheme="minorHAnsi" w:cstheme="minorHAnsi"/>
        </w:rPr>
      </w:pPr>
    </w:p>
    <w:p w14:paraId="2A1937F7" w14:textId="144C23B3" w:rsidR="0052616E" w:rsidRDefault="0052616E" w:rsidP="0052616E">
      <w:pPr>
        <w:rPr>
          <w:rFonts w:asciiTheme="minorHAnsi" w:hAnsiTheme="minorHAnsi" w:cstheme="minorHAnsi"/>
        </w:rPr>
      </w:pPr>
    </w:p>
    <w:p w14:paraId="48024A2A" w14:textId="5EEEB7EB" w:rsidR="0052616E" w:rsidRDefault="0052616E" w:rsidP="0052616E">
      <w:pPr>
        <w:rPr>
          <w:rFonts w:asciiTheme="minorHAnsi" w:hAnsiTheme="minorHAnsi" w:cstheme="minorHAnsi"/>
        </w:rPr>
      </w:pPr>
    </w:p>
    <w:p w14:paraId="07128BD7" w14:textId="21341C9E" w:rsidR="0052616E" w:rsidRDefault="0052616E" w:rsidP="0052616E">
      <w:pPr>
        <w:rPr>
          <w:rFonts w:asciiTheme="minorHAnsi" w:hAnsiTheme="minorHAnsi" w:cstheme="minorHAnsi"/>
        </w:rPr>
      </w:pPr>
    </w:p>
    <w:p w14:paraId="673A9890" w14:textId="4A1DBCF6" w:rsidR="0052616E" w:rsidRDefault="0052616E" w:rsidP="0052616E">
      <w:pPr>
        <w:rPr>
          <w:rFonts w:asciiTheme="minorHAnsi" w:hAnsiTheme="minorHAnsi" w:cstheme="minorHAnsi"/>
        </w:rPr>
      </w:pPr>
    </w:p>
    <w:p w14:paraId="71E717BC" w14:textId="77777777" w:rsidR="0052616E" w:rsidRDefault="0052616E" w:rsidP="0052616E">
      <w:pPr>
        <w:rPr>
          <w:rFonts w:asciiTheme="minorHAnsi" w:hAnsiTheme="minorHAnsi" w:cstheme="minorHAnsi"/>
        </w:rPr>
      </w:pPr>
    </w:p>
    <w:p w14:paraId="4FAC2B75" w14:textId="77777777" w:rsidR="0052616E" w:rsidRDefault="0052616E" w:rsidP="0052616E">
      <w:pPr>
        <w:rPr>
          <w:rFonts w:asciiTheme="minorHAnsi" w:hAnsiTheme="minorHAnsi" w:cstheme="minorHAnsi"/>
        </w:rPr>
      </w:pPr>
    </w:p>
    <w:p w14:paraId="1B0BFB80" w14:textId="77777777" w:rsidR="0052616E" w:rsidRPr="00342DC6" w:rsidRDefault="0052616E" w:rsidP="0052616E">
      <w:pPr>
        <w:rPr>
          <w:rFonts w:asciiTheme="minorHAnsi" w:hAnsiTheme="minorHAnsi" w:cstheme="minorHAnsi"/>
          <w:sz w:val="22"/>
          <w:szCs w:val="22"/>
        </w:rPr>
      </w:pPr>
    </w:p>
    <w:p w14:paraId="35BC28BB" w14:textId="77777777" w:rsidR="0052616E" w:rsidRPr="0052616E" w:rsidRDefault="0052616E" w:rsidP="0052616E">
      <w:pPr>
        <w:pStyle w:val="Heading"/>
        <w:spacing w:line="360" w:lineRule="auto"/>
        <w:jc w:val="both"/>
        <w:rPr>
          <w:rFonts w:asciiTheme="minorHAnsi" w:hAnsiTheme="minorHAnsi" w:cstheme="minorHAnsi"/>
          <w:b/>
          <w:sz w:val="24"/>
          <w:szCs w:val="22"/>
          <w:u w:val="single"/>
        </w:rPr>
      </w:pPr>
      <w:r w:rsidRPr="0052616E">
        <w:rPr>
          <w:rFonts w:asciiTheme="minorHAnsi" w:hAnsiTheme="minorHAnsi" w:cstheme="minorHAnsi"/>
          <w:b/>
          <w:sz w:val="24"/>
          <w:szCs w:val="22"/>
          <w:u w:val="single"/>
        </w:rPr>
        <w:lastRenderedPageBreak/>
        <w:t>Abdominal SAT pre- vs post-exercise training</w:t>
      </w:r>
    </w:p>
    <w:p w14:paraId="0E734F80" w14:textId="77777777" w:rsidR="0052616E" w:rsidRPr="0052616E" w:rsidRDefault="0052616E" w:rsidP="0052616E">
      <w:pPr>
        <w:pStyle w:val="Textkrper"/>
        <w:spacing w:line="360" w:lineRule="auto"/>
        <w:jc w:val="both"/>
        <w:rPr>
          <w:rFonts w:asciiTheme="minorHAnsi" w:hAnsiTheme="minorHAnsi" w:cstheme="minorHAnsi"/>
          <w:szCs w:val="22"/>
        </w:rPr>
      </w:pPr>
      <w:r w:rsidRPr="0052616E">
        <w:rPr>
          <w:rFonts w:asciiTheme="minorHAnsi" w:hAnsiTheme="minorHAnsi" w:cstheme="minorHAnsi"/>
          <w:szCs w:val="22"/>
        </w:rPr>
        <w:t xml:space="preserve">Similar to the analysis in the gSAT, we considered the union of up- and down-regulated genes in aSAT in response to exercise training to identify enriched motifs, as the number of downregulated genes was only 22. Four known TFBS are found in the promoter regions of the DEGs. The enriched CarG-box DNA motif is bound by the SRF-MRTFA nuclear complex via the serum response factor (SRF). HOMER also identifies the binding site of Mef2b to be enriched. This TF is a paralog of SRF and palys diverse roles in cell growth, survival and apoptosis via the p38 MAPK signalling. </w:t>
      </w:r>
    </w:p>
    <w:p w14:paraId="78BD9280" w14:textId="77777777" w:rsidR="0052616E" w:rsidRPr="0052616E" w:rsidRDefault="0052616E" w:rsidP="0052616E">
      <w:pPr>
        <w:pStyle w:val="Textkrper"/>
        <w:spacing w:line="360" w:lineRule="auto"/>
        <w:jc w:val="both"/>
        <w:rPr>
          <w:rFonts w:asciiTheme="minorHAnsi" w:hAnsiTheme="minorHAnsi" w:cstheme="minorHAnsi"/>
          <w:szCs w:val="22"/>
        </w:rPr>
      </w:pPr>
      <w:r w:rsidRPr="0052616E">
        <w:rPr>
          <w:rFonts w:asciiTheme="minorHAnsi" w:hAnsiTheme="minorHAnsi" w:cstheme="minorHAnsi"/>
          <w:szCs w:val="22"/>
        </w:rPr>
        <w:t xml:space="preserve">One of the predicted </w:t>
      </w:r>
      <w:r w:rsidRPr="0052616E">
        <w:rPr>
          <w:rFonts w:asciiTheme="minorHAnsi" w:hAnsiTheme="minorHAnsi" w:cstheme="minorHAnsi"/>
          <w:i/>
          <w:szCs w:val="22"/>
        </w:rPr>
        <w:t>de novo</w:t>
      </w:r>
      <w:r w:rsidRPr="0052616E">
        <w:rPr>
          <w:rFonts w:asciiTheme="minorHAnsi" w:hAnsiTheme="minorHAnsi" w:cstheme="minorHAnsi"/>
          <w:szCs w:val="22"/>
        </w:rPr>
        <w:t xml:space="preserve"> motifs is similar to the consensus sequence of the Smad2 binding site. Smad2 is a regulator of multiple cellular processes, such as cell proliferation, apoptosis and differentiation.</w:t>
      </w:r>
    </w:p>
    <w:p w14:paraId="1BAA30C3" w14:textId="77777777" w:rsidR="0052616E" w:rsidRDefault="0052616E" w:rsidP="0052616E">
      <w:pPr>
        <w:spacing w:line="360" w:lineRule="auto"/>
        <w:rPr>
          <w:rFonts w:asciiTheme="minorHAnsi" w:hAnsiTheme="minorHAnsi" w:cstheme="minorHAnsi"/>
          <w:b/>
          <w:bCs/>
          <w:i/>
          <w:iCs/>
        </w:rPr>
      </w:pPr>
    </w:p>
    <w:p w14:paraId="6B1D70D8" w14:textId="3CB3EA0A" w:rsidR="0052616E" w:rsidRPr="00342DC6" w:rsidRDefault="0052616E" w:rsidP="0052616E">
      <w:pPr>
        <w:spacing w:line="360" w:lineRule="auto"/>
        <w:rPr>
          <w:rFonts w:asciiTheme="minorHAnsi" w:hAnsiTheme="minorHAnsi" w:cstheme="minorHAnsi"/>
          <w:sz w:val="22"/>
          <w:szCs w:val="22"/>
        </w:rPr>
      </w:pPr>
      <w:r w:rsidRPr="00342DC6">
        <w:rPr>
          <w:rFonts w:asciiTheme="minorHAnsi" w:hAnsiTheme="minorHAnsi" w:cstheme="minorHAnsi"/>
          <w:b/>
          <w:bCs/>
          <w:i/>
          <w:iCs/>
          <w:sz w:val="22"/>
          <w:szCs w:val="22"/>
        </w:rPr>
        <w:t xml:space="preserve">Supplementary Table </w:t>
      </w:r>
      <w:r>
        <w:rPr>
          <w:rFonts w:asciiTheme="minorHAnsi" w:hAnsiTheme="minorHAnsi" w:cstheme="minorHAnsi"/>
          <w:b/>
          <w:bCs/>
          <w:i/>
          <w:iCs/>
          <w:sz w:val="22"/>
          <w:szCs w:val="22"/>
        </w:rPr>
        <w:t>S12</w:t>
      </w:r>
      <w:r w:rsidRPr="00342DC6">
        <w:rPr>
          <w:rFonts w:asciiTheme="minorHAnsi" w:hAnsiTheme="minorHAnsi" w:cstheme="minorHAnsi"/>
          <w:sz w:val="22"/>
          <w:szCs w:val="22"/>
        </w:rPr>
        <w:t>: HOMER known motif enrichment results of DEGs in aSAT before and after training.</w:t>
      </w:r>
    </w:p>
    <w:tbl>
      <w:tblPr>
        <w:tblW w:w="9942" w:type="dxa"/>
        <w:tblInd w:w="-2" w:type="dxa"/>
        <w:tblBorders>
          <w:top w:val="single" w:sz="6" w:space="0" w:color="808080"/>
          <w:left w:val="single" w:sz="2" w:space="0" w:color="808080"/>
          <w:bottom w:val="single" w:sz="2" w:space="0" w:color="808080"/>
          <w:insideH w:val="single" w:sz="2" w:space="0" w:color="808080"/>
        </w:tblBorders>
        <w:tblCellMar>
          <w:top w:w="28" w:type="dxa"/>
          <w:left w:w="24" w:type="dxa"/>
          <w:bottom w:w="28" w:type="dxa"/>
          <w:right w:w="28" w:type="dxa"/>
        </w:tblCellMar>
        <w:tblLook w:val="0000" w:firstRow="0" w:lastRow="0" w:firstColumn="0" w:lastColumn="0" w:noHBand="0" w:noVBand="0"/>
      </w:tblPr>
      <w:tblGrid>
        <w:gridCol w:w="4047"/>
        <w:gridCol w:w="986"/>
        <w:gridCol w:w="625"/>
        <w:gridCol w:w="806"/>
        <w:gridCol w:w="806"/>
        <w:gridCol w:w="985"/>
        <w:gridCol w:w="806"/>
        <w:gridCol w:w="881"/>
      </w:tblGrid>
      <w:tr w:rsidR="0052616E" w:rsidRPr="00342DC6" w14:paraId="08C05A7E" w14:textId="77777777" w:rsidTr="00C36E44">
        <w:trPr>
          <w:trHeight w:val="493"/>
        </w:trPr>
        <w:tc>
          <w:tcPr>
            <w:tcW w:w="4038" w:type="dxa"/>
            <w:tcBorders>
              <w:top w:val="single" w:sz="6" w:space="0" w:color="808080"/>
              <w:left w:val="single" w:sz="2" w:space="0" w:color="808080"/>
              <w:bottom w:val="single" w:sz="2" w:space="0" w:color="808080"/>
            </w:tcBorders>
            <w:shd w:val="clear" w:color="auto" w:fill="auto"/>
            <w:tcMar>
              <w:left w:w="24" w:type="dxa"/>
            </w:tcMar>
            <w:vAlign w:val="center"/>
          </w:tcPr>
          <w:p w14:paraId="637EFDA9"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Motif</w:t>
            </w:r>
          </w:p>
        </w:tc>
        <w:tc>
          <w:tcPr>
            <w:tcW w:w="987" w:type="dxa"/>
            <w:tcBorders>
              <w:top w:val="single" w:sz="6" w:space="0" w:color="808080"/>
              <w:left w:val="single" w:sz="2" w:space="0" w:color="808080"/>
              <w:bottom w:val="single" w:sz="2" w:space="0" w:color="808080"/>
            </w:tcBorders>
            <w:shd w:val="clear" w:color="auto" w:fill="auto"/>
            <w:tcMar>
              <w:left w:w="24" w:type="dxa"/>
            </w:tcMar>
            <w:vAlign w:val="center"/>
          </w:tcPr>
          <w:p w14:paraId="19D62B84"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Name</w:t>
            </w:r>
          </w:p>
        </w:tc>
        <w:tc>
          <w:tcPr>
            <w:tcW w:w="627" w:type="dxa"/>
            <w:tcBorders>
              <w:top w:val="single" w:sz="6" w:space="0" w:color="808080"/>
              <w:left w:val="single" w:sz="2" w:space="0" w:color="808080"/>
              <w:bottom w:val="single" w:sz="2" w:space="0" w:color="808080"/>
            </w:tcBorders>
            <w:shd w:val="clear" w:color="auto" w:fill="auto"/>
            <w:tcMar>
              <w:left w:w="24" w:type="dxa"/>
            </w:tcMar>
            <w:vAlign w:val="center"/>
          </w:tcPr>
          <w:p w14:paraId="485028BD"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P-val</w:t>
            </w:r>
          </w:p>
        </w:tc>
        <w:tc>
          <w:tcPr>
            <w:tcW w:w="807" w:type="dxa"/>
            <w:tcBorders>
              <w:top w:val="single" w:sz="6" w:space="0" w:color="808080"/>
              <w:left w:val="single" w:sz="2" w:space="0" w:color="808080"/>
              <w:bottom w:val="single" w:sz="2" w:space="0" w:color="808080"/>
            </w:tcBorders>
            <w:shd w:val="clear" w:color="auto" w:fill="auto"/>
            <w:tcMar>
              <w:left w:w="24" w:type="dxa"/>
            </w:tcMar>
            <w:vAlign w:val="center"/>
          </w:tcPr>
          <w:p w14:paraId="4637C6EE"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q-val</w:t>
            </w:r>
          </w:p>
        </w:tc>
        <w:tc>
          <w:tcPr>
            <w:tcW w:w="807" w:type="dxa"/>
            <w:tcBorders>
              <w:top w:val="single" w:sz="6" w:space="0" w:color="808080"/>
              <w:left w:val="single" w:sz="2" w:space="0" w:color="808080"/>
              <w:bottom w:val="single" w:sz="2" w:space="0" w:color="808080"/>
            </w:tcBorders>
            <w:shd w:val="clear" w:color="auto" w:fill="auto"/>
            <w:tcMar>
              <w:left w:w="24" w:type="dxa"/>
            </w:tcMar>
            <w:vAlign w:val="center"/>
          </w:tcPr>
          <w:p w14:paraId="64D7845B"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Target Seq</w:t>
            </w:r>
          </w:p>
        </w:tc>
        <w:tc>
          <w:tcPr>
            <w:tcW w:w="987" w:type="dxa"/>
            <w:tcBorders>
              <w:top w:val="single" w:sz="6" w:space="0" w:color="808080"/>
              <w:left w:val="single" w:sz="2" w:space="0" w:color="808080"/>
              <w:bottom w:val="single" w:sz="2" w:space="0" w:color="808080"/>
            </w:tcBorders>
            <w:shd w:val="clear" w:color="auto" w:fill="auto"/>
            <w:tcMar>
              <w:left w:w="24" w:type="dxa"/>
            </w:tcMar>
            <w:vAlign w:val="center"/>
          </w:tcPr>
          <w:p w14:paraId="3AFD867A"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Targets Seq</w:t>
            </w:r>
          </w:p>
        </w:tc>
        <w:tc>
          <w:tcPr>
            <w:tcW w:w="807" w:type="dxa"/>
            <w:tcBorders>
              <w:top w:val="single" w:sz="6" w:space="0" w:color="808080"/>
              <w:left w:val="single" w:sz="2" w:space="0" w:color="808080"/>
              <w:bottom w:val="single" w:sz="2" w:space="0" w:color="808080"/>
            </w:tcBorders>
            <w:shd w:val="clear" w:color="auto" w:fill="auto"/>
            <w:tcMar>
              <w:left w:w="24" w:type="dxa"/>
            </w:tcMar>
            <w:vAlign w:val="center"/>
          </w:tcPr>
          <w:p w14:paraId="2B1CD3FB"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Bkg Seq</w:t>
            </w:r>
          </w:p>
        </w:tc>
        <w:tc>
          <w:tcPr>
            <w:tcW w:w="882" w:type="dxa"/>
            <w:tcBorders>
              <w:top w:val="single" w:sz="6" w:space="0" w:color="808080"/>
              <w:left w:val="single" w:sz="2" w:space="0" w:color="808080"/>
              <w:bottom w:val="single" w:sz="2" w:space="0" w:color="808080"/>
              <w:right w:val="single" w:sz="2" w:space="0" w:color="808080"/>
            </w:tcBorders>
            <w:shd w:val="clear" w:color="auto" w:fill="auto"/>
            <w:tcMar>
              <w:left w:w="24" w:type="dxa"/>
            </w:tcMar>
            <w:vAlign w:val="center"/>
          </w:tcPr>
          <w:p w14:paraId="0BFD1FF9"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BkgSeq</w:t>
            </w:r>
          </w:p>
        </w:tc>
      </w:tr>
      <w:tr w:rsidR="0052616E" w:rsidRPr="00342DC6" w14:paraId="23BB5776" w14:textId="77777777" w:rsidTr="00C36E44">
        <w:trPr>
          <w:trHeight w:val="750"/>
        </w:trPr>
        <w:tc>
          <w:tcPr>
            <w:tcW w:w="4038" w:type="dxa"/>
            <w:tcBorders>
              <w:top w:val="single" w:sz="2" w:space="0" w:color="808080"/>
              <w:left w:val="single" w:sz="2" w:space="0" w:color="808080"/>
              <w:bottom w:val="single" w:sz="2" w:space="0" w:color="808080"/>
            </w:tcBorders>
            <w:shd w:val="clear" w:color="auto" w:fill="auto"/>
            <w:tcMar>
              <w:left w:w="24" w:type="dxa"/>
            </w:tcMar>
            <w:vAlign w:val="center"/>
          </w:tcPr>
          <w:p w14:paraId="565C4EBE"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77696" behindDoc="0" locked="0" layoutInCell="1" allowOverlap="1" wp14:anchorId="0F269C91" wp14:editId="57510DB6">
                  <wp:simplePos x="0" y="0"/>
                  <wp:positionH relativeFrom="column">
                    <wp:align>center</wp:align>
                  </wp:positionH>
                  <wp:positionV relativeFrom="paragraph">
                    <wp:posOffset>635</wp:posOffset>
                  </wp:positionV>
                  <wp:extent cx="2536190" cy="415290"/>
                  <wp:effectExtent l="0" t="0" r="0" b="0"/>
                  <wp:wrapSquare wrapText="largest"/>
                  <wp:docPr id="19"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6"/>
                          <pic:cNvPicPr>
                            <a:picLocks noChangeAspect="1" noChangeArrowheads="1"/>
                          </pic:cNvPicPr>
                        </pic:nvPicPr>
                        <pic:blipFill>
                          <a:blip r:embed="rId25"/>
                          <a:stretch>
                            <a:fillRect/>
                          </a:stretch>
                        </pic:blipFill>
                        <pic:spPr bwMode="auto">
                          <a:xfrm>
                            <a:off x="0" y="0"/>
                            <a:ext cx="2536190" cy="415290"/>
                          </a:xfrm>
                          <a:prstGeom prst="rect">
                            <a:avLst/>
                          </a:prstGeom>
                        </pic:spPr>
                      </pic:pic>
                    </a:graphicData>
                  </a:graphic>
                </wp:anchor>
              </w:drawing>
            </w:r>
          </w:p>
        </w:tc>
        <w:tc>
          <w:tcPr>
            <w:tcW w:w="987" w:type="dxa"/>
            <w:tcBorders>
              <w:top w:val="single" w:sz="2" w:space="0" w:color="808080"/>
              <w:left w:val="single" w:sz="2" w:space="0" w:color="808080"/>
              <w:bottom w:val="single" w:sz="2" w:space="0" w:color="808080"/>
            </w:tcBorders>
            <w:shd w:val="clear" w:color="auto" w:fill="auto"/>
            <w:tcMar>
              <w:left w:w="24" w:type="dxa"/>
            </w:tcMar>
            <w:vAlign w:val="center"/>
          </w:tcPr>
          <w:p w14:paraId="2E45A6FE"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CarG</w:t>
            </w:r>
            <w:r w:rsidRPr="00342DC6">
              <w:rPr>
                <w:rFonts w:asciiTheme="minorHAnsi" w:hAnsiTheme="minorHAnsi" w:cstheme="minorHAnsi"/>
                <w:sz w:val="22"/>
                <w:szCs w:val="22"/>
              </w:rPr>
              <w:t xml:space="preserve"> (MADS)</w:t>
            </w:r>
          </w:p>
        </w:tc>
        <w:tc>
          <w:tcPr>
            <w:tcW w:w="627" w:type="dxa"/>
            <w:tcBorders>
              <w:top w:val="single" w:sz="2" w:space="0" w:color="808080"/>
              <w:left w:val="single" w:sz="2" w:space="0" w:color="808080"/>
              <w:bottom w:val="single" w:sz="2" w:space="0" w:color="808080"/>
            </w:tcBorders>
            <w:shd w:val="clear" w:color="auto" w:fill="auto"/>
            <w:tcMar>
              <w:left w:w="24" w:type="dxa"/>
            </w:tcMar>
            <w:vAlign w:val="center"/>
          </w:tcPr>
          <w:p w14:paraId="41241B31"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1e-3</w:t>
            </w:r>
          </w:p>
        </w:tc>
        <w:tc>
          <w:tcPr>
            <w:tcW w:w="807" w:type="dxa"/>
            <w:tcBorders>
              <w:top w:val="single" w:sz="2" w:space="0" w:color="808080"/>
              <w:left w:val="single" w:sz="2" w:space="0" w:color="808080"/>
              <w:bottom w:val="single" w:sz="2" w:space="0" w:color="808080"/>
            </w:tcBorders>
            <w:shd w:val="clear" w:color="auto" w:fill="auto"/>
            <w:tcMar>
              <w:left w:w="24" w:type="dxa"/>
            </w:tcMar>
            <w:vAlign w:val="center"/>
          </w:tcPr>
          <w:p w14:paraId="2133F421"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0.1605</w:t>
            </w:r>
          </w:p>
        </w:tc>
        <w:tc>
          <w:tcPr>
            <w:tcW w:w="807" w:type="dxa"/>
            <w:tcBorders>
              <w:top w:val="single" w:sz="2" w:space="0" w:color="808080"/>
              <w:left w:val="single" w:sz="2" w:space="0" w:color="808080"/>
              <w:bottom w:val="single" w:sz="2" w:space="0" w:color="808080"/>
            </w:tcBorders>
            <w:shd w:val="clear" w:color="auto" w:fill="auto"/>
            <w:tcMar>
              <w:left w:w="24" w:type="dxa"/>
            </w:tcMar>
            <w:vAlign w:val="center"/>
          </w:tcPr>
          <w:p w14:paraId="61295AD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10.0</w:t>
            </w:r>
          </w:p>
        </w:tc>
        <w:tc>
          <w:tcPr>
            <w:tcW w:w="987" w:type="dxa"/>
            <w:tcBorders>
              <w:top w:val="single" w:sz="2" w:space="0" w:color="808080"/>
              <w:left w:val="single" w:sz="2" w:space="0" w:color="808080"/>
              <w:bottom w:val="single" w:sz="2" w:space="0" w:color="808080"/>
            </w:tcBorders>
            <w:shd w:val="clear" w:color="auto" w:fill="auto"/>
            <w:tcMar>
              <w:left w:w="24" w:type="dxa"/>
            </w:tcMar>
            <w:vAlign w:val="center"/>
          </w:tcPr>
          <w:p w14:paraId="0A8F0DE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15.87%</w:t>
            </w:r>
          </w:p>
        </w:tc>
        <w:tc>
          <w:tcPr>
            <w:tcW w:w="807" w:type="dxa"/>
            <w:tcBorders>
              <w:top w:val="single" w:sz="2" w:space="0" w:color="808080"/>
              <w:left w:val="single" w:sz="2" w:space="0" w:color="808080"/>
              <w:bottom w:val="single" w:sz="2" w:space="0" w:color="808080"/>
            </w:tcBorders>
            <w:shd w:val="clear" w:color="auto" w:fill="auto"/>
            <w:tcMar>
              <w:left w:w="24" w:type="dxa"/>
            </w:tcMar>
            <w:vAlign w:val="center"/>
          </w:tcPr>
          <w:p w14:paraId="2D150CF1"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624.4</w:t>
            </w:r>
          </w:p>
        </w:tc>
        <w:tc>
          <w:tcPr>
            <w:tcW w:w="882"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1B9E51F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4.33%</w:t>
            </w:r>
          </w:p>
        </w:tc>
      </w:tr>
      <w:tr w:rsidR="0052616E" w:rsidRPr="00342DC6" w14:paraId="104BCFBD" w14:textId="77777777" w:rsidTr="00C36E44">
        <w:trPr>
          <w:trHeight w:val="750"/>
        </w:trPr>
        <w:tc>
          <w:tcPr>
            <w:tcW w:w="4038" w:type="dxa"/>
            <w:tcBorders>
              <w:top w:val="single" w:sz="2" w:space="0" w:color="808080"/>
              <w:left w:val="single" w:sz="2" w:space="0" w:color="808080"/>
              <w:bottom w:val="single" w:sz="2" w:space="0" w:color="808080"/>
            </w:tcBorders>
            <w:shd w:val="clear" w:color="auto" w:fill="auto"/>
            <w:tcMar>
              <w:left w:w="24" w:type="dxa"/>
            </w:tcMar>
            <w:vAlign w:val="center"/>
          </w:tcPr>
          <w:p w14:paraId="6516FE7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78720" behindDoc="0" locked="0" layoutInCell="1" allowOverlap="1" wp14:anchorId="5B87F14E" wp14:editId="094136A6">
                  <wp:simplePos x="0" y="0"/>
                  <wp:positionH relativeFrom="column">
                    <wp:align>center</wp:align>
                  </wp:positionH>
                  <wp:positionV relativeFrom="paragraph">
                    <wp:posOffset>635</wp:posOffset>
                  </wp:positionV>
                  <wp:extent cx="2536190" cy="422275"/>
                  <wp:effectExtent l="0" t="0" r="0" b="0"/>
                  <wp:wrapSquare wrapText="largest"/>
                  <wp:docPr id="20"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7"/>
                          <pic:cNvPicPr>
                            <a:picLocks noChangeAspect="1" noChangeArrowheads="1"/>
                          </pic:cNvPicPr>
                        </pic:nvPicPr>
                        <pic:blipFill>
                          <a:blip r:embed="rId26"/>
                          <a:stretch>
                            <a:fillRect/>
                          </a:stretch>
                        </pic:blipFill>
                        <pic:spPr bwMode="auto">
                          <a:xfrm>
                            <a:off x="0" y="0"/>
                            <a:ext cx="2536190" cy="422275"/>
                          </a:xfrm>
                          <a:prstGeom prst="rect">
                            <a:avLst/>
                          </a:prstGeom>
                        </pic:spPr>
                      </pic:pic>
                    </a:graphicData>
                  </a:graphic>
                </wp:anchor>
              </w:drawing>
            </w:r>
          </w:p>
        </w:tc>
        <w:tc>
          <w:tcPr>
            <w:tcW w:w="987" w:type="dxa"/>
            <w:tcBorders>
              <w:top w:val="single" w:sz="2" w:space="0" w:color="808080"/>
              <w:left w:val="single" w:sz="2" w:space="0" w:color="808080"/>
              <w:bottom w:val="single" w:sz="2" w:space="0" w:color="808080"/>
            </w:tcBorders>
            <w:shd w:val="clear" w:color="auto" w:fill="auto"/>
            <w:tcMar>
              <w:left w:w="24" w:type="dxa"/>
            </w:tcMar>
            <w:vAlign w:val="center"/>
          </w:tcPr>
          <w:p w14:paraId="3E2D08B3"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 xml:space="preserve">Mef2b </w:t>
            </w:r>
            <w:r w:rsidRPr="00342DC6">
              <w:rPr>
                <w:rFonts w:asciiTheme="minorHAnsi" w:hAnsiTheme="minorHAnsi" w:cstheme="minorHAnsi"/>
                <w:sz w:val="22"/>
                <w:szCs w:val="22"/>
              </w:rPr>
              <w:t>(MADS)</w:t>
            </w:r>
          </w:p>
        </w:tc>
        <w:tc>
          <w:tcPr>
            <w:tcW w:w="627" w:type="dxa"/>
            <w:tcBorders>
              <w:top w:val="single" w:sz="2" w:space="0" w:color="808080"/>
              <w:left w:val="single" w:sz="2" w:space="0" w:color="808080"/>
              <w:bottom w:val="single" w:sz="2" w:space="0" w:color="808080"/>
            </w:tcBorders>
            <w:shd w:val="clear" w:color="auto" w:fill="auto"/>
            <w:tcMar>
              <w:left w:w="24" w:type="dxa"/>
            </w:tcMar>
            <w:vAlign w:val="center"/>
          </w:tcPr>
          <w:p w14:paraId="60B3A353"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1e-2</w:t>
            </w:r>
          </w:p>
        </w:tc>
        <w:tc>
          <w:tcPr>
            <w:tcW w:w="807" w:type="dxa"/>
            <w:tcBorders>
              <w:top w:val="single" w:sz="2" w:space="0" w:color="808080"/>
              <w:left w:val="single" w:sz="2" w:space="0" w:color="808080"/>
              <w:bottom w:val="single" w:sz="2" w:space="0" w:color="808080"/>
            </w:tcBorders>
            <w:shd w:val="clear" w:color="auto" w:fill="auto"/>
            <w:tcMar>
              <w:left w:w="24" w:type="dxa"/>
            </w:tcMar>
            <w:vAlign w:val="center"/>
          </w:tcPr>
          <w:p w14:paraId="668DA15C"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0.5623</w:t>
            </w:r>
          </w:p>
        </w:tc>
        <w:tc>
          <w:tcPr>
            <w:tcW w:w="807" w:type="dxa"/>
            <w:tcBorders>
              <w:top w:val="single" w:sz="2" w:space="0" w:color="808080"/>
              <w:left w:val="single" w:sz="2" w:space="0" w:color="808080"/>
              <w:bottom w:val="single" w:sz="2" w:space="0" w:color="808080"/>
            </w:tcBorders>
            <w:shd w:val="clear" w:color="auto" w:fill="auto"/>
            <w:tcMar>
              <w:left w:w="24" w:type="dxa"/>
            </w:tcMar>
            <w:vAlign w:val="center"/>
          </w:tcPr>
          <w:p w14:paraId="62742A13"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13.0</w:t>
            </w:r>
          </w:p>
        </w:tc>
        <w:tc>
          <w:tcPr>
            <w:tcW w:w="987" w:type="dxa"/>
            <w:tcBorders>
              <w:top w:val="single" w:sz="2" w:space="0" w:color="808080"/>
              <w:left w:val="single" w:sz="2" w:space="0" w:color="808080"/>
              <w:bottom w:val="single" w:sz="2" w:space="0" w:color="808080"/>
            </w:tcBorders>
            <w:shd w:val="clear" w:color="auto" w:fill="auto"/>
            <w:tcMar>
              <w:left w:w="24" w:type="dxa"/>
            </w:tcMar>
            <w:vAlign w:val="center"/>
          </w:tcPr>
          <w:p w14:paraId="1D7F0B13"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20.63%</w:t>
            </w:r>
          </w:p>
        </w:tc>
        <w:tc>
          <w:tcPr>
            <w:tcW w:w="807" w:type="dxa"/>
            <w:tcBorders>
              <w:top w:val="single" w:sz="2" w:space="0" w:color="808080"/>
              <w:left w:val="single" w:sz="2" w:space="0" w:color="808080"/>
              <w:bottom w:val="single" w:sz="2" w:space="0" w:color="808080"/>
            </w:tcBorders>
            <w:shd w:val="clear" w:color="auto" w:fill="auto"/>
            <w:tcMar>
              <w:left w:w="24" w:type="dxa"/>
            </w:tcMar>
            <w:vAlign w:val="center"/>
          </w:tcPr>
          <w:p w14:paraId="2DD8882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1248.9</w:t>
            </w:r>
          </w:p>
        </w:tc>
        <w:tc>
          <w:tcPr>
            <w:tcW w:w="882"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66EC3F7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8.65%</w:t>
            </w:r>
          </w:p>
        </w:tc>
      </w:tr>
      <w:tr w:rsidR="0052616E" w:rsidRPr="00342DC6" w14:paraId="1FA3B2BB" w14:textId="77777777" w:rsidTr="00C36E44">
        <w:trPr>
          <w:trHeight w:val="835"/>
        </w:trPr>
        <w:tc>
          <w:tcPr>
            <w:tcW w:w="4038" w:type="dxa"/>
            <w:tcBorders>
              <w:top w:val="single" w:sz="2" w:space="0" w:color="808080"/>
              <w:left w:val="single" w:sz="2" w:space="0" w:color="808080"/>
              <w:bottom w:val="single" w:sz="2" w:space="0" w:color="808080"/>
            </w:tcBorders>
            <w:shd w:val="clear" w:color="auto" w:fill="auto"/>
            <w:tcMar>
              <w:left w:w="24" w:type="dxa"/>
            </w:tcMar>
            <w:vAlign w:val="center"/>
          </w:tcPr>
          <w:p w14:paraId="476D43C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79744" behindDoc="0" locked="0" layoutInCell="1" allowOverlap="1" wp14:anchorId="25DA34B4" wp14:editId="3F24B249">
                  <wp:simplePos x="0" y="0"/>
                  <wp:positionH relativeFrom="column">
                    <wp:align>center</wp:align>
                  </wp:positionH>
                  <wp:positionV relativeFrom="paragraph">
                    <wp:posOffset>635</wp:posOffset>
                  </wp:positionV>
                  <wp:extent cx="2438400" cy="485775"/>
                  <wp:effectExtent l="0" t="0" r="0" b="0"/>
                  <wp:wrapSquare wrapText="largest"/>
                  <wp:docPr id="21"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9"/>
                          <pic:cNvPicPr>
                            <a:picLocks noChangeAspect="1" noChangeArrowheads="1"/>
                          </pic:cNvPicPr>
                        </pic:nvPicPr>
                        <pic:blipFill>
                          <a:blip r:embed="rId27"/>
                          <a:stretch>
                            <a:fillRect/>
                          </a:stretch>
                        </pic:blipFill>
                        <pic:spPr bwMode="auto">
                          <a:xfrm>
                            <a:off x="0" y="0"/>
                            <a:ext cx="2438400" cy="485775"/>
                          </a:xfrm>
                          <a:prstGeom prst="rect">
                            <a:avLst/>
                          </a:prstGeom>
                        </pic:spPr>
                      </pic:pic>
                    </a:graphicData>
                  </a:graphic>
                </wp:anchor>
              </w:drawing>
            </w:r>
          </w:p>
        </w:tc>
        <w:tc>
          <w:tcPr>
            <w:tcW w:w="987" w:type="dxa"/>
            <w:tcBorders>
              <w:top w:val="single" w:sz="2" w:space="0" w:color="808080"/>
              <w:left w:val="single" w:sz="2" w:space="0" w:color="808080"/>
              <w:bottom w:val="single" w:sz="2" w:space="0" w:color="808080"/>
            </w:tcBorders>
            <w:shd w:val="clear" w:color="auto" w:fill="auto"/>
            <w:tcMar>
              <w:left w:w="24" w:type="dxa"/>
            </w:tcMar>
            <w:vAlign w:val="center"/>
          </w:tcPr>
          <w:p w14:paraId="45CDF306"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RUNX1</w:t>
            </w:r>
            <w:r w:rsidRPr="00342DC6">
              <w:rPr>
                <w:rFonts w:asciiTheme="minorHAnsi" w:hAnsiTheme="minorHAnsi" w:cstheme="minorHAnsi"/>
                <w:sz w:val="22"/>
                <w:szCs w:val="22"/>
              </w:rPr>
              <w:t xml:space="preserve"> (Runt)</w:t>
            </w:r>
          </w:p>
        </w:tc>
        <w:tc>
          <w:tcPr>
            <w:tcW w:w="627" w:type="dxa"/>
            <w:tcBorders>
              <w:top w:val="single" w:sz="2" w:space="0" w:color="808080"/>
              <w:left w:val="single" w:sz="2" w:space="0" w:color="808080"/>
              <w:bottom w:val="single" w:sz="2" w:space="0" w:color="808080"/>
            </w:tcBorders>
            <w:shd w:val="clear" w:color="auto" w:fill="auto"/>
            <w:tcMar>
              <w:left w:w="24" w:type="dxa"/>
            </w:tcMar>
            <w:vAlign w:val="center"/>
          </w:tcPr>
          <w:p w14:paraId="08F0FCD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1e-2</w:t>
            </w:r>
          </w:p>
        </w:tc>
        <w:tc>
          <w:tcPr>
            <w:tcW w:w="807" w:type="dxa"/>
            <w:tcBorders>
              <w:top w:val="single" w:sz="2" w:space="0" w:color="808080"/>
              <w:left w:val="single" w:sz="2" w:space="0" w:color="808080"/>
              <w:bottom w:val="single" w:sz="2" w:space="0" w:color="808080"/>
            </w:tcBorders>
            <w:shd w:val="clear" w:color="auto" w:fill="auto"/>
            <w:tcMar>
              <w:left w:w="24" w:type="dxa"/>
            </w:tcMar>
            <w:vAlign w:val="center"/>
          </w:tcPr>
          <w:p w14:paraId="20202E14"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0.9324</w:t>
            </w:r>
          </w:p>
        </w:tc>
        <w:tc>
          <w:tcPr>
            <w:tcW w:w="807" w:type="dxa"/>
            <w:tcBorders>
              <w:top w:val="single" w:sz="2" w:space="0" w:color="808080"/>
              <w:left w:val="single" w:sz="2" w:space="0" w:color="808080"/>
              <w:bottom w:val="single" w:sz="2" w:space="0" w:color="808080"/>
            </w:tcBorders>
            <w:shd w:val="clear" w:color="auto" w:fill="auto"/>
            <w:tcMar>
              <w:left w:w="24" w:type="dxa"/>
            </w:tcMar>
            <w:vAlign w:val="center"/>
          </w:tcPr>
          <w:p w14:paraId="0D947FAC"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15.0</w:t>
            </w:r>
          </w:p>
        </w:tc>
        <w:tc>
          <w:tcPr>
            <w:tcW w:w="987" w:type="dxa"/>
            <w:tcBorders>
              <w:top w:val="single" w:sz="2" w:space="0" w:color="808080"/>
              <w:left w:val="single" w:sz="2" w:space="0" w:color="808080"/>
              <w:bottom w:val="single" w:sz="2" w:space="0" w:color="808080"/>
            </w:tcBorders>
            <w:shd w:val="clear" w:color="auto" w:fill="auto"/>
            <w:tcMar>
              <w:left w:w="24" w:type="dxa"/>
            </w:tcMar>
            <w:vAlign w:val="center"/>
          </w:tcPr>
          <w:p w14:paraId="14F2AB20"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23.81%</w:t>
            </w:r>
          </w:p>
        </w:tc>
        <w:tc>
          <w:tcPr>
            <w:tcW w:w="807" w:type="dxa"/>
            <w:tcBorders>
              <w:top w:val="single" w:sz="2" w:space="0" w:color="808080"/>
              <w:left w:val="single" w:sz="2" w:space="0" w:color="808080"/>
              <w:bottom w:val="single" w:sz="2" w:space="0" w:color="808080"/>
            </w:tcBorders>
            <w:shd w:val="clear" w:color="auto" w:fill="auto"/>
            <w:tcMar>
              <w:left w:w="24" w:type="dxa"/>
            </w:tcMar>
            <w:vAlign w:val="center"/>
          </w:tcPr>
          <w:p w14:paraId="3C9BA299"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1758.0</w:t>
            </w:r>
          </w:p>
        </w:tc>
        <w:tc>
          <w:tcPr>
            <w:tcW w:w="882"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39B9955C"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12.18%</w:t>
            </w:r>
          </w:p>
        </w:tc>
      </w:tr>
      <w:tr w:rsidR="0052616E" w:rsidRPr="00342DC6" w14:paraId="22D50A26" w14:textId="77777777" w:rsidTr="00C36E44">
        <w:trPr>
          <w:trHeight w:val="847"/>
        </w:trPr>
        <w:tc>
          <w:tcPr>
            <w:tcW w:w="4038" w:type="dxa"/>
            <w:tcBorders>
              <w:top w:val="single" w:sz="2" w:space="0" w:color="808080"/>
              <w:left w:val="single" w:sz="2" w:space="0" w:color="808080"/>
              <w:bottom w:val="single" w:sz="6" w:space="0" w:color="808080"/>
            </w:tcBorders>
            <w:shd w:val="clear" w:color="auto" w:fill="auto"/>
            <w:tcMar>
              <w:left w:w="24" w:type="dxa"/>
            </w:tcMar>
            <w:vAlign w:val="center"/>
          </w:tcPr>
          <w:p w14:paraId="660C6E46"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80768" behindDoc="0" locked="0" layoutInCell="1" allowOverlap="1" wp14:anchorId="7DD86CA3" wp14:editId="72CCAC69">
                  <wp:simplePos x="0" y="0"/>
                  <wp:positionH relativeFrom="column">
                    <wp:align>center</wp:align>
                  </wp:positionH>
                  <wp:positionV relativeFrom="paragraph">
                    <wp:posOffset>635</wp:posOffset>
                  </wp:positionV>
                  <wp:extent cx="2438400" cy="485775"/>
                  <wp:effectExtent l="0" t="0" r="0" b="0"/>
                  <wp:wrapSquare wrapText="largest"/>
                  <wp:docPr id="22" name="Imag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
                          <pic:cNvPicPr>
                            <a:picLocks noChangeAspect="1" noChangeArrowheads="1"/>
                          </pic:cNvPicPr>
                        </pic:nvPicPr>
                        <pic:blipFill>
                          <a:blip r:embed="rId28"/>
                          <a:stretch>
                            <a:fillRect/>
                          </a:stretch>
                        </pic:blipFill>
                        <pic:spPr bwMode="auto">
                          <a:xfrm>
                            <a:off x="0" y="0"/>
                            <a:ext cx="2438400" cy="485775"/>
                          </a:xfrm>
                          <a:prstGeom prst="rect">
                            <a:avLst/>
                          </a:prstGeom>
                        </pic:spPr>
                      </pic:pic>
                    </a:graphicData>
                  </a:graphic>
                </wp:anchor>
              </w:drawing>
            </w:r>
          </w:p>
        </w:tc>
        <w:tc>
          <w:tcPr>
            <w:tcW w:w="987" w:type="dxa"/>
            <w:tcBorders>
              <w:top w:val="single" w:sz="2" w:space="0" w:color="808080"/>
              <w:left w:val="single" w:sz="2" w:space="0" w:color="808080"/>
              <w:bottom w:val="single" w:sz="6" w:space="0" w:color="808080"/>
            </w:tcBorders>
            <w:shd w:val="clear" w:color="auto" w:fill="auto"/>
            <w:tcMar>
              <w:left w:w="24" w:type="dxa"/>
            </w:tcMar>
            <w:vAlign w:val="center"/>
          </w:tcPr>
          <w:p w14:paraId="05EF5211"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 xml:space="preserve">Gfi1b </w:t>
            </w:r>
            <w:r w:rsidRPr="00342DC6">
              <w:rPr>
                <w:rFonts w:asciiTheme="minorHAnsi" w:hAnsiTheme="minorHAnsi" w:cstheme="minorHAnsi"/>
                <w:sz w:val="22"/>
                <w:szCs w:val="22"/>
              </w:rPr>
              <w:t>(Zf)</w:t>
            </w:r>
          </w:p>
        </w:tc>
        <w:tc>
          <w:tcPr>
            <w:tcW w:w="627" w:type="dxa"/>
            <w:tcBorders>
              <w:top w:val="single" w:sz="2" w:space="0" w:color="808080"/>
              <w:left w:val="single" w:sz="2" w:space="0" w:color="808080"/>
              <w:bottom w:val="single" w:sz="6" w:space="0" w:color="808080"/>
            </w:tcBorders>
            <w:shd w:val="clear" w:color="auto" w:fill="auto"/>
            <w:tcMar>
              <w:left w:w="24" w:type="dxa"/>
            </w:tcMar>
            <w:vAlign w:val="center"/>
          </w:tcPr>
          <w:p w14:paraId="492C1976"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1e-2</w:t>
            </w:r>
          </w:p>
        </w:tc>
        <w:tc>
          <w:tcPr>
            <w:tcW w:w="807" w:type="dxa"/>
            <w:tcBorders>
              <w:top w:val="single" w:sz="2" w:space="0" w:color="808080"/>
              <w:left w:val="single" w:sz="2" w:space="0" w:color="808080"/>
              <w:bottom w:val="single" w:sz="6" w:space="0" w:color="808080"/>
            </w:tcBorders>
            <w:shd w:val="clear" w:color="auto" w:fill="auto"/>
            <w:tcMar>
              <w:left w:w="24" w:type="dxa"/>
            </w:tcMar>
            <w:vAlign w:val="center"/>
          </w:tcPr>
          <w:p w14:paraId="3BD9A20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0.9324</w:t>
            </w:r>
          </w:p>
        </w:tc>
        <w:tc>
          <w:tcPr>
            <w:tcW w:w="807" w:type="dxa"/>
            <w:tcBorders>
              <w:top w:val="single" w:sz="2" w:space="0" w:color="808080"/>
              <w:left w:val="single" w:sz="2" w:space="0" w:color="808080"/>
              <w:bottom w:val="single" w:sz="6" w:space="0" w:color="808080"/>
            </w:tcBorders>
            <w:shd w:val="clear" w:color="auto" w:fill="auto"/>
            <w:tcMar>
              <w:left w:w="24" w:type="dxa"/>
            </w:tcMar>
            <w:vAlign w:val="center"/>
          </w:tcPr>
          <w:p w14:paraId="272AB2E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11.0</w:t>
            </w:r>
          </w:p>
        </w:tc>
        <w:tc>
          <w:tcPr>
            <w:tcW w:w="987" w:type="dxa"/>
            <w:tcBorders>
              <w:top w:val="single" w:sz="2" w:space="0" w:color="808080"/>
              <w:left w:val="single" w:sz="2" w:space="0" w:color="808080"/>
              <w:bottom w:val="single" w:sz="6" w:space="0" w:color="808080"/>
            </w:tcBorders>
            <w:shd w:val="clear" w:color="auto" w:fill="auto"/>
            <w:tcMar>
              <w:left w:w="24" w:type="dxa"/>
            </w:tcMar>
            <w:vAlign w:val="center"/>
          </w:tcPr>
          <w:p w14:paraId="2C1EFEA6"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17.46%</w:t>
            </w:r>
          </w:p>
        </w:tc>
        <w:tc>
          <w:tcPr>
            <w:tcW w:w="807" w:type="dxa"/>
            <w:tcBorders>
              <w:top w:val="single" w:sz="2" w:space="0" w:color="808080"/>
              <w:left w:val="single" w:sz="2" w:space="0" w:color="808080"/>
              <w:bottom w:val="single" w:sz="6" w:space="0" w:color="808080"/>
            </w:tcBorders>
            <w:shd w:val="clear" w:color="auto" w:fill="auto"/>
            <w:tcMar>
              <w:left w:w="24" w:type="dxa"/>
            </w:tcMar>
            <w:vAlign w:val="center"/>
          </w:tcPr>
          <w:p w14:paraId="3C1BE3E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1137.7</w:t>
            </w:r>
          </w:p>
        </w:tc>
        <w:tc>
          <w:tcPr>
            <w:tcW w:w="882" w:type="dxa"/>
            <w:tcBorders>
              <w:top w:val="single" w:sz="2" w:space="0" w:color="808080"/>
              <w:left w:val="single" w:sz="2" w:space="0" w:color="808080"/>
              <w:bottom w:val="single" w:sz="6" w:space="0" w:color="808080"/>
              <w:right w:val="single" w:sz="2" w:space="0" w:color="808080"/>
            </w:tcBorders>
            <w:shd w:val="clear" w:color="auto" w:fill="auto"/>
            <w:tcMar>
              <w:left w:w="24" w:type="dxa"/>
            </w:tcMar>
            <w:vAlign w:val="center"/>
          </w:tcPr>
          <w:p w14:paraId="1502ADDF"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7.88%</w:t>
            </w:r>
          </w:p>
        </w:tc>
      </w:tr>
    </w:tbl>
    <w:p w14:paraId="61F307E1" w14:textId="77777777" w:rsidR="0052616E" w:rsidRDefault="0052616E" w:rsidP="0052616E">
      <w:pPr>
        <w:rPr>
          <w:rFonts w:asciiTheme="minorHAnsi" w:hAnsiTheme="minorHAnsi" w:cstheme="minorHAnsi"/>
          <w:b/>
          <w:bCs/>
          <w:i/>
          <w:iCs/>
        </w:rPr>
      </w:pPr>
    </w:p>
    <w:p w14:paraId="438225CB" w14:textId="77777777" w:rsidR="0052616E" w:rsidRDefault="0052616E" w:rsidP="0052616E">
      <w:pPr>
        <w:rPr>
          <w:rFonts w:asciiTheme="minorHAnsi" w:hAnsiTheme="minorHAnsi" w:cstheme="minorHAnsi"/>
          <w:b/>
          <w:bCs/>
          <w:i/>
          <w:iCs/>
        </w:rPr>
      </w:pPr>
    </w:p>
    <w:p w14:paraId="72F0BB87" w14:textId="13350567" w:rsidR="0052616E" w:rsidRDefault="0052616E" w:rsidP="0052616E">
      <w:pPr>
        <w:rPr>
          <w:rFonts w:asciiTheme="minorHAnsi" w:hAnsiTheme="minorHAnsi" w:cstheme="minorHAnsi"/>
          <w:b/>
          <w:bCs/>
          <w:i/>
          <w:iCs/>
        </w:rPr>
      </w:pPr>
    </w:p>
    <w:p w14:paraId="741CF6D0" w14:textId="4BBA5576" w:rsidR="0052616E" w:rsidRDefault="0052616E" w:rsidP="0052616E">
      <w:pPr>
        <w:rPr>
          <w:rFonts w:asciiTheme="minorHAnsi" w:hAnsiTheme="minorHAnsi" w:cstheme="minorHAnsi"/>
          <w:b/>
          <w:bCs/>
          <w:i/>
          <w:iCs/>
        </w:rPr>
      </w:pPr>
    </w:p>
    <w:p w14:paraId="466D7D1D" w14:textId="609C5D90" w:rsidR="0052616E" w:rsidRDefault="0052616E" w:rsidP="0052616E">
      <w:pPr>
        <w:rPr>
          <w:rFonts w:asciiTheme="minorHAnsi" w:hAnsiTheme="minorHAnsi" w:cstheme="minorHAnsi"/>
          <w:b/>
          <w:bCs/>
          <w:i/>
          <w:iCs/>
        </w:rPr>
      </w:pPr>
    </w:p>
    <w:p w14:paraId="69BE5126" w14:textId="77777777" w:rsidR="0052616E" w:rsidRDefault="0052616E" w:rsidP="0052616E">
      <w:pPr>
        <w:rPr>
          <w:rFonts w:asciiTheme="minorHAnsi" w:hAnsiTheme="minorHAnsi" w:cstheme="minorHAnsi"/>
          <w:b/>
          <w:bCs/>
          <w:i/>
          <w:iCs/>
        </w:rPr>
      </w:pPr>
    </w:p>
    <w:p w14:paraId="185721A2" w14:textId="77777777" w:rsidR="0052616E" w:rsidRDefault="0052616E" w:rsidP="0052616E">
      <w:pPr>
        <w:rPr>
          <w:rFonts w:asciiTheme="minorHAnsi" w:hAnsiTheme="minorHAnsi" w:cstheme="minorHAnsi"/>
          <w:b/>
          <w:bCs/>
          <w:i/>
          <w:iCs/>
        </w:rPr>
      </w:pPr>
    </w:p>
    <w:p w14:paraId="61B1F36E" w14:textId="77777777" w:rsidR="0052616E" w:rsidRDefault="0052616E" w:rsidP="0052616E">
      <w:pPr>
        <w:rPr>
          <w:rFonts w:asciiTheme="minorHAnsi" w:hAnsiTheme="minorHAnsi" w:cstheme="minorHAnsi"/>
          <w:b/>
          <w:bCs/>
          <w:i/>
          <w:iCs/>
        </w:rPr>
      </w:pPr>
    </w:p>
    <w:p w14:paraId="02D4A9EB" w14:textId="77777777" w:rsidR="0052616E" w:rsidRDefault="0052616E" w:rsidP="0052616E">
      <w:pPr>
        <w:rPr>
          <w:rFonts w:asciiTheme="minorHAnsi" w:hAnsiTheme="minorHAnsi" w:cstheme="minorHAnsi"/>
          <w:b/>
          <w:bCs/>
          <w:i/>
          <w:iCs/>
        </w:rPr>
      </w:pPr>
    </w:p>
    <w:p w14:paraId="33873F83" w14:textId="0F42E8B4" w:rsidR="0052616E" w:rsidRPr="00342DC6" w:rsidRDefault="0052616E" w:rsidP="0052616E">
      <w:pPr>
        <w:rPr>
          <w:rFonts w:asciiTheme="minorHAnsi" w:hAnsiTheme="minorHAnsi" w:cstheme="minorHAnsi"/>
          <w:sz w:val="22"/>
          <w:szCs w:val="22"/>
        </w:rPr>
      </w:pPr>
      <w:r w:rsidRPr="00342DC6">
        <w:rPr>
          <w:rFonts w:asciiTheme="minorHAnsi" w:hAnsiTheme="minorHAnsi" w:cstheme="minorHAnsi"/>
          <w:b/>
          <w:bCs/>
          <w:i/>
          <w:iCs/>
          <w:sz w:val="22"/>
          <w:szCs w:val="22"/>
        </w:rPr>
        <w:lastRenderedPageBreak/>
        <w:t xml:space="preserve">Supplementary Table </w:t>
      </w:r>
      <w:r>
        <w:rPr>
          <w:rFonts w:asciiTheme="minorHAnsi" w:hAnsiTheme="minorHAnsi" w:cstheme="minorHAnsi"/>
          <w:b/>
          <w:bCs/>
          <w:i/>
          <w:iCs/>
          <w:sz w:val="22"/>
          <w:szCs w:val="22"/>
        </w:rPr>
        <w:t>S13</w:t>
      </w:r>
      <w:r w:rsidRPr="00342DC6">
        <w:rPr>
          <w:rFonts w:asciiTheme="minorHAnsi" w:hAnsiTheme="minorHAnsi" w:cstheme="minorHAnsi"/>
          <w:sz w:val="22"/>
          <w:szCs w:val="22"/>
        </w:rPr>
        <w:t xml:space="preserve">: HOMER </w:t>
      </w:r>
      <w:r w:rsidRPr="00342DC6">
        <w:rPr>
          <w:rFonts w:asciiTheme="minorHAnsi" w:hAnsiTheme="minorHAnsi" w:cstheme="minorHAnsi"/>
          <w:i/>
          <w:iCs/>
          <w:sz w:val="22"/>
          <w:szCs w:val="22"/>
        </w:rPr>
        <w:t>de novo</w:t>
      </w:r>
      <w:r w:rsidRPr="00342DC6">
        <w:rPr>
          <w:rFonts w:asciiTheme="minorHAnsi" w:hAnsiTheme="minorHAnsi" w:cstheme="minorHAnsi"/>
          <w:sz w:val="22"/>
          <w:szCs w:val="22"/>
        </w:rPr>
        <w:t xml:space="preserve"> motif results of DEGs in aSAT before and after training.</w:t>
      </w:r>
    </w:p>
    <w:tbl>
      <w:tblPr>
        <w:tblW w:w="9975" w:type="dxa"/>
        <w:tblInd w:w="-2" w:type="dxa"/>
        <w:tblBorders>
          <w:top w:val="single" w:sz="6" w:space="0" w:color="808080"/>
          <w:left w:val="single" w:sz="2" w:space="0" w:color="808080"/>
          <w:bottom w:val="single" w:sz="2" w:space="0" w:color="808080"/>
          <w:insideH w:val="single" w:sz="2" w:space="0" w:color="808080"/>
        </w:tblBorders>
        <w:tblCellMar>
          <w:top w:w="28" w:type="dxa"/>
          <w:left w:w="24" w:type="dxa"/>
          <w:bottom w:w="28" w:type="dxa"/>
          <w:right w:w="28" w:type="dxa"/>
        </w:tblCellMar>
        <w:tblLook w:val="0000" w:firstRow="0" w:lastRow="0" w:firstColumn="0" w:lastColumn="0" w:noHBand="0" w:noVBand="0"/>
      </w:tblPr>
      <w:tblGrid>
        <w:gridCol w:w="4229"/>
        <w:gridCol w:w="628"/>
        <w:gridCol w:w="820"/>
        <w:gridCol w:w="989"/>
        <w:gridCol w:w="1796"/>
        <w:gridCol w:w="1513"/>
      </w:tblGrid>
      <w:tr w:rsidR="0052616E" w:rsidRPr="00342DC6" w14:paraId="6A798C1E" w14:textId="77777777" w:rsidTr="00C36E44">
        <w:tc>
          <w:tcPr>
            <w:tcW w:w="4228" w:type="dxa"/>
            <w:tcBorders>
              <w:top w:val="single" w:sz="6" w:space="0" w:color="808080"/>
              <w:left w:val="single" w:sz="2" w:space="0" w:color="808080"/>
              <w:bottom w:val="single" w:sz="2" w:space="0" w:color="808080"/>
            </w:tcBorders>
            <w:shd w:val="clear" w:color="auto" w:fill="auto"/>
            <w:tcMar>
              <w:left w:w="24" w:type="dxa"/>
            </w:tcMar>
            <w:vAlign w:val="center"/>
          </w:tcPr>
          <w:p w14:paraId="669C65B2"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Motif</w:t>
            </w:r>
          </w:p>
        </w:tc>
        <w:tc>
          <w:tcPr>
            <w:tcW w:w="628" w:type="dxa"/>
            <w:tcBorders>
              <w:top w:val="single" w:sz="6" w:space="0" w:color="808080"/>
              <w:left w:val="single" w:sz="2" w:space="0" w:color="808080"/>
              <w:bottom w:val="single" w:sz="2" w:space="0" w:color="808080"/>
            </w:tcBorders>
            <w:shd w:val="clear" w:color="auto" w:fill="auto"/>
            <w:tcMar>
              <w:left w:w="24" w:type="dxa"/>
            </w:tcMar>
            <w:vAlign w:val="center"/>
          </w:tcPr>
          <w:p w14:paraId="18F65E18"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P-val</w:t>
            </w:r>
          </w:p>
        </w:tc>
        <w:tc>
          <w:tcPr>
            <w:tcW w:w="820" w:type="dxa"/>
            <w:tcBorders>
              <w:top w:val="single" w:sz="6" w:space="0" w:color="808080"/>
              <w:left w:val="single" w:sz="2" w:space="0" w:color="808080"/>
              <w:bottom w:val="single" w:sz="2" w:space="0" w:color="808080"/>
            </w:tcBorders>
            <w:shd w:val="clear" w:color="auto" w:fill="auto"/>
            <w:tcMar>
              <w:left w:w="24" w:type="dxa"/>
            </w:tcMar>
            <w:vAlign w:val="center"/>
          </w:tcPr>
          <w:p w14:paraId="3E847EEF"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Targets</w:t>
            </w:r>
          </w:p>
        </w:tc>
        <w:tc>
          <w:tcPr>
            <w:tcW w:w="989" w:type="dxa"/>
            <w:tcBorders>
              <w:top w:val="single" w:sz="6" w:space="0" w:color="808080"/>
              <w:left w:val="single" w:sz="2" w:space="0" w:color="808080"/>
              <w:bottom w:val="single" w:sz="2" w:space="0" w:color="808080"/>
            </w:tcBorders>
            <w:shd w:val="clear" w:color="auto" w:fill="auto"/>
            <w:tcMar>
              <w:left w:w="24" w:type="dxa"/>
            </w:tcMar>
            <w:vAlign w:val="center"/>
          </w:tcPr>
          <w:p w14:paraId="7C0663D9"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 of Bkg</w:t>
            </w:r>
          </w:p>
        </w:tc>
        <w:tc>
          <w:tcPr>
            <w:tcW w:w="1796" w:type="dxa"/>
            <w:tcBorders>
              <w:top w:val="single" w:sz="6" w:space="0" w:color="808080"/>
              <w:left w:val="single" w:sz="2" w:space="0" w:color="808080"/>
              <w:bottom w:val="single" w:sz="2" w:space="0" w:color="808080"/>
            </w:tcBorders>
            <w:shd w:val="clear" w:color="auto" w:fill="auto"/>
            <w:tcMar>
              <w:left w:w="24" w:type="dxa"/>
            </w:tcMar>
            <w:vAlign w:val="center"/>
          </w:tcPr>
          <w:p w14:paraId="1C31718C"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STD(Bg STD)</w:t>
            </w:r>
          </w:p>
        </w:tc>
        <w:tc>
          <w:tcPr>
            <w:tcW w:w="1513" w:type="dxa"/>
            <w:tcBorders>
              <w:top w:val="single" w:sz="6" w:space="0" w:color="808080"/>
              <w:left w:val="single" w:sz="2" w:space="0" w:color="808080"/>
              <w:bottom w:val="single" w:sz="2" w:space="0" w:color="808080"/>
              <w:right w:val="single" w:sz="2" w:space="0" w:color="808080"/>
            </w:tcBorders>
            <w:shd w:val="clear" w:color="auto" w:fill="auto"/>
            <w:tcMar>
              <w:left w:w="24" w:type="dxa"/>
            </w:tcMar>
            <w:vAlign w:val="center"/>
          </w:tcPr>
          <w:p w14:paraId="2FDDC920" w14:textId="77777777" w:rsidR="0052616E" w:rsidRPr="00342DC6" w:rsidRDefault="0052616E" w:rsidP="00C36E44">
            <w:pPr>
              <w:pStyle w:val="TableContents"/>
              <w:rPr>
                <w:rFonts w:asciiTheme="minorHAnsi" w:hAnsiTheme="minorHAnsi" w:cstheme="minorHAnsi"/>
                <w:b/>
                <w:sz w:val="22"/>
                <w:szCs w:val="22"/>
              </w:rPr>
            </w:pPr>
            <w:r w:rsidRPr="00342DC6">
              <w:rPr>
                <w:rFonts w:asciiTheme="minorHAnsi" w:hAnsiTheme="minorHAnsi" w:cstheme="minorHAnsi"/>
                <w:b/>
                <w:sz w:val="22"/>
                <w:szCs w:val="22"/>
              </w:rPr>
              <w:t>Best Match</w:t>
            </w:r>
          </w:p>
        </w:tc>
      </w:tr>
      <w:tr w:rsidR="0052616E" w:rsidRPr="00342DC6" w14:paraId="2C395050" w14:textId="77777777" w:rsidTr="00C36E44">
        <w:tc>
          <w:tcPr>
            <w:tcW w:w="4228" w:type="dxa"/>
            <w:tcBorders>
              <w:top w:val="single" w:sz="2" w:space="0" w:color="808080"/>
              <w:left w:val="single" w:sz="2" w:space="0" w:color="808080"/>
              <w:bottom w:val="single" w:sz="2" w:space="0" w:color="808080"/>
            </w:tcBorders>
            <w:shd w:val="clear" w:color="auto" w:fill="auto"/>
            <w:tcMar>
              <w:left w:w="24" w:type="dxa"/>
            </w:tcMar>
            <w:vAlign w:val="center"/>
          </w:tcPr>
          <w:p w14:paraId="54013D4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60288" behindDoc="0" locked="0" layoutInCell="1" allowOverlap="1" wp14:anchorId="30FF3A72" wp14:editId="4A71FC75">
                  <wp:simplePos x="0" y="0"/>
                  <wp:positionH relativeFrom="column">
                    <wp:align>center</wp:align>
                  </wp:positionH>
                  <wp:positionV relativeFrom="paragraph">
                    <wp:posOffset>635</wp:posOffset>
                  </wp:positionV>
                  <wp:extent cx="2438400" cy="485775"/>
                  <wp:effectExtent l="0" t="0" r="0" b="0"/>
                  <wp:wrapSquare wrapText="largest"/>
                  <wp:docPr id="23" name="Image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4"/>
                          <pic:cNvPicPr>
                            <a:picLocks noChangeAspect="1" noChangeArrowheads="1"/>
                          </pic:cNvPicPr>
                        </pic:nvPicPr>
                        <pic:blipFill>
                          <a:blip r:embed="rId29"/>
                          <a:stretch>
                            <a:fillRect/>
                          </a:stretch>
                        </pic:blipFill>
                        <pic:spPr bwMode="auto">
                          <a:xfrm>
                            <a:off x="0" y="0"/>
                            <a:ext cx="2438400" cy="485775"/>
                          </a:xfrm>
                          <a:prstGeom prst="rect">
                            <a:avLst/>
                          </a:prstGeom>
                        </pic:spPr>
                      </pic:pic>
                    </a:graphicData>
                  </a:graphic>
                </wp:anchor>
              </w:drawing>
            </w:r>
          </w:p>
        </w:tc>
        <w:tc>
          <w:tcPr>
            <w:tcW w:w="628" w:type="dxa"/>
            <w:tcBorders>
              <w:top w:val="single" w:sz="2" w:space="0" w:color="808080"/>
              <w:left w:val="single" w:sz="2" w:space="0" w:color="808080"/>
              <w:bottom w:val="single" w:sz="2" w:space="0" w:color="808080"/>
            </w:tcBorders>
            <w:shd w:val="clear" w:color="auto" w:fill="auto"/>
            <w:tcMar>
              <w:left w:w="24" w:type="dxa"/>
            </w:tcMar>
            <w:vAlign w:val="center"/>
          </w:tcPr>
          <w:p w14:paraId="4E98B997"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1e-10</w:t>
            </w:r>
          </w:p>
        </w:tc>
        <w:tc>
          <w:tcPr>
            <w:tcW w:w="820" w:type="dxa"/>
            <w:tcBorders>
              <w:top w:val="single" w:sz="2" w:space="0" w:color="808080"/>
              <w:left w:val="single" w:sz="2" w:space="0" w:color="808080"/>
              <w:bottom w:val="single" w:sz="2" w:space="0" w:color="808080"/>
            </w:tcBorders>
            <w:shd w:val="clear" w:color="auto" w:fill="auto"/>
            <w:tcMar>
              <w:left w:w="24" w:type="dxa"/>
            </w:tcMar>
            <w:vAlign w:val="center"/>
          </w:tcPr>
          <w:p w14:paraId="5414A5CE"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14.29%</w:t>
            </w:r>
          </w:p>
        </w:tc>
        <w:tc>
          <w:tcPr>
            <w:tcW w:w="989" w:type="dxa"/>
            <w:tcBorders>
              <w:top w:val="single" w:sz="2" w:space="0" w:color="808080"/>
              <w:left w:val="single" w:sz="2" w:space="0" w:color="808080"/>
              <w:bottom w:val="single" w:sz="2" w:space="0" w:color="808080"/>
            </w:tcBorders>
            <w:shd w:val="clear" w:color="auto" w:fill="auto"/>
            <w:tcMar>
              <w:left w:w="24" w:type="dxa"/>
            </w:tcMar>
            <w:vAlign w:val="center"/>
          </w:tcPr>
          <w:p w14:paraId="3729A26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0.43%</w:t>
            </w:r>
          </w:p>
        </w:tc>
        <w:tc>
          <w:tcPr>
            <w:tcW w:w="1796" w:type="dxa"/>
            <w:tcBorders>
              <w:top w:val="single" w:sz="2" w:space="0" w:color="808080"/>
              <w:left w:val="single" w:sz="2" w:space="0" w:color="808080"/>
              <w:bottom w:val="single" w:sz="2" w:space="0" w:color="808080"/>
            </w:tcBorders>
            <w:shd w:val="clear" w:color="auto" w:fill="auto"/>
            <w:tcMar>
              <w:left w:w="24" w:type="dxa"/>
            </w:tcMar>
            <w:vAlign w:val="center"/>
          </w:tcPr>
          <w:p w14:paraId="53485010"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96.5bp (125.5bp)</w:t>
            </w:r>
          </w:p>
        </w:tc>
        <w:tc>
          <w:tcPr>
            <w:tcW w:w="1513" w:type="dxa"/>
            <w:tcBorders>
              <w:top w:val="single" w:sz="2" w:space="0" w:color="808080"/>
              <w:left w:val="single" w:sz="2" w:space="0" w:color="808080"/>
              <w:bottom w:val="single" w:sz="2" w:space="0" w:color="808080"/>
              <w:right w:val="single" w:sz="2" w:space="0" w:color="808080"/>
            </w:tcBorders>
            <w:shd w:val="clear" w:color="auto" w:fill="auto"/>
            <w:tcMar>
              <w:left w:w="24" w:type="dxa"/>
            </w:tcMar>
            <w:vAlign w:val="center"/>
          </w:tcPr>
          <w:p w14:paraId="18345F50"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undefined</w:t>
            </w:r>
          </w:p>
        </w:tc>
      </w:tr>
      <w:tr w:rsidR="0052616E" w:rsidRPr="00342DC6" w14:paraId="180C6047" w14:textId="77777777" w:rsidTr="00C36E44">
        <w:tc>
          <w:tcPr>
            <w:tcW w:w="4228" w:type="dxa"/>
            <w:tcBorders>
              <w:top w:val="single" w:sz="2" w:space="0" w:color="808080"/>
              <w:left w:val="single" w:sz="2" w:space="0" w:color="808080"/>
              <w:bottom w:val="single" w:sz="6" w:space="0" w:color="808080"/>
            </w:tcBorders>
            <w:shd w:val="clear" w:color="auto" w:fill="auto"/>
            <w:tcMar>
              <w:left w:w="24" w:type="dxa"/>
            </w:tcMar>
            <w:vAlign w:val="center"/>
          </w:tcPr>
          <w:p w14:paraId="2DCAD52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noProof/>
                <w:sz w:val="22"/>
                <w:szCs w:val="22"/>
                <w:lang w:val="de-DE" w:eastAsia="de-DE" w:bidi="ar-SA"/>
              </w:rPr>
              <w:drawing>
                <wp:anchor distT="0" distB="0" distL="0" distR="0" simplePos="0" relativeHeight="251661312" behindDoc="0" locked="0" layoutInCell="1" allowOverlap="1" wp14:anchorId="11EEF491" wp14:editId="17290CE9">
                  <wp:simplePos x="0" y="0"/>
                  <wp:positionH relativeFrom="column">
                    <wp:align>center</wp:align>
                  </wp:positionH>
                  <wp:positionV relativeFrom="paragraph">
                    <wp:posOffset>635</wp:posOffset>
                  </wp:positionV>
                  <wp:extent cx="2438400" cy="485775"/>
                  <wp:effectExtent l="0" t="0" r="0" b="0"/>
                  <wp:wrapSquare wrapText="largest"/>
                  <wp:docPr id="24" name="Imag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5"/>
                          <pic:cNvPicPr>
                            <a:picLocks noChangeAspect="1" noChangeArrowheads="1"/>
                          </pic:cNvPicPr>
                        </pic:nvPicPr>
                        <pic:blipFill>
                          <a:blip r:embed="rId30"/>
                          <a:stretch>
                            <a:fillRect/>
                          </a:stretch>
                        </pic:blipFill>
                        <pic:spPr bwMode="auto">
                          <a:xfrm>
                            <a:off x="0" y="0"/>
                            <a:ext cx="2438400" cy="485775"/>
                          </a:xfrm>
                          <a:prstGeom prst="rect">
                            <a:avLst/>
                          </a:prstGeom>
                        </pic:spPr>
                      </pic:pic>
                    </a:graphicData>
                  </a:graphic>
                </wp:anchor>
              </w:drawing>
            </w:r>
          </w:p>
        </w:tc>
        <w:tc>
          <w:tcPr>
            <w:tcW w:w="628" w:type="dxa"/>
            <w:tcBorders>
              <w:top w:val="single" w:sz="2" w:space="0" w:color="808080"/>
              <w:left w:val="single" w:sz="2" w:space="0" w:color="808080"/>
              <w:bottom w:val="single" w:sz="6" w:space="0" w:color="808080"/>
            </w:tcBorders>
            <w:shd w:val="clear" w:color="auto" w:fill="auto"/>
            <w:tcMar>
              <w:left w:w="24" w:type="dxa"/>
            </w:tcMar>
            <w:vAlign w:val="center"/>
          </w:tcPr>
          <w:p w14:paraId="595FBC3D"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1e-9</w:t>
            </w:r>
          </w:p>
        </w:tc>
        <w:tc>
          <w:tcPr>
            <w:tcW w:w="820" w:type="dxa"/>
            <w:tcBorders>
              <w:top w:val="single" w:sz="2" w:space="0" w:color="808080"/>
              <w:left w:val="single" w:sz="2" w:space="0" w:color="808080"/>
              <w:bottom w:val="single" w:sz="6" w:space="0" w:color="808080"/>
            </w:tcBorders>
            <w:shd w:val="clear" w:color="auto" w:fill="auto"/>
            <w:tcMar>
              <w:left w:w="24" w:type="dxa"/>
            </w:tcMar>
            <w:vAlign w:val="center"/>
          </w:tcPr>
          <w:p w14:paraId="48C55B2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14.29%</w:t>
            </w:r>
          </w:p>
        </w:tc>
        <w:tc>
          <w:tcPr>
            <w:tcW w:w="989" w:type="dxa"/>
            <w:tcBorders>
              <w:top w:val="single" w:sz="2" w:space="0" w:color="808080"/>
              <w:left w:val="single" w:sz="2" w:space="0" w:color="808080"/>
              <w:bottom w:val="single" w:sz="6" w:space="0" w:color="808080"/>
            </w:tcBorders>
            <w:shd w:val="clear" w:color="auto" w:fill="auto"/>
            <w:tcMar>
              <w:left w:w="24" w:type="dxa"/>
            </w:tcMar>
            <w:vAlign w:val="center"/>
          </w:tcPr>
          <w:p w14:paraId="5646F60E"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0.63%</w:t>
            </w:r>
          </w:p>
        </w:tc>
        <w:tc>
          <w:tcPr>
            <w:tcW w:w="1796" w:type="dxa"/>
            <w:tcBorders>
              <w:top w:val="single" w:sz="2" w:space="0" w:color="808080"/>
              <w:left w:val="single" w:sz="2" w:space="0" w:color="808080"/>
              <w:bottom w:val="single" w:sz="6" w:space="0" w:color="808080"/>
            </w:tcBorders>
            <w:shd w:val="clear" w:color="auto" w:fill="auto"/>
            <w:tcMar>
              <w:left w:w="24" w:type="dxa"/>
            </w:tcMar>
            <w:vAlign w:val="center"/>
          </w:tcPr>
          <w:p w14:paraId="7B5A5FD5"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sz w:val="22"/>
                <w:szCs w:val="22"/>
              </w:rPr>
              <w:t>76.3bp (115.1bp)</w:t>
            </w:r>
          </w:p>
        </w:tc>
        <w:tc>
          <w:tcPr>
            <w:tcW w:w="1513" w:type="dxa"/>
            <w:tcBorders>
              <w:top w:val="single" w:sz="2" w:space="0" w:color="808080"/>
              <w:left w:val="single" w:sz="2" w:space="0" w:color="808080"/>
              <w:bottom w:val="single" w:sz="6" w:space="0" w:color="808080"/>
              <w:right w:val="single" w:sz="2" w:space="0" w:color="808080"/>
            </w:tcBorders>
            <w:shd w:val="clear" w:color="auto" w:fill="auto"/>
            <w:tcMar>
              <w:left w:w="24" w:type="dxa"/>
            </w:tcMar>
            <w:vAlign w:val="center"/>
          </w:tcPr>
          <w:p w14:paraId="551B6C08" w14:textId="77777777" w:rsidR="0052616E" w:rsidRPr="00342DC6" w:rsidRDefault="0052616E" w:rsidP="00C36E44">
            <w:pPr>
              <w:pStyle w:val="TableContents"/>
              <w:rPr>
                <w:rFonts w:asciiTheme="minorHAnsi" w:hAnsiTheme="minorHAnsi" w:cstheme="minorHAnsi"/>
                <w:sz w:val="22"/>
                <w:szCs w:val="22"/>
              </w:rPr>
            </w:pPr>
            <w:r w:rsidRPr="00342DC6">
              <w:rPr>
                <w:rFonts w:asciiTheme="minorHAnsi" w:hAnsiTheme="minorHAnsi" w:cstheme="minorHAnsi"/>
                <w:b/>
                <w:sz w:val="22"/>
                <w:szCs w:val="22"/>
              </w:rPr>
              <w:t xml:space="preserve">Smad2 </w:t>
            </w:r>
            <w:r w:rsidRPr="00342DC6">
              <w:rPr>
                <w:rFonts w:asciiTheme="minorHAnsi" w:hAnsiTheme="minorHAnsi" w:cstheme="minorHAnsi"/>
                <w:sz w:val="22"/>
                <w:szCs w:val="22"/>
              </w:rPr>
              <w:t>(MAD)</w:t>
            </w:r>
          </w:p>
        </w:tc>
      </w:tr>
    </w:tbl>
    <w:p w14:paraId="2DD63074" w14:textId="77777777" w:rsidR="0052616E" w:rsidRPr="00342DC6" w:rsidRDefault="0052616E" w:rsidP="0052616E">
      <w:pPr>
        <w:pStyle w:val="Textkrper"/>
        <w:rPr>
          <w:rFonts w:asciiTheme="minorHAnsi" w:hAnsiTheme="minorHAnsi" w:cstheme="minorHAnsi"/>
          <w:sz w:val="22"/>
          <w:szCs w:val="22"/>
        </w:rPr>
      </w:pPr>
    </w:p>
    <w:p w14:paraId="0D0D8F83" w14:textId="77777777" w:rsidR="0052616E" w:rsidRPr="00342DC6" w:rsidRDefault="0052616E" w:rsidP="0052616E">
      <w:pPr>
        <w:rPr>
          <w:rFonts w:asciiTheme="minorHAnsi" w:hAnsiTheme="minorHAnsi" w:cstheme="minorHAnsi"/>
          <w:sz w:val="22"/>
          <w:szCs w:val="22"/>
        </w:rPr>
      </w:pPr>
      <w:r w:rsidRPr="00342DC6">
        <w:rPr>
          <w:rFonts w:asciiTheme="minorHAnsi" w:hAnsiTheme="minorHAnsi" w:cstheme="minorHAnsi"/>
          <w:sz w:val="22"/>
          <w:szCs w:val="22"/>
        </w:rPr>
        <w:br w:type="page"/>
      </w:r>
    </w:p>
    <w:p w14:paraId="5C473EFF" w14:textId="77777777" w:rsidR="0052616E" w:rsidRPr="00342DC6" w:rsidRDefault="0052616E" w:rsidP="0052616E">
      <w:pPr>
        <w:pStyle w:val="Textkrper"/>
        <w:rPr>
          <w:rFonts w:asciiTheme="minorHAnsi" w:hAnsiTheme="minorHAnsi" w:cstheme="minorHAnsi"/>
          <w:b/>
          <w:bCs/>
          <w:sz w:val="22"/>
          <w:szCs w:val="22"/>
        </w:rPr>
      </w:pPr>
      <w:r w:rsidRPr="00342DC6">
        <w:rPr>
          <w:rFonts w:asciiTheme="minorHAnsi" w:hAnsiTheme="minorHAnsi" w:cstheme="minorHAnsi"/>
          <w:b/>
          <w:bCs/>
          <w:sz w:val="22"/>
          <w:szCs w:val="22"/>
        </w:rPr>
        <w:lastRenderedPageBreak/>
        <w:t>References</w:t>
      </w:r>
    </w:p>
    <w:p w14:paraId="3448B57F" w14:textId="77777777" w:rsidR="0052616E" w:rsidRPr="00342DC6" w:rsidRDefault="0052616E" w:rsidP="0052616E">
      <w:pPr>
        <w:pStyle w:val="EndNoteBibliography"/>
        <w:ind w:left="720" w:hanging="720"/>
        <w:rPr>
          <w:rFonts w:asciiTheme="minorHAnsi" w:hAnsiTheme="minorHAnsi" w:cstheme="minorHAnsi"/>
          <w:sz w:val="22"/>
          <w:szCs w:val="22"/>
        </w:rPr>
      </w:pPr>
      <w:r w:rsidRPr="00342DC6">
        <w:rPr>
          <w:rFonts w:asciiTheme="minorHAnsi" w:hAnsiTheme="minorHAnsi" w:cstheme="minorHAnsi"/>
          <w:b/>
          <w:bCs/>
          <w:sz w:val="22"/>
          <w:szCs w:val="22"/>
          <w:u w:val="single"/>
        </w:rPr>
        <w:fldChar w:fldCharType="begin"/>
      </w:r>
      <w:r w:rsidRPr="00342DC6">
        <w:rPr>
          <w:rFonts w:asciiTheme="minorHAnsi" w:hAnsiTheme="minorHAnsi" w:cstheme="minorHAnsi"/>
          <w:b/>
          <w:bCs/>
          <w:sz w:val="22"/>
          <w:szCs w:val="22"/>
          <w:u w:val="single"/>
        </w:rPr>
        <w:instrText xml:space="preserve"> ADDIN EN.REFLIST </w:instrText>
      </w:r>
      <w:r w:rsidRPr="00342DC6">
        <w:rPr>
          <w:rFonts w:asciiTheme="minorHAnsi" w:hAnsiTheme="minorHAnsi" w:cstheme="minorHAnsi"/>
          <w:b/>
          <w:bCs/>
          <w:sz w:val="22"/>
          <w:szCs w:val="22"/>
          <w:u w:val="single"/>
        </w:rPr>
        <w:fldChar w:fldCharType="separate"/>
      </w:r>
      <w:r w:rsidRPr="00342DC6">
        <w:rPr>
          <w:rFonts w:asciiTheme="minorHAnsi" w:hAnsiTheme="minorHAnsi" w:cstheme="minorHAnsi"/>
          <w:sz w:val="22"/>
          <w:szCs w:val="22"/>
        </w:rPr>
        <w:t>1.</w:t>
      </w:r>
      <w:r w:rsidRPr="00342DC6">
        <w:rPr>
          <w:rFonts w:asciiTheme="minorHAnsi" w:hAnsiTheme="minorHAnsi" w:cstheme="minorHAnsi"/>
          <w:sz w:val="22"/>
          <w:szCs w:val="22"/>
        </w:rPr>
        <w:tab/>
        <w:t xml:space="preserve">Heinz, S., et al., </w:t>
      </w:r>
      <w:r w:rsidRPr="00342DC6">
        <w:rPr>
          <w:rFonts w:asciiTheme="minorHAnsi" w:hAnsiTheme="minorHAnsi" w:cstheme="minorHAnsi"/>
          <w:i/>
          <w:sz w:val="22"/>
          <w:szCs w:val="22"/>
        </w:rPr>
        <w:t>Simple combinations of lineage-determining transcription factors prime cis-regulatory elements required for macrophage and B cell identities.</w:t>
      </w:r>
      <w:r w:rsidRPr="00342DC6">
        <w:rPr>
          <w:rFonts w:asciiTheme="minorHAnsi" w:hAnsiTheme="minorHAnsi" w:cstheme="minorHAnsi"/>
          <w:sz w:val="22"/>
          <w:szCs w:val="22"/>
        </w:rPr>
        <w:t xml:space="preserve"> Mol Cell, 2010. </w:t>
      </w:r>
      <w:r w:rsidRPr="00342DC6">
        <w:rPr>
          <w:rFonts w:asciiTheme="minorHAnsi" w:hAnsiTheme="minorHAnsi" w:cstheme="minorHAnsi"/>
          <w:b/>
          <w:sz w:val="22"/>
          <w:szCs w:val="22"/>
        </w:rPr>
        <w:t>38</w:t>
      </w:r>
      <w:r w:rsidRPr="00342DC6">
        <w:rPr>
          <w:rFonts w:asciiTheme="minorHAnsi" w:hAnsiTheme="minorHAnsi" w:cstheme="minorHAnsi"/>
          <w:sz w:val="22"/>
          <w:szCs w:val="22"/>
        </w:rPr>
        <w:t>(4): p. 576-89.</w:t>
      </w:r>
    </w:p>
    <w:p w14:paraId="6467A273" w14:textId="77777777" w:rsidR="0052616E" w:rsidRPr="00342DC6" w:rsidRDefault="0052616E" w:rsidP="0052616E">
      <w:pPr>
        <w:pStyle w:val="EndNoteBibliography"/>
        <w:ind w:left="720" w:hanging="720"/>
        <w:rPr>
          <w:rFonts w:asciiTheme="minorHAnsi" w:hAnsiTheme="minorHAnsi" w:cstheme="minorHAnsi"/>
          <w:sz w:val="22"/>
          <w:szCs w:val="22"/>
        </w:rPr>
      </w:pPr>
      <w:r w:rsidRPr="00342DC6">
        <w:rPr>
          <w:rFonts w:asciiTheme="minorHAnsi" w:hAnsiTheme="minorHAnsi" w:cstheme="minorHAnsi"/>
          <w:sz w:val="22"/>
          <w:szCs w:val="22"/>
        </w:rPr>
        <w:t>2.</w:t>
      </w:r>
      <w:r w:rsidRPr="00342DC6">
        <w:rPr>
          <w:rFonts w:asciiTheme="minorHAnsi" w:hAnsiTheme="minorHAnsi" w:cstheme="minorHAnsi"/>
          <w:sz w:val="22"/>
          <w:szCs w:val="22"/>
        </w:rPr>
        <w:tab/>
        <w:t xml:space="preserve">Bowers, S.R., et al., </w:t>
      </w:r>
      <w:r w:rsidRPr="00342DC6">
        <w:rPr>
          <w:rFonts w:asciiTheme="minorHAnsi" w:hAnsiTheme="minorHAnsi" w:cstheme="minorHAnsi"/>
          <w:i/>
          <w:sz w:val="22"/>
          <w:szCs w:val="22"/>
        </w:rPr>
        <w:t>Runx1 binds as a dimeric complex to overlapping Runx1 sites within a palindromic element in the human GM-CSF enhancer.</w:t>
      </w:r>
      <w:r w:rsidRPr="00342DC6">
        <w:rPr>
          <w:rFonts w:asciiTheme="minorHAnsi" w:hAnsiTheme="minorHAnsi" w:cstheme="minorHAnsi"/>
          <w:sz w:val="22"/>
          <w:szCs w:val="22"/>
        </w:rPr>
        <w:t xml:space="preserve"> Nucleic Acids Res, 2010. </w:t>
      </w:r>
      <w:r w:rsidRPr="00342DC6">
        <w:rPr>
          <w:rFonts w:asciiTheme="minorHAnsi" w:hAnsiTheme="minorHAnsi" w:cstheme="minorHAnsi"/>
          <w:b/>
          <w:sz w:val="22"/>
          <w:szCs w:val="22"/>
        </w:rPr>
        <w:t>38</w:t>
      </w:r>
      <w:r w:rsidRPr="00342DC6">
        <w:rPr>
          <w:rFonts w:asciiTheme="minorHAnsi" w:hAnsiTheme="minorHAnsi" w:cstheme="minorHAnsi"/>
          <w:sz w:val="22"/>
          <w:szCs w:val="22"/>
        </w:rPr>
        <w:t>(18): p. 6124-34.</w:t>
      </w:r>
    </w:p>
    <w:p w14:paraId="76D00365" w14:textId="77777777" w:rsidR="0052616E" w:rsidRPr="00342DC6" w:rsidRDefault="0052616E" w:rsidP="0052616E">
      <w:pPr>
        <w:pStyle w:val="EndNoteBibliography"/>
        <w:ind w:left="720" w:hanging="720"/>
        <w:rPr>
          <w:rFonts w:asciiTheme="minorHAnsi" w:hAnsiTheme="minorHAnsi" w:cstheme="minorHAnsi"/>
          <w:sz w:val="22"/>
          <w:szCs w:val="22"/>
        </w:rPr>
      </w:pPr>
      <w:r w:rsidRPr="00342DC6">
        <w:rPr>
          <w:rFonts w:asciiTheme="minorHAnsi" w:hAnsiTheme="minorHAnsi" w:cstheme="minorHAnsi"/>
          <w:sz w:val="22"/>
          <w:szCs w:val="22"/>
        </w:rPr>
        <w:t>3.</w:t>
      </w:r>
      <w:r w:rsidRPr="00342DC6">
        <w:rPr>
          <w:rFonts w:asciiTheme="minorHAnsi" w:hAnsiTheme="minorHAnsi" w:cstheme="minorHAnsi"/>
          <w:sz w:val="22"/>
          <w:szCs w:val="22"/>
        </w:rPr>
        <w:tab/>
        <w:t xml:space="preserve">Bristow, C.A. and P. Shore, </w:t>
      </w:r>
      <w:r w:rsidRPr="00342DC6">
        <w:rPr>
          <w:rFonts w:asciiTheme="minorHAnsi" w:hAnsiTheme="minorHAnsi" w:cstheme="minorHAnsi"/>
          <w:i/>
          <w:sz w:val="22"/>
          <w:szCs w:val="22"/>
        </w:rPr>
        <w:t>Transcriptional regulation of the human MIP-1alpha promoter by RUNX1 and MOZ.</w:t>
      </w:r>
      <w:r w:rsidRPr="00342DC6">
        <w:rPr>
          <w:rFonts w:asciiTheme="minorHAnsi" w:hAnsiTheme="minorHAnsi" w:cstheme="minorHAnsi"/>
          <w:sz w:val="22"/>
          <w:szCs w:val="22"/>
        </w:rPr>
        <w:t xml:space="preserve"> Nucleic Acids Res, 2003. </w:t>
      </w:r>
      <w:r w:rsidRPr="00342DC6">
        <w:rPr>
          <w:rFonts w:asciiTheme="minorHAnsi" w:hAnsiTheme="minorHAnsi" w:cstheme="minorHAnsi"/>
          <w:b/>
          <w:sz w:val="22"/>
          <w:szCs w:val="22"/>
        </w:rPr>
        <w:t>31</w:t>
      </w:r>
      <w:r w:rsidRPr="00342DC6">
        <w:rPr>
          <w:rFonts w:asciiTheme="minorHAnsi" w:hAnsiTheme="minorHAnsi" w:cstheme="minorHAnsi"/>
          <w:sz w:val="22"/>
          <w:szCs w:val="22"/>
        </w:rPr>
        <w:t>(11): p. 2735-44.</w:t>
      </w:r>
    </w:p>
    <w:p w14:paraId="251F2FEE" w14:textId="77777777" w:rsidR="0052616E" w:rsidRPr="00342DC6" w:rsidRDefault="0052616E" w:rsidP="0052616E">
      <w:pPr>
        <w:pStyle w:val="EndNoteBibliography"/>
        <w:ind w:left="720" w:hanging="720"/>
        <w:rPr>
          <w:rFonts w:asciiTheme="minorHAnsi" w:hAnsiTheme="minorHAnsi" w:cstheme="minorHAnsi"/>
          <w:sz w:val="22"/>
          <w:szCs w:val="22"/>
        </w:rPr>
      </w:pPr>
      <w:r w:rsidRPr="00342DC6">
        <w:rPr>
          <w:rFonts w:asciiTheme="minorHAnsi" w:hAnsiTheme="minorHAnsi" w:cstheme="minorHAnsi"/>
          <w:sz w:val="22"/>
          <w:szCs w:val="22"/>
        </w:rPr>
        <w:t>4.</w:t>
      </w:r>
      <w:r w:rsidRPr="00342DC6">
        <w:rPr>
          <w:rFonts w:asciiTheme="minorHAnsi" w:hAnsiTheme="minorHAnsi" w:cstheme="minorHAnsi"/>
          <w:sz w:val="22"/>
          <w:szCs w:val="22"/>
        </w:rPr>
        <w:tab/>
        <w:t xml:space="preserve">Ito, Y., et al., </w:t>
      </w:r>
      <w:r w:rsidRPr="00342DC6">
        <w:rPr>
          <w:rFonts w:asciiTheme="minorHAnsi" w:hAnsiTheme="minorHAnsi" w:cstheme="minorHAnsi"/>
          <w:i/>
          <w:sz w:val="22"/>
          <w:szCs w:val="22"/>
        </w:rPr>
        <w:t>NF-Y and USF1 transcription factor binding to CCAAT-box and E-box elements activates the CP27 promoter.</w:t>
      </w:r>
      <w:r w:rsidRPr="00342DC6">
        <w:rPr>
          <w:rFonts w:asciiTheme="minorHAnsi" w:hAnsiTheme="minorHAnsi" w:cstheme="minorHAnsi"/>
          <w:sz w:val="22"/>
          <w:szCs w:val="22"/>
        </w:rPr>
        <w:t xml:space="preserve"> Gene, 2011. </w:t>
      </w:r>
      <w:r w:rsidRPr="00342DC6">
        <w:rPr>
          <w:rFonts w:asciiTheme="minorHAnsi" w:hAnsiTheme="minorHAnsi" w:cstheme="minorHAnsi"/>
          <w:b/>
          <w:sz w:val="22"/>
          <w:szCs w:val="22"/>
        </w:rPr>
        <w:t>473</w:t>
      </w:r>
      <w:r w:rsidRPr="00342DC6">
        <w:rPr>
          <w:rFonts w:asciiTheme="minorHAnsi" w:hAnsiTheme="minorHAnsi" w:cstheme="minorHAnsi"/>
          <w:sz w:val="22"/>
          <w:szCs w:val="22"/>
        </w:rPr>
        <w:t>(2): p. 92-9.</w:t>
      </w:r>
    </w:p>
    <w:p w14:paraId="387E8937" w14:textId="77777777" w:rsidR="0052616E" w:rsidRPr="00342DC6" w:rsidRDefault="0052616E" w:rsidP="0052616E">
      <w:pPr>
        <w:pStyle w:val="EndNoteBibliography"/>
        <w:ind w:left="720" w:hanging="720"/>
        <w:rPr>
          <w:rFonts w:asciiTheme="minorHAnsi" w:hAnsiTheme="minorHAnsi" w:cstheme="minorHAnsi"/>
          <w:sz w:val="22"/>
          <w:szCs w:val="22"/>
        </w:rPr>
      </w:pPr>
      <w:r w:rsidRPr="00342DC6">
        <w:rPr>
          <w:rFonts w:asciiTheme="minorHAnsi" w:hAnsiTheme="minorHAnsi" w:cstheme="minorHAnsi"/>
          <w:sz w:val="22"/>
          <w:szCs w:val="22"/>
        </w:rPr>
        <w:t>5.</w:t>
      </w:r>
      <w:r w:rsidRPr="00342DC6">
        <w:rPr>
          <w:rFonts w:asciiTheme="minorHAnsi" w:hAnsiTheme="minorHAnsi" w:cstheme="minorHAnsi"/>
          <w:sz w:val="22"/>
          <w:szCs w:val="22"/>
        </w:rPr>
        <w:tab/>
        <w:t xml:space="preserve">Laurila PP, S.J., Kooijman S, Forsström S, Boon MR, Surakka I, et al., </w:t>
      </w:r>
      <w:r w:rsidRPr="00342DC6">
        <w:rPr>
          <w:rFonts w:asciiTheme="minorHAnsi" w:hAnsiTheme="minorHAnsi" w:cstheme="minorHAnsi"/>
          <w:i/>
          <w:sz w:val="22"/>
          <w:szCs w:val="22"/>
        </w:rPr>
        <w:t>USF1 deficiency activates brown adipose tissue and improves cardiometabolic health.</w:t>
      </w:r>
      <w:r w:rsidRPr="00342DC6">
        <w:rPr>
          <w:rFonts w:asciiTheme="minorHAnsi" w:hAnsiTheme="minorHAnsi" w:cstheme="minorHAnsi"/>
          <w:sz w:val="22"/>
          <w:szCs w:val="22"/>
        </w:rPr>
        <w:t xml:space="preserve"> Science Translational Medicine, 2016. </w:t>
      </w:r>
      <w:r w:rsidRPr="00342DC6">
        <w:rPr>
          <w:rFonts w:asciiTheme="minorHAnsi" w:hAnsiTheme="minorHAnsi" w:cstheme="minorHAnsi"/>
          <w:b/>
          <w:sz w:val="22"/>
          <w:szCs w:val="22"/>
        </w:rPr>
        <w:t>8</w:t>
      </w:r>
      <w:r w:rsidRPr="00342DC6">
        <w:rPr>
          <w:rFonts w:asciiTheme="minorHAnsi" w:hAnsiTheme="minorHAnsi" w:cstheme="minorHAnsi"/>
          <w:sz w:val="22"/>
          <w:szCs w:val="22"/>
        </w:rPr>
        <w:t>(323): p. 323ra13.</w:t>
      </w:r>
    </w:p>
    <w:p w14:paraId="6962CEF5" w14:textId="77777777" w:rsidR="0052616E" w:rsidRPr="00342DC6" w:rsidRDefault="0052616E" w:rsidP="0052616E">
      <w:pPr>
        <w:pStyle w:val="EndNoteBibliography"/>
        <w:ind w:left="720" w:hanging="720"/>
        <w:rPr>
          <w:rFonts w:asciiTheme="minorHAnsi" w:hAnsiTheme="minorHAnsi" w:cstheme="minorHAnsi"/>
          <w:sz w:val="22"/>
          <w:szCs w:val="22"/>
        </w:rPr>
      </w:pPr>
      <w:r w:rsidRPr="00342DC6">
        <w:rPr>
          <w:rFonts w:asciiTheme="minorHAnsi" w:hAnsiTheme="minorHAnsi" w:cstheme="minorHAnsi"/>
          <w:sz w:val="22"/>
          <w:szCs w:val="22"/>
        </w:rPr>
        <w:t>6.</w:t>
      </w:r>
      <w:r w:rsidRPr="00342DC6">
        <w:rPr>
          <w:rFonts w:asciiTheme="minorHAnsi" w:hAnsiTheme="minorHAnsi" w:cstheme="minorHAnsi"/>
          <w:sz w:val="22"/>
          <w:szCs w:val="22"/>
        </w:rPr>
        <w:tab/>
        <w:t xml:space="preserve">Laudes, M., et al., </w:t>
      </w:r>
      <w:r w:rsidRPr="00342DC6">
        <w:rPr>
          <w:rFonts w:asciiTheme="minorHAnsi" w:hAnsiTheme="minorHAnsi" w:cstheme="minorHAnsi"/>
          <w:i/>
          <w:sz w:val="22"/>
          <w:szCs w:val="22"/>
        </w:rPr>
        <w:t>Role of the POZ zinc finger transcription factor FBI-1 in human and murine adipogenesis.</w:t>
      </w:r>
      <w:r w:rsidRPr="00342DC6">
        <w:rPr>
          <w:rFonts w:asciiTheme="minorHAnsi" w:hAnsiTheme="minorHAnsi" w:cstheme="minorHAnsi"/>
          <w:sz w:val="22"/>
          <w:szCs w:val="22"/>
        </w:rPr>
        <w:t xml:space="preserve"> J Biol Chem, 2004. </w:t>
      </w:r>
      <w:r w:rsidRPr="00342DC6">
        <w:rPr>
          <w:rFonts w:asciiTheme="minorHAnsi" w:hAnsiTheme="minorHAnsi" w:cstheme="minorHAnsi"/>
          <w:b/>
          <w:sz w:val="22"/>
          <w:szCs w:val="22"/>
        </w:rPr>
        <w:t>279</w:t>
      </w:r>
      <w:r w:rsidRPr="00342DC6">
        <w:rPr>
          <w:rFonts w:asciiTheme="minorHAnsi" w:hAnsiTheme="minorHAnsi" w:cstheme="minorHAnsi"/>
          <w:sz w:val="22"/>
          <w:szCs w:val="22"/>
        </w:rPr>
        <w:t>(12): p. 11711-8.</w:t>
      </w:r>
    </w:p>
    <w:p w14:paraId="0EAA6DE4" w14:textId="77777777" w:rsidR="0052616E" w:rsidRPr="00342DC6" w:rsidRDefault="0052616E" w:rsidP="0052616E">
      <w:pPr>
        <w:pStyle w:val="EndNoteBibliography"/>
        <w:ind w:left="720" w:hanging="720"/>
        <w:rPr>
          <w:rFonts w:asciiTheme="minorHAnsi" w:hAnsiTheme="minorHAnsi" w:cstheme="minorHAnsi"/>
          <w:sz w:val="22"/>
          <w:szCs w:val="22"/>
        </w:rPr>
      </w:pPr>
      <w:r w:rsidRPr="00342DC6">
        <w:rPr>
          <w:rFonts w:asciiTheme="minorHAnsi" w:hAnsiTheme="minorHAnsi" w:cstheme="minorHAnsi"/>
          <w:sz w:val="22"/>
          <w:szCs w:val="22"/>
        </w:rPr>
        <w:t>7.</w:t>
      </w:r>
      <w:r w:rsidRPr="00342DC6">
        <w:rPr>
          <w:rFonts w:asciiTheme="minorHAnsi" w:hAnsiTheme="minorHAnsi" w:cstheme="minorHAnsi"/>
          <w:sz w:val="22"/>
          <w:szCs w:val="22"/>
        </w:rPr>
        <w:tab/>
        <w:t xml:space="preserve">Liu, X.S., et al., </w:t>
      </w:r>
      <w:r w:rsidRPr="00342DC6">
        <w:rPr>
          <w:rFonts w:asciiTheme="minorHAnsi" w:hAnsiTheme="minorHAnsi" w:cstheme="minorHAnsi"/>
          <w:i/>
          <w:sz w:val="22"/>
          <w:szCs w:val="22"/>
        </w:rPr>
        <w:t>Somatic human ZBTB7A zinc finger mutations promote cancer progression.</w:t>
      </w:r>
      <w:r w:rsidRPr="00342DC6">
        <w:rPr>
          <w:rFonts w:asciiTheme="minorHAnsi" w:hAnsiTheme="minorHAnsi" w:cstheme="minorHAnsi"/>
          <w:sz w:val="22"/>
          <w:szCs w:val="22"/>
        </w:rPr>
        <w:t xml:space="preserve"> Oncogene, 2016. </w:t>
      </w:r>
      <w:r w:rsidRPr="00342DC6">
        <w:rPr>
          <w:rFonts w:asciiTheme="minorHAnsi" w:hAnsiTheme="minorHAnsi" w:cstheme="minorHAnsi"/>
          <w:b/>
          <w:sz w:val="22"/>
          <w:szCs w:val="22"/>
        </w:rPr>
        <w:t>35</w:t>
      </w:r>
      <w:r w:rsidRPr="00342DC6">
        <w:rPr>
          <w:rFonts w:asciiTheme="minorHAnsi" w:hAnsiTheme="minorHAnsi" w:cstheme="minorHAnsi"/>
          <w:sz w:val="22"/>
          <w:szCs w:val="22"/>
        </w:rPr>
        <w:t>(23): p. 3071-8.</w:t>
      </w:r>
    </w:p>
    <w:p w14:paraId="3B4671FC" w14:textId="77777777" w:rsidR="0052616E" w:rsidRPr="00342DC6" w:rsidRDefault="0052616E" w:rsidP="0052616E">
      <w:pPr>
        <w:pStyle w:val="EndNoteBibliography"/>
        <w:ind w:left="720" w:hanging="720"/>
        <w:rPr>
          <w:rFonts w:asciiTheme="minorHAnsi" w:hAnsiTheme="minorHAnsi" w:cstheme="minorHAnsi"/>
          <w:sz w:val="22"/>
          <w:szCs w:val="22"/>
        </w:rPr>
      </w:pPr>
      <w:r w:rsidRPr="00342DC6">
        <w:rPr>
          <w:rFonts w:asciiTheme="minorHAnsi" w:hAnsiTheme="minorHAnsi" w:cstheme="minorHAnsi"/>
          <w:sz w:val="22"/>
          <w:szCs w:val="22"/>
        </w:rPr>
        <w:t>8.</w:t>
      </w:r>
      <w:r w:rsidRPr="00342DC6">
        <w:rPr>
          <w:rFonts w:asciiTheme="minorHAnsi" w:hAnsiTheme="minorHAnsi" w:cstheme="minorHAnsi"/>
          <w:sz w:val="22"/>
          <w:szCs w:val="22"/>
        </w:rPr>
        <w:tab/>
        <w:t xml:space="preserve">Quach, J.M., et al., </w:t>
      </w:r>
      <w:r w:rsidRPr="00342DC6">
        <w:rPr>
          <w:rFonts w:asciiTheme="minorHAnsi" w:hAnsiTheme="minorHAnsi" w:cstheme="minorHAnsi"/>
          <w:i/>
          <w:sz w:val="22"/>
          <w:szCs w:val="22"/>
        </w:rPr>
        <w:t>Zinc finger protein 467 is a novel regulator of osteoblast and adipocyte commitment.</w:t>
      </w:r>
      <w:r w:rsidRPr="00342DC6">
        <w:rPr>
          <w:rFonts w:asciiTheme="minorHAnsi" w:hAnsiTheme="minorHAnsi" w:cstheme="minorHAnsi"/>
          <w:sz w:val="22"/>
          <w:szCs w:val="22"/>
        </w:rPr>
        <w:t xml:space="preserve"> J Biol Chem, 2011. </w:t>
      </w:r>
      <w:r w:rsidRPr="00342DC6">
        <w:rPr>
          <w:rFonts w:asciiTheme="minorHAnsi" w:hAnsiTheme="minorHAnsi" w:cstheme="minorHAnsi"/>
          <w:b/>
          <w:sz w:val="22"/>
          <w:szCs w:val="22"/>
        </w:rPr>
        <w:t>286</w:t>
      </w:r>
      <w:r w:rsidRPr="00342DC6">
        <w:rPr>
          <w:rFonts w:asciiTheme="minorHAnsi" w:hAnsiTheme="minorHAnsi" w:cstheme="minorHAnsi"/>
          <w:sz w:val="22"/>
          <w:szCs w:val="22"/>
        </w:rPr>
        <w:t>(6): p. 4186-98.</w:t>
      </w:r>
    </w:p>
    <w:p w14:paraId="188FA631" w14:textId="77777777" w:rsidR="0052616E" w:rsidRPr="00342DC6" w:rsidRDefault="0052616E" w:rsidP="0052616E">
      <w:pPr>
        <w:pStyle w:val="EndNoteBibliography"/>
        <w:ind w:left="720" w:hanging="720"/>
        <w:rPr>
          <w:rFonts w:asciiTheme="minorHAnsi" w:hAnsiTheme="minorHAnsi" w:cstheme="minorHAnsi"/>
          <w:sz w:val="22"/>
          <w:szCs w:val="22"/>
        </w:rPr>
      </w:pPr>
      <w:r w:rsidRPr="00342DC6">
        <w:rPr>
          <w:rFonts w:asciiTheme="minorHAnsi" w:hAnsiTheme="minorHAnsi" w:cstheme="minorHAnsi"/>
          <w:sz w:val="22"/>
          <w:szCs w:val="22"/>
        </w:rPr>
        <w:t>9.</w:t>
      </w:r>
      <w:r w:rsidRPr="00342DC6">
        <w:rPr>
          <w:rFonts w:asciiTheme="minorHAnsi" w:hAnsiTheme="minorHAnsi" w:cstheme="minorHAnsi"/>
          <w:sz w:val="22"/>
          <w:szCs w:val="22"/>
        </w:rPr>
        <w:tab/>
        <w:t xml:space="preserve">Gluscevic, M., et al., </w:t>
      </w:r>
      <w:r w:rsidRPr="00342DC6">
        <w:rPr>
          <w:rFonts w:asciiTheme="minorHAnsi" w:hAnsiTheme="minorHAnsi" w:cstheme="minorHAnsi"/>
          <w:i/>
          <w:sz w:val="22"/>
          <w:szCs w:val="22"/>
        </w:rPr>
        <w:t>Functional expression of ZNF467 and PCBP2 supports adipogenic lineage commitment in adipose-derived mesenchymal stem cells.</w:t>
      </w:r>
      <w:r w:rsidRPr="00342DC6">
        <w:rPr>
          <w:rFonts w:asciiTheme="minorHAnsi" w:hAnsiTheme="minorHAnsi" w:cstheme="minorHAnsi"/>
          <w:sz w:val="22"/>
          <w:szCs w:val="22"/>
        </w:rPr>
        <w:t xml:space="preserve"> Gene, 2020. </w:t>
      </w:r>
      <w:r w:rsidRPr="00342DC6">
        <w:rPr>
          <w:rFonts w:asciiTheme="minorHAnsi" w:hAnsiTheme="minorHAnsi" w:cstheme="minorHAnsi"/>
          <w:b/>
          <w:sz w:val="22"/>
          <w:szCs w:val="22"/>
        </w:rPr>
        <w:t>737</w:t>
      </w:r>
      <w:r w:rsidRPr="00342DC6">
        <w:rPr>
          <w:rFonts w:asciiTheme="minorHAnsi" w:hAnsiTheme="minorHAnsi" w:cstheme="minorHAnsi"/>
          <w:sz w:val="22"/>
          <w:szCs w:val="22"/>
        </w:rPr>
        <w:t>: p. 144437.</w:t>
      </w:r>
    </w:p>
    <w:p w14:paraId="59E770E1" w14:textId="77777777" w:rsidR="0052616E" w:rsidRPr="00342DC6" w:rsidRDefault="0052616E" w:rsidP="0052616E">
      <w:pPr>
        <w:pStyle w:val="EndNoteBibliography"/>
        <w:ind w:left="720" w:hanging="720"/>
        <w:rPr>
          <w:rFonts w:asciiTheme="minorHAnsi" w:hAnsiTheme="minorHAnsi" w:cstheme="minorHAnsi"/>
          <w:sz w:val="22"/>
          <w:szCs w:val="22"/>
        </w:rPr>
      </w:pPr>
      <w:r w:rsidRPr="00342DC6">
        <w:rPr>
          <w:rFonts w:asciiTheme="minorHAnsi" w:hAnsiTheme="minorHAnsi" w:cstheme="minorHAnsi"/>
          <w:sz w:val="22"/>
          <w:szCs w:val="22"/>
        </w:rPr>
        <w:t>10.</w:t>
      </w:r>
      <w:r w:rsidRPr="00342DC6">
        <w:rPr>
          <w:rFonts w:asciiTheme="minorHAnsi" w:hAnsiTheme="minorHAnsi" w:cstheme="minorHAnsi"/>
          <w:sz w:val="22"/>
          <w:szCs w:val="22"/>
        </w:rPr>
        <w:tab/>
        <w:t xml:space="preserve">Smith, M.A., et al., </w:t>
      </w:r>
      <w:r w:rsidRPr="00342DC6">
        <w:rPr>
          <w:rFonts w:asciiTheme="minorHAnsi" w:hAnsiTheme="minorHAnsi" w:cstheme="minorHAnsi"/>
          <w:i/>
          <w:sz w:val="22"/>
          <w:szCs w:val="22"/>
        </w:rPr>
        <w:t>PRDM1/Blimp-1 controls effector cytokine production in human NK cells.</w:t>
      </w:r>
      <w:r w:rsidRPr="00342DC6">
        <w:rPr>
          <w:rFonts w:asciiTheme="minorHAnsi" w:hAnsiTheme="minorHAnsi" w:cstheme="minorHAnsi"/>
          <w:sz w:val="22"/>
          <w:szCs w:val="22"/>
        </w:rPr>
        <w:t xml:space="preserve"> J Immunol, 2010. </w:t>
      </w:r>
      <w:r w:rsidRPr="00342DC6">
        <w:rPr>
          <w:rFonts w:asciiTheme="minorHAnsi" w:hAnsiTheme="minorHAnsi" w:cstheme="minorHAnsi"/>
          <w:b/>
          <w:sz w:val="22"/>
          <w:szCs w:val="22"/>
        </w:rPr>
        <w:t>185</w:t>
      </w:r>
      <w:r w:rsidRPr="00342DC6">
        <w:rPr>
          <w:rFonts w:asciiTheme="minorHAnsi" w:hAnsiTheme="minorHAnsi" w:cstheme="minorHAnsi"/>
          <w:sz w:val="22"/>
          <w:szCs w:val="22"/>
        </w:rPr>
        <w:t>(10): p. 6058-67.</w:t>
      </w:r>
    </w:p>
    <w:p w14:paraId="1EE241BB" w14:textId="77777777" w:rsidR="0052616E" w:rsidRPr="00342DC6" w:rsidRDefault="0052616E" w:rsidP="0052616E">
      <w:pPr>
        <w:pStyle w:val="EndNoteBibliography"/>
        <w:ind w:left="720" w:hanging="720"/>
        <w:rPr>
          <w:rFonts w:asciiTheme="minorHAnsi" w:hAnsiTheme="minorHAnsi" w:cstheme="minorHAnsi"/>
          <w:sz w:val="22"/>
          <w:szCs w:val="22"/>
        </w:rPr>
      </w:pPr>
      <w:r w:rsidRPr="00342DC6">
        <w:rPr>
          <w:rFonts w:asciiTheme="minorHAnsi" w:hAnsiTheme="minorHAnsi" w:cstheme="minorHAnsi"/>
          <w:sz w:val="22"/>
          <w:szCs w:val="22"/>
        </w:rPr>
        <w:t>11.</w:t>
      </w:r>
      <w:r w:rsidRPr="00342DC6">
        <w:rPr>
          <w:rFonts w:asciiTheme="minorHAnsi" w:hAnsiTheme="minorHAnsi" w:cstheme="minorHAnsi"/>
          <w:sz w:val="22"/>
          <w:szCs w:val="22"/>
        </w:rPr>
        <w:tab/>
        <w:t xml:space="preserve">Fu, S.H., et al., </w:t>
      </w:r>
      <w:r w:rsidRPr="00342DC6">
        <w:rPr>
          <w:rFonts w:asciiTheme="minorHAnsi" w:hAnsiTheme="minorHAnsi" w:cstheme="minorHAnsi"/>
          <w:i/>
          <w:sz w:val="22"/>
          <w:szCs w:val="22"/>
        </w:rPr>
        <w:t>New insights into Blimp-1 in T lymphocytes: a divergent regulator of cell destiny and effector function.</w:t>
      </w:r>
      <w:r w:rsidRPr="00342DC6">
        <w:rPr>
          <w:rFonts w:asciiTheme="minorHAnsi" w:hAnsiTheme="minorHAnsi" w:cstheme="minorHAnsi"/>
          <w:sz w:val="22"/>
          <w:szCs w:val="22"/>
        </w:rPr>
        <w:t xml:space="preserve"> J Biomed Sci, 2017. </w:t>
      </w:r>
      <w:r w:rsidRPr="00342DC6">
        <w:rPr>
          <w:rFonts w:asciiTheme="minorHAnsi" w:hAnsiTheme="minorHAnsi" w:cstheme="minorHAnsi"/>
          <w:b/>
          <w:sz w:val="22"/>
          <w:szCs w:val="22"/>
        </w:rPr>
        <w:t>24</w:t>
      </w:r>
      <w:r w:rsidRPr="00342DC6">
        <w:rPr>
          <w:rFonts w:asciiTheme="minorHAnsi" w:hAnsiTheme="minorHAnsi" w:cstheme="minorHAnsi"/>
          <w:sz w:val="22"/>
          <w:szCs w:val="22"/>
        </w:rPr>
        <w:t>(1): p. 49.</w:t>
      </w:r>
    </w:p>
    <w:p w14:paraId="69005C2D" w14:textId="77777777" w:rsidR="0052616E" w:rsidRPr="00342DC6" w:rsidRDefault="0052616E" w:rsidP="0052616E">
      <w:pPr>
        <w:pStyle w:val="EndNoteBibliography"/>
        <w:ind w:left="720" w:hanging="720"/>
        <w:rPr>
          <w:rFonts w:asciiTheme="minorHAnsi" w:hAnsiTheme="minorHAnsi" w:cstheme="minorHAnsi"/>
          <w:sz w:val="22"/>
          <w:szCs w:val="22"/>
        </w:rPr>
      </w:pPr>
      <w:r w:rsidRPr="00342DC6">
        <w:rPr>
          <w:rFonts w:asciiTheme="minorHAnsi" w:hAnsiTheme="minorHAnsi" w:cstheme="minorHAnsi"/>
          <w:sz w:val="22"/>
          <w:szCs w:val="22"/>
        </w:rPr>
        <w:t>12.</w:t>
      </w:r>
      <w:r w:rsidRPr="00342DC6">
        <w:rPr>
          <w:rFonts w:asciiTheme="minorHAnsi" w:hAnsiTheme="minorHAnsi" w:cstheme="minorHAnsi"/>
          <w:sz w:val="22"/>
          <w:szCs w:val="22"/>
        </w:rPr>
        <w:tab/>
        <w:t xml:space="preserve">Karin, M., Liu, Zg., Zandi, E., </w:t>
      </w:r>
      <w:r w:rsidRPr="00342DC6">
        <w:rPr>
          <w:rFonts w:asciiTheme="minorHAnsi" w:hAnsiTheme="minorHAnsi" w:cstheme="minorHAnsi"/>
          <w:i/>
          <w:sz w:val="22"/>
          <w:szCs w:val="22"/>
        </w:rPr>
        <w:t>AP-1 function and regulation.</w:t>
      </w:r>
      <w:r w:rsidRPr="00342DC6">
        <w:rPr>
          <w:rFonts w:asciiTheme="minorHAnsi" w:hAnsiTheme="minorHAnsi" w:cstheme="minorHAnsi"/>
          <w:sz w:val="22"/>
          <w:szCs w:val="22"/>
        </w:rPr>
        <w:t xml:space="preserve"> Curr Opin Cell Biol., 1997. </w:t>
      </w:r>
      <w:r w:rsidRPr="00342DC6">
        <w:rPr>
          <w:rFonts w:asciiTheme="minorHAnsi" w:hAnsiTheme="minorHAnsi" w:cstheme="minorHAnsi"/>
          <w:b/>
          <w:sz w:val="22"/>
          <w:szCs w:val="22"/>
        </w:rPr>
        <w:t>9</w:t>
      </w:r>
      <w:r w:rsidRPr="00342DC6">
        <w:rPr>
          <w:rFonts w:asciiTheme="minorHAnsi" w:hAnsiTheme="minorHAnsi" w:cstheme="minorHAnsi"/>
          <w:sz w:val="22"/>
          <w:szCs w:val="22"/>
        </w:rPr>
        <w:t>(2): p. 240‐246.</w:t>
      </w:r>
    </w:p>
    <w:p w14:paraId="4DDD21DC" w14:textId="77777777" w:rsidR="0052616E" w:rsidRPr="00342DC6" w:rsidRDefault="0052616E" w:rsidP="0052616E">
      <w:pPr>
        <w:pStyle w:val="EndNoteBibliography"/>
        <w:ind w:left="720" w:hanging="720"/>
        <w:rPr>
          <w:rFonts w:asciiTheme="minorHAnsi" w:hAnsiTheme="minorHAnsi" w:cstheme="minorHAnsi"/>
          <w:sz w:val="22"/>
          <w:szCs w:val="22"/>
        </w:rPr>
      </w:pPr>
      <w:r w:rsidRPr="00342DC6">
        <w:rPr>
          <w:rFonts w:asciiTheme="minorHAnsi" w:hAnsiTheme="minorHAnsi" w:cstheme="minorHAnsi"/>
          <w:sz w:val="22"/>
          <w:szCs w:val="22"/>
        </w:rPr>
        <w:t>13.</w:t>
      </w:r>
      <w:r w:rsidRPr="00342DC6">
        <w:rPr>
          <w:rFonts w:asciiTheme="minorHAnsi" w:hAnsiTheme="minorHAnsi" w:cstheme="minorHAnsi"/>
          <w:sz w:val="22"/>
          <w:szCs w:val="22"/>
        </w:rPr>
        <w:tab/>
        <w:t xml:space="preserve">Papoudou-Bai, A., et al., </w:t>
      </w:r>
      <w:r w:rsidRPr="00342DC6">
        <w:rPr>
          <w:rFonts w:asciiTheme="minorHAnsi" w:hAnsiTheme="minorHAnsi" w:cstheme="minorHAnsi"/>
          <w:i/>
          <w:sz w:val="22"/>
          <w:szCs w:val="22"/>
        </w:rPr>
        <w:t>Expression patterns of the activator protein-1 (AP-1) family members in lymphoid neoplasms.</w:t>
      </w:r>
      <w:r w:rsidRPr="00342DC6">
        <w:rPr>
          <w:rFonts w:asciiTheme="minorHAnsi" w:hAnsiTheme="minorHAnsi" w:cstheme="minorHAnsi"/>
          <w:sz w:val="22"/>
          <w:szCs w:val="22"/>
        </w:rPr>
        <w:t xml:space="preserve"> Clin Exp Med, 2017. </w:t>
      </w:r>
      <w:r w:rsidRPr="00342DC6">
        <w:rPr>
          <w:rFonts w:asciiTheme="minorHAnsi" w:hAnsiTheme="minorHAnsi" w:cstheme="minorHAnsi"/>
          <w:b/>
          <w:sz w:val="22"/>
          <w:szCs w:val="22"/>
        </w:rPr>
        <w:t>17</w:t>
      </w:r>
      <w:r w:rsidRPr="00342DC6">
        <w:rPr>
          <w:rFonts w:asciiTheme="minorHAnsi" w:hAnsiTheme="minorHAnsi" w:cstheme="minorHAnsi"/>
          <w:sz w:val="22"/>
          <w:szCs w:val="22"/>
        </w:rPr>
        <w:t>(3): p. 291-304.</w:t>
      </w:r>
    </w:p>
    <w:p w14:paraId="3768C3E6" w14:textId="77777777" w:rsidR="0052616E" w:rsidRPr="00342DC6" w:rsidRDefault="0052616E" w:rsidP="0052616E">
      <w:pPr>
        <w:pStyle w:val="Textkrper"/>
        <w:rPr>
          <w:rFonts w:asciiTheme="minorHAnsi" w:hAnsiTheme="minorHAnsi" w:cstheme="minorHAnsi"/>
          <w:b/>
          <w:bCs/>
          <w:sz w:val="22"/>
          <w:szCs w:val="22"/>
          <w:u w:val="single"/>
        </w:rPr>
      </w:pPr>
      <w:r w:rsidRPr="00342DC6">
        <w:rPr>
          <w:rFonts w:asciiTheme="minorHAnsi" w:hAnsiTheme="minorHAnsi" w:cstheme="minorHAnsi"/>
          <w:b/>
          <w:bCs/>
          <w:sz w:val="22"/>
          <w:szCs w:val="22"/>
          <w:u w:val="single"/>
        </w:rPr>
        <w:fldChar w:fldCharType="end"/>
      </w:r>
    </w:p>
    <w:p w14:paraId="49301344" w14:textId="77777777" w:rsidR="0052616E" w:rsidRPr="00342DC6" w:rsidRDefault="0052616E" w:rsidP="0052616E">
      <w:pPr>
        <w:rPr>
          <w:rFonts w:asciiTheme="minorHAnsi" w:hAnsiTheme="minorHAnsi" w:cstheme="minorHAnsi"/>
          <w:sz w:val="22"/>
          <w:szCs w:val="22"/>
        </w:rPr>
      </w:pPr>
    </w:p>
    <w:p w14:paraId="2DE5BDD5" w14:textId="375EDC76" w:rsidR="00424C09" w:rsidRPr="0052616E" w:rsidRDefault="00424C09" w:rsidP="0052616E"/>
    <w:sectPr w:rsidR="00424C09" w:rsidRPr="0052616E">
      <w:footerReference w:type="default" r:id="rId31"/>
      <w:pgSz w:w="12240" w:h="15840"/>
      <w:pgMar w:top="1134" w:right="1134"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EEE2C" w14:textId="77777777" w:rsidR="00234833" w:rsidRDefault="00234833">
      <w:r>
        <w:separator/>
      </w:r>
    </w:p>
  </w:endnote>
  <w:endnote w:type="continuationSeparator" w:id="0">
    <w:p w14:paraId="3304203D" w14:textId="77777777" w:rsidR="00234833" w:rsidRDefault="0023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Source Han Sans CN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ans">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799916"/>
      <w:docPartObj>
        <w:docPartGallery w:val="Page Numbers (Bottom of Page)"/>
        <w:docPartUnique/>
      </w:docPartObj>
    </w:sdtPr>
    <w:sdtEndPr/>
    <w:sdtContent>
      <w:p w14:paraId="7F126958" w14:textId="4DAC400E" w:rsidR="00424C09" w:rsidRDefault="00C246C7">
        <w:pPr>
          <w:pStyle w:val="Fuzeile"/>
          <w:jc w:val="right"/>
        </w:pPr>
        <w:r>
          <w:fldChar w:fldCharType="begin"/>
        </w:r>
        <w:r>
          <w:instrText>PAGE</w:instrText>
        </w:r>
        <w:r>
          <w:fldChar w:fldCharType="separate"/>
        </w:r>
        <w:r w:rsidR="00B82631">
          <w:rPr>
            <w:noProof/>
          </w:rPr>
          <w:t>9</w:t>
        </w:r>
        <w:r>
          <w:fldChar w:fldCharType="end"/>
        </w:r>
      </w:p>
    </w:sdtContent>
  </w:sdt>
  <w:p w14:paraId="0060607D" w14:textId="77777777" w:rsidR="00424C09" w:rsidRDefault="00424C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FB583" w14:textId="77777777" w:rsidR="00234833" w:rsidRDefault="00234833">
      <w:r>
        <w:separator/>
      </w:r>
    </w:p>
  </w:footnote>
  <w:footnote w:type="continuationSeparator" w:id="0">
    <w:p w14:paraId="5E81B3F5" w14:textId="77777777" w:rsidR="00234833" w:rsidRDefault="00234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454D04"/>
    <w:multiLevelType w:val="multilevel"/>
    <w:tmpl w:val="99D62228"/>
    <w:lvl w:ilvl="0">
      <w:start w:val="1"/>
      <w:numFmt w:val="none"/>
      <w:pStyle w:val="berschrift1"/>
      <w:suff w:val="nothing"/>
      <w:lvlText w:val=""/>
      <w:lvlJc w:val="left"/>
      <w:pPr>
        <w:ind w:left="0" w:firstLine="0"/>
      </w:pPr>
    </w:lvl>
    <w:lvl w:ilvl="1">
      <w:start w:val="1"/>
      <w:numFmt w:val="none"/>
      <w:suff w:val="nothing"/>
      <w:lvlText w:val=""/>
      <w:lvlJc w:val="left"/>
      <w:pPr>
        <w:ind w:left="0" w:firstLine="0"/>
      </w:pPr>
    </w:lvl>
    <w:lvl w:ilvl="2">
      <w:start w:val="1"/>
      <w:numFmt w:val="none"/>
      <w:pStyle w:val="berschrift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5E4D7806"/>
    <w:multiLevelType w:val="multilevel"/>
    <w:tmpl w:val="ABCE70B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jE2NTI1MTIyszAwMDNX0lEKTi0uzszPAykwrAUAxi7uLSwAAAA="/>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Liberation Serif&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9v5x02589assfeserr5erdu509ta9dfd9rv&quot;&gt;My EndNote Library-Converted&lt;record-ids&gt;&lt;item&gt;1474&lt;/item&gt;&lt;item&gt;1476&lt;/item&gt;&lt;item&gt;1478&lt;/item&gt;&lt;item&gt;1480&lt;/item&gt;&lt;item&gt;1482&lt;/item&gt;&lt;item&gt;1484&lt;/item&gt;&lt;item&gt;1486&lt;/item&gt;&lt;item&gt;1488&lt;/item&gt;&lt;item&gt;1490&lt;/item&gt;&lt;item&gt;1491&lt;/item&gt;&lt;item&gt;1493&lt;/item&gt;&lt;item&gt;1495&lt;/item&gt;&lt;item&gt;1497&lt;/item&gt;&lt;/record-ids&gt;&lt;/item&gt;&lt;/Libraries&gt;"/>
  </w:docVars>
  <w:rsids>
    <w:rsidRoot w:val="00424C09"/>
    <w:rsid w:val="000642F8"/>
    <w:rsid w:val="000C3E70"/>
    <w:rsid w:val="00234833"/>
    <w:rsid w:val="00424C09"/>
    <w:rsid w:val="00461F2C"/>
    <w:rsid w:val="004B71F5"/>
    <w:rsid w:val="0052616E"/>
    <w:rsid w:val="006A5B01"/>
    <w:rsid w:val="006B6F79"/>
    <w:rsid w:val="00874A1A"/>
    <w:rsid w:val="0095536C"/>
    <w:rsid w:val="00A44849"/>
    <w:rsid w:val="00B82631"/>
    <w:rsid w:val="00BE3806"/>
    <w:rsid w:val="00C246C7"/>
    <w:rsid w:val="00CB7670"/>
    <w:rsid w:val="00D84295"/>
    <w:rsid w:val="00E07DF2"/>
    <w:rsid w:val="00ED2A33"/>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C35F1"/>
  <w15:docId w15:val="{8D1E6C18-82A0-416E-958B-A7E7A353A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ource Han Sans CN Regular" w:hAnsi="Liberation Serif" w:cs="Lohit Devanagari"/>
        <w:kern w:val="2"/>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Heading"/>
    <w:qFormat/>
    <w:pPr>
      <w:numPr>
        <w:numId w:val="1"/>
      </w:numPr>
      <w:outlineLvl w:val="0"/>
    </w:pPr>
    <w:rPr>
      <w:b/>
      <w:bCs/>
      <w:sz w:val="36"/>
      <w:szCs w:val="36"/>
    </w:rPr>
  </w:style>
  <w:style w:type="paragraph" w:styleId="berschrift3">
    <w:name w:val="heading 3"/>
    <w:basedOn w:val="Heading"/>
    <w:qFormat/>
    <w:pPr>
      <w:numPr>
        <w:ilvl w:val="2"/>
        <w:numId w:val="1"/>
      </w:numPr>
      <w:spacing w:before="140"/>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Link">
    <w:name w:val="Internet Link"/>
    <w:rPr>
      <w:color w:val="000080"/>
      <w:u w:val="single"/>
    </w:rPr>
  </w:style>
  <w:style w:type="character" w:customStyle="1" w:styleId="EndnoteCharacters">
    <w:name w:val="Endnote Characters"/>
    <w:qFormat/>
  </w:style>
  <w:style w:type="character" w:customStyle="1" w:styleId="EndnoteAnchor">
    <w:name w:val="Endnote Anchor"/>
    <w:rPr>
      <w:vertAlign w:val="superscript"/>
    </w:rPr>
  </w:style>
  <w:style w:type="character" w:customStyle="1" w:styleId="Quotation">
    <w:name w:val="Quotation"/>
    <w:qFormat/>
    <w:rPr>
      <w:i/>
      <w:iCs/>
    </w:rPr>
  </w:style>
  <w:style w:type="character" w:customStyle="1" w:styleId="FootnoteAnchor">
    <w:name w:val="Footnote Anchor"/>
    <w:rPr>
      <w:vertAlign w:val="superscript"/>
    </w:rPr>
  </w:style>
  <w:style w:type="character" w:customStyle="1" w:styleId="FootnoteCharacters">
    <w:name w:val="Footnote Characters"/>
    <w:qFormat/>
  </w:style>
  <w:style w:type="character" w:styleId="Kommentarzeichen">
    <w:name w:val="annotation reference"/>
    <w:basedOn w:val="Absatz-Standardschriftart"/>
    <w:uiPriority w:val="99"/>
    <w:semiHidden/>
    <w:unhideWhenUsed/>
    <w:qFormat/>
    <w:rsid w:val="000B41E8"/>
    <w:rPr>
      <w:sz w:val="16"/>
      <w:szCs w:val="16"/>
    </w:rPr>
  </w:style>
  <w:style w:type="character" w:customStyle="1" w:styleId="KommentartextZchn">
    <w:name w:val="Kommentartext Zchn"/>
    <w:basedOn w:val="Absatz-Standardschriftart"/>
    <w:link w:val="Kommentartext"/>
    <w:uiPriority w:val="99"/>
    <w:semiHidden/>
    <w:qFormat/>
    <w:rsid w:val="000B41E8"/>
    <w:rPr>
      <w:rFonts w:cs="Mangal"/>
      <w:sz w:val="20"/>
      <w:szCs w:val="18"/>
    </w:rPr>
  </w:style>
  <w:style w:type="character" w:customStyle="1" w:styleId="KommentarthemaZchn">
    <w:name w:val="Kommentarthema Zchn"/>
    <w:basedOn w:val="KommentartextZchn"/>
    <w:link w:val="Kommentarthema"/>
    <w:uiPriority w:val="99"/>
    <w:semiHidden/>
    <w:qFormat/>
    <w:rsid w:val="000B41E8"/>
    <w:rPr>
      <w:rFonts w:cs="Mangal"/>
      <w:b/>
      <w:bCs/>
      <w:sz w:val="20"/>
      <w:szCs w:val="18"/>
    </w:rPr>
  </w:style>
  <w:style w:type="character" w:customStyle="1" w:styleId="SprechblasentextZchn">
    <w:name w:val="Sprechblasentext Zchn"/>
    <w:basedOn w:val="Absatz-Standardschriftart"/>
    <w:link w:val="Sprechblasentext"/>
    <w:uiPriority w:val="99"/>
    <w:semiHidden/>
    <w:qFormat/>
    <w:rsid w:val="000B41E8"/>
    <w:rPr>
      <w:rFonts w:ascii="Tahoma" w:hAnsi="Tahoma" w:cs="Mangal"/>
      <w:sz w:val="16"/>
      <w:szCs w:val="14"/>
    </w:rPr>
  </w:style>
  <w:style w:type="character" w:customStyle="1" w:styleId="KopfzeileZchn">
    <w:name w:val="Kopfzeile Zchn"/>
    <w:basedOn w:val="Absatz-Standardschriftart"/>
    <w:link w:val="Kopfzeile"/>
    <w:uiPriority w:val="99"/>
    <w:qFormat/>
    <w:rsid w:val="000B41E8"/>
    <w:rPr>
      <w:rFonts w:cs="Mangal"/>
      <w:szCs w:val="21"/>
    </w:rPr>
  </w:style>
  <w:style w:type="character" w:customStyle="1" w:styleId="FuzeileZchn">
    <w:name w:val="Fußzeile Zchn"/>
    <w:basedOn w:val="Absatz-Standardschriftart"/>
    <w:link w:val="Fuzeile"/>
    <w:uiPriority w:val="99"/>
    <w:qFormat/>
    <w:rsid w:val="000B41E8"/>
    <w:rPr>
      <w:rFonts w:cs="Mangal"/>
      <w:szCs w:val="21"/>
    </w:rPr>
  </w:style>
  <w:style w:type="paragraph" w:customStyle="1" w:styleId="Heading">
    <w:name w:val="Heading"/>
    <w:basedOn w:val="Standard"/>
    <w:next w:val="Textkrper"/>
    <w:qFormat/>
    <w:pPr>
      <w:keepNext/>
      <w:spacing w:before="240" w:after="120"/>
    </w:pPr>
    <w:rPr>
      <w:rFonts w:ascii="Liberation Sans" w:hAnsi="Liberation Sans"/>
      <w:sz w:val="28"/>
      <w:szCs w:val="28"/>
    </w:rPr>
  </w:style>
  <w:style w:type="paragraph" w:styleId="Textkrper">
    <w:name w:val="Body Text"/>
    <w:basedOn w:val="Standard"/>
    <w:link w:val="TextkrperZchn"/>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rPr>
  </w:style>
  <w:style w:type="paragraph" w:customStyle="1" w:styleId="Index">
    <w:name w:val="Index"/>
    <w:basedOn w:val="Standard"/>
    <w:qFormat/>
    <w:pPr>
      <w:suppressLineNumbers/>
    </w:p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Titel">
    <w:name w:val="Title"/>
    <w:basedOn w:val="Heading"/>
    <w:qFormat/>
    <w:pPr>
      <w:jc w:val="center"/>
    </w:pPr>
    <w:rPr>
      <w:b/>
      <w:bCs/>
      <w:sz w:val="56"/>
      <w:szCs w:val="56"/>
    </w:rPr>
  </w:style>
  <w:style w:type="paragraph" w:styleId="Endnotentext">
    <w:name w:val="endnote text"/>
    <w:basedOn w:val="Standard"/>
  </w:style>
  <w:style w:type="paragraph" w:styleId="Kommentartext">
    <w:name w:val="annotation text"/>
    <w:basedOn w:val="Standard"/>
    <w:link w:val="KommentartextZchn"/>
    <w:uiPriority w:val="99"/>
    <w:semiHidden/>
    <w:unhideWhenUsed/>
    <w:qFormat/>
    <w:rsid w:val="000B41E8"/>
    <w:rPr>
      <w:rFonts w:cs="Mangal"/>
      <w:sz w:val="20"/>
      <w:szCs w:val="18"/>
    </w:rPr>
  </w:style>
  <w:style w:type="paragraph" w:styleId="Kommentarthema">
    <w:name w:val="annotation subject"/>
    <w:basedOn w:val="Kommentartext"/>
    <w:link w:val="KommentarthemaZchn"/>
    <w:uiPriority w:val="99"/>
    <w:semiHidden/>
    <w:unhideWhenUsed/>
    <w:qFormat/>
    <w:rsid w:val="000B41E8"/>
    <w:rPr>
      <w:b/>
      <w:bCs/>
    </w:rPr>
  </w:style>
  <w:style w:type="paragraph" w:styleId="Sprechblasentext">
    <w:name w:val="Balloon Text"/>
    <w:basedOn w:val="Standard"/>
    <w:link w:val="SprechblasentextZchn"/>
    <w:uiPriority w:val="99"/>
    <w:semiHidden/>
    <w:unhideWhenUsed/>
    <w:qFormat/>
    <w:rsid w:val="000B41E8"/>
    <w:rPr>
      <w:rFonts w:ascii="Tahoma" w:hAnsi="Tahoma" w:cs="Mangal"/>
      <w:sz w:val="16"/>
      <w:szCs w:val="14"/>
    </w:rPr>
  </w:style>
  <w:style w:type="paragraph" w:styleId="Kopfzeile">
    <w:name w:val="header"/>
    <w:basedOn w:val="Standard"/>
    <w:link w:val="KopfzeileZchn"/>
    <w:uiPriority w:val="99"/>
    <w:unhideWhenUsed/>
    <w:rsid w:val="000B41E8"/>
    <w:pPr>
      <w:tabs>
        <w:tab w:val="center" w:pos="4536"/>
        <w:tab w:val="right" w:pos="9072"/>
      </w:tabs>
    </w:pPr>
    <w:rPr>
      <w:rFonts w:cs="Mangal"/>
      <w:szCs w:val="21"/>
    </w:rPr>
  </w:style>
  <w:style w:type="paragraph" w:styleId="Fuzeile">
    <w:name w:val="footer"/>
    <w:basedOn w:val="Standard"/>
    <w:link w:val="FuzeileZchn"/>
    <w:uiPriority w:val="99"/>
    <w:unhideWhenUsed/>
    <w:rsid w:val="000B41E8"/>
    <w:pPr>
      <w:tabs>
        <w:tab w:val="center" w:pos="4536"/>
        <w:tab w:val="right" w:pos="9072"/>
      </w:tabs>
    </w:pPr>
    <w:rPr>
      <w:rFonts w:cs="Mangal"/>
      <w:szCs w:val="21"/>
    </w:rPr>
  </w:style>
  <w:style w:type="paragraph" w:styleId="Funotentext">
    <w:name w:val="footnote text"/>
    <w:basedOn w:val="Standard"/>
  </w:style>
  <w:style w:type="paragraph" w:customStyle="1" w:styleId="EndNoteBibliographyTitle">
    <w:name w:val="EndNote Bibliography Title"/>
    <w:basedOn w:val="Standard"/>
    <w:link w:val="EndNoteBibliographyTitleChar"/>
    <w:rsid w:val="00A44849"/>
    <w:pPr>
      <w:jc w:val="center"/>
    </w:pPr>
    <w:rPr>
      <w:noProof/>
    </w:rPr>
  </w:style>
  <w:style w:type="character" w:customStyle="1" w:styleId="TextkrperZchn">
    <w:name w:val="Textkörper Zchn"/>
    <w:basedOn w:val="Absatz-Standardschriftart"/>
    <w:link w:val="Textkrper"/>
    <w:rsid w:val="00A44849"/>
  </w:style>
  <w:style w:type="character" w:customStyle="1" w:styleId="EndNoteBibliographyTitleChar">
    <w:name w:val="EndNote Bibliography Title Char"/>
    <w:basedOn w:val="TextkrperZchn"/>
    <w:link w:val="EndNoteBibliographyTitle"/>
    <w:rsid w:val="00A44849"/>
    <w:rPr>
      <w:noProof/>
    </w:rPr>
  </w:style>
  <w:style w:type="paragraph" w:customStyle="1" w:styleId="EndNoteBibliography">
    <w:name w:val="EndNote Bibliography"/>
    <w:basedOn w:val="Standard"/>
    <w:link w:val="EndNoteBibliographyChar"/>
    <w:rsid w:val="00A44849"/>
    <w:rPr>
      <w:noProof/>
    </w:rPr>
  </w:style>
  <w:style w:type="character" w:customStyle="1" w:styleId="EndNoteBibliographyChar">
    <w:name w:val="EndNote Bibliography Char"/>
    <w:basedOn w:val="TextkrperZchn"/>
    <w:link w:val="EndNoteBibliography"/>
    <w:rsid w:val="00A4484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2694</Words>
  <Characters>16979</Characters>
  <Application>Microsoft Office Word</Application>
  <DocSecurity>0</DocSecurity>
  <Lines>141</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Universitätsklinikum Leipzig AöR</Company>
  <LinksUpToDate>false</LinksUpToDate>
  <CharactersWithSpaces>19634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Nono Nankam, Pamela</dc:creator>
  <dc:description/>
  <cp:lastModifiedBy>Nono Nankam, Pamela</cp:lastModifiedBy>
  <cp:revision>8</cp:revision>
  <dcterms:created xsi:type="dcterms:W3CDTF">2020-05-07T08:53:00Z</dcterms:created>
  <dcterms:modified xsi:type="dcterms:W3CDTF">2020-05-20T09:46:00Z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Universitätsklinikum Leipzig AöR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