
<file path=[Content_Types].xml><?xml version="1.0" encoding="utf-8"?>
<Types xmlns="http://schemas.openxmlformats.org/package/2006/content-types">
  <Default Extension="rels" ContentType="application/vnd.openxmlformats-package.relationships+xml"/>
  <Default Extension="xml" ContentType="application/xml"/>
  <Default Extension="tif" ContentType="image/tiff"/>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rPr>
          <w:b/>
          <w:lang w:val="en-US"/>
        </w:rPr>
      </w:pPr>
      <w:proofErr w:type="spellStart"/>
      <w:r>
        <w:rPr>
          <w:b/>
          <w:lang w:val="en-US"/>
        </w:rPr>
        <w:t>Miloradovic</w:t>
      </w:r>
      <w:proofErr w:type="spellEnd"/>
      <w:r>
        <w:rPr>
          <w:b/>
          <w:lang w:val="en-US"/>
        </w:rPr>
        <w:t xml:space="preserve"> van </w:t>
      </w:r>
      <w:proofErr w:type="spellStart"/>
      <w:r>
        <w:rPr>
          <w:b/>
          <w:lang w:val="en-US"/>
        </w:rPr>
        <w:t>Doorn</w:t>
      </w:r>
      <w:proofErr w:type="spellEnd"/>
      <w:r>
        <w:rPr>
          <w:b/>
          <w:lang w:val="en-US"/>
        </w:rPr>
        <w:t xml:space="preserve"> et al</w:t>
      </w:r>
    </w:p>
    <w:p>
      <w:pPr>
        <w:rPr>
          <w:b/>
          <w:lang w:val="en-US"/>
        </w:rPr>
      </w:pPr>
      <w:r>
        <w:rPr>
          <w:b/>
          <w:lang w:val="en-US"/>
        </w:rPr>
        <w:t>Supplemental Figures</w:t>
      </w:r>
    </w:p>
    <w:p>
      <w:pPr>
        <w:rPr>
          <w:b/>
          <w:lang w:val="en-US"/>
        </w:rPr>
      </w:pPr>
    </w:p>
    <w:p>
      <w:pPr>
        <w:rPr>
          <w:b/>
          <w:lang w:val="en-US"/>
        </w:rPr>
      </w:pPr>
    </w:p>
    <w:p>
      <w:pPr>
        <w:rPr>
          <w:b/>
          <w:lang w:val="en-US"/>
        </w:rPr>
      </w:pPr>
      <w:r>
        <w:rPr>
          <w:b/>
          <w:lang w:val="en-US"/>
        </w:rPr>
        <w:t xml:space="preserve">Supplemental Figure S1 </w:t>
      </w:r>
    </w:p>
    <w:p>
      <w:pPr>
        <w:rPr>
          <w:lang w:val="en-US"/>
        </w:rPr>
      </w:pPr>
      <w:r>
        <w:rPr>
          <w:noProof/>
          <w:lang w:val="en-US"/>
        </w:rPr>
        <w:drawing>
          <wp:inline distT="0" distB="0" distL="0" distR="0">
            <wp:extent cx="6299835" cy="2313305"/>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 S1_final.jpg"/>
                    <pic:cNvPicPr/>
                  </pic:nvPicPr>
                  <pic:blipFill>
                    <a:blip r:embed="rId4">
                      <a:extLst>
                        <a:ext uri="{28A0092B-C50C-407E-A947-70E740481C1C}">
                          <a14:useLocalDpi xmlns:a14="http://schemas.microsoft.com/office/drawing/2010/main" val="0"/>
                        </a:ext>
                      </a:extLst>
                    </a:blip>
                    <a:stretch>
                      <a:fillRect/>
                    </a:stretch>
                  </pic:blipFill>
                  <pic:spPr>
                    <a:xfrm>
                      <a:off x="0" y="0"/>
                      <a:ext cx="6299835" cy="2313305"/>
                    </a:xfrm>
                    <a:prstGeom prst="rect">
                      <a:avLst/>
                    </a:prstGeom>
                  </pic:spPr>
                </pic:pic>
              </a:graphicData>
            </a:graphic>
          </wp:inline>
        </w:drawing>
      </w:r>
    </w:p>
    <w:p>
      <w:pPr>
        <w:spacing w:after="0" w:line="480" w:lineRule="auto"/>
        <w:jc w:val="both"/>
        <w:rPr>
          <w:rFonts w:ascii="Times New Roman" w:hAnsi="Times New Roman"/>
          <w:sz w:val="24"/>
          <w:szCs w:val="24"/>
          <w:lang w:val="en-US"/>
        </w:rPr>
      </w:pPr>
      <w:r>
        <w:rPr>
          <w:rFonts w:ascii="Times New Roman" w:hAnsi="Times New Roman"/>
          <w:b/>
          <w:sz w:val="24"/>
          <w:szCs w:val="24"/>
          <w:lang w:val="en-US"/>
        </w:rPr>
        <w:t xml:space="preserve">Supplemental Figure S1: </w:t>
      </w:r>
      <w:proofErr w:type="spellStart"/>
      <w:r>
        <w:rPr>
          <w:rFonts w:ascii="Times New Roman" w:hAnsi="Times New Roman"/>
          <w:i/>
          <w:sz w:val="24"/>
          <w:szCs w:val="24"/>
          <w:lang w:val="en-US"/>
        </w:rPr>
        <w:t>Populus</w:t>
      </w:r>
      <w:proofErr w:type="spellEnd"/>
      <w:r>
        <w:rPr>
          <w:rFonts w:ascii="Times New Roman" w:hAnsi="Times New Roman"/>
          <w:sz w:val="24"/>
          <w:szCs w:val="24"/>
          <w:lang w:val="en-US"/>
        </w:rPr>
        <w:t xml:space="preserve"> x </w:t>
      </w:r>
      <w:proofErr w:type="spellStart"/>
      <w:r>
        <w:rPr>
          <w:rFonts w:ascii="Times New Roman" w:hAnsi="Times New Roman"/>
          <w:i/>
          <w:sz w:val="24"/>
          <w:szCs w:val="24"/>
          <w:lang w:val="en-US"/>
        </w:rPr>
        <w:t>canescens</w:t>
      </w:r>
      <w:proofErr w:type="spellEnd"/>
      <w:r>
        <w:rPr>
          <w:rFonts w:ascii="Times New Roman" w:hAnsi="Times New Roman"/>
          <w:sz w:val="24"/>
          <w:szCs w:val="24"/>
          <w:lang w:val="en-US"/>
        </w:rPr>
        <w:t xml:space="preserve"> </w:t>
      </w:r>
      <w:r>
        <w:rPr>
          <w:rFonts w:ascii="Times New Roman" w:hAnsi="Times New Roman"/>
          <w:i/>
          <w:sz w:val="24"/>
          <w:szCs w:val="24"/>
          <w:lang w:val="en-US"/>
        </w:rPr>
        <w:t>isoprene synthase</w:t>
      </w:r>
      <w:r>
        <w:rPr>
          <w:rFonts w:ascii="Times New Roman" w:hAnsi="Times New Roman"/>
          <w:sz w:val="24"/>
          <w:szCs w:val="24"/>
          <w:lang w:val="en-US"/>
        </w:rPr>
        <w:t xml:space="preserve"> (</w:t>
      </w:r>
      <w:proofErr w:type="spellStart"/>
      <w:r>
        <w:rPr>
          <w:rFonts w:ascii="Times New Roman" w:hAnsi="Times New Roman"/>
          <w:i/>
          <w:sz w:val="24"/>
          <w:szCs w:val="24"/>
          <w:lang w:val="en-US"/>
        </w:rPr>
        <w:t>PcISPS</w:t>
      </w:r>
      <w:proofErr w:type="spellEnd"/>
      <w:r>
        <w:rPr>
          <w:rFonts w:ascii="Times New Roman" w:hAnsi="Times New Roman"/>
          <w:i/>
          <w:sz w:val="24"/>
          <w:szCs w:val="24"/>
          <w:lang w:val="en-US"/>
        </w:rPr>
        <w:t>)</w:t>
      </w:r>
      <w:r>
        <w:rPr>
          <w:rFonts w:ascii="Times New Roman" w:hAnsi="Times New Roman"/>
          <w:sz w:val="24"/>
          <w:szCs w:val="24"/>
          <w:lang w:val="en-US"/>
        </w:rPr>
        <w:t xml:space="preserve"> promoter activity as β-</w:t>
      </w:r>
      <w:proofErr w:type="spellStart"/>
      <w:r>
        <w:rPr>
          <w:rFonts w:ascii="Times New Roman" w:hAnsi="Times New Roman"/>
          <w:sz w:val="24"/>
          <w:szCs w:val="24"/>
          <w:lang w:val="en-US"/>
        </w:rPr>
        <w:t>glucuronidase</w:t>
      </w:r>
      <w:proofErr w:type="spellEnd"/>
      <w:r>
        <w:rPr>
          <w:rFonts w:ascii="Times New Roman" w:hAnsi="Times New Roman"/>
          <w:sz w:val="24"/>
          <w:szCs w:val="24"/>
          <w:lang w:val="en-US"/>
        </w:rPr>
        <w:t xml:space="preserve"> (GUS) stain in the lateral roots (LR) of promoter reporter lines. </w:t>
      </w:r>
      <w:r>
        <w:rPr>
          <w:rFonts w:ascii="Times New Roman" w:hAnsi="Times New Roman"/>
          <w:b/>
          <w:sz w:val="24"/>
          <w:szCs w:val="24"/>
          <w:lang w:val="en-US"/>
        </w:rPr>
        <w:t>a-c</w:t>
      </w:r>
      <w:r>
        <w:rPr>
          <w:rFonts w:ascii="Times New Roman" w:hAnsi="Times New Roman"/>
          <w:sz w:val="24"/>
          <w:szCs w:val="24"/>
          <w:lang w:val="en-US"/>
        </w:rPr>
        <w:t>,</w:t>
      </w:r>
      <w:r>
        <w:rPr>
          <w:rFonts w:ascii="Times New Roman" w:hAnsi="Times New Roman"/>
          <w:b/>
          <w:sz w:val="24"/>
          <w:szCs w:val="24"/>
          <w:lang w:val="en-US"/>
        </w:rPr>
        <w:t xml:space="preserve"> </w:t>
      </w:r>
      <w:r>
        <w:rPr>
          <w:rFonts w:ascii="Times New Roman" w:hAnsi="Times New Roman"/>
          <w:sz w:val="24"/>
          <w:szCs w:val="24"/>
          <w:lang w:val="en-US"/>
        </w:rPr>
        <w:t xml:space="preserve">GUS stain in two different </w:t>
      </w:r>
      <w:r>
        <w:rPr>
          <w:rFonts w:ascii="Times New Roman" w:hAnsi="Times New Roman"/>
          <w:i/>
          <w:sz w:val="24"/>
          <w:szCs w:val="24"/>
          <w:lang w:val="en-US"/>
        </w:rPr>
        <w:t>Arabidopsis</w:t>
      </w:r>
      <w:r>
        <w:rPr>
          <w:rFonts w:ascii="Times New Roman" w:hAnsi="Times New Roman"/>
          <w:sz w:val="24"/>
          <w:szCs w:val="24"/>
          <w:lang w:val="en-US"/>
        </w:rPr>
        <w:t xml:space="preserve"> reporter lines (L2 (b) and L4 (c)). </w:t>
      </w:r>
      <w:r>
        <w:rPr>
          <w:rFonts w:ascii="Times New Roman" w:hAnsi="Times New Roman"/>
          <w:b/>
          <w:sz w:val="24"/>
          <w:szCs w:val="24"/>
          <w:lang w:val="en-US"/>
        </w:rPr>
        <w:t>d-f</w:t>
      </w:r>
      <w:r>
        <w:rPr>
          <w:rFonts w:ascii="Times New Roman" w:hAnsi="Times New Roman"/>
          <w:sz w:val="24"/>
          <w:szCs w:val="24"/>
          <w:lang w:val="en-US"/>
        </w:rPr>
        <w:t>,</w:t>
      </w:r>
      <w:r>
        <w:rPr>
          <w:rFonts w:ascii="Times New Roman" w:hAnsi="Times New Roman"/>
          <w:b/>
          <w:sz w:val="24"/>
          <w:szCs w:val="24"/>
          <w:lang w:val="en-US"/>
        </w:rPr>
        <w:t xml:space="preserve"> </w:t>
      </w:r>
      <w:proofErr w:type="spellStart"/>
      <w:r>
        <w:rPr>
          <w:rFonts w:ascii="Times New Roman" w:hAnsi="Times New Roman"/>
          <w:i/>
          <w:sz w:val="24"/>
          <w:szCs w:val="24"/>
          <w:lang w:val="en-US"/>
        </w:rPr>
        <w:t>PcISPS</w:t>
      </w:r>
      <w:proofErr w:type="spellEnd"/>
      <w:r>
        <w:rPr>
          <w:rFonts w:ascii="Times New Roman" w:hAnsi="Times New Roman"/>
          <w:sz w:val="24"/>
          <w:szCs w:val="24"/>
          <w:lang w:val="en-US"/>
        </w:rPr>
        <w:t xml:space="preserve"> promoter activity as GUS stain in two different poplar reporter lines (lines L26 (e) and L2 (f)). The stain is shown under control conditions in LR tip (i.e. cap, meristematic - and elongation zone; black bars) and in the LR middle parts (i.e. differentiation zone; white bars). Different letters indicate the statistical differences between the treatments by </w:t>
      </w:r>
      <w:r>
        <w:rPr>
          <w:rFonts w:ascii="Times New Roman" w:hAnsi="Times New Roman"/>
          <w:i/>
          <w:sz w:val="24"/>
          <w:szCs w:val="24"/>
          <w:lang w:val="en-US"/>
        </w:rPr>
        <w:t>t</w:t>
      </w:r>
      <w:r>
        <w:rPr>
          <w:rFonts w:ascii="Times New Roman" w:hAnsi="Times New Roman"/>
          <w:sz w:val="24"/>
          <w:szCs w:val="24"/>
          <w:lang w:val="en-US"/>
        </w:rPr>
        <w:t xml:space="preserve"> test (</w:t>
      </w:r>
      <w:r>
        <w:rPr>
          <w:rFonts w:ascii="Times New Roman" w:hAnsi="Times New Roman"/>
          <w:i/>
          <w:sz w:val="24"/>
          <w:szCs w:val="24"/>
          <w:lang w:val="en-US"/>
        </w:rPr>
        <w:t>P</w:t>
      </w:r>
      <w:r>
        <w:rPr>
          <w:rFonts w:ascii="Times New Roman" w:hAnsi="Times New Roman"/>
          <w:sz w:val="24"/>
          <w:szCs w:val="24"/>
          <w:lang w:val="en-US"/>
        </w:rPr>
        <w:t xml:space="preserve"> &lt; 0.05; n = 10 (</w:t>
      </w:r>
      <w:r>
        <w:rPr>
          <w:rFonts w:ascii="Times New Roman" w:hAnsi="Times New Roman"/>
          <w:i/>
          <w:sz w:val="24"/>
          <w:szCs w:val="24"/>
          <w:lang w:val="en-US"/>
        </w:rPr>
        <w:t>Arabidopsis</w:t>
      </w:r>
      <w:r>
        <w:rPr>
          <w:rFonts w:ascii="Times New Roman" w:hAnsi="Times New Roman"/>
          <w:sz w:val="24"/>
          <w:szCs w:val="24"/>
          <w:lang w:val="en-US"/>
        </w:rPr>
        <w:t xml:space="preserve">) or n = 8 (poplar)). </w:t>
      </w:r>
    </w:p>
    <w:p>
      <w:pPr>
        <w:rPr>
          <w:b/>
          <w:lang w:val="en-US"/>
        </w:rPr>
      </w:pPr>
    </w:p>
    <w:p>
      <w:pPr>
        <w:spacing w:after="0" w:line="240" w:lineRule="auto"/>
        <w:rPr>
          <w:b/>
          <w:lang w:val="en-US"/>
        </w:rPr>
      </w:pPr>
      <w:r>
        <w:rPr>
          <w:b/>
          <w:lang w:val="en-US"/>
        </w:rPr>
        <w:br w:type="page"/>
      </w:r>
    </w:p>
    <w:p>
      <w:pPr>
        <w:rPr>
          <w:b/>
          <w:lang w:val="en-US"/>
        </w:rPr>
      </w:pPr>
      <w:r>
        <w:rPr>
          <w:b/>
          <w:lang w:val="en-US"/>
        </w:rPr>
        <w:lastRenderedPageBreak/>
        <w:t>Supplemental Figure S2</w:t>
      </w:r>
    </w:p>
    <w:p>
      <w:pPr>
        <w:jc w:val="right"/>
        <w:rPr>
          <w:b/>
          <w:lang w:val="en-US"/>
        </w:rPr>
      </w:pPr>
      <w:r>
        <w:rPr>
          <w:b/>
          <w:noProof/>
          <w:lang w:val="en-US"/>
        </w:rPr>
        <w:drawing>
          <wp:inline distT="0" distB="0" distL="0" distR="0">
            <wp:extent cx="5062106" cy="6226077"/>
            <wp:effectExtent l="0" t="0" r="444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ig developmental phases.jpg"/>
                    <pic:cNvPicPr/>
                  </pic:nvPicPr>
                  <pic:blipFill>
                    <a:blip r:embed="rId5">
                      <a:extLst>
                        <a:ext uri="{28A0092B-C50C-407E-A947-70E740481C1C}">
                          <a14:useLocalDpi xmlns:a14="http://schemas.microsoft.com/office/drawing/2010/main" val="0"/>
                        </a:ext>
                      </a:extLst>
                    </a:blip>
                    <a:stretch>
                      <a:fillRect/>
                    </a:stretch>
                  </pic:blipFill>
                  <pic:spPr>
                    <a:xfrm>
                      <a:off x="0" y="0"/>
                      <a:ext cx="5062106" cy="6226077"/>
                    </a:xfrm>
                    <a:prstGeom prst="rect">
                      <a:avLst/>
                    </a:prstGeom>
                  </pic:spPr>
                </pic:pic>
              </a:graphicData>
            </a:graphic>
          </wp:inline>
        </w:drawing>
      </w:r>
    </w:p>
    <w:p>
      <w:pPr>
        <w:spacing w:after="0" w:line="480" w:lineRule="auto"/>
        <w:jc w:val="both"/>
        <w:rPr>
          <w:rFonts w:ascii="Times New Roman" w:hAnsi="Times New Roman"/>
          <w:sz w:val="24"/>
          <w:szCs w:val="24"/>
          <w:lang w:val="en-GB"/>
        </w:rPr>
      </w:pPr>
      <w:r>
        <w:rPr>
          <w:rFonts w:ascii="Times New Roman" w:hAnsi="Times New Roman"/>
          <w:b/>
          <w:sz w:val="24"/>
          <w:szCs w:val="24"/>
          <w:lang w:val="en-GB"/>
        </w:rPr>
        <w:t>Supplemental Figure S2.</w:t>
      </w:r>
      <w:r>
        <w:rPr>
          <w:rFonts w:ascii="Times New Roman" w:hAnsi="Times New Roman"/>
          <w:sz w:val="24"/>
          <w:szCs w:val="24"/>
          <w:lang w:val="en-GB"/>
        </w:rPr>
        <w:t xml:space="preserve"> </w:t>
      </w:r>
      <w:proofErr w:type="spellStart"/>
      <w:r>
        <w:rPr>
          <w:rFonts w:ascii="Times New Roman" w:hAnsi="Times New Roman"/>
          <w:i/>
          <w:sz w:val="24"/>
          <w:szCs w:val="24"/>
          <w:lang w:val="en-US"/>
        </w:rPr>
        <w:t>PcISPS</w:t>
      </w:r>
      <w:proofErr w:type="spellEnd"/>
      <w:r>
        <w:rPr>
          <w:rFonts w:ascii="Times New Roman" w:hAnsi="Times New Roman"/>
          <w:sz w:val="24"/>
          <w:szCs w:val="24"/>
          <w:lang w:val="en-US"/>
        </w:rPr>
        <w:t xml:space="preserve"> promoter activity as β-glucuronidase (GUS) stain and O</w:t>
      </w:r>
      <w:r>
        <w:rPr>
          <w:rFonts w:ascii="Times New Roman" w:hAnsi="Times New Roman"/>
          <w:sz w:val="24"/>
          <w:szCs w:val="24"/>
          <w:vertAlign w:val="subscript"/>
          <w:lang w:val="en-US"/>
        </w:rPr>
        <w:t>2</w:t>
      </w:r>
      <w:r>
        <w:rPr>
          <w:rFonts w:ascii="Times New Roman" w:hAnsi="Times New Roman"/>
          <w:sz w:val="24"/>
          <w:szCs w:val="24"/>
          <w:vertAlign w:val="superscript"/>
          <w:lang w:val="en-US"/>
        </w:rPr>
        <w:t xml:space="preserve">- </w:t>
      </w:r>
      <w:r>
        <w:rPr>
          <w:rFonts w:ascii="Times New Roman" w:hAnsi="Times New Roman"/>
          <w:sz w:val="24"/>
          <w:szCs w:val="24"/>
          <w:lang w:val="en-US"/>
        </w:rPr>
        <w:t xml:space="preserve">accumulation as </w:t>
      </w:r>
      <w:proofErr w:type="spellStart"/>
      <w:r>
        <w:rPr>
          <w:rFonts w:ascii="Times New Roman" w:hAnsi="Times New Roman"/>
          <w:sz w:val="24"/>
          <w:szCs w:val="24"/>
          <w:lang w:val="en-US"/>
        </w:rPr>
        <w:t>nitroblue</w:t>
      </w:r>
      <w:proofErr w:type="spellEnd"/>
      <w:r>
        <w:rPr>
          <w:rFonts w:ascii="Times New Roman" w:hAnsi="Times New Roman"/>
          <w:sz w:val="24"/>
          <w:szCs w:val="24"/>
          <w:lang w:val="en-US"/>
        </w:rPr>
        <w:t xml:space="preserve"> tetrazolium (NBT) stain in </w:t>
      </w:r>
      <w:r>
        <w:rPr>
          <w:rFonts w:ascii="Times New Roman" w:hAnsi="Times New Roman"/>
          <w:i/>
          <w:sz w:val="24"/>
          <w:szCs w:val="24"/>
          <w:lang w:val="en-US"/>
        </w:rPr>
        <w:t>Arabidopsis</w:t>
      </w:r>
      <w:r>
        <w:rPr>
          <w:rFonts w:ascii="Times New Roman" w:hAnsi="Times New Roman"/>
          <w:sz w:val="24"/>
          <w:szCs w:val="24"/>
          <w:lang w:val="en-US"/>
        </w:rPr>
        <w:t xml:space="preserve"> roots during lateral root (LR) development</w:t>
      </w:r>
      <w:r>
        <w:rPr>
          <w:rFonts w:ascii="Times New Roman" w:hAnsi="Times New Roman"/>
          <w:sz w:val="24"/>
          <w:szCs w:val="24"/>
          <w:lang w:val="en-GB"/>
        </w:rPr>
        <w:t xml:space="preserve">. </w:t>
      </w:r>
      <w:r>
        <w:rPr>
          <w:rFonts w:ascii="Times New Roman" w:hAnsi="Times New Roman"/>
          <w:sz w:val="24"/>
          <w:szCs w:val="24"/>
          <w:lang w:val="en-US"/>
        </w:rPr>
        <w:t>The phases of LR development are numbered from I to VIII and are illustrated in the middle. O</w:t>
      </w:r>
      <w:r>
        <w:rPr>
          <w:rFonts w:ascii="Times New Roman" w:hAnsi="Times New Roman"/>
          <w:sz w:val="24"/>
          <w:szCs w:val="24"/>
          <w:vertAlign w:val="subscript"/>
          <w:lang w:val="en-US"/>
        </w:rPr>
        <w:t>2</w:t>
      </w:r>
      <w:r>
        <w:rPr>
          <w:rFonts w:ascii="Times New Roman" w:hAnsi="Times New Roman"/>
          <w:sz w:val="24"/>
          <w:szCs w:val="24"/>
          <w:vertAlign w:val="superscript"/>
          <w:lang w:val="en-US"/>
        </w:rPr>
        <w:t>-</w:t>
      </w:r>
      <w:r>
        <w:rPr>
          <w:rFonts w:ascii="Times New Roman" w:hAnsi="Times New Roman"/>
          <w:sz w:val="24"/>
          <w:szCs w:val="24"/>
          <w:lang w:val="en-US"/>
        </w:rPr>
        <w:t xml:space="preserve"> accumulation and </w:t>
      </w:r>
      <w:proofErr w:type="spellStart"/>
      <w:r>
        <w:rPr>
          <w:rFonts w:ascii="Times New Roman" w:hAnsi="Times New Roman"/>
          <w:i/>
          <w:sz w:val="24"/>
          <w:szCs w:val="24"/>
          <w:lang w:val="en-US"/>
        </w:rPr>
        <w:t>PcISPS</w:t>
      </w:r>
      <w:proofErr w:type="spellEnd"/>
      <w:r>
        <w:rPr>
          <w:rFonts w:ascii="Times New Roman" w:hAnsi="Times New Roman"/>
          <w:sz w:val="24"/>
          <w:szCs w:val="24"/>
          <w:lang w:val="en-US"/>
        </w:rPr>
        <w:t xml:space="preserve"> promoter activity in </w:t>
      </w:r>
      <w:r>
        <w:rPr>
          <w:rFonts w:ascii="Times New Roman" w:hAnsi="Times New Roman"/>
          <w:i/>
          <w:sz w:val="24"/>
          <w:szCs w:val="24"/>
          <w:lang w:val="en-US"/>
        </w:rPr>
        <w:t>Arabidopsis</w:t>
      </w:r>
      <w:r>
        <w:rPr>
          <w:rFonts w:ascii="Times New Roman" w:hAnsi="Times New Roman"/>
          <w:sz w:val="24"/>
          <w:szCs w:val="24"/>
          <w:lang w:val="en-US"/>
        </w:rPr>
        <w:t xml:space="preserve"> LR development under control (</w:t>
      </w:r>
      <w:proofErr w:type="spellStart"/>
      <w:r>
        <w:rPr>
          <w:rFonts w:ascii="Times New Roman" w:hAnsi="Times New Roman"/>
          <w:sz w:val="24"/>
          <w:szCs w:val="24"/>
          <w:lang w:val="en-US"/>
        </w:rPr>
        <w:t>Murashige</w:t>
      </w:r>
      <w:proofErr w:type="spellEnd"/>
      <w:r>
        <w:rPr>
          <w:rFonts w:ascii="Times New Roman" w:hAnsi="Times New Roman"/>
          <w:sz w:val="24"/>
          <w:szCs w:val="24"/>
          <w:lang w:val="en-US"/>
        </w:rPr>
        <w:t xml:space="preserve"> and Skoog medium; MS) conditions is shown on the left side. The promoter activity under salt stress (125 </w:t>
      </w:r>
      <w:proofErr w:type="spellStart"/>
      <w:r>
        <w:rPr>
          <w:rFonts w:ascii="Times New Roman" w:hAnsi="Times New Roman"/>
          <w:sz w:val="24"/>
          <w:szCs w:val="24"/>
          <w:lang w:val="en-US"/>
        </w:rPr>
        <w:t>mM</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NaCl</w:t>
      </w:r>
      <w:proofErr w:type="spellEnd"/>
      <w:r>
        <w:rPr>
          <w:rFonts w:ascii="Times New Roman" w:hAnsi="Times New Roman"/>
          <w:sz w:val="24"/>
          <w:szCs w:val="24"/>
          <w:lang w:val="en-US"/>
        </w:rPr>
        <w:t xml:space="preserve">) or hormone </w:t>
      </w:r>
      <w:r>
        <w:rPr>
          <w:rStyle w:val="st"/>
          <w:rFonts w:ascii="Times New Roman" w:hAnsi="Times New Roman"/>
          <w:sz w:val="24"/>
          <w:szCs w:val="24"/>
          <w:lang w:val="en-US"/>
        </w:rPr>
        <w:t xml:space="preserve">indole-3-acetic acid </w:t>
      </w:r>
      <w:r>
        <w:rPr>
          <w:rFonts w:ascii="Times New Roman" w:hAnsi="Times New Roman"/>
          <w:sz w:val="24"/>
          <w:szCs w:val="24"/>
          <w:lang w:val="en-US"/>
        </w:rPr>
        <w:t>(IAA; 1 µm) treatment are shown on the right side.</w:t>
      </w:r>
      <w:r>
        <w:rPr>
          <w:rFonts w:ascii="Times New Roman" w:hAnsi="Times New Roman"/>
          <w:b/>
          <w:sz w:val="24"/>
          <w:szCs w:val="24"/>
          <w:lang w:val="en-US"/>
        </w:rPr>
        <w:t xml:space="preserve"> </w:t>
      </w:r>
      <w:r>
        <w:rPr>
          <w:rFonts w:ascii="Times New Roman" w:hAnsi="Times New Roman"/>
          <w:sz w:val="24"/>
          <w:szCs w:val="24"/>
          <w:lang w:val="en-US"/>
        </w:rPr>
        <w:t>The scale is given in each picture. The arrows show the location of emerging LRs in early phases</w:t>
      </w:r>
      <w:r>
        <w:rPr>
          <w:rFonts w:ascii="Times New Roman" w:hAnsi="Times New Roman"/>
          <w:sz w:val="24"/>
          <w:szCs w:val="24"/>
          <w:lang w:val="en-GB"/>
        </w:rPr>
        <w:t>.</w:t>
      </w:r>
    </w:p>
    <w:p>
      <w:pPr>
        <w:spacing w:after="0" w:line="240" w:lineRule="auto"/>
        <w:rPr>
          <w:rFonts w:ascii="Times New Roman" w:hAnsi="Times New Roman"/>
          <w:sz w:val="24"/>
          <w:szCs w:val="24"/>
          <w:lang w:val="en-GB"/>
        </w:rPr>
      </w:pPr>
    </w:p>
    <w:p>
      <w:pPr>
        <w:spacing w:after="0" w:line="480" w:lineRule="auto"/>
        <w:jc w:val="both"/>
        <w:rPr>
          <w:rFonts w:ascii="Times New Roman" w:hAnsi="Times New Roman"/>
          <w:sz w:val="24"/>
          <w:szCs w:val="24"/>
          <w:lang w:val="en-US"/>
        </w:rPr>
      </w:pPr>
      <w:r>
        <w:rPr>
          <w:b/>
          <w:lang w:val="en-US"/>
        </w:rPr>
        <w:t>Supplemental Figure S3</w:t>
      </w:r>
    </w:p>
    <w:p>
      <w:pPr>
        <w:jc w:val="center"/>
        <w:rPr>
          <w:rFonts w:ascii="Times New Roman" w:eastAsia="Times New Roman" w:hAnsi="Times New Roman"/>
          <w:noProof/>
          <w:sz w:val="24"/>
          <w:szCs w:val="24"/>
          <w:lang w:eastAsia="de-DE"/>
        </w:rPr>
      </w:pPr>
      <w:r>
        <w:rPr>
          <w:rFonts w:ascii="Times New Roman" w:eastAsia="Times New Roman" w:hAnsi="Times New Roman"/>
          <w:noProof/>
          <w:sz w:val="24"/>
          <w:szCs w:val="24"/>
          <w:lang w:val="en-US"/>
        </w:rPr>
        <w:drawing>
          <wp:inline distT="0" distB="0" distL="0" distR="0">
            <wp:extent cx="5925312" cy="6858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 S3.jpg"/>
                    <pic:cNvPicPr/>
                  </pic:nvPicPr>
                  <pic:blipFill>
                    <a:blip r:embed="rId6">
                      <a:extLst>
                        <a:ext uri="{28A0092B-C50C-407E-A947-70E740481C1C}">
                          <a14:useLocalDpi xmlns:a14="http://schemas.microsoft.com/office/drawing/2010/main" val="0"/>
                        </a:ext>
                      </a:extLst>
                    </a:blip>
                    <a:stretch>
                      <a:fillRect/>
                    </a:stretch>
                  </pic:blipFill>
                  <pic:spPr>
                    <a:xfrm>
                      <a:off x="0" y="0"/>
                      <a:ext cx="5925312" cy="6858000"/>
                    </a:xfrm>
                    <a:prstGeom prst="rect">
                      <a:avLst/>
                    </a:prstGeom>
                  </pic:spPr>
                </pic:pic>
              </a:graphicData>
            </a:graphic>
          </wp:inline>
        </w:drawing>
      </w:r>
    </w:p>
    <w:p>
      <w:pPr>
        <w:spacing w:after="0" w:line="480" w:lineRule="auto"/>
        <w:jc w:val="both"/>
        <w:rPr>
          <w:rFonts w:ascii="Times New Roman" w:hAnsi="Times New Roman"/>
          <w:sz w:val="24"/>
          <w:szCs w:val="24"/>
          <w:lang w:val="en-US"/>
        </w:rPr>
      </w:pPr>
      <w:r>
        <w:rPr>
          <w:rFonts w:ascii="Times New Roman" w:hAnsi="Times New Roman"/>
          <w:b/>
          <w:sz w:val="24"/>
          <w:szCs w:val="24"/>
          <w:lang w:val="en-US"/>
        </w:rPr>
        <w:t xml:space="preserve">Supplemental Figure S3. </w:t>
      </w:r>
      <w:r>
        <w:rPr>
          <w:rFonts w:ascii="Times New Roman" w:hAnsi="Times New Roman"/>
          <w:i/>
          <w:sz w:val="24"/>
          <w:szCs w:val="24"/>
          <w:lang w:val="en-US"/>
        </w:rPr>
        <w:t xml:space="preserve">In </w:t>
      </w:r>
      <w:proofErr w:type="spellStart"/>
      <w:r>
        <w:rPr>
          <w:rFonts w:ascii="Times New Roman" w:hAnsi="Times New Roman"/>
          <w:i/>
          <w:sz w:val="24"/>
          <w:szCs w:val="24"/>
          <w:lang w:val="en-US"/>
        </w:rPr>
        <w:t>silico</w:t>
      </w:r>
      <w:proofErr w:type="spellEnd"/>
      <w:r>
        <w:rPr>
          <w:rFonts w:ascii="Times New Roman" w:hAnsi="Times New Roman"/>
          <w:sz w:val="24"/>
          <w:szCs w:val="24"/>
          <w:lang w:val="en-US"/>
        </w:rPr>
        <w:t xml:space="preserve"> analysis of </w:t>
      </w:r>
      <w:proofErr w:type="spellStart"/>
      <w:r>
        <w:rPr>
          <w:rFonts w:ascii="Times New Roman" w:hAnsi="Times New Roman"/>
          <w:i/>
          <w:sz w:val="24"/>
          <w:szCs w:val="24"/>
          <w:lang w:val="en-US"/>
        </w:rPr>
        <w:t>PcISPS</w:t>
      </w:r>
      <w:proofErr w:type="spellEnd"/>
      <w:r>
        <w:rPr>
          <w:rFonts w:ascii="Times New Roman" w:hAnsi="Times New Roman"/>
          <w:sz w:val="24"/>
          <w:szCs w:val="24"/>
          <w:lang w:val="en-US"/>
        </w:rPr>
        <w:t xml:space="preserve"> promoter and </w:t>
      </w:r>
      <w:r>
        <w:rPr>
          <w:rFonts w:ascii="Times New Roman" w:hAnsi="Times New Roman"/>
          <w:color w:val="000000" w:themeColor="text1"/>
          <w:sz w:val="24"/>
          <w:szCs w:val="24"/>
          <w:lang w:val="en-US"/>
        </w:rPr>
        <w:t xml:space="preserve">phylogenetically closely related </w:t>
      </w:r>
      <w:r>
        <w:rPr>
          <w:rFonts w:ascii="Times New Roman" w:hAnsi="Times New Roman"/>
          <w:i/>
          <w:color w:val="000000" w:themeColor="text1"/>
          <w:sz w:val="24"/>
          <w:szCs w:val="24"/>
          <w:lang w:val="en-US"/>
        </w:rPr>
        <w:t>1,8-cineole synthase</w:t>
      </w:r>
      <w:r>
        <w:rPr>
          <w:rFonts w:ascii="Times New Roman" w:hAnsi="Times New Roman"/>
          <w:color w:val="000000" w:themeColor="text1"/>
          <w:sz w:val="24"/>
          <w:szCs w:val="24"/>
          <w:lang w:val="en-US"/>
        </w:rPr>
        <w:t xml:space="preserve"> (</w:t>
      </w:r>
      <w:proofErr w:type="spellStart"/>
      <w:r>
        <w:rPr>
          <w:rFonts w:ascii="Times New Roman" w:hAnsi="Times New Roman"/>
          <w:i/>
          <w:color w:val="000000" w:themeColor="text1"/>
          <w:sz w:val="24"/>
          <w:szCs w:val="24"/>
          <w:lang w:val="en-US"/>
        </w:rPr>
        <w:t>AtTPS-Cin</w:t>
      </w:r>
      <w:proofErr w:type="spellEnd"/>
      <w:r>
        <w:rPr>
          <w:rFonts w:ascii="Times New Roman" w:hAnsi="Times New Roman"/>
          <w:color w:val="000000" w:themeColor="text1"/>
          <w:sz w:val="24"/>
          <w:szCs w:val="24"/>
          <w:lang w:val="en-US"/>
        </w:rPr>
        <w:t xml:space="preserve">) promoter of </w:t>
      </w:r>
      <w:r>
        <w:rPr>
          <w:rFonts w:ascii="Times New Roman" w:hAnsi="Times New Roman"/>
          <w:i/>
          <w:color w:val="000000" w:themeColor="text1"/>
          <w:sz w:val="24"/>
          <w:szCs w:val="24"/>
          <w:lang w:val="en-US"/>
        </w:rPr>
        <w:t>Arabidopsis</w:t>
      </w:r>
      <w:r>
        <w:rPr>
          <w:rFonts w:ascii="Times New Roman" w:hAnsi="Times New Roman"/>
          <w:sz w:val="24"/>
          <w:szCs w:val="24"/>
          <w:lang w:val="en-US"/>
        </w:rPr>
        <w:t xml:space="preserve"> (Supplemental Figure S4).</w:t>
      </w:r>
      <w:r>
        <w:rPr>
          <w:rFonts w:ascii="Times New Roman" w:hAnsi="Times New Roman"/>
          <w:b/>
          <w:sz w:val="24"/>
          <w:szCs w:val="24"/>
          <w:lang w:val="en-US"/>
        </w:rPr>
        <w:t xml:space="preserve">  a</w:t>
      </w:r>
      <w:r>
        <w:rPr>
          <w:rFonts w:ascii="Times New Roman" w:hAnsi="Times New Roman"/>
          <w:sz w:val="24"/>
          <w:szCs w:val="24"/>
          <w:lang w:val="en-US"/>
        </w:rPr>
        <w:t xml:space="preserve">, </w:t>
      </w:r>
      <w:proofErr w:type="gramStart"/>
      <w:r>
        <w:rPr>
          <w:rFonts w:ascii="Times New Roman" w:hAnsi="Times New Roman"/>
          <w:sz w:val="24"/>
          <w:szCs w:val="24"/>
          <w:lang w:val="en-US"/>
        </w:rPr>
        <w:t>The</w:t>
      </w:r>
      <w:proofErr w:type="gramEnd"/>
      <w:r>
        <w:rPr>
          <w:rFonts w:ascii="Times New Roman" w:hAnsi="Times New Roman"/>
          <w:sz w:val="24"/>
          <w:szCs w:val="24"/>
          <w:lang w:val="en-US"/>
        </w:rPr>
        <w:t xml:space="preserve"> two upper boxes present the regulative elements specific for </w:t>
      </w:r>
      <w:proofErr w:type="spellStart"/>
      <w:r>
        <w:rPr>
          <w:rFonts w:ascii="Times New Roman" w:hAnsi="Times New Roman"/>
          <w:i/>
          <w:sz w:val="24"/>
          <w:szCs w:val="24"/>
          <w:lang w:val="en-US"/>
        </w:rPr>
        <w:t>PcISPS</w:t>
      </w:r>
      <w:proofErr w:type="spellEnd"/>
      <w:r>
        <w:rPr>
          <w:rFonts w:ascii="Times New Roman" w:hAnsi="Times New Roman"/>
          <w:sz w:val="24"/>
          <w:szCs w:val="24"/>
          <w:lang w:val="en-US"/>
        </w:rPr>
        <w:t xml:space="preserve"> (left) and </w:t>
      </w:r>
      <w:proofErr w:type="spellStart"/>
      <w:r>
        <w:rPr>
          <w:rFonts w:ascii="Times New Roman" w:hAnsi="Times New Roman"/>
          <w:i/>
          <w:sz w:val="24"/>
          <w:szCs w:val="24"/>
          <w:lang w:val="en-US"/>
        </w:rPr>
        <w:t>AtTPS-Cin</w:t>
      </w:r>
      <w:proofErr w:type="spellEnd"/>
      <w:r>
        <w:rPr>
          <w:rFonts w:ascii="Times New Roman" w:hAnsi="Times New Roman"/>
          <w:sz w:val="24"/>
          <w:szCs w:val="24"/>
          <w:lang w:val="en-US"/>
        </w:rPr>
        <w:t xml:space="preserve"> (1,8-cineole) (right). The overlaps are given in the lower box. Venn plot gives an overview of the number of common and specific regulative elements. </w:t>
      </w:r>
      <w:r>
        <w:rPr>
          <w:rFonts w:ascii="Times New Roman" w:hAnsi="Times New Roman"/>
          <w:b/>
          <w:sz w:val="24"/>
          <w:szCs w:val="24"/>
          <w:lang w:val="en-US"/>
        </w:rPr>
        <w:t>b</w:t>
      </w:r>
      <w:r>
        <w:rPr>
          <w:rFonts w:ascii="Times New Roman" w:hAnsi="Times New Roman"/>
          <w:sz w:val="24"/>
          <w:szCs w:val="24"/>
          <w:lang w:val="en-US"/>
        </w:rPr>
        <w:t>, Location of the regulative elements in the promoter.</w:t>
      </w:r>
    </w:p>
    <w:p>
      <w:pPr>
        <w:spacing w:after="0" w:line="240" w:lineRule="auto"/>
        <w:rPr>
          <w:b/>
          <w:lang w:val="en-US"/>
        </w:rPr>
      </w:pPr>
    </w:p>
    <w:p>
      <w:pPr>
        <w:spacing w:after="0" w:line="480" w:lineRule="auto"/>
        <w:jc w:val="both"/>
        <w:rPr>
          <w:b/>
          <w:lang w:val="en-US"/>
        </w:rPr>
      </w:pPr>
      <w:r>
        <w:rPr>
          <w:b/>
          <w:lang w:val="en-US"/>
        </w:rPr>
        <w:t>Supplemental Figure S4</w:t>
      </w:r>
    </w:p>
    <w:p>
      <w:pPr>
        <w:rPr>
          <w:lang w:val="en-US"/>
        </w:rPr>
      </w:pPr>
      <w:r>
        <w:rPr>
          <w:noProof/>
          <w:lang w:val="en-US"/>
        </w:rPr>
        <w:drawing>
          <wp:inline distT="0" distB="0" distL="0" distR="0">
            <wp:extent cx="5981700" cy="57061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hylog tree.tif"/>
                    <pic:cNvPicPr/>
                  </pic:nvPicPr>
                  <pic:blipFill>
                    <a:blip r:embed="rId7">
                      <a:extLst>
                        <a:ext uri="{28A0092B-C50C-407E-A947-70E740481C1C}">
                          <a14:useLocalDpi xmlns:a14="http://schemas.microsoft.com/office/drawing/2010/main" val="0"/>
                        </a:ext>
                      </a:extLst>
                    </a:blip>
                    <a:stretch>
                      <a:fillRect/>
                    </a:stretch>
                  </pic:blipFill>
                  <pic:spPr>
                    <a:xfrm>
                      <a:off x="0" y="0"/>
                      <a:ext cx="5985743" cy="5710017"/>
                    </a:xfrm>
                    <a:prstGeom prst="rect">
                      <a:avLst/>
                    </a:prstGeom>
                  </pic:spPr>
                </pic:pic>
              </a:graphicData>
            </a:graphic>
          </wp:inline>
        </w:drawing>
      </w:r>
    </w:p>
    <w:p>
      <w:pPr>
        <w:spacing w:after="0" w:line="480" w:lineRule="auto"/>
        <w:jc w:val="both"/>
        <w:rPr>
          <w:rFonts w:ascii="Times New Roman" w:hAnsi="Times New Roman"/>
          <w:sz w:val="24"/>
          <w:szCs w:val="24"/>
          <w:lang w:val="en-US"/>
        </w:rPr>
      </w:pPr>
      <w:r>
        <w:rPr>
          <w:rFonts w:ascii="Times New Roman" w:hAnsi="Times New Roman"/>
          <w:b/>
          <w:sz w:val="24"/>
          <w:szCs w:val="24"/>
          <w:lang w:val="en-GB"/>
        </w:rPr>
        <w:t xml:space="preserve">Supplemental Figure S4. </w:t>
      </w:r>
      <w:r>
        <w:rPr>
          <w:rFonts w:ascii="Times New Roman" w:hAnsi="Times New Roman"/>
          <w:sz w:val="24"/>
          <w:szCs w:val="24"/>
          <w:lang w:val="en-US"/>
        </w:rPr>
        <w:t xml:space="preserve">Phylogenetic tree based on </w:t>
      </w:r>
      <w:proofErr w:type="spellStart"/>
      <w:r>
        <w:rPr>
          <w:rFonts w:ascii="Times New Roman" w:hAnsi="Times New Roman"/>
          <w:i/>
          <w:sz w:val="24"/>
          <w:szCs w:val="24"/>
          <w:lang w:val="en-US"/>
        </w:rPr>
        <w:t>Populus</w:t>
      </w:r>
      <w:proofErr w:type="spellEnd"/>
      <w:r>
        <w:rPr>
          <w:rFonts w:ascii="Times New Roman" w:hAnsi="Times New Roman"/>
          <w:sz w:val="24"/>
          <w:szCs w:val="24"/>
          <w:lang w:val="en-US"/>
        </w:rPr>
        <w:t xml:space="preserve"> x </w:t>
      </w:r>
      <w:proofErr w:type="spellStart"/>
      <w:r>
        <w:rPr>
          <w:rFonts w:ascii="Times New Roman" w:hAnsi="Times New Roman"/>
          <w:i/>
          <w:sz w:val="24"/>
          <w:szCs w:val="24"/>
          <w:lang w:val="en-US"/>
        </w:rPr>
        <w:t>canescens</w:t>
      </w:r>
      <w:proofErr w:type="spellEnd"/>
      <w:r>
        <w:rPr>
          <w:rFonts w:ascii="Times New Roman" w:hAnsi="Times New Roman"/>
          <w:sz w:val="24"/>
          <w:szCs w:val="24"/>
          <w:lang w:val="en-US"/>
        </w:rPr>
        <w:t xml:space="preserve"> isoprene synthase (</w:t>
      </w:r>
      <w:proofErr w:type="spellStart"/>
      <w:r>
        <w:rPr>
          <w:rFonts w:ascii="Times New Roman" w:hAnsi="Times New Roman"/>
          <w:i/>
          <w:sz w:val="24"/>
          <w:szCs w:val="24"/>
          <w:lang w:val="en-US"/>
        </w:rPr>
        <w:t>PcISPS</w:t>
      </w:r>
      <w:proofErr w:type="spellEnd"/>
      <w:r>
        <w:rPr>
          <w:rFonts w:ascii="Times New Roman" w:hAnsi="Times New Roman"/>
          <w:sz w:val="24"/>
          <w:szCs w:val="24"/>
          <w:lang w:val="en-US"/>
        </w:rPr>
        <w:t xml:space="preserve">) and 32 </w:t>
      </w:r>
      <w:r>
        <w:rPr>
          <w:rFonts w:ascii="Times New Roman" w:hAnsi="Times New Roman"/>
          <w:i/>
          <w:sz w:val="24"/>
          <w:szCs w:val="24"/>
          <w:lang w:val="en-US"/>
        </w:rPr>
        <w:t>Arabidopsis thaliana</w:t>
      </w:r>
      <w:r>
        <w:rPr>
          <w:rFonts w:ascii="Times New Roman" w:hAnsi="Times New Roman"/>
          <w:sz w:val="24"/>
          <w:szCs w:val="24"/>
          <w:lang w:val="en-US"/>
        </w:rPr>
        <w:t xml:space="preserve"> terpene synthase (</w:t>
      </w:r>
      <w:proofErr w:type="spellStart"/>
      <w:r>
        <w:rPr>
          <w:rFonts w:ascii="Times New Roman" w:hAnsi="Times New Roman"/>
          <w:i/>
          <w:sz w:val="24"/>
          <w:szCs w:val="24"/>
          <w:lang w:val="en-US"/>
        </w:rPr>
        <w:t>AtTPS</w:t>
      </w:r>
      <w:proofErr w:type="spellEnd"/>
      <w:r>
        <w:rPr>
          <w:rFonts w:ascii="Times New Roman" w:hAnsi="Times New Roman"/>
          <w:sz w:val="24"/>
          <w:szCs w:val="24"/>
          <w:lang w:val="en-US"/>
        </w:rPr>
        <w:t xml:space="preserve">) genes. The tree was constructed with the neighbor-joining method. </w:t>
      </w:r>
    </w:p>
    <w:p>
      <w:pPr>
        <w:tabs>
          <w:tab w:val="left" w:pos="3408"/>
        </w:tabs>
        <w:spacing w:after="0" w:line="480" w:lineRule="auto"/>
        <w:jc w:val="both"/>
        <w:rPr>
          <w:rFonts w:ascii="Times New Roman" w:hAnsi="Times New Roman"/>
          <w:sz w:val="24"/>
          <w:szCs w:val="24"/>
          <w:lang w:val="en-US"/>
        </w:rPr>
      </w:pPr>
    </w:p>
    <w:p>
      <w:pPr>
        <w:rPr>
          <w:b/>
          <w:lang w:val="en-US"/>
        </w:rPr>
      </w:pPr>
      <w:r>
        <w:rPr>
          <w:rFonts w:ascii="Times New Roman" w:hAnsi="Times New Roman"/>
          <w:sz w:val="24"/>
          <w:szCs w:val="24"/>
          <w:lang w:val="en-US"/>
        </w:rPr>
        <w:br w:type="page"/>
      </w:r>
      <w:r>
        <w:rPr>
          <w:b/>
          <w:lang w:val="en-US"/>
        </w:rPr>
        <w:lastRenderedPageBreak/>
        <w:t>Supplemental Figure S5</w:t>
      </w:r>
    </w:p>
    <w:p>
      <w:pPr>
        <w:jc w:val="center"/>
        <w:rPr>
          <w:lang w:val="en-US"/>
        </w:rPr>
      </w:pPr>
      <w:r>
        <w:rPr>
          <w:noProof/>
          <w:lang w:val="en-US"/>
        </w:rPr>
        <w:drawing>
          <wp:inline distT="0" distB="0" distL="0" distR="0">
            <wp:extent cx="5555289" cy="6562725"/>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 S5_final.jpg"/>
                    <pic:cNvPicPr/>
                  </pic:nvPicPr>
                  <pic:blipFill>
                    <a:blip r:embed="rId8">
                      <a:extLst>
                        <a:ext uri="{28A0092B-C50C-407E-A947-70E740481C1C}">
                          <a14:useLocalDpi xmlns:a14="http://schemas.microsoft.com/office/drawing/2010/main" val="0"/>
                        </a:ext>
                      </a:extLst>
                    </a:blip>
                    <a:stretch>
                      <a:fillRect/>
                    </a:stretch>
                  </pic:blipFill>
                  <pic:spPr>
                    <a:xfrm>
                      <a:off x="0" y="0"/>
                      <a:ext cx="5559840" cy="6568102"/>
                    </a:xfrm>
                    <a:prstGeom prst="rect">
                      <a:avLst/>
                    </a:prstGeom>
                  </pic:spPr>
                </pic:pic>
              </a:graphicData>
            </a:graphic>
          </wp:inline>
        </w:drawing>
      </w:r>
    </w:p>
    <w:p>
      <w:pPr>
        <w:spacing w:line="480" w:lineRule="auto"/>
        <w:jc w:val="both"/>
        <w:rPr>
          <w:rFonts w:ascii="Times New Roman" w:hAnsi="Times New Roman"/>
          <w:sz w:val="24"/>
          <w:szCs w:val="24"/>
          <w:lang w:val="en-GB"/>
        </w:rPr>
      </w:pPr>
      <w:r>
        <w:rPr>
          <w:rFonts w:ascii="Times New Roman" w:hAnsi="Times New Roman"/>
          <w:b/>
          <w:sz w:val="24"/>
          <w:szCs w:val="24"/>
          <w:lang w:val="en-GB"/>
        </w:rPr>
        <w:t xml:space="preserve">Supplemental Figure S5 </w:t>
      </w:r>
      <w:proofErr w:type="spellStart"/>
      <w:r>
        <w:rPr>
          <w:rFonts w:ascii="Times New Roman" w:hAnsi="Times New Roman"/>
          <w:i/>
          <w:sz w:val="24"/>
          <w:szCs w:val="24"/>
          <w:lang w:val="en-US"/>
        </w:rPr>
        <w:t>PcISPS</w:t>
      </w:r>
      <w:proofErr w:type="spellEnd"/>
      <w:r>
        <w:rPr>
          <w:rFonts w:ascii="Times New Roman" w:hAnsi="Times New Roman"/>
          <w:sz w:val="24"/>
          <w:szCs w:val="24"/>
          <w:lang w:val="en-US"/>
        </w:rPr>
        <w:t xml:space="preserve"> promoter activity under salt or </w:t>
      </w:r>
      <w:r>
        <w:rPr>
          <w:rStyle w:val="st"/>
          <w:rFonts w:ascii="Times New Roman" w:hAnsi="Times New Roman"/>
          <w:sz w:val="24"/>
          <w:szCs w:val="24"/>
          <w:lang w:val="en-US"/>
        </w:rPr>
        <w:t>indole-3-acetic acid (</w:t>
      </w:r>
      <w:r>
        <w:rPr>
          <w:rFonts w:ascii="Times New Roman" w:hAnsi="Times New Roman"/>
          <w:sz w:val="24"/>
          <w:szCs w:val="24"/>
          <w:lang w:val="en-US"/>
        </w:rPr>
        <w:t xml:space="preserve">IAA) treatment (a-d) in the differentiation zone of the lateral roots (LR) and superoxide anion radical accumulation under IAA treatment (e-g) in poplar LRs. </w:t>
      </w:r>
      <w:r>
        <w:rPr>
          <w:rFonts w:ascii="Times New Roman" w:hAnsi="Times New Roman"/>
          <w:b/>
          <w:sz w:val="24"/>
          <w:szCs w:val="24"/>
          <w:lang w:val="en-GB"/>
        </w:rPr>
        <w:t>a-d</w:t>
      </w:r>
      <w:r>
        <w:rPr>
          <w:rFonts w:ascii="Times New Roman" w:hAnsi="Times New Roman"/>
          <w:sz w:val="24"/>
          <w:szCs w:val="24"/>
          <w:lang w:val="en-GB"/>
        </w:rPr>
        <w:t xml:space="preserve">, </w:t>
      </w:r>
      <w:r>
        <w:rPr>
          <w:rFonts w:ascii="Times New Roman" w:hAnsi="Times New Roman"/>
          <w:sz w:val="24"/>
          <w:szCs w:val="24"/>
          <w:lang w:val="en-US"/>
        </w:rPr>
        <w:t xml:space="preserve">The </w:t>
      </w:r>
      <w:proofErr w:type="spellStart"/>
      <w:r>
        <w:rPr>
          <w:rFonts w:ascii="Times New Roman" w:hAnsi="Times New Roman"/>
          <w:i/>
          <w:sz w:val="24"/>
          <w:szCs w:val="24"/>
          <w:lang w:val="en-US"/>
        </w:rPr>
        <w:t>PcISPS</w:t>
      </w:r>
      <w:proofErr w:type="spellEnd"/>
      <w:r>
        <w:rPr>
          <w:rFonts w:ascii="Times New Roman" w:hAnsi="Times New Roman"/>
          <w:sz w:val="24"/>
          <w:szCs w:val="24"/>
          <w:lang w:val="en-US"/>
        </w:rPr>
        <w:t xml:space="preserve"> promoter activity is shown as β-</w:t>
      </w:r>
      <w:proofErr w:type="spellStart"/>
      <w:r>
        <w:rPr>
          <w:rFonts w:ascii="Times New Roman" w:hAnsi="Times New Roman"/>
          <w:sz w:val="24"/>
          <w:szCs w:val="24"/>
          <w:lang w:val="en-US"/>
        </w:rPr>
        <w:t>glucuronidase</w:t>
      </w:r>
      <w:proofErr w:type="spellEnd"/>
      <w:r>
        <w:rPr>
          <w:rFonts w:ascii="Times New Roman" w:hAnsi="Times New Roman"/>
          <w:sz w:val="24"/>
          <w:szCs w:val="24"/>
          <w:lang w:val="en-US"/>
        </w:rPr>
        <w:t xml:space="preserve"> (GUS) stain intensity (pixels area</w:t>
      </w:r>
      <w:r>
        <w:rPr>
          <w:rFonts w:ascii="Times New Roman" w:hAnsi="Times New Roman"/>
          <w:sz w:val="24"/>
          <w:szCs w:val="24"/>
          <w:vertAlign w:val="superscript"/>
          <w:lang w:val="en-US"/>
        </w:rPr>
        <w:t>-1</w:t>
      </w:r>
      <w:r>
        <w:rPr>
          <w:rFonts w:ascii="Times New Roman" w:hAnsi="Times New Roman"/>
          <w:sz w:val="24"/>
          <w:szCs w:val="24"/>
          <w:lang w:val="en-US"/>
        </w:rPr>
        <w:t xml:space="preserve">*1000) in control (white bars) and in </w:t>
      </w:r>
      <w:proofErr w:type="spellStart"/>
      <w:r>
        <w:rPr>
          <w:rFonts w:ascii="Times New Roman" w:hAnsi="Times New Roman"/>
          <w:sz w:val="24"/>
          <w:szCs w:val="24"/>
          <w:lang w:val="en-US"/>
        </w:rPr>
        <w:t>NaCl</w:t>
      </w:r>
      <w:proofErr w:type="spellEnd"/>
      <w:r>
        <w:rPr>
          <w:rFonts w:ascii="Times New Roman" w:hAnsi="Times New Roman"/>
          <w:sz w:val="24"/>
          <w:szCs w:val="24"/>
          <w:lang w:val="en-US"/>
        </w:rPr>
        <w:t xml:space="preserve"> or IAA treated (black bars) </w:t>
      </w:r>
      <w:r>
        <w:rPr>
          <w:rFonts w:ascii="Times New Roman" w:hAnsi="Times New Roman"/>
          <w:i/>
          <w:sz w:val="24"/>
          <w:szCs w:val="24"/>
          <w:lang w:val="en-US"/>
        </w:rPr>
        <w:t>Arabidopsis</w:t>
      </w:r>
      <w:r>
        <w:rPr>
          <w:rFonts w:ascii="Times New Roman" w:hAnsi="Times New Roman"/>
          <w:sz w:val="24"/>
          <w:szCs w:val="24"/>
          <w:lang w:val="en-US"/>
        </w:rPr>
        <w:t xml:space="preserve"> (lines L2, L4) (a, c) and poplar (lines L26, L2) (b, d).</w:t>
      </w:r>
      <w:r>
        <w:rPr>
          <w:rFonts w:ascii="Times New Roman" w:hAnsi="Times New Roman"/>
          <w:sz w:val="24"/>
          <w:szCs w:val="24"/>
          <w:lang w:val="en-GB"/>
        </w:rPr>
        <w:t xml:space="preserve"> The treatments were: </w:t>
      </w:r>
      <w:r>
        <w:rPr>
          <w:rFonts w:ascii="Times New Roman" w:hAnsi="Times New Roman"/>
          <w:sz w:val="24"/>
          <w:szCs w:val="24"/>
          <w:lang w:val="en-US"/>
        </w:rPr>
        <w:t xml:space="preserve">50 </w:t>
      </w:r>
      <w:proofErr w:type="spellStart"/>
      <w:r>
        <w:rPr>
          <w:rFonts w:ascii="Times New Roman" w:hAnsi="Times New Roman"/>
          <w:sz w:val="24"/>
          <w:szCs w:val="24"/>
          <w:lang w:val="en-US"/>
        </w:rPr>
        <w:t>mM</w:t>
      </w:r>
      <w:proofErr w:type="spellEnd"/>
      <w:r>
        <w:rPr>
          <w:rFonts w:ascii="Times New Roman" w:hAnsi="Times New Roman"/>
          <w:sz w:val="24"/>
          <w:szCs w:val="24"/>
          <w:lang w:val="en-US"/>
        </w:rPr>
        <w:t xml:space="preserve"> (poplar) and 125 </w:t>
      </w:r>
      <w:proofErr w:type="spellStart"/>
      <w:r>
        <w:rPr>
          <w:rFonts w:ascii="Times New Roman" w:hAnsi="Times New Roman"/>
          <w:sz w:val="24"/>
          <w:szCs w:val="24"/>
          <w:lang w:val="en-US"/>
        </w:rPr>
        <w:t>mM</w:t>
      </w:r>
      <w:proofErr w:type="spellEnd"/>
      <w:r>
        <w:rPr>
          <w:rFonts w:ascii="Times New Roman" w:hAnsi="Times New Roman"/>
          <w:sz w:val="24"/>
          <w:szCs w:val="24"/>
          <w:lang w:val="en-US"/>
        </w:rPr>
        <w:t xml:space="preserve"> (</w:t>
      </w:r>
      <w:r>
        <w:rPr>
          <w:rFonts w:ascii="Times New Roman" w:hAnsi="Times New Roman"/>
          <w:i/>
          <w:sz w:val="24"/>
          <w:szCs w:val="24"/>
          <w:lang w:val="en-US"/>
        </w:rPr>
        <w:t>Arabidopsis</w:t>
      </w:r>
      <w:r>
        <w:rPr>
          <w:rFonts w:ascii="Times New Roman" w:hAnsi="Times New Roman"/>
          <w:sz w:val="24"/>
          <w:szCs w:val="24"/>
          <w:lang w:val="en-US"/>
        </w:rPr>
        <w:t xml:space="preserve">) </w:t>
      </w:r>
      <w:proofErr w:type="spellStart"/>
      <w:r>
        <w:rPr>
          <w:rFonts w:ascii="Times New Roman" w:hAnsi="Times New Roman"/>
          <w:sz w:val="24"/>
          <w:szCs w:val="24"/>
          <w:lang w:val="en-US"/>
        </w:rPr>
        <w:t>NaCl</w:t>
      </w:r>
      <w:proofErr w:type="spellEnd"/>
      <w:r>
        <w:rPr>
          <w:rFonts w:ascii="Times New Roman" w:hAnsi="Times New Roman"/>
          <w:sz w:val="24"/>
          <w:szCs w:val="24"/>
          <w:lang w:val="en-US"/>
        </w:rPr>
        <w:t xml:space="preserve"> or 1 µM IAA in </w:t>
      </w:r>
      <w:proofErr w:type="spellStart"/>
      <w:r>
        <w:rPr>
          <w:rFonts w:ascii="Times New Roman" w:hAnsi="Times New Roman"/>
          <w:sz w:val="24"/>
          <w:szCs w:val="24"/>
          <w:lang w:val="en-US"/>
        </w:rPr>
        <w:t>Murashige</w:t>
      </w:r>
      <w:proofErr w:type="spellEnd"/>
      <w:r>
        <w:rPr>
          <w:rFonts w:ascii="Times New Roman" w:hAnsi="Times New Roman"/>
          <w:sz w:val="24"/>
          <w:szCs w:val="24"/>
          <w:lang w:val="en-US"/>
        </w:rPr>
        <w:t xml:space="preserve"> and Skoog (MS) medium. Different letters indicate the significant differences between the treatments by </w:t>
      </w:r>
      <w:r>
        <w:rPr>
          <w:rFonts w:ascii="Times New Roman" w:hAnsi="Times New Roman"/>
          <w:sz w:val="24"/>
          <w:szCs w:val="24"/>
          <w:lang w:val="en-GB"/>
        </w:rPr>
        <w:t xml:space="preserve">Student’s </w:t>
      </w:r>
      <w:r>
        <w:rPr>
          <w:rFonts w:ascii="Times New Roman" w:hAnsi="Times New Roman"/>
          <w:i/>
          <w:sz w:val="24"/>
          <w:szCs w:val="24"/>
          <w:lang w:val="en-GB"/>
        </w:rPr>
        <w:t>t</w:t>
      </w:r>
      <w:r>
        <w:rPr>
          <w:rFonts w:ascii="Times New Roman" w:hAnsi="Times New Roman"/>
          <w:sz w:val="24"/>
          <w:szCs w:val="24"/>
          <w:lang w:val="en-GB"/>
        </w:rPr>
        <w:t xml:space="preserve"> test, </w:t>
      </w:r>
      <w:r>
        <w:rPr>
          <w:rFonts w:ascii="Times New Roman" w:hAnsi="Times New Roman"/>
          <w:i/>
          <w:sz w:val="24"/>
          <w:szCs w:val="24"/>
          <w:lang w:val="en-GB"/>
        </w:rPr>
        <w:t xml:space="preserve">P </w:t>
      </w:r>
      <w:r>
        <w:rPr>
          <w:rFonts w:ascii="Times New Roman" w:hAnsi="Times New Roman"/>
          <w:sz w:val="24"/>
          <w:szCs w:val="24"/>
          <w:lang w:val="en-GB"/>
        </w:rPr>
        <w:t xml:space="preserve">&lt; 0.01; n = 10; mean ± </w:t>
      </w:r>
      <w:r>
        <w:rPr>
          <w:rFonts w:ascii="Times New Roman" w:hAnsi="Times New Roman"/>
          <w:sz w:val="24"/>
          <w:szCs w:val="24"/>
          <w:lang w:val="en-GB"/>
        </w:rPr>
        <w:lastRenderedPageBreak/>
        <w:t>se</w:t>
      </w:r>
      <w:r>
        <w:rPr>
          <w:rFonts w:ascii="Times New Roman" w:hAnsi="Times New Roman"/>
          <w:sz w:val="24"/>
          <w:szCs w:val="24"/>
          <w:lang w:val="en-US"/>
        </w:rPr>
        <w:t>)</w:t>
      </w:r>
      <w:r>
        <w:rPr>
          <w:rFonts w:ascii="Times New Roman" w:hAnsi="Times New Roman"/>
          <w:sz w:val="24"/>
          <w:szCs w:val="24"/>
          <w:lang w:val="en-GB"/>
        </w:rPr>
        <w:t xml:space="preserve">. </w:t>
      </w:r>
      <w:r>
        <w:rPr>
          <w:rFonts w:ascii="Times New Roman" w:hAnsi="Times New Roman"/>
          <w:b/>
          <w:sz w:val="24"/>
          <w:szCs w:val="24"/>
          <w:lang w:val="en-US"/>
        </w:rPr>
        <w:t>e-g</w:t>
      </w:r>
      <w:r>
        <w:rPr>
          <w:rFonts w:ascii="Times New Roman" w:hAnsi="Times New Roman"/>
          <w:sz w:val="24"/>
          <w:szCs w:val="24"/>
          <w:lang w:val="en-US"/>
        </w:rPr>
        <w:t xml:space="preserve">, Superoxide anion radical accumulation under IAA treatment: Images of </w:t>
      </w:r>
      <w:proofErr w:type="spellStart"/>
      <w:r>
        <w:rPr>
          <w:rFonts w:ascii="Times New Roman" w:hAnsi="Times New Roman"/>
          <w:sz w:val="24"/>
          <w:szCs w:val="24"/>
          <w:lang w:val="en-US"/>
        </w:rPr>
        <w:t>nitroblue</w:t>
      </w:r>
      <w:proofErr w:type="spellEnd"/>
      <w:r>
        <w:rPr>
          <w:rFonts w:ascii="Times New Roman" w:hAnsi="Times New Roman"/>
          <w:sz w:val="24"/>
          <w:szCs w:val="24"/>
          <w:lang w:val="en-US"/>
        </w:rPr>
        <w:t xml:space="preserve"> tetrazolium (NBT) stained poplar (</w:t>
      </w:r>
      <w:proofErr w:type="spellStart"/>
      <w:proofErr w:type="gramStart"/>
      <w:r>
        <w:rPr>
          <w:rFonts w:ascii="Times New Roman" w:hAnsi="Times New Roman"/>
          <w:sz w:val="24"/>
          <w:szCs w:val="24"/>
          <w:lang w:val="en-US"/>
        </w:rPr>
        <w:t>e,f</w:t>
      </w:r>
      <w:proofErr w:type="spellEnd"/>
      <w:proofErr w:type="gramEnd"/>
      <w:r>
        <w:rPr>
          <w:rFonts w:ascii="Times New Roman" w:hAnsi="Times New Roman"/>
          <w:sz w:val="24"/>
          <w:szCs w:val="24"/>
          <w:lang w:val="en-US"/>
        </w:rPr>
        <w:t>)</w:t>
      </w:r>
      <w:r>
        <w:rPr>
          <w:rFonts w:ascii="Times New Roman" w:hAnsi="Times New Roman"/>
          <w:b/>
          <w:sz w:val="24"/>
          <w:szCs w:val="24"/>
          <w:lang w:val="en-US"/>
        </w:rPr>
        <w:t xml:space="preserve"> </w:t>
      </w:r>
      <w:r>
        <w:rPr>
          <w:rFonts w:ascii="Times New Roman" w:hAnsi="Times New Roman"/>
          <w:sz w:val="24"/>
          <w:szCs w:val="24"/>
          <w:lang w:val="en-US"/>
        </w:rPr>
        <w:t xml:space="preserve">roots grown under control (e) or 1 µM IAA (f) conditions. </w:t>
      </w:r>
      <w:r>
        <w:rPr>
          <w:rFonts w:ascii="Times New Roman" w:hAnsi="Times New Roman"/>
          <w:b/>
          <w:sz w:val="24"/>
          <w:szCs w:val="24"/>
          <w:lang w:val="en-US"/>
        </w:rPr>
        <w:t>g</w:t>
      </w:r>
      <w:r>
        <w:rPr>
          <w:rFonts w:ascii="Times New Roman" w:hAnsi="Times New Roman"/>
          <w:sz w:val="24"/>
          <w:szCs w:val="24"/>
          <w:lang w:val="en-US"/>
        </w:rPr>
        <w:t>, The NBT stain intensity (pixels area</w:t>
      </w:r>
      <w:r>
        <w:rPr>
          <w:rFonts w:ascii="Times New Roman" w:hAnsi="Times New Roman"/>
          <w:sz w:val="24"/>
          <w:szCs w:val="24"/>
          <w:vertAlign w:val="superscript"/>
          <w:lang w:val="en-US"/>
        </w:rPr>
        <w:t>-1</w:t>
      </w:r>
      <w:r>
        <w:rPr>
          <w:rFonts w:ascii="Times New Roman" w:hAnsi="Times New Roman"/>
          <w:sz w:val="24"/>
          <w:szCs w:val="24"/>
          <w:lang w:val="en-US"/>
        </w:rPr>
        <w:t>*1000) in control (white bars) and in hormone treated plants (black bars) is shown for poplar LR</w:t>
      </w:r>
      <w:bookmarkStart w:id="0" w:name="_GoBack"/>
      <w:bookmarkEnd w:id="0"/>
      <w:r>
        <w:rPr>
          <w:rFonts w:ascii="Times New Roman" w:hAnsi="Times New Roman"/>
          <w:sz w:val="24"/>
          <w:szCs w:val="24"/>
          <w:lang w:val="en-US"/>
        </w:rPr>
        <w:t xml:space="preserve"> tip (i.e. cap, meristematic - and elongation zone) and for middle part (i.e. differentiation zone) of the LR as mean ± se.  Different letters indicate the statistical differences between the treatments by </w:t>
      </w:r>
      <w:r>
        <w:rPr>
          <w:rFonts w:ascii="Times New Roman" w:hAnsi="Times New Roman"/>
          <w:sz w:val="24"/>
          <w:szCs w:val="24"/>
          <w:lang w:val="en-GB"/>
        </w:rPr>
        <w:t xml:space="preserve">Student’s </w:t>
      </w:r>
      <w:r>
        <w:rPr>
          <w:rFonts w:ascii="Times New Roman" w:hAnsi="Times New Roman"/>
          <w:i/>
          <w:sz w:val="24"/>
          <w:szCs w:val="24"/>
          <w:lang w:val="en-GB"/>
        </w:rPr>
        <w:t>t</w:t>
      </w:r>
      <w:r>
        <w:rPr>
          <w:rFonts w:ascii="Times New Roman" w:hAnsi="Times New Roman"/>
          <w:sz w:val="24"/>
          <w:szCs w:val="24"/>
          <w:lang w:val="en-GB"/>
        </w:rPr>
        <w:t xml:space="preserve"> test</w:t>
      </w:r>
      <w:r>
        <w:rPr>
          <w:rFonts w:ascii="Times New Roman" w:hAnsi="Times New Roman"/>
          <w:sz w:val="24"/>
          <w:szCs w:val="24"/>
          <w:lang w:val="en-US"/>
        </w:rPr>
        <w:t xml:space="preserve"> (</w:t>
      </w:r>
      <w:r>
        <w:rPr>
          <w:rFonts w:ascii="Times New Roman" w:hAnsi="Times New Roman"/>
          <w:i/>
          <w:sz w:val="24"/>
          <w:szCs w:val="24"/>
          <w:lang w:val="en-GB"/>
        </w:rPr>
        <w:t>P</w:t>
      </w:r>
      <w:r>
        <w:rPr>
          <w:rFonts w:ascii="Times New Roman" w:hAnsi="Times New Roman"/>
          <w:sz w:val="24"/>
          <w:szCs w:val="24"/>
          <w:lang w:val="en-GB"/>
        </w:rPr>
        <w:t xml:space="preserve"> ≤ 0.001; n = 10; mean ± se</w:t>
      </w:r>
      <w:r>
        <w:rPr>
          <w:rFonts w:ascii="Times New Roman" w:hAnsi="Times New Roman"/>
          <w:sz w:val="24"/>
          <w:szCs w:val="24"/>
          <w:lang w:val="en-US"/>
        </w:rPr>
        <w:t>)</w:t>
      </w:r>
      <w:r>
        <w:rPr>
          <w:rFonts w:ascii="Times New Roman" w:hAnsi="Times New Roman"/>
          <w:sz w:val="24"/>
          <w:szCs w:val="24"/>
          <w:lang w:val="en-GB"/>
        </w:rPr>
        <w:t xml:space="preserve">. </w:t>
      </w:r>
    </w:p>
    <w:p>
      <w:pPr>
        <w:rPr>
          <w:b/>
          <w:lang w:val="en-US"/>
        </w:rPr>
      </w:pPr>
      <w:r>
        <w:rPr>
          <w:lang w:val="en-US"/>
        </w:rPr>
        <w:br w:type="page"/>
      </w:r>
    </w:p>
    <w:p>
      <w:pPr>
        <w:spacing w:after="0" w:line="480" w:lineRule="auto"/>
        <w:rPr>
          <w:rFonts w:ascii="Times New Roman" w:hAnsi="Times New Roman"/>
          <w:sz w:val="24"/>
          <w:szCs w:val="24"/>
          <w:lang w:val="en-GB"/>
        </w:rPr>
      </w:pPr>
      <w:r>
        <w:rPr>
          <w:b/>
          <w:lang w:val="en-US"/>
        </w:rPr>
        <w:lastRenderedPageBreak/>
        <w:t>Supplemental Figure S6</w:t>
      </w:r>
    </w:p>
    <w:p>
      <w:pPr>
        <w:jc w:val="center"/>
      </w:pPr>
      <w:r>
        <w:rPr>
          <w:noProof/>
          <w:lang w:val="en-US"/>
        </w:rPr>
        <w:drawing>
          <wp:inline distT="0" distB="0" distL="0" distR="0">
            <wp:extent cx="2670048" cy="644956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 s6.jpg"/>
                    <pic:cNvPicPr/>
                  </pic:nvPicPr>
                  <pic:blipFill>
                    <a:blip r:embed="rId9">
                      <a:extLst>
                        <a:ext uri="{28A0092B-C50C-407E-A947-70E740481C1C}">
                          <a14:useLocalDpi xmlns:a14="http://schemas.microsoft.com/office/drawing/2010/main" val="0"/>
                        </a:ext>
                      </a:extLst>
                    </a:blip>
                    <a:stretch>
                      <a:fillRect/>
                    </a:stretch>
                  </pic:blipFill>
                  <pic:spPr>
                    <a:xfrm>
                      <a:off x="0" y="0"/>
                      <a:ext cx="2670048" cy="6449568"/>
                    </a:xfrm>
                    <a:prstGeom prst="rect">
                      <a:avLst/>
                    </a:prstGeom>
                  </pic:spPr>
                </pic:pic>
              </a:graphicData>
            </a:graphic>
          </wp:inline>
        </w:drawing>
      </w:r>
    </w:p>
    <w:p>
      <w:pPr>
        <w:spacing w:after="0" w:line="480" w:lineRule="auto"/>
        <w:jc w:val="both"/>
        <w:rPr>
          <w:rFonts w:ascii="Times New Roman" w:hAnsi="Times New Roman"/>
          <w:b/>
          <w:sz w:val="24"/>
          <w:szCs w:val="24"/>
          <w:lang w:val="en-US"/>
        </w:rPr>
      </w:pPr>
      <w:r>
        <w:rPr>
          <w:rFonts w:ascii="Times New Roman" w:hAnsi="Times New Roman"/>
          <w:b/>
          <w:sz w:val="24"/>
          <w:szCs w:val="24"/>
          <w:lang w:val="en-US"/>
        </w:rPr>
        <w:t xml:space="preserve">Supplemental Figure S6: </w:t>
      </w:r>
      <w:r>
        <w:rPr>
          <w:rFonts w:ascii="Times New Roman" w:hAnsi="Times New Roman"/>
          <w:sz w:val="24"/>
          <w:szCs w:val="24"/>
          <w:lang w:val="en-US"/>
        </w:rPr>
        <w:t xml:space="preserve">Effect of different diphenylene iodonium (DPI) concentrations on the root growth of wild type poplar plants. </w:t>
      </w:r>
      <w:r>
        <w:rPr>
          <w:rFonts w:ascii="Times New Roman" w:hAnsi="Times New Roman"/>
          <w:b/>
          <w:sz w:val="24"/>
          <w:szCs w:val="24"/>
          <w:lang w:val="en-US"/>
        </w:rPr>
        <w:t>a-c</w:t>
      </w:r>
      <w:r>
        <w:rPr>
          <w:rFonts w:ascii="Times New Roman" w:hAnsi="Times New Roman"/>
          <w:sz w:val="24"/>
          <w:szCs w:val="24"/>
          <w:lang w:val="en-US"/>
        </w:rPr>
        <w:t>, Primary root (PR) length (a), lateral root (LR) number (b) and LR PR length</w:t>
      </w:r>
      <w:r>
        <w:rPr>
          <w:rFonts w:ascii="Times New Roman" w:hAnsi="Times New Roman"/>
          <w:sz w:val="24"/>
          <w:szCs w:val="24"/>
          <w:vertAlign w:val="superscript"/>
          <w:lang w:val="en-US"/>
        </w:rPr>
        <w:t>-1</w:t>
      </w:r>
      <w:r>
        <w:rPr>
          <w:rFonts w:ascii="Times New Roman" w:hAnsi="Times New Roman"/>
          <w:sz w:val="24"/>
          <w:szCs w:val="24"/>
          <w:lang w:val="en-US"/>
        </w:rPr>
        <w:t xml:space="preserve"> (c) is shown as mean ± se when the plants are treated with 0.0 (yellow), 0.1 (orange), 0.5 (brown) or 1.0 µM (red) DPI. Asterisks indicate the statistical differences between the treatments by One way ANOVA and Fischer LSD test (**</w:t>
      </w:r>
      <w:r>
        <w:rPr>
          <w:rFonts w:ascii="Times New Roman" w:hAnsi="Times New Roman"/>
          <w:i/>
          <w:sz w:val="24"/>
          <w:szCs w:val="24"/>
          <w:lang w:val="en-GB"/>
        </w:rPr>
        <w:t>P</w:t>
      </w:r>
      <w:r>
        <w:rPr>
          <w:rFonts w:ascii="Times New Roman" w:hAnsi="Times New Roman"/>
          <w:sz w:val="24"/>
          <w:szCs w:val="24"/>
          <w:lang w:val="en-GB"/>
        </w:rPr>
        <w:t xml:space="preserve"> ≤ 0.01, *</w:t>
      </w:r>
      <w:r>
        <w:rPr>
          <w:rFonts w:ascii="Times New Roman" w:hAnsi="Times New Roman"/>
          <w:i/>
          <w:sz w:val="24"/>
          <w:szCs w:val="24"/>
          <w:lang w:val="en-GB"/>
        </w:rPr>
        <w:t>P</w:t>
      </w:r>
      <w:r>
        <w:rPr>
          <w:rFonts w:ascii="Times New Roman" w:hAnsi="Times New Roman"/>
          <w:sz w:val="24"/>
          <w:szCs w:val="24"/>
          <w:lang w:val="en-GB"/>
        </w:rPr>
        <w:t xml:space="preserve"> &lt; 0.05, (</w:t>
      </w:r>
      <w:proofErr w:type="gramStart"/>
      <w:r>
        <w:rPr>
          <w:rFonts w:ascii="Times New Roman" w:hAnsi="Times New Roman"/>
          <w:sz w:val="24"/>
          <w:szCs w:val="24"/>
          <w:lang w:val="en-GB"/>
        </w:rPr>
        <w:t>*)</w:t>
      </w:r>
      <w:r>
        <w:rPr>
          <w:rFonts w:ascii="Times New Roman" w:hAnsi="Times New Roman"/>
          <w:i/>
          <w:sz w:val="24"/>
          <w:szCs w:val="24"/>
          <w:lang w:val="en-GB"/>
        </w:rPr>
        <w:t>P</w:t>
      </w:r>
      <w:proofErr w:type="gramEnd"/>
      <w:r>
        <w:rPr>
          <w:rFonts w:ascii="Times New Roman" w:hAnsi="Times New Roman"/>
          <w:sz w:val="24"/>
          <w:szCs w:val="24"/>
          <w:lang w:val="en-GB"/>
        </w:rPr>
        <w:t xml:space="preserve"> = 0.05; only highest and lowest DPI concentration show significance</w:t>
      </w:r>
      <w:r>
        <w:rPr>
          <w:rFonts w:ascii="Times New Roman" w:hAnsi="Times New Roman"/>
          <w:sz w:val="24"/>
          <w:szCs w:val="24"/>
          <w:lang w:val="en-US"/>
        </w:rPr>
        <w:t xml:space="preserve">; </w:t>
      </w:r>
      <w:r>
        <w:rPr>
          <w:rFonts w:ascii="Times New Roman" w:hAnsi="Times New Roman"/>
          <w:sz w:val="24"/>
          <w:szCs w:val="24"/>
          <w:lang w:val="en-GB"/>
        </w:rPr>
        <w:t xml:space="preserve">mean ± se, </w:t>
      </w:r>
      <w:r>
        <w:rPr>
          <w:rFonts w:ascii="Times New Roman" w:hAnsi="Times New Roman"/>
          <w:sz w:val="24"/>
          <w:szCs w:val="24"/>
          <w:lang w:val="en-US"/>
        </w:rPr>
        <w:t>n = 12 ± 2) .</w:t>
      </w:r>
    </w:p>
    <w:p>
      <w:pPr>
        <w:spacing w:after="0" w:line="480" w:lineRule="auto"/>
        <w:jc w:val="both"/>
        <w:rPr>
          <w:b/>
          <w:lang w:val="en-US"/>
        </w:rPr>
      </w:pPr>
    </w:p>
    <w:sectPr>
      <w:pgSz w:w="11906" w:h="16838"/>
      <w:pgMar w:top="1021" w:right="1021" w:bottom="964" w:left="96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5:docId w15:val="{71FA0503-008E-4A66-B443-795A27ED40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276" w:lineRule="auto"/>
    </w:pPr>
    <w:rPr>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link w:val="BalloonText"/>
    <w:uiPriority w:val="99"/>
    <w:semiHidden/>
    <w:rPr>
      <w:rFonts w:ascii="Tahoma" w:hAnsi="Tahoma" w:cs="Tahoma"/>
      <w:sz w:val="16"/>
      <w:szCs w:val="16"/>
      <w:lang w:eastAsia="en-US"/>
    </w:rPr>
  </w:style>
  <w:style w:type="character" w:customStyle="1" w:styleId="st">
    <w:name w:val="s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g"/><Relationship Id="rId3" Type="http://schemas.openxmlformats.org/officeDocument/2006/relationships/webSettings" Target="webSettings.xml"/><Relationship Id="rId7" Type="http://schemas.openxmlformats.org/officeDocument/2006/relationships/image" Target="media/image4.ti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11" Type="http://schemas.openxmlformats.org/officeDocument/2006/relationships/theme" Target="theme/theme1.xml"/><Relationship Id="rId5" Type="http://schemas.openxmlformats.org/officeDocument/2006/relationships/image" Target="media/image2.jpg"/><Relationship Id="rId10" Type="http://schemas.openxmlformats.org/officeDocument/2006/relationships/fontTable" Target="fontTable.xml"/><Relationship Id="rId4" Type="http://schemas.openxmlformats.org/officeDocument/2006/relationships/image" Target="media/image1.jpg"/><Relationship Id="rId9" Type="http://schemas.openxmlformats.org/officeDocument/2006/relationships/image" Target="media/image6.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50</TotalTime>
  <Pages>7</Pages>
  <Words>619</Words>
  <Characters>3531</Characters>
  <Application>Microsoft Office Word</Application>
  <DocSecurity>0</DocSecurity>
  <Lines>29</Lines>
  <Paragraphs>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Helmholtz Zentrum München</Company>
  <LinksUpToDate>false</LinksUpToDate>
  <CharactersWithSpaces>4142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maaria.rosenkranz</dc:creator>
  <cp:lastModifiedBy>maaria.rosenkranz</cp:lastModifiedBy>
  <cp:revision>4</cp:revision>
  <cp:lastPrinted>2019-11-18T12:55:00Z</cp:lastPrinted>
  <dcterms:created xsi:type="dcterms:W3CDTF">2020-05-28T14:19:00Z</dcterms:created>
  <dcterms:modified xsi:type="dcterms:W3CDTF">2020-05-30T10:06:00Z</dcterms:modified>
</cp:coreProperties>
</file>