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eastAsia="Calibri"/>
          <w:lang w:val="en-US" w:eastAsia="en-US"/>
        </w:rPr>
      </w:pPr>
      <w:r>
        <w:rPr>
          <w:b/>
        </w:rPr>
        <w:t>Supplementary table 1.</w:t>
      </w:r>
      <w:r>
        <w:t xml:space="preserve"> Odds ratios [95% confidence intervals] of stillbirth rates by Bavarian Index of Multiple Deprivation (BIMD) quintiles after exclusion of one major birth clinic with unusually high rates of stillbirths, unadjusted and adjusted for offspring’s sex, multiple delivery, maternal age &gt; 35 years, diabetes during pregnancy, maternal overweight, excessive gestational weight gain, migration background, single mother status, parity, maternal smoking during pregnancy, substandard use of antenatal care, living in a city (&gt;100,000 inhabitants) and year of birth. Significant associations (p&lt;0.05) are shown in boldface.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2552"/>
        <w:gridCol w:w="2977"/>
      </w:tblGrid>
      <w:tr>
        <w:tc>
          <w:tcPr>
            <w:tcW w:w="4531" w:type="dxa"/>
            <w:tcBorders>
              <w:top w:val="single" w:sz="4" w:space="0" w:color="auto"/>
              <w:left w:val="single" w:sz="4" w:space="0" w:color="auto"/>
              <w:bottom w:val="single" w:sz="4" w:space="0" w:color="auto"/>
              <w:right w:val="single" w:sz="4" w:space="0" w:color="auto"/>
            </w:tcBorders>
            <w:hideMark/>
          </w:tcPr>
          <w:p>
            <w:pPr>
              <w:rPr>
                <w:b/>
              </w:rPr>
            </w:pPr>
            <w:r>
              <w:rPr>
                <w:b/>
              </w:rPr>
              <w:t>BIMD</w:t>
            </w:r>
          </w:p>
        </w:tc>
        <w:tc>
          <w:tcPr>
            <w:tcW w:w="2552" w:type="dxa"/>
            <w:tcBorders>
              <w:top w:val="single" w:sz="4" w:space="0" w:color="auto"/>
              <w:left w:val="single" w:sz="4" w:space="0" w:color="auto"/>
              <w:bottom w:val="single" w:sz="4" w:space="0" w:color="auto"/>
              <w:right w:val="single" w:sz="4" w:space="0" w:color="auto"/>
            </w:tcBorders>
            <w:hideMark/>
          </w:tcPr>
          <w:p>
            <w:pPr>
              <w:rPr>
                <w:rFonts w:eastAsia="Calibri"/>
                <w:b/>
              </w:rPr>
            </w:pPr>
            <w:r>
              <w:rPr>
                <w:b/>
              </w:rPr>
              <w:t>Stillbirth, crude</w:t>
            </w:r>
          </w:p>
        </w:tc>
        <w:tc>
          <w:tcPr>
            <w:tcW w:w="2977" w:type="dxa"/>
            <w:tcBorders>
              <w:top w:val="single" w:sz="4" w:space="0" w:color="auto"/>
              <w:left w:val="single" w:sz="4" w:space="0" w:color="auto"/>
              <w:bottom w:val="single" w:sz="4" w:space="0" w:color="auto"/>
              <w:right w:val="single" w:sz="4" w:space="0" w:color="auto"/>
            </w:tcBorders>
            <w:hideMark/>
          </w:tcPr>
          <w:p>
            <w:pPr>
              <w:rPr>
                <w:rFonts w:eastAsia="Calibri"/>
                <w:b/>
              </w:rPr>
            </w:pPr>
            <w:r>
              <w:rPr>
                <w:b/>
              </w:rPr>
              <w:t>Stillbirth, adjusted</w:t>
            </w:r>
          </w:p>
        </w:tc>
      </w:tr>
      <w:tr>
        <w:tc>
          <w:tcPr>
            <w:tcW w:w="4531" w:type="dxa"/>
            <w:tcBorders>
              <w:top w:val="single" w:sz="4" w:space="0" w:color="auto"/>
              <w:left w:val="single" w:sz="4" w:space="0" w:color="auto"/>
              <w:bottom w:val="single" w:sz="4" w:space="0" w:color="auto"/>
              <w:right w:val="single" w:sz="4" w:space="0" w:color="auto"/>
            </w:tcBorders>
            <w:hideMark/>
          </w:tcPr>
          <w:p>
            <w:r>
              <w:t>Quintile 1 (least deprived)</w:t>
            </w:r>
          </w:p>
        </w:tc>
        <w:tc>
          <w:tcPr>
            <w:tcW w:w="2552" w:type="dxa"/>
            <w:tcBorders>
              <w:top w:val="single" w:sz="4" w:space="0" w:color="auto"/>
              <w:left w:val="single" w:sz="4" w:space="0" w:color="auto"/>
              <w:bottom w:val="single" w:sz="4" w:space="0" w:color="auto"/>
              <w:right w:val="single" w:sz="4" w:space="0" w:color="auto"/>
            </w:tcBorders>
            <w:hideMark/>
          </w:tcPr>
          <w:p>
            <w:pPr>
              <w:rPr>
                <w:rFonts w:eastAsia="Calibri"/>
              </w:rPr>
            </w:pPr>
            <w:r>
              <w:t>Reference</w:t>
            </w:r>
          </w:p>
        </w:tc>
        <w:tc>
          <w:tcPr>
            <w:tcW w:w="2977" w:type="dxa"/>
            <w:tcBorders>
              <w:top w:val="single" w:sz="4" w:space="0" w:color="auto"/>
              <w:left w:val="single" w:sz="4" w:space="0" w:color="auto"/>
              <w:bottom w:val="single" w:sz="4" w:space="0" w:color="auto"/>
              <w:right w:val="single" w:sz="4" w:space="0" w:color="auto"/>
            </w:tcBorders>
            <w:hideMark/>
          </w:tcPr>
          <w:p>
            <w:pPr>
              <w:rPr>
                <w:rFonts w:eastAsia="Calibri"/>
              </w:rPr>
            </w:pPr>
            <w:r>
              <w:t>Reference</w:t>
            </w:r>
          </w:p>
        </w:tc>
      </w:tr>
      <w:tr>
        <w:tc>
          <w:tcPr>
            <w:tcW w:w="4531" w:type="dxa"/>
            <w:tcBorders>
              <w:top w:val="single" w:sz="4" w:space="0" w:color="auto"/>
              <w:left w:val="single" w:sz="4" w:space="0" w:color="auto"/>
              <w:bottom w:val="single" w:sz="4" w:space="0" w:color="auto"/>
              <w:right w:val="single" w:sz="4" w:space="0" w:color="auto"/>
            </w:tcBorders>
            <w:hideMark/>
          </w:tcPr>
          <w:p>
            <w:r>
              <w:t>Quintile 2</w:t>
            </w:r>
          </w:p>
        </w:tc>
        <w:tc>
          <w:tcPr>
            <w:tcW w:w="2552" w:type="dxa"/>
            <w:tcBorders>
              <w:top w:val="single" w:sz="4" w:space="0" w:color="auto"/>
              <w:left w:val="single" w:sz="4" w:space="0" w:color="auto"/>
              <w:bottom w:val="single" w:sz="4" w:space="0" w:color="auto"/>
              <w:right w:val="single" w:sz="4" w:space="0" w:color="auto"/>
            </w:tcBorders>
          </w:tcPr>
          <w:p>
            <w:pPr>
              <w:rPr>
                <w:rFonts w:eastAsia="Calibri"/>
              </w:rPr>
            </w:pPr>
            <w:r>
              <w:rPr>
                <w:rFonts w:eastAsia="Calibri"/>
              </w:rPr>
              <w:t>1.01 [0.90, 1.13]</w:t>
            </w:r>
          </w:p>
        </w:tc>
        <w:tc>
          <w:tcPr>
            <w:tcW w:w="2977" w:type="dxa"/>
            <w:tcBorders>
              <w:top w:val="single" w:sz="4" w:space="0" w:color="auto"/>
              <w:left w:val="single" w:sz="4" w:space="0" w:color="auto"/>
              <w:bottom w:val="single" w:sz="4" w:space="0" w:color="auto"/>
              <w:right w:val="single" w:sz="4" w:space="0" w:color="auto"/>
            </w:tcBorders>
          </w:tcPr>
          <w:p>
            <w:pPr>
              <w:rPr>
                <w:rFonts w:eastAsia="Calibri"/>
              </w:rPr>
            </w:pPr>
            <w:r>
              <w:rPr>
                <w:rFonts w:eastAsia="Calibri"/>
              </w:rPr>
              <w:t>0.89 [0.77, 1.03]</w:t>
            </w:r>
          </w:p>
        </w:tc>
      </w:tr>
      <w:tr>
        <w:tc>
          <w:tcPr>
            <w:tcW w:w="4531" w:type="dxa"/>
            <w:tcBorders>
              <w:top w:val="single" w:sz="4" w:space="0" w:color="auto"/>
              <w:left w:val="single" w:sz="4" w:space="0" w:color="auto"/>
              <w:bottom w:val="single" w:sz="4" w:space="0" w:color="auto"/>
              <w:right w:val="single" w:sz="4" w:space="0" w:color="auto"/>
            </w:tcBorders>
            <w:hideMark/>
          </w:tcPr>
          <w:p>
            <w:r>
              <w:t>Quintile 3</w:t>
            </w:r>
          </w:p>
        </w:tc>
        <w:tc>
          <w:tcPr>
            <w:tcW w:w="2552" w:type="dxa"/>
            <w:tcBorders>
              <w:top w:val="single" w:sz="4" w:space="0" w:color="auto"/>
              <w:left w:val="single" w:sz="4" w:space="0" w:color="auto"/>
              <w:bottom w:val="single" w:sz="4" w:space="0" w:color="auto"/>
              <w:right w:val="single" w:sz="4" w:space="0" w:color="auto"/>
            </w:tcBorders>
          </w:tcPr>
          <w:p>
            <w:pPr>
              <w:rPr>
                <w:rFonts w:eastAsia="Calibri"/>
              </w:rPr>
            </w:pPr>
            <w:r>
              <w:rPr>
                <w:rFonts w:eastAsia="Calibri"/>
              </w:rPr>
              <w:t>0.90 [0.78, 1.03]</w:t>
            </w:r>
          </w:p>
        </w:tc>
        <w:tc>
          <w:tcPr>
            <w:tcW w:w="2977" w:type="dxa"/>
            <w:tcBorders>
              <w:top w:val="single" w:sz="4" w:space="0" w:color="auto"/>
              <w:left w:val="single" w:sz="4" w:space="0" w:color="auto"/>
              <w:bottom w:val="single" w:sz="4" w:space="0" w:color="auto"/>
              <w:right w:val="single" w:sz="4" w:space="0" w:color="auto"/>
            </w:tcBorders>
          </w:tcPr>
          <w:p>
            <w:pPr>
              <w:rPr>
                <w:rFonts w:eastAsia="Calibri"/>
                <w:b/>
              </w:rPr>
            </w:pPr>
            <w:r>
              <w:rPr>
                <w:rFonts w:eastAsia="Calibri"/>
                <w:b/>
              </w:rPr>
              <w:t>0.84 [0.72, 0.99]</w:t>
            </w:r>
          </w:p>
        </w:tc>
      </w:tr>
      <w:tr>
        <w:trPr>
          <w:trHeight w:val="70"/>
        </w:trPr>
        <w:tc>
          <w:tcPr>
            <w:tcW w:w="4531" w:type="dxa"/>
            <w:tcBorders>
              <w:top w:val="single" w:sz="4" w:space="0" w:color="auto"/>
              <w:left w:val="single" w:sz="4" w:space="0" w:color="auto"/>
              <w:bottom w:val="single" w:sz="4" w:space="0" w:color="auto"/>
              <w:right w:val="single" w:sz="4" w:space="0" w:color="auto"/>
            </w:tcBorders>
            <w:hideMark/>
          </w:tcPr>
          <w:p>
            <w:r>
              <w:t>Quintile 4</w:t>
            </w:r>
          </w:p>
        </w:tc>
        <w:tc>
          <w:tcPr>
            <w:tcW w:w="2552" w:type="dxa"/>
            <w:tcBorders>
              <w:top w:val="single" w:sz="4" w:space="0" w:color="auto"/>
              <w:left w:val="single" w:sz="4" w:space="0" w:color="auto"/>
              <w:bottom w:val="single" w:sz="4" w:space="0" w:color="auto"/>
              <w:right w:val="single" w:sz="4" w:space="0" w:color="auto"/>
            </w:tcBorders>
          </w:tcPr>
          <w:p>
            <w:pPr>
              <w:rPr>
                <w:rFonts w:eastAsia="Calibri"/>
              </w:rPr>
            </w:pPr>
            <w:r>
              <w:rPr>
                <w:rFonts w:eastAsia="Calibri"/>
              </w:rPr>
              <w:t>0.95 [0.83, 1.09]</w:t>
            </w:r>
          </w:p>
        </w:tc>
        <w:tc>
          <w:tcPr>
            <w:tcW w:w="2977" w:type="dxa"/>
            <w:tcBorders>
              <w:top w:val="single" w:sz="4" w:space="0" w:color="auto"/>
              <w:left w:val="single" w:sz="4" w:space="0" w:color="auto"/>
              <w:bottom w:val="single" w:sz="4" w:space="0" w:color="auto"/>
              <w:right w:val="single" w:sz="4" w:space="0" w:color="auto"/>
            </w:tcBorders>
          </w:tcPr>
          <w:p>
            <w:pPr>
              <w:rPr>
                <w:rFonts w:eastAsia="Calibri"/>
              </w:rPr>
            </w:pPr>
            <w:r>
              <w:rPr>
                <w:rFonts w:eastAsia="Calibri"/>
              </w:rPr>
              <w:t>0.86 [0.73, 1.01]</w:t>
            </w:r>
          </w:p>
        </w:tc>
      </w:tr>
      <w:tr>
        <w:tc>
          <w:tcPr>
            <w:tcW w:w="4531" w:type="dxa"/>
            <w:tcBorders>
              <w:top w:val="single" w:sz="4" w:space="0" w:color="auto"/>
              <w:left w:val="single" w:sz="4" w:space="0" w:color="auto"/>
              <w:bottom w:val="single" w:sz="4" w:space="0" w:color="auto"/>
              <w:right w:val="single" w:sz="4" w:space="0" w:color="auto"/>
            </w:tcBorders>
            <w:hideMark/>
          </w:tcPr>
          <w:p>
            <w:r>
              <w:t xml:space="preserve">Quintile 5 </w:t>
            </w:r>
          </w:p>
        </w:tc>
        <w:tc>
          <w:tcPr>
            <w:tcW w:w="2552" w:type="dxa"/>
            <w:tcBorders>
              <w:top w:val="single" w:sz="4" w:space="0" w:color="auto"/>
              <w:left w:val="single" w:sz="4" w:space="0" w:color="auto"/>
              <w:bottom w:val="single" w:sz="4" w:space="0" w:color="auto"/>
              <w:right w:val="single" w:sz="4" w:space="0" w:color="auto"/>
            </w:tcBorders>
          </w:tcPr>
          <w:p>
            <w:pPr>
              <w:rPr>
                <w:rFonts w:eastAsia="Calibri"/>
              </w:rPr>
            </w:pPr>
            <w:r>
              <w:rPr>
                <w:rFonts w:eastAsia="Calibri"/>
              </w:rPr>
              <w:t>1.06 [0.93, 1.21]</w:t>
            </w:r>
          </w:p>
        </w:tc>
        <w:tc>
          <w:tcPr>
            <w:tcW w:w="2977" w:type="dxa"/>
            <w:tcBorders>
              <w:top w:val="single" w:sz="4" w:space="0" w:color="auto"/>
              <w:left w:val="single" w:sz="4" w:space="0" w:color="auto"/>
              <w:bottom w:val="single" w:sz="4" w:space="0" w:color="auto"/>
              <w:right w:val="single" w:sz="4" w:space="0" w:color="auto"/>
            </w:tcBorders>
          </w:tcPr>
          <w:p>
            <w:pPr>
              <w:rPr>
                <w:rFonts w:eastAsia="Calibri"/>
              </w:rPr>
            </w:pPr>
            <w:r>
              <w:rPr>
                <w:rFonts w:eastAsia="Calibri"/>
              </w:rPr>
              <w:t>0.89 [0.76, 1.05]</w:t>
            </w:r>
          </w:p>
        </w:tc>
      </w:tr>
      <w:tr>
        <w:tc>
          <w:tcPr>
            <w:tcW w:w="4531" w:type="dxa"/>
            <w:tcBorders>
              <w:top w:val="single" w:sz="4" w:space="0" w:color="auto"/>
              <w:left w:val="single" w:sz="4" w:space="0" w:color="auto"/>
              <w:bottom w:val="single" w:sz="4" w:space="0" w:color="auto"/>
              <w:right w:val="single" w:sz="4" w:space="0" w:color="auto"/>
            </w:tcBorders>
          </w:tcPr>
          <w:p>
            <w:r>
              <w:t>Overall trend (linear increase per quintile)</w:t>
            </w:r>
          </w:p>
        </w:tc>
        <w:tc>
          <w:tcPr>
            <w:tcW w:w="2552" w:type="dxa"/>
            <w:tcBorders>
              <w:top w:val="single" w:sz="4" w:space="0" w:color="auto"/>
              <w:left w:val="single" w:sz="4" w:space="0" w:color="auto"/>
              <w:bottom w:val="single" w:sz="4" w:space="0" w:color="auto"/>
              <w:right w:val="single" w:sz="4" w:space="0" w:color="auto"/>
            </w:tcBorders>
          </w:tcPr>
          <w:p>
            <w:r>
              <w:t>1.00 [0.98, 1.03]</w:t>
            </w:r>
          </w:p>
        </w:tc>
        <w:tc>
          <w:tcPr>
            <w:tcW w:w="2977" w:type="dxa"/>
            <w:tcBorders>
              <w:top w:val="single" w:sz="4" w:space="0" w:color="auto"/>
              <w:left w:val="single" w:sz="4" w:space="0" w:color="auto"/>
              <w:bottom w:val="single" w:sz="4" w:space="0" w:color="auto"/>
              <w:right w:val="single" w:sz="4" w:space="0" w:color="auto"/>
            </w:tcBorders>
          </w:tcPr>
          <w:p>
            <w:r>
              <w:t>0.97 [0.94, 1.01]</w:t>
            </w:r>
          </w:p>
        </w:tc>
      </w:tr>
    </w:tbl>
    <w:p>
      <w:bookmarkStart w:id="0" w:name="_GoBack"/>
      <w:bookmarkEnd w:id="0"/>
    </w:p>
    <w:sectPr>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chartTrackingRefBased/>
  <w15:docId w15:val="{9D375A20-8E38-420A-B053-3358EAFE7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uppressAutoHyphens/>
      <w:spacing w:after="0" w:line="480" w:lineRule="auto"/>
      <w:jc w:val="both"/>
    </w:pPr>
    <w:rPr>
      <w:rFonts w:ascii="Times New Roman" w:eastAsia="Times New Roman" w:hAnsi="Times New Roman" w:cs="Times New Roman"/>
      <w:sz w:val="24"/>
      <w:szCs w:val="24"/>
      <w:lang w:val="en-GB"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150</Words>
  <Characters>856</Characters>
  <Application>Microsoft Office Word</Application>
  <DocSecurity>0</DocSecurity>
  <Lines>7</Lines>
  <Paragraphs>2</Paragraphs>
  <ScaleCrop>false</ScaleCrop>
  <Company>Helmholtz Zentrum München</Company>
  <LinksUpToDate>false</LinksUpToDate>
  <CharactersWithSpaces>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Beyerlein, Andreas, PD Dr.</dc:creator>
  <cp:keywords/>
  <dc:description/>
  <cp:lastModifiedBy>Beyerlein, Andreas, PD Dr.</cp:lastModifiedBy>
  <cp:revision>2</cp:revision>
  <dcterms:created xsi:type="dcterms:W3CDTF">2019-10-24T12:10:00Z</dcterms:created>
  <dcterms:modified xsi:type="dcterms:W3CDTF">2019-10-24T12:11:00Z</dcterms:modified>
</cp:coreProperties>
</file>