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FFC77" w14:textId="77777777" w:rsidR="00F727D2" w:rsidRPr="00A50C0C" w:rsidRDefault="002A2133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sz w:val="24"/>
          <w:szCs w:val="24"/>
          <w:lang w:val="en-US"/>
        </w:rPr>
        <w:t>Light sheet fluorescence microscopy guided MALDI-imaging mass spectrometry of cleared tissue samples</w:t>
      </w:r>
    </w:p>
    <w:p w14:paraId="16754EB4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D591154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50C0C">
        <w:rPr>
          <w:rFonts w:ascii="Arial" w:hAnsi="Arial" w:cs="Arial"/>
          <w:sz w:val="24"/>
          <w:szCs w:val="24"/>
          <w:lang w:val="en-US"/>
        </w:rPr>
        <w:t>Andreas</w:t>
      </w:r>
      <w:r w:rsidRPr="00A50C0C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A50C0C">
        <w:rPr>
          <w:rFonts w:ascii="Arial" w:hAnsi="Arial" w:cs="Arial"/>
          <w:sz w:val="24"/>
          <w:szCs w:val="24"/>
          <w:lang w:val="en-US"/>
        </w:rPr>
        <w:t>Blutke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A50C0C">
        <w:rPr>
          <w:rFonts w:ascii="Arial" w:hAnsi="Arial" w:cs="Arial"/>
          <w:sz w:val="24"/>
          <w:szCs w:val="24"/>
          <w:lang w:val="en-US"/>
        </w:rPr>
        <w:t>, Na Sun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A50C0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A50C0C">
        <w:rPr>
          <w:rFonts w:ascii="Arial" w:hAnsi="Arial" w:cs="Arial"/>
          <w:sz w:val="24"/>
          <w:szCs w:val="24"/>
          <w:lang w:val="en-US"/>
        </w:rPr>
        <w:t>Zhihao</w:t>
      </w:r>
      <w:proofErr w:type="spellEnd"/>
      <w:r w:rsidRPr="00A50C0C">
        <w:rPr>
          <w:rFonts w:ascii="Arial" w:hAnsi="Arial" w:cs="Arial"/>
          <w:sz w:val="24"/>
          <w:szCs w:val="24"/>
          <w:lang w:val="en-US"/>
        </w:rPr>
        <w:t xml:space="preserve"> Xu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A50C0C">
        <w:rPr>
          <w:rFonts w:ascii="Arial" w:hAnsi="Arial" w:cs="Arial"/>
          <w:sz w:val="24"/>
          <w:szCs w:val="24"/>
          <w:lang w:val="en-US"/>
        </w:rPr>
        <w:t>, Achim Buck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A50C0C">
        <w:rPr>
          <w:rFonts w:ascii="Arial" w:hAnsi="Arial" w:cs="Arial"/>
          <w:sz w:val="24"/>
          <w:szCs w:val="24"/>
          <w:lang w:val="en-US"/>
        </w:rPr>
        <w:t>, Luke Harrison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2,3,4,5</w:t>
      </w:r>
      <w:r w:rsidRPr="00A50C0C">
        <w:rPr>
          <w:rFonts w:ascii="Arial" w:hAnsi="Arial" w:cs="Arial"/>
          <w:sz w:val="24"/>
          <w:szCs w:val="24"/>
          <w:lang w:val="en-US"/>
        </w:rPr>
        <w:t>, Sonja C. Schriever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2,3,4</w:t>
      </w:r>
      <w:r w:rsidRPr="00A50C0C">
        <w:rPr>
          <w:rFonts w:ascii="Arial" w:hAnsi="Arial" w:cs="Arial"/>
          <w:sz w:val="24"/>
          <w:szCs w:val="24"/>
          <w:lang w:val="en-US"/>
        </w:rPr>
        <w:t>, Paul T. Pfluger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2,3,4</w:t>
      </w:r>
      <w:r w:rsidRPr="00A50C0C">
        <w:rPr>
          <w:rFonts w:ascii="Arial" w:hAnsi="Arial" w:cs="Arial"/>
          <w:sz w:val="24"/>
          <w:szCs w:val="24"/>
          <w:lang w:val="en-US"/>
        </w:rPr>
        <w:t>, David Wiles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6</w:t>
      </w:r>
      <w:r w:rsidRPr="00A50C0C">
        <w:rPr>
          <w:rFonts w:ascii="Arial" w:hAnsi="Arial" w:cs="Arial"/>
          <w:sz w:val="24"/>
          <w:szCs w:val="24"/>
          <w:lang w:val="en-US"/>
        </w:rPr>
        <w:t>, Thomas Kunzke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A50C0C">
        <w:rPr>
          <w:rFonts w:ascii="Arial" w:hAnsi="Arial" w:cs="Arial"/>
          <w:sz w:val="24"/>
          <w:szCs w:val="24"/>
          <w:lang w:val="en-US"/>
        </w:rPr>
        <w:t>, Katharina Huber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A50C0C">
        <w:rPr>
          <w:rFonts w:ascii="Arial" w:hAnsi="Arial" w:cs="Arial"/>
          <w:sz w:val="24"/>
          <w:szCs w:val="24"/>
          <w:lang w:val="en-US"/>
        </w:rPr>
        <w:t>, Jürgen Schlegel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7</w:t>
      </w:r>
      <w:r w:rsidRPr="00A50C0C">
        <w:rPr>
          <w:rFonts w:ascii="Arial" w:hAnsi="Arial" w:cs="Arial"/>
          <w:sz w:val="24"/>
          <w:szCs w:val="24"/>
          <w:lang w:val="en-US"/>
        </w:rPr>
        <w:t>, Michaela Aichler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A50C0C">
        <w:rPr>
          <w:rFonts w:ascii="Arial" w:hAnsi="Arial" w:cs="Arial"/>
          <w:sz w:val="24"/>
          <w:szCs w:val="24"/>
          <w:lang w:val="en-US"/>
        </w:rPr>
        <w:t>, Annette Feuchtinger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A50C0C">
        <w:rPr>
          <w:rFonts w:ascii="Arial" w:hAnsi="Arial" w:cs="Arial"/>
          <w:sz w:val="24"/>
          <w:szCs w:val="24"/>
          <w:lang w:val="en-US"/>
        </w:rPr>
        <w:t xml:space="preserve">*, </w:t>
      </w:r>
      <w:proofErr w:type="spellStart"/>
      <w:r w:rsidRPr="00A50C0C">
        <w:rPr>
          <w:rFonts w:ascii="Arial" w:hAnsi="Arial" w:cs="Arial"/>
          <w:sz w:val="24"/>
          <w:szCs w:val="24"/>
          <w:lang w:val="en-US"/>
        </w:rPr>
        <w:t>Kaspar</w:t>
      </w:r>
      <w:proofErr w:type="spellEnd"/>
      <w:r w:rsidRPr="00A50C0C">
        <w:rPr>
          <w:rFonts w:ascii="Arial" w:hAnsi="Arial" w:cs="Arial"/>
          <w:sz w:val="24"/>
          <w:szCs w:val="24"/>
          <w:lang w:val="en-US"/>
        </w:rPr>
        <w:t xml:space="preserve"> Matiasek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8</w:t>
      </w:r>
      <w:r w:rsidRPr="00A50C0C">
        <w:rPr>
          <w:rFonts w:ascii="Arial" w:hAnsi="Arial" w:cs="Arial"/>
          <w:sz w:val="24"/>
          <w:szCs w:val="24"/>
          <w:lang w:val="en-US"/>
        </w:rPr>
        <w:t>, Stefanie M. Hauck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9</w:t>
      </w:r>
      <w:r w:rsidRPr="00A50C0C">
        <w:rPr>
          <w:rFonts w:ascii="Arial" w:hAnsi="Arial" w:cs="Arial"/>
          <w:sz w:val="24"/>
          <w:szCs w:val="24"/>
          <w:lang w:val="en-US"/>
        </w:rPr>
        <w:t>, and Axel Walch</w:t>
      </w:r>
      <w:r w:rsidRPr="00A50C0C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</w:p>
    <w:p w14:paraId="4CFA975C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48D8814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50C0C">
        <w:rPr>
          <w:rFonts w:ascii="Arial" w:hAnsi="Arial" w:cs="Arial"/>
          <w:sz w:val="20"/>
          <w:szCs w:val="20"/>
          <w:vertAlign w:val="superscript"/>
        </w:rPr>
        <w:t>1</w:t>
      </w:r>
      <w:r w:rsidRPr="00A50C0C">
        <w:rPr>
          <w:rFonts w:ascii="Arial" w:hAnsi="Arial" w:cs="Arial"/>
          <w:sz w:val="20"/>
          <w:szCs w:val="20"/>
        </w:rPr>
        <w:t xml:space="preserve">Research Unit Analytical Pathology, Helmholtz Zentrum München, 8576 Neuherberg, Germany </w:t>
      </w:r>
    </w:p>
    <w:p w14:paraId="04AA3113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50C0C">
        <w:rPr>
          <w:rFonts w:ascii="Arial" w:hAnsi="Arial" w:cs="Arial"/>
          <w:sz w:val="20"/>
          <w:szCs w:val="20"/>
          <w:vertAlign w:val="superscript"/>
        </w:rPr>
        <w:t>2</w:t>
      </w:r>
      <w:r w:rsidRPr="00A50C0C">
        <w:rPr>
          <w:rFonts w:ascii="Arial" w:hAnsi="Arial" w:cs="Arial"/>
          <w:sz w:val="20"/>
          <w:szCs w:val="20"/>
        </w:rPr>
        <w:t>Research Unit Neurobiology of Diabetes, Helmholtz Zentrum München, 85764 Neuherberg, Germany</w:t>
      </w:r>
    </w:p>
    <w:p w14:paraId="10295629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50C0C">
        <w:rPr>
          <w:rFonts w:ascii="Arial" w:hAnsi="Arial" w:cs="Arial"/>
          <w:sz w:val="20"/>
          <w:szCs w:val="20"/>
          <w:vertAlign w:val="superscript"/>
        </w:rPr>
        <w:t>3</w:t>
      </w:r>
      <w:r w:rsidRPr="00A50C0C">
        <w:rPr>
          <w:rFonts w:ascii="Arial" w:hAnsi="Arial" w:cs="Arial"/>
          <w:sz w:val="20"/>
          <w:szCs w:val="20"/>
        </w:rPr>
        <w:t>Institute for Diabetes and Obesity, Helmholtz Zentrum München, 85764 Neuherberg, Germany</w:t>
      </w:r>
    </w:p>
    <w:p w14:paraId="1CDB1579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50C0C">
        <w:rPr>
          <w:rFonts w:ascii="Arial" w:hAnsi="Arial" w:cs="Arial"/>
          <w:sz w:val="20"/>
          <w:szCs w:val="20"/>
          <w:vertAlign w:val="superscript"/>
        </w:rPr>
        <w:t>4</w:t>
      </w:r>
      <w:r w:rsidRPr="00A50C0C">
        <w:rPr>
          <w:rFonts w:ascii="Arial" w:hAnsi="Arial" w:cs="Arial"/>
          <w:sz w:val="20"/>
          <w:szCs w:val="20"/>
        </w:rPr>
        <w:t>German Center for Diabetes Research (DZD), 85764 Neuherberg, Germany</w:t>
      </w:r>
    </w:p>
    <w:p w14:paraId="1BD38DBD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50C0C">
        <w:rPr>
          <w:rFonts w:ascii="Arial" w:hAnsi="Arial" w:cs="Arial"/>
          <w:sz w:val="20"/>
          <w:szCs w:val="20"/>
          <w:vertAlign w:val="superscript"/>
        </w:rPr>
        <w:t>5</w:t>
      </w:r>
      <w:r w:rsidRPr="00A50C0C">
        <w:rPr>
          <w:rFonts w:ascii="Arial" w:hAnsi="Arial" w:cs="Arial"/>
          <w:sz w:val="20"/>
          <w:szCs w:val="20"/>
        </w:rPr>
        <w:t>Division of Metabolic Diseases, Technische Universität München, 80333 Munich, Germany</w:t>
      </w:r>
    </w:p>
    <w:p w14:paraId="1DF149C7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50C0C">
        <w:rPr>
          <w:rFonts w:ascii="Arial" w:hAnsi="Arial" w:cs="Arial"/>
          <w:sz w:val="20"/>
          <w:szCs w:val="20"/>
          <w:vertAlign w:val="superscript"/>
        </w:rPr>
        <w:t>6</w:t>
      </w:r>
      <w:r w:rsidRPr="00A50C0C">
        <w:rPr>
          <w:rFonts w:ascii="Arial" w:hAnsi="Arial" w:cs="Arial"/>
          <w:sz w:val="20"/>
          <w:szCs w:val="20"/>
        </w:rPr>
        <w:t>arivis AG, 80636 München, Germany</w:t>
      </w:r>
    </w:p>
    <w:p w14:paraId="4CA82106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50C0C">
        <w:rPr>
          <w:rFonts w:ascii="Arial" w:hAnsi="Arial" w:cs="Arial"/>
          <w:sz w:val="20"/>
          <w:szCs w:val="20"/>
          <w:vertAlign w:val="superscript"/>
          <w:lang w:val="en-US"/>
        </w:rPr>
        <w:t>7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Institute for Pathology, Department of Neuropathology, </w:t>
      </w:r>
      <w:proofErr w:type="spellStart"/>
      <w:r w:rsidRPr="00A50C0C">
        <w:rPr>
          <w:rFonts w:ascii="Arial" w:hAnsi="Arial" w:cs="Arial"/>
          <w:sz w:val="20"/>
          <w:szCs w:val="20"/>
          <w:lang w:val="en-US"/>
        </w:rPr>
        <w:t>Technische</w:t>
      </w:r>
      <w:proofErr w:type="spellEnd"/>
      <w:r w:rsidRPr="00A50C0C">
        <w:rPr>
          <w:rFonts w:ascii="Arial" w:hAnsi="Arial" w:cs="Arial"/>
          <w:sz w:val="20"/>
          <w:szCs w:val="20"/>
          <w:lang w:val="en-US"/>
        </w:rPr>
        <w:t xml:space="preserve"> Universität München, 80333 Munich, Germany.</w:t>
      </w:r>
    </w:p>
    <w:p w14:paraId="6907B2D4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A50C0C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Pr="00A50C0C">
        <w:rPr>
          <w:rFonts w:ascii="Arial" w:hAnsi="Arial" w:cs="Arial"/>
          <w:sz w:val="20"/>
          <w:szCs w:val="20"/>
          <w:lang w:val="en-US"/>
        </w:rPr>
        <w:t>Institute for Veterinary Pathology at the Centre for Clinical Veterinary Medicine, Ludwig-</w:t>
      </w:r>
      <w:proofErr w:type="spellStart"/>
      <w:r w:rsidRPr="00A50C0C">
        <w:rPr>
          <w:rFonts w:ascii="Arial" w:hAnsi="Arial" w:cs="Arial"/>
          <w:sz w:val="20"/>
          <w:szCs w:val="20"/>
          <w:lang w:val="en-US"/>
        </w:rPr>
        <w:t>Maximilians</w:t>
      </w:r>
      <w:proofErr w:type="spellEnd"/>
      <w:r w:rsidRPr="00A50C0C">
        <w:rPr>
          <w:rFonts w:ascii="Arial" w:hAnsi="Arial" w:cs="Arial"/>
          <w:sz w:val="20"/>
          <w:szCs w:val="20"/>
          <w:lang w:val="en-US"/>
        </w:rPr>
        <w:t>-Universität München, 80539 Munich, Germany</w:t>
      </w:r>
    </w:p>
    <w:p w14:paraId="67644C13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50C0C">
        <w:rPr>
          <w:rFonts w:ascii="Arial" w:hAnsi="Arial" w:cs="Arial"/>
          <w:sz w:val="20"/>
          <w:szCs w:val="20"/>
          <w:vertAlign w:val="superscript"/>
          <w:lang w:val="en-US"/>
        </w:rPr>
        <w:t>9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Research Unit for Protein Science, Helmholtz </w:t>
      </w:r>
      <w:proofErr w:type="spellStart"/>
      <w:r w:rsidRPr="00A50C0C">
        <w:rPr>
          <w:rFonts w:ascii="Arial" w:hAnsi="Arial" w:cs="Arial"/>
          <w:sz w:val="20"/>
          <w:szCs w:val="20"/>
          <w:lang w:val="en-US"/>
        </w:rPr>
        <w:t>Zentrum</w:t>
      </w:r>
      <w:proofErr w:type="spellEnd"/>
      <w:r w:rsidRPr="00A50C0C">
        <w:rPr>
          <w:rFonts w:ascii="Arial" w:hAnsi="Arial" w:cs="Arial"/>
          <w:sz w:val="20"/>
          <w:szCs w:val="20"/>
          <w:lang w:val="en-US"/>
        </w:rPr>
        <w:t xml:space="preserve"> München, 85764 </w:t>
      </w:r>
      <w:proofErr w:type="spellStart"/>
      <w:r w:rsidRPr="00A50C0C">
        <w:rPr>
          <w:rFonts w:ascii="Arial" w:hAnsi="Arial" w:cs="Arial"/>
          <w:sz w:val="20"/>
          <w:szCs w:val="20"/>
          <w:lang w:val="en-US"/>
        </w:rPr>
        <w:t>Neuherberg</w:t>
      </w:r>
      <w:proofErr w:type="spellEnd"/>
      <w:r w:rsidRPr="00A50C0C">
        <w:rPr>
          <w:rFonts w:ascii="Arial" w:hAnsi="Arial" w:cs="Arial"/>
          <w:sz w:val="20"/>
          <w:szCs w:val="20"/>
          <w:lang w:val="en-US"/>
        </w:rPr>
        <w:t>, Germany</w:t>
      </w:r>
    </w:p>
    <w:p w14:paraId="0DC765AC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594391F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50C0C">
        <w:rPr>
          <w:rFonts w:ascii="Arial" w:hAnsi="Arial" w:cs="Arial"/>
          <w:sz w:val="24"/>
          <w:szCs w:val="24"/>
          <w:lang w:val="en-US"/>
        </w:rPr>
        <w:t>*Corresponding author. Email: annette.feuchtinger@helmholtz-muenchen.de</w:t>
      </w:r>
    </w:p>
    <w:p w14:paraId="12603899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068135C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40"/>
          <w:szCs w:val="40"/>
          <w:lang w:val="en-US"/>
        </w:rPr>
      </w:pPr>
    </w:p>
    <w:p w14:paraId="03BB78BB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40"/>
          <w:szCs w:val="40"/>
          <w:lang w:val="en-US"/>
        </w:rPr>
      </w:pPr>
    </w:p>
    <w:p w14:paraId="4A135C46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40"/>
          <w:szCs w:val="40"/>
          <w:lang w:val="en-US"/>
        </w:rPr>
      </w:pPr>
      <w:r w:rsidRPr="00A50C0C">
        <w:rPr>
          <w:rFonts w:ascii="Arial" w:hAnsi="Arial" w:cs="Arial"/>
          <w:b/>
          <w:sz w:val="40"/>
          <w:szCs w:val="40"/>
          <w:lang w:val="en-US"/>
        </w:rPr>
        <w:t>Supplemental data</w:t>
      </w:r>
    </w:p>
    <w:p w14:paraId="63C7C810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252F777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3EC480D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A9500ED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1516BA7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4B9B9A31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B77304E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684E666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387842A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0E60013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Supplemental Figure 1. </w:t>
      </w:r>
      <w:bookmarkStart w:id="0" w:name="_Hlk36537122"/>
      <w:r w:rsidRPr="00A50C0C">
        <w:rPr>
          <w:rFonts w:ascii="Arial" w:hAnsi="Arial" w:cs="Arial"/>
          <w:b/>
          <w:sz w:val="24"/>
          <w:szCs w:val="24"/>
          <w:lang w:val="en-US"/>
        </w:rPr>
        <w:t>Schematic experimental design and work-flow of Experiment N°1 and Experiment N°2</w:t>
      </w:r>
      <w:bookmarkEnd w:id="0"/>
      <w:r w:rsidRPr="00A50C0C">
        <w:rPr>
          <w:rFonts w:ascii="Arial" w:hAnsi="Arial" w:cs="Arial"/>
          <w:b/>
          <w:sz w:val="24"/>
          <w:szCs w:val="24"/>
          <w:lang w:val="en-US"/>
        </w:rPr>
        <w:t>.</w:t>
      </w:r>
    </w:p>
    <w:p w14:paraId="129D90F4" w14:textId="76D9E89B" w:rsidR="00F727D2" w:rsidRPr="00A50C0C" w:rsidRDefault="00BC641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4F55DE1B" wp14:editId="1D3660D3">
            <wp:extent cx="5733331" cy="4977865"/>
            <wp:effectExtent l="0" t="0" r="127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43" cy="4994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CE8F06" w14:textId="4831FC18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A50C0C">
        <w:rPr>
          <w:rFonts w:ascii="Arial" w:hAnsi="Arial" w:cs="Arial"/>
          <w:b/>
          <w:sz w:val="20"/>
          <w:szCs w:val="20"/>
          <w:lang w:val="en-US"/>
        </w:rPr>
        <w:t xml:space="preserve">Supplemental Figure 1. </w:t>
      </w:r>
      <w:bookmarkStart w:id="1" w:name="_Hlk526666389"/>
      <w:r w:rsidRPr="00A50C0C">
        <w:rPr>
          <w:rFonts w:ascii="Arial" w:hAnsi="Arial" w:cs="Arial"/>
          <w:b/>
          <w:sz w:val="20"/>
          <w:szCs w:val="20"/>
          <w:lang w:val="en-US"/>
        </w:rPr>
        <w:t xml:space="preserve">Schematic experimental designs and work-flows. </w:t>
      </w:r>
      <w:r w:rsidRPr="00A50C0C">
        <w:rPr>
          <w:rFonts w:ascii="Arial" w:hAnsi="Arial" w:cs="Arial"/>
          <w:sz w:val="20"/>
          <w:szCs w:val="20"/>
          <w:lang w:val="en-US"/>
        </w:rPr>
        <w:t>To demonstrate the feasibility of MALDI-MSI on paraffin sections of optically cleared tissue samples, two experiments were performed. In</w:t>
      </w:r>
      <w:r w:rsidRPr="00A50C0C">
        <w:rPr>
          <w:rFonts w:ascii="Arial" w:hAnsi="Arial" w:cs="Arial"/>
          <w:b/>
          <w:sz w:val="20"/>
          <w:szCs w:val="20"/>
          <w:lang w:val="en-US"/>
        </w:rPr>
        <w:t xml:space="preserve"> Experiment N°1</w:t>
      </w:r>
      <w:r w:rsidRPr="00A50C0C">
        <w:rPr>
          <w:rFonts w:ascii="Arial" w:hAnsi="Arial" w:cs="Arial"/>
          <w:sz w:val="20"/>
          <w:szCs w:val="20"/>
          <w:lang w:val="en-US"/>
        </w:rPr>
        <w:t>, a freshly dissected mouse brain was fixed in formaldehyde-free fixation solution (</w:t>
      </w:r>
      <w:proofErr w:type="spellStart"/>
      <w:r w:rsidRPr="00A50C0C">
        <w:rPr>
          <w:rFonts w:ascii="Arial" w:hAnsi="Arial" w:cs="Arial"/>
          <w:sz w:val="20"/>
          <w:szCs w:val="20"/>
          <w:lang w:val="en-US"/>
        </w:rPr>
        <w:t>PaxGene</w:t>
      </w:r>
      <w:proofErr w:type="spellEnd"/>
      <w:r w:rsidRPr="00A50C0C">
        <w:rPr>
          <w:rFonts w:ascii="Arial" w:hAnsi="Arial" w:cs="Arial"/>
          <w:sz w:val="20"/>
          <w:szCs w:val="20"/>
          <w:lang w:val="en-US"/>
        </w:rPr>
        <w:t>) (</w:t>
      </w:r>
      <w:r w:rsidRPr="00A50C0C">
        <w:rPr>
          <w:rFonts w:ascii="Arial" w:hAnsi="Arial" w:cs="Arial"/>
          <w:b/>
          <w:sz w:val="20"/>
          <w:szCs w:val="20"/>
          <w:lang w:val="en-US"/>
        </w:rPr>
        <w:t>a</w:t>
      </w:r>
      <w:r w:rsidRPr="00A50C0C">
        <w:rPr>
          <w:rFonts w:ascii="Arial" w:hAnsi="Arial" w:cs="Arial"/>
          <w:sz w:val="20"/>
          <w:szCs w:val="20"/>
          <w:lang w:val="en-US"/>
        </w:rPr>
        <w:t>), optically cleared (3DISCO) and subjected to light sheet fluorescence microscopy (LSFM) (</w:t>
      </w:r>
      <w:r w:rsidRPr="00A50C0C">
        <w:rPr>
          <w:rFonts w:ascii="Arial" w:hAnsi="Arial" w:cs="Arial"/>
          <w:b/>
          <w:sz w:val="20"/>
          <w:szCs w:val="20"/>
          <w:lang w:val="en-US"/>
        </w:rPr>
        <w:t>b</w:t>
      </w:r>
      <w:r w:rsidRPr="00A50C0C">
        <w:rPr>
          <w:rFonts w:ascii="Arial" w:hAnsi="Arial" w:cs="Arial"/>
          <w:sz w:val="20"/>
          <w:szCs w:val="20"/>
          <w:lang w:val="en-US"/>
        </w:rPr>
        <w:t>). Regions of interest (ROIs) defined by LSFM were dissected from the cleared tissue (</w:t>
      </w:r>
      <w:r w:rsidRPr="00A50C0C">
        <w:rPr>
          <w:rFonts w:ascii="Arial" w:hAnsi="Arial" w:cs="Arial"/>
          <w:b/>
          <w:sz w:val="20"/>
          <w:szCs w:val="20"/>
          <w:lang w:val="en-US"/>
        </w:rPr>
        <w:t>c</w:t>
      </w:r>
      <w:r w:rsidRPr="00A50C0C">
        <w:rPr>
          <w:rFonts w:ascii="Arial" w:hAnsi="Arial" w:cs="Arial"/>
          <w:sz w:val="20"/>
          <w:szCs w:val="20"/>
          <w:lang w:val="en-US"/>
        </w:rPr>
        <w:t>), and embedded in paraffin (</w:t>
      </w:r>
      <w:r w:rsidRPr="00A50C0C">
        <w:rPr>
          <w:rFonts w:ascii="Arial" w:hAnsi="Arial" w:cs="Arial"/>
          <w:b/>
          <w:sz w:val="20"/>
          <w:szCs w:val="20"/>
          <w:lang w:val="en-US"/>
        </w:rPr>
        <w:t>d</w:t>
      </w:r>
      <w:r w:rsidRPr="00A50C0C">
        <w:rPr>
          <w:rFonts w:ascii="Arial" w:hAnsi="Arial" w:cs="Arial"/>
          <w:sz w:val="20"/>
          <w:szCs w:val="20"/>
          <w:lang w:val="en-US"/>
        </w:rPr>
        <w:t>). Paraffin sections were subjected to MALDI-MSI (</w:t>
      </w:r>
      <w:r w:rsidRPr="00A50C0C">
        <w:rPr>
          <w:rFonts w:ascii="Arial" w:hAnsi="Arial" w:cs="Arial"/>
          <w:b/>
          <w:sz w:val="20"/>
          <w:szCs w:val="20"/>
          <w:lang w:val="en-US"/>
        </w:rPr>
        <w:t>e</w:t>
      </w:r>
      <w:r w:rsidRPr="00A50C0C">
        <w:rPr>
          <w:rFonts w:ascii="Arial" w:hAnsi="Arial" w:cs="Arial"/>
          <w:sz w:val="20"/>
          <w:szCs w:val="20"/>
          <w:lang w:val="en-US"/>
        </w:rPr>
        <w:t>) and subsequent HE-staining (</w:t>
      </w:r>
      <w:r w:rsidRPr="00A50C0C">
        <w:rPr>
          <w:rFonts w:ascii="Arial" w:hAnsi="Arial" w:cs="Arial"/>
          <w:b/>
          <w:sz w:val="20"/>
          <w:szCs w:val="20"/>
          <w:lang w:val="en-US"/>
        </w:rPr>
        <w:t>f</w:t>
      </w:r>
      <w:r w:rsidRPr="00A50C0C">
        <w:rPr>
          <w:rFonts w:ascii="Arial" w:hAnsi="Arial" w:cs="Arial"/>
          <w:sz w:val="20"/>
          <w:szCs w:val="20"/>
          <w:lang w:val="en-US"/>
        </w:rPr>
        <w:t>).</w:t>
      </w:r>
      <w:bookmarkEnd w:id="1"/>
      <w:r w:rsidRPr="00A50C0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A50C0C">
        <w:rPr>
          <w:rFonts w:ascii="Arial" w:hAnsi="Arial" w:cs="Arial"/>
          <w:bCs/>
          <w:sz w:val="20"/>
          <w:szCs w:val="20"/>
          <w:lang w:val="en-US"/>
        </w:rPr>
        <w:t>For validation of MALDI-MSI data, proteomic LC-MS/MS analysis was performed on</w:t>
      </w:r>
      <w:r w:rsidRPr="00A50C0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A50C0C">
        <w:rPr>
          <w:rFonts w:ascii="Arial" w:hAnsi="Arial" w:cs="Arial"/>
          <w:bCs/>
          <w:sz w:val="20"/>
          <w:szCs w:val="20"/>
          <w:lang w:val="en-US"/>
        </w:rPr>
        <w:t>additional samples of paraffin-embedded mouse brain tissue (</w:t>
      </w:r>
      <w:r w:rsidRPr="00A50C0C">
        <w:rPr>
          <w:rFonts w:ascii="Arial" w:hAnsi="Arial" w:cs="Arial"/>
          <w:b/>
          <w:sz w:val="20"/>
          <w:szCs w:val="20"/>
          <w:lang w:val="en-US"/>
        </w:rPr>
        <w:t>g</w:t>
      </w:r>
      <w:r w:rsidRPr="00A50C0C">
        <w:rPr>
          <w:rFonts w:ascii="Arial" w:hAnsi="Arial" w:cs="Arial"/>
          <w:bCs/>
          <w:sz w:val="20"/>
          <w:szCs w:val="20"/>
          <w:lang w:val="en-US"/>
        </w:rPr>
        <w:t xml:space="preserve">). </w:t>
      </w:r>
      <w:r w:rsidRPr="00A50C0C">
        <w:rPr>
          <w:rFonts w:ascii="Arial" w:hAnsi="Arial" w:cs="Arial"/>
          <w:sz w:val="20"/>
          <w:szCs w:val="20"/>
          <w:lang w:val="en-US"/>
        </w:rPr>
        <w:t>For</w:t>
      </w:r>
      <w:r w:rsidRPr="00A50C0C">
        <w:rPr>
          <w:rFonts w:ascii="Arial" w:hAnsi="Arial" w:cs="Arial"/>
          <w:b/>
          <w:sz w:val="20"/>
          <w:szCs w:val="20"/>
          <w:lang w:val="en-US"/>
        </w:rPr>
        <w:t xml:space="preserve"> Experiment N°2</w:t>
      </w:r>
      <w:r w:rsidRPr="00A50C0C">
        <w:rPr>
          <w:rFonts w:ascii="Arial" w:hAnsi="Arial" w:cs="Arial"/>
          <w:sz w:val="20"/>
          <w:szCs w:val="20"/>
          <w:lang w:val="en-US"/>
        </w:rPr>
        <w:t>,</w:t>
      </w:r>
      <w:r w:rsidRPr="00A50C0C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FFPE human brain tissue (archive material, </w:t>
      </w:r>
      <w:r w:rsidRPr="00A50C0C">
        <w:rPr>
          <w:rFonts w:ascii="Arial" w:hAnsi="Arial" w:cs="Arial"/>
          <w:b/>
          <w:sz w:val="20"/>
          <w:szCs w:val="20"/>
          <w:lang w:val="en-US"/>
        </w:rPr>
        <w:t>a</w:t>
      </w:r>
      <w:r w:rsidRPr="00A50C0C">
        <w:rPr>
          <w:rFonts w:ascii="Arial" w:hAnsi="Arial" w:cs="Arial"/>
          <w:sz w:val="20"/>
          <w:szCs w:val="20"/>
          <w:lang w:val="en-US"/>
        </w:rPr>
        <w:t>) was deparaffinized, (</w:t>
      </w:r>
      <w:r w:rsidRPr="00A50C0C">
        <w:rPr>
          <w:rFonts w:ascii="Arial" w:hAnsi="Arial" w:cs="Arial"/>
          <w:b/>
          <w:sz w:val="20"/>
          <w:szCs w:val="20"/>
          <w:lang w:val="en-US"/>
        </w:rPr>
        <w:t>b</w:t>
      </w:r>
      <w:r w:rsidRPr="00A50C0C">
        <w:rPr>
          <w:rFonts w:ascii="Arial" w:hAnsi="Arial" w:cs="Arial"/>
          <w:sz w:val="20"/>
          <w:szCs w:val="20"/>
          <w:lang w:val="en-US"/>
        </w:rPr>
        <w:t>) optically cleared (3DISCO) and subjected to LSFM (</w:t>
      </w:r>
      <w:r w:rsidRPr="00A50C0C">
        <w:rPr>
          <w:rFonts w:ascii="Arial" w:hAnsi="Arial" w:cs="Arial"/>
          <w:b/>
          <w:sz w:val="20"/>
          <w:szCs w:val="20"/>
          <w:lang w:val="en-US"/>
        </w:rPr>
        <w:t>c</w:t>
      </w:r>
      <w:r w:rsidRPr="00A50C0C">
        <w:rPr>
          <w:rFonts w:ascii="Arial" w:hAnsi="Arial" w:cs="Arial"/>
          <w:sz w:val="20"/>
          <w:szCs w:val="20"/>
          <w:lang w:val="en-US"/>
        </w:rPr>
        <w:t>). Regions of interest were defined by LSFM and dissected from the cleared tissue, and re-embedded in paraffin (</w:t>
      </w:r>
      <w:r w:rsidRPr="00A50C0C">
        <w:rPr>
          <w:rFonts w:ascii="Arial" w:hAnsi="Arial" w:cs="Arial"/>
          <w:b/>
          <w:sz w:val="20"/>
          <w:szCs w:val="20"/>
          <w:lang w:val="en-US"/>
        </w:rPr>
        <w:t>d</w:t>
      </w:r>
      <w:r w:rsidRPr="00A50C0C">
        <w:rPr>
          <w:rFonts w:ascii="Arial" w:hAnsi="Arial" w:cs="Arial"/>
          <w:sz w:val="20"/>
          <w:szCs w:val="20"/>
          <w:lang w:val="en-US"/>
        </w:rPr>
        <w:t>). Paraffin sections of the re-embedded tissue were subjected to MALDI-MSI (</w:t>
      </w:r>
      <w:r w:rsidRPr="00A50C0C">
        <w:rPr>
          <w:rFonts w:ascii="Arial" w:hAnsi="Arial" w:cs="Arial"/>
          <w:b/>
          <w:sz w:val="20"/>
          <w:szCs w:val="20"/>
          <w:lang w:val="en-US"/>
        </w:rPr>
        <w:t>e</w:t>
      </w:r>
      <w:r w:rsidRPr="00A50C0C">
        <w:rPr>
          <w:rFonts w:ascii="Arial" w:hAnsi="Arial" w:cs="Arial"/>
          <w:sz w:val="20"/>
          <w:szCs w:val="20"/>
          <w:lang w:val="en-US"/>
        </w:rPr>
        <w:t>) and subsequent HE-staining (</w:t>
      </w:r>
      <w:r w:rsidRPr="00A50C0C">
        <w:rPr>
          <w:rFonts w:ascii="Arial" w:hAnsi="Arial" w:cs="Arial"/>
          <w:b/>
          <w:sz w:val="20"/>
          <w:szCs w:val="20"/>
          <w:lang w:val="en-US"/>
        </w:rPr>
        <w:t>f</w:t>
      </w:r>
      <w:r w:rsidRPr="00A50C0C">
        <w:rPr>
          <w:rFonts w:ascii="Arial" w:hAnsi="Arial" w:cs="Arial"/>
          <w:sz w:val="20"/>
          <w:szCs w:val="20"/>
          <w:lang w:val="en-US"/>
        </w:rPr>
        <w:t>). For validation of MALDI-MSI data, proteomic LC-MS/MS analysis was performed on additional samples of paraffin-embedded human brain tissue (</w:t>
      </w:r>
      <w:r w:rsidRPr="00A50C0C">
        <w:rPr>
          <w:rFonts w:ascii="Arial" w:hAnsi="Arial" w:cs="Arial"/>
          <w:b/>
          <w:bCs/>
          <w:sz w:val="20"/>
          <w:szCs w:val="20"/>
          <w:lang w:val="en-US"/>
        </w:rPr>
        <w:t>g</w:t>
      </w:r>
      <w:r w:rsidRPr="00A50C0C">
        <w:rPr>
          <w:rFonts w:ascii="Arial" w:hAnsi="Arial" w:cs="Arial"/>
          <w:sz w:val="20"/>
          <w:szCs w:val="20"/>
          <w:lang w:val="en-US"/>
        </w:rPr>
        <w:t>) and the spatial abundance patterns of MALDI-MSI detected tryptic peptides of different established nerve tissue marker proteins were confirmed by immunohistochemistry (</w:t>
      </w:r>
      <w:r w:rsidRPr="00A50C0C">
        <w:rPr>
          <w:rFonts w:ascii="Arial" w:hAnsi="Arial" w:cs="Arial"/>
          <w:b/>
          <w:bCs/>
          <w:sz w:val="20"/>
          <w:szCs w:val="20"/>
          <w:lang w:val="en-US"/>
        </w:rPr>
        <w:t>h</w:t>
      </w:r>
      <w:r w:rsidRPr="00A50C0C">
        <w:rPr>
          <w:rFonts w:ascii="Arial" w:hAnsi="Arial" w:cs="Arial"/>
          <w:sz w:val="20"/>
          <w:szCs w:val="20"/>
          <w:lang w:val="en-US"/>
        </w:rPr>
        <w:t>).</w:t>
      </w:r>
    </w:p>
    <w:p w14:paraId="2C51A8DE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sz w:val="24"/>
          <w:szCs w:val="24"/>
          <w:lang w:val="en-US"/>
        </w:rPr>
        <w:lastRenderedPageBreak/>
        <w:t>Supplemental Figure 2</w:t>
      </w:r>
    </w:p>
    <w:p w14:paraId="53C819F9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noProof/>
          <w:sz w:val="24"/>
          <w:szCs w:val="24"/>
          <w:lang w:eastAsia="de-DE"/>
        </w:rPr>
        <w:drawing>
          <wp:inline distT="0" distB="0" distL="0" distR="0" wp14:anchorId="2B74938F" wp14:editId="324DA8F2">
            <wp:extent cx="5618575" cy="3457575"/>
            <wp:effectExtent l="0" t="0" r="127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3"/>
                    <a:stretch/>
                  </pic:blipFill>
                  <pic:spPr bwMode="auto">
                    <a:xfrm>
                      <a:off x="0" y="0"/>
                      <a:ext cx="5661852" cy="348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950AE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bookmarkStart w:id="2" w:name="_Hlk40335023"/>
      <w:r w:rsidRPr="00A50C0C">
        <w:rPr>
          <w:rFonts w:ascii="Arial" w:hAnsi="Arial" w:cs="Arial"/>
          <w:b/>
          <w:sz w:val="20"/>
          <w:szCs w:val="20"/>
          <w:lang w:val="en-US"/>
        </w:rPr>
        <w:t>Supplemental Figure 2. Excision of a LSFM-determined ROI from the cleared tissue sample.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1AB8FA48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50C0C">
        <w:rPr>
          <w:rFonts w:ascii="Arial" w:hAnsi="Arial" w:cs="Arial"/>
          <w:sz w:val="20"/>
          <w:szCs w:val="20"/>
          <w:lang w:val="en-US"/>
        </w:rPr>
        <w:t>Within the cleared tissue</w:t>
      </w:r>
      <w:bookmarkEnd w:id="2"/>
      <w:r w:rsidRPr="00A50C0C">
        <w:rPr>
          <w:rFonts w:ascii="Arial" w:hAnsi="Arial" w:cs="Arial"/>
          <w:sz w:val="20"/>
          <w:szCs w:val="20"/>
          <w:lang w:val="en-US"/>
        </w:rPr>
        <w:t xml:space="preserve">, ROI(s) for subsequent MALDI-MSI are defined by LSFM and subsequently excised from the sample. For reasonably sized organ samples, such as complete mouse brains, with abundant distinctive anatomical details, the use of a positioning and sectioning device is dispensable and sections can be straightforwardly excised by hand, with adequate precision. However, for cutting of </w:t>
      </w:r>
      <w:r w:rsidRPr="00A50C0C">
        <w:rPr>
          <w:rFonts w:ascii="Arial" w:eastAsia="Times New Roman" w:hAnsi="Arial" w:cs="Arial"/>
          <w:sz w:val="20"/>
          <w:szCs w:val="20"/>
          <w:lang w:val="en-US" w:eastAsia="de-DE"/>
        </w:rPr>
        <w:t>small-sized tissue samples, or for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 preparation of oblique sections through </w:t>
      </w:r>
      <w:r w:rsidRPr="00A50C0C">
        <w:rPr>
          <w:rFonts w:ascii="Arial" w:eastAsia="Times New Roman" w:hAnsi="Arial" w:cs="Arial"/>
          <w:sz w:val="20"/>
          <w:szCs w:val="20"/>
          <w:lang w:val="en-US" w:eastAsia="de-DE"/>
        </w:rPr>
        <w:t>cleared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 samples with indistinct, uniform external shapes, the aid of a three-dimensional sample positioning device (</w:t>
      </w:r>
      <w:r w:rsidRPr="00A50C0C">
        <w:rPr>
          <w:rFonts w:ascii="Arial" w:hAnsi="Arial" w:cs="Arial"/>
          <w:b/>
          <w:sz w:val="20"/>
          <w:szCs w:val="20"/>
          <w:lang w:val="en-US"/>
        </w:rPr>
        <w:t>3D-P/SS</w:t>
      </w:r>
      <w:r w:rsidRPr="00A50C0C">
        <w:rPr>
          <w:rFonts w:ascii="Arial" w:hAnsi="Arial" w:cs="Arial"/>
          <w:sz w:val="20"/>
          <w:szCs w:val="20"/>
          <w:lang w:val="en-US"/>
        </w:rPr>
        <w:t>) with a blade guiding track (</w:t>
      </w:r>
      <w:proofErr w:type="spellStart"/>
      <w:r w:rsidRPr="00A50C0C">
        <w:rPr>
          <w:rFonts w:ascii="Arial" w:hAnsi="Arial" w:cs="Arial"/>
          <w:b/>
          <w:i/>
          <w:sz w:val="20"/>
          <w:szCs w:val="20"/>
          <w:lang w:val="en-US"/>
        </w:rPr>
        <w:t>gt</w:t>
      </w:r>
      <w:proofErr w:type="spellEnd"/>
      <w:r w:rsidRPr="00A50C0C">
        <w:rPr>
          <w:rFonts w:ascii="Arial" w:hAnsi="Arial" w:cs="Arial"/>
          <w:sz w:val="20"/>
          <w:szCs w:val="20"/>
          <w:lang w:val="en-US"/>
        </w:rPr>
        <w:t>), is advantageous. Here, a self-constructed positioning and cutting-device, built from a microscope cross-table (</w:t>
      </w:r>
      <w:proofErr w:type="spellStart"/>
      <w:r w:rsidRPr="00A50C0C">
        <w:rPr>
          <w:rFonts w:ascii="Arial" w:hAnsi="Arial" w:cs="Arial"/>
          <w:b/>
          <w:i/>
          <w:sz w:val="20"/>
          <w:szCs w:val="20"/>
          <w:lang w:val="en-US"/>
        </w:rPr>
        <w:t>ct</w:t>
      </w:r>
      <w:proofErr w:type="spellEnd"/>
      <w:r w:rsidRPr="00A50C0C">
        <w:rPr>
          <w:rFonts w:ascii="Arial" w:hAnsi="Arial" w:cs="Arial"/>
          <w:sz w:val="20"/>
          <w:szCs w:val="20"/>
          <w:lang w:val="en-US"/>
        </w:rPr>
        <w:t xml:space="preserve">) and few standard hardware store components is shown. </w:t>
      </w:r>
      <w:r w:rsidRPr="00A50C0C">
        <w:rPr>
          <w:rFonts w:ascii="Arial" w:hAnsi="Arial" w:cs="Arial"/>
          <w:b/>
          <w:sz w:val="20"/>
          <w:szCs w:val="20"/>
          <w:lang w:val="en-US"/>
        </w:rPr>
        <w:t>a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: Construction scheme. </w:t>
      </w:r>
      <w:r w:rsidRPr="00A50C0C">
        <w:rPr>
          <w:rFonts w:ascii="Arial" w:hAnsi="Arial" w:cs="Arial"/>
          <w:b/>
          <w:sz w:val="20"/>
          <w:szCs w:val="20"/>
          <w:lang w:val="en-US"/>
        </w:rPr>
        <w:t>b: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 Gross image and detail enlargement. For accurate positioning of the sample (#) and the section plane(s), the x-, y-, and z-position of the sample holder (</w:t>
      </w:r>
      <w:proofErr w:type="spellStart"/>
      <w:r w:rsidRPr="00A50C0C">
        <w:rPr>
          <w:rFonts w:ascii="Arial" w:hAnsi="Arial" w:cs="Arial"/>
          <w:b/>
          <w:i/>
          <w:sz w:val="20"/>
          <w:szCs w:val="20"/>
          <w:lang w:val="en-US"/>
        </w:rPr>
        <w:t>sh</w:t>
      </w:r>
      <w:proofErr w:type="spellEnd"/>
      <w:r w:rsidRPr="00A50C0C">
        <w:rPr>
          <w:rFonts w:ascii="Arial" w:hAnsi="Arial" w:cs="Arial"/>
          <w:sz w:val="20"/>
          <w:szCs w:val="20"/>
          <w:lang w:val="en-US"/>
        </w:rPr>
        <w:t>) can be precisely be adjusted, the sample-plate (</w:t>
      </w:r>
      <w:proofErr w:type="spellStart"/>
      <w:r w:rsidRPr="00A50C0C">
        <w:rPr>
          <w:rFonts w:ascii="Arial" w:hAnsi="Arial" w:cs="Arial"/>
          <w:b/>
          <w:i/>
          <w:sz w:val="20"/>
          <w:szCs w:val="20"/>
          <w:lang w:val="en-US"/>
        </w:rPr>
        <w:t>sp</w:t>
      </w:r>
      <w:proofErr w:type="spellEnd"/>
      <w:r w:rsidRPr="00A50C0C">
        <w:rPr>
          <w:rFonts w:ascii="Arial" w:hAnsi="Arial" w:cs="Arial"/>
          <w:sz w:val="20"/>
          <w:szCs w:val="20"/>
          <w:lang w:val="en-US"/>
        </w:rPr>
        <w:t>) and the blade guiding track can be rotated by 360°. To precisely replicate the orientation of LSFM optical section plane(s), the sample plate with the tissue sample (</w:t>
      </w:r>
      <w:r w:rsidRPr="00A50C0C">
        <w:rPr>
          <w:rFonts w:ascii="Arial" w:hAnsi="Arial" w:cs="Arial"/>
          <w:b/>
          <w:i/>
          <w:sz w:val="20"/>
          <w:szCs w:val="20"/>
          <w:lang w:val="en-US"/>
        </w:rPr>
        <w:t>#</w:t>
      </w:r>
      <w:r w:rsidRPr="00A50C0C">
        <w:rPr>
          <w:rFonts w:ascii="Arial" w:hAnsi="Arial" w:cs="Arial"/>
          <w:sz w:val="20"/>
          <w:szCs w:val="20"/>
          <w:lang w:val="en-US"/>
        </w:rPr>
        <w:t>) is removed from the sample chamber of the LSFM and directly transferred to the sample plate holder of the 3D-positioning/cutting device. The sample-positioning data and the section plane angle(s) of the LSFM-viewer software are correspondingly transferred to the gadget, and the cleared tissue sample is sectioned, using a microtome blade (</w:t>
      </w:r>
      <w:r w:rsidRPr="00A50C0C">
        <w:rPr>
          <w:rFonts w:ascii="Arial" w:hAnsi="Arial" w:cs="Arial"/>
          <w:b/>
          <w:i/>
          <w:sz w:val="20"/>
          <w:szCs w:val="20"/>
          <w:lang w:val="en-US"/>
        </w:rPr>
        <w:t>b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). Care should be taken to place the physical section plane through the cleared tissue sample approximately 0.5 mm parallel to the optical LSFM-section plane, to avoid cutting directly through the structure of interest. In the present example, the positioning of a cleared mouse brain for preparation of an 135° oblique frontal section through the cerebrum and the diencephalon is shown (the presented example intends to illustrate the sectioning process, it does not show the same ROI-section plane orientation examined in the MALDI-MSI experiment). Note that the described method of tissue-sectioning works well only for solid, shape-retaining optically cleared tissue samples, but not for soft/gelatinous samples. </w:t>
      </w:r>
    </w:p>
    <w:p w14:paraId="4566522E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sz w:val="24"/>
          <w:szCs w:val="24"/>
          <w:lang w:val="en-US"/>
        </w:rPr>
        <w:lastRenderedPageBreak/>
        <w:t>Supplemental Figure 3</w:t>
      </w:r>
    </w:p>
    <w:p w14:paraId="016B8721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noProof/>
          <w:sz w:val="24"/>
          <w:szCs w:val="24"/>
          <w:lang w:eastAsia="de-DE"/>
        </w:rPr>
        <w:drawing>
          <wp:inline distT="0" distB="0" distL="0" distR="0" wp14:anchorId="68571724" wp14:editId="701FA800">
            <wp:extent cx="5984544" cy="286618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7"/>
                    <a:stretch/>
                  </pic:blipFill>
                  <pic:spPr bwMode="auto">
                    <a:xfrm>
                      <a:off x="0" y="0"/>
                      <a:ext cx="6013920" cy="288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lenraster"/>
        <w:tblW w:w="507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2077"/>
        <w:gridCol w:w="1104"/>
        <w:gridCol w:w="1275"/>
        <w:gridCol w:w="1082"/>
        <w:gridCol w:w="1045"/>
        <w:gridCol w:w="1417"/>
      </w:tblGrid>
      <w:tr w:rsidR="00A50C0C" w:rsidRPr="00DC73E6" w14:paraId="30C95DF4" w14:textId="77777777">
        <w:trPr>
          <w:trHeight w:val="310"/>
        </w:trPr>
        <w:tc>
          <w:tcPr>
            <w:tcW w:w="659" w:type="pct"/>
            <w:tcBorders>
              <w:top w:val="single" w:sz="4" w:space="0" w:color="auto"/>
              <w:bottom w:val="double" w:sz="4" w:space="0" w:color="auto"/>
            </w:tcBorders>
            <w:noWrap/>
            <w:hideMark/>
          </w:tcPr>
          <w:p w14:paraId="152BBD5B" w14:textId="77777777" w:rsidR="00F727D2" w:rsidRPr="00A50C0C" w:rsidRDefault="002A2133">
            <w:pPr>
              <w:rPr>
                <w:rFonts w:ascii="Arial" w:eastAsia="Times New Roman" w:hAnsi="Arial" w:cs="Arial"/>
                <w:b/>
                <w:sz w:val="36"/>
                <w:szCs w:val="36"/>
                <w:lang w:val="en-US"/>
              </w:rPr>
            </w:pPr>
            <w:r w:rsidRPr="00A50C0C">
              <w:rPr>
                <w:rFonts w:ascii="Arial" w:eastAsia="Times New Roman" w:hAnsi="Arial" w:cs="Arial"/>
                <w:b/>
                <w:sz w:val="36"/>
                <w:szCs w:val="36"/>
                <w:lang w:val="en-US"/>
              </w:rPr>
              <w:t>c</w:t>
            </w:r>
          </w:p>
          <w:p w14:paraId="4A0C00A9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Protein</w:t>
            </w:r>
          </w:p>
        </w:tc>
        <w:tc>
          <w:tcPr>
            <w:tcW w:w="1127" w:type="pct"/>
            <w:tcBorders>
              <w:top w:val="single" w:sz="4" w:space="0" w:color="auto"/>
              <w:bottom w:val="double" w:sz="4" w:space="0" w:color="auto"/>
            </w:tcBorders>
            <w:noWrap/>
            <w:vAlign w:val="center"/>
            <w:hideMark/>
          </w:tcPr>
          <w:p w14:paraId="49822601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Protein accession numbers</w:t>
            </w:r>
          </w:p>
        </w:tc>
        <w:tc>
          <w:tcPr>
            <w:tcW w:w="599" w:type="pct"/>
            <w:tcBorders>
              <w:top w:val="single" w:sz="4" w:space="0" w:color="auto"/>
              <w:bottom w:val="double" w:sz="4" w:space="0" w:color="auto"/>
            </w:tcBorders>
            <w:noWrap/>
            <w:vAlign w:val="center"/>
            <w:hideMark/>
          </w:tcPr>
          <w:p w14:paraId="20F8C4FD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Protein molecular weight (Da)</w:t>
            </w:r>
          </w:p>
        </w:tc>
        <w:tc>
          <w:tcPr>
            <w:tcW w:w="692" w:type="pct"/>
            <w:tcBorders>
              <w:top w:val="single" w:sz="4" w:space="0" w:color="auto"/>
              <w:bottom w:val="double" w:sz="4" w:space="0" w:color="auto"/>
            </w:tcBorders>
            <w:noWrap/>
            <w:vAlign w:val="center"/>
            <w:hideMark/>
          </w:tcPr>
          <w:p w14:paraId="02A9E279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Protein identification probability</w:t>
            </w:r>
          </w:p>
        </w:tc>
        <w:tc>
          <w:tcPr>
            <w:tcW w:w="587" w:type="pct"/>
            <w:tcBorders>
              <w:top w:val="single" w:sz="4" w:space="0" w:color="auto"/>
              <w:bottom w:val="double" w:sz="4" w:space="0" w:color="auto"/>
            </w:tcBorders>
            <w:noWrap/>
            <w:vAlign w:val="center"/>
            <w:hideMark/>
          </w:tcPr>
          <w:p w14:paraId="4A61F726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Exclusive unique peptide count</w:t>
            </w:r>
          </w:p>
        </w:tc>
        <w:tc>
          <w:tcPr>
            <w:tcW w:w="567" w:type="pct"/>
            <w:tcBorders>
              <w:top w:val="single" w:sz="4" w:space="0" w:color="auto"/>
              <w:bottom w:val="double" w:sz="4" w:space="0" w:color="auto"/>
            </w:tcBorders>
            <w:noWrap/>
            <w:vAlign w:val="center"/>
            <w:hideMark/>
          </w:tcPr>
          <w:p w14:paraId="2B5359AE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Sequence coverage (%)</w:t>
            </w:r>
          </w:p>
        </w:tc>
        <w:tc>
          <w:tcPr>
            <w:tcW w:w="769" w:type="pct"/>
            <w:tcBorders>
              <w:top w:val="single" w:sz="4" w:space="0" w:color="auto"/>
              <w:bottom w:val="double" w:sz="4" w:space="0" w:color="auto"/>
            </w:tcBorders>
            <w:noWrap/>
            <w:vAlign w:val="center"/>
            <w:hideMark/>
          </w:tcPr>
          <w:p w14:paraId="37A42FC5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Corresponding MALDI-MSI Peak (</w:t>
            </w:r>
            <w:r w:rsidRPr="00A50C0C">
              <w:rPr>
                <w:rFonts w:ascii="Arial" w:eastAsia="Times New Roman" w:hAnsi="Arial" w:cs="Arial"/>
                <w:b/>
                <w:i/>
                <w:iCs/>
                <w:sz w:val="16"/>
                <w:szCs w:val="16"/>
                <w:lang w:val="en-US"/>
              </w:rPr>
              <w:t>m/z</w:t>
            </w:r>
            <w:r w:rsidRPr="00A50C0C">
              <w:rPr>
                <w:rFonts w:ascii="Arial" w:eastAsia="Times New Roman" w:hAnsi="Arial" w:cs="Arial"/>
                <w:b/>
                <w:sz w:val="16"/>
                <w:szCs w:val="16"/>
                <w:lang w:val="en-US"/>
              </w:rPr>
              <w:t>)</w:t>
            </w:r>
          </w:p>
        </w:tc>
      </w:tr>
      <w:tr w:rsidR="00A50C0C" w:rsidRPr="00A50C0C" w14:paraId="785A6905" w14:textId="77777777">
        <w:trPr>
          <w:trHeight w:val="310"/>
        </w:trPr>
        <w:tc>
          <w:tcPr>
            <w:tcW w:w="659" w:type="pct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2614C3" w14:textId="77777777" w:rsidR="00F727D2" w:rsidRPr="00A50C0C" w:rsidRDefault="002A213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hAnsi="Arial" w:cs="Arial"/>
                <w:sz w:val="16"/>
                <w:szCs w:val="16"/>
                <w:lang w:val="en-US"/>
              </w:rPr>
              <w:t>GNG3</w:t>
            </w:r>
          </w:p>
        </w:tc>
        <w:tc>
          <w:tcPr>
            <w:tcW w:w="1127" w:type="pct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F73C61" w14:textId="77777777" w:rsidR="00F727D2" w:rsidRPr="00A50C0C" w:rsidRDefault="002A2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C0C">
              <w:rPr>
                <w:rFonts w:ascii="Arial" w:hAnsi="Arial" w:cs="Arial"/>
                <w:sz w:val="16"/>
                <w:szCs w:val="16"/>
              </w:rPr>
              <w:t>P63216</w:t>
            </w: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|</w:t>
            </w:r>
            <w:r w:rsidRPr="00A50C0C">
              <w:rPr>
                <w:rFonts w:ascii="Arial" w:hAnsi="Arial" w:cs="Arial"/>
                <w:sz w:val="16"/>
                <w:szCs w:val="16"/>
              </w:rPr>
              <w:t>GBG3_MOUSE</w:t>
            </w:r>
          </w:p>
        </w:tc>
        <w:tc>
          <w:tcPr>
            <w:tcW w:w="599" w:type="pct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D43046" w14:textId="77777777" w:rsidR="00F727D2" w:rsidRPr="00A50C0C" w:rsidRDefault="002A2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C0C">
              <w:rPr>
                <w:rFonts w:ascii="Arial" w:hAnsi="Arial" w:cs="Arial"/>
                <w:sz w:val="16"/>
                <w:szCs w:val="16"/>
              </w:rPr>
              <w:t>8304.90</w:t>
            </w:r>
          </w:p>
        </w:tc>
        <w:tc>
          <w:tcPr>
            <w:tcW w:w="692" w:type="pct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4CE1DF" w14:textId="77777777" w:rsidR="00F727D2" w:rsidRPr="00A50C0C" w:rsidRDefault="002A2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C0C">
              <w:rPr>
                <w:rFonts w:ascii="Arial" w:hAnsi="Arial" w:cs="Arial"/>
                <w:sz w:val="16"/>
                <w:szCs w:val="16"/>
              </w:rPr>
              <w:t>100.00%</w:t>
            </w:r>
          </w:p>
        </w:tc>
        <w:tc>
          <w:tcPr>
            <w:tcW w:w="587" w:type="pct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81E5D3" w14:textId="77777777" w:rsidR="00F727D2" w:rsidRPr="00A50C0C" w:rsidRDefault="002A2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C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pct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5ACA3D" w14:textId="77777777" w:rsidR="00F727D2" w:rsidRPr="00A50C0C" w:rsidRDefault="002A21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C0C">
              <w:rPr>
                <w:rFonts w:ascii="Arial" w:hAnsi="Arial" w:cs="Arial"/>
                <w:sz w:val="16"/>
                <w:szCs w:val="16"/>
              </w:rPr>
              <w:t>60.00%</w:t>
            </w:r>
          </w:p>
        </w:tc>
        <w:tc>
          <w:tcPr>
            <w:tcW w:w="769" w:type="pct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0D3FEE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8300.63</w:t>
            </w:r>
          </w:p>
        </w:tc>
      </w:tr>
      <w:tr w:rsidR="00A50C0C" w:rsidRPr="00A50C0C" w14:paraId="4E43F94D" w14:textId="77777777">
        <w:trPr>
          <w:trHeight w:val="310"/>
        </w:trPr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7BE3AC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RPS27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DA04E5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Q6ZWU9|RS27_MOUSE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FA7CA3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9460.90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8C62F1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100.00%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BC7656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14C9AF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28.60%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8A35F0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9460.52</w:t>
            </w:r>
          </w:p>
        </w:tc>
      </w:tr>
      <w:tr w:rsidR="00A50C0C" w:rsidRPr="00A50C0C" w14:paraId="5C4CC87C" w14:textId="77777777">
        <w:trPr>
          <w:trHeight w:val="310"/>
        </w:trPr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BFD2E5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MRPS36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0A5F73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Q9CQX8|RT36_MOUSE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FCAAD2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11101.10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3237CB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100.00%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934A2E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917B9C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57.80%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3FF2A8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11103.87</w:t>
            </w:r>
          </w:p>
        </w:tc>
      </w:tr>
      <w:tr w:rsidR="00A50C0C" w:rsidRPr="00A50C0C" w14:paraId="5F3A6B02" w14:textId="77777777">
        <w:trPr>
          <w:trHeight w:val="310"/>
        </w:trPr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B41265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RPLP1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325BE5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P47955|RLA1_MOUSE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FC4AAA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11475.00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C939F1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100.00%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C0B8C1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7C94A9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51.80%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5FFB59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11474.30</w:t>
            </w:r>
          </w:p>
        </w:tc>
      </w:tr>
      <w:tr w:rsidR="00A50C0C" w:rsidRPr="00A50C0C" w14:paraId="05B27307" w14:textId="77777777">
        <w:trPr>
          <w:trHeight w:val="310"/>
        </w:trPr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281839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NDUFB3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361D26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Q9CQZ6|NDUB3_MOUSE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08F77F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11692.30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0BA1ED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99.10%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4FABF4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84ABF2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14.40%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C549F1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11688.53</w:t>
            </w:r>
          </w:p>
        </w:tc>
      </w:tr>
      <w:tr w:rsidR="00F727D2" w:rsidRPr="00A50C0C" w14:paraId="09DABC0D" w14:textId="77777777">
        <w:trPr>
          <w:trHeight w:val="310"/>
        </w:trPr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F38A2B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SCOC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08570E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Q78YZ6|SCOC_MOUSE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00A034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14155.00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EEF49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100.00%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FEC239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6DE48A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35.20%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E5682F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14159.19</w:t>
            </w:r>
          </w:p>
        </w:tc>
      </w:tr>
    </w:tbl>
    <w:p w14:paraId="276D048F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C54A084" w14:textId="0644A877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50C0C">
        <w:rPr>
          <w:rFonts w:ascii="Arial" w:hAnsi="Arial" w:cs="Arial"/>
          <w:b/>
          <w:sz w:val="20"/>
          <w:szCs w:val="20"/>
          <w:lang w:val="en-US"/>
        </w:rPr>
        <w:t>Supplemental Figure 3. MS-spectra of MALDI-IMS and identified proteins validated by LC-MS/MS analysis in experiment N°1 (</w:t>
      </w:r>
      <w:proofErr w:type="spellStart"/>
      <w:r w:rsidRPr="00A50C0C">
        <w:rPr>
          <w:rFonts w:ascii="Arial" w:hAnsi="Arial" w:cs="Arial"/>
          <w:b/>
          <w:sz w:val="20"/>
          <w:szCs w:val="20"/>
          <w:lang w:val="en-US"/>
        </w:rPr>
        <w:t>PaxGene</w:t>
      </w:r>
      <w:proofErr w:type="spellEnd"/>
      <w:r w:rsidRPr="00A50C0C">
        <w:rPr>
          <w:rFonts w:ascii="Arial" w:hAnsi="Arial" w:cs="Arial"/>
          <w:b/>
          <w:sz w:val="20"/>
          <w:szCs w:val="20"/>
          <w:lang w:val="en-US"/>
        </w:rPr>
        <w:t>-fixed, 3DISCO-cleared, paraffin-embedded mouse brain tissue).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 </w:t>
      </w:r>
      <w:r w:rsidRPr="00A50C0C">
        <w:rPr>
          <w:rFonts w:ascii="Arial" w:hAnsi="Arial" w:cs="Arial"/>
          <w:b/>
          <w:bCs/>
          <w:sz w:val="20"/>
          <w:szCs w:val="20"/>
          <w:lang w:val="en-US"/>
        </w:rPr>
        <w:t>a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: MALDI-mass spectrum from 4-16 </w:t>
      </w:r>
      <w:proofErr w:type="spellStart"/>
      <w:r w:rsidRPr="00A50C0C">
        <w:rPr>
          <w:rFonts w:ascii="Arial" w:hAnsi="Arial" w:cs="Arial"/>
          <w:sz w:val="20"/>
          <w:szCs w:val="20"/>
          <w:lang w:val="en-US"/>
        </w:rPr>
        <w:t>kDa</w:t>
      </w:r>
      <w:proofErr w:type="spellEnd"/>
      <w:r w:rsidRPr="00A50C0C">
        <w:rPr>
          <w:rFonts w:ascii="Arial" w:hAnsi="Arial" w:cs="Arial"/>
          <w:sz w:val="20"/>
          <w:szCs w:val="20"/>
          <w:lang w:val="en-US"/>
        </w:rPr>
        <w:t xml:space="preserve">. MS-protein peaks of six identified masses are highlighted in different colors. </w:t>
      </w:r>
      <w:r w:rsidRPr="00A50C0C">
        <w:rPr>
          <w:rFonts w:ascii="Arial" w:hAnsi="Arial" w:cs="Arial"/>
          <w:b/>
          <w:bCs/>
          <w:sz w:val="20"/>
          <w:szCs w:val="20"/>
          <w:lang w:val="en-US"/>
        </w:rPr>
        <w:t>b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: Detail enlargements of these mass spectra peaks with corresponding </w:t>
      </w:r>
      <w:r w:rsidRPr="00A50C0C">
        <w:rPr>
          <w:rFonts w:ascii="Arial" w:hAnsi="Arial" w:cs="Arial"/>
          <w:i/>
          <w:iCs/>
          <w:sz w:val="20"/>
          <w:szCs w:val="20"/>
          <w:lang w:val="en-US"/>
        </w:rPr>
        <w:t>m/z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 values. The six featured mass spectra correspond to ions of the same LC-MS/MS-confirmed proteins shown in Figure 1.  </w:t>
      </w:r>
      <w:r w:rsidRPr="00A50C0C">
        <w:rPr>
          <w:rFonts w:ascii="Arial" w:hAnsi="Arial" w:cs="Arial"/>
          <w:i/>
          <w:iCs/>
          <w:sz w:val="20"/>
          <w:szCs w:val="20"/>
          <w:lang w:val="en-US"/>
        </w:rPr>
        <w:t>m/z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: 8300.63: GNG3 (guanine nucleotide-binding protein subunit gamma-3);  </w:t>
      </w:r>
      <w:r w:rsidRPr="00A50C0C">
        <w:rPr>
          <w:rFonts w:ascii="Arial" w:hAnsi="Arial" w:cs="Arial"/>
          <w:i/>
          <w:iCs/>
          <w:sz w:val="20"/>
          <w:szCs w:val="20"/>
          <w:lang w:val="en-US"/>
        </w:rPr>
        <w:t>m/z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: 9460.52: RPS27 (40S ribosomal protein S27); </w:t>
      </w:r>
      <w:r w:rsidRPr="00A50C0C">
        <w:rPr>
          <w:rFonts w:ascii="Arial" w:hAnsi="Arial" w:cs="Arial"/>
          <w:i/>
          <w:iCs/>
          <w:sz w:val="20"/>
          <w:szCs w:val="20"/>
          <w:lang w:val="en-US"/>
        </w:rPr>
        <w:t>m/z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: 11103.87: MRPS36 (28S ribosomal protein S36, mitochondrial); </w:t>
      </w:r>
      <w:r w:rsidRPr="00A50C0C">
        <w:rPr>
          <w:rFonts w:ascii="Arial" w:hAnsi="Arial" w:cs="Arial"/>
          <w:i/>
          <w:iCs/>
          <w:sz w:val="20"/>
          <w:szCs w:val="20"/>
          <w:lang w:val="en-US"/>
        </w:rPr>
        <w:t>m/z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: 11474.30: RPLP1 (60S acidic ribosomal protein P1); </w:t>
      </w:r>
      <w:r w:rsidRPr="00A50C0C">
        <w:rPr>
          <w:rFonts w:ascii="Arial" w:hAnsi="Arial" w:cs="Arial"/>
          <w:i/>
          <w:iCs/>
          <w:sz w:val="20"/>
          <w:szCs w:val="20"/>
          <w:lang w:val="en-US"/>
        </w:rPr>
        <w:t>m/z</w:t>
      </w:r>
      <w:r w:rsidRPr="00A50C0C">
        <w:rPr>
          <w:rFonts w:ascii="Arial" w:hAnsi="Arial" w:cs="Arial"/>
          <w:sz w:val="20"/>
          <w:szCs w:val="20"/>
          <w:lang w:val="en-US"/>
        </w:rPr>
        <w:t xml:space="preserve">: 11688.53: NDUFB3 (NADH dehydrogenase [ubiquinone] 1 beta subcomplex subunit 3); </w:t>
      </w:r>
      <w:r w:rsidRPr="00A50C0C">
        <w:rPr>
          <w:rFonts w:ascii="Arial" w:hAnsi="Arial" w:cs="Arial"/>
          <w:i/>
          <w:iCs/>
          <w:sz w:val="20"/>
          <w:szCs w:val="20"/>
          <w:lang w:val="en-US"/>
        </w:rPr>
        <w:t>m/z</w:t>
      </w:r>
      <w:r w:rsidRPr="00A50C0C">
        <w:rPr>
          <w:rFonts w:ascii="Arial" w:hAnsi="Arial" w:cs="Arial"/>
          <w:sz w:val="20"/>
          <w:szCs w:val="20"/>
          <w:lang w:val="en-US"/>
        </w:rPr>
        <w:t>: 14159.19: SCOC (Short coiled-coil protein). Relevant parameters of the LC-MS/MS protein identification are provided in table c.</w:t>
      </w:r>
    </w:p>
    <w:p w14:paraId="759EB520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64979046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586ACD1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AA08A2B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BE16EF6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26A96F4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E2DE256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150D2F6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sz w:val="24"/>
          <w:szCs w:val="24"/>
          <w:lang w:val="en-US"/>
        </w:rPr>
        <w:lastRenderedPageBreak/>
        <w:t>Supplemental Figure 4</w:t>
      </w:r>
    </w:p>
    <w:p w14:paraId="34B9F96A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sz w:val="24"/>
          <w:szCs w:val="24"/>
          <w:lang w:val="en-US"/>
        </w:rPr>
        <w:t>a</w:t>
      </w:r>
    </w:p>
    <w:p w14:paraId="5DA22D60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1B39BDC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sz w:val="24"/>
          <w:szCs w:val="24"/>
          <w:lang w:val="en-US"/>
        </w:rPr>
        <w:t>GFAP (</w:t>
      </w:r>
      <w:r w:rsidRPr="00A50C0C">
        <w:rPr>
          <w:rFonts w:ascii="Arial" w:hAnsi="Arial" w:cs="Arial"/>
          <w:b/>
          <w:i/>
          <w:iCs/>
          <w:sz w:val="24"/>
          <w:szCs w:val="24"/>
          <w:lang w:val="en-US"/>
        </w:rPr>
        <w:t>m/z</w:t>
      </w:r>
      <w:r w:rsidRPr="00A50C0C">
        <w:rPr>
          <w:rFonts w:ascii="Arial" w:hAnsi="Arial" w:cs="Arial"/>
          <w:b/>
          <w:sz w:val="24"/>
          <w:szCs w:val="24"/>
          <w:lang w:val="en-US"/>
        </w:rPr>
        <w:t xml:space="preserve"> 1208.83, EAASYQEALAR + H</w:t>
      </w:r>
      <w:r w:rsidRPr="00A50C0C">
        <w:rPr>
          <w:rFonts w:ascii="Arial" w:hAnsi="Arial" w:cs="Arial"/>
          <w:b/>
          <w:sz w:val="24"/>
          <w:szCs w:val="24"/>
          <w:vertAlign w:val="superscript"/>
          <w:lang w:val="en-US"/>
        </w:rPr>
        <w:t>+</w:t>
      </w:r>
      <w:r w:rsidRPr="00A50C0C">
        <w:rPr>
          <w:rFonts w:ascii="Arial" w:hAnsi="Arial" w:cs="Arial"/>
          <w:b/>
          <w:sz w:val="24"/>
          <w:szCs w:val="24"/>
          <w:lang w:val="en-US"/>
        </w:rPr>
        <w:t>)</w:t>
      </w:r>
    </w:p>
    <w:p w14:paraId="526F148C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noProof/>
          <w:lang w:eastAsia="de-DE"/>
        </w:rPr>
        <w:drawing>
          <wp:inline distT="0" distB="0" distL="0" distR="0" wp14:anchorId="097D05BC" wp14:editId="1C51A8FC">
            <wp:extent cx="5760720" cy="21120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41F98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sz w:val="24"/>
          <w:szCs w:val="24"/>
          <w:lang w:val="en-US"/>
        </w:rPr>
        <w:t>MAP2 (</w:t>
      </w:r>
      <w:r w:rsidRPr="00A50C0C">
        <w:rPr>
          <w:rFonts w:ascii="Arial" w:hAnsi="Arial" w:cs="Arial"/>
          <w:b/>
          <w:i/>
          <w:iCs/>
          <w:sz w:val="24"/>
          <w:szCs w:val="24"/>
          <w:lang w:val="en-US"/>
        </w:rPr>
        <w:t>m/z</w:t>
      </w:r>
      <w:r w:rsidRPr="00A50C0C">
        <w:rPr>
          <w:rFonts w:ascii="Arial" w:hAnsi="Arial" w:cs="Arial"/>
          <w:b/>
          <w:sz w:val="24"/>
          <w:szCs w:val="24"/>
          <w:lang w:val="en-US"/>
        </w:rPr>
        <w:t xml:space="preserve"> 1506.91, TTAAGGESALAPSVFK + H</w:t>
      </w:r>
      <w:r w:rsidRPr="00A50C0C">
        <w:rPr>
          <w:rFonts w:ascii="Arial" w:hAnsi="Arial" w:cs="Arial"/>
          <w:b/>
          <w:sz w:val="24"/>
          <w:szCs w:val="24"/>
          <w:vertAlign w:val="superscript"/>
          <w:lang w:val="en-US"/>
        </w:rPr>
        <w:t>+</w:t>
      </w:r>
      <w:r w:rsidRPr="00A50C0C">
        <w:rPr>
          <w:rFonts w:ascii="Arial" w:hAnsi="Arial" w:cs="Arial"/>
          <w:b/>
          <w:sz w:val="24"/>
          <w:szCs w:val="24"/>
          <w:lang w:val="en-US"/>
        </w:rPr>
        <w:t>)</w:t>
      </w:r>
    </w:p>
    <w:p w14:paraId="23ECD0CE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noProof/>
          <w:sz w:val="24"/>
          <w:szCs w:val="24"/>
          <w:lang w:eastAsia="de-DE"/>
        </w:rPr>
        <w:drawing>
          <wp:inline distT="0" distB="0" distL="0" distR="0" wp14:anchorId="03CC7B0E" wp14:editId="569981B4">
            <wp:extent cx="5760720" cy="2112093"/>
            <wp:effectExtent l="0" t="0" r="0" b="2540"/>
            <wp:docPr id="3" name="Picture 3" descr="D:\Users\na.sun\Desktop\Andreas Manuscript\Graphics_MAP2 15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.sun\Desktop\Andreas Manuscript\Graphics_MAP2 150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3265B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sz w:val="24"/>
          <w:szCs w:val="24"/>
          <w:lang w:val="en-US"/>
        </w:rPr>
        <w:t>MBP (</w:t>
      </w:r>
      <w:r w:rsidRPr="00A50C0C">
        <w:rPr>
          <w:rFonts w:ascii="Arial" w:hAnsi="Arial" w:cs="Arial"/>
          <w:b/>
          <w:i/>
          <w:iCs/>
          <w:sz w:val="24"/>
          <w:szCs w:val="24"/>
          <w:lang w:val="en-US"/>
        </w:rPr>
        <w:t>m/z</w:t>
      </w:r>
      <w:r w:rsidRPr="00A50C0C">
        <w:rPr>
          <w:rFonts w:ascii="Arial" w:hAnsi="Arial" w:cs="Arial"/>
          <w:b/>
          <w:sz w:val="24"/>
          <w:szCs w:val="24"/>
          <w:lang w:val="en-US"/>
        </w:rPr>
        <w:t xml:space="preserve"> 975.63, GVDAQGTLSK + H</w:t>
      </w:r>
      <w:r w:rsidRPr="00A50C0C">
        <w:rPr>
          <w:rFonts w:ascii="Arial" w:hAnsi="Arial" w:cs="Arial"/>
          <w:b/>
          <w:sz w:val="24"/>
          <w:szCs w:val="24"/>
          <w:vertAlign w:val="superscript"/>
          <w:lang w:val="en-US"/>
        </w:rPr>
        <w:t>+</w:t>
      </w:r>
      <w:r w:rsidRPr="00A50C0C">
        <w:rPr>
          <w:rFonts w:ascii="Arial" w:hAnsi="Arial" w:cs="Arial"/>
          <w:b/>
          <w:sz w:val="24"/>
          <w:szCs w:val="24"/>
          <w:lang w:val="en-US"/>
        </w:rPr>
        <w:t>)</w:t>
      </w:r>
    </w:p>
    <w:p w14:paraId="2CB361C1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noProof/>
          <w:sz w:val="24"/>
          <w:szCs w:val="24"/>
          <w:lang w:eastAsia="de-DE"/>
        </w:rPr>
        <w:drawing>
          <wp:inline distT="0" distB="0" distL="0" distR="0" wp14:anchorId="5A11CA61" wp14:editId="778DCBF8">
            <wp:extent cx="5760720" cy="2112093"/>
            <wp:effectExtent l="0" t="0" r="0" b="2540"/>
            <wp:docPr id="4" name="Picture 4" descr="D:\Users\na.sun\Desktop\Graph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na.sun\Desktop\Graphic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9E3C7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E64521E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9AEF016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73D55C3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50C0C">
        <w:rPr>
          <w:rFonts w:ascii="Arial" w:hAnsi="Arial" w:cs="Arial"/>
          <w:b/>
          <w:sz w:val="24"/>
          <w:szCs w:val="24"/>
          <w:lang w:val="en-US"/>
        </w:rPr>
        <w:lastRenderedPageBreak/>
        <w:t>b</w:t>
      </w:r>
    </w:p>
    <w:tbl>
      <w:tblPr>
        <w:tblStyle w:val="EinfacheTabelle2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1283"/>
        <w:gridCol w:w="991"/>
        <w:gridCol w:w="1274"/>
        <w:gridCol w:w="849"/>
        <w:gridCol w:w="1419"/>
        <w:gridCol w:w="1276"/>
        <w:gridCol w:w="1134"/>
      </w:tblGrid>
      <w:tr w:rsidR="00A50C0C" w:rsidRPr="00A50C0C" w14:paraId="7B12E933" w14:textId="77777777" w:rsidTr="00F72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570FBE2E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Protein</w:t>
            </w:r>
          </w:p>
        </w:tc>
        <w:tc>
          <w:tcPr>
            <w:tcW w:w="707" w:type="pct"/>
            <w:noWrap/>
            <w:vAlign w:val="center"/>
            <w:hideMark/>
          </w:tcPr>
          <w:p w14:paraId="11FFC839" w14:textId="77777777" w:rsidR="00F727D2" w:rsidRPr="00A50C0C" w:rsidRDefault="002A2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Protein accession numbers</w:t>
            </w:r>
          </w:p>
        </w:tc>
        <w:tc>
          <w:tcPr>
            <w:tcW w:w="546" w:type="pct"/>
            <w:noWrap/>
            <w:vAlign w:val="center"/>
            <w:hideMark/>
          </w:tcPr>
          <w:p w14:paraId="1CB1008F" w14:textId="77777777" w:rsidR="00F727D2" w:rsidRPr="00A50C0C" w:rsidRDefault="002A2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Protein molecular weight (Da)</w:t>
            </w:r>
          </w:p>
        </w:tc>
        <w:tc>
          <w:tcPr>
            <w:tcW w:w="702" w:type="pct"/>
            <w:noWrap/>
            <w:vAlign w:val="center"/>
            <w:hideMark/>
          </w:tcPr>
          <w:p w14:paraId="4D6F3D39" w14:textId="77777777" w:rsidR="00F727D2" w:rsidRPr="00A50C0C" w:rsidRDefault="002A2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Protein identification probability</w:t>
            </w:r>
          </w:p>
        </w:tc>
        <w:tc>
          <w:tcPr>
            <w:tcW w:w="468" w:type="pct"/>
            <w:vAlign w:val="center"/>
          </w:tcPr>
          <w:p w14:paraId="3F8C944A" w14:textId="77777777" w:rsidR="00F727D2" w:rsidRPr="00A50C0C" w:rsidRDefault="002A2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hAnsi="Arial" w:cs="Arial"/>
                <w:sz w:val="16"/>
                <w:szCs w:val="16"/>
              </w:rPr>
              <w:t>Unique peptide count</w:t>
            </w:r>
          </w:p>
        </w:tc>
        <w:tc>
          <w:tcPr>
            <w:tcW w:w="782" w:type="pct"/>
            <w:noWrap/>
            <w:vAlign w:val="center"/>
            <w:hideMark/>
          </w:tcPr>
          <w:p w14:paraId="0F21B9E5" w14:textId="77777777" w:rsidR="00F727D2" w:rsidRPr="00A50C0C" w:rsidRDefault="002A2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Peptide sequence</w:t>
            </w:r>
          </w:p>
        </w:tc>
        <w:tc>
          <w:tcPr>
            <w:tcW w:w="703" w:type="pct"/>
            <w:noWrap/>
            <w:vAlign w:val="center"/>
            <w:hideMark/>
          </w:tcPr>
          <w:p w14:paraId="1BE545F5" w14:textId="77777777" w:rsidR="00F727D2" w:rsidRPr="00A50C0C" w:rsidRDefault="002A2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Peptide identification probability</w:t>
            </w:r>
          </w:p>
        </w:tc>
        <w:tc>
          <w:tcPr>
            <w:tcW w:w="625" w:type="pct"/>
            <w:noWrap/>
            <w:vAlign w:val="center"/>
            <w:hideMark/>
          </w:tcPr>
          <w:p w14:paraId="45B99195" w14:textId="77777777" w:rsidR="00F727D2" w:rsidRPr="00A50C0C" w:rsidRDefault="002A2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Calculated +1H Peptide Mass</w:t>
            </w:r>
          </w:p>
        </w:tc>
      </w:tr>
      <w:tr w:rsidR="00A50C0C" w:rsidRPr="00A50C0C" w14:paraId="00ECC7EA" w14:textId="77777777" w:rsidTr="00F72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1F895532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GFAP</w:t>
            </w:r>
          </w:p>
        </w:tc>
        <w:tc>
          <w:tcPr>
            <w:tcW w:w="707" w:type="pct"/>
            <w:noWrap/>
            <w:vAlign w:val="center"/>
            <w:hideMark/>
          </w:tcPr>
          <w:p w14:paraId="729628D1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P14136|GFAP_HUMAN</w:t>
            </w:r>
          </w:p>
        </w:tc>
        <w:tc>
          <w:tcPr>
            <w:tcW w:w="546" w:type="pct"/>
            <w:noWrap/>
            <w:vAlign w:val="center"/>
            <w:hideMark/>
          </w:tcPr>
          <w:p w14:paraId="05A8C8F9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49881.40</w:t>
            </w:r>
          </w:p>
        </w:tc>
        <w:tc>
          <w:tcPr>
            <w:tcW w:w="702" w:type="pct"/>
            <w:noWrap/>
            <w:vAlign w:val="center"/>
            <w:hideMark/>
          </w:tcPr>
          <w:p w14:paraId="3732B36D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100.00%</w:t>
            </w:r>
          </w:p>
        </w:tc>
        <w:tc>
          <w:tcPr>
            <w:tcW w:w="468" w:type="pct"/>
            <w:vAlign w:val="center"/>
          </w:tcPr>
          <w:p w14:paraId="2F1A3491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782" w:type="pct"/>
            <w:noWrap/>
            <w:vAlign w:val="center"/>
            <w:hideMark/>
          </w:tcPr>
          <w:p w14:paraId="1B5F5B98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EAASYQEALAR</w:t>
            </w:r>
          </w:p>
        </w:tc>
        <w:tc>
          <w:tcPr>
            <w:tcW w:w="703" w:type="pct"/>
            <w:noWrap/>
            <w:vAlign w:val="center"/>
            <w:hideMark/>
          </w:tcPr>
          <w:p w14:paraId="3449A38C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99.70%</w:t>
            </w:r>
          </w:p>
        </w:tc>
        <w:tc>
          <w:tcPr>
            <w:tcW w:w="625" w:type="pct"/>
            <w:noWrap/>
            <w:vAlign w:val="center"/>
            <w:hideMark/>
          </w:tcPr>
          <w:p w14:paraId="0813F6B9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1208.59</w:t>
            </w:r>
          </w:p>
        </w:tc>
      </w:tr>
      <w:tr w:rsidR="00A50C0C" w:rsidRPr="00A50C0C" w14:paraId="49AD067F" w14:textId="77777777" w:rsidTr="00F727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16BE1209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MAP2</w:t>
            </w:r>
          </w:p>
        </w:tc>
        <w:tc>
          <w:tcPr>
            <w:tcW w:w="707" w:type="pct"/>
            <w:noWrap/>
            <w:vAlign w:val="center"/>
            <w:hideMark/>
          </w:tcPr>
          <w:p w14:paraId="14C69553" w14:textId="77777777" w:rsidR="00F727D2" w:rsidRPr="00A50C0C" w:rsidRDefault="002A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P11137|MTAP2_HUMAN</w:t>
            </w:r>
          </w:p>
        </w:tc>
        <w:tc>
          <w:tcPr>
            <w:tcW w:w="546" w:type="pct"/>
            <w:noWrap/>
            <w:vAlign w:val="center"/>
            <w:hideMark/>
          </w:tcPr>
          <w:p w14:paraId="215B5D05" w14:textId="77777777" w:rsidR="00F727D2" w:rsidRPr="00A50C0C" w:rsidRDefault="002A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199527.90</w:t>
            </w:r>
          </w:p>
        </w:tc>
        <w:tc>
          <w:tcPr>
            <w:tcW w:w="702" w:type="pct"/>
            <w:noWrap/>
            <w:vAlign w:val="center"/>
            <w:hideMark/>
          </w:tcPr>
          <w:p w14:paraId="490C4C10" w14:textId="77777777" w:rsidR="00F727D2" w:rsidRPr="00A50C0C" w:rsidRDefault="002A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100.00%</w:t>
            </w:r>
          </w:p>
        </w:tc>
        <w:tc>
          <w:tcPr>
            <w:tcW w:w="468" w:type="pct"/>
            <w:vAlign w:val="center"/>
          </w:tcPr>
          <w:p w14:paraId="77CEEFB1" w14:textId="77777777" w:rsidR="00F727D2" w:rsidRPr="00A50C0C" w:rsidRDefault="002A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782" w:type="pct"/>
            <w:noWrap/>
            <w:vAlign w:val="center"/>
            <w:hideMark/>
          </w:tcPr>
          <w:p w14:paraId="58CE54C8" w14:textId="77777777" w:rsidR="00F727D2" w:rsidRPr="00A50C0C" w:rsidRDefault="002A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TTAAGGESALAPSVFK</w:t>
            </w:r>
          </w:p>
        </w:tc>
        <w:tc>
          <w:tcPr>
            <w:tcW w:w="703" w:type="pct"/>
            <w:noWrap/>
            <w:vAlign w:val="center"/>
            <w:hideMark/>
          </w:tcPr>
          <w:p w14:paraId="7E9763AE" w14:textId="77777777" w:rsidR="00F727D2" w:rsidRPr="00A50C0C" w:rsidRDefault="002A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99.70%</w:t>
            </w:r>
          </w:p>
        </w:tc>
        <w:tc>
          <w:tcPr>
            <w:tcW w:w="625" w:type="pct"/>
            <w:noWrap/>
            <w:vAlign w:val="center"/>
            <w:hideMark/>
          </w:tcPr>
          <w:p w14:paraId="10D8010D" w14:textId="77777777" w:rsidR="00F727D2" w:rsidRPr="00A50C0C" w:rsidRDefault="002A21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1506.78</w:t>
            </w:r>
          </w:p>
        </w:tc>
      </w:tr>
      <w:tr w:rsidR="00A50C0C" w:rsidRPr="00A50C0C" w14:paraId="6FB75192" w14:textId="77777777" w:rsidTr="00F72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0DDF0783" w14:textId="77777777" w:rsidR="00F727D2" w:rsidRPr="00A50C0C" w:rsidRDefault="002A2133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MBP</w:t>
            </w:r>
          </w:p>
        </w:tc>
        <w:tc>
          <w:tcPr>
            <w:tcW w:w="707" w:type="pct"/>
            <w:noWrap/>
            <w:vAlign w:val="center"/>
            <w:hideMark/>
          </w:tcPr>
          <w:p w14:paraId="402FEA1B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P02686|MBP_HUMAN</w:t>
            </w:r>
          </w:p>
        </w:tc>
        <w:tc>
          <w:tcPr>
            <w:tcW w:w="546" w:type="pct"/>
            <w:noWrap/>
            <w:vAlign w:val="center"/>
            <w:hideMark/>
          </w:tcPr>
          <w:p w14:paraId="0934EC86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33117.70</w:t>
            </w:r>
          </w:p>
        </w:tc>
        <w:tc>
          <w:tcPr>
            <w:tcW w:w="702" w:type="pct"/>
            <w:noWrap/>
            <w:vAlign w:val="center"/>
            <w:hideMark/>
          </w:tcPr>
          <w:p w14:paraId="4E627492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100.00%</w:t>
            </w:r>
          </w:p>
        </w:tc>
        <w:tc>
          <w:tcPr>
            <w:tcW w:w="468" w:type="pct"/>
            <w:vAlign w:val="center"/>
          </w:tcPr>
          <w:p w14:paraId="321EDF1B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82" w:type="pct"/>
            <w:noWrap/>
            <w:vAlign w:val="center"/>
            <w:hideMark/>
          </w:tcPr>
          <w:p w14:paraId="6561CF05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GVDAQGTLSK</w:t>
            </w:r>
          </w:p>
        </w:tc>
        <w:tc>
          <w:tcPr>
            <w:tcW w:w="703" w:type="pct"/>
            <w:noWrap/>
            <w:vAlign w:val="center"/>
            <w:hideMark/>
          </w:tcPr>
          <w:p w14:paraId="744FE634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99.70%</w:t>
            </w:r>
          </w:p>
        </w:tc>
        <w:tc>
          <w:tcPr>
            <w:tcW w:w="625" w:type="pct"/>
            <w:noWrap/>
            <w:vAlign w:val="center"/>
            <w:hideMark/>
          </w:tcPr>
          <w:p w14:paraId="383F4E9B" w14:textId="77777777" w:rsidR="00F727D2" w:rsidRPr="00A50C0C" w:rsidRDefault="002A2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</w:pPr>
            <w:r w:rsidRPr="00A50C0C">
              <w:rPr>
                <w:rFonts w:ascii="Arial" w:eastAsia="Times New Roman" w:hAnsi="Arial" w:cs="Arial"/>
                <w:sz w:val="16"/>
                <w:szCs w:val="16"/>
                <w:lang w:val="en-US" w:eastAsia="zh-CN"/>
              </w:rPr>
              <w:t>975.5107</w:t>
            </w:r>
          </w:p>
        </w:tc>
      </w:tr>
    </w:tbl>
    <w:p w14:paraId="66C12FE5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C5746BA" w14:textId="77777777" w:rsidR="00F727D2" w:rsidRPr="00A50C0C" w:rsidRDefault="002A213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A50C0C">
        <w:rPr>
          <w:rFonts w:ascii="Arial" w:hAnsi="Arial" w:cs="Arial"/>
          <w:b/>
          <w:sz w:val="24"/>
          <w:szCs w:val="24"/>
          <w:lang w:val="en-US"/>
        </w:rPr>
        <w:t>Supplementary Figure 4. MS/MS-spectra of tryptic peptides detected by MALDI-IMS and validated by LC-MS/MS analysis in experiment N°2 (FFPE, 3DISCO-cleared, and paraffin-(re)embedded human brain tissue samples).</w:t>
      </w:r>
      <w:r w:rsidRPr="00A50C0C">
        <w:rPr>
          <w:rFonts w:ascii="Arial" w:hAnsi="Arial" w:cs="Arial"/>
          <w:b/>
          <w:noProof/>
          <w:sz w:val="24"/>
          <w:szCs w:val="24"/>
          <w:lang w:val="en-US"/>
        </w:rPr>
        <w:t xml:space="preserve"> </w:t>
      </w:r>
      <w:r w:rsidRPr="00A50C0C">
        <w:rPr>
          <w:rFonts w:ascii="Arial" w:hAnsi="Arial" w:cs="Arial"/>
          <w:bCs/>
          <w:noProof/>
          <w:sz w:val="24"/>
          <w:szCs w:val="24"/>
          <w:lang w:val="en-US"/>
        </w:rPr>
        <w:t xml:space="preserve">The MS/MS-spectra shown in (a) correspond to ions of tryptic peptides of the same established </w:t>
      </w:r>
      <w:r w:rsidRPr="00A50C0C">
        <w:rPr>
          <w:rFonts w:ascii="Arial" w:hAnsi="Arial" w:cs="Arial"/>
          <w:bCs/>
          <w:sz w:val="24"/>
          <w:szCs w:val="24"/>
          <w:lang w:val="en-US"/>
        </w:rPr>
        <w:t xml:space="preserve">neural tissue marker proteins also detected by MALDI-MSI and confirmed by immunohistochemistry </w:t>
      </w:r>
      <w:r w:rsidRPr="00A50C0C">
        <w:rPr>
          <w:rFonts w:ascii="Arial" w:hAnsi="Arial" w:cs="Arial"/>
          <w:bCs/>
          <w:noProof/>
          <w:sz w:val="24"/>
          <w:szCs w:val="24"/>
          <w:lang w:val="en-US"/>
        </w:rPr>
        <w:t xml:space="preserve">(refer to Figure 2). </w:t>
      </w:r>
      <w:r w:rsidRPr="00A50C0C">
        <w:rPr>
          <w:rFonts w:ascii="Arial" w:hAnsi="Arial" w:cs="Arial"/>
          <w:bCs/>
          <w:sz w:val="24"/>
          <w:szCs w:val="24"/>
          <w:lang w:val="en-US"/>
        </w:rPr>
        <w:t>Tryptic peptide EAASYQEALAR+H</w:t>
      </w:r>
      <w:r w:rsidRPr="00A50C0C">
        <w:rPr>
          <w:rFonts w:ascii="Arial" w:hAnsi="Arial" w:cs="Arial"/>
          <w:bCs/>
          <w:sz w:val="24"/>
          <w:szCs w:val="24"/>
          <w:vertAlign w:val="superscript"/>
          <w:lang w:val="en-US"/>
        </w:rPr>
        <w:t>+</w:t>
      </w:r>
      <w:r w:rsidRPr="00A50C0C">
        <w:rPr>
          <w:rFonts w:ascii="Arial" w:hAnsi="Arial" w:cs="Arial"/>
          <w:bCs/>
          <w:sz w:val="24"/>
          <w:szCs w:val="24"/>
          <w:lang w:val="en-US"/>
        </w:rPr>
        <w:t xml:space="preserve"> (</w:t>
      </w:r>
      <w:r w:rsidRPr="00A50C0C">
        <w:rPr>
          <w:rFonts w:ascii="Arial" w:hAnsi="Arial" w:cs="Arial"/>
          <w:bCs/>
          <w:i/>
          <w:iCs/>
          <w:sz w:val="24"/>
          <w:szCs w:val="24"/>
          <w:lang w:val="en-US"/>
        </w:rPr>
        <w:t>m/z</w:t>
      </w:r>
      <w:r w:rsidRPr="00A50C0C">
        <w:rPr>
          <w:rFonts w:ascii="Arial" w:hAnsi="Arial" w:cs="Arial"/>
          <w:bCs/>
          <w:sz w:val="24"/>
          <w:szCs w:val="24"/>
          <w:lang w:val="en-US"/>
        </w:rPr>
        <w:t xml:space="preserve"> 1208.83) corresponds to glial fibrillary acidic protein (GFAP), an astrocyte-marker. Tryptic peptide TTAAGGESALAPSVFK+H</w:t>
      </w:r>
      <w:r w:rsidRPr="00A50C0C">
        <w:rPr>
          <w:rFonts w:ascii="Arial" w:hAnsi="Arial" w:cs="Arial"/>
          <w:bCs/>
          <w:sz w:val="24"/>
          <w:szCs w:val="24"/>
          <w:vertAlign w:val="superscript"/>
          <w:lang w:val="en-US"/>
        </w:rPr>
        <w:t>+</w:t>
      </w:r>
      <w:r w:rsidRPr="00A50C0C">
        <w:rPr>
          <w:rFonts w:ascii="Arial" w:hAnsi="Arial" w:cs="Arial"/>
          <w:bCs/>
          <w:sz w:val="24"/>
          <w:szCs w:val="24"/>
          <w:lang w:val="en-US"/>
        </w:rPr>
        <w:t xml:space="preserve"> (</w:t>
      </w:r>
      <w:r w:rsidRPr="00A50C0C">
        <w:rPr>
          <w:rFonts w:ascii="Arial" w:hAnsi="Arial" w:cs="Arial"/>
          <w:bCs/>
          <w:i/>
          <w:iCs/>
          <w:sz w:val="24"/>
          <w:szCs w:val="24"/>
          <w:lang w:val="en-US"/>
        </w:rPr>
        <w:t>m/z</w:t>
      </w:r>
      <w:r w:rsidRPr="00A50C0C">
        <w:rPr>
          <w:rFonts w:ascii="Arial" w:hAnsi="Arial" w:cs="Arial"/>
          <w:bCs/>
          <w:sz w:val="24"/>
          <w:szCs w:val="24"/>
          <w:lang w:val="en-US"/>
        </w:rPr>
        <w:t xml:space="preserve"> 1506.91) corresponds to microtubule-associated protein 2 (MAP2), a neuronal differentiation marker.</w:t>
      </w:r>
      <w:r w:rsidRPr="00A50C0C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A50C0C">
        <w:rPr>
          <w:rFonts w:ascii="Arial" w:hAnsi="Arial" w:cs="Arial"/>
          <w:bCs/>
          <w:sz w:val="24"/>
          <w:szCs w:val="24"/>
          <w:lang w:val="en-US"/>
        </w:rPr>
        <w:t>Tryptic peptide GVDAQGTLSK+H</w:t>
      </w:r>
      <w:r w:rsidRPr="00A50C0C">
        <w:rPr>
          <w:rFonts w:ascii="Arial" w:hAnsi="Arial" w:cs="Arial"/>
          <w:bCs/>
          <w:sz w:val="24"/>
          <w:szCs w:val="24"/>
          <w:vertAlign w:val="superscript"/>
          <w:lang w:val="en-US"/>
        </w:rPr>
        <w:t>+</w:t>
      </w:r>
      <w:r w:rsidRPr="00A50C0C">
        <w:rPr>
          <w:rFonts w:ascii="Arial" w:hAnsi="Arial" w:cs="Arial"/>
          <w:bCs/>
          <w:sz w:val="24"/>
          <w:szCs w:val="24"/>
          <w:lang w:val="en-US"/>
        </w:rPr>
        <w:t xml:space="preserve"> (</w:t>
      </w:r>
      <w:r w:rsidRPr="00A50C0C">
        <w:rPr>
          <w:rFonts w:ascii="Arial" w:hAnsi="Arial" w:cs="Arial"/>
          <w:bCs/>
          <w:i/>
          <w:iCs/>
          <w:sz w:val="24"/>
          <w:szCs w:val="24"/>
          <w:lang w:val="en-US"/>
        </w:rPr>
        <w:t>m/z</w:t>
      </w:r>
      <w:r w:rsidRPr="00A50C0C">
        <w:rPr>
          <w:rFonts w:ascii="Arial" w:hAnsi="Arial" w:cs="Arial"/>
          <w:bCs/>
          <w:sz w:val="24"/>
          <w:szCs w:val="24"/>
          <w:lang w:val="en-US"/>
        </w:rPr>
        <w:t xml:space="preserve"> 975.63) corresponds to myelin basic protein (MBP), a marker of myelinating glia, highly abundant in the white matter. Relevant parameters of the LC-MS/MS peptide 3 identification are provided in table b.</w:t>
      </w:r>
    </w:p>
    <w:p w14:paraId="5B40FB93" w14:textId="77777777" w:rsidR="00F727D2" w:rsidRPr="00A50C0C" w:rsidRDefault="00F727D2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7002478" w14:textId="69B62EDF" w:rsidR="00F727D2" w:rsidRPr="00A50C0C" w:rsidRDefault="002A2133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A50C0C">
        <w:rPr>
          <w:rFonts w:ascii="Arial" w:hAnsi="Arial" w:cs="Arial"/>
          <w:b/>
          <w:sz w:val="24"/>
          <w:szCs w:val="24"/>
          <w:lang w:val="en-US"/>
        </w:rPr>
        <w:t>Supplemetal</w:t>
      </w:r>
      <w:proofErr w:type="spellEnd"/>
      <w:r w:rsidRPr="00A50C0C">
        <w:rPr>
          <w:rFonts w:ascii="Arial" w:hAnsi="Arial" w:cs="Arial"/>
          <w:b/>
          <w:sz w:val="24"/>
          <w:szCs w:val="24"/>
          <w:lang w:val="en-US"/>
        </w:rPr>
        <w:t xml:space="preserve"> Video 1. LSFM guided MALDI-MSI</w:t>
      </w:r>
      <w:r w:rsidRPr="00A50C0C">
        <w:rPr>
          <w:rFonts w:ascii="Arial" w:hAnsi="Arial" w:cs="Arial"/>
          <w:sz w:val="24"/>
          <w:szCs w:val="24"/>
          <w:lang w:val="en-US"/>
        </w:rPr>
        <w:t xml:space="preserve"> </w:t>
      </w:r>
      <w:r w:rsidRPr="00A50C0C">
        <w:rPr>
          <w:rFonts w:ascii="Arial" w:hAnsi="Arial" w:cs="Arial"/>
          <w:b/>
          <w:sz w:val="24"/>
          <w:szCs w:val="24"/>
          <w:lang w:val="en-US"/>
        </w:rPr>
        <w:t xml:space="preserve">and integration of 2D MALDI-MS images with 3D-LSFM reconstructions of organ morphology. </w:t>
      </w:r>
      <w:r w:rsidRPr="00A50C0C">
        <w:rPr>
          <w:rFonts w:ascii="Arial" w:hAnsi="Arial" w:cs="Arial"/>
          <w:sz w:val="24"/>
          <w:szCs w:val="24"/>
          <w:lang w:val="en-US"/>
        </w:rPr>
        <w:t xml:space="preserve">The video shows the 3D reconstruction of a </w:t>
      </w:r>
      <w:proofErr w:type="spellStart"/>
      <w:r w:rsidRPr="00A50C0C">
        <w:rPr>
          <w:rFonts w:ascii="Arial" w:hAnsi="Arial" w:cs="Arial"/>
          <w:sz w:val="24"/>
          <w:szCs w:val="24"/>
          <w:lang w:val="en-US"/>
        </w:rPr>
        <w:t>PaxGene</w:t>
      </w:r>
      <w:proofErr w:type="spellEnd"/>
      <w:r w:rsidRPr="00A50C0C">
        <w:rPr>
          <w:rFonts w:ascii="Arial" w:hAnsi="Arial" w:cs="Arial"/>
          <w:sz w:val="24"/>
          <w:szCs w:val="24"/>
          <w:lang w:val="en-US"/>
        </w:rPr>
        <w:t>-fixed, optically cleared (3DISCO) mouse brain from a previous study</w:t>
      </w:r>
      <w:r w:rsidRPr="00A50C0C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PEVuZE5vdGU+PENpdGU+PEF1dGhvcj5IYXJyaXNvbjwvQXV0aG9yPjxZZWFyPjIwMTg8L1llYXI+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</w:fldData>
        </w:fldChar>
      </w:r>
      <w:r w:rsidRPr="00A50C0C">
        <w:rPr>
          <w:rFonts w:ascii="Arial" w:hAnsi="Arial" w:cs="Arial"/>
          <w:sz w:val="24"/>
          <w:szCs w:val="24"/>
          <w:lang w:val="en-US"/>
        </w:rPr>
        <w:instrText xml:space="preserve"> ADDIN EN.CITE </w:instrText>
      </w:r>
      <w:r w:rsidRPr="00A50C0C">
        <w:rPr>
          <w:rFonts w:ascii="Arial" w:hAnsi="Arial" w:cs="Arial"/>
          <w:sz w:val="24"/>
          <w:szCs w:val="24"/>
          <w:lang w:val="en-US"/>
        </w:rPr>
        <w:fldChar w:fldCharType="begin">
          <w:fldData xml:space="preserve">PEVuZE5vdGU+PENpdGU+PEF1dGhvcj5IYXJyaXNvbjwvQXV0aG9yPjxZZWFyPjIwMTg8L1llYXI+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</w:fldData>
        </w:fldChar>
      </w:r>
      <w:r w:rsidRPr="00A50C0C">
        <w:rPr>
          <w:rFonts w:ascii="Arial" w:hAnsi="Arial" w:cs="Arial"/>
          <w:sz w:val="24"/>
          <w:szCs w:val="24"/>
          <w:lang w:val="en-US"/>
        </w:rPr>
        <w:instrText xml:space="preserve"> ADDIN EN.CITE.DATA </w:instrText>
      </w:r>
      <w:r w:rsidRPr="00A50C0C">
        <w:rPr>
          <w:rFonts w:ascii="Arial" w:hAnsi="Arial" w:cs="Arial"/>
          <w:sz w:val="24"/>
          <w:szCs w:val="24"/>
          <w:lang w:val="en-US"/>
        </w:rPr>
      </w:r>
      <w:r w:rsidRPr="00A50C0C">
        <w:rPr>
          <w:rFonts w:ascii="Arial" w:hAnsi="Arial" w:cs="Arial"/>
          <w:sz w:val="24"/>
          <w:szCs w:val="24"/>
          <w:lang w:val="en-US"/>
        </w:rPr>
        <w:fldChar w:fldCharType="end"/>
      </w:r>
      <w:r w:rsidRPr="00A50C0C">
        <w:rPr>
          <w:rFonts w:ascii="Arial" w:hAnsi="Arial" w:cs="Arial"/>
          <w:sz w:val="24"/>
          <w:szCs w:val="24"/>
          <w:lang w:val="en-US"/>
        </w:rPr>
      </w:r>
      <w:r w:rsidRPr="00A50C0C">
        <w:rPr>
          <w:rFonts w:ascii="Arial" w:hAnsi="Arial" w:cs="Arial"/>
          <w:sz w:val="24"/>
          <w:szCs w:val="24"/>
          <w:lang w:val="en-US"/>
        </w:rPr>
        <w:fldChar w:fldCharType="separate"/>
      </w:r>
      <w:r w:rsidRPr="00A50C0C">
        <w:rPr>
          <w:rFonts w:ascii="Arial" w:hAnsi="Arial" w:cs="Arial"/>
          <w:noProof/>
          <w:sz w:val="24"/>
          <w:szCs w:val="24"/>
          <w:vertAlign w:val="superscript"/>
          <w:lang w:val="en-US"/>
        </w:rPr>
        <w:t>1</w:t>
      </w:r>
      <w:r w:rsidRPr="00A50C0C">
        <w:rPr>
          <w:rFonts w:ascii="Arial" w:hAnsi="Arial" w:cs="Arial"/>
          <w:sz w:val="24"/>
          <w:szCs w:val="24"/>
          <w:lang w:val="en-US"/>
        </w:rPr>
        <w:fldChar w:fldCharType="end"/>
      </w:r>
      <w:r w:rsidRPr="00A50C0C">
        <w:rPr>
          <w:rFonts w:ascii="Arial" w:hAnsi="Arial" w:cs="Arial"/>
          <w:sz w:val="24"/>
          <w:szCs w:val="24"/>
          <w:lang w:val="en-US"/>
        </w:rPr>
        <w:t xml:space="preserve">. Blood vessels are visualized in gray color (tagged by fluorescent labeled lectin) [0:00-0:06 sec]. The positions and orientations of the section planes of the tissue regions of interest (ROI N°1-3) selected for excision and MALDI-MSI are superimposed with MALDI-MS images  subsequently acquired in paraffin sections of the corresponding locations [0:09-0:34 sec], showing the spatial distributions and intensities of guanine nucleotide-binding protein subunit gamma-3 (Gng3, </w:t>
      </w:r>
      <w:r w:rsidRPr="00A50C0C">
        <w:rPr>
          <w:rFonts w:ascii="Arial" w:hAnsi="Arial" w:cs="Arial"/>
          <w:i/>
          <w:iCs/>
          <w:sz w:val="24"/>
          <w:szCs w:val="24"/>
          <w:lang w:val="en-US"/>
        </w:rPr>
        <w:t>m/z</w:t>
      </w:r>
      <w:r w:rsidRPr="00A50C0C">
        <w:rPr>
          <w:rFonts w:ascii="Arial" w:hAnsi="Arial" w:cs="Arial"/>
          <w:sz w:val="24"/>
          <w:szCs w:val="24"/>
          <w:lang w:val="en-US"/>
        </w:rPr>
        <w:t>:</w:t>
      </w:r>
      <w:r w:rsidRPr="00A50C0C">
        <w:rPr>
          <w:lang w:val="en-US"/>
        </w:rPr>
        <w:t xml:space="preserve"> </w:t>
      </w:r>
      <w:r w:rsidRPr="00A50C0C">
        <w:rPr>
          <w:rFonts w:ascii="Arial" w:hAnsi="Arial" w:cs="Arial"/>
          <w:sz w:val="24"/>
          <w:szCs w:val="24"/>
          <w:lang w:val="en-US"/>
        </w:rPr>
        <w:t xml:space="preserve">8300.63). Signal intensities are visualized by different colors; minimal intensities are shown in black-to blue, maximal intensities are indicated by red color (compare to the intensity-color scales shown in Fig. 1 and Fig. 2). </w:t>
      </w:r>
    </w:p>
    <w:p w14:paraId="14A47979" w14:textId="1513326E" w:rsidR="00A50C0C" w:rsidRPr="00A50C0C" w:rsidRDefault="00A50C0C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C8275E9" w14:textId="390A3B60" w:rsidR="00A50C0C" w:rsidRPr="00A50C0C" w:rsidRDefault="00A50C0C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50C0C"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>.</w:t>
      </w:r>
      <w:r w:rsidRPr="00A50C0C">
        <w:rPr>
          <w:rFonts w:ascii="Arial" w:hAnsi="Arial" w:cs="Arial"/>
          <w:sz w:val="24"/>
          <w:szCs w:val="24"/>
          <w:lang w:val="en-US"/>
        </w:rPr>
        <w:t xml:space="preserve"> Harrison, L., et al., Fluorescent blood-brain barrier tracing shows intact leptin transport in obese mice. Int J </w:t>
      </w:r>
      <w:proofErr w:type="spellStart"/>
      <w:r w:rsidRPr="00A50C0C">
        <w:rPr>
          <w:rFonts w:ascii="Arial" w:hAnsi="Arial" w:cs="Arial"/>
          <w:sz w:val="24"/>
          <w:szCs w:val="24"/>
          <w:lang w:val="en-US"/>
        </w:rPr>
        <w:t>Obes</w:t>
      </w:r>
      <w:proofErr w:type="spellEnd"/>
      <w:r w:rsidRPr="00A50C0C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A50C0C">
        <w:rPr>
          <w:rFonts w:ascii="Arial" w:hAnsi="Arial" w:cs="Arial"/>
          <w:sz w:val="24"/>
          <w:szCs w:val="24"/>
          <w:lang w:val="en-US"/>
        </w:rPr>
        <w:t>Lond</w:t>
      </w:r>
      <w:proofErr w:type="spellEnd"/>
      <w:r w:rsidRPr="00A50C0C">
        <w:rPr>
          <w:rFonts w:ascii="Arial" w:hAnsi="Arial" w:cs="Arial"/>
          <w:sz w:val="24"/>
          <w:szCs w:val="24"/>
          <w:lang w:val="en-US"/>
        </w:rPr>
        <w:t>), 2018.</w:t>
      </w:r>
    </w:p>
    <w:sectPr w:rsidR="00A50C0C" w:rsidRPr="00A50C0C">
      <w:footerReference w:type="default" r:id="rId14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C1FE99" w14:textId="77777777" w:rsidR="00AC34D7" w:rsidRDefault="00AC34D7">
      <w:pPr>
        <w:spacing w:after="0" w:line="240" w:lineRule="auto"/>
      </w:pPr>
      <w:r>
        <w:separator/>
      </w:r>
    </w:p>
  </w:endnote>
  <w:endnote w:type="continuationSeparator" w:id="0">
    <w:p w14:paraId="306B23BD" w14:textId="77777777" w:rsidR="00AC34D7" w:rsidRDefault="00AC3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887132"/>
      <w:docPartObj>
        <w:docPartGallery w:val="Page Numbers (Bottom of Page)"/>
        <w:docPartUnique/>
      </w:docPartObj>
    </w:sdtPr>
    <w:sdtEndPr/>
    <w:sdtContent>
      <w:p w14:paraId="06C1ADB6" w14:textId="77777777" w:rsidR="00F727D2" w:rsidRDefault="002A213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F31E3AD" w14:textId="77777777" w:rsidR="00F727D2" w:rsidRDefault="00F727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D4122" w14:textId="77777777" w:rsidR="00AC34D7" w:rsidRDefault="00AC34D7">
      <w:pPr>
        <w:spacing w:after="0" w:line="240" w:lineRule="auto"/>
      </w:pPr>
      <w:r>
        <w:separator/>
      </w:r>
    </w:p>
  </w:footnote>
  <w:footnote w:type="continuationSeparator" w:id="0">
    <w:p w14:paraId="3704FE78" w14:textId="77777777" w:rsidR="00AC34D7" w:rsidRDefault="00AC3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D0165"/>
    <w:multiLevelType w:val="hybridMultilevel"/>
    <w:tmpl w:val="EBFE3702"/>
    <w:lvl w:ilvl="0" w:tplc="C846AE5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739A3"/>
    <w:multiLevelType w:val="hybridMultilevel"/>
    <w:tmpl w:val="5F7C9658"/>
    <w:lvl w:ilvl="0" w:tplc="B15E10B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20EA0"/>
    <w:multiLevelType w:val="hybridMultilevel"/>
    <w:tmpl w:val="8A4628DC"/>
    <w:lvl w:ilvl="0" w:tplc="C846AE5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249B0"/>
    <w:multiLevelType w:val="hybridMultilevel"/>
    <w:tmpl w:val="3D4AA1F8"/>
    <w:lvl w:ilvl="0" w:tplc="C846AE5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alytical Che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99f9de6sws9eewsv8x9f21f0z9rzepp5rx&quot;&gt;MALDI_after_clearing Copy&lt;record-ids&gt;&lt;item&gt;18&lt;/item&gt;&lt;item&gt;19&lt;/item&gt;&lt;/record-ids&gt;&lt;/item&gt;&lt;/Libraries&gt;"/>
  </w:docVars>
  <w:rsids>
    <w:rsidRoot w:val="00F727D2"/>
    <w:rsid w:val="002A2133"/>
    <w:rsid w:val="009413E0"/>
    <w:rsid w:val="00A50C0C"/>
    <w:rsid w:val="00AC34D7"/>
    <w:rsid w:val="00BC6411"/>
    <w:rsid w:val="00DC73E6"/>
    <w:rsid w:val="00F7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FC34ED"/>
  <w15:docId w15:val="{2956C1AF-7E72-4BF4-A9BB-66694769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customStyle="1" w:styleId="EndNoteBibliographyTitle">
    <w:name w:val="EndNote Bibliography Title"/>
    <w:basedOn w:val="Standard"/>
    <w:link w:val="EndNoteBibliographyTitleZchn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Pr>
      <w:rFonts w:ascii="Calibri" w:hAnsi="Calibri"/>
      <w:noProof/>
      <w:lang w:val="en-US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E2DBB-3BBA-4F50-9E7C-74214E6E9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1286</Words>
  <Characters>8103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Blutke</dc:creator>
  <cp:lastModifiedBy>Blutke</cp:lastModifiedBy>
  <cp:revision>10</cp:revision>
  <cp:lastPrinted>2019-01-24T07:54:00Z</cp:lastPrinted>
  <dcterms:created xsi:type="dcterms:W3CDTF">2020-06-08T13:01:00Z</dcterms:created>
  <dcterms:modified xsi:type="dcterms:W3CDTF">2020-07-11T06:03:00Z</dcterms:modified>
</cp:coreProperties>
</file>