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284"/>
        </w:tabs>
        <w:spacing w:line="480" w:lineRule="auto"/>
        <w:ind w:left="810" w:right="540"/>
        <w:contextualSpacing/>
        <w:jc w:val="center"/>
        <w:rPr>
          <w:rFonts w:ascii="Arial" w:hAnsi="Arial" w:cs="Arial"/>
          <w:b/>
          <w:sz w:val="24"/>
        </w:rPr>
      </w:pPr>
    </w:p>
    <w:p>
      <w:pPr>
        <w:tabs>
          <w:tab w:val="left" w:pos="284"/>
        </w:tabs>
        <w:spacing w:line="480" w:lineRule="auto"/>
        <w:ind w:left="810" w:right="540"/>
        <w:contextualSpacing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Association of generalized and central obesity with serum and salivary cortisol secretion patterns in the elderly. Findings from the cross sectional KORA-Age Study.</w:t>
      </w:r>
    </w:p>
    <w:p>
      <w:pPr>
        <w:tabs>
          <w:tab w:val="left" w:pos="284"/>
        </w:tabs>
        <w:spacing w:line="48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Running title: Association of cortisol levels and obesity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Karl-Heinz </w:t>
      </w:r>
      <w:proofErr w:type="spellStart"/>
      <w:r>
        <w:rPr>
          <w:rFonts w:ascii="Arial" w:hAnsi="Arial" w:cs="Arial"/>
          <w:sz w:val="22"/>
          <w:szCs w:val="22"/>
        </w:rPr>
        <w:t>Ladwig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vertAlign w:val="superscript"/>
        </w:rPr>
        <w:t>a,b</w:t>
      </w:r>
      <w:proofErr w:type="gramEnd"/>
      <w:r>
        <w:rPr>
          <w:rFonts w:ascii="Arial" w:hAnsi="Arial" w:cs="Arial"/>
          <w:sz w:val="22"/>
          <w:szCs w:val="22"/>
          <w:vertAlign w:val="superscript"/>
        </w:rPr>
        <w:t>,c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Sonja Charlotte </w:t>
      </w:r>
      <w:proofErr w:type="spellStart"/>
      <w:r>
        <w:rPr>
          <w:rFonts w:ascii="Arial" w:hAnsi="Arial" w:cs="Arial"/>
          <w:sz w:val="22"/>
          <w:szCs w:val="22"/>
        </w:rPr>
        <w:t>Schriever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vertAlign w:val="superscript"/>
        </w:rPr>
        <w:t>b,d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Seryan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Atasoy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vertAlign w:val="superscript"/>
        </w:rPr>
        <w:t>a,b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Martin </w:t>
      </w:r>
      <w:proofErr w:type="spellStart"/>
      <w:r>
        <w:rPr>
          <w:rFonts w:ascii="Arial" w:hAnsi="Arial" w:cs="Arial"/>
          <w:sz w:val="22"/>
          <w:szCs w:val="22"/>
        </w:rPr>
        <w:t>Bidlingmaier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e</w:t>
      </w:r>
      <w:r>
        <w:rPr>
          <w:rFonts w:ascii="Arial" w:hAnsi="Arial" w:cs="Arial"/>
          <w:sz w:val="22"/>
          <w:szCs w:val="22"/>
        </w:rPr>
        <w:t xml:space="preserve">, Johannes Kruse </w:t>
      </w:r>
      <w:proofErr w:type="spellStart"/>
      <w:r>
        <w:rPr>
          <w:rFonts w:ascii="Arial" w:hAnsi="Arial" w:cs="Arial"/>
          <w:i/>
          <w:sz w:val="22"/>
          <w:szCs w:val="22"/>
          <w:vertAlign w:val="superscript"/>
        </w:rPr>
        <w:t>b,f</w:t>
      </w:r>
      <w:proofErr w:type="spellEnd"/>
      <w:r>
        <w:rPr>
          <w:rFonts w:ascii="Arial" w:hAnsi="Arial" w:cs="Arial"/>
          <w:sz w:val="22"/>
          <w:szCs w:val="22"/>
        </w:rPr>
        <w:t xml:space="preserve"> and  </w:t>
      </w:r>
      <w:proofErr w:type="spellStart"/>
      <w:r>
        <w:rPr>
          <w:rFonts w:ascii="Arial" w:hAnsi="Arial" w:cs="Arial"/>
          <w:sz w:val="22"/>
          <w:szCs w:val="22"/>
        </w:rPr>
        <w:t>Hamimatunn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isa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Johar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vertAlign w:val="superscript"/>
        </w:rPr>
        <w:t>a,b</w:t>
      </w:r>
      <w:proofErr w:type="spellEnd"/>
      <w:r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i/>
          <w:sz w:val="22"/>
          <w:szCs w:val="22"/>
          <w:lang w:val="de-DE"/>
        </w:rPr>
      </w:pPr>
      <w:r>
        <w:rPr>
          <w:rFonts w:ascii="Arial" w:hAnsi="Arial" w:cs="Arial"/>
          <w:i/>
          <w:sz w:val="22"/>
          <w:szCs w:val="22"/>
          <w:vertAlign w:val="superscript"/>
          <w:lang w:val="de-DE"/>
        </w:rPr>
        <w:t>a</w:t>
      </w:r>
      <w:r>
        <w:rPr>
          <w:rFonts w:ascii="Arial" w:hAnsi="Arial" w:cs="Arial"/>
          <w:i/>
          <w:sz w:val="22"/>
          <w:szCs w:val="22"/>
          <w:lang w:val="de-DE"/>
        </w:rPr>
        <w:t xml:space="preserve">Institute of Epidemiology, Helmholtz Zentrum München, Neuherberg, Germany. 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i/>
          <w:sz w:val="22"/>
          <w:szCs w:val="22"/>
          <w:lang w:val="de-DE"/>
        </w:rPr>
      </w:pPr>
      <w:r>
        <w:rPr>
          <w:rFonts w:ascii="Arial" w:hAnsi="Arial" w:cs="Arial"/>
          <w:i/>
          <w:sz w:val="22"/>
          <w:szCs w:val="22"/>
          <w:vertAlign w:val="superscript"/>
          <w:lang w:val="de-DE"/>
        </w:rPr>
        <w:t>b</w:t>
      </w:r>
      <w:r>
        <w:rPr>
          <w:rFonts w:ascii="Arial" w:hAnsi="Arial" w:cs="Arial"/>
          <w:i/>
          <w:sz w:val="22"/>
          <w:szCs w:val="22"/>
          <w:lang w:val="de-DE"/>
        </w:rPr>
        <w:t>German Center for Diabetes Research (DZD), München-Neuherberg, Germany.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i/>
          <w:sz w:val="22"/>
          <w:szCs w:val="22"/>
          <w:lang w:val="de-DE"/>
        </w:rPr>
      </w:pPr>
      <w:r>
        <w:rPr>
          <w:rFonts w:ascii="Arial" w:hAnsi="Arial" w:cs="Arial"/>
          <w:i/>
          <w:sz w:val="22"/>
          <w:szCs w:val="22"/>
          <w:vertAlign w:val="superscript"/>
          <w:lang w:val="de-DE"/>
        </w:rPr>
        <w:t>c</w:t>
      </w:r>
      <w:r>
        <w:rPr>
          <w:rFonts w:ascii="Arial" w:hAnsi="Arial" w:cs="Arial"/>
          <w:i/>
          <w:sz w:val="22"/>
          <w:szCs w:val="22"/>
          <w:lang w:val="de-DE"/>
        </w:rPr>
        <w:t xml:space="preserve">Department of Psychosomatic Medicine and Psychotherapy, Klinikum rechts der Isar, Technische Universität München, Munich, Germany. 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i/>
          <w:sz w:val="22"/>
          <w:szCs w:val="22"/>
          <w:lang w:val="de-DE"/>
        </w:rPr>
      </w:pPr>
      <w:r>
        <w:rPr>
          <w:rFonts w:ascii="Arial" w:hAnsi="Arial" w:cs="Arial"/>
          <w:i/>
          <w:sz w:val="22"/>
          <w:szCs w:val="22"/>
          <w:vertAlign w:val="superscript"/>
          <w:lang w:val="de-DE"/>
        </w:rPr>
        <w:t>d</w:t>
      </w:r>
      <w:r>
        <w:rPr>
          <w:rFonts w:ascii="Arial" w:hAnsi="Arial" w:cs="Arial"/>
          <w:i/>
          <w:sz w:val="22"/>
          <w:szCs w:val="22"/>
          <w:lang w:val="de-DE"/>
        </w:rPr>
        <w:t xml:space="preserve">Research Unit Neurobiology of Diabetes, Institute for Diabetes and Obesity, Helmholtz Diabetes Center, Helmholtz Zentrum München, Neuherberg, Germany. 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i/>
          <w:sz w:val="22"/>
          <w:szCs w:val="22"/>
          <w:lang w:val="de-DE"/>
        </w:rPr>
      </w:pPr>
      <w:r>
        <w:rPr>
          <w:rFonts w:ascii="Arial" w:hAnsi="Arial" w:cs="Arial"/>
          <w:i/>
          <w:sz w:val="22"/>
          <w:szCs w:val="22"/>
          <w:vertAlign w:val="superscript"/>
          <w:lang w:val="de-DE"/>
        </w:rPr>
        <w:t>e</w:t>
      </w:r>
      <w:r>
        <w:rPr>
          <w:rFonts w:ascii="Arial" w:hAnsi="Arial" w:cs="Arial"/>
          <w:i/>
          <w:sz w:val="22"/>
          <w:szCs w:val="22"/>
          <w:lang w:val="de-DE"/>
        </w:rPr>
        <w:t>Medizinische Klinik und Poliklinik IV, Klinikum der Ludwig-Maximilians-Universität München, Munich, Germany.</w:t>
      </w:r>
    </w:p>
    <w:p>
      <w:pPr>
        <w:pStyle w:val="NormalWeb"/>
        <w:spacing w:before="0" w:beforeAutospacing="0" w:after="270" w:afterAutospacing="0" w:line="480" w:lineRule="auto"/>
        <w:ind w:firstLine="900"/>
        <w:contextualSpacing/>
        <w:jc w:val="center"/>
        <w:textAlignment w:val="baseline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  <w:vertAlign w:val="superscript"/>
        </w:rPr>
        <w:t>f</w:t>
      </w:r>
      <w:r>
        <w:rPr>
          <w:rFonts w:ascii="Arial" w:hAnsi="Arial" w:cs="Arial"/>
          <w:i/>
          <w:sz w:val="22"/>
          <w:szCs w:val="22"/>
        </w:rPr>
        <w:t>Department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of Psychosomatic Medicine and Psychotherapy, University of </w:t>
      </w:r>
      <w:proofErr w:type="spellStart"/>
      <w:r>
        <w:rPr>
          <w:rFonts w:ascii="Arial" w:hAnsi="Arial" w:cs="Arial"/>
          <w:i/>
          <w:sz w:val="22"/>
          <w:szCs w:val="22"/>
        </w:rPr>
        <w:t>Gießen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and Marburg, </w:t>
      </w:r>
      <w:proofErr w:type="spellStart"/>
      <w:r>
        <w:rPr>
          <w:rFonts w:ascii="Arial" w:hAnsi="Arial" w:cs="Arial"/>
          <w:i/>
          <w:sz w:val="22"/>
          <w:szCs w:val="22"/>
        </w:rPr>
        <w:t>Gießen</w:t>
      </w:r>
      <w:proofErr w:type="spellEnd"/>
      <w:r>
        <w:rPr>
          <w:rFonts w:ascii="Arial" w:hAnsi="Arial" w:cs="Arial"/>
          <w:i/>
          <w:sz w:val="22"/>
          <w:szCs w:val="22"/>
        </w:rPr>
        <w:t>, Germany.</w:t>
      </w:r>
    </w:p>
    <w:p>
      <w:pPr>
        <w:ind w:left="720" w:right="72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>
      <w:pPr>
        <w:spacing w:line="480" w:lineRule="auto"/>
        <w:ind w:left="540"/>
        <w:rPr>
          <w:rFonts w:cstheme="minorHAnsi"/>
          <w:b/>
        </w:rPr>
      </w:pPr>
      <w:r>
        <w:rPr>
          <w:rFonts w:cstheme="minorHAnsi"/>
          <w:b/>
        </w:rPr>
        <w:lastRenderedPageBreak/>
        <w:t>List of Supplementary files</w:t>
      </w:r>
    </w:p>
    <w:p>
      <w:pPr>
        <w:spacing w:line="480" w:lineRule="auto"/>
        <w:ind w:left="540"/>
        <w:rPr>
          <w:rFonts w:cstheme="minorHAnsi"/>
        </w:rPr>
      </w:pPr>
      <w:r>
        <w:rPr>
          <w:rFonts w:cstheme="minorHAnsi"/>
          <w:u w:val="single"/>
        </w:rPr>
        <w:t>Supplementary table 1</w:t>
      </w:r>
      <w:r>
        <w:rPr>
          <w:rFonts w:cstheme="minorHAnsi"/>
        </w:rPr>
        <w:t xml:space="preserve">: Sex-stratified, age-adjusted least-squares (LS) means of log-transformed cortisol levels in </w:t>
      </w:r>
      <w:proofErr w:type="spellStart"/>
      <w:r>
        <w:rPr>
          <w:rFonts w:cstheme="minorHAnsi"/>
        </w:rPr>
        <w:t>nmol</w:t>
      </w:r>
      <w:proofErr w:type="spellEnd"/>
      <w:r>
        <w:rPr>
          <w:rFonts w:cstheme="minorHAnsi"/>
        </w:rPr>
        <w:t>/L (95%CI and P-values) by obesity measures</w:t>
      </w:r>
    </w:p>
    <w:p>
      <w:pPr>
        <w:spacing w:line="480" w:lineRule="auto"/>
        <w:ind w:left="540"/>
        <w:rPr>
          <w:rFonts w:cstheme="minorHAnsi"/>
        </w:rPr>
      </w:pPr>
      <w:r>
        <w:rPr>
          <w:rFonts w:cstheme="minorHAnsi"/>
          <w:u w:val="single"/>
        </w:rPr>
        <w:t>Supplementary Table 2</w:t>
      </w:r>
      <w:r>
        <w:rPr>
          <w:rFonts w:cstheme="minorHAnsi"/>
        </w:rPr>
        <w:t>: β estimates, standard errors (SE) and P-values of multivariable linear regression of the association of cortisol levels and obesity measures</w:t>
      </w:r>
    </w:p>
    <w:p>
      <w:r>
        <w:br w:type="page"/>
      </w:r>
    </w:p>
    <w:tbl>
      <w:tblPr>
        <w:tblW w:w="13609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9"/>
      </w:tblGrid>
      <w:tr>
        <w:trPr>
          <w:trHeight w:val="300"/>
        </w:trPr>
        <w:tc>
          <w:tcPr>
            <w:tcW w:w="136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Cs w:val="20"/>
              </w:rPr>
              <w:lastRenderedPageBreak/>
              <w:t xml:space="preserve">Supplementary table 1: </w:t>
            </w:r>
            <w:r>
              <w:rPr>
                <w:rFonts w:eastAsia="Times New Roman" w:cstheme="minorHAnsi"/>
                <w:bCs/>
                <w:color w:val="000000"/>
                <w:szCs w:val="20"/>
              </w:rPr>
              <w:t xml:space="preserve">Sex-stratified, age-adjusted least-squares (LS) means of log-transformed cortisol levels (95%CI and </w:t>
            </w:r>
            <w:r>
              <w:rPr>
                <w:rFonts w:eastAsia="Times New Roman" w:cstheme="minorHAnsi"/>
                <w:bCs/>
                <w:i/>
                <w:color w:val="000000"/>
                <w:szCs w:val="20"/>
              </w:rPr>
              <w:t>P</w:t>
            </w:r>
            <w:r>
              <w:rPr>
                <w:rFonts w:eastAsia="Times New Roman" w:cstheme="minorHAnsi"/>
                <w:bCs/>
                <w:color w:val="000000"/>
                <w:szCs w:val="20"/>
              </w:rPr>
              <w:t xml:space="preserve">-values) in </w:t>
            </w:r>
            <w:proofErr w:type="spellStart"/>
            <w:r>
              <w:rPr>
                <w:rFonts w:eastAsia="Times New Roman" w:cstheme="minorHAnsi"/>
                <w:bCs/>
                <w:color w:val="000000"/>
                <w:szCs w:val="20"/>
              </w:rPr>
              <w:t>nmol</w:t>
            </w:r>
            <w:proofErr w:type="spellEnd"/>
            <w:r>
              <w:rPr>
                <w:rFonts w:eastAsia="Times New Roman" w:cstheme="minorHAnsi"/>
                <w:bCs/>
                <w:color w:val="000000"/>
                <w:szCs w:val="20"/>
              </w:rPr>
              <w:t>/L by obesity measures</w:t>
            </w:r>
          </w:p>
        </w:tc>
      </w:tr>
    </w:tbl>
    <w:tbl>
      <w:tblPr>
        <w:tblStyle w:val="TableGrid"/>
        <w:tblW w:w="139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62"/>
        <w:gridCol w:w="1134"/>
        <w:gridCol w:w="1657"/>
        <w:gridCol w:w="1036"/>
        <w:gridCol w:w="1604"/>
        <w:gridCol w:w="90"/>
        <w:gridCol w:w="90"/>
        <w:gridCol w:w="768"/>
        <w:gridCol w:w="1701"/>
        <w:gridCol w:w="2268"/>
      </w:tblGrid>
      <w:tr>
        <w:tc>
          <w:tcPr>
            <w:tcW w:w="139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BMI categories</w:t>
            </w:r>
          </w:p>
        </w:tc>
      </w:tr>
      <w:tr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Normal weight (20-&lt;25 kg/m²)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Overweight (25-&lt;30 kg/m²)      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Obese (≥30 kg/m²)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b/>
                <w:bCs/>
                <w:i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i/>
                <w:color w:val="000000"/>
                <w:sz w:val="19"/>
                <w:szCs w:val="19"/>
              </w:rPr>
              <w:t>Male (N=394)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(n=66, 16.8%)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(n=205, 52.0%)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(n=123, 31.2%)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Morning after awakening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, M1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2.38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(2.24 - 2.52)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2.39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(2.31 - 2.47)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2.25 - 2.45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0.82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30 Minutes after awakening, M2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2.69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2.55- 2.83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2.55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2.47 - 2.63)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2.69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2.55 - 2.83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0.17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Late night (LNSC)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0.83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0.66 – 1.00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0.67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0.58 - 0.77)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0.55 – 0.79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0.26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M1/LNSC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1.55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1.35 - 1.75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1.72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1.61 - 1.83)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1.54 - 1.82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0.34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M2/LNSC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1.86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1.66 - 2.07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1.88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1.76 –1.99)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1.82 - 2.12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0.58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Serum cortisol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3.38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(3.27 - 3.48)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3.20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(3.14 - 3.26)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(3.16 – 3.32)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0.13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Cortisol Awakening Response, CAR*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4.25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(2.27 - 6.24)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1.91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(0.78 - 3.04)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4.37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(2.92 - 5.82)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0.02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CAR</w:t>
            </w:r>
            <w:r>
              <w:rPr>
                <w:rFonts w:eastAsia="Times New Roman" w:cstheme="minorHAnsi"/>
                <w:color w:val="000000"/>
                <w:sz w:val="19"/>
                <w:szCs w:val="19"/>
                <w:vertAlign w:val="subscript"/>
              </w:rPr>
              <w:t xml:space="preserve">AUC 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425.34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(378.81 - 471.88)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416.57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(390.18 – 442.92)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425.40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(391.34 –459.46)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0.90</w:t>
            </w:r>
          </w:p>
        </w:tc>
      </w:tr>
      <w:t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i/>
                <w:color w:val="000000"/>
                <w:sz w:val="19"/>
                <w:szCs w:val="19"/>
              </w:rPr>
              <w:t>Female (n=375)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 (n=82, 21.9%)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(n=171, 45.6%)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(n=122, 32.5%)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19"/>
                <w:szCs w:val="19"/>
              </w:rPr>
              <w:t>P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Morning after awakening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, M1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2.49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(2.435- 2.63)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2.26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(2.17 - 2.36)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(2.22 - 2.44)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0.03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30 Minutes after awakening, M2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2.74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(2.60 - 2.88)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2.63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(2.53 - 2.72)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2.61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(2.49 - 2.72)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0.30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Late night (LNSC)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0.71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(0.56 - 0.85)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0.59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0.49 - 0.68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0.59 - 0.83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0.20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M1/LNSC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1.79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1.61 – 1.96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1.68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1.55 - 1.80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1.48 - 1.76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0.34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M2/LNSC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2.03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1.86 - 2.21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2.04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1.92 - 2.16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1.90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 xml:space="preserve">1.76 </w:t>
            </w:r>
            <w:r>
              <w:rPr>
                <w:rFonts w:cstheme="minorHAnsi"/>
                <w:sz w:val="19"/>
                <w:szCs w:val="19"/>
              </w:rPr>
              <w:t>- 2.04)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0.31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Serum cortisol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3.16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(3.05 – 3.26)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3.04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(2.97 – 3.11)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(3.01 – 3.19)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0.55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Cortisol Awakening Response, CAR*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3.99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(2.21 - 5.77)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4.76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(3.53 – 5.99)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3.66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(2.20 - 5.12)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0.51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CAR</w:t>
            </w:r>
            <w:r>
              <w:rPr>
                <w:rFonts w:eastAsia="Times New Roman" w:cstheme="minorHAnsi"/>
                <w:color w:val="000000"/>
                <w:sz w:val="19"/>
                <w:szCs w:val="19"/>
                <w:vertAlign w:val="subscript"/>
              </w:rPr>
              <w:t xml:space="preserve">AUC 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488.84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(442.10 – 525.03)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410.52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(381.85 – 439.20)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415.93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(382.01 – 449.88)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0.01</w:t>
            </w:r>
          </w:p>
        </w:tc>
      </w:tr>
      <w:tr>
        <w:tc>
          <w:tcPr>
            <w:tcW w:w="139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WHR categories</w:t>
            </w:r>
          </w:p>
        </w:tc>
      </w:tr>
      <w:t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i/>
                <w:color w:val="000000"/>
                <w:sz w:val="19"/>
                <w:szCs w:val="19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Low WHR (n=255)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Medium WHR (n=259)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High WHR (n=255)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19"/>
                <w:szCs w:val="19"/>
              </w:rPr>
              <w:t>P</w:t>
            </w:r>
          </w:p>
        </w:tc>
      </w:tr>
      <w:t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i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i/>
                <w:color w:val="000000"/>
                <w:sz w:val="19"/>
                <w:szCs w:val="19"/>
              </w:rPr>
              <w:t>Male (N=394)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 (n=131, 51.4%)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 (n=132, 51.0%)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 (N=131, 51.4%)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19"/>
                <w:szCs w:val="19"/>
              </w:rPr>
              <w:t>P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Morning after awakening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, M1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(2.27 - 2.47)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2.43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  <w:lang w:val="de-DE"/>
              </w:rPr>
              <w:t>(</w:t>
            </w:r>
            <w:r>
              <w:rPr>
                <w:rFonts w:cstheme="minorHAnsi"/>
                <w:sz w:val="19"/>
                <w:szCs w:val="19"/>
              </w:rPr>
              <w:t>2.33 - 2.53)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(2.23 - 2.43)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0.58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30 Minutes after awakening, M2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(2.54 - 2.74)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(2.45 - 2.65)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(2.52 - 2.72)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0.72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Late night (LNSC)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0.77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(0.65 – 0.89)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0.66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(0.54 - 0.78)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(0.55 - 0.79)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0.22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M1/LNSC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1.60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(1.46 - 1.74)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1.77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(1.64 - 1.91)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(1.53 – 1.80)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0.51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M2/LNSC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1.87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(1.7</w:t>
            </w:r>
            <w:r>
              <w:rPr>
                <w:rFonts w:cstheme="minorHAnsi"/>
                <w:sz w:val="19"/>
                <w:szCs w:val="19"/>
                <w:lang w:val="de-DE"/>
              </w:rPr>
              <w:t>2 - 2.02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1.89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  <w:lang w:val="de-DE"/>
              </w:rPr>
              <w:t>(1.74 - 2.03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  <w:lang w:val="de-DE"/>
              </w:rPr>
              <w:t>(1.80 - 2.10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  <w:lang w:val="de-DE"/>
              </w:rPr>
              <w:t>0.44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Serum cortisol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(2.24 – 2.39)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2.20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  <w:lang w:val="de-DE"/>
              </w:rPr>
              <w:t>(2.12 -2.27)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(2.09 – 2.24)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0.005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Cortisol Awakening Response, CAR*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3.44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(2.03 - 4.86)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1.73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(0.32 – 3.14)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(2.63 – 5.45)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0.56</w:t>
            </w:r>
          </w:p>
        </w:tc>
      </w:tr>
      <w:tr>
        <w:trPr>
          <w:trHeight w:val="272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CAR</w:t>
            </w:r>
            <w:r>
              <w:rPr>
                <w:rFonts w:eastAsia="Times New Roman" w:cstheme="minorHAnsi"/>
                <w:color w:val="000000"/>
                <w:sz w:val="19"/>
                <w:szCs w:val="19"/>
                <w:vertAlign w:val="subscript"/>
              </w:rPr>
              <w:t xml:space="preserve">AUC 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409.26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(376.28 – 442.24)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426.16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(393.31- 459.00)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426.45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(393.46 – 459.44)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0.47</w:t>
            </w:r>
          </w:p>
        </w:tc>
      </w:tr>
      <w:tr>
        <w:tc>
          <w:tcPr>
            <w:tcW w:w="3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i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i/>
                <w:color w:val="000000"/>
                <w:sz w:val="19"/>
                <w:szCs w:val="19"/>
              </w:rPr>
              <w:t>Female (N=375)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 (n=124, 48.6%)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>(n=127, 49.0%)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9"/>
                <w:szCs w:val="19"/>
              </w:rPr>
              <w:t xml:space="preserve"> (N=124, 48.6%)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19"/>
                <w:szCs w:val="19"/>
              </w:rPr>
              <w:t>P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Morning after awakening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, M1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2.37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(2.26 - 2.48)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(2.28 - 2.50)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(2.13 - 2.35)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0.09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30 Minutes after awakening, M2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2.64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(2.53 - 2.75)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(2.54 - 2.76)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(2.53 - 2.75)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0.99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Late night (LNSC)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0.56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  <w:lang w:val="de-DE"/>
              </w:rPr>
            </w:pPr>
            <w:r>
              <w:rPr>
                <w:rFonts w:cstheme="minorHAnsi"/>
                <w:sz w:val="19"/>
                <w:szCs w:val="19"/>
              </w:rPr>
              <w:t>(</w:t>
            </w:r>
            <w:r>
              <w:rPr>
                <w:rFonts w:cstheme="minorHAnsi"/>
                <w:sz w:val="19"/>
                <w:szCs w:val="19"/>
                <w:lang w:val="de-DE"/>
              </w:rPr>
              <w:t>0.44 – 0.67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0.68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(0.57 - 0.80)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0.72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(0.60 - 0.83)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0.06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M1/LNSC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1.81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(1.67 – 1.96)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1.71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(1.57 - 1.85)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(1.38 - 1.66)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b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b/>
                <w:color w:val="000000"/>
                <w:sz w:val="19"/>
                <w:szCs w:val="19"/>
              </w:rPr>
              <w:t>0.004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M2/LNSC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2.08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(1.9</w:t>
            </w:r>
            <w:r>
              <w:rPr>
                <w:rFonts w:cstheme="minorHAnsi"/>
                <w:sz w:val="19"/>
                <w:szCs w:val="19"/>
                <w:lang w:val="de-DE"/>
              </w:rPr>
              <w:t>4 - 2.23</w:t>
            </w:r>
            <w:r>
              <w:rPr>
                <w:rFonts w:cstheme="minorHAnsi"/>
                <w:sz w:val="19"/>
                <w:szCs w:val="19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1.97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(1.82 - 2.11)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(1.78 - 2.07)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0.13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 xml:space="preserve">Serum cortisol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2.11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(2.03 – 2.20)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(2.01 – 2.18)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(1.93 – 2.07)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0.12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Cortisol Awakening Response, CAR*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3.62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(2.18 – 5.06)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3.58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(2.16 – 5.01)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(4.07 – 6.95)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0.07</w:t>
            </w:r>
          </w:p>
        </w:tc>
      </w:tr>
      <w:tr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CAR</w:t>
            </w:r>
            <w:r>
              <w:rPr>
                <w:rFonts w:eastAsia="Times New Roman" w:cstheme="minorHAnsi"/>
                <w:color w:val="000000"/>
                <w:sz w:val="19"/>
                <w:szCs w:val="19"/>
                <w:vertAlign w:val="subscript"/>
              </w:rPr>
              <w:t xml:space="preserve">AUC </w:t>
            </w:r>
            <w:r>
              <w:rPr>
                <w:rFonts w:eastAsia="Times New Roman" w:cstheme="minorHAnsi"/>
                <w:color w:val="000000"/>
                <w:sz w:val="19"/>
                <w:szCs w:val="19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437.86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(403.79 - 471.94)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429.53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(395.90 – 463.16)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416.88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(382.86 – 450.90)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>
              <w:rPr>
                <w:rFonts w:eastAsia="Times New Roman" w:cstheme="minorHAnsi"/>
                <w:color w:val="000000"/>
                <w:sz w:val="19"/>
                <w:szCs w:val="19"/>
              </w:rPr>
              <w:t>0.39</w:t>
            </w:r>
          </w:p>
        </w:tc>
      </w:tr>
    </w:tbl>
    <w:p>
      <w:pPr>
        <w:rPr>
          <w:sz w:val="19"/>
          <w:szCs w:val="19"/>
        </w:rPr>
      </w:pPr>
      <w:r>
        <w:rPr>
          <w:sz w:val="19"/>
          <w:szCs w:val="19"/>
        </w:rPr>
        <w:t>*Geometric means</w:t>
      </w:r>
      <w:r>
        <w:rPr>
          <w:sz w:val="19"/>
          <w:szCs w:val="19"/>
        </w:rPr>
        <w:br w:type="page"/>
      </w:r>
    </w:p>
    <w:tbl>
      <w:tblPr>
        <w:tblStyle w:val="TableGrid"/>
        <w:tblW w:w="107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709"/>
        <w:gridCol w:w="1374"/>
        <w:gridCol w:w="1260"/>
        <w:gridCol w:w="720"/>
        <w:gridCol w:w="1440"/>
      </w:tblGrid>
      <w:tr>
        <w:tc>
          <w:tcPr>
            <w:tcW w:w="107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/>
              </w:rPr>
              <w:lastRenderedPageBreak/>
              <w:t>Supplementary Table 2</w:t>
            </w:r>
            <w:r>
              <w:rPr>
                <w:rFonts w:cstheme="minorHAnsi"/>
              </w:rPr>
              <w:t xml:space="preserve">: β estimates, standard errors (SE) and </w:t>
            </w:r>
            <w:r>
              <w:rPr>
                <w:rFonts w:cstheme="minorHAnsi"/>
                <w:i/>
              </w:rPr>
              <w:t>P</w:t>
            </w:r>
            <w:r>
              <w:rPr>
                <w:rFonts w:cstheme="minorHAnsi"/>
              </w:rPr>
              <w:t>-values of multivariable linear regression of the association of cortisol levels and obesity measures</w:t>
            </w:r>
          </w:p>
        </w:tc>
      </w:tr>
      <w:t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Model 1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Model 2</w:t>
            </w:r>
          </w:p>
        </w:tc>
      </w:tr>
      <w:t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BMI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eastAsia="Times New Roman" w:cstheme="minorHAnsi"/>
                <w:color w:val="000000"/>
                <w:vertAlign w:val="superscri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eastAsia="Times New Roman" w:cstheme="minorHAnsi"/>
                <w:color w:val="000000"/>
                <w:vertAlign w:val="superscript"/>
              </w:rPr>
            </w:pP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Morning after awakening</w:t>
            </w:r>
            <w:r>
              <w:rPr>
                <w:rFonts w:eastAsia="Times New Roman" w:cstheme="minorHAnsi"/>
                <w:color w:val="000000"/>
              </w:rPr>
              <w:t>, M1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-0.02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0.02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 Minutes after awakening, M2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0.10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Late night (LNSC)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0.79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M1/LNSC ratio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0.14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M2/LNSC ratio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0.34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Serum cortisol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0.18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Cortisol Awakening Response, CAR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0.76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CAR</w:t>
            </w:r>
            <w:r>
              <w:rPr>
                <w:rFonts w:eastAsia="Times New Roman" w:cstheme="minorHAnsi"/>
                <w:color w:val="000000"/>
                <w:vertAlign w:val="subscript"/>
              </w:rPr>
              <w:t>AUC</w:t>
            </w:r>
            <w:r>
              <w:rPr>
                <w:rFonts w:eastAsia="Times New Roman" w:cstheme="minorHAnsi"/>
                <w:color w:val="000000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-0.02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0.007</w:t>
            </w:r>
          </w:p>
        </w:tc>
      </w:tr>
      <w:t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WHR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</w:p>
        </w:tc>
      </w:tr>
      <w:t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</w:rPr>
              <w:t>Morning after awakening</w:t>
            </w:r>
            <w:r>
              <w:rPr>
                <w:rFonts w:eastAsia="Times New Roman" w:cstheme="minorHAnsi"/>
                <w:color w:val="000000"/>
              </w:rPr>
              <w:t>, M1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-1.62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0.01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30 Minutes after awakening, M2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0.12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Late night (LNSC)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0.91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M1/LNSC ratio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0.08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M2/LNSC ratio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0.30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Serum cortisol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0.005</w:t>
            </w:r>
          </w:p>
        </w:tc>
      </w:tr>
      <w:t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Cortisol Awakening Response, CAR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0.28</w:t>
            </w:r>
          </w:p>
        </w:tc>
      </w:tr>
      <w:tr>
        <w:trPr>
          <w:trHeight w:val="8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CAR</w:t>
            </w:r>
            <w:r>
              <w:rPr>
                <w:rFonts w:eastAsia="Times New Roman" w:cstheme="minorHAnsi"/>
                <w:color w:val="000000"/>
                <w:vertAlign w:val="subscript"/>
              </w:rPr>
              <w:t>AUC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rPr>
                <w:rFonts w:cstheme="minorHAnsi"/>
              </w:rPr>
            </w:pPr>
            <w:r>
              <w:rPr>
                <w:rFonts w:cstheme="minorHAnsi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-0.92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266"/>
              </w:tabs>
              <w:rPr>
                <w:rFonts w:cstheme="minorHAnsi"/>
              </w:rPr>
            </w:pPr>
            <w:r>
              <w:rPr>
                <w:rFonts w:cstheme="minorHAnsi"/>
              </w:rPr>
              <w:t>0.16</w:t>
            </w:r>
          </w:p>
        </w:tc>
      </w:tr>
    </w:tbl>
    <w:p>
      <w:pPr>
        <w:spacing w:line="240" w:lineRule="auto"/>
        <w:contextualSpacing/>
        <w:rPr>
          <w:rFonts w:cstheme="minorHAnsi"/>
        </w:rPr>
      </w:pPr>
    </w:p>
    <w:p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180" w:firstLine="0"/>
        <w:rPr>
          <w:rFonts w:cstheme="minorHAnsi"/>
          <w:szCs w:val="20"/>
        </w:rPr>
      </w:pPr>
      <w:r>
        <w:rPr>
          <w:rFonts w:cstheme="minorHAnsi"/>
          <w:szCs w:val="20"/>
        </w:rPr>
        <w:t>Model 1 (adjusted for age)</w:t>
      </w:r>
    </w:p>
    <w:p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180" w:firstLine="0"/>
        <w:rPr>
          <w:rFonts w:cstheme="minorHAnsi"/>
          <w:szCs w:val="20"/>
        </w:rPr>
      </w:pPr>
      <w:r>
        <w:rPr>
          <w:rFonts w:cstheme="minorHAnsi"/>
          <w:szCs w:val="20"/>
        </w:rPr>
        <w:t>Model 2 (adjusted for physical activity, alcohol consumption, education level and depressive symptoms)</w:t>
      </w:r>
    </w:p>
    <w:p>
      <w:pPr>
        <w:spacing w:line="240" w:lineRule="auto"/>
        <w:contextualSpacing/>
        <w:rPr>
          <w:rFonts w:cstheme="minorHAnsi"/>
          <w:szCs w:val="20"/>
        </w:rPr>
      </w:pPr>
    </w:p>
    <w:p>
      <w:pPr>
        <w:spacing w:line="240" w:lineRule="auto"/>
        <w:contextualSpacing/>
        <w:rPr>
          <w:rFonts w:cstheme="minorHAnsi"/>
          <w:szCs w:val="20"/>
        </w:rPr>
      </w:pPr>
    </w:p>
    <w:p/>
    <w:sectPr>
      <w:pgSz w:w="15840" w:h="12240" w:orient="landscape"/>
      <w:pgMar w:top="720" w:right="16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4235E"/>
    <w:multiLevelType w:val="hybridMultilevel"/>
    <w:tmpl w:val="A18E4C3E"/>
    <w:lvl w:ilvl="0" w:tplc="4D145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A57A1-6ABF-4A9B-99DE-A33EC638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hamimatunnisa.johar</dc:creator>
  <cp:keywords/>
  <dc:description/>
  <cp:lastModifiedBy>hamimatunnisa.johar</cp:lastModifiedBy>
  <cp:revision>4</cp:revision>
  <dcterms:created xsi:type="dcterms:W3CDTF">2020-02-21T07:57:00Z</dcterms:created>
  <dcterms:modified xsi:type="dcterms:W3CDTF">2020-03-09T08:25:00Z</dcterms:modified>
</cp:coreProperties>
</file>