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20DB" w14:textId="1E3DE340" w:rsidR="0004754B" w:rsidRPr="00E46A4B" w:rsidRDefault="0004754B" w:rsidP="009264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</w:pP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Exploring the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G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enetic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A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rchitecture of the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H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uman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N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eurological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P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roteome using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W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hole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G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enome </w:t>
      </w:r>
      <w:r w:rsidR="007C2CC3"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S</w:t>
      </w:r>
      <w:r w:rsidRPr="00E46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equencing</w:t>
      </w:r>
    </w:p>
    <w:p w14:paraId="35372416" w14:textId="77777777" w:rsidR="00FD0459" w:rsidRPr="00E46A4B" w:rsidRDefault="00FD0459" w:rsidP="009264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</w:pPr>
    </w:p>
    <w:p w14:paraId="005AEF18" w14:textId="72140F70" w:rsidR="00996E99" w:rsidRPr="00E46A4B" w:rsidRDefault="00996E99" w:rsidP="009264F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46A4B">
        <w:rPr>
          <w:rFonts w:ascii="Times New Roman" w:hAnsi="Times New Roman" w:cs="Times New Roman"/>
          <w:sz w:val="21"/>
          <w:szCs w:val="21"/>
          <w:lang w:val="en-US"/>
        </w:rPr>
        <w:t>Grace Png</w:t>
      </w:r>
      <w:r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1</w:t>
      </w:r>
      <w:r w:rsidRPr="00E46A4B">
        <w:rPr>
          <w:rFonts w:ascii="Times New Roman" w:hAnsi="Times New Roman" w:cs="Times New Roman"/>
          <w:sz w:val="21"/>
          <w:szCs w:val="21"/>
          <w:lang w:val="en-US"/>
        </w:rPr>
        <w:t>*, Andrei Barysenka</w:t>
      </w:r>
      <w:r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1</w:t>
      </w:r>
      <w:r w:rsidRPr="00E46A4B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="004D6C3F" w:rsidRPr="00E46A4B">
        <w:rPr>
          <w:rFonts w:ascii="Times New Roman" w:hAnsi="Times New Roman" w:cs="Times New Roman"/>
          <w:sz w:val="21"/>
          <w:szCs w:val="21"/>
          <w:lang w:val="en-US"/>
        </w:rPr>
        <w:t>Linda Repetto</w:t>
      </w:r>
      <w:r w:rsidR="004D6C3F"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2</w:t>
      </w:r>
      <w:r w:rsidR="004D6C3F" w:rsidRPr="00E46A4B">
        <w:rPr>
          <w:rFonts w:ascii="Times New Roman" w:hAnsi="Times New Roman" w:cs="Times New Roman"/>
          <w:sz w:val="21"/>
          <w:szCs w:val="21"/>
          <w:lang w:val="en-US"/>
        </w:rPr>
        <w:t>, Xia Shen</w:t>
      </w:r>
      <w:r w:rsidR="004D6C3F"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2,3,4</w:t>
      </w:r>
      <w:r w:rsidR="004D6C3F" w:rsidRPr="00E46A4B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E46A4B">
        <w:rPr>
          <w:rFonts w:ascii="Times New Roman" w:hAnsi="Times New Roman" w:cs="Times New Roman"/>
          <w:sz w:val="21"/>
          <w:szCs w:val="21"/>
          <w:lang w:val="en-US"/>
        </w:rPr>
        <w:t>Emmanouil</w:t>
      </w:r>
      <w:proofErr w:type="spellEnd"/>
      <w:r w:rsidRPr="00E46A4B">
        <w:rPr>
          <w:rFonts w:ascii="Times New Roman" w:hAnsi="Times New Roman" w:cs="Times New Roman"/>
          <w:sz w:val="21"/>
          <w:szCs w:val="21"/>
          <w:lang w:val="en-US"/>
        </w:rPr>
        <w:t xml:space="preserve"> Tsafantakis</w:t>
      </w:r>
      <w:r w:rsidR="004D6C3F"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5</w:t>
      </w:r>
      <w:r w:rsidRPr="00E46A4B">
        <w:rPr>
          <w:rFonts w:ascii="Times New Roman" w:hAnsi="Times New Roman" w:cs="Times New Roman"/>
          <w:sz w:val="21"/>
          <w:szCs w:val="21"/>
          <w:lang w:val="en-US"/>
        </w:rPr>
        <w:t>, Maria Karaleftheri</w:t>
      </w:r>
      <w:r w:rsidR="004D6C3F"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6</w:t>
      </w:r>
      <w:r w:rsidRPr="00E46A4B">
        <w:rPr>
          <w:rFonts w:ascii="Times New Roman" w:hAnsi="Times New Roman" w:cs="Times New Roman"/>
          <w:sz w:val="21"/>
          <w:szCs w:val="21"/>
          <w:lang w:val="en-US"/>
        </w:rPr>
        <w:t>, George Dedoussis</w:t>
      </w:r>
      <w:r w:rsidR="004D6C3F"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7</w:t>
      </w:r>
      <w:r w:rsidRPr="00E46A4B">
        <w:rPr>
          <w:rFonts w:ascii="Times New Roman" w:hAnsi="Times New Roman" w:cs="Times New Roman"/>
          <w:sz w:val="21"/>
          <w:szCs w:val="21"/>
          <w:lang w:val="en-US"/>
        </w:rPr>
        <w:t>, Arthur Gilly</w:t>
      </w:r>
      <w:r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1</w:t>
      </w:r>
      <w:r w:rsidRPr="00E46A4B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E46A4B">
        <w:rPr>
          <w:rFonts w:ascii="Times New Roman" w:hAnsi="Times New Roman" w:cs="Times New Roman"/>
          <w:sz w:val="21"/>
          <w:szCs w:val="21"/>
          <w:lang w:val="en-US"/>
        </w:rPr>
        <w:t>Eleftheria</w:t>
      </w:r>
      <w:proofErr w:type="spellEnd"/>
      <w:r w:rsidRPr="00E46A4B">
        <w:rPr>
          <w:rFonts w:ascii="Times New Roman" w:hAnsi="Times New Roman" w:cs="Times New Roman"/>
          <w:sz w:val="21"/>
          <w:szCs w:val="21"/>
          <w:lang w:val="en-US"/>
        </w:rPr>
        <w:t xml:space="preserve"> Zeggini</w:t>
      </w:r>
      <w:r w:rsidRPr="00E46A4B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1</w:t>
      </w:r>
    </w:p>
    <w:p w14:paraId="0689C3AE" w14:textId="4B20D2D7" w:rsidR="004D6C3F" w:rsidRPr="00E46A4B" w:rsidRDefault="00996E99" w:rsidP="009264F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eorgia" w:eastAsia="Times New Roman" w:hAnsi="Georgia" w:cs="Times New Roman"/>
          <w:i/>
          <w:iCs/>
          <w:sz w:val="22"/>
          <w:szCs w:val="22"/>
          <w:lang w:val="en-US"/>
        </w:rPr>
      </w:pPr>
      <w:r w:rsidRPr="00E46A4B">
        <w:rPr>
          <w:rFonts w:ascii="Times New Roman" w:hAnsi="Times New Roman" w:cs="Times New Roman"/>
          <w:i/>
          <w:iCs/>
          <w:sz w:val="21"/>
          <w:szCs w:val="21"/>
          <w:vertAlign w:val="superscript"/>
          <w:lang w:val="en-US"/>
        </w:rPr>
        <w:t>1</w:t>
      </w:r>
      <w:r w:rsidRPr="00E46A4B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Institute of Translational Genomics, Helmholtz </w:t>
      </w:r>
      <w:proofErr w:type="spellStart"/>
      <w:r w:rsidRPr="00E46A4B">
        <w:rPr>
          <w:rFonts w:ascii="Times New Roman" w:hAnsi="Times New Roman" w:cs="Times New Roman"/>
          <w:i/>
          <w:iCs/>
          <w:sz w:val="21"/>
          <w:szCs w:val="21"/>
          <w:lang w:val="en-US"/>
        </w:rPr>
        <w:t>Zentrum</w:t>
      </w:r>
      <w:proofErr w:type="spellEnd"/>
      <w:r w:rsidRPr="00E46A4B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 München – German Research Center for Environmental Health, </w:t>
      </w:r>
      <w:proofErr w:type="spellStart"/>
      <w:r w:rsidRPr="00E46A4B">
        <w:rPr>
          <w:rFonts w:ascii="Times New Roman" w:hAnsi="Times New Roman" w:cs="Times New Roman"/>
          <w:i/>
          <w:iCs/>
          <w:sz w:val="21"/>
          <w:szCs w:val="21"/>
          <w:lang w:val="en-US"/>
        </w:rPr>
        <w:t>Neuherberg</w:t>
      </w:r>
      <w:proofErr w:type="spellEnd"/>
      <w:r w:rsidRPr="00E46A4B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, Germany; </w:t>
      </w:r>
      <w:r w:rsidR="004D6C3F" w:rsidRPr="00E46A4B">
        <w:rPr>
          <w:rFonts w:ascii="Times New Roman" w:hAnsi="Times New Roman" w:cs="Times New Roman"/>
          <w:i/>
          <w:iCs/>
          <w:sz w:val="21"/>
          <w:szCs w:val="21"/>
          <w:vertAlign w:val="superscript"/>
          <w:lang w:val="en-US"/>
        </w:rPr>
        <w:t>2</w:t>
      </w:r>
      <w:r w:rsidR="004D6C3F" w:rsidRPr="00E46A4B">
        <w:rPr>
          <w:rFonts w:ascii="Times New Roman" w:eastAsia="Times New Roman" w:hAnsi="Times New Roman" w:cs="Times New Roman"/>
          <w:i/>
          <w:iCs/>
          <w:color w:val="012012"/>
          <w:sz w:val="21"/>
          <w:szCs w:val="21"/>
          <w:bdr w:val="none" w:sz="0" w:space="0" w:color="auto" w:frame="1"/>
          <w:lang w:val="en-US"/>
        </w:rPr>
        <w:t>Centre for Global Health Research, Usher Institute, University of Edinburgh</w:t>
      </w:r>
      <w:r w:rsidR="004D6C3F" w:rsidRPr="00E46A4B">
        <w:rPr>
          <w:rFonts w:ascii="Times New Roman" w:eastAsia="Times New Roman" w:hAnsi="Times New Roman" w:cs="Times New Roman"/>
          <w:i/>
          <w:iCs/>
          <w:color w:val="012012"/>
          <w:sz w:val="21"/>
          <w:szCs w:val="21"/>
          <w:lang w:val="en-US"/>
        </w:rPr>
        <w:t xml:space="preserve">, Edinburgh, </w:t>
      </w:r>
      <w:r w:rsidR="004D6C3F" w:rsidRPr="00E46A4B">
        <w:rPr>
          <w:rFonts w:ascii="Times New Roman" w:eastAsia="Times New Roman" w:hAnsi="Times New Roman" w:cs="Times New Roman"/>
          <w:i/>
          <w:iCs/>
          <w:color w:val="012012"/>
          <w:sz w:val="21"/>
          <w:szCs w:val="21"/>
          <w:bdr w:val="none" w:sz="0" w:space="0" w:color="auto" w:frame="1"/>
          <w:lang w:val="en-US"/>
        </w:rPr>
        <w:t xml:space="preserve">United Kingdom; </w:t>
      </w:r>
      <w:r w:rsidR="004D6C3F" w:rsidRPr="00E46A4B">
        <w:rPr>
          <w:rFonts w:ascii="Times New Roman" w:eastAsia="Times New Roman" w:hAnsi="Times New Roman" w:cs="Times New Roman"/>
          <w:i/>
          <w:iCs/>
          <w:color w:val="012012"/>
          <w:sz w:val="21"/>
          <w:szCs w:val="21"/>
          <w:bdr w:val="none" w:sz="0" w:space="0" w:color="auto" w:frame="1"/>
          <w:vertAlign w:val="superscript"/>
          <w:lang w:val="en-US"/>
        </w:rPr>
        <w:t>3</w:t>
      </w:r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Biostatistics Group, State Key Laboratory of Biocontrol, School of Life Sciences, Sun </w:t>
      </w:r>
      <w:proofErr w:type="spellStart"/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Yat-sen</w:t>
      </w:r>
      <w:proofErr w:type="spellEnd"/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 </w:t>
      </w:r>
      <w:proofErr w:type="spellStart"/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Univeristy</w:t>
      </w:r>
      <w:proofErr w:type="spellEnd"/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, Guangzhou, China</w:t>
      </w:r>
      <w:r w:rsidR="00AF21BE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;</w:t>
      </w:r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 </w:t>
      </w:r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vertAlign w:val="superscript"/>
          <w:lang w:val="en-US"/>
        </w:rPr>
        <w:t>4</w:t>
      </w:r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Department of Medical Epidemiology and Biostatistics, Karolinska </w:t>
      </w:r>
      <w:proofErr w:type="spellStart"/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Institutet</w:t>
      </w:r>
      <w:proofErr w:type="spellEnd"/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, Stockholm, Sweden; </w:t>
      </w:r>
      <w:r w:rsidR="004D6C3F" w:rsidRPr="00E46A4B">
        <w:rPr>
          <w:rFonts w:ascii="Times New Roman" w:hAnsi="Times New Roman" w:cs="Times New Roman"/>
          <w:i/>
          <w:iCs/>
          <w:sz w:val="21"/>
          <w:szCs w:val="21"/>
          <w:vertAlign w:val="superscript"/>
          <w:lang w:val="en-US"/>
        </w:rPr>
        <w:t>5</w:t>
      </w:r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Anogia Medical Centre, </w:t>
      </w:r>
      <w:proofErr w:type="spellStart"/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Anogia</w:t>
      </w:r>
      <w:proofErr w:type="spellEnd"/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, Greece; </w:t>
      </w:r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vertAlign w:val="superscript"/>
          <w:lang w:val="en-US"/>
        </w:rPr>
        <w:t>6</w:t>
      </w:r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Echinos Medical Centre, </w:t>
      </w:r>
      <w:proofErr w:type="spellStart"/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Echinos</w:t>
      </w:r>
      <w:proofErr w:type="spellEnd"/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, Greece; </w:t>
      </w:r>
      <w:r w:rsidR="004D6C3F" w:rsidRPr="00E46A4B">
        <w:rPr>
          <w:rFonts w:ascii="Times New Roman" w:eastAsia="Times New Roman" w:hAnsi="Times New Roman" w:cs="Times New Roman"/>
          <w:i/>
          <w:iCs/>
          <w:sz w:val="21"/>
          <w:szCs w:val="21"/>
          <w:vertAlign w:val="superscript"/>
          <w:lang w:val="en-US"/>
        </w:rPr>
        <w:t>7</w:t>
      </w:r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Department of Nutrition and Dietetics, School of Health Science and Education, </w:t>
      </w:r>
      <w:proofErr w:type="spellStart"/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Harokopio</w:t>
      </w:r>
      <w:proofErr w:type="spellEnd"/>
      <w:r w:rsidRPr="00E46A4B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 xml:space="preserve"> University of Athens, Athens, Greece</w:t>
      </w:r>
    </w:p>
    <w:p w14:paraId="3940289C" w14:textId="077F6421" w:rsidR="00CF7CA1" w:rsidRPr="00CF7CA1" w:rsidRDefault="0004754B" w:rsidP="00586E1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1"/>
          <w:szCs w:val="21"/>
          <w:lang w:val="en-US"/>
        </w:rPr>
      </w:pPr>
      <w:r w:rsidRPr="00E46A4B">
        <w:rPr>
          <w:color w:val="000000"/>
          <w:sz w:val="21"/>
          <w:szCs w:val="21"/>
          <w:lang w:val="en-US"/>
        </w:rPr>
        <w:t xml:space="preserve">The human proteome has a stronger genetic component compared to many complex diseases, making it a valuable resource of potential disease biomarkers and drug targets. This is especially so for highly polygenic neurological disorders whose mechanisms remain </w:t>
      </w:r>
      <w:r w:rsidR="00D4656B" w:rsidRPr="00E46A4B">
        <w:rPr>
          <w:color w:val="000000"/>
          <w:sz w:val="21"/>
          <w:szCs w:val="21"/>
          <w:lang w:val="en-US"/>
        </w:rPr>
        <w:t>elusive</w:t>
      </w:r>
      <w:r w:rsidRPr="00E46A4B">
        <w:rPr>
          <w:color w:val="000000"/>
          <w:sz w:val="21"/>
          <w:szCs w:val="21"/>
          <w:lang w:val="en-US"/>
        </w:rPr>
        <w:t>. Here, we present the first sequence-based protein quantitative trait loci (</w:t>
      </w:r>
      <w:proofErr w:type="spellStart"/>
      <w:r w:rsidRPr="00E46A4B">
        <w:rPr>
          <w:color w:val="000000"/>
          <w:sz w:val="21"/>
          <w:szCs w:val="21"/>
          <w:lang w:val="en-US"/>
        </w:rPr>
        <w:t>pQTL</w:t>
      </w:r>
      <w:proofErr w:type="spellEnd"/>
      <w:r w:rsidRPr="00E46A4B">
        <w:rPr>
          <w:color w:val="000000"/>
          <w:sz w:val="21"/>
          <w:szCs w:val="21"/>
          <w:lang w:val="en-US"/>
        </w:rPr>
        <w:t>) analysis of 92 neurological proteins. We perform a meta-analysis</w:t>
      </w:r>
      <w:r w:rsidR="003E699F" w:rsidRPr="00E46A4B">
        <w:rPr>
          <w:color w:val="000000"/>
          <w:sz w:val="21"/>
          <w:szCs w:val="21"/>
          <w:lang w:val="en-US"/>
        </w:rPr>
        <w:t xml:space="preserve"> </w:t>
      </w:r>
      <w:r w:rsidRPr="00E46A4B">
        <w:rPr>
          <w:color w:val="000000"/>
          <w:sz w:val="21"/>
          <w:szCs w:val="21"/>
          <w:lang w:val="en-US"/>
        </w:rPr>
        <w:t xml:space="preserve">using deep whole-genome sequencing (WGS) data from two isolated Greek cohorts, MANOLIS (22.5x WGS; N=1,356) and </w:t>
      </w:r>
      <w:proofErr w:type="spellStart"/>
      <w:r w:rsidRPr="00E46A4B">
        <w:rPr>
          <w:color w:val="000000"/>
          <w:sz w:val="21"/>
          <w:szCs w:val="21"/>
          <w:lang w:val="en-US"/>
        </w:rPr>
        <w:t>Pomak</w:t>
      </w:r>
      <w:proofErr w:type="spellEnd"/>
      <w:r w:rsidRPr="00E46A4B">
        <w:rPr>
          <w:color w:val="000000"/>
          <w:sz w:val="21"/>
          <w:szCs w:val="21"/>
          <w:lang w:val="en-US"/>
        </w:rPr>
        <w:t xml:space="preserve"> (18.4x WGS; N=1,537). A total of </w:t>
      </w:r>
      <w:r w:rsidR="00253BE9" w:rsidRPr="00E46A4B">
        <w:rPr>
          <w:color w:val="000000"/>
          <w:sz w:val="21"/>
          <w:szCs w:val="21"/>
          <w:lang w:val="en-US"/>
        </w:rPr>
        <w:t>123</w:t>
      </w:r>
      <w:r w:rsidRPr="00E46A4B">
        <w:rPr>
          <w:color w:val="000000"/>
          <w:sz w:val="21"/>
          <w:szCs w:val="21"/>
          <w:lang w:val="en-US"/>
        </w:rPr>
        <w:t xml:space="preserve"> independently-associated variants in </w:t>
      </w:r>
      <w:r w:rsidR="0003370E" w:rsidRPr="00E46A4B">
        <w:rPr>
          <w:color w:val="000000"/>
          <w:sz w:val="21"/>
          <w:szCs w:val="21"/>
          <w:lang w:val="en-US"/>
        </w:rPr>
        <w:t>84</w:t>
      </w:r>
      <w:r w:rsidRPr="00E46A4B">
        <w:rPr>
          <w:color w:val="000000"/>
          <w:sz w:val="21"/>
          <w:szCs w:val="21"/>
          <w:lang w:val="en-US"/>
        </w:rPr>
        <w:t xml:space="preserve"> loci reach study-wide significance (</w:t>
      </w:r>
      <w:r w:rsidRPr="00E46A4B">
        <w:rPr>
          <w:i/>
          <w:iCs/>
          <w:color w:val="000000"/>
          <w:sz w:val="21"/>
          <w:szCs w:val="21"/>
          <w:lang w:val="en-US"/>
        </w:rPr>
        <w:t>P</w:t>
      </w:r>
      <w:r w:rsidRPr="00E46A4B">
        <w:rPr>
          <w:color w:val="000000"/>
          <w:sz w:val="21"/>
          <w:szCs w:val="21"/>
          <w:lang w:val="en-US"/>
        </w:rPr>
        <w:t>&lt;1.14x10</w:t>
      </w:r>
      <w:r w:rsidRPr="00E46A4B">
        <w:rPr>
          <w:color w:val="000000"/>
          <w:sz w:val="21"/>
          <w:szCs w:val="21"/>
          <w:vertAlign w:val="superscript"/>
          <w:lang w:val="en-US"/>
        </w:rPr>
        <w:t>-10</w:t>
      </w:r>
      <w:r w:rsidRPr="00E46A4B">
        <w:rPr>
          <w:color w:val="000000"/>
          <w:sz w:val="21"/>
          <w:szCs w:val="21"/>
          <w:lang w:val="en-US"/>
        </w:rPr>
        <w:t xml:space="preserve">) for </w:t>
      </w:r>
      <w:r w:rsidR="00A72F41" w:rsidRPr="00E46A4B">
        <w:rPr>
          <w:color w:val="000000"/>
          <w:sz w:val="21"/>
          <w:szCs w:val="21"/>
          <w:lang w:val="en-US"/>
        </w:rPr>
        <w:t>63</w:t>
      </w:r>
      <w:r w:rsidRPr="00E46A4B">
        <w:rPr>
          <w:color w:val="000000"/>
          <w:sz w:val="21"/>
          <w:szCs w:val="21"/>
          <w:lang w:val="en-US"/>
        </w:rPr>
        <w:t xml:space="preserve"> proteins, all of which are at least nominally significant (</w:t>
      </w:r>
      <w:r w:rsidRPr="00E46A4B">
        <w:rPr>
          <w:i/>
          <w:iCs/>
          <w:color w:val="000000"/>
          <w:sz w:val="21"/>
          <w:szCs w:val="21"/>
          <w:lang w:val="en-US"/>
        </w:rPr>
        <w:t>P</w:t>
      </w:r>
      <w:r w:rsidRPr="00E46A4B">
        <w:rPr>
          <w:color w:val="000000"/>
          <w:sz w:val="21"/>
          <w:szCs w:val="21"/>
          <w:lang w:val="en-US"/>
        </w:rPr>
        <w:t>&lt;</w:t>
      </w:r>
      <w:r w:rsidR="004A558A" w:rsidRPr="00E46A4B">
        <w:rPr>
          <w:color w:val="000000"/>
          <w:sz w:val="21"/>
          <w:szCs w:val="21"/>
          <w:lang w:val="en-US"/>
        </w:rPr>
        <w:t>3.78</w:t>
      </w:r>
      <w:r w:rsidRPr="00E46A4B">
        <w:rPr>
          <w:color w:val="000000"/>
          <w:sz w:val="21"/>
          <w:szCs w:val="21"/>
          <w:lang w:val="en-US"/>
        </w:rPr>
        <w:t>x10</w:t>
      </w:r>
      <w:r w:rsidRPr="00E46A4B">
        <w:rPr>
          <w:color w:val="000000"/>
          <w:sz w:val="21"/>
          <w:szCs w:val="21"/>
          <w:vertAlign w:val="superscript"/>
          <w:lang w:val="en-US"/>
        </w:rPr>
        <w:t>-</w:t>
      </w:r>
      <w:r w:rsidR="004A558A" w:rsidRPr="00E46A4B">
        <w:rPr>
          <w:color w:val="000000"/>
          <w:sz w:val="21"/>
          <w:szCs w:val="21"/>
          <w:vertAlign w:val="superscript"/>
          <w:lang w:val="en-US"/>
        </w:rPr>
        <w:t>4</w:t>
      </w:r>
      <w:r w:rsidRPr="00E46A4B">
        <w:rPr>
          <w:color w:val="000000"/>
          <w:sz w:val="21"/>
          <w:szCs w:val="21"/>
          <w:lang w:val="en-US"/>
        </w:rPr>
        <w:t xml:space="preserve">) and have the same direction of effect in both cohorts. To further elucidate the genetic architecture, independent variants were classified into </w:t>
      </w:r>
      <w:r w:rsidR="00253BE9" w:rsidRPr="00E46A4B">
        <w:rPr>
          <w:color w:val="000000"/>
          <w:sz w:val="21"/>
          <w:szCs w:val="21"/>
          <w:lang w:val="en-US"/>
        </w:rPr>
        <w:t>89</w:t>
      </w:r>
      <w:r w:rsidRPr="00E46A4B">
        <w:rPr>
          <w:color w:val="000000"/>
          <w:sz w:val="21"/>
          <w:szCs w:val="21"/>
          <w:lang w:val="en-US"/>
        </w:rPr>
        <w:t xml:space="preserve"> (</w:t>
      </w:r>
      <w:r w:rsidR="00D525B5" w:rsidRPr="00E46A4B">
        <w:rPr>
          <w:color w:val="000000"/>
          <w:sz w:val="21"/>
          <w:szCs w:val="21"/>
          <w:lang w:val="en-US"/>
        </w:rPr>
        <w:t>72</w:t>
      </w:r>
      <w:r w:rsidRPr="00E46A4B">
        <w:rPr>
          <w:color w:val="000000"/>
          <w:sz w:val="21"/>
          <w:szCs w:val="21"/>
          <w:lang w:val="en-US"/>
        </w:rPr>
        <w:t xml:space="preserve">%) </w:t>
      </w:r>
      <w:r w:rsidRPr="00E46A4B">
        <w:rPr>
          <w:i/>
          <w:iCs/>
          <w:color w:val="000000"/>
          <w:sz w:val="21"/>
          <w:szCs w:val="21"/>
          <w:lang w:val="en-US"/>
        </w:rPr>
        <w:t xml:space="preserve">cis- </w:t>
      </w:r>
      <w:r w:rsidRPr="00E46A4B">
        <w:rPr>
          <w:color w:val="000000"/>
          <w:sz w:val="21"/>
          <w:szCs w:val="21"/>
          <w:lang w:val="en-US"/>
        </w:rPr>
        <w:t xml:space="preserve">and </w:t>
      </w:r>
      <w:r w:rsidR="00253BE9" w:rsidRPr="00E46A4B">
        <w:rPr>
          <w:color w:val="000000"/>
          <w:sz w:val="21"/>
          <w:szCs w:val="21"/>
          <w:lang w:val="en-US"/>
        </w:rPr>
        <w:t xml:space="preserve">34 </w:t>
      </w:r>
      <w:r w:rsidRPr="00E46A4B">
        <w:rPr>
          <w:color w:val="000000"/>
          <w:sz w:val="21"/>
          <w:szCs w:val="21"/>
          <w:lang w:val="en-US"/>
        </w:rPr>
        <w:t>(</w:t>
      </w:r>
      <w:r w:rsidR="00D525B5" w:rsidRPr="00E46A4B">
        <w:rPr>
          <w:color w:val="000000"/>
          <w:sz w:val="21"/>
          <w:szCs w:val="21"/>
          <w:lang w:val="en-US"/>
        </w:rPr>
        <w:t>28</w:t>
      </w:r>
      <w:r w:rsidRPr="00E46A4B">
        <w:rPr>
          <w:color w:val="000000"/>
          <w:sz w:val="21"/>
          <w:szCs w:val="21"/>
          <w:lang w:val="en-US"/>
        </w:rPr>
        <w:t xml:space="preserve">%) </w:t>
      </w:r>
      <w:r w:rsidRPr="00E46A4B">
        <w:rPr>
          <w:i/>
          <w:iCs/>
          <w:color w:val="000000"/>
          <w:sz w:val="21"/>
          <w:szCs w:val="21"/>
          <w:lang w:val="en-US"/>
        </w:rPr>
        <w:t>trans-</w:t>
      </w:r>
      <w:r w:rsidRPr="00E46A4B">
        <w:rPr>
          <w:color w:val="000000"/>
          <w:sz w:val="21"/>
          <w:szCs w:val="21"/>
          <w:lang w:val="en-US"/>
        </w:rPr>
        <w:t xml:space="preserve">acting </w:t>
      </w:r>
      <w:proofErr w:type="spellStart"/>
      <w:r w:rsidRPr="00E46A4B">
        <w:rPr>
          <w:color w:val="000000"/>
          <w:sz w:val="21"/>
          <w:szCs w:val="21"/>
          <w:lang w:val="en-US"/>
        </w:rPr>
        <w:t>pQTLs</w:t>
      </w:r>
      <w:proofErr w:type="spellEnd"/>
      <w:r w:rsidRPr="00E46A4B">
        <w:rPr>
          <w:color w:val="000000"/>
          <w:sz w:val="21"/>
          <w:szCs w:val="21"/>
          <w:lang w:val="en-US"/>
        </w:rPr>
        <w:t xml:space="preserve">. </w:t>
      </w:r>
      <w:r w:rsidR="00E46A4B" w:rsidRPr="00E46A4B">
        <w:rPr>
          <w:color w:val="000000"/>
          <w:sz w:val="21"/>
          <w:szCs w:val="21"/>
          <w:lang w:val="en-US"/>
        </w:rPr>
        <w:t>Ten</w:t>
      </w:r>
      <w:r w:rsidRPr="00E46A4B">
        <w:rPr>
          <w:color w:val="000000"/>
          <w:sz w:val="21"/>
          <w:szCs w:val="21"/>
          <w:lang w:val="en-US"/>
        </w:rPr>
        <w:t xml:space="preserve"> variants have consequences equal to or more severe than missense, and 3</w:t>
      </w:r>
      <w:r w:rsidR="00D525B5" w:rsidRPr="00E46A4B">
        <w:rPr>
          <w:color w:val="000000"/>
          <w:sz w:val="21"/>
          <w:szCs w:val="21"/>
          <w:lang w:val="en-US"/>
        </w:rPr>
        <w:t>3</w:t>
      </w:r>
      <w:r w:rsidRPr="00E46A4B">
        <w:rPr>
          <w:color w:val="000000"/>
          <w:sz w:val="21"/>
          <w:szCs w:val="21"/>
          <w:lang w:val="en-US"/>
        </w:rPr>
        <w:t xml:space="preserve"> overlap regulatory regions. We also discover variants that have previously been linked to psychiatric disorders. For example, an intronic </w:t>
      </w:r>
      <w:r w:rsidRPr="00E46A4B">
        <w:rPr>
          <w:i/>
          <w:iCs/>
          <w:color w:val="000000"/>
          <w:sz w:val="21"/>
          <w:szCs w:val="21"/>
          <w:lang w:val="en-US"/>
        </w:rPr>
        <w:t>trans-</w:t>
      </w:r>
      <w:proofErr w:type="spellStart"/>
      <w:r w:rsidRPr="00E46A4B">
        <w:rPr>
          <w:color w:val="000000"/>
          <w:sz w:val="21"/>
          <w:szCs w:val="21"/>
          <w:lang w:val="en-US"/>
        </w:rPr>
        <w:t>pQTL</w:t>
      </w:r>
      <w:proofErr w:type="spellEnd"/>
      <w:r w:rsidRPr="00E46A4B">
        <w:rPr>
          <w:color w:val="000000"/>
          <w:sz w:val="21"/>
          <w:szCs w:val="21"/>
          <w:lang w:val="en-US"/>
        </w:rPr>
        <w:t xml:space="preserve"> in the </w:t>
      </w:r>
      <w:r w:rsidRPr="00E46A4B">
        <w:rPr>
          <w:i/>
          <w:iCs/>
          <w:color w:val="000000"/>
          <w:sz w:val="21"/>
          <w:szCs w:val="21"/>
          <w:lang w:val="en-US"/>
        </w:rPr>
        <w:t xml:space="preserve">ITIH4 </w:t>
      </w:r>
      <w:r w:rsidRPr="00E46A4B">
        <w:rPr>
          <w:color w:val="000000"/>
          <w:sz w:val="21"/>
          <w:szCs w:val="21"/>
          <w:lang w:val="en-US"/>
        </w:rPr>
        <w:t>gene is associated with increased NEP levels (</w:t>
      </w:r>
      <w:r w:rsidRPr="00E46A4B">
        <w:rPr>
          <w:i/>
          <w:iCs/>
          <w:color w:val="000000"/>
          <w:sz w:val="21"/>
          <w:szCs w:val="21"/>
          <w:lang w:val="en-US"/>
        </w:rPr>
        <w:t>rs2239547; P=</w:t>
      </w:r>
      <w:r w:rsidRPr="00E46A4B">
        <w:rPr>
          <w:color w:val="000000"/>
          <w:sz w:val="21"/>
          <w:szCs w:val="21"/>
          <w:lang w:val="en-US"/>
        </w:rPr>
        <w:t>1.19x10</w:t>
      </w:r>
      <w:r w:rsidRPr="00E46A4B">
        <w:rPr>
          <w:color w:val="000000"/>
          <w:sz w:val="21"/>
          <w:szCs w:val="21"/>
          <w:vertAlign w:val="superscript"/>
          <w:lang w:val="en-US"/>
        </w:rPr>
        <w:t>-129</w:t>
      </w:r>
      <w:r w:rsidRPr="00E46A4B">
        <w:rPr>
          <w:color w:val="000000"/>
          <w:sz w:val="21"/>
          <w:szCs w:val="21"/>
          <w:lang w:val="en-US"/>
        </w:rPr>
        <w:t xml:space="preserve">; BETA=0.637983; SE=0.026328), and is an established risk variant for schizophrenia and bipolar disorder. This analysis represents the largest and only WGS-based </w:t>
      </w:r>
      <w:proofErr w:type="spellStart"/>
      <w:r w:rsidRPr="00E46A4B">
        <w:rPr>
          <w:color w:val="000000"/>
          <w:sz w:val="21"/>
          <w:szCs w:val="21"/>
          <w:lang w:val="en-US"/>
        </w:rPr>
        <w:t>pQTL</w:t>
      </w:r>
      <w:proofErr w:type="spellEnd"/>
      <w:r w:rsidRPr="00E46A4B">
        <w:rPr>
          <w:color w:val="000000"/>
          <w:sz w:val="21"/>
          <w:szCs w:val="21"/>
          <w:lang w:val="en-US"/>
        </w:rPr>
        <w:t xml:space="preserve"> study of neurological proteins to date, </w:t>
      </w:r>
      <w:r w:rsidR="00D4656B" w:rsidRPr="00E46A4B">
        <w:rPr>
          <w:color w:val="000000"/>
          <w:sz w:val="21"/>
          <w:szCs w:val="21"/>
          <w:lang w:val="en-US"/>
        </w:rPr>
        <w:t xml:space="preserve">delivering </w:t>
      </w:r>
      <w:r w:rsidRPr="00E46A4B">
        <w:rPr>
          <w:color w:val="000000"/>
          <w:sz w:val="21"/>
          <w:szCs w:val="21"/>
          <w:lang w:val="en-US"/>
        </w:rPr>
        <w:t>insight into the rare and common genetic variant landscape underly</w:t>
      </w:r>
      <w:bookmarkStart w:id="0" w:name="_GoBack"/>
      <w:bookmarkEnd w:id="0"/>
      <w:r w:rsidRPr="00E46A4B">
        <w:rPr>
          <w:color w:val="000000"/>
          <w:sz w:val="21"/>
          <w:szCs w:val="21"/>
          <w:lang w:val="en-US"/>
        </w:rPr>
        <w:t xml:space="preserve">ing the human neurological proteome and its connection to </w:t>
      </w:r>
      <w:r w:rsidR="00D4656B" w:rsidRPr="00E46A4B">
        <w:rPr>
          <w:color w:val="000000"/>
          <w:sz w:val="21"/>
          <w:szCs w:val="21"/>
          <w:lang w:val="en-US"/>
        </w:rPr>
        <w:t>neurological</w:t>
      </w:r>
      <w:r w:rsidRPr="00E46A4B">
        <w:rPr>
          <w:color w:val="000000"/>
          <w:sz w:val="21"/>
          <w:szCs w:val="21"/>
          <w:lang w:val="en-US"/>
        </w:rPr>
        <w:t xml:space="preserve"> diseases.</w:t>
      </w:r>
      <w:r w:rsidRPr="004D6C3F">
        <w:rPr>
          <w:color w:val="000000"/>
          <w:sz w:val="21"/>
          <w:szCs w:val="21"/>
          <w:lang w:val="en-US"/>
        </w:rPr>
        <w:t> </w:t>
      </w:r>
      <w:r w:rsidR="00CF7CA1">
        <w:rPr>
          <w:color w:val="000000"/>
          <w:sz w:val="21"/>
          <w:szCs w:val="21"/>
          <w:lang w:val="en-US"/>
        </w:rPr>
        <w:t xml:space="preserve"> </w:t>
      </w:r>
    </w:p>
    <w:sectPr w:rsidR="00CF7CA1" w:rsidRPr="00CF7CA1" w:rsidSect="000779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570D6"/>
    <w:multiLevelType w:val="hybridMultilevel"/>
    <w:tmpl w:val="1566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F2B"/>
    <w:multiLevelType w:val="hybridMultilevel"/>
    <w:tmpl w:val="00B2F674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234"/>
    <w:multiLevelType w:val="multilevel"/>
    <w:tmpl w:val="81F0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D7621"/>
    <w:multiLevelType w:val="hybridMultilevel"/>
    <w:tmpl w:val="401A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A168F"/>
    <w:multiLevelType w:val="multilevel"/>
    <w:tmpl w:val="206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4B"/>
    <w:rsid w:val="00006E2F"/>
    <w:rsid w:val="000275DE"/>
    <w:rsid w:val="0003370E"/>
    <w:rsid w:val="0004754B"/>
    <w:rsid w:val="0007799C"/>
    <w:rsid w:val="000A0481"/>
    <w:rsid w:val="001110B4"/>
    <w:rsid w:val="001128A8"/>
    <w:rsid w:val="00180064"/>
    <w:rsid w:val="00253BE9"/>
    <w:rsid w:val="00284D53"/>
    <w:rsid w:val="002F1476"/>
    <w:rsid w:val="00363B88"/>
    <w:rsid w:val="0039730C"/>
    <w:rsid w:val="003E699F"/>
    <w:rsid w:val="00467346"/>
    <w:rsid w:val="004A262F"/>
    <w:rsid w:val="004A558A"/>
    <w:rsid w:val="004D6C3F"/>
    <w:rsid w:val="00523E3F"/>
    <w:rsid w:val="005302B7"/>
    <w:rsid w:val="0055652A"/>
    <w:rsid w:val="00572A1E"/>
    <w:rsid w:val="00586E12"/>
    <w:rsid w:val="006625A7"/>
    <w:rsid w:val="00667334"/>
    <w:rsid w:val="006C1F4A"/>
    <w:rsid w:val="007C2CC3"/>
    <w:rsid w:val="007C5A04"/>
    <w:rsid w:val="007D7461"/>
    <w:rsid w:val="008669A2"/>
    <w:rsid w:val="008B67BE"/>
    <w:rsid w:val="009264FF"/>
    <w:rsid w:val="00996E99"/>
    <w:rsid w:val="00A3790D"/>
    <w:rsid w:val="00A72F41"/>
    <w:rsid w:val="00AF21BE"/>
    <w:rsid w:val="00B659C2"/>
    <w:rsid w:val="00C07822"/>
    <w:rsid w:val="00C46C70"/>
    <w:rsid w:val="00CB7534"/>
    <w:rsid w:val="00CF7CA1"/>
    <w:rsid w:val="00D4656B"/>
    <w:rsid w:val="00D525B5"/>
    <w:rsid w:val="00E46A4B"/>
    <w:rsid w:val="00EF788C"/>
    <w:rsid w:val="00F23B90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06B98"/>
  <w15:chartTrackingRefBased/>
  <w15:docId w15:val="{163822B1-D84F-F14D-8B24-04B06ED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5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3790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FD0459"/>
    <w:pPr>
      <w:ind w:left="720"/>
      <w:contextualSpacing/>
    </w:pPr>
  </w:style>
  <w:style w:type="character" w:customStyle="1" w:styleId="nlm-institution">
    <w:name w:val="nlm-institution"/>
    <w:basedOn w:val="DefaultParagraphFont"/>
    <w:rsid w:val="004D6C3F"/>
  </w:style>
  <w:style w:type="character" w:customStyle="1" w:styleId="nlm-country">
    <w:name w:val="nlm-country"/>
    <w:basedOn w:val="DefaultParagraphFont"/>
    <w:rsid w:val="004D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14</cp:revision>
  <cp:lastPrinted>2020-01-30T10:57:00Z</cp:lastPrinted>
  <dcterms:created xsi:type="dcterms:W3CDTF">2020-01-30T13:50:00Z</dcterms:created>
  <dcterms:modified xsi:type="dcterms:W3CDTF">2020-02-12T09:32:00Z</dcterms:modified>
</cp:coreProperties>
</file>