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sz w:val="28"/>
        </w:rPr>
      </w:pPr>
      <w:r>
        <w:rPr>
          <w:b/>
          <w:sz w:val="28"/>
          <w:szCs w:val="28"/>
          <w:highlight w:val="cyan"/>
        </w:rPr>
        <w:t xml:space="preserve">Changes </w:t>
      </w:r>
      <w:r>
        <w:rPr>
          <w:b/>
          <w:sz w:val="28"/>
          <w:szCs w:val="28"/>
        </w:rPr>
        <w:t xml:space="preserve">of soil-rhizosphere microbiota </w:t>
      </w:r>
      <w:r>
        <w:rPr>
          <w:b/>
          <w:sz w:val="28"/>
          <w:szCs w:val="28"/>
          <w:highlight w:val="cyan"/>
        </w:rPr>
        <w:t xml:space="preserve">after </w:t>
      </w:r>
      <w:r>
        <w:rPr>
          <w:b/>
          <w:sz w:val="28"/>
          <w:szCs w:val="28"/>
        </w:rPr>
        <w:t xml:space="preserve">organic amendment application in a </w:t>
      </w:r>
      <w:r>
        <w:rPr>
          <w:b/>
          <w:i/>
          <w:sz w:val="28"/>
          <w:szCs w:val="28"/>
        </w:rPr>
        <w:t>Hordeum vulgare</w:t>
      </w:r>
      <w:r>
        <w:rPr>
          <w:b/>
          <w:sz w:val="28"/>
          <w:szCs w:val="28"/>
        </w:rPr>
        <w:t xml:space="preserve"> L. short-term greenhouse experiment</w:t>
      </w:r>
    </w:p>
    <w:p>
      <w:pPr>
        <w:jc w:val="center"/>
        <w:rPr>
          <w:sz w:val="28"/>
        </w:rPr>
      </w:pPr>
    </w:p>
    <w:p>
      <w:pPr>
        <w:jc w:val="center"/>
        <w:rPr>
          <w:vertAlign w:val="superscript"/>
        </w:rPr>
      </w:pPr>
      <w:r>
        <w:t>Michael M. Obermeier</w:t>
      </w:r>
      <w:r>
        <w:rPr>
          <w:vertAlign w:val="superscript"/>
        </w:rPr>
        <w:t>1,†</w:t>
      </w:r>
      <w:r>
        <w:t>, Eva-Maria L. Minarsch</w:t>
      </w:r>
      <w:r>
        <w:rPr>
          <w:vertAlign w:val="superscript"/>
        </w:rPr>
        <w:t>1,2,†</w:t>
      </w:r>
      <w:r>
        <w:t xml:space="preserve">, </w:t>
      </w:r>
      <w:r>
        <w:rPr>
          <w:szCs w:val="24"/>
        </w:rPr>
        <w:t>Abilash C. Durai Raj</w:t>
      </w:r>
      <w:r>
        <w:rPr>
          <w:vertAlign w:val="superscript"/>
        </w:rPr>
        <w:t>1</w:t>
      </w:r>
      <w:r>
        <w:rPr>
          <w:szCs w:val="24"/>
        </w:rPr>
        <w:t xml:space="preserve">, </w:t>
      </w:r>
      <w:r>
        <w:t>Francois Rineau</w:t>
      </w:r>
      <w:r>
        <w:rPr>
          <w:vertAlign w:val="superscript"/>
        </w:rPr>
        <w:t>3</w:t>
      </w:r>
      <w:r>
        <w:rPr>
          <w:color w:val="FF0000"/>
        </w:rPr>
        <w:t xml:space="preserve"> </w:t>
      </w:r>
      <w:r>
        <w:t>and Peter Schröder</w:t>
      </w:r>
      <w:r>
        <w:rPr>
          <w:vertAlign w:val="superscript"/>
        </w:rPr>
        <w:t>1,*</w:t>
      </w:r>
    </w:p>
    <w:p>
      <w:pPr>
        <w:jc w:val="center"/>
      </w:pPr>
    </w:p>
    <w:p>
      <w:pPr>
        <w:numPr>
          <w:ilvl w:val="0"/>
          <w:numId w:val="2"/>
        </w:numPr>
        <w:spacing w:after="0"/>
        <w:jc w:val="both"/>
        <w:rPr>
          <w:sz w:val="20"/>
        </w:rPr>
      </w:pPr>
      <w:r>
        <w:rPr>
          <w:sz w:val="20"/>
        </w:rPr>
        <w:t>Helmholtz Zentrum München, German Research Center for Environmental Health, GmbH, Research Unit for Comparative Microbiome Analysis, Ingolstädter Landstraße 1, D-85764 Neuherberg, Germany</w:t>
      </w:r>
    </w:p>
    <w:p>
      <w:pPr>
        <w:numPr>
          <w:ilvl w:val="0"/>
          <w:numId w:val="2"/>
        </w:numPr>
        <w:spacing w:after="0"/>
        <w:jc w:val="both"/>
        <w:rPr>
          <w:sz w:val="20"/>
        </w:rPr>
      </w:pPr>
      <w:r>
        <w:rPr>
          <w:sz w:val="20"/>
        </w:rPr>
        <w:t>Justus-Liebig-University Gießen, Chair of Organic Farming, Karl-Glöckner-Straße 21 C, 35394 Gießen, Germany</w:t>
      </w:r>
    </w:p>
    <w:p>
      <w:pPr>
        <w:numPr>
          <w:ilvl w:val="0"/>
          <w:numId w:val="2"/>
        </w:numPr>
        <w:spacing w:after="0"/>
        <w:jc w:val="both"/>
        <w:rPr>
          <w:sz w:val="20"/>
          <w:szCs w:val="20"/>
        </w:rPr>
      </w:pPr>
      <w:r>
        <w:rPr>
          <w:sz w:val="20"/>
          <w:szCs w:val="20"/>
        </w:rPr>
        <w:t>Hasselt University, Centre for Environmental Sciences, Agoralaan Gebouw D, B-3590 Diepenbeek, Belgium</w:t>
      </w:r>
    </w:p>
    <w:p/>
    <w:p>
      <w:pPr>
        <w:spacing w:after="0"/>
        <w:rPr>
          <w:noProof/>
          <w:color w:val="000000"/>
          <w:szCs w:val="24"/>
        </w:rPr>
      </w:pPr>
      <w:r>
        <w:rPr>
          <w:b/>
          <w:color w:val="000000"/>
          <w:szCs w:val="24"/>
        </w:rPr>
        <w:t xml:space="preserve">*Correspondence: </w:t>
      </w:r>
      <w:r>
        <w:rPr>
          <w:noProof/>
          <w:color w:val="000000"/>
          <w:szCs w:val="24"/>
        </w:rPr>
        <w:t>peter.schroeder@helmholtz-muenchen.de</w:t>
      </w:r>
    </w:p>
    <w:p>
      <w:pPr>
        <w:spacing w:after="0"/>
        <w:rPr>
          <w:b/>
          <w:color w:val="000000"/>
          <w:szCs w:val="24"/>
        </w:rPr>
      </w:pPr>
    </w:p>
    <w:p>
      <w:pPr>
        <w:rPr>
          <w:b/>
          <w:color w:val="FF0000"/>
        </w:rPr>
      </w:pPr>
      <w:r>
        <w:rPr>
          <w:b/>
          <w:vertAlign w:val="superscript"/>
        </w:rPr>
        <w:t>†</w:t>
      </w:r>
      <w:r>
        <w:t xml:space="preserve"> These authors contributed equally to this work </w:t>
      </w:r>
    </w:p>
    <w:p>
      <w:pPr>
        <w:pStyle w:val="berschrift1"/>
      </w:pPr>
    </w:p>
    <w:p>
      <w:pPr>
        <w:pStyle w:val="berschrift1"/>
      </w:pPr>
      <w:r>
        <w:t>Supplementary Figures and Tables</w:t>
      </w:r>
    </w:p>
    <w:p/>
    <w:p>
      <w:pPr>
        <w:jc w:val="both"/>
      </w:pPr>
      <w:r>
        <w:rPr>
          <w:b/>
        </w:rPr>
        <w:t>Figure S1</w:t>
      </w:r>
      <w:r>
        <w:t xml:space="preserve"> Management and sampling scheme of the short-term greenhouse experiment in weeks (W</w:t>
      </w:r>
      <w:r>
        <w:rPr>
          <w:vertAlign w:val="subscript"/>
        </w:rPr>
        <w:t>1</w:t>
      </w:r>
      <w:r>
        <w:t xml:space="preserve"> – W</w:t>
      </w:r>
      <w:r>
        <w:rPr>
          <w:vertAlign w:val="subscript"/>
        </w:rPr>
        <w:t>8</w:t>
      </w:r>
      <w:r>
        <w:t xml:space="preserve">). Black arrows indicate seeding of 4 seeds (S4), picking of 2 seedlings (P2) and application of mineral fertilizer (MF). Red arrows mark time points for soil sampling including initial and final (together with plant harvesting) and non destructive samplings for extracellular enzyme activity analysis </w:t>
      </w:r>
      <w:r>
        <w:rPr>
          <w:highlight w:val="green"/>
        </w:rPr>
        <w:t>(d</w:t>
      </w:r>
      <w:r>
        <w:rPr>
          <w:highlight w:val="green"/>
          <w:vertAlign w:val="subscript"/>
        </w:rPr>
        <w:t>0</w:t>
      </w:r>
      <w:r>
        <w:rPr>
          <w:highlight w:val="green"/>
        </w:rPr>
        <w:t>, d</w:t>
      </w:r>
      <w:r>
        <w:rPr>
          <w:highlight w:val="green"/>
          <w:vertAlign w:val="subscript"/>
        </w:rPr>
        <w:t>14</w:t>
      </w:r>
      <w:r>
        <w:rPr>
          <w:highlight w:val="green"/>
        </w:rPr>
        <w:t>, d</w:t>
      </w:r>
      <w:r>
        <w:rPr>
          <w:highlight w:val="green"/>
          <w:vertAlign w:val="subscript"/>
        </w:rPr>
        <w:t>28</w:t>
      </w:r>
      <w:r>
        <w:rPr>
          <w:highlight w:val="green"/>
        </w:rPr>
        <w:t xml:space="preserve"> and d</w:t>
      </w:r>
      <w:r>
        <w:rPr>
          <w:highlight w:val="green"/>
          <w:vertAlign w:val="subscript"/>
        </w:rPr>
        <w:t>42</w:t>
      </w:r>
      <w:r>
        <w:rPr>
          <w:highlight w:val="green"/>
        </w:rPr>
        <w:t>).</w:t>
      </w:r>
      <w:r>
        <w:t xml:space="preserve"> Green arrows mark time points for chlorophyll measurements. </w:t>
      </w:r>
    </w:p>
    <w:p>
      <w:pPr>
        <w:jc w:val="both"/>
      </w:pPr>
    </w:p>
    <w:p>
      <w:pPr>
        <w:jc w:val="both"/>
      </w:pPr>
      <w:r>
        <w:rPr>
          <w:noProof/>
        </w:rPr>
        <w:drawing>
          <wp:inline distT="0" distB="0" distL="0" distR="0">
            <wp:extent cx="5938520" cy="1499870"/>
            <wp:effectExtent l="0" t="0" r="5080" b="0"/>
            <wp:docPr id="10" name="Bild 10" descr="Macintosh HD:Users:eva-maria:Desktop:4.Semester_MA:F2/MA_HHZM:9_Manuscript:Figures:Figur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va-maria:Desktop:4.Semester_MA:F2/MA_HHZM:9_Manuscript:Figures:FigureS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8520" cy="1499870"/>
                    </a:xfrm>
                    <a:prstGeom prst="rect">
                      <a:avLst/>
                    </a:prstGeom>
                    <a:noFill/>
                    <a:ln>
                      <a:noFill/>
                    </a:ln>
                  </pic:spPr>
                </pic:pic>
              </a:graphicData>
            </a:graphic>
          </wp:inline>
        </w:drawing>
      </w:r>
    </w:p>
    <w:p>
      <w:pPr>
        <w:spacing w:after="0"/>
        <w:rPr>
          <w:b/>
        </w:rPr>
      </w:pPr>
      <w:r>
        <w:rPr>
          <w:b/>
        </w:rPr>
        <w:br w:type="page"/>
      </w:r>
    </w:p>
    <w:p>
      <w:pPr>
        <w:jc w:val="both"/>
        <w:rPr>
          <w:b/>
        </w:rPr>
      </w:pPr>
      <w:r>
        <w:rPr>
          <w:b/>
        </w:rPr>
        <w:lastRenderedPageBreak/>
        <w:t xml:space="preserve">Figure S2 </w:t>
      </w:r>
      <w:r>
        <w:rPr>
          <w:w w:val="105"/>
          <w:highlight w:val="green"/>
        </w:rPr>
        <w:t>Correlation analysis</w:t>
      </w:r>
      <w:r>
        <w:rPr>
          <w:w w:val="105"/>
        </w:rPr>
        <w:t xml:space="preserve"> of dry total plant biomass (TPB in g </w:t>
      </w:r>
      <w:r>
        <w:rPr>
          <w:i/>
          <w:w w:val="105"/>
        </w:rPr>
        <w:t>dw</w:t>
      </w:r>
      <w:r>
        <w:rPr>
          <w:w w:val="105"/>
        </w:rPr>
        <w:t xml:space="preserve">) with </w:t>
      </w:r>
      <w:r>
        <w:rPr>
          <w:b/>
          <w:w w:val="105"/>
        </w:rPr>
        <w:t>(A)</w:t>
      </w:r>
      <w:r>
        <w:rPr>
          <w:w w:val="105"/>
        </w:rPr>
        <w:t xml:space="preserve"> leaf area index (LAI in % of green pixel), </w:t>
      </w:r>
      <w:r>
        <w:rPr>
          <w:b/>
          <w:w w:val="105"/>
        </w:rPr>
        <w:t>(B)</w:t>
      </w:r>
      <w:r>
        <w:rPr>
          <w:w w:val="105"/>
        </w:rPr>
        <w:t xml:space="preserve"> nitrate-N (in µg g</w:t>
      </w:r>
      <w:r>
        <w:rPr>
          <w:w w:val="105"/>
          <w:vertAlign w:val="superscript"/>
        </w:rPr>
        <w:t>-1</w:t>
      </w:r>
      <w:r>
        <w:rPr>
          <w:w w:val="105"/>
        </w:rPr>
        <w:t xml:space="preserve"> </w:t>
      </w:r>
      <w:r>
        <w:rPr>
          <w:i/>
          <w:w w:val="105"/>
        </w:rPr>
        <w:t>dw</w:t>
      </w:r>
      <w:r>
        <w:rPr>
          <w:w w:val="105"/>
        </w:rPr>
        <w:t xml:space="preserve">) and </w:t>
      </w:r>
      <w:r>
        <w:rPr>
          <w:b/>
          <w:w w:val="105"/>
          <w:highlight w:val="green"/>
        </w:rPr>
        <w:t>(C)</w:t>
      </w:r>
      <w:r>
        <w:rPr>
          <w:w w:val="105"/>
          <w:highlight w:val="green"/>
        </w:rPr>
        <w:t xml:space="preserve"> amount of biochar applied to the soil (in g kg</w:t>
      </w:r>
      <w:r>
        <w:rPr>
          <w:w w:val="105"/>
          <w:highlight w:val="green"/>
          <w:vertAlign w:val="superscript"/>
        </w:rPr>
        <w:t>-1</w:t>
      </w:r>
      <w:r>
        <w:rPr>
          <w:w w:val="105"/>
          <w:highlight w:val="green"/>
        </w:rPr>
        <w:t xml:space="preserve">) as well as the correlation of </w:t>
      </w:r>
      <w:r>
        <w:rPr>
          <w:b/>
          <w:w w:val="105"/>
          <w:highlight w:val="green"/>
        </w:rPr>
        <w:t>(D)</w:t>
      </w:r>
      <w:r>
        <w:rPr>
          <w:w w:val="105"/>
          <w:highlight w:val="green"/>
        </w:rPr>
        <w:t xml:space="preserve"> nitrate-N to biochar (</w:t>
      </w:r>
      <w:r>
        <w:rPr>
          <w:i/>
          <w:w w:val="105"/>
          <w:highlight w:val="green"/>
        </w:rPr>
        <w:t>n</w:t>
      </w:r>
      <w:r>
        <w:rPr>
          <w:w w:val="105"/>
          <w:highlight w:val="green"/>
        </w:rPr>
        <w:t>=56). The 95% confidence interval, correlation coefficient (r) and its p-value are given.</w:t>
      </w:r>
      <w:r>
        <w:rPr>
          <w:w w:val="105"/>
        </w:rPr>
        <w:t xml:space="preserve"> </w:t>
      </w:r>
    </w:p>
    <w:p>
      <w:pPr>
        <w:jc w:val="both"/>
        <w:rPr>
          <w:b/>
        </w:rPr>
      </w:pPr>
      <w:r>
        <w:rPr>
          <w:b/>
          <w:noProof/>
        </w:rPr>
        <w:drawing>
          <wp:inline distT="0" distB="0" distL="0" distR="0">
            <wp:extent cx="5938520" cy="5938520"/>
            <wp:effectExtent l="0" t="0" r="5080" b="5080"/>
            <wp:docPr id="13" name="Bild 13" descr="Macintosh HD:Users:eva-maria:Desktop:4.Semester_MA:F2/MA_HHZM:9_Manuscript:Figures:FigureS2_NEWRvalu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va-maria:Desktop:4.Semester_MA:F2/MA_HHZM:9_Manuscript:Figures:FigureS2_NEWRvalues.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8520" cy="5938520"/>
                    </a:xfrm>
                    <a:prstGeom prst="rect">
                      <a:avLst/>
                    </a:prstGeom>
                    <a:noFill/>
                    <a:ln>
                      <a:noFill/>
                    </a:ln>
                  </pic:spPr>
                </pic:pic>
              </a:graphicData>
            </a:graphic>
          </wp:inline>
        </w:drawing>
      </w:r>
    </w:p>
    <w:p>
      <w:pPr>
        <w:spacing w:after="0"/>
        <w:rPr>
          <w:b/>
        </w:rPr>
      </w:pPr>
    </w:p>
    <w:p>
      <w:pPr>
        <w:spacing w:after="0"/>
        <w:rPr>
          <w:b/>
        </w:rPr>
      </w:pPr>
      <w:r>
        <w:rPr>
          <w:b/>
        </w:rPr>
        <w:br w:type="page"/>
      </w:r>
    </w:p>
    <w:p>
      <w:r>
        <w:rPr>
          <w:b/>
        </w:rPr>
        <w:lastRenderedPageBreak/>
        <w:t>Figure S3</w:t>
      </w:r>
      <w:r>
        <w:t xml:space="preserve"> Ratio between treatments and mean of the initial soil for</w:t>
      </w:r>
      <w:r>
        <w:rPr>
          <w:b/>
          <w:w w:val="105"/>
        </w:rPr>
        <w:t xml:space="preserve"> </w:t>
      </w:r>
      <w:r>
        <w:rPr>
          <w:w w:val="105"/>
        </w:rPr>
        <w:t>total dissolved nitrogen</w:t>
      </w:r>
      <w:r>
        <w:rPr>
          <w:b/>
        </w:rPr>
        <w:t xml:space="preserve"> (</w:t>
      </w:r>
      <w:r>
        <w:rPr>
          <w:w w:val="105"/>
        </w:rPr>
        <w:t xml:space="preserve">TDN) with </w:t>
      </w:r>
      <w:r>
        <w:rPr>
          <w:i/>
          <w:w w:val="105"/>
        </w:rPr>
        <w:t xml:space="preserve">n </w:t>
      </w:r>
      <w:r>
        <w:rPr>
          <w:w w:val="110"/>
        </w:rPr>
        <w:t xml:space="preserve">= </w:t>
      </w:r>
      <w:r>
        <w:rPr>
          <w:w w:val="105"/>
        </w:rPr>
        <w:t>4. Black dashed line indicates no difference to the initial soil.</w:t>
      </w:r>
      <w:r>
        <w:t xml:space="preserve"> Different letters (a, b, c, d, and e) indicate signiﬁcant differences (p &lt; 0.05) calculated with multivariate ANOVA (Tukey's post-hoc test).</w:t>
      </w:r>
    </w:p>
    <w:p>
      <w:pPr>
        <w:jc w:val="both"/>
        <w:rPr>
          <w:b/>
        </w:rPr>
      </w:pPr>
    </w:p>
    <w:p>
      <w:pPr>
        <w:spacing w:after="0"/>
        <w:rPr>
          <w:b/>
        </w:rPr>
      </w:pPr>
      <w:r>
        <w:rPr>
          <w:b/>
        </w:rPr>
        <w:tab/>
      </w:r>
      <w:r>
        <w:rPr>
          <w:b/>
        </w:rPr>
        <w:tab/>
      </w:r>
      <w:r>
        <w:rPr>
          <w:b/>
          <w:noProof/>
        </w:rPr>
        <w:drawing>
          <wp:inline distT="0" distB="0" distL="0" distR="0">
            <wp:extent cx="3771900" cy="3771900"/>
            <wp:effectExtent l="0" t="0" r="12700" b="12700"/>
            <wp:docPr id="9" name="Bild 9" descr="Macintosh HD:Users:eva-maria:Desktop:Paper:Graphs:GesN_neu_a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va-maria:Desktop:Paper:Graphs:GesN_neu_abc.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1900" cy="3771900"/>
                    </a:xfrm>
                    <a:prstGeom prst="rect">
                      <a:avLst/>
                    </a:prstGeom>
                    <a:noFill/>
                    <a:ln>
                      <a:noFill/>
                    </a:ln>
                  </pic:spPr>
                </pic:pic>
              </a:graphicData>
            </a:graphic>
          </wp:inline>
        </w:drawing>
      </w:r>
    </w:p>
    <w:p>
      <w:pPr>
        <w:spacing w:after="0"/>
        <w:rPr>
          <w:b/>
        </w:rPr>
      </w:pPr>
      <w:r>
        <w:rPr>
          <w:b/>
        </w:rPr>
        <w:br w:type="page"/>
      </w:r>
    </w:p>
    <w:p>
      <w:pPr>
        <w:spacing w:after="0"/>
        <w:rPr>
          <w:b/>
        </w:rPr>
      </w:pPr>
    </w:p>
    <w:p>
      <w:pPr>
        <w:jc w:val="both"/>
      </w:pPr>
      <w:r>
        <w:rPr>
          <w:b/>
        </w:rPr>
        <w:t xml:space="preserve">Figure S4 </w:t>
      </w:r>
      <w:r>
        <w:rPr>
          <w:w w:val="105"/>
          <w:szCs w:val="24"/>
        </w:rPr>
        <w:t xml:space="preserve">Potential soil enzyme activities. </w:t>
      </w:r>
      <w:r>
        <w:rPr>
          <w:b/>
          <w:w w:val="105"/>
          <w:szCs w:val="24"/>
        </w:rPr>
        <w:t xml:space="preserve">(A) </w:t>
      </w:r>
      <w:r>
        <w:rPr>
          <w:w w:val="105"/>
          <w:szCs w:val="24"/>
        </w:rPr>
        <w:t xml:space="preserve">Overall potential microbial activity in mg fluorescein </w:t>
      </w:r>
      <w:r>
        <w:rPr>
          <w:w w:val="110"/>
          <w:szCs w:val="24"/>
        </w:rPr>
        <w:t>kg</w:t>
      </w:r>
      <w:r>
        <w:rPr>
          <w:w w:val="110"/>
          <w:szCs w:val="24"/>
          <w:vertAlign w:val="superscript"/>
        </w:rPr>
        <w:t xml:space="preserve">-1 </w:t>
      </w:r>
      <w:r>
        <w:rPr>
          <w:i/>
          <w:w w:val="110"/>
          <w:szCs w:val="24"/>
        </w:rPr>
        <w:t xml:space="preserve">dw </w:t>
      </w:r>
      <w:r>
        <w:rPr>
          <w:spacing w:val="2"/>
          <w:w w:val="110"/>
          <w:szCs w:val="24"/>
        </w:rPr>
        <w:t>h</w:t>
      </w:r>
      <w:r>
        <w:rPr>
          <w:w w:val="110"/>
          <w:szCs w:val="24"/>
          <w:vertAlign w:val="superscript"/>
        </w:rPr>
        <w:t>-1</w:t>
      </w:r>
      <w:r>
        <w:rPr>
          <w:spacing w:val="-3"/>
          <w:w w:val="105"/>
        </w:rPr>
        <w:t xml:space="preserve"> </w:t>
      </w:r>
      <w:r>
        <w:rPr>
          <w:w w:val="105"/>
        </w:rPr>
        <w:t xml:space="preserve">measured </w:t>
      </w:r>
      <w:r>
        <w:rPr>
          <w:spacing w:val="-4"/>
          <w:w w:val="105"/>
        </w:rPr>
        <w:t xml:space="preserve">by </w:t>
      </w:r>
      <w:r>
        <w:rPr>
          <w:w w:val="105"/>
        </w:rPr>
        <w:t xml:space="preserve">a fluorescein diacetate (FDA) hydrolysis assay according to </w:t>
      </w:r>
      <w:r>
        <w:t xml:space="preserve">Green </w:t>
      </w:r>
      <w:r>
        <w:rPr>
          <w:i/>
        </w:rPr>
        <w:t xml:space="preserve">et al. </w:t>
      </w:r>
      <w:r>
        <w:t xml:space="preserve">2006. Measurements were conducted in triplicates in 96-well plates at a </w:t>
      </w:r>
      <w:r>
        <w:rPr>
          <w:spacing w:val="-3"/>
        </w:rPr>
        <w:t xml:space="preserve">wavelength </w:t>
      </w:r>
      <w:r>
        <w:t>of 490 nm using a FLUOstar</w:t>
      </w:r>
      <w:r>
        <w:rPr>
          <w:rFonts w:ascii="Arial" w:hAnsi="Arial"/>
          <w:position w:val="9"/>
          <w:sz w:val="16"/>
        </w:rPr>
        <w:t xml:space="preserve">® </w:t>
      </w:r>
      <w:r>
        <w:t xml:space="preserve">Omega Plate Reader (BMG Labtech, Ortenberg, Germany). Potential activity </w:t>
      </w:r>
      <w:r>
        <w:rPr>
          <w:spacing w:val="-3"/>
        </w:rPr>
        <w:t xml:space="preserve">was </w:t>
      </w:r>
      <w:r>
        <w:t>determined using a standard curve measured</w:t>
      </w:r>
      <w:r>
        <w:rPr>
          <w:spacing w:val="19"/>
        </w:rPr>
        <w:t xml:space="preserve"> </w:t>
      </w:r>
      <w:r>
        <w:t>at</w:t>
      </w:r>
      <w:r>
        <w:rPr>
          <w:spacing w:val="21"/>
        </w:rPr>
        <w:t xml:space="preserve"> </w:t>
      </w:r>
      <w:r>
        <w:t>490</w:t>
      </w:r>
      <w:r>
        <w:rPr>
          <w:spacing w:val="20"/>
        </w:rPr>
        <w:t xml:space="preserve"> </w:t>
      </w:r>
      <w:r>
        <w:t>nm</w:t>
      </w:r>
      <w:r>
        <w:rPr>
          <w:spacing w:val="20"/>
        </w:rPr>
        <w:t xml:space="preserve"> </w:t>
      </w:r>
      <w:r>
        <w:t>with</w:t>
      </w:r>
      <w:r>
        <w:rPr>
          <w:spacing w:val="19"/>
        </w:rPr>
        <w:t xml:space="preserve"> </w:t>
      </w:r>
      <w:r>
        <w:t>2,</w:t>
      </w:r>
      <w:r>
        <w:rPr>
          <w:spacing w:val="21"/>
        </w:rPr>
        <w:t xml:space="preserve"> </w:t>
      </w:r>
      <w:r>
        <w:t>5,</w:t>
      </w:r>
      <w:r>
        <w:rPr>
          <w:spacing w:val="20"/>
        </w:rPr>
        <w:t xml:space="preserve"> </w:t>
      </w:r>
      <w:r>
        <w:t>8,</w:t>
      </w:r>
      <w:r>
        <w:rPr>
          <w:spacing w:val="21"/>
        </w:rPr>
        <w:t xml:space="preserve"> </w:t>
      </w:r>
      <w:r>
        <w:t>11</w:t>
      </w:r>
      <w:r>
        <w:rPr>
          <w:spacing w:val="20"/>
        </w:rPr>
        <w:t xml:space="preserve"> </w:t>
      </w:r>
      <w:r>
        <w:t>and</w:t>
      </w:r>
      <w:r>
        <w:rPr>
          <w:spacing w:val="21"/>
        </w:rPr>
        <w:t xml:space="preserve"> </w:t>
      </w:r>
      <w:r>
        <w:t>15</w:t>
      </w:r>
      <w:r>
        <w:rPr>
          <w:spacing w:val="19"/>
        </w:rPr>
        <w:t xml:space="preserve"> </w:t>
      </w:r>
      <w:r>
        <w:t>µg</w:t>
      </w:r>
      <w:r>
        <w:rPr>
          <w:spacing w:val="21"/>
        </w:rPr>
        <w:t xml:space="preserve"> </w:t>
      </w:r>
      <w:r>
        <w:t>mL</w:t>
      </w:r>
      <w:r>
        <w:rPr>
          <w:position w:val="9"/>
          <w:sz w:val="16"/>
        </w:rPr>
        <w:t>-1</w:t>
      </w:r>
      <w:r>
        <w:t xml:space="preserve"> fluorescein.</w:t>
      </w:r>
      <w:r>
        <w:rPr>
          <w:w w:val="110"/>
          <w:szCs w:val="24"/>
        </w:rPr>
        <w:t xml:space="preserve"> </w:t>
      </w:r>
      <w:r>
        <w:rPr>
          <w:b/>
          <w:w w:val="110"/>
          <w:szCs w:val="24"/>
        </w:rPr>
        <w:t xml:space="preserve">(B) </w:t>
      </w:r>
      <w:r>
        <w:rPr>
          <w:w w:val="110"/>
          <w:szCs w:val="24"/>
        </w:rPr>
        <w:t xml:space="preserve">Average well color development </w:t>
      </w:r>
      <w:r>
        <w:rPr>
          <w:spacing w:val="-5"/>
          <w:w w:val="110"/>
          <w:szCs w:val="24"/>
        </w:rPr>
        <w:t xml:space="preserve">(AWCD) </w:t>
      </w:r>
      <w:r>
        <w:rPr>
          <w:spacing w:val="-4"/>
          <w:w w:val="105"/>
        </w:rPr>
        <w:t xml:space="preserve">of </w:t>
      </w:r>
      <w:r>
        <w:rPr>
          <w:w w:val="105"/>
        </w:rPr>
        <w:t>carbon source metabolization using BIOLOG EcoPlates</w:t>
      </w:r>
      <w:r>
        <w:rPr>
          <w:w w:val="105"/>
          <w:position w:val="9"/>
          <w:sz w:val="16"/>
        </w:rPr>
        <w:t xml:space="preserve">TM </w:t>
      </w:r>
      <w:r>
        <w:rPr>
          <w:w w:val="105"/>
        </w:rPr>
        <w:t xml:space="preserve">(Biolog Inc., Hayward, United States). A 1:10 (w/v) </w:t>
      </w:r>
      <w:r>
        <w:t>soil suspension was performed with 10 mM PBS buffer (130 mM NaCl, 7 mM Na</w:t>
      </w:r>
      <w:r>
        <w:rPr>
          <w:vertAlign w:val="subscript"/>
        </w:rPr>
        <w:t>2</w:t>
      </w:r>
      <w:r>
        <w:t>HPO</w:t>
      </w:r>
      <w:r>
        <w:rPr>
          <w:vertAlign w:val="subscript"/>
        </w:rPr>
        <w:t>4</w:t>
      </w:r>
      <w:r>
        <w:t>, 3 mM NaH</w:t>
      </w:r>
      <w:r>
        <w:rPr>
          <w:vertAlign w:val="subscript"/>
        </w:rPr>
        <w:t>2</w:t>
      </w:r>
      <w:r>
        <w:t>PO</w:t>
      </w:r>
      <w:r>
        <w:rPr>
          <w:vertAlign w:val="subscript"/>
        </w:rPr>
        <w:t>4</w:t>
      </w:r>
      <w:r>
        <w:t xml:space="preserve">, pH 7.4), </w:t>
      </w:r>
      <w:r>
        <w:rPr>
          <w:w w:val="105"/>
        </w:rPr>
        <w:t xml:space="preserve">mixed for 20 min at room temperature and incubated for 30 min at 4 </w:t>
      </w:r>
      <w:r>
        <w:rPr>
          <w:rFonts w:ascii="Arial" w:hAnsi="Arial"/>
          <w:w w:val="105"/>
        </w:rPr>
        <w:t>°</w:t>
      </w:r>
      <w:r>
        <w:rPr>
          <w:w w:val="105"/>
        </w:rPr>
        <w:t xml:space="preserve">C. The 1:20 diluted suspension </w:t>
      </w:r>
      <w:r>
        <w:rPr>
          <w:spacing w:val="-3"/>
          <w:w w:val="105"/>
        </w:rPr>
        <w:t xml:space="preserve">was </w:t>
      </w:r>
      <w:r>
        <w:rPr>
          <w:w w:val="105"/>
        </w:rPr>
        <w:t xml:space="preserve">incubated at 28-30 </w:t>
      </w:r>
      <w:r>
        <w:rPr>
          <w:rFonts w:ascii="Arial" w:hAnsi="Arial"/>
          <w:w w:val="105"/>
        </w:rPr>
        <w:t>°</w:t>
      </w:r>
      <w:r>
        <w:rPr>
          <w:w w:val="105"/>
        </w:rPr>
        <w:t xml:space="preserve">C for six days. Absorbance </w:t>
      </w:r>
      <w:r>
        <w:rPr>
          <w:spacing w:val="-3"/>
          <w:w w:val="105"/>
        </w:rPr>
        <w:t xml:space="preserve">was </w:t>
      </w:r>
      <w:r>
        <w:rPr>
          <w:w w:val="105"/>
        </w:rPr>
        <w:t>measured at 595 nm after 0,</w:t>
      </w:r>
      <w:r>
        <w:rPr>
          <w:spacing w:val="15"/>
          <w:w w:val="105"/>
        </w:rPr>
        <w:t xml:space="preserve"> </w:t>
      </w:r>
      <w:r>
        <w:rPr>
          <w:w w:val="105"/>
        </w:rPr>
        <w:t>3,</w:t>
      </w:r>
      <w:r>
        <w:rPr>
          <w:spacing w:val="15"/>
          <w:w w:val="105"/>
        </w:rPr>
        <w:t xml:space="preserve"> </w:t>
      </w:r>
      <w:r>
        <w:rPr>
          <w:w w:val="105"/>
        </w:rPr>
        <w:t>6,</w:t>
      </w:r>
      <w:r>
        <w:rPr>
          <w:spacing w:val="15"/>
          <w:w w:val="105"/>
        </w:rPr>
        <w:t xml:space="preserve"> </w:t>
      </w:r>
      <w:r>
        <w:rPr>
          <w:w w:val="105"/>
        </w:rPr>
        <w:t>21,</w:t>
      </w:r>
      <w:r>
        <w:rPr>
          <w:spacing w:val="15"/>
          <w:w w:val="105"/>
        </w:rPr>
        <w:t xml:space="preserve"> </w:t>
      </w:r>
      <w:r>
        <w:rPr>
          <w:w w:val="105"/>
        </w:rPr>
        <w:t>24,</w:t>
      </w:r>
      <w:r>
        <w:rPr>
          <w:spacing w:val="16"/>
          <w:w w:val="105"/>
        </w:rPr>
        <w:t xml:space="preserve"> </w:t>
      </w:r>
      <w:r>
        <w:rPr>
          <w:w w:val="105"/>
        </w:rPr>
        <w:t>48,</w:t>
      </w:r>
      <w:r>
        <w:rPr>
          <w:spacing w:val="15"/>
          <w:w w:val="105"/>
        </w:rPr>
        <w:t xml:space="preserve"> </w:t>
      </w:r>
      <w:r>
        <w:rPr>
          <w:w w:val="105"/>
        </w:rPr>
        <w:t>72</w:t>
      </w:r>
      <w:r>
        <w:rPr>
          <w:spacing w:val="15"/>
          <w:w w:val="105"/>
        </w:rPr>
        <w:t xml:space="preserve"> </w:t>
      </w:r>
      <w:r>
        <w:rPr>
          <w:w w:val="105"/>
        </w:rPr>
        <w:t>and</w:t>
      </w:r>
      <w:r>
        <w:rPr>
          <w:spacing w:val="15"/>
          <w:w w:val="105"/>
        </w:rPr>
        <w:t xml:space="preserve"> </w:t>
      </w:r>
      <w:r>
        <w:rPr>
          <w:w w:val="105"/>
        </w:rPr>
        <w:t>144</w:t>
      </w:r>
      <w:r>
        <w:rPr>
          <w:spacing w:val="15"/>
          <w:w w:val="105"/>
        </w:rPr>
        <w:t xml:space="preserve"> </w:t>
      </w:r>
      <w:r>
        <w:rPr>
          <w:w w:val="105"/>
        </w:rPr>
        <w:t>h</w:t>
      </w:r>
      <w:r>
        <w:rPr>
          <w:spacing w:val="16"/>
          <w:w w:val="105"/>
        </w:rPr>
        <w:t xml:space="preserve"> </w:t>
      </w:r>
      <w:r>
        <w:rPr>
          <w:w w:val="105"/>
        </w:rPr>
        <w:t>using</w:t>
      </w:r>
      <w:r>
        <w:rPr>
          <w:spacing w:val="14"/>
          <w:w w:val="105"/>
        </w:rPr>
        <w:t xml:space="preserve"> </w:t>
      </w:r>
      <w:r>
        <w:rPr>
          <w:w w:val="105"/>
        </w:rPr>
        <w:t>a</w:t>
      </w:r>
      <w:r>
        <w:rPr>
          <w:spacing w:val="15"/>
          <w:w w:val="105"/>
        </w:rPr>
        <w:t xml:space="preserve"> </w:t>
      </w:r>
      <w:r>
        <w:rPr>
          <w:w w:val="105"/>
        </w:rPr>
        <w:t>FLUOstar</w:t>
      </w:r>
      <w:r>
        <w:rPr>
          <w:rFonts w:ascii="Arial" w:hAnsi="Arial"/>
          <w:w w:val="105"/>
          <w:position w:val="9"/>
          <w:sz w:val="16"/>
        </w:rPr>
        <w:t>®</w:t>
      </w:r>
      <w:r>
        <w:rPr>
          <w:rFonts w:ascii="Arial" w:hAnsi="Arial"/>
          <w:spacing w:val="42"/>
          <w:w w:val="105"/>
          <w:position w:val="9"/>
          <w:sz w:val="16"/>
        </w:rPr>
        <w:t xml:space="preserve"> </w:t>
      </w:r>
      <w:r>
        <w:rPr>
          <w:w w:val="105"/>
        </w:rPr>
        <w:t>Omega</w:t>
      </w:r>
      <w:r>
        <w:rPr>
          <w:spacing w:val="15"/>
          <w:w w:val="105"/>
        </w:rPr>
        <w:t xml:space="preserve"> </w:t>
      </w:r>
      <w:r>
        <w:rPr>
          <w:w w:val="105"/>
        </w:rPr>
        <w:t>Plate</w:t>
      </w:r>
      <w:r>
        <w:rPr>
          <w:spacing w:val="14"/>
          <w:w w:val="105"/>
        </w:rPr>
        <w:t xml:space="preserve"> </w:t>
      </w:r>
      <w:r>
        <w:rPr>
          <w:w w:val="105"/>
        </w:rPr>
        <w:t xml:space="preserve">Reader. Calculations were done according to Li </w:t>
      </w:r>
      <w:r>
        <w:rPr>
          <w:i/>
          <w:w w:val="105"/>
        </w:rPr>
        <w:t xml:space="preserve">et al. </w:t>
      </w:r>
      <w:r>
        <w:rPr>
          <w:w w:val="105"/>
        </w:rPr>
        <w:t xml:space="preserve">(2018) and Guckert </w:t>
      </w:r>
      <w:r>
        <w:rPr>
          <w:i/>
          <w:w w:val="105"/>
        </w:rPr>
        <w:t xml:space="preserve">et al. </w:t>
      </w:r>
      <w:r>
        <w:rPr>
          <w:w w:val="105"/>
        </w:rPr>
        <w:t xml:space="preserve">(1996). </w:t>
      </w:r>
      <w:r>
        <w:t>Different letters (a, and b) indicate signiﬁcant differences (p &lt; 0.05) calculated with multivariate ANOVA (Tukey's post-hoc test).</w:t>
      </w:r>
    </w:p>
    <w:p>
      <w:pPr>
        <w:spacing w:before="101" w:after="0" w:line="244" w:lineRule="auto"/>
        <w:ind w:right="194"/>
        <w:jc w:val="both"/>
        <w:rPr>
          <w:b/>
        </w:rPr>
      </w:pPr>
    </w:p>
    <w:p>
      <w:pPr>
        <w:spacing w:after="0"/>
        <w:rPr>
          <w:b/>
        </w:rPr>
      </w:pPr>
      <w:r>
        <w:rPr>
          <w:b/>
          <w:noProof/>
        </w:rPr>
        <w:drawing>
          <wp:inline distT="0" distB="0" distL="0" distR="0">
            <wp:extent cx="5943600" cy="2674620"/>
            <wp:effectExtent l="0" t="0" r="0" b="0"/>
            <wp:docPr id="12" name="Bild 12" descr="Macintosh HD:Users:eva-maria:Desktop:4.Semester_MA:F2/MA_HHZM:2_Ergebnisse:Statistics:Plots:L_Enzym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eva-maria:Desktop:4.Semester_MA:F2/MA_HHZM:2_Ergebnisse:Statistics:Plots:L_Enzyme3-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674620"/>
                    </a:xfrm>
                    <a:prstGeom prst="rect">
                      <a:avLst/>
                    </a:prstGeom>
                    <a:noFill/>
                    <a:ln>
                      <a:noFill/>
                    </a:ln>
                  </pic:spPr>
                </pic:pic>
              </a:graphicData>
            </a:graphic>
          </wp:inline>
        </w:drawing>
      </w:r>
      <w:r>
        <w:rPr>
          <w:b/>
        </w:rPr>
        <w:br w:type="page"/>
      </w:r>
    </w:p>
    <w:p>
      <w:pPr>
        <w:spacing w:after="0"/>
        <w:rPr>
          <w:b/>
        </w:rPr>
      </w:pPr>
    </w:p>
    <w:p>
      <w:pPr>
        <w:spacing w:after="0"/>
        <w:rPr>
          <w:w w:val="105"/>
          <w:szCs w:val="24"/>
        </w:rPr>
      </w:pPr>
      <w:r>
        <w:rPr>
          <w:b/>
        </w:rPr>
        <w:t xml:space="preserve">Figure S5 </w:t>
      </w:r>
      <w:r>
        <w:rPr>
          <w:w w:val="105"/>
          <w:szCs w:val="24"/>
        </w:rPr>
        <w:t xml:space="preserve">Rarefaction curves before subsampling to 45,750 sequencing reads per sample (see red dashed line). </w:t>
      </w:r>
    </w:p>
    <w:p>
      <w:pPr>
        <w:spacing w:after="0"/>
        <w:jc w:val="center"/>
        <w:rPr>
          <w:b/>
        </w:rPr>
      </w:pPr>
      <w:r>
        <w:rPr>
          <w:b/>
          <w:noProof/>
        </w:rPr>
        <w:drawing>
          <wp:inline distT="0" distB="0" distL="0" distR="0">
            <wp:extent cx="4886325" cy="5248275"/>
            <wp:effectExtent l="0" t="0" r="9525" b="9525"/>
            <wp:docPr id="7" name="Picture 1" descr="D:\Users\michael.obermeier\AppData\Local\Microsoft\Windows\INetCache\Content.Word\Rarefaction_red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ichael.obermeier\AppData\Local\Microsoft\Windows\INetCache\Content.Word\Rarefaction_redline.jpg"/>
                    <pic:cNvPicPr>
                      <a:picLocks noChangeAspect="1" noChangeArrowheads="1"/>
                    </pic:cNvPicPr>
                  </pic:nvPicPr>
                  <pic:blipFill>
                    <a:blip r:embed="rId9">
                      <a:extLst>
                        <a:ext uri="{28A0092B-C50C-407E-A947-70E740481C1C}">
                          <a14:useLocalDpi xmlns:a14="http://schemas.microsoft.com/office/drawing/2010/main" val="0"/>
                        </a:ext>
                      </a:extLst>
                    </a:blip>
                    <a:srcRect l="23065" r="24706"/>
                    <a:stretch>
                      <a:fillRect/>
                    </a:stretch>
                  </pic:blipFill>
                  <pic:spPr bwMode="auto">
                    <a:xfrm>
                      <a:off x="0" y="0"/>
                      <a:ext cx="4886325" cy="5248275"/>
                    </a:xfrm>
                    <a:prstGeom prst="rect">
                      <a:avLst/>
                    </a:prstGeom>
                    <a:noFill/>
                    <a:ln>
                      <a:noFill/>
                    </a:ln>
                  </pic:spPr>
                </pic:pic>
              </a:graphicData>
            </a:graphic>
          </wp:inline>
        </w:drawing>
      </w:r>
    </w:p>
    <w:p>
      <w:pPr>
        <w:spacing w:after="0"/>
        <w:rPr>
          <w:b/>
        </w:rPr>
      </w:pPr>
    </w:p>
    <w:p>
      <w:pPr>
        <w:spacing w:after="0"/>
        <w:rPr>
          <w:b/>
        </w:rPr>
      </w:pPr>
      <w:r>
        <w:rPr>
          <w:b/>
        </w:rPr>
        <w:br w:type="page"/>
      </w:r>
    </w:p>
    <w:p>
      <w:pPr>
        <w:spacing w:after="0"/>
        <w:jc w:val="both"/>
        <w:rPr>
          <w:w w:val="105"/>
          <w:szCs w:val="24"/>
        </w:rPr>
      </w:pPr>
      <w:r>
        <w:rPr>
          <w:b/>
        </w:rPr>
        <w:lastRenderedPageBreak/>
        <w:t xml:space="preserve">Figure S6 </w:t>
      </w:r>
      <w:r>
        <w:rPr>
          <w:w w:val="105"/>
          <w:szCs w:val="24"/>
        </w:rPr>
        <w:t xml:space="preserve">Bacterial alpha diversity </w:t>
      </w:r>
      <w:r>
        <w:rPr>
          <w:b/>
          <w:w w:val="105"/>
          <w:szCs w:val="24"/>
        </w:rPr>
        <w:t>(A)</w:t>
      </w:r>
      <w:r>
        <w:rPr>
          <w:w w:val="105"/>
          <w:szCs w:val="24"/>
        </w:rPr>
        <w:t xml:space="preserve"> Shannon diversity index and </w:t>
      </w:r>
      <w:r>
        <w:rPr>
          <w:b/>
          <w:w w:val="105"/>
          <w:szCs w:val="24"/>
        </w:rPr>
        <w:t xml:space="preserve">(B) </w:t>
      </w:r>
      <w:r>
        <w:rPr>
          <w:w w:val="105"/>
          <w:szCs w:val="24"/>
        </w:rPr>
        <w:t>observed ASVs for the 13 different fertilizer combinations, control and the initial soil (</w:t>
      </w:r>
      <w:r>
        <w:rPr>
          <w:i/>
          <w:w w:val="105"/>
          <w:szCs w:val="24"/>
        </w:rPr>
        <w:t>n</w:t>
      </w:r>
      <w:r>
        <w:rPr>
          <w:w w:val="105"/>
          <w:szCs w:val="24"/>
        </w:rPr>
        <w:t xml:space="preserve"> = 4). No significant differences </w:t>
      </w:r>
      <w:r>
        <w:t>(p &lt; 0.05) calculated with multivariate ANOVA (Tukey's post-hoc test)</w:t>
      </w:r>
      <w:r>
        <w:rPr>
          <w:w w:val="105"/>
          <w:szCs w:val="24"/>
        </w:rPr>
        <w:t xml:space="preserve"> have been observed.</w:t>
      </w:r>
    </w:p>
    <w:p>
      <w:pPr>
        <w:spacing w:after="0"/>
        <w:jc w:val="both"/>
        <w:rPr>
          <w:b/>
        </w:rPr>
      </w:pPr>
      <w:r>
        <w:rPr>
          <w:w w:val="105"/>
          <w:szCs w:val="24"/>
        </w:rPr>
        <w:t xml:space="preserve"> </w:t>
      </w:r>
      <w:r>
        <w:rPr>
          <w:noProof/>
          <w:w w:val="105"/>
          <w:szCs w:val="24"/>
        </w:rPr>
        <w:drawing>
          <wp:inline distT="0" distB="0" distL="0" distR="0">
            <wp:extent cx="5943600" cy="2971800"/>
            <wp:effectExtent l="0" t="0" r="0" b="0"/>
            <wp:docPr id="2" name="Bild 2" descr="Macintosh HD:Users:eva-maria:Desktop:4.Semester_MA:F2/MA_HHZM:2_Ergebnisse:Statistics:Plots:AlphaDiv_Supp_A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va-maria:Desktop:4.Semester_MA:F2/MA_HHZM:2_Ergebnisse:Statistics:Plots:AlphaDiv_Supp_ABC.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r>
        <w:rPr>
          <w:b/>
        </w:rPr>
        <w:br w:type="page"/>
      </w:r>
    </w:p>
    <w:p>
      <w:pPr>
        <w:spacing w:after="0"/>
        <w:jc w:val="both"/>
        <w:rPr>
          <w:w w:val="105"/>
          <w:szCs w:val="24"/>
        </w:rPr>
      </w:pPr>
      <w:r>
        <w:rPr>
          <w:b/>
        </w:rPr>
        <w:lastRenderedPageBreak/>
        <w:t xml:space="preserve">Figure S7 </w:t>
      </w:r>
      <w:r>
        <w:rPr>
          <w:sz w:val="22"/>
        </w:rPr>
        <w:t>Mean relative abundances with standard deviations for the 6 most abundant classes observed for the 15 variants in percent (</w:t>
      </w:r>
      <w:r>
        <w:rPr>
          <w:i/>
          <w:sz w:val="22"/>
        </w:rPr>
        <w:t>n</w:t>
      </w:r>
      <w:r>
        <w:rPr>
          <w:sz w:val="22"/>
        </w:rPr>
        <w:t xml:space="preserve"> = 4)</w:t>
      </w:r>
      <w:r>
        <w:rPr>
          <w:spacing w:val="-3"/>
          <w:sz w:val="22"/>
        </w:rPr>
        <w:t xml:space="preserve">. </w:t>
      </w:r>
      <w:r>
        <w:rPr>
          <w:highlight w:val="cyan"/>
        </w:rPr>
        <w:t>Different letters (a and b) indicate signiﬁcant differences (p &lt; 0.05) calculated with multivariate ANOVA (Tukey's post-hoc test).</w:t>
      </w:r>
    </w:p>
    <w:p>
      <w:pPr>
        <w:spacing w:before="101" w:after="0" w:line="244" w:lineRule="auto"/>
        <w:ind w:right="194"/>
        <w:jc w:val="both"/>
        <w:rPr>
          <w:b/>
        </w:rPr>
      </w:pPr>
    </w:p>
    <w:p>
      <w:pPr>
        <w:spacing w:after="0"/>
        <w:rPr>
          <w:b/>
        </w:rPr>
      </w:pPr>
    </w:p>
    <w:p>
      <w:pPr>
        <w:spacing w:after="0"/>
        <w:rPr>
          <w:b/>
        </w:rPr>
      </w:pPr>
    </w:p>
    <w:p>
      <w:pPr>
        <w:spacing w:after="0"/>
        <w:rPr>
          <w:b/>
        </w:rPr>
      </w:pPr>
      <w:r>
        <w:rPr>
          <w:b/>
          <w:noProof/>
        </w:rPr>
        <w:drawing>
          <wp:inline distT="0" distB="0" distL="0" distR="0">
            <wp:extent cx="5943600" cy="3063240"/>
            <wp:effectExtent l="0" t="0" r="0" b="10160"/>
            <wp:docPr id="3" name="Bild 3" descr="Macintosh HD:Users:eva-maria:Desktop:4.Semester_MA:F2/MA_HHZM:9_Manuscript:Figures:FigureS7_sig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va-maria:Desktop:4.Semester_MA:F2/MA_HHZM:9_Manuscript:Figures:FigureS7_sig2.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063240"/>
                    </a:xfrm>
                    <a:prstGeom prst="rect">
                      <a:avLst/>
                    </a:prstGeom>
                    <a:noFill/>
                    <a:ln>
                      <a:noFill/>
                    </a:ln>
                  </pic:spPr>
                </pic:pic>
              </a:graphicData>
            </a:graphic>
          </wp:inline>
        </w:drawing>
      </w:r>
      <w:r>
        <w:rPr>
          <w:b/>
        </w:rPr>
        <w:br w:type="page"/>
      </w:r>
    </w:p>
    <w:p>
      <w:pPr>
        <w:spacing w:before="101" w:after="0" w:line="244" w:lineRule="auto"/>
        <w:ind w:right="194"/>
        <w:jc w:val="both"/>
      </w:pPr>
      <w:r>
        <w:rPr>
          <w:b/>
        </w:rPr>
        <w:lastRenderedPageBreak/>
        <w:t>Table S1</w:t>
      </w:r>
      <w:r>
        <w:t xml:space="preserve"> Fertilization scheme of the short-term greenhouse experiment. Thirteen different fertilizer compositions of organic amendments (OA) only and in combination with mineral fertilizer (OA+MF). Organic amendments comprise biochar (B) and pellets (P) from 50% spent mushroom substrate, </w:t>
      </w:r>
      <w:r>
        <w:rPr>
          <w:w w:val="105"/>
        </w:rPr>
        <w:t>30% bio-rest from biogas production and 20% straw and in part blended with biochar 10% (PB10) and 20% (PB20).</w:t>
      </w:r>
      <w:r>
        <w:t xml:space="preserve"> Amount of used OA and MF in g kg</w:t>
      </w:r>
      <w:r>
        <w:rPr>
          <w:vertAlign w:val="superscript"/>
        </w:rPr>
        <w:t>-1</w:t>
      </w:r>
      <w:r>
        <w:t xml:space="preserve"> as well as total nitrogen (N</w:t>
      </w:r>
      <w:r>
        <w:rPr>
          <w:vertAlign w:val="subscript"/>
        </w:rPr>
        <w:t>tot</w:t>
      </w:r>
      <w:r>
        <w:t>) and total carbon (C</w:t>
      </w:r>
      <w:r>
        <w:rPr>
          <w:vertAlign w:val="subscript"/>
        </w:rPr>
        <w:t>tot</w:t>
      </w:r>
      <w:r>
        <w:t>) content in kg ha</w:t>
      </w:r>
      <w:r>
        <w:rPr>
          <w:vertAlign w:val="superscript"/>
        </w:rPr>
        <w:t>-1</w:t>
      </w:r>
      <w:r>
        <w:t xml:space="preserve"> for 1.5 t m</w:t>
      </w:r>
      <w:r>
        <w:rPr>
          <w:vertAlign w:val="superscript"/>
        </w:rPr>
        <w:t>-3</w:t>
      </w:r>
      <w:r>
        <w:t xml:space="preserve"> bulk density and 30 cm soil depth.</w:t>
      </w:r>
    </w:p>
    <w:p>
      <w:pPr>
        <w:spacing w:before="101" w:after="0" w:line="244" w:lineRule="auto"/>
        <w:ind w:left="117" w:right="194"/>
        <w:jc w:val="both"/>
        <w:rPr>
          <w:sz w:val="20"/>
        </w:rPr>
      </w:pPr>
    </w:p>
    <w:tbl>
      <w:tblPr>
        <w:tblW w:w="0" w:type="auto"/>
        <w:tblInd w:w="200" w:type="dxa"/>
        <w:tblLayout w:type="fixed"/>
        <w:tblCellMar>
          <w:left w:w="0" w:type="dxa"/>
          <w:right w:w="0" w:type="dxa"/>
        </w:tblCellMar>
        <w:tblLook w:val="01E0" w:firstRow="1" w:lastRow="1" w:firstColumn="1" w:lastColumn="1" w:noHBand="0" w:noVBand="0"/>
      </w:tblPr>
      <w:tblGrid>
        <w:gridCol w:w="1295"/>
        <w:gridCol w:w="1698"/>
        <w:gridCol w:w="1385"/>
        <w:gridCol w:w="1401"/>
        <w:gridCol w:w="555"/>
        <w:gridCol w:w="979"/>
        <w:gridCol w:w="556"/>
        <w:gridCol w:w="1034"/>
      </w:tblGrid>
      <w:tr>
        <w:trPr>
          <w:trHeight w:val="464"/>
        </w:trPr>
        <w:tc>
          <w:tcPr>
            <w:tcW w:w="2993" w:type="dxa"/>
            <w:gridSpan w:val="2"/>
            <w:tcBorders>
              <w:top w:val="single" w:sz="4" w:space="0" w:color="auto"/>
              <w:bottom w:val="single" w:sz="4" w:space="0" w:color="auto"/>
            </w:tcBorders>
          </w:tcPr>
          <w:p>
            <w:pPr>
              <w:pStyle w:val="TableParagraph"/>
              <w:spacing w:before="93"/>
              <w:ind w:left="1414"/>
              <w:jc w:val="left"/>
              <w:rPr>
                <w:b/>
                <w:sz w:val="24"/>
              </w:rPr>
            </w:pPr>
            <w:r>
              <w:rPr>
                <w:b/>
                <w:w w:val="110"/>
                <w:sz w:val="24"/>
              </w:rPr>
              <w:t>Treatment</w:t>
            </w:r>
          </w:p>
        </w:tc>
        <w:tc>
          <w:tcPr>
            <w:tcW w:w="1385" w:type="dxa"/>
            <w:tcBorders>
              <w:top w:val="single" w:sz="4" w:space="0" w:color="auto"/>
              <w:bottom w:val="single" w:sz="4" w:space="0" w:color="auto"/>
            </w:tcBorders>
          </w:tcPr>
          <w:p>
            <w:pPr>
              <w:pStyle w:val="TableParagraph"/>
              <w:spacing w:before="78"/>
              <w:ind w:left="113" w:right="112"/>
              <w:rPr>
                <w:b/>
                <w:sz w:val="24"/>
              </w:rPr>
            </w:pPr>
            <w:r>
              <w:rPr>
                <w:b/>
                <w:sz w:val="24"/>
              </w:rPr>
              <w:t>OA [g kg</w:t>
            </w:r>
            <w:r>
              <w:rPr>
                <w:b/>
                <w:position w:val="9"/>
                <w:sz w:val="16"/>
              </w:rPr>
              <w:t>-1</w:t>
            </w:r>
            <w:r>
              <w:rPr>
                <w:b/>
                <w:sz w:val="24"/>
              </w:rPr>
              <w:t>]</w:t>
            </w:r>
          </w:p>
        </w:tc>
        <w:tc>
          <w:tcPr>
            <w:tcW w:w="1401" w:type="dxa"/>
            <w:tcBorders>
              <w:top w:val="single" w:sz="4" w:space="0" w:color="auto"/>
              <w:bottom w:val="single" w:sz="4" w:space="0" w:color="auto"/>
            </w:tcBorders>
          </w:tcPr>
          <w:p>
            <w:pPr>
              <w:pStyle w:val="TableParagraph"/>
              <w:spacing w:before="78"/>
              <w:ind w:left="121" w:right="120"/>
              <w:rPr>
                <w:b/>
                <w:sz w:val="24"/>
              </w:rPr>
            </w:pPr>
            <w:r>
              <w:rPr>
                <w:b/>
                <w:sz w:val="24"/>
              </w:rPr>
              <w:t>MF [g kg</w:t>
            </w:r>
            <w:r>
              <w:rPr>
                <w:b/>
                <w:position w:val="9"/>
                <w:sz w:val="16"/>
              </w:rPr>
              <w:t>-1</w:t>
            </w:r>
            <w:r>
              <w:rPr>
                <w:b/>
                <w:sz w:val="24"/>
              </w:rPr>
              <w:t>]</w:t>
            </w:r>
          </w:p>
        </w:tc>
        <w:tc>
          <w:tcPr>
            <w:tcW w:w="555" w:type="dxa"/>
            <w:tcBorders>
              <w:top w:val="single" w:sz="4" w:space="0" w:color="auto"/>
              <w:bottom w:val="single" w:sz="4" w:space="0" w:color="auto"/>
            </w:tcBorders>
          </w:tcPr>
          <w:p>
            <w:pPr>
              <w:pStyle w:val="TableParagraph"/>
              <w:spacing w:before="89"/>
              <w:ind w:left="120"/>
              <w:jc w:val="left"/>
              <w:rPr>
                <w:b/>
                <w:sz w:val="16"/>
              </w:rPr>
            </w:pPr>
            <w:r>
              <w:rPr>
                <w:b/>
                <w:w w:val="120"/>
                <w:position w:val="4"/>
                <w:sz w:val="24"/>
              </w:rPr>
              <w:t>N</w:t>
            </w:r>
            <w:r>
              <w:rPr>
                <w:b/>
                <w:w w:val="120"/>
                <w:sz w:val="16"/>
              </w:rPr>
              <w:t>tot</w:t>
            </w:r>
          </w:p>
        </w:tc>
        <w:tc>
          <w:tcPr>
            <w:tcW w:w="979" w:type="dxa"/>
            <w:tcBorders>
              <w:top w:val="single" w:sz="4" w:space="0" w:color="auto"/>
              <w:bottom w:val="single" w:sz="4" w:space="0" w:color="auto"/>
            </w:tcBorders>
          </w:tcPr>
          <w:p>
            <w:pPr>
              <w:pStyle w:val="TableParagraph"/>
              <w:spacing w:before="78"/>
              <w:ind w:left="45"/>
              <w:jc w:val="left"/>
              <w:rPr>
                <w:b/>
                <w:sz w:val="24"/>
              </w:rPr>
            </w:pPr>
            <w:r>
              <w:rPr>
                <w:b/>
                <w:sz w:val="24"/>
              </w:rPr>
              <w:t>[kg ha</w:t>
            </w:r>
            <w:r>
              <w:rPr>
                <w:b/>
                <w:position w:val="9"/>
                <w:sz w:val="16"/>
              </w:rPr>
              <w:t>-1</w:t>
            </w:r>
            <w:r>
              <w:rPr>
                <w:b/>
                <w:sz w:val="24"/>
              </w:rPr>
              <w:t>]</w:t>
            </w:r>
          </w:p>
        </w:tc>
        <w:tc>
          <w:tcPr>
            <w:tcW w:w="556" w:type="dxa"/>
            <w:tcBorders>
              <w:top w:val="single" w:sz="4" w:space="0" w:color="auto"/>
              <w:bottom w:val="single" w:sz="4" w:space="0" w:color="auto"/>
            </w:tcBorders>
          </w:tcPr>
          <w:p>
            <w:pPr>
              <w:pStyle w:val="TableParagraph"/>
              <w:spacing w:before="89"/>
              <w:ind w:left="121"/>
              <w:jc w:val="left"/>
              <w:rPr>
                <w:b/>
                <w:sz w:val="16"/>
              </w:rPr>
            </w:pPr>
            <w:r>
              <w:rPr>
                <w:b/>
                <w:w w:val="120"/>
                <w:position w:val="4"/>
                <w:sz w:val="24"/>
              </w:rPr>
              <w:t>C</w:t>
            </w:r>
            <w:r>
              <w:rPr>
                <w:b/>
                <w:w w:val="120"/>
                <w:sz w:val="16"/>
              </w:rPr>
              <w:t>tot</w:t>
            </w:r>
          </w:p>
        </w:tc>
        <w:tc>
          <w:tcPr>
            <w:tcW w:w="1034" w:type="dxa"/>
            <w:tcBorders>
              <w:top w:val="single" w:sz="4" w:space="0" w:color="auto"/>
              <w:bottom w:val="single" w:sz="4" w:space="0" w:color="auto"/>
            </w:tcBorders>
          </w:tcPr>
          <w:p>
            <w:pPr>
              <w:pStyle w:val="TableParagraph"/>
              <w:spacing w:before="78"/>
              <w:ind w:left="69"/>
              <w:jc w:val="left"/>
              <w:rPr>
                <w:b/>
                <w:sz w:val="24"/>
              </w:rPr>
            </w:pPr>
            <w:r>
              <w:rPr>
                <w:b/>
                <w:sz w:val="24"/>
              </w:rPr>
              <w:t>[kg ha</w:t>
            </w:r>
            <w:r>
              <w:rPr>
                <w:b/>
                <w:position w:val="9"/>
                <w:sz w:val="16"/>
              </w:rPr>
              <w:t>-1</w:t>
            </w:r>
            <w:r>
              <w:rPr>
                <w:b/>
                <w:sz w:val="24"/>
              </w:rPr>
              <w:t>]</w:t>
            </w:r>
          </w:p>
        </w:tc>
      </w:tr>
      <w:tr>
        <w:trPr>
          <w:trHeight w:val="358"/>
        </w:trPr>
        <w:tc>
          <w:tcPr>
            <w:tcW w:w="1295" w:type="dxa"/>
            <w:vMerge w:val="restart"/>
            <w:tcBorders>
              <w:top w:val="single" w:sz="4" w:space="0" w:color="auto"/>
            </w:tcBorders>
            <w:vAlign w:val="center"/>
          </w:tcPr>
          <w:p>
            <w:pPr>
              <w:pStyle w:val="TableParagraph"/>
              <w:spacing w:before="0"/>
              <w:ind w:left="0"/>
            </w:pPr>
            <w:r>
              <w:t>OA</w:t>
            </w:r>
          </w:p>
        </w:tc>
        <w:tc>
          <w:tcPr>
            <w:tcW w:w="1698" w:type="dxa"/>
            <w:tcBorders>
              <w:top w:val="single" w:sz="4" w:space="0" w:color="auto"/>
            </w:tcBorders>
          </w:tcPr>
          <w:p>
            <w:pPr>
              <w:pStyle w:val="TableParagraph"/>
              <w:jc w:val="left"/>
              <w:rPr>
                <w:w w:val="103"/>
                <w:sz w:val="24"/>
              </w:rPr>
            </w:pPr>
            <w:r>
              <w:rPr>
                <w:w w:val="103"/>
                <w:sz w:val="24"/>
              </w:rPr>
              <w:t>P</w:t>
            </w:r>
          </w:p>
        </w:tc>
        <w:tc>
          <w:tcPr>
            <w:tcW w:w="1385" w:type="dxa"/>
            <w:tcBorders>
              <w:top w:val="single" w:sz="4" w:space="0" w:color="auto"/>
            </w:tcBorders>
          </w:tcPr>
          <w:p>
            <w:pPr>
              <w:pStyle w:val="TableParagraph"/>
              <w:ind w:left="113" w:right="112"/>
              <w:rPr>
                <w:sz w:val="24"/>
              </w:rPr>
            </w:pPr>
            <w:r>
              <w:rPr>
                <w:sz w:val="24"/>
              </w:rPr>
              <w:t>2.10</w:t>
            </w:r>
          </w:p>
        </w:tc>
        <w:tc>
          <w:tcPr>
            <w:tcW w:w="1401" w:type="dxa"/>
            <w:tcBorders>
              <w:top w:val="single" w:sz="4" w:space="0" w:color="auto"/>
            </w:tcBorders>
          </w:tcPr>
          <w:p>
            <w:pPr>
              <w:pStyle w:val="TableParagraph"/>
              <w:ind w:left="2"/>
              <w:rPr>
                <w:w w:val="97"/>
                <w:sz w:val="24"/>
              </w:rPr>
            </w:pPr>
            <w:r>
              <w:rPr>
                <w:w w:val="97"/>
                <w:sz w:val="24"/>
              </w:rPr>
              <w:t>-</w:t>
            </w:r>
          </w:p>
        </w:tc>
        <w:tc>
          <w:tcPr>
            <w:tcW w:w="1534" w:type="dxa"/>
            <w:gridSpan w:val="2"/>
            <w:tcBorders>
              <w:top w:val="single" w:sz="4" w:space="0" w:color="auto"/>
            </w:tcBorders>
          </w:tcPr>
          <w:p>
            <w:pPr>
              <w:pStyle w:val="TableParagraph"/>
              <w:ind w:left="2"/>
              <w:rPr>
                <w:w w:val="97"/>
                <w:sz w:val="24"/>
              </w:rPr>
            </w:pPr>
            <w:r>
              <w:rPr>
                <w:w w:val="97"/>
                <w:sz w:val="24"/>
              </w:rPr>
              <w:t>140</w:t>
            </w:r>
          </w:p>
        </w:tc>
        <w:tc>
          <w:tcPr>
            <w:tcW w:w="1590" w:type="dxa"/>
            <w:gridSpan w:val="2"/>
            <w:tcBorders>
              <w:top w:val="single" w:sz="4" w:space="0" w:color="auto"/>
            </w:tcBorders>
          </w:tcPr>
          <w:p>
            <w:pPr>
              <w:pStyle w:val="TableParagraph"/>
              <w:ind w:left="520" w:right="517"/>
              <w:rPr>
                <w:sz w:val="24"/>
              </w:rPr>
            </w:pPr>
            <w:r>
              <w:rPr>
                <w:sz w:val="24"/>
              </w:rPr>
              <w:t>2013</w:t>
            </w:r>
          </w:p>
        </w:tc>
      </w:tr>
      <w:tr>
        <w:trPr>
          <w:trHeight w:val="358"/>
        </w:trPr>
        <w:tc>
          <w:tcPr>
            <w:tcW w:w="1295" w:type="dxa"/>
            <w:vMerge/>
          </w:tcPr>
          <w:p>
            <w:pPr>
              <w:pStyle w:val="TableParagraph"/>
              <w:spacing w:before="0"/>
              <w:ind w:left="0"/>
              <w:jc w:val="left"/>
            </w:pPr>
          </w:p>
        </w:tc>
        <w:tc>
          <w:tcPr>
            <w:tcW w:w="1698" w:type="dxa"/>
          </w:tcPr>
          <w:p>
            <w:pPr>
              <w:pStyle w:val="TableParagraph"/>
              <w:jc w:val="left"/>
              <w:rPr>
                <w:w w:val="103"/>
                <w:sz w:val="24"/>
              </w:rPr>
            </w:pPr>
            <w:r>
              <w:rPr>
                <w:w w:val="103"/>
                <w:sz w:val="24"/>
              </w:rPr>
              <w:t>PB10</w:t>
            </w:r>
          </w:p>
        </w:tc>
        <w:tc>
          <w:tcPr>
            <w:tcW w:w="1385" w:type="dxa"/>
          </w:tcPr>
          <w:p>
            <w:pPr>
              <w:pStyle w:val="TableParagraph"/>
              <w:ind w:left="113" w:right="112"/>
              <w:rPr>
                <w:sz w:val="24"/>
              </w:rPr>
            </w:pPr>
            <w:r>
              <w:rPr>
                <w:sz w:val="24"/>
              </w:rPr>
              <w:t>1.77</w:t>
            </w:r>
          </w:p>
        </w:tc>
        <w:tc>
          <w:tcPr>
            <w:tcW w:w="1401" w:type="dxa"/>
          </w:tcPr>
          <w:p>
            <w:pPr>
              <w:pStyle w:val="TableParagraph"/>
              <w:ind w:left="2"/>
              <w:rPr>
                <w:w w:val="97"/>
                <w:sz w:val="24"/>
              </w:rPr>
            </w:pPr>
            <w:r>
              <w:rPr>
                <w:w w:val="97"/>
                <w:sz w:val="24"/>
              </w:rPr>
              <w:t>-</w:t>
            </w:r>
          </w:p>
        </w:tc>
        <w:tc>
          <w:tcPr>
            <w:tcW w:w="1534" w:type="dxa"/>
            <w:gridSpan w:val="2"/>
          </w:tcPr>
          <w:p>
            <w:pPr>
              <w:pStyle w:val="TableParagraph"/>
              <w:ind w:left="2"/>
              <w:rPr>
                <w:w w:val="97"/>
                <w:sz w:val="24"/>
              </w:rPr>
            </w:pPr>
            <w:r>
              <w:rPr>
                <w:w w:val="97"/>
                <w:sz w:val="24"/>
              </w:rPr>
              <w:t>116</w:t>
            </w:r>
          </w:p>
        </w:tc>
        <w:tc>
          <w:tcPr>
            <w:tcW w:w="1590" w:type="dxa"/>
            <w:gridSpan w:val="2"/>
          </w:tcPr>
          <w:p>
            <w:pPr>
              <w:pStyle w:val="TableParagraph"/>
              <w:ind w:left="520" w:right="517"/>
              <w:rPr>
                <w:sz w:val="24"/>
              </w:rPr>
            </w:pPr>
            <w:r>
              <w:rPr>
                <w:sz w:val="24"/>
              </w:rPr>
              <w:t>2013</w:t>
            </w:r>
          </w:p>
        </w:tc>
      </w:tr>
      <w:tr>
        <w:trPr>
          <w:trHeight w:val="358"/>
        </w:trPr>
        <w:tc>
          <w:tcPr>
            <w:tcW w:w="1295" w:type="dxa"/>
            <w:vMerge/>
          </w:tcPr>
          <w:p>
            <w:pPr>
              <w:pStyle w:val="TableParagraph"/>
              <w:spacing w:before="0"/>
              <w:ind w:left="0"/>
              <w:jc w:val="left"/>
            </w:pPr>
          </w:p>
        </w:tc>
        <w:tc>
          <w:tcPr>
            <w:tcW w:w="1698" w:type="dxa"/>
          </w:tcPr>
          <w:p>
            <w:pPr>
              <w:pStyle w:val="TableParagraph"/>
              <w:jc w:val="left"/>
              <w:rPr>
                <w:w w:val="103"/>
                <w:sz w:val="24"/>
              </w:rPr>
            </w:pPr>
            <w:r>
              <w:rPr>
                <w:w w:val="103"/>
                <w:sz w:val="24"/>
              </w:rPr>
              <w:t>PB20</w:t>
            </w:r>
          </w:p>
        </w:tc>
        <w:tc>
          <w:tcPr>
            <w:tcW w:w="1385" w:type="dxa"/>
          </w:tcPr>
          <w:p>
            <w:pPr>
              <w:pStyle w:val="TableParagraph"/>
              <w:ind w:left="113" w:right="112"/>
              <w:rPr>
                <w:sz w:val="24"/>
              </w:rPr>
            </w:pPr>
            <w:r>
              <w:rPr>
                <w:sz w:val="24"/>
              </w:rPr>
              <w:t>1.48</w:t>
            </w:r>
          </w:p>
        </w:tc>
        <w:tc>
          <w:tcPr>
            <w:tcW w:w="1401" w:type="dxa"/>
          </w:tcPr>
          <w:p>
            <w:pPr>
              <w:pStyle w:val="TableParagraph"/>
              <w:ind w:left="2"/>
              <w:rPr>
                <w:w w:val="97"/>
                <w:sz w:val="24"/>
              </w:rPr>
            </w:pPr>
            <w:r>
              <w:rPr>
                <w:w w:val="97"/>
                <w:sz w:val="24"/>
              </w:rPr>
              <w:t>-</w:t>
            </w:r>
          </w:p>
        </w:tc>
        <w:tc>
          <w:tcPr>
            <w:tcW w:w="1534" w:type="dxa"/>
            <w:gridSpan w:val="2"/>
          </w:tcPr>
          <w:p>
            <w:pPr>
              <w:pStyle w:val="TableParagraph"/>
              <w:ind w:left="2"/>
              <w:rPr>
                <w:w w:val="97"/>
                <w:sz w:val="24"/>
              </w:rPr>
            </w:pPr>
            <w:r>
              <w:rPr>
                <w:w w:val="97"/>
                <w:sz w:val="24"/>
              </w:rPr>
              <w:t>88</w:t>
            </w:r>
          </w:p>
        </w:tc>
        <w:tc>
          <w:tcPr>
            <w:tcW w:w="1590" w:type="dxa"/>
            <w:gridSpan w:val="2"/>
          </w:tcPr>
          <w:p>
            <w:pPr>
              <w:pStyle w:val="TableParagraph"/>
              <w:ind w:left="520" w:right="517"/>
              <w:rPr>
                <w:sz w:val="24"/>
              </w:rPr>
            </w:pPr>
            <w:r>
              <w:rPr>
                <w:sz w:val="24"/>
              </w:rPr>
              <w:t>2013</w:t>
            </w:r>
          </w:p>
        </w:tc>
      </w:tr>
      <w:tr>
        <w:trPr>
          <w:trHeight w:val="358"/>
        </w:trPr>
        <w:tc>
          <w:tcPr>
            <w:tcW w:w="1295" w:type="dxa"/>
            <w:vMerge/>
          </w:tcPr>
          <w:p>
            <w:pPr>
              <w:pStyle w:val="TableParagraph"/>
              <w:spacing w:before="0"/>
              <w:ind w:left="0"/>
              <w:jc w:val="left"/>
            </w:pPr>
          </w:p>
        </w:tc>
        <w:tc>
          <w:tcPr>
            <w:tcW w:w="1698" w:type="dxa"/>
          </w:tcPr>
          <w:p>
            <w:pPr>
              <w:pStyle w:val="TableParagraph"/>
              <w:jc w:val="left"/>
              <w:rPr>
                <w:sz w:val="24"/>
              </w:rPr>
            </w:pPr>
            <w:r>
              <w:rPr>
                <w:w w:val="103"/>
                <w:sz w:val="24"/>
              </w:rPr>
              <w:t>B</w:t>
            </w:r>
          </w:p>
        </w:tc>
        <w:tc>
          <w:tcPr>
            <w:tcW w:w="1385" w:type="dxa"/>
          </w:tcPr>
          <w:p>
            <w:pPr>
              <w:pStyle w:val="TableParagraph"/>
              <w:ind w:left="113" w:right="112"/>
              <w:rPr>
                <w:sz w:val="24"/>
              </w:rPr>
            </w:pPr>
            <w:r>
              <w:rPr>
                <w:sz w:val="24"/>
              </w:rPr>
              <w:t>0.63</w:t>
            </w:r>
          </w:p>
        </w:tc>
        <w:tc>
          <w:tcPr>
            <w:tcW w:w="1401" w:type="dxa"/>
          </w:tcPr>
          <w:p>
            <w:pPr>
              <w:pStyle w:val="TableParagraph"/>
              <w:ind w:left="2"/>
              <w:rPr>
                <w:sz w:val="24"/>
              </w:rPr>
            </w:pPr>
            <w:r>
              <w:rPr>
                <w:w w:val="97"/>
                <w:sz w:val="24"/>
              </w:rPr>
              <w:t>-</w:t>
            </w:r>
          </w:p>
        </w:tc>
        <w:tc>
          <w:tcPr>
            <w:tcW w:w="1534" w:type="dxa"/>
            <w:gridSpan w:val="2"/>
          </w:tcPr>
          <w:p>
            <w:pPr>
              <w:pStyle w:val="TableParagraph"/>
              <w:ind w:left="2"/>
              <w:rPr>
                <w:sz w:val="24"/>
              </w:rPr>
            </w:pPr>
            <w:r>
              <w:rPr>
                <w:w w:val="97"/>
                <w:sz w:val="24"/>
              </w:rPr>
              <w:t>6</w:t>
            </w:r>
          </w:p>
        </w:tc>
        <w:tc>
          <w:tcPr>
            <w:tcW w:w="1590" w:type="dxa"/>
            <w:gridSpan w:val="2"/>
          </w:tcPr>
          <w:p>
            <w:pPr>
              <w:pStyle w:val="TableParagraph"/>
              <w:ind w:left="520" w:right="517"/>
              <w:rPr>
                <w:sz w:val="24"/>
              </w:rPr>
            </w:pPr>
            <w:r>
              <w:rPr>
                <w:sz w:val="24"/>
              </w:rPr>
              <w:t>2013</w:t>
            </w:r>
          </w:p>
        </w:tc>
      </w:tr>
      <w:tr>
        <w:trPr>
          <w:trHeight w:val="358"/>
        </w:trPr>
        <w:tc>
          <w:tcPr>
            <w:tcW w:w="1295" w:type="dxa"/>
            <w:vMerge/>
          </w:tcPr>
          <w:p>
            <w:pPr>
              <w:pStyle w:val="TableParagraph"/>
              <w:spacing w:before="0"/>
              <w:ind w:left="0"/>
              <w:jc w:val="left"/>
            </w:pPr>
          </w:p>
        </w:tc>
        <w:tc>
          <w:tcPr>
            <w:tcW w:w="1698" w:type="dxa"/>
          </w:tcPr>
          <w:p>
            <w:pPr>
              <w:pStyle w:val="TableParagraph"/>
              <w:jc w:val="left"/>
              <w:rPr>
                <w:sz w:val="24"/>
              </w:rPr>
            </w:pPr>
            <w:r>
              <w:rPr>
                <w:w w:val="105"/>
                <w:sz w:val="24"/>
              </w:rPr>
              <w:t>PB10N</w:t>
            </w:r>
          </w:p>
        </w:tc>
        <w:tc>
          <w:tcPr>
            <w:tcW w:w="1385" w:type="dxa"/>
          </w:tcPr>
          <w:p>
            <w:pPr>
              <w:pStyle w:val="TableParagraph"/>
              <w:ind w:left="113" w:right="112"/>
              <w:rPr>
                <w:sz w:val="24"/>
              </w:rPr>
            </w:pPr>
            <w:r>
              <w:rPr>
                <w:sz w:val="24"/>
              </w:rPr>
              <w:t>2.13</w:t>
            </w:r>
          </w:p>
        </w:tc>
        <w:tc>
          <w:tcPr>
            <w:tcW w:w="1401" w:type="dxa"/>
          </w:tcPr>
          <w:p>
            <w:pPr>
              <w:pStyle w:val="TableParagraph"/>
              <w:ind w:left="1"/>
              <w:rPr>
                <w:sz w:val="24"/>
              </w:rPr>
            </w:pPr>
            <w:r>
              <w:rPr>
                <w:w w:val="97"/>
                <w:sz w:val="24"/>
              </w:rPr>
              <w:t>-</w:t>
            </w:r>
          </w:p>
        </w:tc>
        <w:tc>
          <w:tcPr>
            <w:tcW w:w="1534" w:type="dxa"/>
            <w:gridSpan w:val="2"/>
          </w:tcPr>
          <w:p>
            <w:pPr>
              <w:pStyle w:val="TableParagraph"/>
              <w:ind w:left="583" w:right="581"/>
              <w:rPr>
                <w:sz w:val="24"/>
              </w:rPr>
            </w:pPr>
            <w:r>
              <w:rPr>
                <w:sz w:val="24"/>
              </w:rPr>
              <w:t>140</w:t>
            </w:r>
          </w:p>
        </w:tc>
        <w:tc>
          <w:tcPr>
            <w:tcW w:w="1590" w:type="dxa"/>
            <w:gridSpan w:val="2"/>
          </w:tcPr>
          <w:p>
            <w:pPr>
              <w:pStyle w:val="TableParagraph"/>
              <w:ind w:left="520" w:right="517"/>
              <w:rPr>
                <w:sz w:val="24"/>
              </w:rPr>
            </w:pPr>
            <w:r>
              <w:rPr>
                <w:sz w:val="24"/>
              </w:rPr>
              <w:t>2424</w:t>
            </w:r>
          </w:p>
        </w:tc>
      </w:tr>
      <w:tr>
        <w:trPr>
          <w:trHeight w:val="400"/>
        </w:trPr>
        <w:tc>
          <w:tcPr>
            <w:tcW w:w="1295" w:type="dxa"/>
            <w:vMerge/>
            <w:tcBorders>
              <w:bottom w:val="single" w:sz="6" w:space="0" w:color="000000"/>
            </w:tcBorders>
          </w:tcPr>
          <w:p>
            <w:pPr>
              <w:pStyle w:val="TableParagraph"/>
              <w:spacing w:before="0"/>
              <w:ind w:left="0"/>
              <w:jc w:val="left"/>
            </w:pPr>
          </w:p>
        </w:tc>
        <w:tc>
          <w:tcPr>
            <w:tcW w:w="1698" w:type="dxa"/>
            <w:tcBorders>
              <w:bottom w:val="single" w:sz="6" w:space="0" w:color="000000"/>
            </w:tcBorders>
          </w:tcPr>
          <w:p>
            <w:pPr>
              <w:pStyle w:val="TableParagraph"/>
              <w:jc w:val="left"/>
              <w:rPr>
                <w:sz w:val="24"/>
              </w:rPr>
            </w:pPr>
            <w:r>
              <w:rPr>
                <w:w w:val="105"/>
                <w:sz w:val="24"/>
              </w:rPr>
              <w:t>PB20N</w:t>
            </w:r>
          </w:p>
        </w:tc>
        <w:tc>
          <w:tcPr>
            <w:tcW w:w="1385" w:type="dxa"/>
            <w:tcBorders>
              <w:bottom w:val="single" w:sz="6" w:space="0" w:color="000000"/>
            </w:tcBorders>
          </w:tcPr>
          <w:p>
            <w:pPr>
              <w:pStyle w:val="TableParagraph"/>
              <w:ind w:left="113" w:right="112"/>
              <w:rPr>
                <w:sz w:val="24"/>
              </w:rPr>
            </w:pPr>
            <w:r>
              <w:rPr>
                <w:sz w:val="24"/>
              </w:rPr>
              <w:t>2.36</w:t>
            </w:r>
          </w:p>
        </w:tc>
        <w:tc>
          <w:tcPr>
            <w:tcW w:w="1401" w:type="dxa"/>
            <w:tcBorders>
              <w:bottom w:val="single" w:sz="6" w:space="0" w:color="000000"/>
            </w:tcBorders>
          </w:tcPr>
          <w:p>
            <w:pPr>
              <w:pStyle w:val="TableParagraph"/>
              <w:ind w:left="1"/>
              <w:rPr>
                <w:sz w:val="24"/>
              </w:rPr>
            </w:pPr>
            <w:r>
              <w:rPr>
                <w:w w:val="97"/>
                <w:sz w:val="24"/>
              </w:rPr>
              <w:t>-</w:t>
            </w:r>
          </w:p>
        </w:tc>
        <w:tc>
          <w:tcPr>
            <w:tcW w:w="1534" w:type="dxa"/>
            <w:gridSpan w:val="2"/>
            <w:tcBorders>
              <w:bottom w:val="single" w:sz="6" w:space="0" w:color="000000"/>
            </w:tcBorders>
          </w:tcPr>
          <w:p>
            <w:pPr>
              <w:pStyle w:val="TableParagraph"/>
              <w:ind w:left="583" w:right="581"/>
              <w:rPr>
                <w:sz w:val="24"/>
              </w:rPr>
            </w:pPr>
            <w:r>
              <w:rPr>
                <w:sz w:val="24"/>
              </w:rPr>
              <w:t>140</w:t>
            </w:r>
          </w:p>
        </w:tc>
        <w:tc>
          <w:tcPr>
            <w:tcW w:w="1590" w:type="dxa"/>
            <w:gridSpan w:val="2"/>
            <w:tcBorders>
              <w:bottom w:val="single" w:sz="6" w:space="0" w:color="000000"/>
            </w:tcBorders>
          </w:tcPr>
          <w:p>
            <w:pPr>
              <w:pStyle w:val="TableParagraph"/>
              <w:ind w:left="520" w:right="517"/>
              <w:rPr>
                <w:sz w:val="24"/>
              </w:rPr>
            </w:pPr>
            <w:r>
              <w:rPr>
                <w:sz w:val="24"/>
              </w:rPr>
              <w:t>3204</w:t>
            </w:r>
          </w:p>
        </w:tc>
      </w:tr>
      <w:tr>
        <w:trPr>
          <w:trHeight w:val="421"/>
        </w:trPr>
        <w:tc>
          <w:tcPr>
            <w:tcW w:w="1295" w:type="dxa"/>
            <w:vMerge w:val="restart"/>
            <w:tcBorders>
              <w:top w:val="single" w:sz="6" w:space="0" w:color="000000"/>
            </w:tcBorders>
            <w:vAlign w:val="center"/>
          </w:tcPr>
          <w:p>
            <w:pPr>
              <w:pStyle w:val="TableParagraph"/>
            </w:pPr>
            <w:r>
              <w:t>OA + MF</w:t>
            </w:r>
          </w:p>
        </w:tc>
        <w:tc>
          <w:tcPr>
            <w:tcW w:w="1698" w:type="dxa"/>
            <w:tcBorders>
              <w:top w:val="single" w:sz="6" w:space="0" w:color="000000"/>
            </w:tcBorders>
          </w:tcPr>
          <w:p>
            <w:pPr>
              <w:pStyle w:val="TableParagraph"/>
              <w:spacing w:before="92"/>
              <w:jc w:val="left"/>
              <w:rPr>
                <w:sz w:val="24"/>
              </w:rPr>
            </w:pPr>
            <w:r>
              <w:rPr>
                <w:w w:val="105"/>
                <w:sz w:val="24"/>
              </w:rPr>
              <w:t>PB10_MF140</w:t>
            </w:r>
          </w:p>
        </w:tc>
        <w:tc>
          <w:tcPr>
            <w:tcW w:w="1385" w:type="dxa"/>
            <w:tcBorders>
              <w:top w:val="single" w:sz="6" w:space="0" w:color="000000"/>
            </w:tcBorders>
          </w:tcPr>
          <w:p>
            <w:pPr>
              <w:pStyle w:val="TableParagraph"/>
              <w:spacing w:before="92"/>
              <w:ind w:left="112" w:right="112"/>
              <w:rPr>
                <w:sz w:val="24"/>
              </w:rPr>
            </w:pPr>
            <w:r>
              <w:rPr>
                <w:sz w:val="24"/>
              </w:rPr>
              <w:t>1.77</w:t>
            </w:r>
          </w:p>
        </w:tc>
        <w:tc>
          <w:tcPr>
            <w:tcW w:w="1401" w:type="dxa"/>
            <w:tcBorders>
              <w:top w:val="single" w:sz="6" w:space="0" w:color="000000"/>
            </w:tcBorders>
          </w:tcPr>
          <w:p>
            <w:pPr>
              <w:pStyle w:val="TableParagraph"/>
              <w:spacing w:before="92"/>
              <w:ind w:left="120" w:right="120"/>
              <w:rPr>
                <w:sz w:val="24"/>
              </w:rPr>
            </w:pPr>
            <w:r>
              <w:rPr>
                <w:sz w:val="24"/>
              </w:rPr>
              <w:t>0.02</w:t>
            </w:r>
          </w:p>
        </w:tc>
        <w:tc>
          <w:tcPr>
            <w:tcW w:w="1534" w:type="dxa"/>
            <w:gridSpan w:val="2"/>
            <w:tcBorders>
              <w:top w:val="single" w:sz="6" w:space="0" w:color="000000"/>
            </w:tcBorders>
          </w:tcPr>
          <w:p>
            <w:pPr>
              <w:pStyle w:val="TableParagraph"/>
              <w:spacing w:before="92"/>
              <w:ind w:left="582" w:right="581"/>
              <w:rPr>
                <w:sz w:val="24"/>
              </w:rPr>
            </w:pPr>
            <w:r>
              <w:rPr>
                <w:sz w:val="24"/>
              </w:rPr>
              <w:t>140</w:t>
            </w:r>
          </w:p>
        </w:tc>
        <w:tc>
          <w:tcPr>
            <w:tcW w:w="1590" w:type="dxa"/>
            <w:gridSpan w:val="2"/>
            <w:tcBorders>
              <w:top w:val="single" w:sz="6" w:space="0" w:color="000000"/>
            </w:tcBorders>
          </w:tcPr>
          <w:p>
            <w:pPr>
              <w:pStyle w:val="TableParagraph"/>
              <w:spacing w:before="92"/>
              <w:ind w:left="520" w:right="518"/>
              <w:rPr>
                <w:sz w:val="24"/>
              </w:rPr>
            </w:pPr>
            <w:r>
              <w:rPr>
                <w:sz w:val="24"/>
              </w:rPr>
              <w:t>2013</w:t>
            </w:r>
          </w:p>
        </w:tc>
      </w:tr>
      <w:tr>
        <w:trPr>
          <w:trHeight w:val="358"/>
        </w:trPr>
        <w:tc>
          <w:tcPr>
            <w:tcW w:w="1295" w:type="dxa"/>
            <w:vMerge/>
          </w:tcPr>
          <w:p>
            <w:pPr>
              <w:pStyle w:val="TableParagraph"/>
              <w:jc w:val="left"/>
            </w:pPr>
          </w:p>
        </w:tc>
        <w:tc>
          <w:tcPr>
            <w:tcW w:w="1698" w:type="dxa"/>
          </w:tcPr>
          <w:p>
            <w:pPr>
              <w:pStyle w:val="TableParagraph"/>
              <w:jc w:val="left"/>
              <w:rPr>
                <w:sz w:val="24"/>
              </w:rPr>
            </w:pPr>
            <w:r>
              <w:rPr>
                <w:w w:val="105"/>
                <w:sz w:val="24"/>
              </w:rPr>
              <w:t>PB20_MF140</w:t>
            </w:r>
          </w:p>
        </w:tc>
        <w:tc>
          <w:tcPr>
            <w:tcW w:w="1385" w:type="dxa"/>
          </w:tcPr>
          <w:p>
            <w:pPr>
              <w:pStyle w:val="TableParagraph"/>
              <w:ind w:left="112" w:right="112"/>
              <w:rPr>
                <w:sz w:val="24"/>
              </w:rPr>
            </w:pPr>
            <w:r>
              <w:rPr>
                <w:sz w:val="24"/>
              </w:rPr>
              <w:t>1.48</w:t>
            </w:r>
          </w:p>
        </w:tc>
        <w:tc>
          <w:tcPr>
            <w:tcW w:w="1401" w:type="dxa"/>
          </w:tcPr>
          <w:p>
            <w:pPr>
              <w:pStyle w:val="TableParagraph"/>
              <w:ind w:left="120" w:right="120"/>
              <w:rPr>
                <w:sz w:val="24"/>
              </w:rPr>
            </w:pPr>
            <w:r>
              <w:rPr>
                <w:sz w:val="24"/>
              </w:rPr>
              <w:t>0.04</w:t>
            </w:r>
          </w:p>
        </w:tc>
        <w:tc>
          <w:tcPr>
            <w:tcW w:w="1534" w:type="dxa"/>
            <w:gridSpan w:val="2"/>
          </w:tcPr>
          <w:p>
            <w:pPr>
              <w:pStyle w:val="TableParagraph"/>
              <w:ind w:left="582" w:right="581"/>
              <w:rPr>
                <w:sz w:val="24"/>
              </w:rPr>
            </w:pPr>
            <w:r>
              <w:rPr>
                <w:sz w:val="24"/>
              </w:rPr>
              <w:t>140</w:t>
            </w:r>
          </w:p>
        </w:tc>
        <w:tc>
          <w:tcPr>
            <w:tcW w:w="1590" w:type="dxa"/>
            <w:gridSpan w:val="2"/>
          </w:tcPr>
          <w:p>
            <w:pPr>
              <w:pStyle w:val="TableParagraph"/>
              <w:ind w:left="520" w:right="518"/>
              <w:rPr>
                <w:sz w:val="24"/>
              </w:rPr>
            </w:pPr>
            <w:r>
              <w:rPr>
                <w:sz w:val="24"/>
              </w:rPr>
              <w:t>2013</w:t>
            </w:r>
          </w:p>
        </w:tc>
      </w:tr>
      <w:tr>
        <w:trPr>
          <w:trHeight w:val="358"/>
        </w:trPr>
        <w:tc>
          <w:tcPr>
            <w:tcW w:w="1295" w:type="dxa"/>
            <w:vMerge/>
          </w:tcPr>
          <w:p>
            <w:pPr>
              <w:pStyle w:val="TableParagraph"/>
              <w:jc w:val="left"/>
            </w:pPr>
          </w:p>
        </w:tc>
        <w:tc>
          <w:tcPr>
            <w:tcW w:w="1698" w:type="dxa"/>
          </w:tcPr>
          <w:p>
            <w:pPr>
              <w:pStyle w:val="TableParagraph"/>
              <w:jc w:val="left"/>
              <w:rPr>
                <w:sz w:val="24"/>
              </w:rPr>
            </w:pPr>
            <w:r>
              <w:rPr>
                <w:w w:val="110"/>
                <w:sz w:val="24"/>
              </w:rPr>
              <w:t>B_MF140</w:t>
            </w:r>
          </w:p>
        </w:tc>
        <w:tc>
          <w:tcPr>
            <w:tcW w:w="1385" w:type="dxa"/>
          </w:tcPr>
          <w:p>
            <w:pPr>
              <w:pStyle w:val="TableParagraph"/>
              <w:ind w:left="113" w:right="112"/>
              <w:rPr>
                <w:sz w:val="24"/>
              </w:rPr>
            </w:pPr>
            <w:r>
              <w:rPr>
                <w:sz w:val="24"/>
              </w:rPr>
              <w:t>0.63</w:t>
            </w:r>
          </w:p>
        </w:tc>
        <w:tc>
          <w:tcPr>
            <w:tcW w:w="1401" w:type="dxa"/>
          </w:tcPr>
          <w:p>
            <w:pPr>
              <w:pStyle w:val="TableParagraph"/>
              <w:ind w:left="121" w:right="120"/>
              <w:rPr>
                <w:sz w:val="24"/>
              </w:rPr>
            </w:pPr>
            <w:r>
              <w:rPr>
                <w:sz w:val="24"/>
              </w:rPr>
              <w:t>0.11</w:t>
            </w:r>
          </w:p>
        </w:tc>
        <w:tc>
          <w:tcPr>
            <w:tcW w:w="1534" w:type="dxa"/>
            <w:gridSpan w:val="2"/>
          </w:tcPr>
          <w:p>
            <w:pPr>
              <w:pStyle w:val="TableParagraph"/>
              <w:ind w:left="583" w:right="581"/>
              <w:rPr>
                <w:sz w:val="24"/>
              </w:rPr>
            </w:pPr>
            <w:r>
              <w:rPr>
                <w:sz w:val="24"/>
              </w:rPr>
              <w:t>140</w:t>
            </w:r>
          </w:p>
        </w:tc>
        <w:tc>
          <w:tcPr>
            <w:tcW w:w="1590" w:type="dxa"/>
            <w:gridSpan w:val="2"/>
          </w:tcPr>
          <w:p>
            <w:pPr>
              <w:pStyle w:val="TableParagraph"/>
              <w:ind w:left="520" w:right="517"/>
              <w:rPr>
                <w:sz w:val="24"/>
              </w:rPr>
            </w:pPr>
            <w:r>
              <w:rPr>
                <w:sz w:val="24"/>
              </w:rPr>
              <w:t>2013</w:t>
            </w:r>
          </w:p>
        </w:tc>
      </w:tr>
      <w:tr>
        <w:trPr>
          <w:trHeight w:val="358"/>
        </w:trPr>
        <w:tc>
          <w:tcPr>
            <w:tcW w:w="1295" w:type="dxa"/>
            <w:vMerge/>
          </w:tcPr>
          <w:p>
            <w:pPr>
              <w:pStyle w:val="TableParagraph"/>
              <w:jc w:val="left"/>
              <w:rPr>
                <w:sz w:val="24"/>
              </w:rPr>
            </w:pPr>
          </w:p>
        </w:tc>
        <w:tc>
          <w:tcPr>
            <w:tcW w:w="1698" w:type="dxa"/>
          </w:tcPr>
          <w:p>
            <w:pPr>
              <w:pStyle w:val="TableParagraph"/>
              <w:jc w:val="left"/>
              <w:rPr>
                <w:sz w:val="24"/>
              </w:rPr>
            </w:pPr>
            <w:r>
              <w:rPr>
                <w:w w:val="110"/>
                <w:sz w:val="24"/>
              </w:rPr>
              <w:t>P_MF50</w:t>
            </w:r>
          </w:p>
        </w:tc>
        <w:tc>
          <w:tcPr>
            <w:tcW w:w="1385" w:type="dxa"/>
          </w:tcPr>
          <w:p>
            <w:pPr>
              <w:pStyle w:val="TableParagraph"/>
              <w:ind w:left="113" w:right="112"/>
              <w:rPr>
                <w:sz w:val="24"/>
              </w:rPr>
            </w:pPr>
            <w:r>
              <w:rPr>
                <w:sz w:val="24"/>
              </w:rPr>
              <w:t>2.10</w:t>
            </w:r>
          </w:p>
        </w:tc>
        <w:tc>
          <w:tcPr>
            <w:tcW w:w="1401" w:type="dxa"/>
          </w:tcPr>
          <w:p>
            <w:pPr>
              <w:pStyle w:val="TableParagraph"/>
              <w:ind w:left="121" w:right="120"/>
              <w:rPr>
                <w:sz w:val="24"/>
              </w:rPr>
            </w:pPr>
            <w:r>
              <w:rPr>
                <w:sz w:val="24"/>
              </w:rPr>
              <w:t>0.04</w:t>
            </w:r>
          </w:p>
        </w:tc>
        <w:tc>
          <w:tcPr>
            <w:tcW w:w="1534" w:type="dxa"/>
            <w:gridSpan w:val="2"/>
          </w:tcPr>
          <w:p>
            <w:pPr>
              <w:pStyle w:val="TableParagraph"/>
              <w:ind w:left="583" w:right="581"/>
              <w:rPr>
                <w:sz w:val="24"/>
              </w:rPr>
            </w:pPr>
            <w:r>
              <w:rPr>
                <w:sz w:val="24"/>
              </w:rPr>
              <w:t>190</w:t>
            </w:r>
          </w:p>
        </w:tc>
        <w:tc>
          <w:tcPr>
            <w:tcW w:w="1590" w:type="dxa"/>
            <w:gridSpan w:val="2"/>
          </w:tcPr>
          <w:p>
            <w:pPr>
              <w:pStyle w:val="TableParagraph"/>
              <w:ind w:left="520" w:right="517"/>
              <w:rPr>
                <w:sz w:val="24"/>
              </w:rPr>
            </w:pPr>
            <w:r>
              <w:rPr>
                <w:sz w:val="24"/>
              </w:rPr>
              <w:t>2013</w:t>
            </w:r>
          </w:p>
        </w:tc>
      </w:tr>
      <w:tr>
        <w:trPr>
          <w:trHeight w:val="358"/>
        </w:trPr>
        <w:tc>
          <w:tcPr>
            <w:tcW w:w="1295" w:type="dxa"/>
            <w:vMerge/>
          </w:tcPr>
          <w:p>
            <w:pPr>
              <w:pStyle w:val="TableParagraph"/>
              <w:spacing w:before="0"/>
              <w:ind w:left="0"/>
              <w:jc w:val="left"/>
            </w:pPr>
          </w:p>
        </w:tc>
        <w:tc>
          <w:tcPr>
            <w:tcW w:w="1698" w:type="dxa"/>
          </w:tcPr>
          <w:p>
            <w:pPr>
              <w:pStyle w:val="TableParagraph"/>
              <w:jc w:val="left"/>
              <w:rPr>
                <w:sz w:val="24"/>
              </w:rPr>
            </w:pPr>
            <w:r>
              <w:rPr>
                <w:w w:val="110"/>
                <w:sz w:val="24"/>
              </w:rPr>
              <w:t>PB10_MF50</w:t>
            </w:r>
          </w:p>
        </w:tc>
        <w:tc>
          <w:tcPr>
            <w:tcW w:w="1385" w:type="dxa"/>
          </w:tcPr>
          <w:p>
            <w:pPr>
              <w:pStyle w:val="TableParagraph"/>
              <w:ind w:left="112" w:right="112"/>
              <w:rPr>
                <w:sz w:val="24"/>
              </w:rPr>
            </w:pPr>
            <w:r>
              <w:rPr>
                <w:sz w:val="24"/>
              </w:rPr>
              <w:t>1.77</w:t>
            </w:r>
          </w:p>
        </w:tc>
        <w:tc>
          <w:tcPr>
            <w:tcW w:w="1401" w:type="dxa"/>
          </w:tcPr>
          <w:p>
            <w:pPr>
              <w:pStyle w:val="TableParagraph"/>
              <w:ind w:left="121" w:right="120"/>
              <w:rPr>
                <w:sz w:val="24"/>
              </w:rPr>
            </w:pPr>
            <w:r>
              <w:rPr>
                <w:sz w:val="24"/>
              </w:rPr>
              <w:t>0.04</w:t>
            </w:r>
          </w:p>
        </w:tc>
        <w:tc>
          <w:tcPr>
            <w:tcW w:w="1534" w:type="dxa"/>
            <w:gridSpan w:val="2"/>
          </w:tcPr>
          <w:p>
            <w:pPr>
              <w:pStyle w:val="TableParagraph"/>
              <w:ind w:left="582" w:right="581"/>
              <w:rPr>
                <w:sz w:val="24"/>
              </w:rPr>
            </w:pPr>
            <w:r>
              <w:rPr>
                <w:sz w:val="24"/>
              </w:rPr>
              <w:t>166</w:t>
            </w:r>
          </w:p>
        </w:tc>
        <w:tc>
          <w:tcPr>
            <w:tcW w:w="1590" w:type="dxa"/>
            <w:gridSpan w:val="2"/>
          </w:tcPr>
          <w:p>
            <w:pPr>
              <w:pStyle w:val="TableParagraph"/>
              <w:ind w:left="520" w:right="518"/>
              <w:rPr>
                <w:sz w:val="24"/>
              </w:rPr>
            </w:pPr>
            <w:r>
              <w:rPr>
                <w:sz w:val="24"/>
              </w:rPr>
              <w:t>2013</w:t>
            </w:r>
          </w:p>
        </w:tc>
      </w:tr>
      <w:tr>
        <w:trPr>
          <w:trHeight w:val="358"/>
        </w:trPr>
        <w:tc>
          <w:tcPr>
            <w:tcW w:w="1295" w:type="dxa"/>
            <w:vMerge/>
          </w:tcPr>
          <w:p>
            <w:pPr>
              <w:pStyle w:val="TableParagraph"/>
              <w:spacing w:before="0"/>
              <w:ind w:left="0"/>
              <w:jc w:val="left"/>
            </w:pPr>
          </w:p>
        </w:tc>
        <w:tc>
          <w:tcPr>
            <w:tcW w:w="1698" w:type="dxa"/>
          </w:tcPr>
          <w:p>
            <w:pPr>
              <w:pStyle w:val="TableParagraph"/>
              <w:jc w:val="left"/>
              <w:rPr>
                <w:sz w:val="24"/>
              </w:rPr>
            </w:pPr>
            <w:r>
              <w:rPr>
                <w:w w:val="110"/>
                <w:sz w:val="24"/>
              </w:rPr>
              <w:t>PB20_MF50</w:t>
            </w:r>
          </w:p>
        </w:tc>
        <w:tc>
          <w:tcPr>
            <w:tcW w:w="1385" w:type="dxa"/>
          </w:tcPr>
          <w:p>
            <w:pPr>
              <w:pStyle w:val="TableParagraph"/>
              <w:ind w:left="112" w:right="112"/>
              <w:rPr>
                <w:sz w:val="24"/>
              </w:rPr>
            </w:pPr>
            <w:r>
              <w:rPr>
                <w:sz w:val="24"/>
              </w:rPr>
              <w:t>1.48</w:t>
            </w:r>
          </w:p>
        </w:tc>
        <w:tc>
          <w:tcPr>
            <w:tcW w:w="1401" w:type="dxa"/>
          </w:tcPr>
          <w:p>
            <w:pPr>
              <w:pStyle w:val="TableParagraph"/>
              <w:ind w:left="121" w:right="120"/>
              <w:rPr>
                <w:sz w:val="24"/>
              </w:rPr>
            </w:pPr>
            <w:r>
              <w:rPr>
                <w:sz w:val="24"/>
              </w:rPr>
              <w:t>0.04</w:t>
            </w:r>
          </w:p>
        </w:tc>
        <w:tc>
          <w:tcPr>
            <w:tcW w:w="1534" w:type="dxa"/>
            <w:gridSpan w:val="2"/>
          </w:tcPr>
          <w:p>
            <w:pPr>
              <w:pStyle w:val="TableParagraph"/>
              <w:ind w:left="582" w:right="581"/>
              <w:rPr>
                <w:sz w:val="24"/>
              </w:rPr>
            </w:pPr>
            <w:r>
              <w:rPr>
                <w:sz w:val="24"/>
              </w:rPr>
              <w:t>138</w:t>
            </w:r>
          </w:p>
        </w:tc>
        <w:tc>
          <w:tcPr>
            <w:tcW w:w="1590" w:type="dxa"/>
            <w:gridSpan w:val="2"/>
          </w:tcPr>
          <w:p>
            <w:pPr>
              <w:pStyle w:val="TableParagraph"/>
              <w:ind w:left="520" w:right="518"/>
              <w:rPr>
                <w:sz w:val="24"/>
              </w:rPr>
            </w:pPr>
            <w:r>
              <w:rPr>
                <w:sz w:val="24"/>
              </w:rPr>
              <w:t>2013</w:t>
            </w:r>
          </w:p>
        </w:tc>
      </w:tr>
      <w:tr>
        <w:trPr>
          <w:trHeight w:val="401"/>
        </w:trPr>
        <w:tc>
          <w:tcPr>
            <w:tcW w:w="1295" w:type="dxa"/>
            <w:vMerge/>
            <w:tcBorders>
              <w:bottom w:val="single" w:sz="4" w:space="0" w:color="auto"/>
            </w:tcBorders>
          </w:tcPr>
          <w:p>
            <w:pPr>
              <w:pStyle w:val="TableParagraph"/>
              <w:spacing w:before="0"/>
              <w:ind w:left="0"/>
              <w:jc w:val="left"/>
            </w:pPr>
          </w:p>
        </w:tc>
        <w:tc>
          <w:tcPr>
            <w:tcW w:w="1698" w:type="dxa"/>
            <w:tcBorders>
              <w:bottom w:val="single" w:sz="4" w:space="0" w:color="auto"/>
            </w:tcBorders>
          </w:tcPr>
          <w:p>
            <w:pPr>
              <w:pStyle w:val="TableParagraph"/>
              <w:jc w:val="left"/>
              <w:rPr>
                <w:sz w:val="24"/>
              </w:rPr>
            </w:pPr>
            <w:r>
              <w:rPr>
                <w:w w:val="110"/>
                <w:sz w:val="24"/>
              </w:rPr>
              <w:t>B_MF50</w:t>
            </w:r>
          </w:p>
        </w:tc>
        <w:tc>
          <w:tcPr>
            <w:tcW w:w="1385" w:type="dxa"/>
            <w:tcBorders>
              <w:bottom w:val="single" w:sz="4" w:space="0" w:color="auto"/>
            </w:tcBorders>
          </w:tcPr>
          <w:p>
            <w:pPr>
              <w:pStyle w:val="TableParagraph"/>
              <w:ind w:left="113" w:right="112"/>
              <w:rPr>
                <w:sz w:val="24"/>
              </w:rPr>
            </w:pPr>
            <w:r>
              <w:rPr>
                <w:sz w:val="24"/>
              </w:rPr>
              <w:t>0.63</w:t>
            </w:r>
          </w:p>
        </w:tc>
        <w:tc>
          <w:tcPr>
            <w:tcW w:w="1401" w:type="dxa"/>
            <w:tcBorders>
              <w:bottom w:val="single" w:sz="4" w:space="0" w:color="auto"/>
            </w:tcBorders>
          </w:tcPr>
          <w:p>
            <w:pPr>
              <w:pStyle w:val="TableParagraph"/>
              <w:ind w:left="121" w:right="119"/>
              <w:rPr>
                <w:sz w:val="24"/>
              </w:rPr>
            </w:pPr>
            <w:r>
              <w:rPr>
                <w:sz w:val="24"/>
              </w:rPr>
              <w:t>0.04</w:t>
            </w:r>
          </w:p>
        </w:tc>
        <w:tc>
          <w:tcPr>
            <w:tcW w:w="1534" w:type="dxa"/>
            <w:gridSpan w:val="2"/>
            <w:tcBorders>
              <w:bottom w:val="single" w:sz="4" w:space="0" w:color="auto"/>
            </w:tcBorders>
          </w:tcPr>
          <w:p>
            <w:pPr>
              <w:pStyle w:val="TableParagraph"/>
              <w:ind w:left="583" w:right="580"/>
              <w:rPr>
                <w:sz w:val="24"/>
              </w:rPr>
            </w:pPr>
            <w:r>
              <w:rPr>
                <w:sz w:val="24"/>
              </w:rPr>
              <w:t>56</w:t>
            </w:r>
          </w:p>
        </w:tc>
        <w:tc>
          <w:tcPr>
            <w:tcW w:w="1590" w:type="dxa"/>
            <w:gridSpan w:val="2"/>
            <w:tcBorders>
              <w:bottom w:val="single" w:sz="4" w:space="0" w:color="auto"/>
            </w:tcBorders>
          </w:tcPr>
          <w:p>
            <w:pPr>
              <w:pStyle w:val="TableParagraph"/>
              <w:ind w:left="520" w:right="517"/>
              <w:rPr>
                <w:sz w:val="24"/>
              </w:rPr>
            </w:pPr>
            <w:r>
              <w:rPr>
                <w:sz w:val="24"/>
              </w:rPr>
              <w:t>2013</w:t>
            </w:r>
          </w:p>
        </w:tc>
      </w:tr>
    </w:tbl>
    <w:p>
      <w:pPr>
        <w:jc w:val="both"/>
      </w:pPr>
    </w:p>
    <w:p>
      <w:pPr>
        <w:spacing w:after="0"/>
        <w:rPr>
          <w:b/>
          <w:szCs w:val="24"/>
        </w:rPr>
      </w:pPr>
      <w:r>
        <w:rPr>
          <w:b/>
          <w:szCs w:val="24"/>
        </w:rPr>
        <w:br w:type="page"/>
      </w:r>
    </w:p>
    <w:p>
      <w:pPr>
        <w:widowControl w:val="0"/>
        <w:autoSpaceDE w:val="0"/>
        <w:autoSpaceDN w:val="0"/>
        <w:adjustRightInd w:val="0"/>
        <w:spacing w:after="0"/>
        <w:jc w:val="both"/>
        <w:rPr>
          <w:szCs w:val="24"/>
          <w:lang w:eastAsia="de-DE"/>
        </w:rPr>
      </w:pPr>
      <w:r>
        <w:rPr>
          <w:b/>
          <w:szCs w:val="24"/>
        </w:rPr>
        <w:lastRenderedPageBreak/>
        <w:t>Table S2</w:t>
      </w:r>
      <w:r>
        <w:rPr>
          <w:szCs w:val="24"/>
        </w:rPr>
        <w:t xml:space="preserve"> </w:t>
      </w:r>
      <w:r>
        <w:rPr>
          <w:szCs w:val="24"/>
          <w:lang w:eastAsia="de-DE"/>
        </w:rPr>
        <w:t xml:space="preserve">Determination of key quality parameters of soil and plant material. Given are min, max, mean and SD for soil measurements in </w:t>
      </w:r>
      <w:r>
        <w:rPr>
          <w:szCs w:val="24"/>
          <w:lang w:val="de-DE" w:eastAsia="de-DE"/>
        </w:rPr>
        <w:t>μ</w:t>
      </w:r>
      <w:r>
        <w:rPr>
          <w:szCs w:val="24"/>
          <w:lang w:eastAsia="de-DE"/>
        </w:rPr>
        <w:t>g g</w:t>
      </w:r>
      <w:r>
        <w:rPr>
          <w:szCs w:val="24"/>
          <w:vertAlign w:val="superscript"/>
          <w:lang w:eastAsia="de-DE"/>
        </w:rPr>
        <w:t>-1</w:t>
      </w:r>
      <w:r>
        <w:rPr>
          <w:szCs w:val="24"/>
          <w:lang w:eastAsia="de-DE"/>
        </w:rPr>
        <w:t xml:space="preserve"> </w:t>
      </w:r>
      <w:r>
        <w:rPr>
          <w:i/>
          <w:szCs w:val="24"/>
          <w:lang w:eastAsia="de-DE"/>
        </w:rPr>
        <w:t>dw</w:t>
      </w:r>
      <w:r>
        <w:rPr>
          <w:szCs w:val="24"/>
          <w:lang w:eastAsia="de-DE"/>
        </w:rPr>
        <w:t xml:space="preserve"> and plant measurements with total plant biomass (TPB), shoot and root in g </w:t>
      </w:r>
      <w:r>
        <w:rPr>
          <w:i/>
          <w:szCs w:val="24"/>
          <w:lang w:eastAsia="de-DE"/>
        </w:rPr>
        <w:t>dw</w:t>
      </w:r>
      <w:r>
        <w:rPr>
          <w:szCs w:val="24"/>
          <w:lang w:eastAsia="de-DE"/>
        </w:rPr>
        <w:t xml:space="preserve">, shoot and root carbon and nitrogen in </w:t>
      </w:r>
      <w:r>
        <w:rPr>
          <w:szCs w:val="24"/>
          <w:lang w:val="de-DE" w:eastAsia="de-DE"/>
        </w:rPr>
        <w:t>μ</w:t>
      </w:r>
      <w:r>
        <w:rPr>
          <w:szCs w:val="24"/>
          <w:lang w:eastAsia="de-DE"/>
        </w:rPr>
        <w:t>g g</w:t>
      </w:r>
      <w:r>
        <w:rPr>
          <w:szCs w:val="24"/>
          <w:vertAlign w:val="superscript"/>
          <w:lang w:eastAsia="de-DE"/>
        </w:rPr>
        <w:t>-1</w:t>
      </w:r>
      <w:r>
        <w:rPr>
          <w:szCs w:val="24"/>
          <w:lang w:eastAsia="de-DE"/>
        </w:rPr>
        <w:t xml:space="preserve"> </w:t>
      </w:r>
      <w:r>
        <w:rPr>
          <w:i/>
          <w:szCs w:val="24"/>
          <w:lang w:eastAsia="de-DE"/>
        </w:rPr>
        <w:t>dw</w:t>
      </w:r>
      <w:r>
        <w:rPr>
          <w:szCs w:val="24"/>
          <w:lang w:eastAsia="de-DE"/>
        </w:rPr>
        <w:t xml:space="preserve">, LAI in green pixel % and chlorophyll (Chl) in </w:t>
      </w:r>
      <w:r>
        <w:rPr>
          <w:szCs w:val="24"/>
          <w:lang w:val="de-DE" w:eastAsia="de-DE"/>
        </w:rPr>
        <w:t>μ</w:t>
      </w:r>
      <w:r>
        <w:rPr>
          <w:szCs w:val="24"/>
          <w:lang w:eastAsia="de-DE"/>
        </w:rPr>
        <w:t>g cm</w:t>
      </w:r>
      <w:r>
        <w:rPr>
          <w:szCs w:val="24"/>
          <w:vertAlign w:val="superscript"/>
          <w:lang w:eastAsia="de-DE"/>
        </w:rPr>
        <w:t>-2</w:t>
      </w:r>
      <w:r>
        <w:rPr>
          <w:szCs w:val="24"/>
          <w:lang w:eastAsia="de-DE"/>
        </w:rPr>
        <w:t xml:space="preserve"> leaf area for sampling week 5, 6, 7 and 8. Mean values refer to average values with </w:t>
      </w:r>
      <w:r>
        <w:rPr>
          <w:i/>
          <w:szCs w:val="24"/>
          <w:lang w:eastAsia="de-DE"/>
        </w:rPr>
        <w:t>n</w:t>
      </w:r>
      <w:r>
        <w:rPr>
          <w:szCs w:val="24"/>
          <w:lang w:eastAsia="de-DE"/>
        </w:rPr>
        <w:t xml:space="preserve"> = 60 and </w:t>
      </w:r>
      <w:r>
        <w:rPr>
          <w:i/>
          <w:szCs w:val="24"/>
          <w:lang w:eastAsia="de-DE"/>
        </w:rPr>
        <w:t>n</w:t>
      </w:r>
      <w:r>
        <w:rPr>
          <w:szCs w:val="24"/>
          <w:lang w:eastAsia="de-DE"/>
        </w:rPr>
        <w:t xml:space="preserve"> = 56 for soil and plant measurements, respectively. Results of one-way ANOVA with degrees of freedom [</w:t>
      </w:r>
      <w:r>
        <w:rPr>
          <w:i/>
          <w:szCs w:val="24"/>
          <w:lang w:eastAsia="de-DE"/>
        </w:rPr>
        <w:t>df</w:t>
      </w:r>
      <w:r>
        <w:rPr>
          <w:szCs w:val="24"/>
          <w:lang w:eastAsia="de-DE"/>
        </w:rPr>
        <w:t>], F-statistic [</w:t>
      </w:r>
      <w:r>
        <w:rPr>
          <w:i/>
          <w:szCs w:val="24"/>
          <w:lang w:eastAsia="de-DE"/>
        </w:rPr>
        <w:t>F</w:t>
      </w:r>
      <w:r>
        <w:rPr>
          <w:szCs w:val="24"/>
          <w:lang w:eastAsia="de-DE"/>
        </w:rPr>
        <w:t>] and its p-value [</w:t>
      </w:r>
      <w:r>
        <w:rPr>
          <w:i/>
          <w:szCs w:val="24"/>
          <w:lang w:eastAsia="de-DE"/>
        </w:rPr>
        <w:t>p</w:t>
      </w:r>
      <w:r>
        <w:rPr>
          <w:szCs w:val="24"/>
          <w:lang w:eastAsia="de-DE"/>
        </w:rPr>
        <w:t>] using variant and treatment as factor for soil and plant measurements, respectively.</w:t>
      </w:r>
    </w:p>
    <w:p>
      <w:pPr>
        <w:widowControl w:val="0"/>
        <w:autoSpaceDE w:val="0"/>
        <w:autoSpaceDN w:val="0"/>
        <w:adjustRightInd w:val="0"/>
        <w:spacing w:after="0"/>
        <w:rPr>
          <w:szCs w:val="24"/>
          <w:lang w:eastAsia="de-DE"/>
        </w:rPr>
      </w:pPr>
    </w:p>
    <w:tbl>
      <w:tblPr>
        <w:tblW w:w="8662" w:type="dxa"/>
        <w:jc w:val="center"/>
        <w:tblLayout w:type="fixed"/>
        <w:tblCellMar>
          <w:left w:w="70" w:type="dxa"/>
          <w:right w:w="70" w:type="dxa"/>
        </w:tblCellMar>
        <w:tblLook w:val="04A0" w:firstRow="1" w:lastRow="0" w:firstColumn="1" w:lastColumn="0" w:noHBand="0" w:noVBand="1"/>
      </w:tblPr>
      <w:tblGrid>
        <w:gridCol w:w="1716"/>
        <w:gridCol w:w="993"/>
        <w:gridCol w:w="992"/>
        <w:gridCol w:w="1134"/>
        <w:gridCol w:w="992"/>
        <w:gridCol w:w="851"/>
        <w:gridCol w:w="708"/>
        <w:gridCol w:w="1276"/>
      </w:tblGrid>
      <w:tr>
        <w:trPr>
          <w:trHeight w:val="300"/>
          <w:jc w:val="center"/>
        </w:trPr>
        <w:tc>
          <w:tcPr>
            <w:tcW w:w="1716" w:type="dxa"/>
            <w:tcBorders>
              <w:top w:val="single" w:sz="4" w:space="0" w:color="auto"/>
              <w:left w:val="nil"/>
              <w:bottom w:val="single" w:sz="4" w:space="0" w:color="auto"/>
              <w:right w:val="nil"/>
            </w:tcBorders>
            <w:shd w:val="clear" w:color="auto" w:fill="auto"/>
            <w:noWrap/>
            <w:vAlign w:val="bottom"/>
            <w:hideMark/>
          </w:tcPr>
          <w:p>
            <w:pPr>
              <w:spacing w:after="0"/>
              <w:rPr>
                <w:rFonts w:eastAsia="Times New Roman"/>
                <w:b/>
                <w:color w:val="000000"/>
                <w:szCs w:val="24"/>
                <w:lang w:val="de-DE" w:eastAsia="de-DE"/>
              </w:rPr>
            </w:pPr>
            <w:r>
              <w:rPr>
                <w:rFonts w:eastAsia="Times New Roman"/>
                <w:b/>
                <w:color w:val="000000"/>
                <w:szCs w:val="24"/>
                <w:lang w:val="de-DE" w:eastAsia="de-DE"/>
              </w:rPr>
              <w:t>Measurement</w:t>
            </w:r>
          </w:p>
        </w:tc>
        <w:tc>
          <w:tcPr>
            <w:tcW w:w="993" w:type="dxa"/>
            <w:tcBorders>
              <w:top w:val="single" w:sz="4" w:space="0" w:color="auto"/>
              <w:left w:val="nil"/>
              <w:bottom w:val="single" w:sz="4" w:space="0" w:color="auto"/>
              <w:right w:val="nil"/>
            </w:tcBorders>
            <w:shd w:val="clear" w:color="auto" w:fill="auto"/>
            <w:noWrap/>
            <w:vAlign w:val="bottom"/>
            <w:hideMark/>
          </w:tcPr>
          <w:p>
            <w:pPr>
              <w:spacing w:after="0"/>
              <w:jc w:val="center"/>
              <w:rPr>
                <w:rFonts w:eastAsia="Times New Roman"/>
                <w:b/>
                <w:color w:val="000000"/>
                <w:szCs w:val="24"/>
                <w:lang w:val="de-DE" w:eastAsia="de-DE"/>
              </w:rPr>
            </w:pPr>
            <w:r>
              <w:rPr>
                <w:rFonts w:eastAsia="Times New Roman"/>
                <w:b/>
                <w:color w:val="000000"/>
                <w:szCs w:val="24"/>
                <w:lang w:val="de-DE" w:eastAsia="de-DE"/>
              </w:rPr>
              <w:t>Min</w:t>
            </w:r>
          </w:p>
        </w:tc>
        <w:tc>
          <w:tcPr>
            <w:tcW w:w="992" w:type="dxa"/>
            <w:tcBorders>
              <w:top w:val="single" w:sz="4" w:space="0" w:color="auto"/>
              <w:left w:val="nil"/>
              <w:bottom w:val="single" w:sz="4" w:space="0" w:color="auto"/>
              <w:right w:val="nil"/>
            </w:tcBorders>
            <w:shd w:val="clear" w:color="auto" w:fill="auto"/>
            <w:noWrap/>
            <w:vAlign w:val="bottom"/>
            <w:hideMark/>
          </w:tcPr>
          <w:p>
            <w:pPr>
              <w:spacing w:after="0"/>
              <w:jc w:val="center"/>
              <w:rPr>
                <w:rFonts w:eastAsia="Times New Roman"/>
                <w:b/>
                <w:color w:val="000000"/>
                <w:szCs w:val="24"/>
                <w:lang w:val="de-DE" w:eastAsia="de-DE"/>
              </w:rPr>
            </w:pPr>
            <w:r>
              <w:rPr>
                <w:rFonts w:eastAsia="Times New Roman"/>
                <w:b/>
                <w:color w:val="000000"/>
                <w:szCs w:val="24"/>
                <w:lang w:val="de-DE" w:eastAsia="de-DE"/>
              </w:rPr>
              <w:t>Max</w:t>
            </w:r>
          </w:p>
        </w:tc>
        <w:tc>
          <w:tcPr>
            <w:tcW w:w="1134" w:type="dxa"/>
            <w:tcBorders>
              <w:top w:val="single" w:sz="4" w:space="0" w:color="auto"/>
              <w:left w:val="nil"/>
              <w:bottom w:val="single" w:sz="4" w:space="0" w:color="auto"/>
              <w:right w:val="nil"/>
            </w:tcBorders>
            <w:shd w:val="clear" w:color="auto" w:fill="auto"/>
            <w:noWrap/>
            <w:vAlign w:val="bottom"/>
            <w:hideMark/>
          </w:tcPr>
          <w:p>
            <w:pPr>
              <w:spacing w:after="0"/>
              <w:jc w:val="center"/>
              <w:rPr>
                <w:rFonts w:eastAsia="Times New Roman"/>
                <w:b/>
                <w:color w:val="000000"/>
                <w:szCs w:val="24"/>
                <w:lang w:val="de-DE" w:eastAsia="de-DE"/>
              </w:rPr>
            </w:pPr>
            <w:r>
              <w:rPr>
                <w:rFonts w:eastAsia="Times New Roman"/>
                <w:b/>
                <w:color w:val="000000"/>
                <w:szCs w:val="24"/>
                <w:lang w:val="de-DE" w:eastAsia="de-DE"/>
              </w:rPr>
              <w:t>Mean</w:t>
            </w:r>
          </w:p>
        </w:tc>
        <w:tc>
          <w:tcPr>
            <w:tcW w:w="992" w:type="dxa"/>
            <w:tcBorders>
              <w:top w:val="single" w:sz="4" w:space="0" w:color="auto"/>
              <w:left w:val="nil"/>
              <w:bottom w:val="single" w:sz="4" w:space="0" w:color="auto"/>
              <w:right w:val="nil"/>
            </w:tcBorders>
            <w:shd w:val="clear" w:color="auto" w:fill="auto"/>
            <w:noWrap/>
            <w:vAlign w:val="bottom"/>
            <w:hideMark/>
          </w:tcPr>
          <w:p>
            <w:pPr>
              <w:spacing w:after="0"/>
              <w:jc w:val="center"/>
              <w:rPr>
                <w:rFonts w:eastAsia="Times New Roman"/>
                <w:b/>
                <w:color w:val="000000"/>
                <w:szCs w:val="24"/>
                <w:lang w:val="de-DE" w:eastAsia="de-DE"/>
              </w:rPr>
            </w:pPr>
            <w:r>
              <w:rPr>
                <w:rFonts w:eastAsia="Times New Roman"/>
                <w:b/>
                <w:color w:val="000000"/>
                <w:szCs w:val="24"/>
                <w:lang w:val="de-DE" w:eastAsia="de-DE"/>
              </w:rPr>
              <w:t>SD</w:t>
            </w:r>
          </w:p>
        </w:tc>
        <w:tc>
          <w:tcPr>
            <w:tcW w:w="851" w:type="dxa"/>
            <w:tcBorders>
              <w:top w:val="single" w:sz="4" w:space="0" w:color="auto"/>
              <w:left w:val="nil"/>
              <w:bottom w:val="single" w:sz="4" w:space="0" w:color="auto"/>
              <w:right w:val="nil"/>
            </w:tcBorders>
            <w:shd w:val="clear" w:color="auto" w:fill="auto"/>
            <w:noWrap/>
            <w:vAlign w:val="bottom"/>
            <w:hideMark/>
          </w:tcPr>
          <w:p>
            <w:pPr>
              <w:spacing w:after="0"/>
              <w:jc w:val="center"/>
              <w:rPr>
                <w:rFonts w:eastAsia="Times New Roman"/>
                <w:b/>
                <w:i/>
                <w:color w:val="000000"/>
                <w:szCs w:val="24"/>
                <w:lang w:val="de-DE" w:eastAsia="de-DE"/>
              </w:rPr>
            </w:pPr>
            <w:r>
              <w:rPr>
                <w:rFonts w:eastAsia="Times New Roman"/>
                <w:b/>
                <w:i/>
                <w:color w:val="000000"/>
                <w:szCs w:val="24"/>
                <w:lang w:val="de-DE" w:eastAsia="de-DE"/>
              </w:rPr>
              <w:t>df</w:t>
            </w:r>
          </w:p>
        </w:tc>
        <w:tc>
          <w:tcPr>
            <w:tcW w:w="708" w:type="dxa"/>
            <w:tcBorders>
              <w:top w:val="single" w:sz="4" w:space="0" w:color="auto"/>
              <w:left w:val="nil"/>
              <w:bottom w:val="single" w:sz="4" w:space="0" w:color="auto"/>
              <w:right w:val="nil"/>
            </w:tcBorders>
            <w:shd w:val="clear" w:color="auto" w:fill="auto"/>
            <w:noWrap/>
            <w:vAlign w:val="bottom"/>
            <w:hideMark/>
          </w:tcPr>
          <w:p>
            <w:pPr>
              <w:spacing w:after="0"/>
              <w:jc w:val="center"/>
              <w:rPr>
                <w:rFonts w:eastAsia="Times New Roman"/>
                <w:b/>
                <w:i/>
                <w:color w:val="000000"/>
                <w:szCs w:val="24"/>
                <w:lang w:val="de-DE" w:eastAsia="de-DE"/>
              </w:rPr>
            </w:pPr>
            <w:r>
              <w:rPr>
                <w:rFonts w:eastAsia="Times New Roman"/>
                <w:b/>
                <w:i/>
                <w:color w:val="000000"/>
                <w:szCs w:val="24"/>
                <w:lang w:val="de-DE" w:eastAsia="de-DE"/>
              </w:rPr>
              <w:t>F</w:t>
            </w:r>
          </w:p>
        </w:tc>
        <w:tc>
          <w:tcPr>
            <w:tcW w:w="1276" w:type="dxa"/>
            <w:tcBorders>
              <w:top w:val="single" w:sz="4" w:space="0" w:color="auto"/>
              <w:left w:val="nil"/>
              <w:bottom w:val="single" w:sz="4" w:space="0" w:color="auto"/>
              <w:right w:val="nil"/>
            </w:tcBorders>
            <w:shd w:val="clear" w:color="auto" w:fill="auto"/>
            <w:noWrap/>
            <w:vAlign w:val="bottom"/>
            <w:hideMark/>
          </w:tcPr>
          <w:p>
            <w:pPr>
              <w:spacing w:after="0"/>
              <w:jc w:val="center"/>
              <w:rPr>
                <w:rFonts w:eastAsia="Times New Roman"/>
                <w:b/>
                <w:i/>
                <w:color w:val="000000"/>
                <w:szCs w:val="24"/>
                <w:lang w:val="de-DE" w:eastAsia="de-DE"/>
              </w:rPr>
            </w:pPr>
            <w:r>
              <w:rPr>
                <w:rFonts w:eastAsia="Times New Roman"/>
                <w:b/>
                <w:i/>
                <w:color w:val="000000"/>
                <w:szCs w:val="24"/>
                <w:lang w:val="de-DE" w:eastAsia="de-DE"/>
              </w:rPr>
              <w:t>p</w:t>
            </w:r>
          </w:p>
        </w:tc>
      </w:tr>
      <w:tr>
        <w:trPr>
          <w:trHeight w:val="300"/>
          <w:jc w:val="center"/>
        </w:trPr>
        <w:tc>
          <w:tcPr>
            <w:tcW w:w="1716" w:type="dxa"/>
            <w:tcBorders>
              <w:top w:val="single" w:sz="4" w:space="0" w:color="auto"/>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pH</w:t>
            </w:r>
            <w:r>
              <w:rPr>
                <w:rFonts w:eastAsia="Times New Roman"/>
                <w:color w:val="000000"/>
                <w:szCs w:val="24"/>
                <w:vertAlign w:val="subscript"/>
                <w:lang w:val="de-DE" w:eastAsia="de-DE"/>
              </w:rPr>
              <w:t>CaCl2</w:t>
            </w:r>
          </w:p>
        </w:tc>
        <w:tc>
          <w:tcPr>
            <w:tcW w:w="993" w:type="dxa"/>
            <w:tcBorders>
              <w:top w:val="single" w:sz="4" w:space="0" w:color="auto"/>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4.86</w:t>
            </w:r>
          </w:p>
        </w:tc>
        <w:tc>
          <w:tcPr>
            <w:tcW w:w="992" w:type="dxa"/>
            <w:tcBorders>
              <w:top w:val="single" w:sz="4" w:space="0" w:color="auto"/>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5.45</w:t>
            </w:r>
          </w:p>
        </w:tc>
        <w:tc>
          <w:tcPr>
            <w:tcW w:w="1134" w:type="dxa"/>
            <w:tcBorders>
              <w:top w:val="single" w:sz="4" w:space="0" w:color="auto"/>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5.13</w:t>
            </w:r>
          </w:p>
        </w:tc>
        <w:tc>
          <w:tcPr>
            <w:tcW w:w="992" w:type="dxa"/>
            <w:tcBorders>
              <w:top w:val="single" w:sz="4" w:space="0" w:color="auto"/>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0.13</w:t>
            </w:r>
          </w:p>
        </w:tc>
        <w:tc>
          <w:tcPr>
            <w:tcW w:w="851" w:type="dxa"/>
            <w:tcBorders>
              <w:top w:val="single" w:sz="4" w:space="0" w:color="auto"/>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14</w:t>
            </w:r>
          </w:p>
        </w:tc>
        <w:tc>
          <w:tcPr>
            <w:tcW w:w="708" w:type="dxa"/>
            <w:tcBorders>
              <w:top w:val="single" w:sz="4" w:space="0" w:color="auto"/>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2.03</w:t>
            </w:r>
          </w:p>
        </w:tc>
        <w:tc>
          <w:tcPr>
            <w:tcW w:w="1276" w:type="dxa"/>
            <w:tcBorders>
              <w:top w:val="single" w:sz="4" w:space="0" w:color="auto"/>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0.037</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Nitrate-N</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11.13</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41.88</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21.39</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7.29</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14</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12.71</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&lt;0.001</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Ammonium-N</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0.06</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0.35</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0.16</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0.06</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14</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1.45</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0.173</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TDN</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17.98</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104.39</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45.89</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20.10</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14</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10.03</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&lt;0.001</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DOC</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4.35</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54.13</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24.93</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8.65</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14</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0.83</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0.638</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DON</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21.86</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92.86</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42.58</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14.95</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14</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2.34</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0.003</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DOC:DON</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0.17</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1.33</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0.62</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0.25</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14</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0.77</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0.693</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MBC</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405.67</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809.72</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587.57</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85.59</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14</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1.14</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0.355</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MBN</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17.83</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155.36</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62.09</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20.54</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14</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0.91</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0.554</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MBC:MBN</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3.37</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28.06</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10.30</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3.41</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14</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0.73</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0.747</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TPB</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0.14</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1.04</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0.56</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0.16</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3.60</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&lt;0.001</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Shoot</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0.12</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0.92</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0.51</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0.15</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3.80</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&lt;0.001</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Root</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0.01</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0.13</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0.05</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0.02</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1.43</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0.135</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C</w:t>
            </w:r>
            <w:r>
              <w:rPr>
                <w:rFonts w:eastAsia="Times New Roman"/>
                <w:color w:val="000000"/>
                <w:szCs w:val="24"/>
                <w:vertAlign w:val="subscript"/>
                <w:lang w:val="de-DE" w:eastAsia="de-DE"/>
              </w:rPr>
              <w:t>Shoot</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43.57</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72.45</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57.08</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4.65</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1.05</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0.401</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N</w:t>
            </w:r>
            <w:r>
              <w:rPr>
                <w:rFonts w:eastAsia="Times New Roman"/>
                <w:color w:val="000000"/>
                <w:szCs w:val="24"/>
                <w:vertAlign w:val="subscript"/>
                <w:lang w:val="de-DE" w:eastAsia="de-DE"/>
              </w:rPr>
              <w:t>Shoot</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7.63</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11.88</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9.55</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0.65</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0.65</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0.810</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C:N</w:t>
            </w:r>
            <w:r>
              <w:rPr>
                <w:rFonts w:eastAsia="Times New Roman"/>
                <w:color w:val="000000"/>
                <w:szCs w:val="24"/>
                <w:vertAlign w:val="subscript"/>
                <w:lang w:val="de-DE" w:eastAsia="de-DE"/>
              </w:rPr>
              <w:t>Shoot</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5.55</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6.43</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5.97</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0.19</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1.50</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0.108</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C</w:t>
            </w:r>
            <w:r>
              <w:rPr>
                <w:rFonts w:eastAsia="Times New Roman"/>
                <w:color w:val="000000"/>
                <w:szCs w:val="24"/>
                <w:vertAlign w:val="subscript"/>
                <w:lang w:val="de-DE" w:eastAsia="de-DE"/>
              </w:rPr>
              <w:t>Root</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65.24</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142.31</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90.90</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16.12</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1.13</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0.324</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N</w:t>
            </w:r>
            <w:r>
              <w:rPr>
                <w:rFonts w:eastAsia="Times New Roman"/>
                <w:color w:val="000000"/>
                <w:szCs w:val="24"/>
                <w:vertAlign w:val="subscript"/>
                <w:lang w:val="de-DE" w:eastAsia="de-DE"/>
              </w:rPr>
              <w:t>Root</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2.81</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6.66</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4.18</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0.76</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1.39</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0.204</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C:N</w:t>
            </w:r>
            <w:r>
              <w:rPr>
                <w:rFonts w:eastAsia="Times New Roman"/>
                <w:color w:val="000000"/>
                <w:szCs w:val="24"/>
                <w:vertAlign w:val="subscript"/>
                <w:lang w:val="de-DE" w:eastAsia="de-DE"/>
              </w:rPr>
              <w:t>Root</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19.92</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24.03</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21.79</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0.76</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1.52</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0.150</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LAI</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8.41</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40.41</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25.18</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6.33</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3.28</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0.002</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Chl</w:t>
            </w:r>
            <w:r>
              <w:rPr>
                <w:rFonts w:eastAsia="Times New Roman"/>
                <w:color w:val="000000"/>
                <w:szCs w:val="24"/>
                <w:vertAlign w:val="subscript"/>
                <w:lang w:val="de-DE" w:eastAsia="de-DE"/>
              </w:rPr>
              <w:t>W5</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22.25</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32.56</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27.98</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1.76</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1.69</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0.099</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Chl</w:t>
            </w:r>
            <w:r>
              <w:rPr>
                <w:rFonts w:eastAsia="Times New Roman"/>
                <w:color w:val="000000"/>
                <w:szCs w:val="24"/>
                <w:vertAlign w:val="subscript"/>
                <w:lang w:val="de-DE" w:eastAsia="de-DE"/>
              </w:rPr>
              <w:t>W6</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24.41</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36.25</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31.78</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2.17</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1.65</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0.109</w:t>
            </w:r>
          </w:p>
        </w:tc>
      </w:tr>
      <w:tr>
        <w:trPr>
          <w:trHeight w:val="300"/>
          <w:jc w:val="center"/>
        </w:trPr>
        <w:tc>
          <w:tcPr>
            <w:tcW w:w="1716"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Chl</w:t>
            </w:r>
            <w:r>
              <w:rPr>
                <w:rFonts w:eastAsia="Times New Roman"/>
                <w:color w:val="000000"/>
                <w:szCs w:val="24"/>
                <w:vertAlign w:val="subscript"/>
                <w:lang w:val="de-DE" w:eastAsia="de-DE"/>
              </w:rPr>
              <w:t>W7</w:t>
            </w:r>
          </w:p>
        </w:tc>
        <w:tc>
          <w:tcPr>
            <w:tcW w:w="993"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25.20</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36.33</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30.97</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2.13</w:t>
            </w:r>
          </w:p>
        </w:tc>
        <w:tc>
          <w:tcPr>
            <w:tcW w:w="851"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70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1.15</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0.346</w:t>
            </w:r>
          </w:p>
        </w:tc>
      </w:tr>
      <w:tr>
        <w:trPr>
          <w:trHeight w:val="300"/>
          <w:jc w:val="center"/>
        </w:trPr>
        <w:tc>
          <w:tcPr>
            <w:tcW w:w="1716" w:type="dxa"/>
            <w:tcBorders>
              <w:top w:val="nil"/>
              <w:left w:val="nil"/>
              <w:bottom w:val="single" w:sz="4" w:space="0" w:color="auto"/>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Chl</w:t>
            </w:r>
            <w:r>
              <w:rPr>
                <w:rFonts w:eastAsia="Times New Roman"/>
                <w:color w:val="000000"/>
                <w:szCs w:val="24"/>
                <w:vertAlign w:val="subscript"/>
                <w:lang w:val="de-DE" w:eastAsia="de-DE"/>
              </w:rPr>
              <w:t>W8</w:t>
            </w:r>
          </w:p>
        </w:tc>
        <w:tc>
          <w:tcPr>
            <w:tcW w:w="993" w:type="dxa"/>
            <w:tcBorders>
              <w:top w:val="nil"/>
              <w:left w:val="nil"/>
              <w:bottom w:val="single" w:sz="4" w:space="0" w:color="auto"/>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26.06</w:t>
            </w:r>
          </w:p>
        </w:tc>
        <w:tc>
          <w:tcPr>
            <w:tcW w:w="992" w:type="dxa"/>
            <w:tcBorders>
              <w:top w:val="nil"/>
              <w:left w:val="nil"/>
              <w:bottom w:val="single" w:sz="4" w:space="0" w:color="auto"/>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34.95</w:t>
            </w:r>
          </w:p>
        </w:tc>
        <w:tc>
          <w:tcPr>
            <w:tcW w:w="1134" w:type="dxa"/>
            <w:tcBorders>
              <w:top w:val="nil"/>
              <w:left w:val="nil"/>
              <w:bottom w:val="single" w:sz="4" w:space="0" w:color="auto"/>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30.06</w:t>
            </w:r>
          </w:p>
        </w:tc>
        <w:tc>
          <w:tcPr>
            <w:tcW w:w="992" w:type="dxa"/>
            <w:tcBorders>
              <w:top w:val="nil"/>
              <w:left w:val="nil"/>
              <w:bottom w:val="single" w:sz="4" w:space="0" w:color="auto"/>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2.26</w:t>
            </w:r>
          </w:p>
        </w:tc>
        <w:tc>
          <w:tcPr>
            <w:tcW w:w="851" w:type="dxa"/>
            <w:tcBorders>
              <w:top w:val="nil"/>
              <w:left w:val="nil"/>
              <w:bottom w:val="single" w:sz="4" w:space="0" w:color="auto"/>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708" w:type="dxa"/>
            <w:tcBorders>
              <w:top w:val="nil"/>
              <w:left w:val="nil"/>
              <w:bottom w:val="single" w:sz="4" w:space="0" w:color="auto"/>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1.21</w:t>
            </w:r>
          </w:p>
        </w:tc>
        <w:tc>
          <w:tcPr>
            <w:tcW w:w="1276" w:type="dxa"/>
            <w:tcBorders>
              <w:top w:val="nil"/>
              <w:left w:val="nil"/>
              <w:bottom w:val="single" w:sz="4" w:space="0" w:color="auto"/>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0.310</w:t>
            </w:r>
          </w:p>
        </w:tc>
      </w:tr>
    </w:tbl>
    <w:p/>
    <w:p>
      <w:pPr>
        <w:spacing w:after="0"/>
        <w:rPr>
          <w:b/>
          <w:szCs w:val="24"/>
        </w:rPr>
      </w:pPr>
      <w:r>
        <w:rPr>
          <w:b/>
          <w:szCs w:val="24"/>
        </w:rPr>
        <w:br w:type="page"/>
      </w:r>
    </w:p>
    <w:p>
      <w:pPr>
        <w:widowControl w:val="0"/>
        <w:autoSpaceDE w:val="0"/>
        <w:autoSpaceDN w:val="0"/>
        <w:adjustRightInd w:val="0"/>
        <w:spacing w:after="0"/>
        <w:jc w:val="both"/>
        <w:rPr>
          <w:szCs w:val="24"/>
          <w:lang w:eastAsia="de-DE"/>
        </w:rPr>
      </w:pPr>
      <w:r>
        <w:rPr>
          <w:b/>
          <w:szCs w:val="24"/>
        </w:rPr>
        <w:lastRenderedPageBreak/>
        <w:t xml:space="preserve">Table S3 </w:t>
      </w:r>
      <w:r>
        <w:rPr>
          <w:szCs w:val="24"/>
          <w:lang w:eastAsia="de-DE"/>
        </w:rPr>
        <w:t>Measurements of soil enzyme activity. Given are min, max, mean and SD for FDA in mg fluorescein kg</w:t>
      </w:r>
      <w:r>
        <w:rPr>
          <w:szCs w:val="24"/>
          <w:vertAlign w:val="superscript"/>
          <w:lang w:eastAsia="de-DE"/>
        </w:rPr>
        <w:t>-1</w:t>
      </w:r>
      <w:r>
        <w:rPr>
          <w:szCs w:val="24"/>
          <w:lang w:eastAsia="de-DE"/>
        </w:rPr>
        <w:t xml:space="preserve"> h</w:t>
      </w:r>
      <w:r>
        <w:rPr>
          <w:szCs w:val="24"/>
          <w:vertAlign w:val="superscript"/>
          <w:lang w:eastAsia="de-DE"/>
        </w:rPr>
        <w:t>-1</w:t>
      </w:r>
      <w:r>
        <w:rPr>
          <w:szCs w:val="24"/>
          <w:lang w:eastAsia="de-DE"/>
        </w:rPr>
        <w:t xml:space="preserve">, AWCD with Shannon and Evenness as well as </w:t>
      </w:r>
      <w:r>
        <w:rPr>
          <w:szCs w:val="24"/>
          <w:lang w:val="de-DE" w:eastAsia="de-DE"/>
        </w:rPr>
        <w:t>β</w:t>
      </w:r>
      <w:r>
        <w:rPr>
          <w:szCs w:val="24"/>
          <w:lang w:eastAsia="de-DE"/>
        </w:rPr>
        <w:t xml:space="preserve">-glucosidase (MUG), </w:t>
      </w:r>
      <w:r>
        <w:rPr>
          <w:szCs w:val="24"/>
          <w:lang w:val="de-DE" w:eastAsia="de-DE"/>
        </w:rPr>
        <w:t>β</w:t>
      </w:r>
      <w:r>
        <w:rPr>
          <w:szCs w:val="24"/>
          <w:lang w:eastAsia="de-DE"/>
        </w:rPr>
        <w:t>-N-acetylhexosaminidase (MUN) and acid phosphatase (MUP) in pmol MU g</w:t>
      </w:r>
      <w:r>
        <w:rPr>
          <w:szCs w:val="24"/>
          <w:vertAlign w:val="superscript"/>
          <w:lang w:eastAsia="de-DE"/>
        </w:rPr>
        <w:t>-1</w:t>
      </w:r>
      <w:r>
        <w:rPr>
          <w:szCs w:val="24"/>
          <w:lang w:eastAsia="de-DE"/>
        </w:rPr>
        <w:t xml:space="preserve"> h</w:t>
      </w:r>
      <w:r>
        <w:rPr>
          <w:szCs w:val="24"/>
          <w:vertAlign w:val="superscript"/>
          <w:lang w:eastAsia="de-DE"/>
        </w:rPr>
        <w:t>-1</w:t>
      </w:r>
      <w:r>
        <w:rPr>
          <w:szCs w:val="24"/>
          <w:lang w:eastAsia="de-DE"/>
        </w:rPr>
        <w:t xml:space="preserve"> for the different sampling times in </w:t>
      </w:r>
      <w:r>
        <w:rPr>
          <w:szCs w:val="24"/>
          <w:highlight w:val="green"/>
          <w:lang w:eastAsia="de-DE"/>
        </w:rPr>
        <w:t>days (d0, d14, d28, d42).</w:t>
      </w:r>
      <w:r>
        <w:rPr>
          <w:szCs w:val="24"/>
          <w:lang w:eastAsia="de-DE"/>
        </w:rPr>
        <w:t xml:space="preserve"> Mean values refer to average values with </w:t>
      </w:r>
      <w:r>
        <w:rPr>
          <w:i/>
          <w:szCs w:val="24"/>
          <w:lang w:eastAsia="de-DE"/>
        </w:rPr>
        <w:t>n</w:t>
      </w:r>
      <w:r>
        <w:rPr>
          <w:szCs w:val="24"/>
          <w:lang w:eastAsia="de-DE"/>
        </w:rPr>
        <w:t xml:space="preserve"> = 56. Results of one-way ANOVA with degrees of freedom [</w:t>
      </w:r>
      <w:r>
        <w:rPr>
          <w:i/>
          <w:szCs w:val="24"/>
          <w:lang w:eastAsia="de-DE"/>
        </w:rPr>
        <w:t>df</w:t>
      </w:r>
      <w:r>
        <w:rPr>
          <w:szCs w:val="24"/>
          <w:lang w:eastAsia="de-DE"/>
        </w:rPr>
        <w:t>], F-statistic [</w:t>
      </w:r>
      <w:r>
        <w:rPr>
          <w:i/>
          <w:szCs w:val="24"/>
          <w:lang w:eastAsia="de-DE"/>
        </w:rPr>
        <w:t>F</w:t>
      </w:r>
      <w:r>
        <w:rPr>
          <w:szCs w:val="24"/>
          <w:lang w:eastAsia="de-DE"/>
        </w:rPr>
        <w:t>] and its p-value [</w:t>
      </w:r>
      <w:r>
        <w:rPr>
          <w:i/>
          <w:szCs w:val="24"/>
          <w:lang w:eastAsia="de-DE"/>
        </w:rPr>
        <w:t>p</w:t>
      </w:r>
      <w:r>
        <w:rPr>
          <w:szCs w:val="24"/>
          <w:lang w:eastAsia="de-DE"/>
        </w:rPr>
        <w:t>] using treatment as factor.</w:t>
      </w:r>
    </w:p>
    <w:p>
      <w:pPr>
        <w:widowControl w:val="0"/>
        <w:autoSpaceDE w:val="0"/>
        <w:autoSpaceDN w:val="0"/>
        <w:adjustRightInd w:val="0"/>
        <w:spacing w:after="0"/>
        <w:rPr>
          <w:szCs w:val="24"/>
          <w:lang w:eastAsia="de-DE"/>
        </w:rPr>
      </w:pPr>
    </w:p>
    <w:tbl>
      <w:tblPr>
        <w:tblW w:w="8804" w:type="dxa"/>
        <w:jc w:val="center"/>
        <w:tblLayout w:type="fixed"/>
        <w:tblCellMar>
          <w:left w:w="70" w:type="dxa"/>
          <w:right w:w="70" w:type="dxa"/>
        </w:tblCellMar>
        <w:tblLook w:val="04A0" w:firstRow="1" w:lastRow="0" w:firstColumn="1" w:lastColumn="0" w:noHBand="0" w:noVBand="1"/>
      </w:tblPr>
      <w:tblGrid>
        <w:gridCol w:w="1563"/>
        <w:gridCol w:w="1300"/>
        <w:gridCol w:w="838"/>
        <w:gridCol w:w="1276"/>
        <w:gridCol w:w="850"/>
        <w:gridCol w:w="992"/>
        <w:gridCol w:w="567"/>
        <w:gridCol w:w="1418"/>
      </w:tblGrid>
      <w:tr>
        <w:trPr>
          <w:trHeight w:val="300"/>
          <w:jc w:val="center"/>
        </w:trPr>
        <w:tc>
          <w:tcPr>
            <w:tcW w:w="1563" w:type="dxa"/>
            <w:tcBorders>
              <w:top w:val="single" w:sz="4" w:space="0" w:color="auto"/>
              <w:left w:val="nil"/>
              <w:bottom w:val="single" w:sz="4" w:space="0" w:color="auto"/>
              <w:right w:val="nil"/>
            </w:tcBorders>
            <w:shd w:val="clear" w:color="auto" w:fill="auto"/>
            <w:noWrap/>
            <w:vAlign w:val="bottom"/>
            <w:hideMark/>
          </w:tcPr>
          <w:p>
            <w:pPr>
              <w:spacing w:after="0"/>
              <w:rPr>
                <w:rFonts w:eastAsia="Times New Roman"/>
                <w:b/>
                <w:color w:val="000000"/>
                <w:szCs w:val="24"/>
                <w:lang w:val="de-DE" w:eastAsia="de-DE"/>
              </w:rPr>
            </w:pPr>
            <w:r>
              <w:rPr>
                <w:rFonts w:eastAsia="Times New Roman"/>
                <w:b/>
                <w:color w:val="000000"/>
                <w:szCs w:val="24"/>
                <w:lang w:val="de-DE" w:eastAsia="de-DE"/>
              </w:rPr>
              <w:t>Measurement</w:t>
            </w:r>
          </w:p>
        </w:tc>
        <w:tc>
          <w:tcPr>
            <w:tcW w:w="1300" w:type="dxa"/>
            <w:tcBorders>
              <w:top w:val="single" w:sz="4" w:space="0" w:color="auto"/>
              <w:left w:val="nil"/>
              <w:bottom w:val="single" w:sz="4" w:space="0" w:color="auto"/>
              <w:right w:val="nil"/>
            </w:tcBorders>
            <w:shd w:val="clear" w:color="auto" w:fill="auto"/>
            <w:noWrap/>
            <w:vAlign w:val="bottom"/>
            <w:hideMark/>
          </w:tcPr>
          <w:p>
            <w:pPr>
              <w:spacing w:after="0"/>
              <w:jc w:val="center"/>
              <w:rPr>
                <w:rFonts w:eastAsia="Times New Roman"/>
                <w:b/>
                <w:color w:val="000000"/>
                <w:szCs w:val="24"/>
                <w:lang w:val="de-DE" w:eastAsia="de-DE"/>
              </w:rPr>
            </w:pPr>
            <w:r>
              <w:rPr>
                <w:rFonts w:eastAsia="Times New Roman"/>
                <w:b/>
                <w:color w:val="000000"/>
                <w:szCs w:val="24"/>
                <w:lang w:val="de-DE" w:eastAsia="de-DE"/>
              </w:rPr>
              <w:t>Min</w:t>
            </w:r>
          </w:p>
        </w:tc>
        <w:tc>
          <w:tcPr>
            <w:tcW w:w="838" w:type="dxa"/>
            <w:tcBorders>
              <w:top w:val="single" w:sz="4" w:space="0" w:color="auto"/>
              <w:left w:val="nil"/>
              <w:bottom w:val="single" w:sz="4" w:space="0" w:color="auto"/>
              <w:right w:val="nil"/>
            </w:tcBorders>
            <w:shd w:val="clear" w:color="auto" w:fill="auto"/>
            <w:noWrap/>
            <w:vAlign w:val="bottom"/>
            <w:hideMark/>
          </w:tcPr>
          <w:p>
            <w:pPr>
              <w:spacing w:after="0"/>
              <w:jc w:val="center"/>
              <w:rPr>
                <w:rFonts w:eastAsia="Times New Roman"/>
                <w:b/>
                <w:color w:val="000000"/>
                <w:szCs w:val="24"/>
                <w:lang w:val="de-DE" w:eastAsia="de-DE"/>
              </w:rPr>
            </w:pPr>
            <w:r>
              <w:rPr>
                <w:rFonts w:eastAsia="Times New Roman"/>
                <w:b/>
                <w:color w:val="000000"/>
                <w:szCs w:val="24"/>
                <w:lang w:val="de-DE" w:eastAsia="de-DE"/>
              </w:rPr>
              <w:t>Max</w:t>
            </w:r>
          </w:p>
        </w:tc>
        <w:tc>
          <w:tcPr>
            <w:tcW w:w="1276" w:type="dxa"/>
            <w:tcBorders>
              <w:top w:val="single" w:sz="4" w:space="0" w:color="auto"/>
              <w:left w:val="nil"/>
              <w:bottom w:val="single" w:sz="4" w:space="0" w:color="auto"/>
              <w:right w:val="nil"/>
            </w:tcBorders>
            <w:shd w:val="clear" w:color="auto" w:fill="auto"/>
            <w:noWrap/>
            <w:vAlign w:val="bottom"/>
            <w:hideMark/>
          </w:tcPr>
          <w:p>
            <w:pPr>
              <w:spacing w:after="0"/>
              <w:jc w:val="center"/>
              <w:rPr>
                <w:rFonts w:eastAsia="Times New Roman"/>
                <w:b/>
                <w:color w:val="000000"/>
                <w:szCs w:val="24"/>
                <w:lang w:val="de-DE" w:eastAsia="de-DE"/>
              </w:rPr>
            </w:pPr>
            <w:r>
              <w:rPr>
                <w:rFonts w:eastAsia="Times New Roman"/>
                <w:b/>
                <w:color w:val="000000"/>
                <w:szCs w:val="24"/>
                <w:lang w:val="de-DE" w:eastAsia="de-DE"/>
              </w:rPr>
              <w:t>Mean</w:t>
            </w:r>
          </w:p>
        </w:tc>
        <w:tc>
          <w:tcPr>
            <w:tcW w:w="850" w:type="dxa"/>
            <w:tcBorders>
              <w:top w:val="single" w:sz="4" w:space="0" w:color="auto"/>
              <w:left w:val="nil"/>
              <w:bottom w:val="single" w:sz="4" w:space="0" w:color="auto"/>
              <w:right w:val="nil"/>
            </w:tcBorders>
            <w:shd w:val="clear" w:color="auto" w:fill="auto"/>
            <w:noWrap/>
            <w:vAlign w:val="bottom"/>
            <w:hideMark/>
          </w:tcPr>
          <w:p>
            <w:pPr>
              <w:spacing w:after="0"/>
              <w:jc w:val="center"/>
              <w:rPr>
                <w:rFonts w:eastAsia="Times New Roman"/>
                <w:b/>
                <w:color w:val="000000"/>
                <w:szCs w:val="24"/>
                <w:lang w:val="de-DE" w:eastAsia="de-DE"/>
              </w:rPr>
            </w:pPr>
            <w:r>
              <w:rPr>
                <w:rFonts w:eastAsia="Times New Roman"/>
                <w:b/>
                <w:color w:val="000000"/>
                <w:szCs w:val="24"/>
                <w:lang w:val="de-DE" w:eastAsia="de-DE"/>
              </w:rPr>
              <w:t>SD</w:t>
            </w:r>
          </w:p>
        </w:tc>
        <w:tc>
          <w:tcPr>
            <w:tcW w:w="992" w:type="dxa"/>
            <w:tcBorders>
              <w:top w:val="single" w:sz="4" w:space="0" w:color="auto"/>
              <w:left w:val="nil"/>
              <w:bottom w:val="single" w:sz="4" w:space="0" w:color="auto"/>
              <w:right w:val="nil"/>
            </w:tcBorders>
            <w:shd w:val="clear" w:color="auto" w:fill="auto"/>
            <w:noWrap/>
            <w:vAlign w:val="bottom"/>
            <w:hideMark/>
          </w:tcPr>
          <w:p>
            <w:pPr>
              <w:spacing w:after="0"/>
              <w:jc w:val="center"/>
              <w:rPr>
                <w:rFonts w:eastAsia="Times New Roman"/>
                <w:b/>
                <w:i/>
                <w:color w:val="000000"/>
                <w:szCs w:val="24"/>
                <w:lang w:val="de-DE" w:eastAsia="de-DE"/>
              </w:rPr>
            </w:pPr>
            <w:r>
              <w:rPr>
                <w:rFonts w:eastAsia="Times New Roman"/>
                <w:b/>
                <w:i/>
                <w:color w:val="000000"/>
                <w:szCs w:val="24"/>
                <w:lang w:val="de-DE" w:eastAsia="de-DE"/>
              </w:rPr>
              <w:t>df</w:t>
            </w:r>
          </w:p>
        </w:tc>
        <w:tc>
          <w:tcPr>
            <w:tcW w:w="567" w:type="dxa"/>
            <w:tcBorders>
              <w:top w:val="single" w:sz="4" w:space="0" w:color="auto"/>
              <w:left w:val="nil"/>
              <w:bottom w:val="single" w:sz="4" w:space="0" w:color="auto"/>
              <w:right w:val="nil"/>
            </w:tcBorders>
            <w:shd w:val="clear" w:color="auto" w:fill="auto"/>
            <w:noWrap/>
            <w:vAlign w:val="bottom"/>
            <w:hideMark/>
          </w:tcPr>
          <w:p>
            <w:pPr>
              <w:spacing w:after="0"/>
              <w:jc w:val="center"/>
              <w:rPr>
                <w:rFonts w:eastAsia="Times New Roman"/>
                <w:b/>
                <w:i/>
                <w:color w:val="000000"/>
                <w:szCs w:val="24"/>
                <w:lang w:val="de-DE" w:eastAsia="de-DE"/>
              </w:rPr>
            </w:pPr>
            <w:r>
              <w:rPr>
                <w:rFonts w:eastAsia="Times New Roman"/>
                <w:b/>
                <w:i/>
                <w:color w:val="000000"/>
                <w:szCs w:val="24"/>
                <w:lang w:val="de-DE" w:eastAsia="de-DE"/>
              </w:rPr>
              <w:t>F</w:t>
            </w:r>
          </w:p>
        </w:tc>
        <w:tc>
          <w:tcPr>
            <w:tcW w:w="1418" w:type="dxa"/>
            <w:tcBorders>
              <w:top w:val="single" w:sz="4" w:space="0" w:color="auto"/>
              <w:left w:val="nil"/>
              <w:bottom w:val="single" w:sz="4" w:space="0" w:color="auto"/>
              <w:right w:val="nil"/>
            </w:tcBorders>
            <w:shd w:val="clear" w:color="auto" w:fill="auto"/>
            <w:noWrap/>
            <w:vAlign w:val="bottom"/>
            <w:hideMark/>
          </w:tcPr>
          <w:p>
            <w:pPr>
              <w:spacing w:after="0"/>
              <w:jc w:val="center"/>
              <w:rPr>
                <w:rFonts w:eastAsia="Times New Roman"/>
                <w:b/>
                <w:i/>
                <w:color w:val="000000"/>
                <w:szCs w:val="24"/>
                <w:lang w:val="de-DE" w:eastAsia="de-DE"/>
              </w:rPr>
            </w:pPr>
            <w:r>
              <w:rPr>
                <w:rFonts w:eastAsia="Times New Roman"/>
                <w:b/>
                <w:i/>
                <w:color w:val="000000"/>
                <w:szCs w:val="24"/>
                <w:lang w:val="de-DE" w:eastAsia="de-DE"/>
              </w:rPr>
              <w:t>p</w:t>
            </w:r>
          </w:p>
        </w:tc>
      </w:tr>
      <w:tr>
        <w:trPr>
          <w:trHeight w:val="300"/>
          <w:jc w:val="center"/>
        </w:trPr>
        <w:tc>
          <w:tcPr>
            <w:tcW w:w="1563" w:type="dxa"/>
            <w:tcBorders>
              <w:top w:val="single" w:sz="4" w:space="0" w:color="auto"/>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FDA</w:t>
            </w:r>
          </w:p>
        </w:tc>
        <w:tc>
          <w:tcPr>
            <w:tcW w:w="1300" w:type="dxa"/>
            <w:tcBorders>
              <w:top w:val="single" w:sz="4" w:space="0" w:color="auto"/>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59.12</w:t>
            </w:r>
          </w:p>
        </w:tc>
        <w:tc>
          <w:tcPr>
            <w:tcW w:w="838" w:type="dxa"/>
            <w:tcBorders>
              <w:top w:val="single" w:sz="4" w:space="0" w:color="auto"/>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101.27</w:t>
            </w:r>
          </w:p>
        </w:tc>
        <w:tc>
          <w:tcPr>
            <w:tcW w:w="1276" w:type="dxa"/>
            <w:tcBorders>
              <w:top w:val="single" w:sz="4" w:space="0" w:color="auto"/>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75.94</w:t>
            </w:r>
          </w:p>
        </w:tc>
        <w:tc>
          <w:tcPr>
            <w:tcW w:w="850" w:type="dxa"/>
            <w:tcBorders>
              <w:top w:val="single" w:sz="4" w:space="0" w:color="auto"/>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10.38</w:t>
            </w:r>
          </w:p>
        </w:tc>
        <w:tc>
          <w:tcPr>
            <w:tcW w:w="992" w:type="dxa"/>
            <w:tcBorders>
              <w:top w:val="single" w:sz="4" w:space="0" w:color="auto"/>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567" w:type="dxa"/>
            <w:tcBorders>
              <w:top w:val="single" w:sz="4" w:space="0" w:color="auto"/>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0.79</w:t>
            </w:r>
          </w:p>
        </w:tc>
        <w:tc>
          <w:tcPr>
            <w:tcW w:w="1418" w:type="dxa"/>
            <w:tcBorders>
              <w:top w:val="single" w:sz="4" w:space="0" w:color="auto"/>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0.669</w:t>
            </w:r>
          </w:p>
        </w:tc>
      </w:tr>
      <w:tr>
        <w:trPr>
          <w:trHeight w:val="300"/>
          <w:jc w:val="center"/>
        </w:trPr>
        <w:tc>
          <w:tcPr>
            <w:tcW w:w="1563"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AWCD</w:t>
            </w:r>
          </w:p>
        </w:tc>
        <w:tc>
          <w:tcPr>
            <w:tcW w:w="130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12.97</w:t>
            </w:r>
          </w:p>
        </w:tc>
        <w:tc>
          <w:tcPr>
            <w:tcW w:w="83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72.99</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39.46</w:t>
            </w:r>
          </w:p>
        </w:tc>
        <w:tc>
          <w:tcPr>
            <w:tcW w:w="85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12.48</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567"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2.16</w:t>
            </w:r>
          </w:p>
        </w:tc>
        <w:tc>
          <w:tcPr>
            <w:tcW w:w="141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0.032</w:t>
            </w:r>
          </w:p>
        </w:tc>
      </w:tr>
      <w:tr>
        <w:trPr>
          <w:trHeight w:val="300"/>
          <w:jc w:val="center"/>
        </w:trPr>
        <w:tc>
          <w:tcPr>
            <w:tcW w:w="1563"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Shannon</w:t>
            </w:r>
            <w:r>
              <w:rPr>
                <w:rFonts w:eastAsia="Times New Roman"/>
                <w:color w:val="000000"/>
                <w:szCs w:val="24"/>
                <w:vertAlign w:val="subscript"/>
                <w:lang w:val="de-DE" w:eastAsia="de-DE"/>
              </w:rPr>
              <w:t>AWCD</w:t>
            </w:r>
          </w:p>
        </w:tc>
        <w:tc>
          <w:tcPr>
            <w:tcW w:w="130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2.13</w:t>
            </w:r>
          </w:p>
        </w:tc>
        <w:tc>
          <w:tcPr>
            <w:tcW w:w="83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3.00</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2.64</w:t>
            </w:r>
          </w:p>
        </w:tc>
        <w:tc>
          <w:tcPr>
            <w:tcW w:w="85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0.19</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567"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1.15</w:t>
            </w:r>
          </w:p>
        </w:tc>
        <w:tc>
          <w:tcPr>
            <w:tcW w:w="141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0.349</w:t>
            </w:r>
          </w:p>
        </w:tc>
      </w:tr>
      <w:tr>
        <w:trPr>
          <w:trHeight w:val="300"/>
          <w:jc w:val="center"/>
        </w:trPr>
        <w:tc>
          <w:tcPr>
            <w:tcW w:w="1563"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Evenness</w:t>
            </w:r>
            <w:r>
              <w:rPr>
                <w:rFonts w:eastAsia="Times New Roman"/>
                <w:color w:val="000000"/>
                <w:szCs w:val="24"/>
                <w:vertAlign w:val="subscript"/>
                <w:lang w:val="de-DE" w:eastAsia="de-DE"/>
              </w:rPr>
              <w:t>AWCD</w:t>
            </w:r>
          </w:p>
        </w:tc>
        <w:tc>
          <w:tcPr>
            <w:tcW w:w="130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0.62</w:t>
            </w:r>
          </w:p>
        </w:tc>
        <w:tc>
          <w:tcPr>
            <w:tcW w:w="83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0.87</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0.77</w:t>
            </w:r>
          </w:p>
        </w:tc>
        <w:tc>
          <w:tcPr>
            <w:tcW w:w="85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0.05</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567"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1.15</w:t>
            </w:r>
          </w:p>
        </w:tc>
        <w:tc>
          <w:tcPr>
            <w:tcW w:w="141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0.349</w:t>
            </w:r>
          </w:p>
        </w:tc>
      </w:tr>
      <w:tr>
        <w:trPr>
          <w:trHeight w:val="300"/>
          <w:jc w:val="center"/>
        </w:trPr>
        <w:tc>
          <w:tcPr>
            <w:tcW w:w="1563"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MUG</w:t>
            </w:r>
            <w:r>
              <w:rPr>
                <w:rFonts w:eastAsia="Times New Roman"/>
                <w:color w:val="000000"/>
                <w:szCs w:val="24"/>
                <w:vertAlign w:val="subscript"/>
                <w:lang w:val="de-DE" w:eastAsia="de-DE"/>
              </w:rPr>
              <w:t>d0</w:t>
            </w:r>
          </w:p>
        </w:tc>
        <w:tc>
          <w:tcPr>
            <w:tcW w:w="130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55.69</w:t>
            </w:r>
          </w:p>
        </w:tc>
        <w:tc>
          <w:tcPr>
            <w:tcW w:w="83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144.98</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103.14</w:t>
            </w:r>
          </w:p>
        </w:tc>
        <w:tc>
          <w:tcPr>
            <w:tcW w:w="85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19.08</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567"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0.84</w:t>
            </w:r>
          </w:p>
        </w:tc>
        <w:tc>
          <w:tcPr>
            <w:tcW w:w="141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0.618</w:t>
            </w:r>
          </w:p>
        </w:tc>
      </w:tr>
      <w:tr>
        <w:trPr>
          <w:trHeight w:val="300"/>
          <w:jc w:val="center"/>
        </w:trPr>
        <w:tc>
          <w:tcPr>
            <w:tcW w:w="1563"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MUG</w:t>
            </w:r>
            <w:r>
              <w:rPr>
                <w:rFonts w:eastAsia="Times New Roman"/>
                <w:color w:val="000000"/>
                <w:szCs w:val="24"/>
                <w:vertAlign w:val="subscript"/>
                <w:lang w:val="de-DE" w:eastAsia="de-DE"/>
              </w:rPr>
              <w:t>d14</w:t>
            </w:r>
          </w:p>
        </w:tc>
        <w:tc>
          <w:tcPr>
            <w:tcW w:w="130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62.93</w:t>
            </w:r>
          </w:p>
        </w:tc>
        <w:tc>
          <w:tcPr>
            <w:tcW w:w="83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252.65</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126.94</w:t>
            </w:r>
          </w:p>
        </w:tc>
        <w:tc>
          <w:tcPr>
            <w:tcW w:w="85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41.51</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567"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0.92</w:t>
            </w:r>
          </w:p>
        </w:tc>
        <w:tc>
          <w:tcPr>
            <w:tcW w:w="141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0.546</w:t>
            </w:r>
          </w:p>
        </w:tc>
      </w:tr>
      <w:tr>
        <w:trPr>
          <w:trHeight w:val="300"/>
          <w:jc w:val="center"/>
        </w:trPr>
        <w:tc>
          <w:tcPr>
            <w:tcW w:w="1563"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MUG</w:t>
            </w:r>
            <w:r>
              <w:rPr>
                <w:rFonts w:eastAsia="Times New Roman"/>
                <w:color w:val="000000"/>
                <w:szCs w:val="24"/>
                <w:vertAlign w:val="subscript"/>
                <w:lang w:val="de-DE" w:eastAsia="de-DE"/>
              </w:rPr>
              <w:t>d28</w:t>
            </w:r>
          </w:p>
        </w:tc>
        <w:tc>
          <w:tcPr>
            <w:tcW w:w="130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49.87</w:t>
            </w:r>
          </w:p>
        </w:tc>
        <w:tc>
          <w:tcPr>
            <w:tcW w:w="83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224.90</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103.58</w:t>
            </w:r>
          </w:p>
        </w:tc>
        <w:tc>
          <w:tcPr>
            <w:tcW w:w="85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35.58</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567"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1.31</w:t>
            </w:r>
          </w:p>
        </w:tc>
        <w:tc>
          <w:tcPr>
            <w:tcW w:w="141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0.197</w:t>
            </w:r>
          </w:p>
        </w:tc>
      </w:tr>
      <w:tr>
        <w:trPr>
          <w:trHeight w:val="300"/>
          <w:jc w:val="center"/>
        </w:trPr>
        <w:tc>
          <w:tcPr>
            <w:tcW w:w="1563"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MUG</w:t>
            </w:r>
            <w:r>
              <w:rPr>
                <w:rFonts w:eastAsia="Times New Roman"/>
                <w:color w:val="000000"/>
                <w:szCs w:val="24"/>
                <w:vertAlign w:val="subscript"/>
                <w:lang w:val="de-DE" w:eastAsia="de-DE"/>
              </w:rPr>
              <w:t>d42</w:t>
            </w:r>
          </w:p>
        </w:tc>
        <w:tc>
          <w:tcPr>
            <w:tcW w:w="130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43.02</w:t>
            </w:r>
          </w:p>
        </w:tc>
        <w:tc>
          <w:tcPr>
            <w:tcW w:w="83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161.71</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88.29</w:t>
            </w:r>
          </w:p>
        </w:tc>
        <w:tc>
          <w:tcPr>
            <w:tcW w:w="85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31.10</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567"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0.62</w:t>
            </w:r>
          </w:p>
        </w:tc>
        <w:tc>
          <w:tcPr>
            <w:tcW w:w="141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0.824</w:t>
            </w:r>
          </w:p>
        </w:tc>
      </w:tr>
      <w:tr>
        <w:trPr>
          <w:trHeight w:val="300"/>
          <w:jc w:val="center"/>
        </w:trPr>
        <w:tc>
          <w:tcPr>
            <w:tcW w:w="1563"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MUN</w:t>
            </w:r>
            <w:r>
              <w:rPr>
                <w:rFonts w:eastAsia="Times New Roman"/>
                <w:color w:val="000000"/>
                <w:szCs w:val="24"/>
                <w:vertAlign w:val="subscript"/>
                <w:lang w:val="de-DE" w:eastAsia="de-DE"/>
              </w:rPr>
              <w:t>d0</w:t>
            </w:r>
          </w:p>
        </w:tc>
        <w:tc>
          <w:tcPr>
            <w:tcW w:w="130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0.53</w:t>
            </w:r>
          </w:p>
        </w:tc>
        <w:tc>
          <w:tcPr>
            <w:tcW w:w="83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8.59</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4.00</w:t>
            </w:r>
          </w:p>
        </w:tc>
        <w:tc>
          <w:tcPr>
            <w:tcW w:w="85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1.36</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567"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1.24</w:t>
            </w:r>
          </w:p>
        </w:tc>
        <w:tc>
          <w:tcPr>
            <w:tcW w:w="141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0.245</w:t>
            </w:r>
          </w:p>
        </w:tc>
      </w:tr>
      <w:tr>
        <w:trPr>
          <w:trHeight w:val="300"/>
          <w:jc w:val="center"/>
        </w:trPr>
        <w:tc>
          <w:tcPr>
            <w:tcW w:w="1563"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MUN</w:t>
            </w:r>
            <w:r>
              <w:rPr>
                <w:rFonts w:eastAsia="Times New Roman"/>
                <w:color w:val="000000"/>
                <w:szCs w:val="24"/>
                <w:vertAlign w:val="subscript"/>
                <w:lang w:val="de-DE" w:eastAsia="de-DE"/>
              </w:rPr>
              <w:t>d14</w:t>
            </w:r>
          </w:p>
        </w:tc>
        <w:tc>
          <w:tcPr>
            <w:tcW w:w="130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1.13</w:t>
            </w:r>
          </w:p>
        </w:tc>
        <w:tc>
          <w:tcPr>
            <w:tcW w:w="83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16.77</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5.26</w:t>
            </w:r>
          </w:p>
        </w:tc>
        <w:tc>
          <w:tcPr>
            <w:tcW w:w="85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2.42</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567"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1.01</w:t>
            </w:r>
          </w:p>
        </w:tc>
        <w:tc>
          <w:tcPr>
            <w:tcW w:w="141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0.441</w:t>
            </w:r>
          </w:p>
        </w:tc>
      </w:tr>
      <w:tr>
        <w:trPr>
          <w:trHeight w:val="300"/>
          <w:jc w:val="center"/>
        </w:trPr>
        <w:tc>
          <w:tcPr>
            <w:tcW w:w="1563"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MUN</w:t>
            </w:r>
            <w:r>
              <w:rPr>
                <w:rFonts w:eastAsia="Times New Roman"/>
                <w:color w:val="000000"/>
                <w:szCs w:val="24"/>
                <w:vertAlign w:val="subscript"/>
                <w:lang w:val="de-DE" w:eastAsia="de-DE"/>
              </w:rPr>
              <w:t>d28</w:t>
            </w:r>
          </w:p>
        </w:tc>
        <w:tc>
          <w:tcPr>
            <w:tcW w:w="130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1.24</w:t>
            </w:r>
          </w:p>
        </w:tc>
        <w:tc>
          <w:tcPr>
            <w:tcW w:w="83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8.57</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3.59</w:t>
            </w:r>
          </w:p>
        </w:tc>
        <w:tc>
          <w:tcPr>
            <w:tcW w:w="85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1.53</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567"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1.28</w:t>
            </w:r>
          </w:p>
        </w:tc>
        <w:tc>
          <w:tcPr>
            <w:tcW w:w="141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0.214</w:t>
            </w:r>
          </w:p>
        </w:tc>
      </w:tr>
      <w:tr>
        <w:trPr>
          <w:trHeight w:val="300"/>
          <w:jc w:val="center"/>
        </w:trPr>
        <w:tc>
          <w:tcPr>
            <w:tcW w:w="1563"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MUN</w:t>
            </w:r>
            <w:r>
              <w:rPr>
                <w:rFonts w:eastAsia="Times New Roman"/>
                <w:color w:val="000000"/>
                <w:szCs w:val="24"/>
                <w:vertAlign w:val="subscript"/>
                <w:lang w:val="de-DE" w:eastAsia="de-DE"/>
              </w:rPr>
              <w:t>d42</w:t>
            </w:r>
          </w:p>
        </w:tc>
        <w:tc>
          <w:tcPr>
            <w:tcW w:w="130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1.07</w:t>
            </w:r>
          </w:p>
        </w:tc>
        <w:tc>
          <w:tcPr>
            <w:tcW w:w="83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7.51</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3.49</w:t>
            </w:r>
          </w:p>
        </w:tc>
        <w:tc>
          <w:tcPr>
            <w:tcW w:w="85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1.57</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567"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0.72</w:t>
            </w:r>
          </w:p>
        </w:tc>
        <w:tc>
          <w:tcPr>
            <w:tcW w:w="141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0.743</w:t>
            </w:r>
          </w:p>
        </w:tc>
      </w:tr>
      <w:tr>
        <w:trPr>
          <w:trHeight w:val="300"/>
          <w:jc w:val="center"/>
        </w:trPr>
        <w:tc>
          <w:tcPr>
            <w:tcW w:w="1563"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MUP</w:t>
            </w:r>
            <w:r>
              <w:rPr>
                <w:rFonts w:eastAsia="Times New Roman"/>
                <w:color w:val="000000"/>
                <w:szCs w:val="24"/>
                <w:vertAlign w:val="subscript"/>
                <w:lang w:val="de-DE" w:eastAsia="de-DE"/>
              </w:rPr>
              <w:t>d0</w:t>
            </w:r>
          </w:p>
        </w:tc>
        <w:tc>
          <w:tcPr>
            <w:tcW w:w="130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18.39</w:t>
            </w:r>
          </w:p>
        </w:tc>
        <w:tc>
          <w:tcPr>
            <w:tcW w:w="83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87.13</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57.80</w:t>
            </w:r>
          </w:p>
        </w:tc>
        <w:tc>
          <w:tcPr>
            <w:tcW w:w="85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14.75</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567"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1.11</w:t>
            </w:r>
          </w:p>
        </w:tc>
        <w:tc>
          <w:tcPr>
            <w:tcW w:w="141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0.381</w:t>
            </w:r>
          </w:p>
        </w:tc>
      </w:tr>
      <w:tr>
        <w:trPr>
          <w:trHeight w:val="300"/>
          <w:jc w:val="center"/>
        </w:trPr>
        <w:tc>
          <w:tcPr>
            <w:tcW w:w="1563"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MUP</w:t>
            </w:r>
            <w:r>
              <w:rPr>
                <w:rFonts w:eastAsia="Times New Roman"/>
                <w:color w:val="000000"/>
                <w:szCs w:val="24"/>
                <w:vertAlign w:val="subscript"/>
                <w:lang w:val="de-DE" w:eastAsia="de-DE"/>
              </w:rPr>
              <w:t>d14</w:t>
            </w:r>
          </w:p>
        </w:tc>
        <w:tc>
          <w:tcPr>
            <w:tcW w:w="130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33.51</w:t>
            </w:r>
          </w:p>
        </w:tc>
        <w:tc>
          <w:tcPr>
            <w:tcW w:w="83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123.06</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74.71</w:t>
            </w:r>
          </w:p>
        </w:tc>
        <w:tc>
          <w:tcPr>
            <w:tcW w:w="85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24.31</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567"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3.69</w:t>
            </w:r>
          </w:p>
        </w:tc>
        <w:tc>
          <w:tcPr>
            <w:tcW w:w="141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0.002</w:t>
            </w:r>
          </w:p>
        </w:tc>
      </w:tr>
      <w:tr>
        <w:trPr>
          <w:trHeight w:val="300"/>
          <w:jc w:val="center"/>
        </w:trPr>
        <w:tc>
          <w:tcPr>
            <w:tcW w:w="1563" w:type="dxa"/>
            <w:tcBorders>
              <w:top w:val="nil"/>
              <w:left w:val="nil"/>
              <w:bottom w:val="nil"/>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MUP</w:t>
            </w:r>
            <w:r>
              <w:rPr>
                <w:rFonts w:eastAsia="Times New Roman"/>
                <w:color w:val="000000"/>
                <w:szCs w:val="24"/>
                <w:vertAlign w:val="subscript"/>
                <w:lang w:val="de-DE" w:eastAsia="de-DE"/>
              </w:rPr>
              <w:t>d28</w:t>
            </w:r>
          </w:p>
        </w:tc>
        <w:tc>
          <w:tcPr>
            <w:tcW w:w="130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21.70</w:t>
            </w:r>
          </w:p>
        </w:tc>
        <w:tc>
          <w:tcPr>
            <w:tcW w:w="83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149.62</w:t>
            </w:r>
          </w:p>
        </w:tc>
        <w:tc>
          <w:tcPr>
            <w:tcW w:w="1276"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60.70</w:t>
            </w:r>
          </w:p>
        </w:tc>
        <w:tc>
          <w:tcPr>
            <w:tcW w:w="850"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25.97</w:t>
            </w:r>
          </w:p>
        </w:tc>
        <w:tc>
          <w:tcPr>
            <w:tcW w:w="992"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567"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1.12</w:t>
            </w:r>
          </w:p>
        </w:tc>
        <w:tc>
          <w:tcPr>
            <w:tcW w:w="1418" w:type="dxa"/>
            <w:tcBorders>
              <w:top w:val="nil"/>
              <w:left w:val="nil"/>
              <w:bottom w:val="nil"/>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0.338</w:t>
            </w:r>
          </w:p>
        </w:tc>
      </w:tr>
      <w:tr>
        <w:trPr>
          <w:trHeight w:val="300"/>
          <w:jc w:val="center"/>
        </w:trPr>
        <w:tc>
          <w:tcPr>
            <w:tcW w:w="1563" w:type="dxa"/>
            <w:tcBorders>
              <w:top w:val="nil"/>
              <w:left w:val="nil"/>
              <w:bottom w:val="single" w:sz="4" w:space="0" w:color="auto"/>
              <w:right w:val="nil"/>
            </w:tcBorders>
            <w:shd w:val="clear" w:color="auto" w:fill="auto"/>
            <w:noWrap/>
            <w:vAlign w:val="bottom"/>
            <w:hideMark/>
          </w:tcPr>
          <w:p>
            <w:pPr>
              <w:spacing w:after="0"/>
              <w:rPr>
                <w:rFonts w:eastAsia="Times New Roman"/>
                <w:color w:val="000000"/>
                <w:szCs w:val="24"/>
                <w:lang w:val="de-DE" w:eastAsia="de-DE"/>
              </w:rPr>
            </w:pPr>
            <w:r>
              <w:rPr>
                <w:rFonts w:eastAsia="Times New Roman"/>
                <w:color w:val="000000"/>
                <w:szCs w:val="24"/>
                <w:lang w:val="de-DE" w:eastAsia="de-DE"/>
              </w:rPr>
              <w:t>MUP</w:t>
            </w:r>
            <w:r>
              <w:rPr>
                <w:rFonts w:eastAsia="Times New Roman"/>
                <w:color w:val="000000"/>
                <w:szCs w:val="24"/>
                <w:vertAlign w:val="subscript"/>
                <w:lang w:val="de-DE" w:eastAsia="de-DE"/>
              </w:rPr>
              <w:t>d42</w:t>
            </w:r>
          </w:p>
        </w:tc>
        <w:tc>
          <w:tcPr>
            <w:tcW w:w="1300" w:type="dxa"/>
            <w:tcBorders>
              <w:top w:val="nil"/>
              <w:left w:val="nil"/>
              <w:bottom w:val="single" w:sz="4" w:space="0" w:color="auto"/>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12.59</w:t>
            </w:r>
          </w:p>
        </w:tc>
        <w:tc>
          <w:tcPr>
            <w:tcW w:w="838" w:type="dxa"/>
            <w:tcBorders>
              <w:top w:val="nil"/>
              <w:left w:val="nil"/>
              <w:bottom w:val="single" w:sz="4" w:space="0" w:color="auto"/>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90.48</w:t>
            </w:r>
          </w:p>
        </w:tc>
        <w:tc>
          <w:tcPr>
            <w:tcW w:w="1276" w:type="dxa"/>
            <w:tcBorders>
              <w:top w:val="nil"/>
              <w:left w:val="nil"/>
              <w:bottom w:val="single" w:sz="4" w:space="0" w:color="auto"/>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40.84</w:t>
            </w:r>
          </w:p>
        </w:tc>
        <w:tc>
          <w:tcPr>
            <w:tcW w:w="850" w:type="dxa"/>
            <w:tcBorders>
              <w:top w:val="nil"/>
              <w:left w:val="nil"/>
              <w:bottom w:val="single" w:sz="4" w:space="0" w:color="auto"/>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17.38</w:t>
            </w:r>
          </w:p>
        </w:tc>
        <w:tc>
          <w:tcPr>
            <w:tcW w:w="992" w:type="dxa"/>
            <w:tcBorders>
              <w:top w:val="nil"/>
              <w:left w:val="nil"/>
              <w:bottom w:val="single" w:sz="4" w:space="0" w:color="auto"/>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13</w:t>
            </w:r>
          </w:p>
        </w:tc>
        <w:tc>
          <w:tcPr>
            <w:tcW w:w="567" w:type="dxa"/>
            <w:tcBorders>
              <w:top w:val="nil"/>
              <w:left w:val="nil"/>
              <w:bottom w:val="single" w:sz="4" w:space="0" w:color="auto"/>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0.93</w:t>
            </w:r>
          </w:p>
        </w:tc>
        <w:tc>
          <w:tcPr>
            <w:tcW w:w="1418" w:type="dxa"/>
            <w:tcBorders>
              <w:top w:val="nil"/>
              <w:left w:val="nil"/>
              <w:bottom w:val="single" w:sz="4" w:space="0" w:color="auto"/>
              <w:right w:val="nil"/>
            </w:tcBorders>
            <w:shd w:val="clear" w:color="auto" w:fill="auto"/>
            <w:noWrap/>
            <w:vAlign w:val="bottom"/>
            <w:hideMark/>
          </w:tcPr>
          <w:p>
            <w:pPr>
              <w:spacing w:after="0"/>
              <w:jc w:val="center"/>
              <w:rPr>
                <w:rFonts w:eastAsia="Times New Roman"/>
                <w:color w:val="000000"/>
                <w:szCs w:val="24"/>
                <w:lang w:val="de-DE" w:eastAsia="de-DE"/>
              </w:rPr>
            </w:pPr>
            <w:r>
              <w:rPr>
                <w:rFonts w:eastAsia="Times New Roman"/>
                <w:color w:val="000000"/>
                <w:szCs w:val="24"/>
                <w:lang w:val="de-DE" w:eastAsia="de-DE"/>
              </w:rPr>
              <w:t>0.516</w:t>
            </w:r>
          </w:p>
        </w:tc>
      </w:tr>
    </w:tbl>
    <w:p>
      <w:pPr>
        <w:rPr>
          <w:b/>
        </w:rPr>
      </w:pPr>
    </w:p>
    <w:p>
      <w:pPr>
        <w:rPr>
          <w:b/>
        </w:rPr>
      </w:pPr>
    </w:p>
    <w:p>
      <w:pPr>
        <w:spacing w:after="0"/>
        <w:rPr>
          <w:b/>
        </w:rPr>
        <w:sectPr>
          <w:pgSz w:w="12240" w:h="15840"/>
          <w:pgMar w:top="1440" w:right="1440" w:bottom="1440" w:left="1440" w:header="708" w:footer="708" w:gutter="0"/>
          <w:cols w:space="708"/>
          <w:docGrid w:linePitch="360"/>
        </w:sectPr>
      </w:pPr>
      <w:r>
        <w:rPr>
          <w:b/>
        </w:rPr>
        <w:br w:type="page"/>
      </w:r>
    </w:p>
    <w:tbl>
      <w:tblPr>
        <w:tblpPr w:leftFromText="180" w:rightFromText="180" w:tblpY="1155"/>
        <w:tblW w:w="13296" w:type="dxa"/>
        <w:tblLayout w:type="fixed"/>
        <w:tblLook w:val="04A0" w:firstRow="1" w:lastRow="0" w:firstColumn="1" w:lastColumn="0" w:noHBand="0" w:noVBand="1"/>
      </w:tblPr>
      <w:tblGrid>
        <w:gridCol w:w="1296"/>
        <w:gridCol w:w="1044"/>
        <w:gridCol w:w="836"/>
        <w:gridCol w:w="82"/>
        <w:gridCol w:w="978"/>
        <w:gridCol w:w="1060"/>
        <w:gridCol w:w="1060"/>
        <w:gridCol w:w="1060"/>
        <w:gridCol w:w="1000"/>
        <w:gridCol w:w="1000"/>
        <w:gridCol w:w="1000"/>
        <w:gridCol w:w="940"/>
        <w:gridCol w:w="940"/>
        <w:gridCol w:w="124"/>
        <w:gridCol w:w="876"/>
      </w:tblGrid>
      <w:tr>
        <w:trPr>
          <w:cantSplit/>
          <w:trHeight w:val="1700"/>
        </w:trPr>
        <w:tc>
          <w:tcPr>
            <w:tcW w:w="1296"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color w:val="000000"/>
                <w:sz w:val="20"/>
                <w:szCs w:val="20"/>
              </w:rPr>
            </w:pPr>
          </w:p>
        </w:tc>
        <w:tc>
          <w:tcPr>
            <w:tcW w:w="1044"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rPr>
            </w:pPr>
            <w:r>
              <w:rPr>
                <w:rFonts w:eastAsia="Times New Roman"/>
                <w:b/>
                <w:bCs/>
                <w:i/>
                <w:iCs/>
                <w:color w:val="000000"/>
                <w:sz w:val="18"/>
                <w:szCs w:val="18"/>
                <w:lang w:val="de-DE"/>
              </w:rPr>
              <w:t>Xanthobacteraceae</w:t>
            </w:r>
          </w:p>
        </w:tc>
        <w:tc>
          <w:tcPr>
            <w:tcW w:w="836"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rPr>
            </w:pPr>
            <w:r>
              <w:rPr>
                <w:rFonts w:eastAsia="Times New Roman"/>
                <w:b/>
                <w:bCs/>
                <w:i/>
                <w:iCs/>
                <w:color w:val="000000"/>
                <w:sz w:val="18"/>
                <w:szCs w:val="18"/>
                <w:lang w:val="de-DE"/>
              </w:rPr>
              <w:t>Gemmatimonadaceae</w:t>
            </w:r>
          </w:p>
        </w:tc>
        <w:tc>
          <w:tcPr>
            <w:tcW w:w="1060" w:type="dxa"/>
            <w:gridSpan w:val="2"/>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rPr>
            </w:pPr>
            <w:r>
              <w:rPr>
                <w:rFonts w:eastAsia="Times New Roman"/>
                <w:b/>
                <w:bCs/>
                <w:i/>
                <w:iCs/>
                <w:color w:val="000000"/>
                <w:sz w:val="18"/>
                <w:szCs w:val="18"/>
                <w:lang w:val="de-DE"/>
              </w:rPr>
              <w:t>Nitrosomonadaceae</w:t>
            </w:r>
          </w:p>
        </w:tc>
        <w:tc>
          <w:tcPr>
            <w:tcW w:w="1060"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lang w:val="de-DE"/>
              </w:rPr>
            </w:pPr>
            <w:r>
              <w:rPr>
                <w:rFonts w:eastAsia="Times New Roman"/>
                <w:b/>
                <w:bCs/>
                <w:i/>
                <w:iCs/>
                <w:color w:val="000000"/>
                <w:sz w:val="18"/>
                <w:szCs w:val="18"/>
                <w:lang w:val="de-DE"/>
              </w:rPr>
              <w:t>Solirubrobacterales</w:t>
            </w:r>
          </w:p>
          <w:p>
            <w:pPr>
              <w:spacing w:after="0"/>
              <w:jc w:val="center"/>
              <w:rPr>
                <w:rFonts w:eastAsia="Times New Roman"/>
                <w:b/>
                <w:bCs/>
                <w:i/>
                <w:iCs/>
                <w:color w:val="000000"/>
                <w:sz w:val="18"/>
                <w:szCs w:val="18"/>
              </w:rPr>
            </w:pPr>
            <w:r>
              <w:rPr>
                <w:rFonts w:eastAsia="Times New Roman"/>
                <w:b/>
                <w:bCs/>
                <w:i/>
                <w:iCs/>
                <w:color w:val="000000"/>
                <w:sz w:val="18"/>
                <w:szCs w:val="18"/>
                <w:lang w:val="de-DE"/>
              </w:rPr>
              <w:t xml:space="preserve"> (67-14)</w:t>
            </w:r>
          </w:p>
        </w:tc>
        <w:tc>
          <w:tcPr>
            <w:tcW w:w="1060"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rPr>
            </w:pPr>
            <w:r>
              <w:rPr>
                <w:rFonts w:eastAsia="Times New Roman"/>
                <w:b/>
                <w:bCs/>
                <w:i/>
                <w:iCs/>
                <w:color w:val="000000"/>
                <w:sz w:val="18"/>
                <w:szCs w:val="18"/>
                <w:lang w:val="de-DE"/>
              </w:rPr>
              <w:t>Gaiellaceae</w:t>
            </w:r>
          </w:p>
        </w:tc>
        <w:tc>
          <w:tcPr>
            <w:tcW w:w="1060"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rPr>
            </w:pPr>
            <w:r>
              <w:rPr>
                <w:rFonts w:eastAsia="Times New Roman"/>
                <w:b/>
                <w:bCs/>
                <w:i/>
                <w:iCs/>
                <w:color w:val="000000"/>
                <w:sz w:val="18"/>
                <w:szCs w:val="18"/>
                <w:lang w:val="de-DE"/>
              </w:rPr>
              <w:t>Mycobacteriaceae</w:t>
            </w:r>
          </w:p>
        </w:tc>
        <w:tc>
          <w:tcPr>
            <w:tcW w:w="1000"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rPr>
            </w:pPr>
            <w:r>
              <w:rPr>
                <w:rFonts w:eastAsia="Times New Roman"/>
                <w:b/>
                <w:bCs/>
                <w:i/>
                <w:iCs/>
                <w:color w:val="000000"/>
                <w:sz w:val="18"/>
                <w:szCs w:val="18"/>
                <w:lang w:val="de-DE"/>
              </w:rPr>
              <w:t>Chitinophagaceae</w:t>
            </w:r>
          </w:p>
        </w:tc>
        <w:tc>
          <w:tcPr>
            <w:tcW w:w="1000"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rPr>
            </w:pPr>
            <w:r>
              <w:rPr>
                <w:rFonts w:eastAsia="Times New Roman"/>
                <w:b/>
                <w:bCs/>
                <w:i/>
                <w:iCs/>
                <w:color w:val="000000"/>
                <w:sz w:val="18"/>
                <w:szCs w:val="18"/>
                <w:lang w:val="de-DE"/>
              </w:rPr>
              <w:t>Haliangiaceae</w:t>
            </w:r>
          </w:p>
        </w:tc>
        <w:tc>
          <w:tcPr>
            <w:tcW w:w="1000"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rPr>
            </w:pPr>
            <w:r>
              <w:rPr>
                <w:rFonts w:eastAsia="Times New Roman"/>
                <w:b/>
                <w:bCs/>
                <w:i/>
                <w:iCs/>
                <w:color w:val="000000"/>
                <w:sz w:val="18"/>
                <w:szCs w:val="18"/>
                <w:lang w:val="de-DE"/>
              </w:rPr>
              <w:t>Nitrospiraceae</w:t>
            </w:r>
          </w:p>
        </w:tc>
        <w:tc>
          <w:tcPr>
            <w:tcW w:w="940"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rPr>
            </w:pPr>
            <w:r>
              <w:rPr>
                <w:rFonts w:eastAsia="Times New Roman"/>
                <w:b/>
                <w:bCs/>
                <w:i/>
                <w:iCs/>
                <w:color w:val="000000"/>
                <w:sz w:val="18"/>
                <w:szCs w:val="18"/>
                <w:lang w:val="de-DE"/>
              </w:rPr>
              <w:t>Pyrinomonadaceae</w:t>
            </w:r>
          </w:p>
        </w:tc>
        <w:tc>
          <w:tcPr>
            <w:tcW w:w="940"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rPr>
            </w:pPr>
            <w:r>
              <w:rPr>
                <w:rFonts w:eastAsia="Times New Roman"/>
                <w:b/>
                <w:bCs/>
                <w:i/>
                <w:iCs/>
                <w:color w:val="000000"/>
                <w:sz w:val="18"/>
                <w:szCs w:val="18"/>
                <w:lang w:val="de-DE"/>
              </w:rPr>
              <w:t>Xanthomonadaceae</w:t>
            </w:r>
          </w:p>
        </w:tc>
        <w:tc>
          <w:tcPr>
            <w:tcW w:w="1000" w:type="dxa"/>
            <w:gridSpan w:val="2"/>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rPr>
            </w:pPr>
            <w:r>
              <w:rPr>
                <w:rFonts w:eastAsia="Times New Roman"/>
                <w:b/>
                <w:bCs/>
                <w:i/>
                <w:iCs/>
                <w:color w:val="000000"/>
                <w:sz w:val="18"/>
                <w:szCs w:val="18"/>
                <w:lang w:val="de-DE"/>
              </w:rPr>
              <w:t>Burkholderiaceae</w:t>
            </w:r>
          </w:p>
        </w:tc>
      </w:tr>
      <w:tr>
        <w:trPr>
          <w:trHeight w:val="300"/>
        </w:trPr>
        <w:tc>
          <w:tcPr>
            <w:tcW w:w="1296" w:type="dxa"/>
            <w:tcBorders>
              <w:top w:val="single" w:sz="4" w:space="0" w:color="auto"/>
              <w:left w:val="nil"/>
              <w:bottom w:val="nil"/>
              <w:right w:val="nil"/>
            </w:tcBorders>
            <w:shd w:val="clear" w:color="auto" w:fill="auto"/>
            <w:noWrap/>
            <w:vAlign w:val="bottom"/>
            <w:hideMark/>
          </w:tcPr>
          <w:p>
            <w:pPr>
              <w:spacing w:after="0" w:line="360" w:lineRule="auto"/>
              <w:jc w:val="center"/>
              <w:rPr>
                <w:rFonts w:eastAsia="Times New Roman"/>
                <w:b/>
                <w:bCs/>
                <w:color w:val="000000"/>
                <w:sz w:val="18"/>
                <w:szCs w:val="16"/>
              </w:rPr>
            </w:pPr>
            <w:r>
              <w:rPr>
                <w:rFonts w:eastAsia="Times New Roman"/>
                <w:b/>
                <w:bCs/>
                <w:color w:val="000000"/>
                <w:sz w:val="18"/>
                <w:szCs w:val="16"/>
              </w:rPr>
              <w:t>Initial</w:t>
            </w:r>
          </w:p>
        </w:tc>
        <w:tc>
          <w:tcPr>
            <w:tcW w:w="1044" w:type="dxa"/>
            <w:tcBorders>
              <w:top w:val="single" w:sz="4" w:space="0" w:color="auto"/>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8.1 ± 0.4 </w:t>
            </w:r>
            <w:r>
              <w:rPr>
                <w:rFonts w:eastAsia="Times New Roman"/>
                <w:color w:val="000000"/>
                <w:sz w:val="16"/>
                <w:szCs w:val="14"/>
                <w:vertAlign w:val="superscript"/>
              </w:rPr>
              <w:t>c</w:t>
            </w:r>
          </w:p>
        </w:tc>
        <w:tc>
          <w:tcPr>
            <w:tcW w:w="918" w:type="dxa"/>
            <w:gridSpan w:val="2"/>
            <w:tcBorders>
              <w:top w:val="single" w:sz="4" w:space="0" w:color="auto"/>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6 ± 0.6 </w:t>
            </w:r>
            <w:r>
              <w:rPr>
                <w:rFonts w:eastAsia="Times New Roman"/>
                <w:color w:val="000000"/>
                <w:sz w:val="16"/>
                <w:szCs w:val="14"/>
                <w:vertAlign w:val="superscript"/>
              </w:rPr>
              <w:t>a</w:t>
            </w:r>
          </w:p>
        </w:tc>
        <w:tc>
          <w:tcPr>
            <w:tcW w:w="978" w:type="dxa"/>
            <w:tcBorders>
              <w:top w:val="single" w:sz="4" w:space="0" w:color="auto"/>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3.1 ± 0.2 </w:t>
            </w:r>
            <w:r>
              <w:rPr>
                <w:rFonts w:eastAsia="Times New Roman"/>
                <w:color w:val="000000"/>
                <w:sz w:val="16"/>
                <w:szCs w:val="14"/>
                <w:vertAlign w:val="superscript"/>
              </w:rPr>
              <w:t>a</w:t>
            </w:r>
          </w:p>
        </w:tc>
        <w:tc>
          <w:tcPr>
            <w:tcW w:w="1060" w:type="dxa"/>
            <w:tcBorders>
              <w:top w:val="single" w:sz="4" w:space="0" w:color="auto"/>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2.8 ± 0.1 </w:t>
            </w:r>
            <w:r>
              <w:rPr>
                <w:rFonts w:eastAsia="Times New Roman"/>
                <w:color w:val="000000"/>
                <w:sz w:val="16"/>
                <w:szCs w:val="14"/>
                <w:vertAlign w:val="superscript"/>
              </w:rPr>
              <w:t>a</w:t>
            </w:r>
          </w:p>
        </w:tc>
        <w:tc>
          <w:tcPr>
            <w:tcW w:w="1060" w:type="dxa"/>
            <w:tcBorders>
              <w:top w:val="single" w:sz="4" w:space="0" w:color="auto"/>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2.4 ± 0.2 </w:t>
            </w:r>
            <w:r>
              <w:rPr>
                <w:rFonts w:eastAsia="Times New Roman"/>
                <w:color w:val="000000"/>
                <w:sz w:val="16"/>
                <w:szCs w:val="14"/>
                <w:vertAlign w:val="superscript"/>
              </w:rPr>
              <w:t>a</w:t>
            </w:r>
          </w:p>
        </w:tc>
        <w:tc>
          <w:tcPr>
            <w:tcW w:w="1060" w:type="dxa"/>
            <w:tcBorders>
              <w:top w:val="single" w:sz="4" w:space="0" w:color="auto"/>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1.4 ± 0.1 </w:t>
            </w:r>
            <w:r>
              <w:rPr>
                <w:rFonts w:eastAsia="Times New Roman"/>
                <w:color w:val="000000"/>
                <w:sz w:val="16"/>
                <w:szCs w:val="14"/>
                <w:vertAlign w:val="superscript"/>
              </w:rPr>
              <w:t>c</w:t>
            </w:r>
          </w:p>
        </w:tc>
        <w:tc>
          <w:tcPr>
            <w:tcW w:w="1000" w:type="dxa"/>
            <w:tcBorders>
              <w:top w:val="single" w:sz="4" w:space="0" w:color="auto"/>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2.6 ± 0.3 </w:t>
            </w:r>
            <w:r>
              <w:rPr>
                <w:rFonts w:eastAsia="Times New Roman"/>
                <w:color w:val="000000"/>
                <w:sz w:val="16"/>
                <w:szCs w:val="14"/>
                <w:vertAlign w:val="superscript"/>
              </w:rPr>
              <w:t>a</w:t>
            </w:r>
          </w:p>
        </w:tc>
        <w:tc>
          <w:tcPr>
            <w:tcW w:w="1000" w:type="dxa"/>
            <w:tcBorders>
              <w:top w:val="single" w:sz="4" w:space="0" w:color="auto"/>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1.3 ± 0.1 </w:t>
            </w:r>
            <w:r>
              <w:rPr>
                <w:rFonts w:eastAsia="Times New Roman"/>
                <w:color w:val="000000"/>
                <w:sz w:val="16"/>
                <w:szCs w:val="14"/>
                <w:vertAlign w:val="superscript"/>
              </w:rPr>
              <w:t>bc</w:t>
            </w:r>
          </w:p>
        </w:tc>
        <w:tc>
          <w:tcPr>
            <w:tcW w:w="1000" w:type="dxa"/>
            <w:tcBorders>
              <w:top w:val="single" w:sz="4" w:space="0" w:color="auto"/>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 ± 0.3 </w:t>
            </w:r>
            <w:r>
              <w:rPr>
                <w:rFonts w:eastAsia="Times New Roman"/>
                <w:color w:val="000000"/>
                <w:sz w:val="16"/>
                <w:szCs w:val="14"/>
                <w:vertAlign w:val="superscript"/>
              </w:rPr>
              <w:t>a</w:t>
            </w:r>
          </w:p>
        </w:tc>
        <w:tc>
          <w:tcPr>
            <w:tcW w:w="940" w:type="dxa"/>
            <w:tcBorders>
              <w:top w:val="single" w:sz="4" w:space="0" w:color="auto"/>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0.8 ± 0.1 </w:t>
            </w:r>
            <w:r>
              <w:rPr>
                <w:rFonts w:eastAsia="Times New Roman"/>
                <w:color w:val="000000"/>
                <w:sz w:val="16"/>
                <w:szCs w:val="14"/>
                <w:vertAlign w:val="superscript"/>
              </w:rPr>
              <w:t>b</w:t>
            </w:r>
          </w:p>
        </w:tc>
        <w:tc>
          <w:tcPr>
            <w:tcW w:w="1064" w:type="dxa"/>
            <w:gridSpan w:val="2"/>
            <w:tcBorders>
              <w:top w:val="single" w:sz="4" w:space="0" w:color="auto"/>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1.8 ± 0.5 </w:t>
            </w:r>
            <w:r>
              <w:rPr>
                <w:rFonts w:eastAsia="Times New Roman"/>
                <w:color w:val="000000"/>
                <w:sz w:val="16"/>
                <w:szCs w:val="14"/>
                <w:vertAlign w:val="superscript"/>
              </w:rPr>
              <w:t>a</w:t>
            </w:r>
          </w:p>
        </w:tc>
        <w:tc>
          <w:tcPr>
            <w:tcW w:w="876" w:type="dxa"/>
            <w:tcBorders>
              <w:top w:val="single" w:sz="4" w:space="0" w:color="auto"/>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2.3 ± 0.3 </w:t>
            </w:r>
            <w:r>
              <w:rPr>
                <w:rFonts w:eastAsia="Times New Roman"/>
                <w:color w:val="000000"/>
                <w:sz w:val="16"/>
                <w:szCs w:val="14"/>
                <w:vertAlign w:val="superscript"/>
              </w:rPr>
              <w:t>a</w:t>
            </w:r>
          </w:p>
        </w:tc>
      </w:tr>
      <w:tr>
        <w:trPr>
          <w:trHeight w:val="300"/>
        </w:trPr>
        <w:tc>
          <w:tcPr>
            <w:tcW w:w="1296" w:type="dxa"/>
            <w:tcBorders>
              <w:top w:val="nil"/>
              <w:left w:val="nil"/>
              <w:bottom w:val="nil"/>
              <w:right w:val="nil"/>
            </w:tcBorders>
            <w:shd w:val="clear" w:color="auto" w:fill="auto"/>
            <w:noWrap/>
            <w:vAlign w:val="bottom"/>
            <w:hideMark/>
          </w:tcPr>
          <w:p>
            <w:pPr>
              <w:spacing w:after="0" w:line="360" w:lineRule="auto"/>
              <w:jc w:val="center"/>
              <w:rPr>
                <w:rFonts w:eastAsia="Times New Roman"/>
                <w:b/>
                <w:bCs/>
                <w:color w:val="000000"/>
                <w:sz w:val="18"/>
                <w:szCs w:val="16"/>
              </w:rPr>
            </w:pPr>
            <w:r>
              <w:rPr>
                <w:rFonts w:eastAsia="Times New Roman"/>
                <w:b/>
                <w:bCs/>
                <w:color w:val="000000"/>
                <w:sz w:val="18"/>
                <w:szCs w:val="16"/>
              </w:rPr>
              <w:t>Control</w:t>
            </w:r>
          </w:p>
        </w:tc>
        <w:tc>
          <w:tcPr>
            <w:tcW w:w="1044"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11 ± 1.2 </w:t>
            </w:r>
            <w:r>
              <w:rPr>
                <w:rFonts w:eastAsia="Times New Roman"/>
                <w:color w:val="000000"/>
                <w:sz w:val="16"/>
                <w:szCs w:val="14"/>
                <w:vertAlign w:val="superscript"/>
              </w:rPr>
              <w:t>ab</w:t>
            </w:r>
          </w:p>
        </w:tc>
        <w:tc>
          <w:tcPr>
            <w:tcW w:w="918"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5.7 ± 0.5 </w:t>
            </w:r>
            <w:r>
              <w:rPr>
                <w:rFonts w:eastAsia="Times New Roman"/>
                <w:color w:val="000000"/>
                <w:sz w:val="16"/>
                <w:szCs w:val="14"/>
                <w:vertAlign w:val="superscript"/>
              </w:rPr>
              <w:t>a</w:t>
            </w:r>
          </w:p>
        </w:tc>
        <w:tc>
          <w:tcPr>
            <w:tcW w:w="978"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2.4 ± 0.3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2.4 ± 0.2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2.2 ± 0.2 </w:t>
            </w:r>
            <w:r>
              <w:rPr>
                <w:rFonts w:eastAsia="Times New Roman"/>
                <w:color w:val="000000"/>
                <w:sz w:val="16"/>
                <w:szCs w:val="14"/>
                <w:vertAlign w:val="superscript"/>
              </w:rPr>
              <w:t>a</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2.2 ± 0.3 </w:t>
            </w:r>
            <w:r>
              <w:rPr>
                <w:rFonts w:eastAsia="Times New Roman"/>
                <w:color w:val="000000"/>
                <w:sz w:val="16"/>
                <w:szCs w:val="14"/>
                <w:vertAlign w:val="superscript"/>
              </w:rPr>
              <w:t>ab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1.9 ± 0.1 </w:t>
            </w:r>
            <w:r>
              <w:rPr>
                <w:rFonts w:eastAsia="Times New Roman"/>
                <w:color w:val="000000"/>
                <w:sz w:val="16"/>
                <w:szCs w:val="14"/>
                <w:vertAlign w:val="superscript"/>
              </w:rPr>
              <w:t>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1.6 ± 0.2 </w:t>
            </w:r>
            <w:r>
              <w:rPr>
                <w:rFonts w:eastAsia="Times New Roman"/>
                <w:color w:val="000000"/>
                <w:sz w:val="16"/>
                <w:szCs w:val="14"/>
                <w:vertAlign w:val="superscript"/>
              </w:rPr>
              <w:t>ab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1.4 ± 0.3 </w:t>
            </w:r>
            <w:r>
              <w:rPr>
                <w:rFonts w:eastAsia="Times New Roman"/>
                <w:color w:val="000000"/>
                <w:sz w:val="16"/>
                <w:szCs w:val="14"/>
                <w:vertAlign w:val="superscript"/>
              </w:rPr>
              <w:t>ab</w:t>
            </w:r>
          </w:p>
        </w:tc>
        <w:tc>
          <w:tcPr>
            <w:tcW w:w="94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1.4 ± 0.1 </w:t>
            </w:r>
            <w:r>
              <w:rPr>
                <w:rFonts w:eastAsia="Times New Roman"/>
                <w:color w:val="000000"/>
                <w:sz w:val="16"/>
                <w:szCs w:val="14"/>
                <w:vertAlign w:val="superscript"/>
              </w:rPr>
              <w:t>ab</w:t>
            </w:r>
          </w:p>
        </w:tc>
        <w:tc>
          <w:tcPr>
            <w:tcW w:w="1064"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0.8 ± 0.1 </w:t>
            </w:r>
            <w:r>
              <w:rPr>
                <w:rFonts w:eastAsia="Times New Roman"/>
                <w:color w:val="000000"/>
                <w:sz w:val="16"/>
                <w:szCs w:val="14"/>
                <w:vertAlign w:val="superscript"/>
              </w:rPr>
              <w:t>c</w:t>
            </w:r>
          </w:p>
        </w:tc>
        <w:tc>
          <w:tcPr>
            <w:tcW w:w="876"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 ± 0.2 </w:t>
            </w:r>
            <w:r>
              <w:rPr>
                <w:rFonts w:eastAsia="Times New Roman"/>
                <w:color w:val="000000"/>
                <w:sz w:val="16"/>
                <w:szCs w:val="14"/>
                <w:vertAlign w:val="superscript"/>
              </w:rPr>
              <w:t>b</w:t>
            </w:r>
          </w:p>
        </w:tc>
      </w:tr>
      <w:tr>
        <w:trPr>
          <w:trHeight w:val="300"/>
        </w:trPr>
        <w:tc>
          <w:tcPr>
            <w:tcW w:w="1296" w:type="dxa"/>
            <w:tcBorders>
              <w:top w:val="nil"/>
              <w:left w:val="nil"/>
              <w:bottom w:val="nil"/>
              <w:right w:val="nil"/>
            </w:tcBorders>
            <w:shd w:val="clear" w:color="auto" w:fill="auto"/>
            <w:noWrap/>
            <w:vAlign w:val="bottom"/>
            <w:hideMark/>
          </w:tcPr>
          <w:p>
            <w:pPr>
              <w:spacing w:after="0" w:line="360" w:lineRule="auto"/>
              <w:jc w:val="center"/>
              <w:rPr>
                <w:rFonts w:eastAsia="Times New Roman"/>
                <w:b/>
                <w:bCs/>
                <w:color w:val="000000"/>
                <w:sz w:val="18"/>
                <w:szCs w:val="16"/>
              </w:rPr>
            </w:pPr>
            <w:r>
              <w:rPr>
                <w:rFonts w:eastAsia="Times New Roman"/>
                <w:b/>
                <w:bCs/>
                <w:color w:val="000000"/>
                <w:sz w:val="18"/>
                <w:szCs w:val="16"/>
              </w:rPr>
              <w:t>P</w:t>
            </w:r>
          </w:p>
        </w:tc>
        <w:tc>
          <w:tcPr>
            <w:tcW w:w="1044"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10.7 ± 0.8 </w:t>
            </w:r>
            <w:r>
              <w:rPr>
                <w:rFonts w:eastAsia="Times New Roman"/>
                <w:color w:val="000000"/>
                <w:sz w:val="16"/>
                <w:szCs w:val="14"/>
                <w:vertAlign w:val="superscript"/>
              </w:rPr>
              <w:t>abc</w:t>
            </w:r>
          </w:p>
        </w:tc>
        <w:tc>
          <w:tcPr>
            <w:tcW w:w="918"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5.6 ± 0.1 </w:t>
            </w:r>
            <w:r>
              <w:rPr>
                <w:rFonts w:eastAsia="Times New Roman"/>
                <w:color w:val="000000"/>
                <w:sz w:val="16"/>
                <w:szCs w:val="14"/>
                <w:vertAlign w:val="superscript"/>
              </w:rPr>
              <w:t>a</w:t>
            </w:r>
          </w:p>
        </w:tc>
        <w:tc>
          <w:tcPr>
            <w:tcW w:w="978"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2.2 ± 0.3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 ± 0.4 </w:t>
            </w:r>
            <w:r>
              <w:rPr>
                <w:rFonts w:eastAsia="Times New Roman"/>
                <w:color w:val="000000"/>
                <w:sz w:val="16"/>
                <w:szCs w:val="14"/>
                <w:vertAlign w:val="superscript"/>
              </w:rPr>
              <w:t>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2.1 ± 0.2 </w:t>
            </w:r>
            <w:r>
              <w:rPr>
                <w:rFonts w:eastAsia="Times New Roman"/>
                <w:color w:val="000000"/>
                <w:sz w:val="16"/>
                <w:szCs w:val="14"/>
                <w:vertAlign w:val="superscript"/>
              </w:rPr>
              <w:t>a</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2.1 ± 0.1 </w:t>
            </w:r>
            <w:r>
              <w:rPr>
                <w:rFonts w:eastAsia="Times New Roman"/>
                <w:color w:val="000000"/>
                <w:sz w:val="16"/>
                <w:szCs w:val="14"/>
                <w:vertAlign w:val="superscript"/>
              </w:rPr>
              <w:t>ab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1.8 ± 0.2 </w:t>
            </w:r>
            <w:r>
              <w:rPr>
                <w:rFonts w:eastAsia="Times New Roman"/>
                <w:color w:val="000000"/>
                <w:sz w:val="16"/>
                <w:szCs w:val="14"/>
                <w:vertAlign w:val="superscript"/>
              </w:rPr>
              <w:t>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1.7 ± 0.1 </w:t>
            </w:r>
            <w:r>
              <w:rPr>
                <w:rFonts w:eastAsia="Times New Roman"/>
                <w:color w:val="000000"/>
                <w:sz w:val="16"/>
                <w:szCs w:val="14"/>
                <w:vertAlign w:val="superscript"/>
              </w:rPr>
              <w:t>ab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1.6 ± 0.2 </w:t>
            </w:r>
            <w:r>
              <w:rPr>
                <w:rFonts w:eastAsia="Times New Roman"/>
                <w:color w:val="000000"/>
                <w:sz w:val="16"/>
                <w:szCs w:val="14"/>
                <w:vertAlign w:val="superscript"/>
              </w:rPr>
              <w:t>ab</w:t>
            </w:r>
          </w:p>
        </w:tc>
        <w:tc>
          <w:tcPr>
            <w:tcW w:w="94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1.8 ± 0.2 </w:t>
            </w:r>
            <w:r>
              <w:rPr>
                <w:rFonts w:eastAsia="Times New Roman"/>
                <w:color w:val="000000"/>
                <w:sz w:val="16"/>
                <w:szCs w:val="14"/>
                <w:vertAlign w:val="superscript"/>
              </w:rPr>
              <w:t>a</w:t>
            </w:r>
          </w:p>
        </w:tc>
        <w:tc>
          <w:tcPr>
            <w:tcW w:w="1064"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 ± 0.2 </w:t>
            </w:r>
            <w:r>
              <w:rPr>
                <w:rFonts w:eastAsia="Times New Roman"/>
                <w:color w:val="000000"/>
                <w:sz w:val="16"/>
                <w:szCs w:val="14"/>
                <w:vertAlign w:val="superscript"/>
              </w:rPr>
              <w:t>bc</w:t>
            </w:r>
          </w:p>
        </w:tc>
        <w:tc>
          <w:tcPr>
            <w:tcW w:w="876"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0.9 ± 0.1 </w:t>
            </w:r>
            <w:r>
              <w:rPr>
                <w:rFonts w:eastAsia="Times New Roman"/>
                <w:color w:val="000000"/>
                <w:sz w:val="16"/>
                <w:szCs w:val="14"/>
                <w:vertAlign w:val="superscript"/>
              </w:rPr>
              <w:t>b</w:t>
            </w:r>
          </w:p>
        </w:tc>
      </w:tr>
      <w:tr>
        <w:trPr>
          <w:trHeight w:val="300"/>
        </w:trPr>
        <w:tc>
          <w:tcPr>
            <w:tcW w:w="1296" w:type="dxa"/>
            <w:tcBorders>
              <w:top w:val="nil"/>
              <w:left w:val="nil"/>
              <w:bottom w:val="nil"/>
              <w:right w:val="nil"/>
            </w:tcBorders>
            <w:shd w:val="clear" w:color="auto" w:fill="auto"/>
            <w:noWrap/>
            <w:vAlign w:val="bottom"/>
            <w:hideMark/>
          </w:tcPr>
          <w:p>
            <w:pPr>
              <w:spacing w:after="0" w:line="360" w:lineRule="auto"/>
              <w:jc w:val="center"/>
              <w:rPr>
                <w:rFonts w:eastAsia="Times New Roman"/>
                <w:b/>
                <w:bCs/>
                <w:color w:val="000000"/>
                <w:sz w:val="18"/>
                <w:szCs w:val="16"/>
              </w:rPr>
            </w:pPr>
            <w:r>
              <w:rPr>
                <w:rFonts w:eastAsia="Times New Roman"/>
                <w:b/>
                <w:bCs/>
                <w:color w:val="000000"/>
                <w:sz w:val="18"/>
                <w:szCs w:val="16"/>
              </w:rPr>
              <w:t>PB10</w:t>
            </w:r>
          </w:p>
        </w:tc>
        <w:tc>
          <w:tcPr>
            <w:tcW w:w="1044"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10.7 ± 1.8 </w:t>
            </w:r>
            <w:r>
              <w:rPr>
                <w:rFonts w:eastAsia="Times New Roman"/>
                <w:color w:val="000000"/>
                <w:sz w:val="16"/>
                <w:szCs w:val="14"/>
                <w:vertAlign w:val="superscript"/>
              </w:rPr>
              <w:t>abc</w:t>
            </w:r>
          </w:p>
        </w:tc>
        <w:tc>
          <w:tcPr>
            <w:tcW w:w="918"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5.7 ± 0.8 </w:t>
            </w:r>
            <w:r>
              <w:rPr>
                <w:rFonts w:eastAsia="Times New Roman"/>
                <w:color w:val="000000"/>
                <w:sz w:val="16"/>
                <w:szCs w:val="14"/>
                <w:vertAlign w:val="superscript"/>
              </w:rPr>
              <w:t>a</w:t>
            </w:r>
          </w:p>
        </w:tc>
        <w:tc>
          <w:tcPr>
            <w:tcW w:w="978"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2.2 ± 0.6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2.4 ± 0.3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2.2 ± 0.3 </w:t>
            </w:r>
            <w:r>
              <w:rPr>
                <w:rFonts w:eastAsia="Times New Roman"/>
                <w:color w:val="000000"/>
                <w:sz w:val="16"/>
                <w:szCs w:val="14"/>
                <w:vertAlign w:val="superscript"/>
              </w:rPr>
              <w:t>a</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 ± 0.4 </w:t>
            </w:r>
            <w:r>
              <w:rPr>
                <w:rFonts w:eastAsia="Times New Roman"/>
                <w:color w:val="000000"/>
                <w:sz w:val="16"/>
                <w:szCs w:val="14"/>
                <w:vertAlign w:val="superscript"/>
              </w:rPr>
              <w:t>bc</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1.8 ± 0.1 </w:t>
            </w:r>
            <w:r>
              <w:rPr>
                <w:rFonts w:eastAsia="Times New Roman"/>
                <w:color w:val="000000"/>
                <w:sz w:val="16"/>
                <w:szCs w:val="14"/>
                <w:vertAlign w:val="superscript"/>
              </w:rPr>
              <w:t>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1.8 ± 0.2 </w:t>
            </w:r>
            <w:r>
              <w:rPr>
                <w:rFonts w:eastAsia="Times New Roman"/>
                <w:color w:val="000000"/>
                <w:sz w:val="16"/>
                <w:szCs w:val="14"/>
                <w:vertAlign w:val="superscript"/>
              </w:rPr>
              <w:t>a</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1.4 ± 0.4 </w:t>
            </w:r>
            <w:r>
              <w:rPr>
                <w:rFonts w:eastAsia="Times New Roman"/>
                <w:color w:val="000000"/>
                <w:sz w:val="16"/>
                <w:szCs w:val="14"/>
                <w:vertAlign w:val="superscript"/>
              </w:rPr>
              <w:t>ab</w:t>
            </w:r>
          </w:p>
        </w:tc>
        <w:tc>
          <w:tcPr>
            <w:tcW w:w="94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1.5 ± 0.5 </w:t>
            </w:r>
            <w:r>
              <w:rPr>
                <w:rFonts w:eastAsia="Times New Roman"/>
                <w:color w:val="000000"/>
                <w:sz w:val="16"/>
                <w:szCs w:val="14"/>
                <w:vertAlign w:val="superscript"/>
              </w:rPr>
              <w:t>a</w:t>
            </w:r>
          </w:p>
        </w:tc>
        <w:tc>
          <w:tcPr>
            <w:tcW w:w="1064"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0.8 ± 0.1 </w:t>
            </w:r>
            <w:r>
              <w:rPr>
                <w:rFonts w:eastAsia="Times New Roman"/>
                <w:color w:val="000000"/>
                <w:sz w:val="16"/>
                <w:szCs w:val="14"/>
                <w:vertAlign w:val="superscript"/>
              </w:rPr>
              <w:t>c</w:t>
            </w:r>
          </w:p>
        </w:tc>
        <w:tc>
          <w:tcPr>
            <w:tcW w:w="876"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 ± 0.2 </w:t>
            </w:r>
            <w:r>
              <w:rPr>
                <w:rFonts w:eastAsia="Times New Roman"/>
                <w:color w:val="000000"/>
                <w:sz w:val="16"/>
                <w:szCs w:val="14"/>
                <w:vertAlign w:val="superscript"/>
              </w:rPr>
              <w:t>b</w:t>
            </w:r>
          </w:p>
        </w:tc>
      </w:tr>
      <w:tr>
        <w:trPr>
          <w:trHeight w:val="300"/>
        </w:trPr>
        <w:tc>
          <w:tcPr>
            <w:tcW w:w="1296" w:type="dxa"/>
            <w:tcBorders>
              <w:top w:val="nil"/>
              <w:left w:val="nil"/>
              <w:bottom w:val="nil"/>
              <w:right w:val="nil"/>
            </w:tcBorders>
            <w:shd w:val="clear" w:color="auto" w:fill="auto"/>
            <w:noWrap/>
            <w:vAlign w:val="bottom"/>
            <w:hideMark/>
          </w:tcPr>
          <w:p>
            <w:pPr>
              <w:spacing w:after="0" w:line="360" w:lineRule="auto"/>
              <w:jc w:val="center"/>
              <w:rPr>
                <w:rFonts w:eastAsia="Times New Roman"/>
                <w:b/>
                <w:bCs/>
                <w:color w:val="000000"/>
                <w:sz w:val="18"/>
                <w:szCs w:val="16"/>
              </w:rPr>
            </w:pPr>
            <w:r>
              <w:rPr>
                <w:rFonts w:eastAsia="Times New Roman"/>
                <w:b/>
                <w:bCs/>
                <w:color w:val="000000"/>
                <w:sz w:val="18"/>
                <w:szCs w:val="16"/>
              </w:rPr>
              <w:t>PB20</w:t>
            </w:r>
          </w:p>
        </w:tc>
        <w:tc>
          <w:tcPr>
            <w:tcW w:w="1044"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10.3 ± 1.9 </w:t>
            </w:r>
            <w:r>
              <w:rPr>
                <w:rFonts w:eastAsia="Times New Roman"/>
                <w:color w:val="000000"/>
                <w:sz w:val="16"/>
                <w:szCs w:val="14"/>
                <w:vertAlign w:val="superscript"/>
              </w:rPr>
              <w:t>abc</w:t>
            </w:r>
          </w:p>
        </w:tc>
        <w:tc>
          <w:tcPr>
            <w:tcW w:w="918"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6.5 ± 0.8 </w:t>
            </w:r>
            <w:r>
              <w:rPr>
                <w:rFonts w:eastAsia="Times New Roman"/>
                <w:color w:val="000000"/>
                <w:sz w:val="16"/>
                <w:szCs w:val="14"/>
                <w:vertAlign w:val="superscript"/>
              </w:rPr>
              <w:t>a</w:t>
            </w:r>
          </w:p>
        </w:tc>
        <w:tc>
          <w:tcPr>
            <w:tcW w:w="978"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2.5 ± 0.6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2.5 ± 0.1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2.3 ± 0.3 </w:t>
            </w:r>
            <w:r>
              <w:rPr>
                <w:rFonts w:eastAsia="Times New Roman"/>
                <w:color w:val="000000"/>
                <w:sz w:val="16"/>
                <w:szCs w:val="14"/>
                <w:vertAlign w:val="superscript"/>
              </w:rPr>
              <w:t>a</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2.1 ± 0.4 </w:t>
            </w:r>
            <w:r>
              <w:rPr>
                <w:rFonts w:eastAsia="Times New Roman"/>
                <w:color w:val="000000"/>
                <w:sz w:val="16"/>
                <w:szCs w:val="14"/>
                <w:vertAlign w:val="superscript"/>
              </w:rPr>
              <w:t>ab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1.8 ± 0.2 </w:t>
            </w:r>
            <w:r>
              <w:rPr>
                <w:rFonts w:eastAsia="Times New Roman"/>
                <w:color w:val="000000"/>
                <w:sz w:val="16"/>
                <w:szCs w:val="14"/>
                <w:vertAlign w:val="superscript"/>
              </w:rPr>
              <w:t>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1.6 ± 0.3 </w:t>
            </w:r>
            <w:r>
              <w:rPr>
                <w:rFonts w:eastAsia="Times New Roman"/>
                <w:color w:val="000000"/>
                <w:sz w:val="16"/>
                <w:szCs w:val="14"/>
                <w:vertAlign w:val="superscript"/>
              </w:rPr>
              <w:t>ab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1.5 ± 0.2 </w:t>
            </w:r>
            <w:r>
              <w:rPr>
                <w:rFonts w:eastAsia="Times New Roman"/>
                <w:color w:val="000000"/>
                <w:sz w:val="16"/>
                <w:szCs w:val="14"/>
                <w:vertAlign w:val="superscript"/>
              </w:rPr>
              <w:t>ab</w:t>
            </w:r>
          </w:p>
        </w:tc>
        <w:tc>
          <w:tcPr>
            <w:tcW w:w="94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1.6 ± 0.6 </w:t>
            </w:r>
            <w:r>
              <w:rPr>
                <w:rFonts w:eastAsia="Times New Roman"/>
                <w:color w:val="000000"/>
                <w:sz w:val="16"/>
                <w:szCs w:val="14"/>
                <w:vertAlign w:val="superscript"/>
              </w:rPr>
              <w:t>a</w:t>
            </w:r>
          </w:p>
        </w:tc>
        <w:tc>
          <w:tcPr>
            <w:tcW w:w="1064"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1.2 ± 0.3 </w:t>
            </w:r>
            <w:r>
              <w:rPr>
                <w:rFonts w:eastAsia="Times New Roman"/>
                <w:color w:val="000000"/>
                <w:sz w:val="16"/>
                <w:szCs w:val="14"/>
                <w:vertAlign w:val="superscript"/>
              </w:rPr>
              <w:t>bc</w:t>
            </w:r>
          </w:p>
        </w:tc>
        <w:tc>
          <w:tcPr>
            <w:tcW w:w="876"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1.1 ± 0.3 </w:t>
            </w:r>
            <w:r>
              <w:rPr>
                <w:rFonts w:eastAsia="Times New Roman"/>
                <w:color w:val="000000"/>
                <w:sz w:val="16"/>
                <w:szCs w:val="14"/>
                <w:vertAlign w:val="superscript"/>
              </w:rPr>
              <w:t>b</w:t>
            </w:r>
          </w:p>
        </w:tc>
      </w:tr>
      <w:tr>
        <w:trPr>
          <w:trHeight w:val="300"/>
        </w:trPr>
        <w:tc>
          <w:tcPr>
            <w:tcW w:w="1296" w:type="dxa"/>
            <w:tcBorders>
              <w:top w:val="nil"/>
              <w:left w:val="nil"/>
              <w:bottom w:val="nil"/>
              <w:right w:val="nil"/>
            </w:tcBorders>
            <w:shd w:val="clear" w:color="auto" w:fill="auto"/>
            <w:noWrap/>
            <w:vAlign w:val="bottom"/>
            <w:hideMark/>
          </w:tcPr>
          <w:p>
            <w:pPr>
              <w:spacing w:after="0" w:line="360" w:lineRule="auto"/>
              <w:jc w:val="center"/>
              <w:rPr>
                <w:rFonts w:eastAsia="Times New Roman"/>
                <w:b/>
                <w:bCs/>
                <w:color w:val="000000"/>
                <w:sz w:val="18"/>
                <w:szCs w:val="16"/>
              </w:rPr>
            </w:pPr>
            <w:r>
              <w:rPr>
                <w:rFonts w:eastAsia="Times New Roman"/>
                <w:b/>
                <w:bCs/>
                <w:color w:val="000000"/>
                <w:sz w:val="18"/>
                <w:szCs w:val="16"/>
              </w:rPr>
              <w:t>B</w:t>
            </w:r>
          </w:p>
        </w:tc>
        <w:tc>
          <w:tcPr>
            <w:tcW w:w="1044"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10.4 ± 1.4 </w:t>
            </w:r>
            <w:r>
              <w:rPr>
                <w:rFonts w:eastAsia="Times New Roman"/>
                <w:color w:val="000000"/>
                <w:sz w:val="16"/>
                <w:szCs w:val="14"/>
                <w:vertAlign w:val="superscript"/>
              </w:rPr>
              <w:t>abc</w:t>
            </w:r>
          </w:p>
        </w:tc>
        <w:tc>
          <w:tcPr>
            <w:tcW w:w="918"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6.1 ± 0.4 </w:t>
            </w:r>
            <w:r>
              <w:rPr>
                <w:rFonts w:eastAsia="Times New Roman"/>
                <w:color w:val="000000"/>
                <w:sz w:val="16"/>
                <w:szCs w:val="14"/>
                <w:vertAlign w:val="superscript"/>
              </w:rPr>
              <w:t>a</w:t>
            </w:r>
          </w:p>
        </w:tc>
        <w:tc>
          <w:tcPr>
            <w:tcW w:w="978"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2.8 ± 0.6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2.4 ± 0.4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2.2 ± 0.3 </w:t>
            </w:r>
            <w:r>
              <w:rPr>
                <w:rFonts w:eastAsia="Times New Roman"/>
                <w:color w:val="000000"/>
                <w:sz w:val="16"/>
                <w:szCs w:val="14"/>
                <w:vertAlign w:val="superscript"/>
              </w:rPr>
              <w:t>a</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 ± 0.3 </w:t>
            </w:r>
            <w:r>
              <w:rPr>
                <w:rFonts w:eastAsia="Times New Roman"/>
                <w:color w:val="000000"/>
                <w:sz w:val="16"/>
                <w:szCs w:val="14"/>
                <w:vertAlign w:val="superscript"/>
              </w:rPr>
              <w:t>abc</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1.8 ± 0.1 </w:t>
            </w:r>
            <w:r>
              <w:rPr>
                <w:rFonts w:eastAsia="Times New Roman"/>
                <w:color w:val="000000"/>
                <w:sz w:val="16"/>
                <w:szCs w:val="14"/>
                <w:vertAlign w:val="superscript"/>
              </w:rPr>
              <w:t>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1.6 ± 0.1 </w:t>
            </w:r>
            <w:r>
              <w:rPr>
                <w:rFonts w:eastAsia="Times New Roman"/>
                <w:color w:val="000000"/>
                <w:sz w:val="16"/>
                <w:szCs w:val="14"/>
                <w:vertAlign w:val="superscript"/>
              </w:rPr>
              <w:t>ab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1.5 ± 0.3 </w:t>
            </w:r>
            <w:r>
              <w:rPr>
                <w:rFonts w:eastAsia="Times New Roman"/>
                <w:color w:val="000000"/>
                <w:sz w:val="16"/>
                <w:szCs w:val="14"/>
                <w:vertAlign w:val="superscript"/>
              </w:rPr>
              <w:t>ab</w:t>
            </w:r>
          </w:p>
        </w:tc>
        <w:tc>
          <w:tcPr>
            <w:tcW w:w="94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1.4 ± 0.3 </w:t>
            </w:r>
            <w:r>
              <w:rPr>
                <w:rFonts w:eastAsia="Times New Roman"/>
                <w:color w:val="000000"/>
                <w:sz w:val="16"/>
                <w:szCs w:val="14"/>
                <w:vertAlign w:val="superscript"/>
              </w:rPr>
              <w:t>ab</w:t>
            </w:r>
          </w:p>
        </w:tc>
        <w:tc>
          <w:tcPr>
            <w:tcW w:w="1064"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1.1 ± 0.3 </w:t>
            </w:r>
            <w:r>
              <w:rPr>
                <w:rFonts w:eastAsia="Times New Roman"/>
                <w:color w:val="000000"/>
                <w:sz w:val="16"/>
                <w:szCs w:val="14"/>
                <w:vertAlign w:val="superscript"/>
              </w:rPr>
              <w:t>bc</w:t>
            </w:r>
          </w:p>
        </w:tc>
        <w:tc>
          <w:tcPr>
            <w:tcW w:w="876"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 ± 0.2 </w:t>
            </w:r>
            <w:r>
              <w:rPr>
                <w:rFonts w:eastAsia="Times New Roman"/>
                <w:color w:val="000000"/>
                <w:sz w:val="16"/>
                <w:szCs w:val="14"/>
                <w:vertAlign w:val="superscript"/>
              </w:rPr>
              <w:t>b</w:t>
            </w:r>
          </w:p>
        </w:tc>
      </w:tr>
      <w:tr>
        <w:trPr>
          <w:trHeight w:val="300"/>
        </w:trPr>
        <w:tc>
          <w:tcPr>
            <w:tcW w:w="1296" w:type="dxa"/>
            <w:tcBorders>
              <w:top w:val="nil"/>
              <w:left w:val="nil"/>
              <w:bottom w:val="nil"/>
              <w:right w:val="nil"/>
            </w:tcBorders>
            <w:shd w:val="clear" w:color="auto" w:fill="auto"/>
            <w:noWrap/>
            <w:vAlign w:val="bottom"/>
            <w:hideMark/>
          </w:tcPr>
          <w:p>
            <w:pPr>
              <w:spacing w:after="0" w:line="360" w:lineRule="auto"/>
              <w:jc w:val="center"/>
              <w:rPr>
                <w:rFonts w:eastAsia="Times New Roman"/>
                <w:b/>
                <w:bCs/>
                <w:color w:val="000000"/>
                <w:sz w:val="18"/>
                <w:szCs w:val="16"/>
              </w:rPr>
            </w:pPr>
            <w:r>
              <w:rPr>
                <w:rFonts w:eastAsia="Times New Roman"/>
                <w:b/>
                <w:bCs/>
                <w:color w:val="000000"/>
                <w:sz w:val="18"/>
                <w:szCs w:val="16"/>
              </w:rPr>
              <w:t>PB10N</w:t>
            </w:r>
          </w:p>
        </w:tc>
        <w:tc>
          <w:tcPr>
            <w:tcW w:w="1044"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11.6 ± 0.2 </w:t>
            </w:r>
            <w:r>
              <w:rPr>
                <w:rFonts w:eastAsia="Times New Roman"/>
                <w:color w:val="000000"/>
                <w:sz w:val="16"/>
                <w:szCs w:val="14"/>
                <w:vertAlign w:val="superscript"/>
              </w:rPr>
              <w:t>ab</w:t>
            </w:r>
          </w:p>
        </w:tc>
        <w:tc>
          <w:tcPr>
            <w:tcW w:w="918"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6.2 ± 0.3 </w:t>
            </w:r>
            <w:r>
              <w:rPr>
                <w:rFonts w:eastAsia="Times New Roman"/>
                <w:color w:val="000000"/>
                <w:sz w:val="16"/>
                <w:szCs w:val="14"/>
                <w:vertAlign w:val="superscript"/>
              </w:rPr>
              <w:t>a</w:t>
            </w:r>
          </w:p>
        </w:tc>
        <w:tc>
          <w:tcPr>
            <w:tcW w:w="978"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2.1 ± 0.3 </w:t>
            </w:r>
            <w:r>
              <w:rPr>
                <w:rFonts w:eastAsia="Times New Roman"/>
                <w:color w:val="000000"/>
                <w:sz w:val="16"/>
                <w:szCs w:val="14"/>
                <w:vertAlign w:val="superscript"/>
              </w:rPr>
              <w:t>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2.2 ± 0.2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2.1 ± 0.2 </w:t>
            </w:r>
            <w:r>
              <w:rPr>
                <w:rFonts w:eastAsia="Times New Roman"/>
                <w:color w:val="000000"/>
                <w:sz w:val="16"/>
                <w:szCs w:val="14"/>
                <w:vertAlign w:val="superscript"/>
              </w:rPr>
              <w:t>a</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2.2 ± 0.1 </w:t>
            </w:r>
            <w:r>
              <w:rPr>
                <w:rFonts w:eastAsia="Times New Roman"/>
                <w:color w:val="000000"/>
                <w:sz w:val="16"/>
                <w:szCs w:val="14"/>
                <w:vertAlign w:val="superscript"/>
              </w:rPr>
              <w:t>ab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1.6 ± 0.1 </w:t>
            </w:r>
            <w:r>
              <w:rPr>
                <w:rFonts w:eastAsia="Times New Roman"/>
                <w:color w:val="000000"/>
                <w:sz w:val="16"/>
                <w:szCs w:val="14"/>
                <w:vertAlign w:val="superscript"/>
              </w:rPr>
              <w:t>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1.6 ± 0.2 </w:t>
            </w:r>
            <w:r>
              <w:rPr>
                <w:rFonts w:eastAsia="Times New Roman"/>
                <w:color w:val="000000"/>
                <w:sz w:val="16"/>
                <w:szCs w:val="14"/>
                <w:vertAlign w:val="superscript"/>
              </w:rPr>
              <w:t>ab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1.3 ± 0.1 </w:t>
            </w:r>
            <w:r>
              <w:rPr>
                <w:rFonts w:eastAsia="Times New Roman"/>
                <w:color w:val="000000"/>
                <w:sz w:val="16"/>
                <w:szCs w:val="14"/>
                <w:vertAlign w:val="superscript"/>
              </w:rPr>
              <w:t>b</w:t>
            </w:r>
          </w:p>
        </w:tc>
        <w:tc>
          <w:tcPr>
            <w:tcW w:w="94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1.5 ± 0.1 </w:t>
            </w:r>
            <w:r>
              <w:rPr>
                <w:rFonts w:eastAsia="Times New Roman"/>
                <w:color w:val="000000"/>
                <w:sz w:val="16"/>
                <w:szCs w:val="14"/>
                <w:vertAlign w:val="superscript"/>
              </w:rPr>
              <w:t>a</w:t>
            </w:r>
          </w:p>
        </w:tc>
        <w:tc>
          <w:tcPr>
            <w:tcW w:w="1064"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 ± 0 </w:t>
            </w:r>
            <w:r>
              <w:rPr>
                <w:rFonts w:eastAsia="Times New Roman"/>
                <w:color w:val="000000"/>
                <w:sz w:val="16"/>
                <w:szCs w:val="14"/>
                <w:vertAlign w:val="superscript"/>
              </w:rPr>
              <w:t>bc</w:t>
            </w:r>
          </w:p>
        </w:tc>
        <w:tc>
          <w:tcPr>
            <w:tcW w:w="876"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0.9 ± 0.1 </w:t>
            </w:r>
            <w:r>
              <w:rPr>
                <w:rFonts w:eastAsia="Times New Roman"/>
                <w:color w:val="000000"/>
                <w:sz w:val="16"/>
                <w:szCs w:val="14"/>
                <w:vertAlign w:val="superscript"/>
              </w:rPr>
              <w:t>b</w:t>
            </w:r>
          </w:p>
        </w:tc>
      </w:tr>
      <w:tr>
        <w:trPr>
          <w:trHeight w:val="300"/>
        </w:trPr>
        <w:tc>
          <w:tcPr>
            <w:tcW w:w="1296" w:type="dxa"/>
            <w:tcBorders>
              <w:top w:val="nil"/>
              <w:left w:val="nil"/>
              <w:bottom w:val="nil"/>
              <w:right w:val="nil"/>
            </w:tcBorders>
            <w:shd w:val="clear" w:color="auto" w:fill="auto"/>
            <w:noWrap/>
            <w:vAlign w:val="bottom"/>
            <w:hideMark/>
          </w:tcPr>
          <w:p>
            <w:pPr>
              <w:spacing w:after="0" w:line="360" w:lineRule="auto"/>
              <w:jc w:val="center"/>
              <w:rPr>
                <w:rFonts w:eastAsia="Times New Roman"/>
                <w:b/>
                <w:bCs/>
                <w:color w:val="000000"/>
                <w:sz w:val="18"/>
                <w:szCs w:val="16"/>
              </w:rPr>
            </w:pPr>
            <w:r>
              <w:rPr>
                <w:rFonts w:eastAsia="Times New Roman"/>
                <w:b/>
                <w:bCs/>
                <w:color w:val="000000"/>
                <w:sz w:val="18"/>
                <w:szCs w:val="16"/>
              </w:rPr>
              <w:t>PB20N</w:t>
            </w:r>
          </w:p>
        </w:tc>
        <w:tc>
          <w:tcPr>
            <w:tcW w:w="1044"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10.8 ± 1 </w:t>
            </w:r>
            <w:r>
              <w:rPr>
                <w:rFonts w:eastAsia="Times New Roman"/>
                <w:color w:val="000000"/>
                <w:sz w:val="16"/>
                <w:szCs w:val="14"/>
                <w:vertAlign w:val="superscript"/>
              </w:rPr>
              <w:t>abc</w:t>
            </w:r>
          </w:p>
        </w:tc>
        <w:tc>
          <w:tcPr>
            <w:tcW w:w="918"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6.2 ± 0.3 </w:t>
            </w:r>
            <w:r>
              <w:rPr>
                <w:rFonts w:eastAsia="Times New Roman"/>
                <w:color w:val="000000"/>
                <w:sz w:val="16"/>
                <w:szCs w:val="14"/>
                <w:vertAlign w:val="superscript"/>
              </w:rPr>
              <w:t>a</w:t>
            </w:r>
          </w:p>
        </w:tc>
        <w:tc>
          <w:tcPr>
            <w:tcW w:w="978"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2.4 ± 0.4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2.4 ± 0.2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2.1 ± 0.2 </w:t>
            </w:r>
            <w:r>
              <w:rPr>
                <w:rFonts w:eastAsia="Times New Roman"/>
                <w:color w:val="000000"/>
                <w:sz w:val="16"/>
                <w:szCs w:val="14"/>
                <w:vertAlign w:val="superscript"/>
              </w:rPr>
              <w:t>a</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2.1 ± 0.3 </w:t>
            </w:r>
            <w:r>
              <w:rPr>
                <w:rFonts w:eastAsia="Times New Roman"/>
                <w:color w:val="000000"/>
                <w:sz w:val="16"/>
                <w:szCs w:val="14"/>
                <w:vertAlign w:val="superscript"/>
              </w:rPr>
              <w:t>ab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1.8 ± 0.2 </w:t>
            </w:r>
            <w:r>
              <w:rPr>
                <w:rFonts w:eastAsia="Times New Roman"/>
                <w:color w:val="000000"/>
                <w:sz w:val="16"/>
                <w:szCs w:val="14"/>
                <w:vertAlign w:val="superscript"/>
              </w:rPr>
              <w:t>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1.6 ± 0.1 </w:t>
            </w:r>
            <w:r>
              <w:rPr>
                <w:rFonts w:eastAsia="Times New Roman"/>
                <w:color w:val="000000"/>
                <w:sz w:val="16"/>
                <w:szCs w:val="14"/>
                <w:vertAlign w:val="superscript"/>
              </w:rPr>
              <w:t>ab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1.4 ± 0.2 </w:t>
            </w:r>
            <w:r>
              <w:rPr>
                <w:rFonts w:eastAsia="Times New Roman"/>
                <w:color w:val="000000"/>
                <w:sz w:val="16"/>
                <w:szCs w:val="14"/>
                <w:vertAlign w:val="superscript"/>
              </w:rPr>
              <w:t>ab</w:t>
            </w:r>
          </w:p>
        </w:tc>
        <w:tc>
          <w:tcPr>
            <w:tcW w:w="94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1.5 ± 0.2 </w:t>
            </w:r>
            <w:r>
              <w:rPr>
                <w:rFonts w:eastAsia="Times New Roman"/>
                <w:color w:val="000000"/>
                <w:sz w:val="16"/>
                <w:szCs w:val="14"/>
                <w:vertAlign w:val="superscript"/>
              </w:rPr>
              <w:t>a</w:t>
            </w:r>
          </w:p>
        </w:tc>
        <w:tc>
          <w:tcPr>
            <w:tcW w:w="1064"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1.4 ± 0.1 </w:t>
            </w:r>
            <w:r>
              <w:rPr>
                <w:rFonts w:eastAsia="Times New Roman"/>
                <w:color w:val="000000"/>
                <w:sz w:val="16"/>
                <w:szCs w:val="14"/>
                <w:vertAlign w:val="superscript"/>
              </w:rPr>
              <w:t>abc</w:t>
            </w:r>
          </w:p>
        </w:tc>
        <w:tc>
          <w:tcPr>
            <w:tcW w:w="876"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 ± 0.2 </w:t>
            </w:r>
            <w:r>
              <w:rPr>
                <w:rFonts w:eastAsia="Times New Roman"/>
                <w:color w:val="000000"/>
                <w:sz w:val="16"/>
                <w:szCs w:val="14"/>
                <w:vertAlign w:val="superscript"/>
              </w:rPr>
              <w:t>b</w:t>
            </w:r>
          </w:p>
        </w:tc>
      </w:tr>
      <w:tr>
        <w:trPr>
          <w:trHeight w:val="300"/>
        </w:trPr>
        <w:tc>
          <w:tcPr>
            <w:tcW w:w="1296" w:type="dxa"/>
            <w:tcBorders>
              <w:top w:val="nil"/>
              <w:left w:val="nil"/>
              <w:bottom w:val="nil"/>
              <w:right w:val="nil"/>
            </w:tcBorders>
            <w:shd w:val="clear" w:color="auto" w:fill="auto"/>
            <w:noWrap/>
            <w:vAlign w:val="bottom"/>
            <w:hideMark/>
          </w:tcPr>
          <w:p>
            <w:pPr>
              <w:spacing w:after="0" w:line="360" w:lineRule="auto"/>
              <w:jc w:val="center"/>
              <w:rPr>
                <w:rFonts w:eastAsia="Times New Roman"/>
                <w:b/>
                <w:bCs/>
                <w:color w:val="000000"/>
                <w:sz w:val="18"/>
                <w:szCs w:val="16"/>
              </w:rPr>
            </w:pPr>
            <w:r>
              <w:rPr>
                <w:rFonts w:eastAsia="Times New Roman"/>
                <w:b/>
                <w:bCs/>
                <w:color w:val="000000"/>
                <w:sz w:val="18"/>
                <w:szCs w:val="16"/>
              </w:rPr>
              <w:t>PB10_MF140</w:t>
            </w:r>
          </w:p>
        </w:tc>
        <w:tc>
          <w:tcPr>
            <w:tcW w:w="1044"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10.9 ± 0.8 </w:t>
            </w:r>
            <w:r>
              <w:rPr>
                <w:rFonts w:eastAsia="Times New Roman"/>
                <w:color w:val="000000"/>
                <w:sz w:val="16"/>
                <w:szCs w:val="14"/>
                <w:vertAlign w:val="superscript"/>
              </w:rPr>
              <w:t>ab</w:t>
            </w:r>
          </w:p>
        </w:tc>
        <w:tc>
          <w:tcPr>
            <w:tcW w:w="918"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6 ± 0.3 </w:t>
            </w:r>
            <w:r>
              <w:rPr>
                <w:rFonts w:eastAsia="Times New Roman"/>
                <w:color w:val="000000"/>
                <w:sz w:val="16"/>
                <w:szCs w:val="14"/>
                <w:vertAlign w:val="superscript"/>
              </w:rPr>
              <w:t>a</w:t>
            </w:r>
          </w:p>
        </w:tc>
        <w:tc>
          <w:tcPr>
            <w:tcW w:w="978"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2.1 ± 0.3 </w:t>
            </w:r>
            <w:r>
              <w:rPr>
                <w:rFonts w:eastAsia="Times New Roman"/>
                <w:color w:val="000000"/>
                <w:sz w:val="16"/>
                <w:szCs w:val="14"/>
                <w:vertAlign w:val="superscript"/>
              </w:rPr>
              <w:t>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2.3 ± 0.2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2.2 ± 0.1 </w:t>
            </w:r>
            <w:r>
              <w:rPr>
                <w:rFonts w:eastAsia="Times New Roman"/>
                <w:color w:val="000000"/>
                <w:sz w:val="16"/>
                <w:szCs w:val="14"/>
                <w:vertAlign w:val="superscript"/>
              </w:rPr>
              <w:t>a</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2.2 ± 0.3 </w:t>
            </w:r>
            <w:r>
              <w:rPr>
                <w:rFonts w:eastAsia="Times New Roman"/>
                <w:color w:val="000000"/>
                <w:sz w:val="16"/>
                <w:szCs w:val="14"/>
                <w:vertAlign w:val="superscript"/>
              </w:rPr>
              <w:t>ab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1.9 ± 0.3 </w:t>
            </w:r>
            <w:r>
              <w:rPr>
                <w:rFonts w:eastAsia="Times New Roman"/>
                <w:color w:val="000000"/>
                <w:sz w:val="16"/>
                <w:szCs w:val="14"/>
                <w:vertAlign w:val="superscript"/>
              </w:rPr>
              <w:t>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1.6 ± 0.3 </w:t>
            </w:r>
            <w:r>
              <w:rPr>
                <w:rFonts w:eastAsia="Times New Roman"/>
                <w:color w:val="000000"/>
                <w:sz w:val="16"/>
                <w:szCs w:val="14"/>
                <w:vertAlign w:val="superscript"/>
              </w:rPr>
              <w:t>ab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1.3 ± 0.3 </w:t>
            </w:r>
            <w:r>
              <w:rPr>
                <w:rFonts w:eastAsia="Times New Roman"/>
                <w:color w:val="000000"/>
                <w:sz w:val="16"/>
                <w:szCs w:val="14"/>
                <w:vertAlign w:val="superscript"/>
              </w:rPr>
              <w:t>b</w:t>
            </w:r>
          </w:p>
        </w:tc>
        <w:tc>
          <w:tcPr>
            <w:tcW w:w="94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1.6 ± 0 </w:t>
            </w:r>
            <w:r>
              <w:rPr>
                <w:rFonts w:eastAsia="Times New Roman"/>
                <w:color w:val="000000"/>
                <w:sz w:val="16"/>
                <w:szCs w:val="14"/>
                <w:vertAlign w:val="superscript"/>
              </w:rPr>
              <w:t>a</w:t>
            </w:r>
          </w:p>
        </w:tc>
        <w:tc>
          <w:tcPr>
            <w:tcW w:w="1064"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 ± 0.2 </w:t>
            </w:r>
            <w:r>
              <w:rPr>
                <w:rFonts w:eastAsia="Times New Roman"/>
                <w:color w:val="000000"/>
                <w:sz w:val="16"/>
                <w:szCs w:val="14"/>
                <w:vertAlign w:val="superscript"/>
              </w:rPr>
              <w:t>bc</w:t>
            </w:r>
          </w:p>
        </w:tc>
        <w:tc>
          <w:tcPr>
            <w:tcW w:w="876"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0.9 ± 0.1 </w:t>
            </w:r>
            <w:r>
              <w:rPr>
                <w:rFonts w:eastAsia="Times New Roman"/>
                <w:color w:val="000000"/>
                <w:sz w:val="16"/>
                <w:szCs w:val="14"/>
                <w:vertAlign w:val="superscript"/>
              </w:rPr>
              <w:t>b</w:t>
            </w:r>
          </w:p>
        </w:tc>
      </w:tr>
      <w:tr>
        <w:trPr>
          <w:trHeight w:val="300"/>
        </w:trPr>
        <w:tc>
          <w:tcPr>
            <w:tcW w:w="1296" w:type="dxa"/>
            <w:tcBorders>
              <w:top w:val="nil"/>
              <w:left w:val="nil"/>
              <w:bottom w:val="nil"/>
              <w:right w:val="nil"/>
            </w:tcBorders>
            <w:shd w:val="clear" w:color="auto" w:fill="auto"/>
            <w:noWrap/>
            <w:vAlign w:val="bottom"/>
            <w:hideMark/>
          </w:tcPr>
          <w:p>
            <w:pPr>
              <w:spacing w:after="0" w:line="360" w:lineRule="auto"/>
              <w:jc w:val="center"/>
              <w:rPr>
                <w:rFonts w:eastAsia="Times New Roman"/>
                <w:b/>
                <w:bCs/>
                <w:color w:val="000000"/>
                <w:sz w:val="18"/>
                <w:szCs w:val="16"/>
              </w:rPr>
            </w:pPr>
            <w:r>
              <w:rPr>
                <w:rFonts w:eastAsia="Times New Roman"/>
                <w:b/>
                <w:bCs/>
                <w:color w:val="000000"/>
                <w:sz w:val="18"/>
                <w:szCs w:val="16"/>
              </w:rPr>
              <w:t>PB20_MF140</w:t>
            </w:r>
          </w:p>
        </w:tc>
        <w:tc>
          <w:tcPr>
            <w:tcW w:w="1044"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9.6 ± 0.9 </w:t>
            </w:r>
            <w:r>
              <w:rPr>
                <w:rFonts w:eastAsia="Times New Roman"/>
                <w:color w:val="000000"/>
                <w:sz w:val="16"/>
                <w:szCs w:val="14"/>
                <w:vertAlign w:val="superscript"/>
              </w:rPr>
              <w:t>bc</w:t>
            </w:r>
          </w:p>
        </w:tc>
        <w:tc>
          <w:tcPr>
            <w:tcW w:w="918"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6.1 ± 0.5 </w:t>
            </w:r>
            <w:r>
              <w:rPr>
                <w:rFonts w:eastAsia="Times New Roman"/>
                <w:color w:val="000000"/>
                <w:sz w:val="16"/>
                <w:szCs w:val="14"/>
                <w:vertAlign w:val="superscript"/>
              </w:rPr>
              <w:t>a</w:t>
            </w:r>
          </w:p>
        </w:tc>
        <w:tc>
          <w:tcPr>
            <w:tcW w:w="978"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2.5 ± 0.2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2.7 ± 0.4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2.3 ± 0.3 </w:t>
            </w:r>
            <w:r>
              <w:rPr>
                <w:rFonts w:eastAsia="Times New Roman"/>
                <w:color w:val="000000"/>
                <w:sz w:val="16"/>
                <w:szCs w:val="14"/>
                <w:vertAlign w:val="superscript"/>
              </w:rPr>
              <w:t>a</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1.9 ± 0.2 </w:t>
            </w:r>
            <w:r>
              <w:rPr>
                <w:rFonts w:eastAsia="Times New Roman"/>
                <w:color w:val="000000"/>
                <w:sz w:val="16"/>
                <w:szCs w:val="14"/>
                <w:vertAlign w:val="superscript"/>
              </w:rPr>
              <w:t>bc</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 ± 0.2 </w:t>
            </w:r>
            <w:r>
              <w:rPr>
                <w:rFonts w:eastAsia="Times New Roman"/>
                <w:color w:val="000000"/>
                <w:sz w:val="16"/>
                <w:szCs w:val="14"/>
                <w:vertAlign w:val="superscript"/>
              </w:rPr>
              <w:t>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1.3 ± 0.1 </w:t>
            </w:r>
            <w:r>
              <w:rPr>
                <w:rFonts w:eastAsia="Times New Roman"/>
                <w:color w:val="000000"/>
                <w:sz w:val="16"/>
                <w:szCs w:val="14"/>
                <w:vertAlign w:val="superscript"/>
              </w:rPr>
              <w:t>bc</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1.7 ± 0.2 </w:t>
            </w:r>
            <w:r>
              <w:rPr>
                <w:rFonts w:eastAsia="Times New Roman"/>
                <w:color w:val="000000"/>
                <w:sz w:val="16"/>
                <w:szCs w:val="14"/>
                <w:vertAlign w:val="superscript"/>
              </w:rPr>
              <w:t>ab</w:t>
            </w:r>
          </w:p>
        </w:tc>
        <w:tc>
          <w:tcPr>
            <w:tcW w:w="94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1.3 ± 0.4 </w:t>
            </w:r>
            <w:r>
              <w:rPr>
                <w:rFonts w:eastAsia="Times New Roman"/>
                <w:color w:val="000000"/>
                <w:sz w:val="16"/>
                <w:szCs w:val="14"/>
                <w:vertAlign w:val="superscript"/>
              </w:rPr>
              <w:t>ab</w:t>
            </w:r>
          </w:p>
        </w:tc>
        <w:tc>
          <w:tcPr>
            <w:tcW w:w="1064"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 ± 0.3 </w:t>
            </w:r>
            <w:r>
              <w:rPr>
                <w:rFonts w:eastAsia="Times New Roman"/>
                <w:color w:val="000000"/>
                <w:sz w:val="16"/>
                <w:szCs w:val="14"/>
                <w:vertAlign w:val="superscript"/>
              </w:rPr>
              <w:t>bc</w:t>
            </w:r>
          </w:p>
        </w:tc>
        <w:tc>
          <w:tcPr>
            <w:tcW w:w="876"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1.1 ± 0.2 </w:t>
            </w:r>
            <w:r>
              <w:rPr>
                <w:rFonts w:eastAsia="Times New Roman"/>
                <w:color w:val="000000"/>
                <w:sz w:val="16"/>
                <w:szCs w:val="14"/>
                <w:vertAlign w:val="superscript"/>
              </w:rPr>
              <w:t>b</w:t>
            </w:r>
          </w:p>
        </w:tc>
      </w:tr>
      <w:tr>
        <w:trPr>
          <w:trHeight w:val="300"/>
        </w:trPr>
        <w:tc>
          <w:tcPr>
            <w:tcW w:w="1296" w:type="dxa"/>
            <w:tcBorders>
              <w:top w:val="nil"/>
              <w:left w:val="nil"/>
              <w:bottom w:val="nil"/>
              <w:right w:val="nil"/>
            </w:tcBorders>
            <w:shd w:val="clear" w:color="auto" w:fill="auto"/>
            <w:noWrap/>
            <w:vAlign w:val="bottom"/>
            <w:hideMark/>
          </w:tcPr>
          <w:p>
            <w:pPr>
              <w:spacing w:after="0" w:line="360" w:lineRule="auto"/>
              <w:jc w:val="center"/>
              <w:rPr>
                <w:rFonts w:eastAsia="Times New Roman"/>
                <w:b/>
                <w:bCs/>
                <w:color w:val="000000"/>
                <w:sz w:val="18"/>
                <w:szCs w:val="16"/>
              </w:rPr>
            </w:pPr>
            <w:r>
              <w:rPr>
                <w:rFonts w:eastAsia="Times New Roman"/>
                <w:b/>
                <w:bCs/>
                <w:color w:val="000000"/>
                <w:sz w:val="18"/>
                <w:szCs w:val="16"/>
              </w:rPr>
              <w:t>B_MF140</w:t>
            </w:r>
          </w:p>
        </w:tc>
        <w:tc>
          <w:tcPr>
            <w:tcW w:w="1044"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12.4 ± 1 </w:t>
            </w:r>
            <w:r>
              <w:rPr>
                <w:rFonts w:eastAsia="Times New Roman"/>
                <w:color w:val="000000"/>
                <w:sz w:val="16"/>
                <w:szCs w:val="14"/>
                <w:vertAlign w:val="superscript"/>
              </w:rPr>
              <w:t>a</w:t>
            </w:r>
          </w:p>
        </w:tc>
        <w:tc>
          <w:tcPr>
            <w:tcW w:w="918"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5.3 ± 0.5 </w:t>
            </w:r>
            <w:r>
              <w:rPr>
                <w:rFonts w:eastAsia="Times New Roman"/>
                <w:color w:val="000000"/>
                <w:sz w:val="16"/>
                <w:szCs w:val="14"/>
                <w:vertAlign w:val="superscript"/>
              </w:rPr>
              <w:t>a</w:t>
            </w:r>
          </w:p>
        </w:tc>
        <w:tc>
          <w:tcPr>
            <w:tcW w:w="978"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2.1 ± 0.4 </w:t>
            </w:r>
            <w:r>
              <w:rPr>
                <w:rFonts w:eastAsia="Times New Roman"/>
                <w:color w:val="000000"/>
                <w:sz w:val="16"/>
                <w:szCs w:val="14"/>
                <w:vertAlign w:val="superscript"/>
              </w:rPr>
              <w:t>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2.3 ± 0.3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2.3 ± 0.2 </w:t>
            </w:r>
            <w:r>
              <w:rPr>
                <w:rFonts w:eastAsia="Times New Roman"/>
                <w:color w:val="000000"/>
                <w:sz w:val="16"/>
                <w:szCs w:val="14"/>
                <w:vertAlign w:val="superscript"/>
              </w:rPr>
              <w:t>a</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2.6 ± 0.3 </w:t>
            </w:r>
            <w:r>
              <w:rPr>
                <w:rFonts w:eastAsia="Times New Roman"/>
                <w:color w:val="000000"/>
                <w:sz w:val="16"/>
                <w:szCs w:val="14"/>
                <w:vertAlign w:val="superscript"/>
              </w:rPr>
              <w:t>a</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1.8 ± 0.2 </w:t>
            </w:r>
            <w:r>
              <w:rPr>
                <w:rFonts w:eastAsia="Times New Roman"/>
                <w:color w:val="000000"/>
                <w:sz w:val="16"/>
                <w:szCs w:val="14"/>
                <w:vertAlign w:val="superscript"/>
              </w:rPr>
              <w:t>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 ± 0.1 </w:t>
            </w:r>
            <w:r>
              <w:rPr>
                <w:rFonts w:eastAsia="Times New Roman"/>
                <w:color w:val="000000"/>
                <w:sz w:val="16"/>
                <w:szCs w:val="14"/>
                <w:vertAlign w:val="superscript"/>
              </w:rPr>
              <w:t>c</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1.2 ± 0.1 </w:t>
            </w:r>
            <w:r>
              <w:rPr>
                <w:rFonts w:eastAsia="Times New Roman"/>
                <w:color w:val="000000"/>
                <w:sz w:val="16"/>
                <w:szCs w:val="14"/>
                <w:vertAlign w:val="superscript"/>
              </w:rPr>
              <w:t>b</w:t>
            </w:r>
          </w:p>
        </w:tc>
        <w:tc>
          <w:tcPr>
            <w:tcW w:w="94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1.6 ± 0.4 </w:t>
            </w:r>
            <w:r>
              <w:rPr>
                <w:rFonts w:eastAsia="Times New Roman"/>
                <w:color w:val="000000"/>
                <w:sz w:val="16"/>
                <w:szCs w:val="14"/>
                <w:vertAlign w:val="superscript"/>
              </w:rPr>
              <w:t>a</w:t>
            </w:r>
          </w:p>
        </w:tc>
        <w:tc>
          <w:tcPr>
            <w:tcW w:w="1064"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1.5 ± 0.2 </w:t>
            </w:r>
            <w:r>
              <w:rPr>
                <w:rFonts w:eastAsia="Times New Roman"/>
                <w:color w:val="000000"/>
                <w:sz w:val="16"/>
                <w:szCs w:val="14"/>
                <w:vertAlign w:val="superscript"/>
              </w:rPr>
              <w:t>ab</w:t>
            </w:r>
          </w:p>
        </w:tc>
        <w:tc>
          <w:tcPr>
            <w:tcW w:w="876"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 ± 0.1 </w:t>
            </w:r>
            <w:r>
              <w:rPr>
                <w:rFonts w:eastAsia="Times New Roman"/>
                <w:color w:val="000000"/>
                <w:sz w:val="16"/>
                <w:szCs w:val="14"/>
                <w:vertAlign w:val="superscript"/>
              </w:rPr>
              <w:t>b</w:t>
            </w:r>
          </w:p>
        </w:tc>
      </w:tr>
      <w:tr>
        <w:trPr>
          <w:trHeight w:val="300"/>
        </w:trPr>
        <w:tc>
          <w:tcPr>
            <w:tcW w:w="1296" w:type="dxa"/>
            <w:tcBorders>
              <w:top w:val="nil"/>
              <w:left w:val="nil"/>
              <w:bottom w:val="nil"/>
              <w:right w:val="nil"/>
            </w:tcBorders>
            <w:shd w:val="clear" w:color="auto" w:fill="auto"/>
            <w:noWrap/>
            <w:vAlign w:val="bottom"/>
            <w:hideMark/>
          </w:tcPr>
          <w:p>
            <w:pPr>
              <w:spacing w:after="0" w:line="360" w:lineRule="auto"/>
              <w:jc w:val="center"/>
              <w:rPr>
                <w:rFonts w:eastAsia="Times New Roman"/>
                <w:b/>
                <w:bCs/>
                <w:color w:val="000000"/>
                <w:sz w:val="18"/>
                <w:szCs w:val="16"/>
              </w:rPr>
            </w:pPr>
            <w:r>
              <w:rPr>
                <w:rFonts w:eastAsia="Times New Roman"/>
                <w:b/>
                <w:bCs/>
                <w:color w:val="000000"/>
                <w:sz w:val="18"/>
                <w:szCs w:val="16"/>
              </w:rPr>
              <w:t>P_MF50</w:t>
            </w:r>
          </w:p>
        </w:tc>
        <w:tc>
          <w:tcPr>
            <w:tcW w:w="1044"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11.3 ± 1 </w:t>
            </w:r>
            <w:r>
              <w:rPr>
                <w:rFonts w:eastAsia="Times New Roman"/>
                <w:color w:val="000000"/>
                <w:sz w:val="16"/>
                <w:szCs w:val="14"/>
                <w:vertAlign w:val="superscript"/>
              </w:rPr>
              <w:t>ab</w:t>
            </w:r>
          </w:p>
        </w:tc>
        <w:tc>
          <w:tcPr>
            <w:tcW w:w="918"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6.1 ± 0.3 </w:t>
            </w:r>
            <w:r>
              <w:rPr>
                <w:rFonts w:eastAsia="Times New Roman"/>
                <w:color w:val="000000"/>
                <w:sz w:val="16"/>
                <w:szCs w:val="14"/>
                <w:vertAlign w:val="superscript"/>
              </w:rPr>
              <w:t>a</w:t>
            </w:r>
          </w:p>
        </w:tc>
        <w:tc>
          <w:tcPr>
            <w:tcW w:w="978"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2.3 ± 0.4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2.2 ± 0.5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2.1 ± 0.2 </w:t>
            </w:r>
            <w:r>
              <w:rPr>
                <w:rFonts w:eastAsia="Times New Roman"/>
                <w:color w:val="000000"/>
                <w:sz w:val="16"/>
                <w:szCs w:val="14"/>
                <w:vertAlign w:val="superscript"/>
              </w:rPr>
              <w:t>a</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2.2 ± 0.2 </w:t>
            </w:r>
            <w:r>
              <w:rPr>
                <w:rFonts w:eastAsia="Times New Roman"/>
                <w:color w:val="000000"/>
                <w:sz w:val="16"/>
                <w:szCs w:val="14"/>
                <w:vertAlign w:val="superscript"/>
              </w:rPr>
              <w:t>ab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1.8 ± 0.2 </w:t>
            </w:r>
            <w:r>
              <w:rPr>
                <w:rFonts w:eastAsia="Times New Roman"/>
                <w:color w:val="000000"/>
                <w:sz w:val="16"/>
                <w:szCs w:val="14"/>
                <w:vertAlign w:val="superscript"/>
              </w:rPr>
              <w:t>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1.7 ± 0.2 </w:t>
            </w:r>
            <w:r>
              <w:rPr>
                <w:rFonts w:eastAsia="Times New Roman"/>
                <w:color w:val="000000"/>
                <w:sz w:val="16"/>
                <w:szCs w:val="14"/>
                <w:vertAlign w:val="superscript"/>
              </w:rPr>
              <w:t>ab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1.4 ± 0.3 </w:t>
            </w:r>
            <w:r>
              <w:rPr>
                <w:rFonts w:eastAsia="Times New Roman"/>
                <w:color w:val="000000"/>
                <w:sz w:val="16"/>
                <w:szCs w:val="14"/>
                <w:vertAlign w:val="superscript"/>
              </w:rPr>
              <w:t>ab</w:t>
            </w:r>
          </w:p>
        </w:tc>
        <w:tc>
          <w:tcPr>
            <w:tcW w:w="94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1.5 ± 0.1 </w:t>
            </w:r>
            <w:r>
              <w:rPr>
                <w:rFonts w:eastAsia="Times New Roman"/>
                <w:color w:val="000000"/>
                <w:sz w:val="16"/>
                <w:szCs w:val="14"/>
                <w:vertAlign w:val="superscript"/>
              </w:rPr>
              <w:t>a</w:t>
            </w:r>
          </w:p>
        </w:tc>
        <w:tc>
          <w:tcPr>
            <w:tcW w:w="1064"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1.2 ± 0.2 </w:t>
            </w:r>
            <w:r>
              <w:rPr>
                <w:rFonts w:eastAsia="Times New Roman"/>
                <w:color w:val="000000"/>
                <w:sz w:val="16"/>
                <w:szCs w:val="14"/>
                <w:vertAlign w:val="superscript"/>
              </w:rPr>
              <w:t>abc</w:t>
            </w:r>
          </w:p>
        </w:tc>
        <w:tc>
          <w:tcPr>
            <w:tcW w:w="876"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 ± 0.1 </w:t>
            </w:r>
            <w:r>
              <w:rPr>
                <w:rFonts w:eastAsia="Times New Roman"/>
                <w:color w:val="000000"/>
                <w:sz w:val="16"/>
                <w:szCs w:val="14"/>
                <w:vertAlign w:val="superscript"/>
              </w:rPr>
              <w:t>b</w:t>
            </w:r>
          </w:p>
        </w:tc>
      </w:tr>
      <w:tr>
        <w:trPr>
          <w:trHeight w:val="300"/>
        </w:trPr>
        <w:tc>
          <w:tcPr>
            <w:tcW w:w="1296" w:type="dxa"/>
            <w:tcBorders>
              <w:top w:val="nil"/>
              <w:left w:val="nil"/>
              <w:bottom w:val="nil"/>
              <w:right w:val="nil"/>
            </w:tcBorders>
            <w:shd w:val="clear" w:color="auto" w:fill="auto"/>
            <w:noWrap/>
            <w:vAlign w:val="bottom"/>
            <w:hideMark/>
          </w:tcPr>
          <w:p>
            <w:pPr>
              <w:spacing w:after="0" w:line="360" w:lineRule="auto"/>
              <w:jc w:val="center"/>
              <w:rPr>
                <w:rFonts w:eastAsia="Times New Roman"/>
                <w:b/>
                <w:bCs/>
                <w:color w:val="000000"/>
                <w:sz w:val="18"/>
                <w:szCs w:val="16"/>
              </w:rPr>
            </w:pPr>
            <w:r>
              <w:rPr>
                <w:rFonts w:eastAsia="Times New Roman"/>
                <w:b/>
                <w:bCs/>
                <w:color w:val="000000"/>
                <w:sz w:val="18"/>
                <w:szCs w:val="16"/>
              </w:rPr>
              <w:t>PB10_MF50</w:t>
            </w:r>
          </w:p>
        </w:tc>
        <w:tc>
          <w:tcPr>
            <w:tcW w:w="1044"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12 ± 0.4 </w:t>
            </w:r>
            <w:r>
              <w:rPr>
                <w:rFonts w:eastAsia="Times New Roman"/>
                <w:color w:val="000000"/>
                <w:sz w:val="16"/>
                <w:szCs w:val="14"/>
                <w:vertAlign w:val="superscript"/>
              </w:rPr>
              <w:t>ab</w:t>
            </w:r>
          </w:p>
        </w:tc>
        <w:tc>
          <w:tcPr>
            <w:tcW w:w="918"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5.8 ± 0.4 </w:t>
            </w:r>
            <w:r>
              <w:rPr>
                <w:rFonts w:eastAsia="Times New Roman"/>
                <w:color w:val="000000"/>
                <w:sz w:val="16"/>
                <w:szCs w:val="14"/>
                <w:vertAlign w:val="superscript"/>
              </w:rPr>
              <w:t>a</w:t>
            </w:r>
          </w:p>
        </w:tc>
        <w:tc>
          <w:tcPr>
            <w:tcW w:w="978"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2.2 ± 0.1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2.3 ± 0.2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2.1 ± 0.2 </w:t>
            </w:r>
            <w:r>
              <w:rPr>
                <w:rFonts w:eastAsia="Times New Roman"/>
                <w:color w:val="000000"/>
                <w:sz w:val="16"/>
                <w:szCs w:val="14"/>
                <w:vertAlign w:val="superscript"/>
              </w:rPr>
              <w:t>a</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2.4 ± 0.2 </w:t>
            </w:r>
            <w:r>
              <w:rPr>
                <w:rFonts w:eastAsia="Times New Roman"/>
                <w:color w:val="000000"/>
                <w:sz w:val="16"/>
                <w:szCs w:val="14"/>
                <w:vertAlign w:val="superscript"/>
              </w:rPr>
              <w:t>ab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1.8 ± 0.2 </w:t>
            </w:r>
            <w:r>
              <w:rPr>
                <w:rFonts w:eastAsia="Times New Roman"/>
                <w:color w:val="000000"/>
                <w:sz w:val="16"/>
                <w:szCs w:val="14"/>
                <w:vertAlign w:val="superscript"/>
              </w:rPr>
              <w:t>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1.5 ± 0.1 </w:t>
            </w:r>
            <w:r>
              <w:rPr>
                <w:rFonts w:eastAsia="Times New Roman"/>
                <w:color w:val="000000"/>
                <w:sz w:val="16"/>
                <w:szCs w:val="14"/>
                <w:vertAlign w:val="superscript"/>
              </w:rPr>
              <w:t>ab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1.2 ± 0.2 </w:t>
            </w:r>
            <w:r>
              <w:rPr>
                <w:rFonts w:eastAsia="Times New Roman"/>
                <w:color w:val="000000"/>
                <w:sz w:val="16"/>
                <w:szCs w:val="14"/>
                <w:vertAlign w:val="superscript"/>
              </w:rPr>
              <w:t>b</w:t>
            </w:r>
          </w:p>
        </w:tc>
        <w:tc>
          <w:tcPr>
            <w:tcW w:w="94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1.6 ± 0.2 </w:t>
            </w:r>
            <w:r>
              <w:rPr>
                <w:rFonts w:eastAsia="Times New Roman"/>
                <w:color w:val="000000"/>
                <w:sz w:val="16"/>
                <w:szCs w:val="14"/>
                <w:vertAlign w:val="superscript"/>
              </w:rPr>
              <w:t>a</w:t>
            </w:r>
          </w:p>
        </w:tc>
        <w:tc>
          <w:tcPr>
            <w:tcW w:w="1064"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1.2 ± 0.2 </w:t>
            </w:r>
            <w:r>
              <w:rPr>
                <w:rFonts w:eastAsia="Times New Roman"/>
                <w:color w:val="000000"/>
                <w:sz w:val="16"/>
                <w:szCs w:val="14"/>
                <w:vertAlign w:val="superscript"/>
              </w:rPr>
              <w:t>bc</w:t>
            </w:r>
          </w:p>
        </w:tc>
        <w:tc>
          <w:tcPr>
            <w:tcW w:w="876"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0.9 ± 0.1 </w:t>
            </w:r>
            <w:r>
              <w:rPr>
                <w:rFonts w:eastAsia="Times New Roman"/>
                <w:color w:val="000000"/>
                <w:sz w:val="16"/>
                <w:szCs w:val="14"/>
                <w:vertAlign w:val="superscript"/>
              </w:rPr>
              <w:t>b</w:t>
            </w:r>
          </w:p>
        </w:tc>
      </w:tr>
      <w:tr>
        <w:trPr>
          <w:trHeight w:val="300"/>
        </w:trPr>
        <w:tc>
          <w:tcPr>
            <w:tcW w:w="1296" w:type="dxa"/>
            <w:tcBorders>
              <w:top w:val="nil"/>
              <w:left w:val="nil"/>
              <w:bottom w:val="nil"/>
              <w:right w:val="nil"/>
            </w:tcBorders>
            <w:shd w:val="clear" w:color="auto" w:fill="auto"/>
            <w:noWrap/>
            <w:vAlign w:val="bottom"/>
            <w:hideMark/>
          </w:tcPr>
          <w:p>
            <w:pPr>
              <w:spacing w:after="0" w:line="360" w:lineRule="auto"/>
              <w:jc w:val="center"/>
              <w:rPr>
                <w:rFonts w:eastAsia="Times New Roman"/>
                <w:b/>
                <w:bCs/>
                <w:color w:val="000000"/>
                <w:sz w:val="18"/>
                <w:szCs w:val="16"/>
              </w:rPr>
            </w:pPr>
            <w:r>
              <w:rPr>
                <w:rFonts w:eastAsia="Times New Roman"/>
                <w:b/>
                <w:bCs/>
                <w:color w:val="000000"/>
                <w:sz w:val="18"/>
                <w:szCs w:val="16"/>
              </w:rPr>
              <w:t>PB20_MF50</w:t>
            </w:r>
          </w:p>
        </w:tc>
        <w:tc>
          <w:tcPr>
            <w:tcW w:w="1044"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10.6 ± 0.9 </w:t>
            </w:r>
            <w:r>
              <w:rPr>
                <w:rFonts w:eastAsia="Times New Roman"/>
                <w:color w:val="000000"/>
                <w:sz w:val="16"/>
                <w:szCs w:val="14"/>
                <w:vertAlign w:val="superscript"/>
              </w:rPr>
              <w:t>abc</w:t>
            </w:r>
          </w:p>
        </w:tc>
        <w:tc>
          <w:tcPr>
            <w:tcW w:w="918"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6.1 ± 0.1 </w:t>
            </w:r>
            <w:r>
              <w:rPr>
                <w:rFonts w:eastAsia="Times New Roman"/>
                <w:color w:val="000000"/>
                <w:sz w:val="16"/>
                <w:szCs w:val="14"/>
                <w:vertAlign w:val="superscript"/>
              </w:rPr>
              <w:t>a</w:t>
            </w:r>
          </w:p>
        </w:tc>
        <w:tc>
          <w:tcPr>
            <w:tcW w:w="978"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2.5 ± 0.2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2.3 ± 0.2 </w:t>
            </w:r>
            <w:r>
              <w:rPr>
                <w:rFonts w:eastAsia="Times New Roman"/>
                <w:color w:val="000000"/>
                <w:sz w:val="16"/>
                <w:szCs w:val="14"/>
                <w:vertAlign w:val="superscript"/>
              </w:rPr>
              <w:t>ab</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2.4 ± 0.2 </w:t>
            </w:r>
            <w:r>
              <w:rPr>
                <w:rFonts w:eastAsia="Times New Roman"/>
                <w:color w:val="000000"/>
                <w:sz w:val="16"/>
                <w:szCs w:val="14"/>
                <w:vertAlign w:val="superscript"/>
              </w:rPr>
              <w:t>a</w:t>
            </w:r>
          </w:p>
        </w:tc>
        <w:tc>
          <w:tcPr>
            <w:tcW w:w="106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2.2 ± 0.2 </w:t>
            </w:r>
            <w:r>
              <w:rPr>
                <w:rFonts w:eastAsia="Times New Roman"/>
                <w:color w:val="000000"/>
                <w:sz w:val="16"/>
                <w:szCs w:val="14"/>
                <w:vertAlign w:val="superscript"/>
              </w:rPr>
              <w:t>ab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 ± 0.3 </w:t>
            </w:r>
            <w:r>
              <w:rPr>
                <w:rFonts w:eastAsia="Times New Roman"/>
                <w:color w:val="000000"/>
                <w:sz w:val="16"/>
                <w:szCs w:val="14"/>
                <w:vertAlign w:val="superscript"/>
              </w:rPr>
              <w:t>b</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1.4 ± 0.1 </w:t>
            </w:r>
            <w:r>
              <w:rPr>
                <w:rFonts w:eastAsia="Times New Roman"/>
                <w:color w:val="000000"/>
                <w:sz w:val="16"/>
                <w:szCs w:val="14"/>
                <w:vertAlign w:val="superscript"/>
              </w:rPr>
              <w:t>abc</w:t>
            </w:r>
          </w:p>
        </w:tc>
        <w:tc>
          <w:tcPr>
            <w:tcW w:w="100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1.6 ± 0.2 </w:t>
            </w:r>
            <w:r>
              <w:rPr>
                <w:rFonts w:eastAsia="Times New Roman"/>
                <w:color w:val="000000"/>
                <w:sz w:val="16"/>
                <w:szCs w:val="14"/>
                <w:vertAlign w:val="superscript"/>
              </w:rPr>
              <w:t>ab</w:t>
            </w:r>
          </w:p>
        </w:tc>
        <w:tc>
          <w:tcPr>
            <w:tcW w:w="940"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1.4 ± 0.1 </w:t>
            </w:r>
            <w:r>
              <w:rPr>
                <w:rFonts w:eastAsia="Times New Roman"/>
                <w:color w:val="000000"/>
                <w:sz w:val="16"/>
                <w:szCs w:val="14"/>
                <w:vertAlign w:val="superscript"/>
              </w:rPr>
              <w:t>ab</w:t>
            </w:r>
          </w:p>
        </w:tc>
        <w:tc>
          <w:tcPr>
            <w:tcW w:w="1064" w:type="dxa"/>
            <w:gridSpan w:val="2"/>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1.2 ± 0.3 </w:t>
            </w:r>
            <w:r>
              <w:rPr>
                <w:rFonts w:eastAsia="Times New Roman"/>
                <w:color w:val="000000"/>
                <w:sz w:val="16"/>
                <w:szCs w:val="14"/>
                <w:vertAlign w:val="superscript"/>
              </w:rPr>
              <w:t>abc</w:t>
            </w:r>
          </w:p>
        </w:tc>
        <w:tc>
          <w:tcPr>
            <w:tcW w:w="876" w:type="dxa"/>
            <w:tcBorders>
              <w:top w:val="nil"/>
              <w:left w:val="nil"/>
              <w:bottom w:val="nil"/>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 ± 0.1 </w:t>
            </w:r>
            <w:r>
              <w:rPr>
                <w:rFonts w:eastAsia="Times New Roman"/>
                <w:color w:val="000000"/>
                <w:sz w:val="16"/>
                <w:szCs w:val="14"/>
                <w:vertAlign w:val="superscript"/>
              </w:rPr>
              <w:t>b</w:t>
            </w:r>
          </w:p>
        </w:tc>
      </w:tr>
      <w:tr>
        <w:trPr>
          <w:trHeight w:val="300"/>
        </w:trPr>
        <w:tc>
          <w:tcPr>
            <w:tcW w:w="1296" w:type="dxa"/>
            <w:tcBorders>
              <w:top w:val="nil"/>
              <w:left w:val="nil"/>
              <w:bottom w:val="single" w:sz="4" w:space="0" w:color="auto"/>
              <w:right w:val="nil"/>
            </w:tcBorders>
            <w:shd w:val="clear" w:color="auto" w:fill="auto"/>
            <w:noWrap/>
            <w:vAlign w:val="bottom"/>
            <w:hideMark/>
          </w:tcPr>
          <w:p>
            <w:pPr>
              <w:spacing w:after="0" w:line="360" w:lineRule="auto"/>
              <w:jc w:val="center"/>
              <w:rPr>
                <w:rFonts w:eastAsia="Times New Roman"/>
                <w:b/>
                <w:bCs/>
                <w:color w:val="000000"/>
                <w:sz w:val="18"/>
                <w:szCs w:val="16"/>
              </w:rPr>
            </w:pPr>
            <w:r>
              <w:rPr>
                <w:rFonts w:eastAsia="Times New Roman"/>
                <w:b/>
                <w:bCs/>
                <w:color w:val="000000"/>
                <w:sz w:val="18"/>
                <w:szCs w:val="16"/>
              </w:rPr>
              <w:t>B_MF50</w:t>
            </w:r>
          </w:p>
        </w:tc>
        <w:tc>
          <w:tcPr>
            <w:tcW w:w="1044" w:type="dxa"/>
            <w:tcBorders>
              <w:top w:val="nil"/>
              <w:left w:val="nil"/>
              <w:bottom w:val="single" w:sz="4" w:space="0" w:color="auto"/>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10.7 ± 1 </w:t>
            </w:r>
            <w:r>
              <w:rPr>
                <w:rFonts w:eastAsia="Times New Roman"/>
                <w:color w:val="000000"/>
                <w:sz w:val="16"/>
                <w:szCs w:val="14"/>
                <w:vertAlign w:val="superscript"/>
              </w:rPr>
              <w:t>abc</w:t>
            </w:r>
          </w:p>
        </w:tc>
        <w:tc>
          <w:tcPr>
            <w:tcW w:w="918" w:type="dxa"/>
            <w:gridSpan w:val="2"/>
            <w:tcBorders>
              <w:top w:val="nil"/>
              <w:left w:val="nil"/>
              <w:bottom w:val="single" w:sz="4" w:space="0" w:color="auto"/>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6 ± 0.3 </w:t>
            </w:r>
            <w:r>
              <w:rPr>
                <w:rFonts w:eastAsia="Times New Roman"/>
                <w:color w:val="000000"/>
                <w:sz w:val="16"/>
                <w:szCs w:val="14"/>
                <w:vertAlign w:val="superscript"/>
              </w:rPr>
              <w:t>a</w:t>
            </w:r>
          </w:p>
        </w:tc>
        <w:tc>
          <w:tcPr>
            <w:tcW w:w="978" w:type="dxa"/>
            <w:tcBorders>
              <w:top w:val="nil"/>
              <w:left w:val="nil"/>
              <w:bottom w:val="single" w:sz="4" w:space="0" w:color="auto"/>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2.6 ± 0.2 </w:t>
            </w:r>
            <w:r>
              <w:rPr>
                <w:rFonts w:eastAsia="Times New Roman"/>
                <w:color w:val="000000"/>
                <w:sz w:val="16"/>
                <w:szCs w:val="14"/>
                <w:vertAlign w:val="superscript"/>
              </w:rPr>
              <w:t>ab</w:t>
            </w:r>
          </w:p>
        </w:tc>
        <w:tc>
          <w:tcPr>
            <w:tcW w:w="1060" w:type="dxa"/>
            <w:tcBorders>
              <w:top w:val="nil"/>
              <w:left w:val="nil"/>
              <w:bottom w:val="single" w:sz="4" w:space="0" w:color="auto"/>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2.4 ± 0.3 </w:t>
            </w:r>
            <w:r>
              <w:rPr>
                <w:rFonts w:eastAsia="Times New Roman"/>
                <w:color w:val="000000"/>
                <w:sz w:val="16"/>
                <w:szCs w:val="14"/>
                <w:vertAlign w:val="superscript"/>
              </w:rPr>
              <w:t>ab</w:t>
            </w:r>
          </w:p>
        </w:tc>
        <w:tc>
          <w:tcPr>
            <w:tcW w:w="1060" w:type="dxa"/>
            <w:tcBorders>
              <w:top w:val="nil"/>
              <w:left w:val="nil"/>
              <w:bottom w:val="single" w:sz="4" w:space="0" w:color="auto"/>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2.3 ± 0.2 </w:t>
            </w:r>
            <w:r>
              <w:rPr>
                <w:rFonts w:eastAsia="Times New Roman"/>
                <w:color w:val="000000"/>
                <w:sz w:val="16"/>
                <w:szCs w:val="14"/>
                <w:vertAlign w:val="superscript"/>
              </w:rPr>
              <w:t>a</w:t>
            </w:r>
          </w:p>
        </w:tc>
        <w:tc>
          <w:tcPr>
            <w:tcW w:w="1060" w:type="dxa"/>
            <w:tcBorders>
              <w:top w:val="nil"/>
              <w:left w:val="nil"/>
              <w:bottom w:val="single" w:sz="4" w:space="0" w:color="auto"/>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2.2 ± 0.3 </w:t>
            </w:r>
            <w:r>
              <w:rPr>
                <w:rFonts w:eastAsia="Times New Roman"/>
                <w:color w:val="000000"/>
                <w:sz w:val="16"/>
                <w:szCs w:val="14"/>
                <w:vertAlign w:val="superscript"/>
              </w:rPr>
              <w:t>ab</w:t>
            </w:r>
          </w:p>
        </w:tc>
        <w:tc>
          <w:tcPr>
            <w:tcW w:w="1000" w:type="dxa"/>
            <w:tcBorders>
              <w:top w:val="nil"/>
              <w:left w:val="nil"/>
              <w:bottom w:val="single" w:sz="4" w:space="0" w:color="auto"/>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2.1 ± 0.2 </w:t>
            </w:r>
            <w:r>
              <w:rPr>
                <w:rFonts w:eastAsia="Times New Roman"/>
                <w:color w:val="000000"/>
                <w:sz w:val="16"/>
                <w:szCs w:val="14"/>
                <w:vertAlign w:val="superscript"/>
              </w:rPr>
              <w:t>b</w:t>
            </w:r>
          </w:p>
        </w:tc>
        <w:tc>
          <w:tcPr>
            <w:tcW w:w="1000" w:type="dxa"/>
            <w:tcBorders>
              <w:top w:val="nil"/>
              <w:left w:val="nil"/>
              <w:bottom w:val="single" w:sz="4" w:space="0" w:color="auto"/>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1.3 ± 0.1 </w:t>
            </w:r>
            <w:r>
              <w:rPr>
                <w:rFonts w:eastAsia="Times New Roman"/>
                <w:color w:val="000000"/>
                <w:sz w:val="16"/>
                <w:szCs w:val="14"/>
                <w:vertAlign w:val="superscript"/>
              </w:rPr>
              <w:t>bc</w:t>
            </w:r>
          </w:p>
        </w:tc>
        <w:tc>
          <w:tcPr>
            <w:tcW w:w="1000" w:type="dxa"/>
            <w:tcBorders>
              <w:top w:val="nil"/>
              <w:left w:val="nil"/>
              <w:bottom w:val="single" w:sz="4" w:space="0" w:color="auto"/>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1.6 ± 0.1 </w:t>
            </w:r>
            <w:r>
              <w:rPr>
                <w:rFonts w:eastAsia="Times New Roman"/>
                <w:color w:val="000000"/>
                <w:sz w:val="16"/>
                <w:szCs w:val="14"/>
                <w:vertAlign w:val="superscript"/>
              </w:rPr>
              <w:t>ab</w:t>
            </w:r>
          </w:p>
        </w:tc>
        <w:tc>
          <w:tcPr>
            <w:tcW w:w="940" w:type="dxa"/>
            <w:tcBorders>
              <w:top w:val="nil"/>
              <w:left w:val="nil"/>
              <w:bottom w:val="single" w:sz="4" w:space="0" w:color="auto"/>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1.5 ± 0.2 </w:t>
            </w:r>
            <w:r>
              <w:rPr>
                <w:rFonts w:eastAsia="Times New Roman"/>
                <w:color w:val="000000"/>
                <w:sz w:val="16"/>
                <w:szCs w:val="14"/>
                <w:vertAlign w:val="superscript"/>
              </w:rPr>
              <w:t>ab</w:t>
            </w:r>
          </w:p>
        </w:tc>
        <w:tc>
          <w:tcPr>
            <w:tcW w:w="1064" w:type="dxa"/>
            <w:gridSpan w:val="2"/>
            <w:tcBorders>
              <w:top w:val="nil"/>
              <w:left w:val="nil"/>
              <w:bottom w:val="single" w:sz="4" w:space="0" w:color="auto"/>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1.2 ± 0.3 </w:t>
            </w:r>
            <w:r>
              <w:rPr>
                <w:rFonts w:eastAsia="Times New Roman"/>
                <w:color w:val="000000"/>
                <w:sz w:val="16"/>
                <w:szCs w:val="14"/>
                <w:vertAlign w:val="superscript"/>
              </w:rPr>
              <w:t>abc</w:t>
            </w:r>
          </w:p>
        </w:tc>
        <w:tc>
          <w:tcPr>
            <w:tcW w:w="876" w:type="dxa"/>
            <w:tcBorders>
              <w:top w:val="nil"/>
              <w:left w:val="nil"/>
              <w:bottom w:val="single" w:sz="4" w:space="0" w:color="auto"/>
              <w:right w:val="nil"/>
            </w:tcBorders>
            <w:shd w:val="clear" w:color="auto" w:fill="auto"/>
            <w:noWrap/>
            <w:vAlign w:val="center"/>
            <w:hideMark/>
          </w:tcPr>
          <w:p>
            <w:pPr>
              <w:spacing w:after="0" w:line="360" w:lineRule="auto"/>
              <w:jc w:val="center"/>
              <w:rPr>
                <w:rFonts w:eastAsia="Times New Roman"/>
                <w:color w:val="000000"/>
                <w:sz w:val="16"/>
                <w:szCs w:val="14"/>
              </w:rPr>
            </w:pPr>
            <w:r>
              <w:rPr>
                <w:rFonts w:eastAsia="Times New Roman"/>
                <w:color w:val="000000"/>
                <w:sz w:val="16"/>
                <w:szCs w:val="14"/>
              </w:rPr>
              <w:t xml:space="preserve">1.1 ± 0.1 </w:t>
            </w:r>
            <w:r>
              <w:rPr>
                <w:rFonts w:eastAsia="Times New Roman"/>
                <w:color w:val="000000"/>
                <w:sz w:val="16"/>
                <w:szCs w:val="14"/>
                <w:vertAlign w:val="superscript"/>
              </w:rPr>
              <w:t>b</w:t>
            </w:r>
          </w:p>
        </w:tc>
      </w:tr>
    </w:tbl>
    <w:p>
      <w:pPr>
        <w:spacing w:after="0"/>
        <w:jc w:val="both"/>
        <w:rPr>
          <w:w w:val="105"/>
          <w:szCs w:val="24"/>
        </w:rPr>
      </w:pPr>
      <w:r>
        <w:rPr>
          <w:b/>
          <w:szCs w:val="24"/>
        </w:rPr>
        <w:t xml:space="preserve">Table </w:t>
      </w:r>
      <w:bookmarkStart w:id="0" w:name="_GoBack"/>
      <w:bookmarkEnd w:id="0"/>
      <w:r>
        <w:rPr>
          <w:b/>
          <w:szCs w:val="24"/>
        </w:rPr>
        <w:t xml:space="preserve">S4 </w:t>
      </w:r>
      <w:r>
        <w:rPr>
          <w:szCs w:val="24"/>
        </w:rPr>
        <w:t>Mean relative abundances [%] and standard deviations for the 12 most abundant families observed for the 15 variants (</w:t>
      </w:r>
      <w:r>
        <w:rPr>
          <w:i/>
          <w:szCs w:val="24"/>
        </w:rPr>
        <w:t>n</w:t>
      </w:r>
      <w:r>
        <w:rPr>
          <w:szCs w:val="24"/>
        </w:rPr>
        <w:t xml:space="preserve"> = 4)</w:t>
      </w:r>
      <w:r>
        <w:rPr>
          <w:spacing w:val="-3"/>
          <w:szCs w:val="24"/>
        </w:rPr>
        <w:t xml:space="preserve">. </w:t>
      </w:r>
      <w:r>
        <w:rPr>
          <w:szCs w:val="24"/>
        </w:rPr>
        <w:t>Different letters (a, b, and c) indicate significant differences between all variants (p &lt; 0.05) calculated with multivariate ANOVA (Tukey’s post-hoc test).</w:t>
      </w:r>
    </w:p>
    <w:p>
      <w:pPr>
        <w:spacing w:after="0"/>
        <w:rPr>
          <w:b/>
        </w:rPr>
        <w:sectPr>
          <w:pgSz w:w="15840" w:h="12240" w:orient="landscape"/>
          <w:pgMar w:top="1440" w:right="1440" w:bottom="1440" w:left="1440" w:header="708" w:footer="708" w:gutter="0"/>
          <w:cols w:space="708"/>
          <w:docGrid w:linePitch="360"/>
        </w:sectPr>
      </w:pPr>
    </w:p>
    <w:tbl>
      <w:tblPr>
        <w:tblpPr w:leftFromText="141" w:rightFromText="141" w:vertAnchor="page" w:horzAnchor="margin" w:tblpXSpec="center" w:tblpY="2326"/>
        <w:tblW w:w="14798" w:type="dxa"/>
        <w:tblCellMar>
          <w:left w:w="70" w:type="dxa"/>
          <w:right w:w="70" w:type="dxa"/>
        </w:tblCellMar>
        <w:tblLook w:val="04A0" w:firstRow="1" w:lastRow="0" w:firstColumn="1" w:lastColumn="0" w:noHBand="0" w:noVBand="1"/>
      </w:tblPr>
      <w:tblGrid>
        <w:gridCol w:w="1190"/>
        <w:gridCol w:w="1134"/>
        <w:gridCol w:w="1134"/>
        <w:gridCol w:w="1134"/>
        <w:gridCol w:w="1134"/>
        <w:gridCol w:w="1134"/>
        <w:gridCol w:w="1134"/>
        <w:gridCol w:w="1134"/>
        <w:gridCol w:w="1134"/>
        <w:gridCol w:w="1134"/>
        <w:gridCol w:w="1134"/>
        <w:gridCol w:w="1134"/>
        <w:gridCol w:w="1134"/>
      </w:tblGrid>
      <w:tr>
        <w:trPr>
          <w:trHeight w:val="2085"/>
        </w:trPr>
        <w:tc>
          <w:tcPr>
            <w:tcW w:w="1190" w:type="dxa"/>
            <w:tcBorders>
              <w:top w:val="single" w:sz="4" w:space="0" w:color="auto"/>
              <w:left w:val="nil"/>
              <w:bottom w:val="single" w:sz="4" w:space="0" w:color="auto"/>
              <w:right w:val="nil"/>
            </w:tcBorders>
            <w:shd w:val="clear" w:color="auto" w:fill="auto"/>
            <w:noWrap/>
            <w:vAlign w:val="center"/>
            <w:hideMark/>
          </w:tcPr>
          <w:p>
            <w:pPr>
              <w:spacing w:after="0"/>
              <w:rPr>
                <w:rFonts w:eastAsia="Times New Roman"/>
                <w:color w:val="000000"/>
                <w:sz w:val="18"/>
                <w:szCs w:val="18"/>
                <w:lang w:eastAsia="de-DE"/>
              </w:rPr>
            </w:pPr>
            <w:r>
              <w:rPr>
                <w:rFonts w:eastAsia="Times New Roman"/>
                <w:color w:val="000000"/>
                <w:sz w:val="18"/>
                <w:szCs w:val="18"/>
                <w:lang w:eastAsia="de-DE"/>
              </w:rPr>
              <w:lastRenderedPageBreak/>
              <w:t> </w:t>
            </w:r>
          </w:p>
        </w:tc>
        <w:tc>
          <w:tcPr>
            <w:tcW w:w="1134"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highlight w:val="cyan"/>
                <w:lang w:val="de-DE" w:eastAsia="de-DE"/>
              </w:rPr>
            </w:pPr>
            <w:r>
              <w:rPr>
                <w:rFonts w:eastAsia="Times New Roman"/>
                <w:b/>
                <w:bCs/>
                <w:i/>
                <w:iCs/>
                <w:color w:val="000000"/>
                <w:sz w:val="18"/>
                <w:szCs w:val="18"/>
                <w:highlight w:val="cyan"/>
                <w:lang w:val="de-DE" w:eastAsia="de-DE"/>
              </w:rPr>
              <w:t>Xanthobacteraceae</w:t>
            </w:r>
          </w:p>
        </w:tc>
        <w:tc>
          <w:tcPr>
            <w:tcW w:w="1134"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highlight w:val="cyan"/>
                <w:lang w:val="de-DE" w:eastAsia="de-DE"/>
              </w:rPr>
            </w:pPr>
            <w:r>
              <w:rPr>
                <w:rFonts w:eastAsia="Times New Roman"/>
                <w:b/>
                <w:bCs/>
                <w:i/>
                <w:iCs/>
                <w:color w:val="000000"/>
                <w:sz w:val="18"/>
                <w:szCs w:val="18"/>
                <w:highlight w:val="cyan"/>
                <w:lang w:val="de-DE" w:eastAsia="de-DE"/>
              </w:rPr>
              <w:t>Gemmatimonadaceae</w:t>
            </w:r>
          </w:p>
        </w:tc>
        <w:tc>
          <w:tcPr>
            <w:tcW w:w="1134"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highlight w:val="cyan"/>
                <w:lang w:val="de-DE" w:eastAsia="de-DE"/>
              </w:rPr>
            </w:pPr>
            <w:r>
              <w:rPr>
                <w:rFonts w:eastAsia="Times New Roman"/>
                <w:b/>
                <w:bCs/>
                <w:i/>
                <w:iCs/>
                <w:color w:val="000000"/>
                <w:sz w:val="18"/>
                <w:szCs w:val="18"/>
                <w:highlight w:val="cyan"/>
                <w:lang w:val="de-DE" w:eastAsia="de-DE"/>
              </w:rPr>
              <w:t>Nitrosomonadaceae</w:t>
            </w:r>
          </w:p>
        </w:tc>
        <w:tc>
          <w:tcPr>
            <w:tcW w:w="1134" w:type="dxa"/>
            <w:tcBorders>
              <w:top w:val="single" w:sz="4" w:space="0" w:color="auto"/>
              <w:left w:val="nil"/>
              <w:bottom w:val="single" w:sz="4" w:space="0" w:color="auto"/>
              <w:right w:val="nil"/>
            </w:tcBorders>
            <w:shd w:val="clear" w:color="auto" w:fill="auto"/>
            <w:textDirection w:val="btLr"/>
            <w:vAlign w:val="center"/>
            <w:hideMark/>
          </w:tcPr>
          <w:p>
            <w:pPr>
              <w:spacing w:after="0"/>
              <w:jc w:val="center"/>
              <w:rPr>
                <w:rFonts w:eastAsia="Times New Roman"/>
                <w:b/>
                <w:bCs/>
                <w:i/>
                <w:iCs/>
                <w:color w:val="000000"/>
                <w:sz w:val="18"/>
                <w:szCs w:val="18"/>
                <w:highlight w:val="cyan"/>
                <w:lang w:val="de-DE" w:eastAsia="de-DE"/>
              </w:rPr>
            </w:pPr>
            <w:r>
              <w:rPr>
                <w:rFonts w:eastAsia="Times New Roman"/>
                <w:b/>
                <w:bCs/>
                <w:i/>
                <w:iCs/>
                <w:color w:val="000000"/>
                <w:sz w:val="18"/>
                <w:szCs w:val="18"/>
                <w:highlight w:val="cyan"/>
                <w:lang w:val="de-DE" w:eastAsia="de-DE"/>
              </w:rPr>
              <w:t>Solirubrobacterales</w:t>
            </w:r>
            <w:r>
              <w:rPr>
                <w:rFonts w:eastAsia="Times New Roman"/>
                <w:b/>
                <w:bCs/>
                <w:i/>
                <w:iCs/>
                <w:color w:val="000000"/>
                <w:sz w:val="18"/>
                <w:szCs w:val="18"/>
                <w:highlight w:val="cyan"/>
                <w:lang w:val="de-DE" w:eastAsia="de-DE"/>
              </w:rPr>
              <w:br/>
              <w:t xml:space="preserve"> (67-14)</w:t>
            </w:r>
          </w:p>
        </w:tc>
        <w:tc>
          <w:tcPr>
            <w:tcW w:w="1134"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highlight w:val="cyan"/>
                <w:lang w:val="de-DE" w:eastAsia="de-DE"/>
              </w:rPr>
            </w:pPr>
            <w:r>
              <w:rPr>
                <w:rFonts w:eastAsia="Times New Roman"/>
                <w:b/>
                <w:bCs/>
                <w:i/>
                <w:iCs/>
                <w:color w:val="000000"/>
                <w:sz w:val="18"/>
                <w:szCs w:val="18"/>
                <w:highlight w:val="cyan"/>
                <w:lang w:val="de-DE" w:eastAsia="de-DE"/>
              </w:rPr>
              <w:t>Gaiellaceae</w:t>
            </w:r>
          </w:p>
        </w:tc>
        <w:tc>
          <w:tcPr>
            <w:tcW w:w="1134"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highlight w:val="cyan"/>
                <w:lang w:val="de-DE" w:eastAsia="de-DE"/>
              </w:rPr>
            </w:pPr>
            <w:r>
              <w:rPr>
                <w:rFonts w:eastAsia="Times New Roman"/>
                <w:b/>
                <w:bCs/>
                <w:i/>
                <w:iCs/>
                <w:color w:val="000000"/>
                <w:sz w:val="18"/>
                <w:szCs w:val="18"/>
                <w:highlight w:val="cyan"/>
                <w:lang w:val="de-DE" w:eastAsia="de-DE"/>
              </w:rPr>
              <w:t>Mycobacteriaceae</w:t>
            </w:r>
          </w:p>
        </w:tc>
        <w:tc>
          <w:tcPr>
            <w:tcW w:w="1134"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highlight w:val="cyan"/>
                <w:lang w:val="de-DE" w:eastAsia="de-DE"/>
              </w:rPr>
            </w:pPr>
            <w:r>
              <w:rPr>
                <w:rFonts w:eastAsia="Times New Roman"/>
                <w:b/>
                <w:bCs/>
                <w:i/>
                <w:iCs/>
                <w:color w:val="000000"/>
                <w:sz w:val="18"/>
                <w:szCs w:val="18"/>
                <w:highlight w:val="cyan"/>
                <w:lang w:val="de-DE" w:eastAsia="de-DE"/>
              </w:rPr>
              <w:t>Chitinophagaceae</w:t>
            </w:r>
          </w:p>
        </w:tc>
        <w:tc>
          <w:tcPr>
            <w:tcW w:w="1134"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highlight w:val="cyan"/>
                <w:lang w:val="de-DE" w:eastAsia="de-DE"/>
              </w:rPr>
            </w:pPr>
            <w:r>
              <w:rPr>
                <w:rFonts w:eastAsia="Times New Roman"/>
                <w:b/>
                <w:bCs/>
                <w:i/>
                <w:iCs/>
                <w:color w:val="000000"/>
                <w:sz w:val="18"/>
                <w:szCs w:val="18"/>
                <w:highlight w:val="cyan"/>
                <w:lang w:val="de-DE" w:eastAsia="de-DE"/>
              </w:rPr>
              <w:t>Haliangiaceae</w:t>
            </w:r>
          </w:p>
        </w:tc>
        <w:tc>
          <w:tcPr>
            <w:tcW w:w="1134"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highlight w:val="cyan"/>
                <w:lang w:val="de-DE" w:eastAsia="de-DE"/>
              </w:rPr>
            </w:pPr>
            <w:r>
              <w:rPr>
                <w:rFonts w:eastAsia="Times New Roman"/>
                <w:b/>
                <w:bCs/>
                <w:i/>
                <w:iCs/>
                <w:color w:val="000000"/>
                <w:sz w:val="18"/>
                <w:szCs w:val="18"/>
                <w:highlight w:val="cyan"/>
                <w:lang w:val="de-DE" w:eastAsia="de-DE"/>
              </w:rPr>
              <w:t>Nitrospiraceae</w:t>
            </w:r>
          </w:p>
        </w:tc>
        <w:tc>
          <w:tcPr>
            <w:tcW w:w="1134"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highlight w:val="cyan"/>
                <w:lang w:val="de-DE" w:eastAsia="de-DE"/>
              </w:rPr>
            </w:pPr>
            <w:r>
              <w:rPr>
                <w:rFonts w:eastAsia="Times New Roman"/>
                <w:b/>
                <w:bCs/>
                <w:i/>
                <w:iCs/>
                <w:color w:val="000000"/>
                <w:sz w:val="18"/>
                <w:szCs w:val="18"/>
                <w:highlight w:val="cyan"/>
                <w:lang w:val="de-DE" w:eastAsia="de-DE"/>
              </w:rPr>
              <w:t>Pyrinomonadaceae</w:t>
            </w:r>
          </w:p>
        </w:tc>
        <w:tc>
          <w:tcPr>
            <w:tcW w:w="1134"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highlight w:val="cyan"/>
                <w:lang w:val="de-DE" w:eastAsia="de-DE"/>
              </w:rPr>
            </w:pPr>
            <w:r>
              <w:rPr>
                <w:rFonts w:eastAsia="Times New Roman"/>
                <w:b/>
                <w:bCs/>
                <w:i/>
                <w:iCs/>
                <w:color w:val="000000"/>
                <w:sz w:val="18"/>
                <w:szCs w:val="18"/>
                <w:highlight w:val="cyan"/>
                <w:lang w:val="de-DE" w:eastAsia="de-DE"/>
              </w:rPr>
              <w:t>Xanthomonadaceae</w:t>
            </w:r>
          </w:p>
        </w:tc>
        <w:tc>
          <w:tcPr>
            <w:tcW w:w="1134" w:type="dxa"/>
            <w:tcBorders>
              <w:top w:val="single" w:sz="4" w:space="0" w:color="auto"/>
              <w:left w:val="nil"/>
              <w:bottom w:val="single" w:sz="4" w:space="0" w:color="auto"/>
              <w:right w:val="nil"/>
            </w:tcBorders>
            <w:shd w:val="clear" w:color="auto" w:fill="auto"/>
            <w:noWrap/>
            <w:textDirection w:val="btLr"/>
            <w:vAlign w:val="center"/>
            <w:hideMark/>
          </w:tcPr>
          <w:p>
            <w:pPr>
              <w:spacing w:after="0"/>
              <w:jc w:val="center"/>
              <w:rPr>
                <w:rFonts w:eastAsia="Times New Roman"/>
                <w:b/>
                <w:bCs/>
                <w:i/>
                <w:iCs/>
                <w:color w:val="000000"/>
                <w:sz w:val="18"/>
                <w:szCs w:val="18"/>
                <w:highlight w:val="cyan"/>
                <w:lang w:val="de-DE" w:eastAsia="de-DE"/>
              </w:rPr>
            </w:pPr>
            <w:r>
              <w:rPr>
                <w:rFonts w:eastAsia="Times New Roman"/>
                <w:b/>
                <w:bCs/>
                <w:i/>
                <w:iCs/>
                <w:color w:val="000000"/>
                <w:sz w:val="18"/>
                <w:szCs w:val="18"/>
                <w:highlight w:val="cyan"/>
                <w:lang w:val="de-DE" w:eastAsia="de-DE"/>
              </w:rPr>
              <w:t>Burkholderiaceae</w:t>
            </w:r>
          </w:p>
        </w:tc>
      </w:tr>
      <w:tr>
        <w:trPr>
          <w:trHeight w:val="300"/>
        </w:trPr>
        <w:tc>
          <w:tcPr>
            <w:tcW w:w="1190" w:type="dxa"/>
            <w:tcBorders>
              <w:top w:val="nil"/>
              <w:left w:val="nil"/>
              <w:bottom w:val="nil"/>
              <w:right w:val="nil"/>
            </w:tcBorders>
            <w:shd w:val="clear" w:color="auto" w:fill="auto"/>
            <w:noWrap/>
            <w:vAlign w:val="bottom"/>
            <w:hideMark/>
          </w:tcPr>
          <w:p>
            <w:pPr>
              <w:spacing w:after="0"/>
              <w:jc w:val="center"/>
              <w:rPr>
                <w:rFonts w:eastAsia="Times New Roman"/>
                <w:b/>
                <w:bCs/>
                <w:color w:val="000000"/>
                <w:sz w:val="18"/>
                <w:szCs w:val="18"/>
                <w:highlight w:val="cyan"/>
                <w:lang w:val="de-DE" w:eastAsia="de-DE"/>
              </w:rPr>
            </w:pPr>
            <w:r>
              <w:rPr>
                <w:rFonts w:eastAsia="Times New Roman"/>
                <w:b/>
                <w:bCs/>
                <w:color w:val="000000"/>
                <w:sz w:val="18"/>
                <w:szCs w:val="18"/>
                <w:highlight w:val="cyan"/>
                <w:lang w:val="de-DE" w:eastAsia="de-DE"/>
              </w:rPr>
              <w:t>Control</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 xml:space="preserve">39.5 ± 14.8 </w:t>
            </w:r>
            <w:r>
              <w:rPr>
                <w:rFonts w:eastAsia="Times New Roman"/>
                <w:color w:val="000000"/>
                <w:sz w:val="16"/>
                <w:szCs w:val="16"/>
                <w:highlight w:val="cyan"/>
                <w:vertAlign w:val="superscript"/>
                <w:lang w:val="de-DE" w:eastAsia="de-DE"/>
              </w:rPr>
              <w:t>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-7.4 ± 8.3</w:t>
            </w:r>
            <w:r>
              <w:rPr>
                <w:rFonts w:eastAsia="Times New Roman"/>
                <w:color w:val="000000"/>
                <w:sz w:val="16"/>
                <w:szCs w:val="16"/>
                <w:highlight w:val="cyan"/>
                <w:vertAlign w:val="superscript"/>
                <w:lang w:val="de-DE" w:eastAsia="de-DE"/>
              </w:rPr>
              <w:t xml:space="preserve"> a  </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-20.9 ± 11</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-14.3 ± 6</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-7.9 ± 7.8</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58.7 ± 22.7</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-29.5 ± 5</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25.3 ± 18.8</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-28 ± 16.1</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85.9 ± 17.5</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-54.3 ± 4.8</w:t>
            </w:r>
            <w:r>
              <w:rPr>
                <w:rFonts w:eastAsia="Times New Roman"/>
                <w:color w:val="000000"/>
                <w:sz w:val="16"/>
                <w:szCs w:val="16"/>
                <w:highlight w:val="cyan"/>
                <w:vertAlign w:val="superscript"/>
                <w:lang w:val="de-DE" w:eastAsia="de-DE"/>
              </w:rPr>
              <w:t xml:space="preserve"> c</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-58.5 ± 6.7</w:t>
            </w:r>
            <w:r>
              <w:rPr>
                <w:rFonts w:eastAsia="Times New Roman"/>
                <w:color w:val="000000"/>
                <w:sz w:val="16"/>
                <w:szCs w:val="16"/>
                <w:highlight w:val="cyan"/>
                <w:vertAlign w:val="superscript"/>
                <w:lang w:val="de-DE" w:eastAsia="de-DE"/>
              </w:rPr>
              <w:t xml:space="preserve"> a</w:t>
            </w:r>
          </w:p>
        </w:tc>
      </w:tr>
      <w:tr>
        <w:trPr>
          <w:trHeight w:val="300"/>
        </w:trPr>
        <w:tc>
          <w:tcPr>
            <w:tcW w:w="1190" w:type="dxa"/>
            <w:tcBorders>
              <w:top w:val="nil"/>
              <w:left w:val="nil"/>
              <w:bottom w:val="nil"/>
              <w:right w:val="nil"/>
            </w:tcBorders>
            <w:shd w:val="clear" w:color="auto" w:fill="auto"/>
            <w:noWrap/>
            <w:vAlign w:val="bottom"/>
            <w:hideMark/>
          </w:tcPr>
          <w:p>
            <w:pPr>
              <w:spacing w:after="0"/>
              <w:jc w:val="center"/>
              <w:rPr>
                <w:rFonts w:eastAsia="Times New Roman"/>
                <w:b/>
                <w:bCs/>
                <w:color w:val="000000"/>
                <w:sz w:val="18"/>
                <w:szCs w:val="18"/>
                <w:highlight w:val="cyan"/>
                <w:lang w:val="de-DE" w:eastAsia="de-DE"/>
              </w:rPr>
            </w:pPr>
            <w:r>
              <w:rPr>
                <w:rFonts w:eastAsia="Times New Roman"/>
                <w:b/>
                <w:bCs/>
                <w:color w:val="000000"/>
                <w:sz w:val="18"/>
                <w:szCs w:val="18"/>
                <w:highlight w:val="cyan"/>
                <w:lang w:val="de-DE" w:eastAsia="de-DE"/>
              </w:rPr>
              <w:t>P</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 xml:space="preserve">35.1 ± 10.2 </w:t>
            </w:r>
            <w:r>
              <w:rPr>
                <w:rFonts w:eastAsia="Times New Roman"/>
                <w:color w:val="000000"/>
                <w:sz w:val="16"/>
                <w:szCs w:val="16"/>
                <w:highlight w:val="cyan"/>
                <w:vertAlign w:val="superscript"/>
                <w:lang w:val="de-DE" w:eastAsia="de-DE"/>
              </w:rPr>
              <w:t>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-9.5 ± 2.4</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-29.5 ± 10.5</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-29.9 ± 14.1</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-13.4 ± 8.5</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55.6 ± 9.5</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-32.7 ± 7.7</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28.9 ± 9</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-21.6 ± 11.9</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131.4 ± 28.2</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-42.2 ± 13.4</w:t>
            </w:r>
            <w:r>
              <w:rPr>
                <w:rFonts w:eastAsia="Times New Roman"/>
                <w:color w:val="000000"/>
                <w:sz w:val="16"/>
                <w:szCs w:val="16"/>
                <w:highlight w:val="cyan"/>
                <w:vertAlign w:val="superscript"/>
                <w:lang w:val="de-DE" w:eastAsia="de-DE"/>
              </w:rPr>
              <w:t xml:space="preserve"> abc</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-60.3 ± 4.6</w:t>
            </w:r>
            <w:r>
              <w:rPr>
                <w:rFonts w:eastAsia="Times New Roman"/>
                <w:color w:val="000000"/>
                <w:sz w:val="16"/>
                <w:szCs w:val="16"/>
                <w:highlight w:val="cyan"/>
                <w:vertAlign w:val="superscript"/>
                <w:lang w:val="de-DE" w:eastAsia="de-DE"/>
              </w:rPr>
              <w:t xml:space="preserve"> a</w:t>
            </w:r>
          </w:p>
        </w:tc>
      </w:tr>
      <w:tr>
        <w:trPr>
          <w:trHeight w:val="300"/>
        </w:trPr>
        <w:tc>
          <w:tcPr>
            <w:tcW w:w="1190" w:type="dxa"/>
            <w:tcBorders>
              <w:top w:val="nil"/>
              <w:left w:val="nil"/>
              <w:bottom w:val="nil"/>
              <w:right w:val="nil"/>
            </w:tcBorders>
            <w:shd w:val="clear" w:color="auto" w:fill="auto"/>
            <w:noWrap/>
            <w:vAlign w:val="bottom"/>
            <w:hideMark/>
          </w:tcPr>
          <w:p>
            <w:pPr>
              <w:spacing w:after="0"/>
              <w:jc w:val="center"/>
              <w:rPr>
                <w:rFonts w:eastAsia="Times New Roman"/>
                <w:b/>
                <w:bCs/>
                <w:color w:val="000000"/>
                <w:sz w:val="18"/>
                <w:szCs w:val="18"/>
                <w:highlight w:val="cyan"/>
                <w:lang w:val="de-DE" w:eastAsia="de-DE"/>
              </w:rPr>
            </w:pPr>
            <w:r>
              <w:rPr>
                <w:rFonts w:eastAsia="Times New Roman"/>
                <w:b/>
                <w:bCs/>
                <w:color w:val="000000"/>
                <w:sz w:val="18"/>
                <w:szCs w:val="18"/>
                <w:highlight w:val="cyan"/>
                <w:lang w:val="de-DE" w:eastAsia="de-DE"/>
              </w:rPr>
              <w:t>PB10</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 xml:space="preserve">34.6 ± 22.1 </w:t>
            </w:r>
            <w:r>
              <w:rPr>
                <w:rFonts w:eastAsia="Times New Roman"/>
                <w:color w:val="000000"/>
                <w:sz w:val="16"/>
                <w:szCs w:val="16"/>
                <w:highlight w:val="cyan"/>
                <w:vertAlign w:val="superscript"/>
                <w:lang w:val="de-DE" w:eastAsia="de-DE"/>
              </w:rPr>
              <w:t>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-7.3 ± 13.4</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-27.2 ± 19.3</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-17.3 ± 12</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-5.3 ± 13.1</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42.9 ± 27.5</w:t>
            </w:r>
            <w:r>
              <w:rPr>
                <w:rFonts w:eastAsia="Times New Roman"/>
                <w:color w:val="000000"/>
                <w:sz w:val="16"/>
                <w:szCs w:val="16"/>
                <w:highlight w:val="cyan"/>
                <w:vertAlign w:val="superscript"/>
                <w:lang w:val="de-DE" w:eastAsia="de-DE"/>
              </w:rPr>
              <w:t xml:space="preserve"> 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-33.3 ± 3.5</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36 ± 12.6</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-27.7 ± 18.5</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102.2 ± 71</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 xml:space="preserve">-52.8 ± 6 </w:t>
            </w:r>
            <w:r>
              <w:rPr>
                <w:rFonts w:eastAsia="Times New Roman"/>
                <w:color w:val="000000"/>
                <w:sz w:val="16"/>
                <w:szCs w:val="16"/>
                <w:highlight w:val="cyan"/>
                <w:vertAlign w:val="superscript"/>
                <w:lang w:val="de-DE" w:eastAsia="de-DE"/>
              </w:rPr>
              <w:t xml:space="preserve"> bc</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-57.7 ± 8.2</w:t>
            </w:r>
            <w:r>
              <w:rPr>
                <w:rFonts w:eastAsia="Times New Roman"/>
                <w:color w:val="000000"/>
                <w:sz w:val="16"/>
                <w:szCs w:val="16"/>
                <w:highlight w:val="cyan"/>
                <w:vertAlign w:val="superscript"/>
                <w:lang w:val="de-DE" w:eastAsia="de-DE"/>
              </w:rPr>
              <w:t xml:space="preserve"> a</w:t>
            </w:r>
          </w:p>
        </w:tc>
      </w:tr>
      <w:tr>
        <w:trPr>
          <w:trHeight w:val="300"/>
        </w:trPr>
        <w:tc>
          <w:tcPr>
            <w:tcW w:w="1190" w:type="dxa"/>
            <w:tcBorders>
              <w:top w:val="nil"/>
              <w:left w:val="nil"/>
              <w:bottom w:val="nil"/>
              <w:right w:val="nil"/>
            </w:tcBorders>
            <w:shd w:val="clear" w:color="auto" w:fill="auto"/>
            <w:noWrap/>
            <w:vAlign w:val="bottom"/>
            <w:hideMark/>
          </w:tcPr>
          <w:p>
            <w:pPr>
              <w:spacing w:after="0"/>
              <w:jc w:val="center"/>
              <w:rPr>
                <w:rFonts w:eastAsia="Times New Roman"/>
                <w:b/>
                <w:bCs/>
                <w:color w:val="000000"/>
                <w:sz w:val="18"/>
                <w:szCs w:val="18"/>
                <w:highlight w:val="cyan"/>
                <w:lang w:val="de-DE" w:eastAsia="de-DE"/>
              </w:rPr>
            </w:pPr>
            <w:r>
              <w:rPr>
                <w:rFonts w:eastAsia="Times New Roman"/>
                <w:b/>
                <w:bCs/>
                <w:color w:val="000000"/>
                <w:sz w:val="18"/>
                <w:szCs w:val="18"/>
                <w:highlight w:val="cyan"/>
                <w:lang w:val="de-DE" w:eastAsia="de-DE"/>
              </w:rPr>
              <w:t>PB20</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 xml:space="preserve">30.5 ± 23.8 </w:t>
            </w:r>
            <w:r>
              <w:rPr>
                <w:rFonts w:eastAsia="Times New Roman"/>
                <w:color w:val="000000"/>
                <w:sz w:val="16"/>
                <w:szCs w:val="16"/>
                <w:highlight w:val="cyan"/>
                <w:vertAlign w:val="superscript"/>
                <w:lang w:val="de-DE" w:eastAsia="de-DE"/>
              </w:rPr>
              <w:t>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4.7 ± 13.3</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-19 ± 20.3</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-11.3 ± 4.8</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-1.1 ± 10.7</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51.3 ± 25.8</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-33.3 ± 8.1</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22.5 ± 23.2</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-24.2 ± 12.6</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113.3 ± 76.9</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-35.2 ± 15.3</w:t>
            </w:r>
            <w:r>
              <w:rPr>
                <w:rFonts w:eastAsia="Times New Roman"/>
                <w:color w:val="000000"/>
                <w:sz w:val="16"/>
                <w:szCs w:val="16"/>
                <w:highlight w:val="cyan"/>
                <w:vertAlign w:val="superscript"/>
                <w:lang w:val="de-DE" w:eastAsia="de-DE"/>
              </w:rPr>
              <w:t xml:space="preserve"> abc</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-53 ± 11.6</w:t>
            </w:r>
            <w:r>
              <w:rPr>
                <w:rFonts w:eastAsia="Times New Roman"/>
                <w:color w:val="000000"/>
                <w:sz w:val="16"/>
                <w:szCs w:val="16"/>
                <w:highlight w:val="cyan"/>
                <w:vertAlign w:val="superscript"/>
                <w:lang w:val="de-DE" w:eastAsia="de-DE"/>
              </w:rPr>
              <w:t xml:space="preserve"> a</w:t>
            </w:r>
          </w:p>
        </w:tc>
      </w:tr>
      <w:tr>
        <w:trPr>
          <w:trHeight w:val="300"/>
        </w:trPr>
        <w:tc>
          <w:tcPr>
            <w:tcW w:w="1190" w:type="dxa"/>
            <w:tcBorders>
              <w:top w:val="nil"/>
              <w:left w:val="nil"/>
              <w:bottom w:val="nil"/>
              <w:right w:val="nil"/>
            </w:tcBorders>
            <w:shd w:val="clear" w:color="auto" w:fill="auto"/>
            <w:noWrap/>
            <w:vAlign w:val="bottom"/>
            <w:hideMark/>
          </w:tcPr>
          <w:p>
            <w:pPr>
              <w:spacing w:after="0"/>
              <w:jc w:val="center"/>
              <w:rPr>
                <w:rFonts w:eastAsia="Times New Roman"/>
                <w:b/>
                <w:bCs/>
                <w:color w:val="000000"/>
                <w:sz w:val="18"/>
                <w:szCs w:val="18"/>
                <w:highlight w:val="cyan"/>
                <w:lang w:val="de-DE" w:eastAsia="de-DE"/>
              </w:rPr>
            </w:pPr>
            <w:r>
              <w:rPr>
                <w:rFonts w:eastAsia="Times New Roman"/>
                <w:b/>
                <w:bCs/>
                <w:color w:val="000000"/>
                <w:sz w:val="18"/>
                <w:szCs w:val="18"/>
                <w:highlight w:val="cyan"/>
                <w:lang w:val="de-DE" w:eastAsia="de-DE"/>
              </w:rPr>
              <w:t>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 xml:space="preserve">31 ± 18.3 </w:t>
            </w:r>
            <w:r>
              <w:rPr>
                <w:rFonts w:eastAsia="Times New Roman"/>
                <w:color w:val="000000"/>
                <w:sz w:val="16"/>
                <w:szCs w:val="16"/>
                <w:highlight w:val="cyan"/>
                <w:vertAlign w:val="superscript"/>
                <w:lang w:val="de-DE" w:eastAsia="de-DE"/>
              </w:rPr>
              <w:t>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-0.6 ± 5.9</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-9.1 ± 18.3</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-16.8 ± 12.9</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-5.9 ± 12.4</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47.3 ± 20.5</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-31.6 ± 4.5</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22.9 ± 7.3</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-22.1 ± 15.4</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81.2 ± 36.9</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-39.9 ± 14.8</w:t>
            </w:r>
            <w:r>
              <w:rPr>
                <w:rFonts w:eastAsia="Times New Roman"/>
                <w:color w:val="000000"/>
                <w:sz w:val="16"/>
                <w:szCs w:val="16"/>
                <w:highlight w:val="cyan"/>
                <w:vertAlign w:val="superscript"/>
                <w:lang w:val="de-DE" w:eastAsia="de-DE"/>
              </w:rPr>
              <w:t xml:space="preserve"> abc</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-56.2 ± 7.3</w:t>
            </w:r>
            <w:r>
              <w:rPr>
                <w:rFonts w:eastAsia="Times New Roman"/>
                <w:color w:val="000000"/>
                <w:sz w:val="16"/>
                <w:szCs w:val="16"/>
                <w:highlight w:val="cyan"/>
                <w:vertAlign w:val="superscript"/>
                <w:lang w:val="de-DE" w:eastAsia="de-DE"/>
              </w:rPr>
              <w:t xml:space="preserve"> a</w:t>
            </w:r>
          </w:p>
        </w:tc>
      </w:tr>
      <w:tr>
        <w:trPr>
          <w:trHeight w:val="300"/>
        </w:trPr>
        <w:tc>
          <w:tcPr>
            <w:tcW w:w="1190" w:type="dxa"/>
            <w:tcBorders>
              <w:top w:val="nil"/>
              <w:left w:val="nil"/>
              <w:bottom w:val="nil"/>
              <w:right w:val="nil"/>
            </w:tcBorders>
            <w:shd w:val="clear" w:color="auto" w:fill="auto"/>
            <w:noWrap/>
            <w:vAlign w:val="bottom"/>
            <w:hideMark/>
          </w:tcPr>
          <w:p>
            <w:pPr>
              <w:spacing w:after="0"/>
              <w:jc w:val="center"/>
              <w:rPr>
                <w:rFonts w:eastAsia="Times New Roman"/>
                <w:b/>
                <w:bCs/>
                <w:color w:val="000000"/>
                <w:sz w:val="18"/>
                <w:szCs w:val="18"/>
                <w:highlight w:val="cyan"/>
                <w:lang w:val="de-DE" w:eastAsia="de-DE"/>
              </w:rPr>
            </w:pPr>
            <w:r>
              <w:rPr>
                <w:rFonts w:eastAsia="Times New Roman"/>
                <w:b/>
                <w:bCs/>
                <w:color w:val="000000"/>
                <w:sz w:val="18"/>
                <w:szCs w:val="18"/>
                <w:highlight w:val="cyan"/>
                <w:lang w:val="de-DE" w:eastAsia="de-DE"/>
              </w:rPr>
              <w:t>PB10N</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 xml:space="preserve">46 ± 1.9 </w:t>
            </w:r>
            <w:r>
              <w:rPr>
                <w:rFonts w:eastAsia="Times New Roman"/>
                <w:color w:val="000000"/>
                <w:sz w:val="16"/>
                <w:szCs w:val="16"/>
                <w:highlight w:val="cyan"/>
                <w:vertAlign w:val="superscript"/>
                <w:lang w:val="de-DE" w:eastAsia="de-DE"/>
              </w:rPr>
              <w:t>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0.2 ± 5.3</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-31.4 ± 8.3</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-23 ± 8.6</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-9.7 ± 9.6</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59 ± 9.8</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-38.3 ± 2.8</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23.9 ± 16.7</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-33.8 ± 5.2</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99.8 ± 9.6</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-43.9 ± 2.7</w:t>
            </w:r>
            <w:r>
              <w:rPr>
                <w:rFonts w:eastAsia="Times New Roman"/>
                <w:color w:val="000000"/>
                <w:sz w:val="16"/>
                <w:szCs w:val="16"/>
                <w:highlight w:val="cyan"/>
                <w:vertAlign w:val="superscript"/>
                <w:lang w:val="de-DE" w:eastAsia="de-DE"/>
              </w:rPr>
              <w:t xml:space="preserve"> abc</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-61.5 ± 4.3</w:t>
            </w:r>
            <w:r>
              <w:rPr>
                <w:rFonts w:eastAsia="Times New Roman"/>
                <w:color w:val="000000"/>
                <w:sz w:val="16"/>
                <w:szCs w:val="16"/>
                <w:highlight w:val="cyan"/>
                <w:vertAlign w:val="superscript"/>
                <w:lang w:val="de-DE" w:eastAsia="de-DE"/>
              </w:rPr>
              <w:t xml:space="preserve"> a</w:t>
            </w:r>
          </w:p>
        </w:tc>
      </w:tr>
      <w:tr>
        <w:trPr>
          <w:trHeight w:val="300"/>
        </w:trPr>
        <w:tc>
          <w:tcPr>
            <w:tcW w:w="1190" w:type="dxa"/>
            <w:tcBorders>
              <w:top w:val="nil"/>
              <w:left w:val="nil"/>
              <w:bottom w:val="nil"/>
              <w:right w:val="nil"/>
            </w:tcBorders>
            <w:shd w:val="clear" w:color="auto" w:fill="auto"/>
            <w:noWrap/>
            <w:vAlign w:val="bottom"/>
            <w:hideMark/>
          </w:tcPr>
          <w:p>
            <w:pPr>
              <w:spacing w:after="0"/>
              <w:jc w:val="center"/>
              <w:rPr>
                <w:rFonts w:eastAsia="Times New Roman"/>
                <w:b/>
                <w:bCs/>
                <w:color w:val="000000"/>
                <w:sz w:val="18"/>
                <w:szCs w:val="18"/>
                <w:highlight w:val="cyan"/>
                <w:lang w:val="de-DE" w:eastAsia="de-DE"/>
              </w:rPr>
            </w:pPr>
            <w:r>
              <w:rPr>
                <w:rFonts w:eastAsia="Times New Roman"/>
                <w:b/>
                <w:bCs/>
                <w:color w:val="000000"/>
                <w:sz w:val="18"/>
                <w:szCs w:val="18"/>
                <w:highlight w:val="cyan"/>
                <w:lang w:val="de-DE" w:eastAsia="de-DE"/>
              </w:rPr>
              <w:t>PB20N</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 xml:space="preserve">36.1 ± 12.3 </w:t>
            </w:r>
            <w:r>
              <w:rPr>
                <w:rFonts w:eastAsia="Times New Roman"/>
                <w:color w:val="000000"/>
                <w:sz w:val="16"/>
                <w:szCs w:val="16"/>
                <w:highlight w:val="cyan"/>
                <w:vertAlign w:val="superscript"/>
                <w:lang w:val="de-DE" w:eastAsia="de-DE"/>
              </w:rPr>
              <w:t>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0.1 ± 5.5</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-23.2 ± 14.3</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-16.4 ± 7.4</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-9.7 ± 10.4</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50.3 ± 19</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-33.5 ± 9.1</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27.9 ± 10.9</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-27 ± 10</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99.5 ± 24.3</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-22.8 ± 4.5</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-57.7 ± 10.7</w:t>
            </w:r>
            <w:r>
              <w:rPr>
                <w:rFonts w:eastAsia="Times New Roman"/>
                <w:color w:val="000000"/>
                <w:sz w:val="16"/>
                <w:szCs w:val="16"/>
                <w:highlight w:val="cyan"/>
                <w:vertAlign w:val="superscript"/>
                <w:lang w:val="de-DE" w:eastAsia="de-DE"/>
              </w:rPr>
              <w:t xml:space="preserve"> a</w:t>
            </w:r>
          </w:p>
        </w:tc>
      </w:tr>
      <w:tr>
        <w:trPr>
          <w:trHeight w:val="300"/>
        </w:trPr>
        <w:tc>
          <w:tcPr>
            <w:tcW w:w="1190" w:type="dxa"/>
            <w:tcBorders>
              <w:top w:val="nil"/>
              <w:left w:val="nil"/>
              <w:bottom w:val="nil"/>
              <w:right w:val="nil"/>
            </w:tcBorders>
            <w:shd w:val="clear" w:color="auto" w:fill="auto"/>
            <w:noWrap/>
            <w:vAlign w:val="bottom"/>
            <w:hideMark/>
          </w:tcPr>
          <w:p>
            <w:pPr>
              <w:spacing w:after="0"/>
              <w:jc w:val="center"/>
              <w:rPr>
                <w:rFonts w:eastAsia="Times New Roman"/>
                <w:b/>
                <w:bCs/>
                <w:color w:val="000000"/>
                <w:sz w:val="18"/>
                <w:szCs w:val="18"/>
                <w:highlight w:val="cyan"/>
                <w:lang w:val="de-DE" w:eastAsia="de-DE"/>
              </w:rPr>
            </w:pPr>
            <w:r>
              <w:rPr>
                <w:rFonts w:eastAsia="Times New Roman"/>
                <w:b/>
                <w:bCs/>
                <w:color w:val="000000"/>
                <w:sz w:val="18"/>
                <w:szCs w:val="18"/>
                <w:highlight w:val="cyan"/>
                <w:lang w:val="de-DE" w:eastAsia="de-DE"/>
              </w:rPr>
              <w:t>PB10_MF140</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 xml:space="preserve">37.7 ± 10.4 </w:t>
            </w:r>
            <w:r>
              <w:rPr>
                <w:rFonts w:eastAsia="Times New Roman"/>
                <w:color w:val="000000"/>
                <w:sz w:val="16"/>
                <w:szCs w:val="16"/>
                <w:highlight w:val="cyan"/>
                <w:vertAlign w:val="superscript"/>
                <w:lang w:val="de-DE" w:eastAsia="de-DE"/>
              </w:rPr>
              <w:t>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 ± 4.2</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-32.1 ± 9.8</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-18.9 ± 5.3</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-5.8 ± 6.2</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59.9 ± 21.4</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-28.7 ± 10.6</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23.2 ± 20.5</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-32.4 ± 16</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104.2 ± 2.6</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-44.2 ± 11.5</w:t>
            </w:r>
            <w:r>
              <w:rPr>
                <w:rFonts w:eastAsia="Times New Roman"/>
                <w:color w:val="000000"/>
                <w:sz w:val="16"/>
                <w:szCs w:val="16"/>
                <w:highlight w:val="cyan"/>
                <w:vertAlign w:val="superscript"/>
                <w:lang w:val="de-DE" w:eastAsia="de-DE"/>
              </w:rPr>
              <w:t xml:space="preserve"> abc</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-59.3 ± 6.2</w:t>
            </w:r>
            <w:r>
              <w:rPr>
                <w:rFonts w:eastAsia="Times New Roman"/>
                <w:color w:val="000000"/>
                <w:sz w:val="16"/>
                <w:szCs w:val="16"/>
                <w:highlight w:val="cyan"/>
                <w:vertAlign w:val="superscript"/>
                <w:lang w:val="de-DE" w:eastAsia="de-DE"/>
              </w:rPr>
              <w:t xml:space="preserve"> a</w:t>
            </w:r>
          </w:p>
        </w:tc>
      </w:tr>
      <w:tr>
        <w:trPr>
          <w:trHeight w:val="300"/>
        </w:trPr>
        <w:tc>
          <w:tcPr>
            <w:tcW w:w="1190" w:type="dxa"/>
            <w:tcBorders>
              <w:top w:val="nil"/>
              <w:left w:val="nil"/>
              <w:bottom w:val="nil"/>
              <w:right w:val="nil"/>
            </w:tcBorders>
            <w:shd w:val="clear" w:color="auto" w:fill="auto"/>
            <w:noWrap/>
            <w:vAlign w:val="bottom"/>
            <w:hideMark/>
          </w:tcPr>
          <w:p>
            <w:pPr>
              <w:spacing w:after="0"/>
              <w:jc w:val="center"/>
              <w:rPr>
                <w:rFonts w:eastAsia="Times New Roman"/>
                <w:b/>
                <w:bCs/>
                <w:color w:val="000000"/>
                <w:sz w:val="18"/>
                <w:szCs w:val="18"/>
                <w:highlight w:val="cyan"/>
                <w:lang w:val="de-DE" w:eastAsia="de-DE"/>
              </w:rPr>
            </w:pPr>
            <w:r>
              <w:rPr>
                <w:rFonts w:eastAsia="Times New Roman"/>
                <w:b/>
                <w:bCs/>
                <w:color w:val="000000"/>
                <w:sz w:val="18"/>
                <w:szCs w:val="18"/>
                <w:highlight w:val="cyan"/>
                <w:lang w:val="de-DE" w:eastAsia="de-DE"/>
              </w:rPr>
              <w:t>PB20_MF140</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 xml:space="preserve">20.7 ± 11 </w:t>
            </w:r>
            <w:r>
              <w:rPr>
                <w:rFonts w:eastAsia="Times New Roman"/>
                <w:color w:val="000000"/>
                <w:sz w:val="16"/>
                <w:szCs w:val="16"/>
                <w:highlight w:val="cyan"/>
                <w:vertAlign w:val="superscript"/>
                <w:lang w:val="de-DE" w:eastAsia="de-DE"/>
              </w:rPr>
              <w:t>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-1.7 ± 8.1</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-17.7 ± 5.8</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-6.4 ± 13.6</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 ± 13.7</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35.8 ± 11.8</w:t>
            </w:r>
            <w:r>
              <w:rPr>
                <w:rFonts w:eastAsia="Times New Roman"/>
                <w:color w:val="000000"/>
                <w:sz w:val="16"/>
                <w:szCs w:val="16"/>
                <w:highlight w:val="cyan"/>
                <w:vertAlign w:val="superscript"/>
                <w:lang w:val="de-DE" w:eastAsia="de-DE"/>
              </w:rPr>
              <w:t xml:space="preserve"> 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-26 ± 8.1</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1.3 ± 9.1</w:t>
            </w:r>
            <w:r>
              <w:rPr>
                <w:rFonts w:eastAsia="Times New Roman"/>
                <w:color w:val="000000"/>
                <w:sz w:val="16"/>
                <w:szCs w:val="16"/>
                <w:highlight w:val="cyan"/>
                <w:vertAlign w:val="superscript"/>
                <w:lang w:val="de-DE" w:eastAsia="de-DE"/>
              </w:rPr>
              <w:t xml:space="preserve"> bc</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-13.4 ± 8.4</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73.3 ± 45.8</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-44.5 ± 17.6</w:t>
            </w:r>
            <w:r>
              <w:rPr>
                <w:rFonts w:eastAsia="Times New Roman"/>
                <w:color w:val="000000"/>
                <w:sz w:val="16"/>
                <w:szCs w:val="16"/>
                <w:highlight w:val="cyan"/>
                <w:vertAlign w:val="superscript"/>
                <w:lang w:val="de-DE" w:eastAsia="de-DE"/>
              </w:rPr>
              <w:t xml:space="preserve"> abc</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-54.7 ± 8</w:t>
            </w:r>
            <w:r>
              <w:rPr>
                <w:rFonts w:eastAsia="Times New Roman"/>
                <w:color w:val="000000"/>
                <w:sz w:val="16"/>
                <w:szCs w:val="16"/>
                <w:highlight w:val="cyan"/>
                <w:vertAlign w:val="superscript"/>
                <w:lang w:val="de-DE" w:eastAsia="de-DE"/>
              </w:rPr>
              <w:t xml:space="preserve"> a</w:t>
            </w:r>
          </w:p>
        </w:tc>
      </w:tr>
      <w:tr>
        <w:trPr>
          <w:trHeight w:val="300"/>
        </w:trPr>
        <w:tc>
          <w:tcPr>
            <w:tcW w:w="1190" w:type="dxa"/>
            <w:tcBorders>
              <w:top w:val="nil"/>
              <w:left w:val="nil"/>
              <w:bottom w:val="nil"/>
              <w:right w:val="nil"/>
            </w:tcBorders>
            <w:shd w:val="clear" w:color="auto" w:fill="auto"/>
            <w:noWrap/>
            <w:vAlign w:val="bottom"/>
            <w:hideMark/>
          </w:tcPr>
          <w:p>
            <w:pPr>
              <w:spacing w:after="0"/>
              <w:jc w:val="center"/>
              <w:rPr>
                <w:rFonts w:eastAsia="Times New Roman"/>
                <w:b/>
                <w:bCs/>
                <w:color w:val="000000"/>
                <w:sz w:val="18"/>
                <w:szCs w:val="18"/>
                <w:highlight w:val="cyan"/>
                <w:lang w:val="de-DE" w:eastAsia="de-DE"/>
              </w:rPr>
            </w:pPr>
            <w:r>
              <w:rPr>
                <w:rFonts w:eastAsia="Times New Roman"/>
                <w:b/>
                <w:bCs/>
                <w:color w:val="000000"/>
                <w:sz w:val="18"/>
                <w:szCs w:val="18"/>
                <w:highlight w:val="cyan"/>
                <w:lang w:val="de-DE" w:eastAsia="de-DE"/>
              </w:rPr>
              <w:t>B_MF140</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 xml:space="preserve">56.6 ± 13.2 </w:t>
            </w:r>
            <w:r>
              <w:rPr>
                <w:rFonts w:eastAsia="Times New Roman"/>
                <w:color w:val="000000"/>
                <w:sz w:val="16"/>
                <w:szCs w:val="16"/>
                <w:highlight w:val="cyan"/>
                <w:vertAlign w:val="superscript"/>
                <w:lang w:val="de-DE" w:eastAsia="de-DE"/>
              </w:rPr>
              <w:t>a</w:t>
            </w:r>
            <w:r>
              <w:rPr>
                <w:rFonts w:eastAsia="Times New Roman"/>
                <w:color w:val="000000"/>
                <w:sz w:val="16"/>
                <w:szCs w:val="16"/>
                <w:highlight w:val="cyan"/>
                <w:lang w:val="de-DE" w:eastAsia="de-DE"/>
              </w:rPr>
              <w:t xml:space="preserve"> </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-13.7 ± 8.9</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-33.3 ± 11.5</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-17.5 ± 12</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-2.9 ± 8.8</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91.7 ± 21.8</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-32 ± 6.3</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-18.7 ± 4.2</w:t>
            </w:r>
            <w:r>
              <w:rPr>
                <w:rFonts w:eastAsia="Times New Roman"/>
                <w:color w:val="000000"/>
                <w:sz w:val="16"/>
                <w:szCs w:val="16"/>
                <w:highlight w:val="cyan"/>
                <w:vertAlign w:val="superscript"/>
                <w:lang w:val="de-DE" w:eastAsia="de-DE"/>
              </w:rPr>
              <w:t xml:space="preserve"> c</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-40.6 ± 7.2</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107.3 ± 55</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-15.8 ± 13.8</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-57.3 ± 4.3</w:t>
            </w:r>
            <w:r>
              <w:rPr>
                <w:rFonts w:eastAsia="Times New Roman"/>
                <w:color w:val="000000"/>
                <w:sz w:val="16"/>
                <w:szCs w:val="16"/>
                <w:highlight w:val="cyan"/>
                <w:vertAlign w:val="superscript"/>
                <w:lang w:val="de-DE" w:eastAsia="de-DE"/>
              </w:rPr>
              <w:t xml:space="preserve"> a</w:t>
            </w:r>
          </w:p>
        </w:tc>
      </w:tr>
      <w:tr>
        <w:trPr>
          <w:trHeight w:val="300"/>
        </w:trPr>
        <w:tc>
          <w:tcPr>
            <w:tcW w:w="1190" w:type="dxa"/>
            <w:tcBorders>
              <w:top w:val="nil"/>
              <w:left w:val="nil"/>
              <w:bottom w:val="nil"/>
              <w:right w:val="nil"/>
            </w:tcBorders>
            <w:shd w:val="clear" w:color="auto" w:fill="auto"/>
            <w:noWrap/>
            <w:vAlign w:val="bottom"/>
            <w:hideMark/>
          </w:tcPr>
          <w:p>
            <w:pPr>
              <w:spacing w:after="0"/>
              <w:jc w:val="center"/>
              <w:rPr>
                <w:rFonts w:eastAsia="Times New Roman"/>
                <w:b/>
                <w:bCs/>
                <w:color w:val="000000"/>
                <w:sz w:val="18"/>
                <w:szCs w:val="18"/>
                <w:highlight w:val="cyan"/>
                <w:lang w:val="de-DE" w:eastAsia="de-DE"/>
              </w:rPr>
            </w:pPr>
            <w:r>
              <w:rPr>
                <w:rFonts w:eastAsia="Times New Roman"/>
                <w:b/>
                <w:bCs/>
                <w:color w:val="000000"/>
                <w:sz w:val="18"/>
                <w:szCs w:val="18"/>
                <w:highlight w:val="cyan"/>
                <w:lang w:val="de-DE" w:eastAsia="de-DE"/>
              </w:rPr>
              <w:t>P_MF50</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 xml:space="preserve">43.2 ± 12.7 </w:t>
            </w:r>
            <w:r>
              <w:rPr>
                <w:rFonts w:eastAsia="Times New Roman"/>
                <w:color w:val="000000"/>
                <w:sz w:val="16"/>
                <w:szCs w:val="16"/>
                <w:highlight w:val="cyan"/>
                <w:vertAlign w:val="superscript"/>
                <w:lang w:val="de-DE" w:eastAsia="de-DE"/>
              </w:rPr>
              <w:t>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-1.4 ± 4.7</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-25.9 ± 11.8</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-23 ± 17.1</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-9.4 ± 8.7</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62.9 ± 16.6</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-31.6 ± 8.6</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28.5 ± 14.3</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-29 ± 17.5</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95.4 ± 18.8</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-32.6 ± 9.6</w:t>
            </w:r>
            <w:r>
              <w:rPr>
                <w:rFonts w:eastAsia="Times New Roman"/>
                <w:color w:val="000000"/>
                <w:sz w:val="16"/>
                <w:szCs w:val="16"/>
                <w:highlight w:val="cyan"/>
                <w:vertAlign w:val="superscript"/>
                <w:lang w:val="de-DE" w:eastAsia="de-DE"/>
              </w:rPr>
              <w:t xml:space="preserve"> abc</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-59.3 ± 6.3</w:t>
            </w:r>
            <w:r>
              <w:rPr>
                <w:rFonts w:eastAsia="Times New Roman"/>
                <w:color w:val="000000"/>
                <w:sz w:val="16"/>
                <w:szCs w:val="16"/>
                <w:highlight w:val="cyan"/>
                <w:vertAlign w:val="superscript"/>
                <w:lang w:val="de-DE" w:eastAsia="de-DE"/>
              </w:rPr>
              <w:t xml:space="preserve"> a</w:t>
            </w:r>
          </w:p>
        </w:tc>
      </w:tr>
      <w:tr>
        <w:trPr>
          <w:trHeight w:val="300"/>
        </w:trPr>
        <w:tc>
          <w:tcPr>
            <w:tcW w:w="1190" w:type="dxa"/>
            <w:tcBorders>
              <w:top w:val="nil"/>
              <w:left w:val="nil"/>
              <w:bottom w:val="nil"/>
              <w:right w:val="nil"/>
            </w:tcBorders>
            <w:shd w:val="clear" w:color="auto" w:fill="auto"/>
            <w:noWrap/>
            <w:vAlign w:val="bottom"/>
            <w:hideMark/>
          </w:tcPr>
          <w:p>
            <w:pPr>
              <w:spacing w:after="0"/>
              <w:jc w:val="center"/>
              <w:rPr>
                <w:rFonts w:eastAsia="Times New Roman"/>
                <w:b/>
                <w:bCs/>
                <w:color w:val="000000"/>
                <w:sz w:val="18"/>
                <w:szCs w:val="18"/>
                <w:highlight w:val="cyan"/>
                <w:lang w:val="de-DE" w:eastAsia="de-DE"/>
              </w:rPr>
            </w:pPr>
            <w:r>
              <w:rPr>
                <w:rFonts w:eastAsia="Times New Roman"/>
                <w:b/>
                <w:bCs/>
                <w:color w:val="000000"/>
                <w:sz w:val="18"/>
                <w:szCs w:val="18"/>
                <w:highlight w:val="cyan"/>
                <w:lang w:val="de-DE" w:eastAsia="de-DE"/>
              </w:rPr>
              <w:t>PB10_MF50</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 xml:space="preserve">50.9 ± 4.8 </w:t>
            </w:r>
            <w:r>
              <w:rPr>
                <w:rFonts w:eastAsia="Times New Roman"/>
                <w:color w:val="000000"/>
                <w:sz w:val="16"/>
                <w:szCs w:val="16"/>
                <w:highlight w:val="cyan"/>
                <w:vertAlign w:val="superscript"/>
                <w:lang w:val="de-DE" w:eastAsia="de-DE"/>
              </w:rPr>
              <w:t>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-5.5 ± 7.2</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-29.6 ± 2</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-19.5 ± 6.7</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-11.9 ± 9.6</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73 ± 12.8</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-31.5 ± 7</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18.2 ± 10.3</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-37.7 ± 11.7</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112.7 ± 20.4</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-35.8 ± 9.9</w:t>
            </w:r>
            <w:r>
              <w:rPr>
                <w:rFonts w:eastAsia="Times New Roman"/>
                <w:color w:val="000000"/>
                <w:sz w:val="16"/>
                <w:szCs w:val="16"/>
                <w:highlight w:val="cyan"/>
                <w:vertAlign w:val="superscript"/>
                <w:lang w:val="de-DE" w:eastAsia="de-DE"/>
              </w:rPr>
              <w:t xml:space="preserve"> abc</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-62 ± 4.1</w:t>
            </w:r>
            <w:r>
              <w:rPr>
                <w:rFonts w:eastAsia="Times New Roman"/>
                <w:color w:val="000000"/>
                <w:sz w:val="16"/>
                <w:szCs w:val="16"/>
                <w:highlight w:val="cyan"/>
                <w:vertAlign w:val="superscript"/>
                <w:lang w:val="de-DE" w:eastAsia="de-DE"/>
              </w:rPr>
              <w:t xml:space="preserve"> a</w:t>
            </w:r>
          </w:p>
        </w:tc>
      </w:tr>
      <w:tr>
        <w:trPr>
          <w:trHeight w:val="300"/>
        </w:trPr>
        <w:tc>
          <w:tcPr>
            <w:tcW w:w="1190" w:type="dxa"/>
            <w:tcBorders>
              <w:top w:val="nil"/>
              <w:left w:val="nil"/>
              <w:bottom w:val="nil"/>
              <w:right w:val="nil"/>
            </w:tcBorders>
            <w:shd w:val="clear" w:color="auto" w:fill="auto"/>
            <w:noWrap/>
            <w:vAlign w:val="bottom"/>
            <w:hideMark/>
          </w:tcPr>
          <w:p>
            <w:pPr>
              <w:spacing w:after="0"/>
              <w:jc w:val="center"/>
              <w:rPr>
                <w:rFonts w:eastAsia="Times New Roman"/>
                <w:b/>
                <w:bCs/>
                <w:color w:val="000000"/>
                <w:sz w:val="18"/>
                <w:szCs w:val="18"/>
                <w:highlight w:val="cyan"/>
                <w:lang w:val="de-DE" w:eastAsia="de-DE"/>
              </w:rPr>
            </w:pPr>
            <w:r>
              <w:rPr>
                <w:rFonts w:eastAsia="Times New Roman"/>
                <w:b/>
                <w:bCs/>
                <w:color w:val="000000"/>
                <w:sz w:val="18"/>
                <w:szCs w:val="18"/>
                <w:highlight w:val="cyan"/>
                <w:lang w:val="de-DE" w:eastAsia="de-DE"/>
              </w:rPr>
              <w:t>PB20_MF50</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 xml:space="preserve">34.2 ± 11.6 </w:t>
            </w:r>
            <w:r>
              <w:rPr>
                <w:rFonts w:eastAsia="Times New Roman"/>
                <w:color w:val="000000"/>
                <w:sz w:val="16"/>
                <w:szCs w:val="16"/>
                <w:highlight w:val="cyan"/>
                <w:vertAlign w:val="superscript"/>
                <w:lang w:val="de-DE" w:eastAsia="de-DE"/>
              </w:rPr>
              <w:t>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-0.6 ± 1.6</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-18 ± 6.9</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-17.6 ± 5.8</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-0.1 ± 7.2</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57.2 ± 16.2</w:t>
            </w:r>
            <w:r>
              <w:rPr>
                <w:rFonts w:eastAsia="Times New Roman"/>
                <w:color w:val="000000"/>
                <w:sz w:val="16"/>
                <w:szCs w:val="16"/>
                <w:highlight w:val="cyan"/>
                <w:vertAlign w:val="superscript"/>
                <w:lang w:val="de-DE" w:eastAsia="de-DE"/>
              </w:rPr>
              <w:t xml:space="preserve"> ab</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-25.3 ± 10.1</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4.9 ± 5.5</w:t>
            </w:r>
            <w:r>
              <w:rPr>
                <w:rFonts w:eastAsia="Times New Roman"/>
                <w:color w:val="000000"/>
                <w:sz w:val="16"/>
                <w:szCs w:val="16"/>
                <w:highlight w:val="cyan"/>
                <w:vertAlign w:val="superscript"/>
                <w:lang w:val="de-DE" w:eastAsia="de-DE"/>
              </w:rPr>
              <w:t xml:space="preserve"> abc</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-20.8 ± 9.3</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78.7 ± 6.6</w:t>
            </w:r>
            <w:r>
              <w:rPr>
                <w:rFonts w:eastAsia="Times New Roman"/>
                <w:color w:val="000000"/>
                <w:sz w:val="16"/>
                <w:szCs w:val="16"/>
                <w:highlight w:val="cyan"/>
                <w:vertAlign w:val="superscript"/>
                <w:lang w:val="de-DE" w:eastAsia="de-DE"/>
              </w:rPr>
              <w:t xml:space="preserve"> a</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-32.6 ± 15.3</w:t>
            </w:r>
            <w:r>
              <w:rPr>
                <w:rFonts w:eastAsia="Times New Roman"/>
                <w:color w:val="000000"/>
                <w:sz w:val="16"/>
                <w:szCs w:val="16"/>
                <w:highlight w:val="cyan"/>
                <w:vertAlign w:val="superscript"/>
                <w:lang w:val="de-DE" w:eastAsia="de-DE"/>
              </w:rPr>
              <w:t xml:space="preserve"> abc</w:t>
            </w:r>
          </w:p>
        </w:tc>
        <w:tc>
          <w:tcPr>
            <w:tcW w:w="1134" w:type="dxa"/>
            <w:tcBorders>
              <w:top w:val="nil"/>
              <w:left w:val="nil"/>
              <w:bottom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-55.8 ± 4.3</w:t>
            </w:r>
            <w:r>
              <w:rPr>
                <w:rFonts w:eastAsia="Times New Roman"/>
                <w:color w:val="000000"/>
                <w:sz w:val="16"/>
                <w:szCs w:val="16"/>
                <w:highlight w:val="cyan"/>
                <w:vertAlign w:val="superscript"/>
                <w:lang w:val="de-DE" w:eastAsia="de-DE"/>
              </w:rPr>
              <w:t xml:space="preserve"> a</w:t>
            </w:r>
          </w:p>
        </w:tc>
      </w:tr>
      <w:tr>
        <w:trPr>
          <w:trHeight w:val="300"/>
        </w:trPr>
        <w:tc>
          <w:tcPr>
            <w:tcW w:w="1190" w:type="dxa"/>
            <w:tcBorders>
              <w:top w:val="nil"/>
              <w:left w:val="nil"/>
              <w:right w:val="nil"/>
            </w:tcBorders>
            <w:shd w:val="clear" w:color="auto" w:fill="auto"/>
            <w:noWrap/>
            <w:vAlign w:val="bottom"/>
            <w:hideMark/>
          </w:tcPr>
          <w:p>
            <w:pPr>
              <w:spacing w:after="0"/>
              <w:jc w:val="center"/>
              <w:rPr>
                <w:rFonts w:eastAsia="Times New Roman"/>
                <w:b/>
                <w:bCs/>
                <w:color w:val="000000"/>
                <w:sz w:val="18"/>
                <w:szCs w:val="18"/>
                <w:highlight w:val="cyan"/>
                <w:lang w:val="de-DE" w:eastAsia="de-DE"/>
              </w:rPr>
            </w:pPr>
            <w:r>
              <w:rPr>
                <w:rFonts w:eastAsia="Times New Roman"/>
                <w:b/>
                <w:bCs/>
                <w:color w:val="000000"/>
                <w:sz w:val="18"/>
                <w:szCs w:val="18"/>
                <w:highlight w:val="cyan"/>
                <w:lang w:val="de-DE" w:eastAsia="de-DE"/>
              </w:rPr>
              <w:t>B_MF50</w:t>
            </w:r>
          </w:p>
        </w:tc>
        <w:tc>
          <w:tcPr>
            <w:tcW w:w="1134" w:type="dxa"/>
            <w:tcBorders>
              <w:top w:val="nil"/>
              <w:left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 xml:space="preserve">35.2 ± 12.5a </w:t>
            </w:r>
            <w:r>
              <w:rPr>
                <w:rFonts w:eastAsia="Times New Roman"/>
                <w:color w:val="000000"/>
                <w:sz w:val="16"/>
                <w:szCs w:val="16"/>
                <w:highlight w:val="cyan"/>
                <w:vertAlign w:val="superscript"/>
                <w:lang w:val="de-DE" w:eastAsia="de-DE"/>
              </w:rPr>
              <w:t>ab</w:t>
            </w:r>
          </w:p>
        </w:tc>
        <w:tc>
          <w:tcPr>
            <w:tcW w:w="1134" w:type="dxa"/>
            <w:tcBorders>
              <w:top w:val="nil"/>
              <w:left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-2.8 ± 5.6</w:t>
            </w:r>
            <w:r>
              <w:rPr>
                <w:rFonts w:eastAsia="Times New Roman"/>
                <w:color w:val="000000"/>
                <w:sz w:val="16"/>
                <w:szCs w:val="16"/>
                <w:highlight w:val="cyan"/>
                <w:vertAlign w:val="superscript"/>
                <w:lang w:val="de-DE" w:eastAsia="de-DE"/>
              </w:rPr>
              <w:t xml:space="preserve"> a</w:t>
            </w:r>
          </w:p>
        </w:tc>
        <w:tc>
          <w:tcPr>
            <w:tcW w:w="1134" w:type="dxa"/>
            <w:tcBorders>
              <w:top w:val="nil"/>
              <w:left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-14.7 ± 5.1</w:t>
            </w:r>
            <w:r>
              <w:rPr>
                <w:rFonts w:eastAsia="Times New Roman"/>
                <w:color w:val="000000"/>
                <w:sz w:val="16"/>
                <w:szCs w:val="16"/>
                <w:highlight w:val="cyan"/>
                <w:vertAlign w:val="superscript"/>
                <w:lang w:val="de-DE" w:eastAsia="de-DE"/>
              </w:rPr>
              <w:t xml:space="preserve"> a</w:t>
            </w:r>
          </w:p>
        </w:tc>
        <w:tc>
          <w:tcPr>
            <w:tcW w:w="1134" w:type="dxa"/>
            <w:tcBorders>
              <w:top w:val="nil"/>
              <w:left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-15.3 ± 10.4</w:t>
            </w:r>
            <w:r>
              <w:rPr>
                <w:rFonts w:eastAsia="Times New Roman"/>
                <w:color w:val="000000"/>
                <w:sz w:val="16"/>
                <w:szCs w:val="16"/>
                <w:highlight w:val="cyan"/>
                <w:vertAlign w:val="superscript"/>
                <w:lang w:val="de-DE" w:eastAsia="de-DE"/>
              </w:rPr>
              <w:t xml:space="preserve"> a</w:t>
            </w:r>
          </w:p>
        </w:tc>
        <w:tc>
          <w:tcPr>
            <w:tcW w:w="1134" w:type="dxa"/>
            <w:tcBorders>
              <w:top w:val="nil"/>
              <w:left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-1.8 ± 7.4</w:t>
            </w:r>
            <w:r>
              <w:rPr>
                <w:rFonts w:eastAsia="Times New Roman"/>
                <w:color w:val="000000"/>
                <w:sz w:val="16"/>
                <w:szCs w:val="16"/>
                <w:highlight w:val="cyan"/>
                <w:vertAlign w:val="superscript"/>
                <w:lang w:val="de-DE" w:eastAsia="de-DE"/>
              </w:rPr>
              <w:t xml:space="preserve"> a</w:t>
            </w:r>
          </w:p>
        </w:tc>
        <w:tc>
          <w:tcPr>
            <w:tcW w:w="1134" w:type="dxa"/>
            <w:tcBorders>
              <w:top w:val="nil"/>
              <w:left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61.2 ± 19.5</w:t>
            </w:r>
            <w:r>
              <w:rPr>
                <w:rFonts w:eastAsia="Times New Roman"/>
                <w:color w:val="000000"/>
                <w:sz w:val="16"/>
                <w:szCs w:val="16"/>
                <w:highlight w:val="cyan"/>
                <w:vertAlign w:val="superscript"/>
                <w:lang w:val="de-DE" w:eastAsia="de-DE"/>
              </w:rPr>
              <w:t xml:space="preserve"> ab</w:t>
            </w:r>
          </w:p>
        </w:tc>
        <w:tc>
          <w:tcPr>
            <w:tcW w:w="1134" w:type="dxa"/>
            <w:tcBorders>
              <w:top w:val="nil"/>
              <w:left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-21 ± 9.1</w:t>
            </w:r>
            <w:r>
              <w:rPr>
                <w:rFonts w:eastAsia="Times New Roman"/>
                <w:color w:val="000000"/>
                <w:sz w:val="16"/>
                <w:szCs w:val="16"/>
                <w:highlight w:val="cyan"/>
                <w:vertAlign w:val="superscript"/>
                <w:lang w:val="de-DE" w:eastAsia="de-DE"/>
              </w:rPr>
              <w:t xml:space="preserve"> a</w:t>
            </w:r>
          </w:p>
        </w:tc>
        <w:tc>
          <w:tcPr>
            <w:tcW w:w="1134" w:type="dxa"/>
            <w:tcBorders>
              <w:top w:val="nil"/>
              <w:left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0.4 ± 7.6</w:t>
            </w:r>
            <w:r>
              <w:rPr>
                <w:rFonts w:eastAsia="Times New Roman"/>
                <w:color w:val="000000"/>
                <w:sz w:val="16"/>
                <w:szCs w:val="16"/>
                <w:highlight w:val="cyan"/>
                <w:vertAlign w:val="superscript"/>
                <w:lang w:val="de-DE" w:eastAsia="de-DE"/>
              </w:rPr>
              <w:t xml:space="preserve"> bc</w:t>
            </w:r>
          </w:p>
        </w:tc>
        <w:tc>
          <w:tcPr>
            <w:tcW w:w="1134" w:type="dxa"/>
            <w:tcBorders>
              <w:top w:val="nil"/>
              <w:left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-19.4 ± 7.5</w:t>
            </w:r>
            <w:r>
              <w:rPr>
                <w:rFonts w:eastAsia="Times New Roman"/>
                <w:color w:val="000000"/>
                <w:sz w:val="16"/>
                <w:szCs w:val="16"/>
                <w:highlight w:val="cyan"/>
                <w:vertAlign w:val="superscript"/>
                <w:lang w:val="de-DE" w:eastAsia="de-DE"/>
              </w:rPr>
              <w:t xml:space="preserve"> a</w:t>
            </w:r>
          </w:p>
        </w:tc>
        <w:tc>
          <w:tcPr>
            <w:tcW w:w="1134" w:type="dxa"/>
            <w:tcBorders>
              <w:top w:val="nil"/>
              <w:left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93.2 ± 28.2</w:t>
            </w:r>
            <w:r>
              <w:rPr>
                <w:rFonts w:eastAsia="Times New Roman"/>
                <w:color w:val="000000"/>
                <w:sz w:val="16"/>
                <w:szCs w:val="16"/>
                <w:highlight w:val="cyan"/>
                <w:vertAlign w:val="superscript"/>
                <w:lang w:val="de-DE" w:eastAsia="de-DE"/>
              </w:rPr>
              <w:t xml:space="preserve"> a</w:t>
            </w:r>
          </w:p>
        </w:tc>
        <w:tc>
          <w:tcPr>
            <w:tcW w:w="1134" w:type="dxa"/>
            <w:tcBorders>
              <w:top w:val="nil"/>
              <w:left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-33 ± 18</w:t>
            </w:r>
            <w:r>
              <w:rPr>
                <w:rFonts w:eastAsia="Times New Roman"/>
                <w:color w:val="000000"/>
                <w:sz w:val="16"/>
                <w:szCs w:val="16"/>
                <w:highlight w:val="cyan"/>
                <w:vertAlign w:val="superscript"/>
                <w:lang w:val="de-DE" w:eastAsia="de-DE"/>
              </w:rPr>
              <w:t xml:space="preserve"> abc</w:t>
            </w:r>
          </w:p>
        </w:tc>
        <w:tc>
          <w:tcPr>
            <w:tcW w:w="1134" w:type="dxa"/>
            <w:tcBorders>
              <w:top w:val="nil"/>
              <w:left w:val="nil"/>
              <w:right w:val="nil"/>
            </w:tcBorders>
            <w:shd w:val="clear" w:color="auto" w:fill="auto"/>
            <w:noWrap/>
            <w:vAlign w:val="bottom"/>
            <w:hideMark/>
          </w:tcPr>
          <w:p>
            <w:pPr>
              <w:spacing w:after="0"/>
              <w:jc w:val="center"/>
              <w:rPr>
                <w:rFonts w:eastAsia="Times New Roman"/>
                <w:color w:val="000000"/>
                <w:sz w:val="16"/>
                <w:szCs w:val="16"/>
                <w:highlight w:val="cyan"/>
                <w:lang w:val="de-DE" w:eastAsia="de-DE"/>
              </w:rPr>
            </w:pPr>
            <w:r>
              <w:rPr>
                <w:rFonts w:eastAsia="Times New Roman"/>
                <w:color w:val="000000"/>
                <w:sz w:val="16"/>
                <w:szCs w:val="16"/>
                <w:highlight w:val="cyan"/>
                <w:lang w:val="de-DE" w:eastAsia="de-DE"/>
              </w:rPr>
              <w:t>-54.2 ± 3.3</w:t>
            </w:r>
            <w:r>
              <w:rPr>
                <w:rFonts w:eastAsia="Times New Roman"/>
                <w:color w:val="000000"/>
                <w:sz w:val="16"/>
                <w:szCs w:val="16"/>
                <w:highlight w:val="cyan"/>
                <w:vertAlign w:val="superscript"/>
                <w:lang w:val="de-DE" w:eastAsia="de-DE"/>
              </w:rPr>
              <w:t xml:space="preserve"> a</w:t>
            </w:r>
          </w:p>
        </w:tc>
      </w:tr>
      <w:tr>
        <w:trPr>
          <w:trHeight w:val="501"/>
        </w:trPr>
        <w:tc>
          <w:tcPr>
            <w:tcW w:w="1190" w:type="dxa"/>
            <w:tcBorders>
              <w:left w:val="nil"/>
              <w:bottom w:val="single" w:sz="4" w:space="0" w:color="auto"/>
              <w:right w:val="nil"/>
            </w:tcBorders>
            <w:shd w:val="clear" w:color="auto" w:fill="auto"/>
            <w:noWrap/>
            <w:vAlign w:val="center"/>
            <w:hideMark/>
          </w:tcPr>
          <w:p>
            <w:pPr>
              <w:spacing w:after="0"/>
              <w:jc w:val="center"/>
              <w:rPr>
                <w:rFonts w:eastAsia="Times New Roman"/>
                <w:b/>
                <w:bCs/>
                <w:color w:val="000000"/>
                <w:sz w:val="18"/>
                <w:szCs w:val="18"/>
                <w:highlight w:val="cyan"/>
                <w:lang w:val="de-DE" w:eastAsia="de-DE"/>
              </w:rPr>
            </w:pPr>
            <w:r>
              <w:rPr>
                <w:rFonts w:eastAsia="Times New Roman"/>
                <w:b/>
                <w:bCs/>
                <w:color w:val="000000"/>
                <w:sz w:val="18"/>
                <w:szCs w:val="18"/>
                <w:highlight w:val="cyan"/>
                <w:lang w:val="de-DE" w:eastAsia="de-DE"/>
              </w:rPr>
              <w:t>Average</w:t>
            </w:r>
          </w:p>
        </w:tc>
        <w:tc>
          <w:tcPr>
            <w:tcW w:w="1134" w:type="dxa"/>
            <w:tcBorders>
              <w:left w:val="nil"/>
              <w:bottom w:val="single" w:sz="4" w:space="0" w:color="auto"/>
              <w:right w:val="nil"/>
            </w:tcBorders>
            <w:shd w:val="clear" w:color="auto" w:fill="auto"/>
            <w:noWrap/>
            <w:vAlign w:val="center"/>
            <w:hideMark/>
          </w:tcPr>
          <w:p>
            <w:pPr>
              <w:spacing w:after="0"/>
              <w:jc w:val="center"/>
              <w:rPr>
                <w:rFonts w:eastAsia="Times New Roman"/>
                <w:b/>
                <w:color w:val="000000"/>
                <w:sz w:val="16"/>
                <w:szCs w:val="16"/>
                <w:highlight w:val="cyan"/>
                <w:lang w:val="de-DE" w:eastAsia="de-DE"/>
              </w:rPr>
            </w:pPr>
            <w:r>
              <w:rPr>
                <w:rFonts w:eastAsia="Times New Roman"/>
                <w:b/>
                <w:color w:val="000000"/>
                <w:sz w:val="16"/>
                <w:szCs w:val="16"/>
                <w:highlight w:val="cyan"/>
                <w:lang w:val="de-DE" w:eastAsia="de-DE"/>
              </w:rPr>
              <w:t>38.0 ± 15.1</w:t>
            </w:r>
          </w:p>
        </w:tc>
        <w:tc>
          <w:tcPr>
            <w:tcW w:w="1134" w:type="dxa"/>
            <w:tcBorders>
              <w:left w:val="nil"/>
              <w:bottom w:val="single" w:sz="4" w:space="0" w:color="auto"/>
              <w:right w:val="nil"/>
            </w:tcBorders>
            <w:shd w:val="clear" w:color="auto" w:fill="auto"/>
            <w:noWrap/>
            <w:vAlign w:val="center"/>
            <w:hideMark/>
          </w:tcPr>
          <w:p>
            <w:pPr>
              <w:spacing w:after="0"/>
              <w:jc w:val="center"/>
              <w:rPr>
                <w:rFonts w:eastAsia="Times New Roman"/>
                <w:b/>
                <w:color w:val="000000"/>
                <w:sz w:val="16"/>
                <w:szCs w:val="16"/>
                <w:highlight w:val="cyan"/>
                <w:lang w:val="de-DE" w:eastAsia="de-DE"/>
              </w:rPr>
            </w:pPr>
            <w:r>
              <w:rPr>
                <w:rFonts w:eastAsia="Times New Roman"/>
                <w:b/>
                <w:color w:val="000000"/>
                <w:sz w:val="16"/>
                <w:szCs w:val="16"/>
                <w:highlight w:val="cyan"/>
                <w:lang w:val="de-DE" w:eastAsia="de-DE"/>
              </w:rPr>
              <w:t>-3.5 ± 8</w:t>
            </w:r>
          </w:p>
        </w:tc>
        <w:tc>
          <w:tcPr>
            <w:tcW w:w="1134" w:type="dxa"/>
            <w:tcBorders>
              <w:left w:val="nil"/>
              <w:bottom w:val="single" w:sz="4" w:space="0" w:color="auto"/>
              <w:right w:val="nil"/>
            </w:tcBorders>
            <w:shd w:val="clear" w:color="auto" w:fill="auto"/>
            <w:noWrap/>
            <w:vAlign w:val="center"/>
            <w:hideMark/>
          </w:tcPr>
          <w:p>
            <w:pPr>
              <w:spacing w:after="0"/>
              <w:jc w:val="center"/>
              <w:rPr>
                <w:rFonts w:eastAsia="Times New Roman"/>
                <w:b/>
                <w:color w:val="000000"/>
                <w:sz w:val="16"/>
                <w:szCs w:val="16"/>
                <w:highlight w:val="cyan"/>
                <w:lang w:val="de-DE" w:eastAsia="de-DE"/>
              </w:rPr>
            </w:pPr>
            <w:r>
              <w:rPr>
                <w:rFonts w:eastAsia="Times New Roman"/>
                <w:b/>
                <w:color w:val="000000"/>
                <w:sz w:val="16"/>
                <w:szCs w:val="16"/>
                <w:highlight w:val="cyan"/>
                <w:lang w:val="de-DE" w:eastAsia="de-DE"/>
              </w:rPr>
              <w:t>-23.7 ± 12.9</w:t>
            </w:r>
            <w:r>
              <w:rPr>
                <w:rFonts w:eastAsia="Times New Roman"/>
                <w:b/>
                <w:color w:val="000000"/>
                <w:sz w:val="16"/>
                <w:szCs w:val="16"/>
                <w:highlight w:val="cyan"/>
                <w:vertAlign w:val="superscript"/>
                <w:lang w:val="de-DE" w:eastAsia="de-DE"/>
              </w:rPr>
              <w:t xml:space="preserve"> </w:t>
            </w:r>
          </w:p>
        </w:tc>
        <w:tc>
          <w:tcPr>
            <w:tcW w:w="1134" w:type="dxa"/>
            <w:tcBorders>
              <w:left w:val="nil"/>
              <w:bottom w:val="single" w:sz="4" w:space="0" w:color="auto"/>
              <w:right w:val="nil"/>
            </w:tcBorders>
            <w:shd w:val="clear" w:color="auto" w:fill="auto"/>
            <w:noWrap/>
            <w:vAlign w:val="center"/>
            <w:hideMark/>
          </w:tcPr>
          <w:p>
            <w:pPr>
              <w:spacing w:after="0"/>
              <w:jc w:val="center"/>
              <w:rPr>
                <w:rFonts w:eastAsia="Times New Roman"/>
                <w:b/>
                <w:color w:val="000000"/>
                <w:sz w:val="16"/>
                <w:szCs w:val="16"/>
                <w:highlight w:val="cyan"/>
                <w:lang w:val="de-DE" w:eastAsia="de-DE"/>
              </w:rPr>
            </w:pPr>
            <w:r>
              <w:rPr>
                <w:rFonts w:eastAsia="Times New Roman"/>
                <w:b/>
                <w:color w:val="000000"/>
                <w:sz w:val="16"/>
                <w:szCs w:val="16"/>
                <w:highlight w:val="cyan"/>
                <w:lang w:val="de-DE" w:eastAsia="de-DE"/>
              </w:rPr>
              <w:t>-17.7 ± 10.6</w:t>
            </w:r>
          </w:p>
        </w:tc>
        <w:tc>
          <w:tcPr>
            <w:tcW w:w="1134" w:type="dxa"/>
            <w:tcBorders>
              <w:left w:val="nil"/>
              <w:bottom w:val="single" w:sz="4" w:space="0" w:color="auto"/>
              <w:right w:val="nil"/>
            </w:tcBorders>
            <w:shd w:val="clear" w:color="auto" w:fill="auto"/>
            <w:noWrap/>
            <w:vAlign w:val="center"/>
            <w:hideMark/>
          </w:tcPr>
          <w:p>
            <w:pPr>
              <w:spacing w:after="0"/>
              <w:jc w:val="center"/>
              <w:rPr>
                <w:rFonts w:eastAsia="Times New Roman"/>
                <w:b/>
                <w:color w:val="000000"/>
                <w:sz w:val="16"/>
                <w:szCs w:val="16"/>
                <w:highlight w:val="cyan"/>
                <w:lang w:val="de-DE" w:eastAsia="de-DE"/>
              </w:rPr>
            </w:pPr>
            <w:r>
              <w:rPr>
                <w:rFonts w:eastAsia="Times New Roman"/>
                <w:b/>
                <w:color w:val="000000"/>
                <w:sz w:val="16"/>
                <w:szCs w:val="16"/>
                <w:highlight w:val="cyan"/>
                <w:lang w:val="de-DE" w:eastAsia="de-DE"/>
              </w:rPr>
              <w:t>-6.2 ± 9.5</w:t>
            </w:r>
          </w:p>
        </w:tc>
        <w:tc>
          <w:tcPr>
            <w:tcW w:w="1134" w:type="dxa"/>
            <w:tcBorders>
              <w:left w:val="nil"/>
              <w:bottom w:val="single" w:sz="4" w:space="0" w:color="auto"/>
              <w:right w:val="nil"/>
            </w:tcBorders>
            <w:shd w:val="clear" w:color="auto" w:fill="auto"/>
            <w:noWrap/>
            <w:vAlign w:val="center"/>
            <w:hideMark/>
          </w:tcPr>
          <w:p>
            <w:pPr>
              <w:spacing w:after="0"/>
              <w:jc w:val="center"/>
              <w:rPr>
                <w:rFonts w:eastAsia="Times New Roman"/>
                <w:b/>
                <w:color w:val="000000"/>
                <w:sz w:val="16"/>
                <w:szCs w:val="16"/>
                <w:highlight w:val="cyan"/>
                <w:lang w:val="de-DE" w:eastAsia="de-DE"/>
              </w:rPr>
            </w:pPr>
            <w:r>
              <w:rPr>
                <w:rFonts w:eastAsia="Times New Roman"/>
                <w:b/>
                <w:color w:val="000000"/>
                <w:sz w:val="16"/>
                <w:szCs w:val="16"/>
                <w:highlight w:val="cyan"/>
                <w:lang w:val="de-DE" w:eastAsia="de-DE"/>
              </w:rPr>
              <w:t>57.6 ± 21.1</w:t>
            </w:r>
          </w:p>
        </w:tc>
        <w:tc>
          <w:tcPr>
            <w:tcW w:w="1134" w:type="dxa"/>
            <w:tcBorders>
              <w:left w:val="nil"/>
              <w:bottom w:val="single" w:sz="4" w:space="0" w:color="auto"/>
              <w:right w:val="nil"/>
            </w:tcBorders>
            <w:shd w:val="clear" w:color="auto" w:fill="auto"/>
            <w:noWrap/>
            <w:vAlign w:val="center"/>
            <w:hideMark/>
          </w:tcPr>
          <w:p>
            <w:pPr>
              <w:spacing w:after="0"/>
              <w:jc w:val="center"/>
              <w:rPr>
                <w:rFonts w:eastAsia="Times New Roman"/>
                <w:b/>
                <w:color w:val="000000"/>
                <w:sz w:val="16"/>
                <w:szCs w:val="16"/>
                <w:highlight w:val="cyan"/>
                <w:lang w:val="de-DE" w:eastAsia="de-DE"/>
              </w:rPr>
            </w:pPr>
            <w:r>
              <w:rPr>
                <w:rFonts w:eastAsia="Times New Roman"/>
                <w:b/>
                <w:color w:val="000000"/>
                <w:sz w:val="16"/>
                <w:szCs w:val="16"/>
                <w:highlight w:val="cyan"/>
                <w:lang w:val="de-DE" w:eastAsia="de-DE"/>
              </w:rPr>
              <w:t>-30.6 ± 7.8</w:t>
            </w:r>
          </w:p>
        </w:tc>
        <w:tc>
          <w:tcPr>
            <w:tcW w:w="1134" w:type="dxa"/>
            <w:tcBorders>
              <w:left w:val="nil"/>
              <w:bottom w:val="single" w:sz="4" w:space="0" w:color="auto"/>
              <w:right w:val="nil"/>
            </w:tcBorders>
            <w:shd w:val="clear" w:color="auto" w:fill="auto"/>
            <w:noWrap/>
            <w:vAlign w:val="center"/>
            <w:hideMark/>
          </w:tcPr>
          <w:p>
            <w:pPr>
              <w:spacing w:after="0"/>
              <w:jc w:val="center"/>
              <w:rPr>
                <w:rFonts w:eastAsia="Times New Roman"/>
                <w:b/>
                <w:color w:val="000000"/>
                <w:sz w:val="16"/>
                <w:szCs w:val="16"/>
                <w:highlight w:val="cyan"/>
                <w:lang w:val="de-DE" w:eastAsia="de-DE"/>
              </w:rPr>
            </w:pPr>
            <w:r>
              <w:rPr>
                <w:rFonts w:eastAsia="Times New Roman"/>
                <w:b/>
                <w:color w:val="000000"/>
                <w:sz w:val="16"/>
                <w:szCs w:val="16"/>
                <w:highlight w:val="cyan"/>
                <w:lang w:val="de-DE" w:eastAsia="de-DE"/>
              </w:rPr>
              <w:t>17.5 ± 18.7</w:t>
            </w:r>
          </w:p>
        </w:tc>
        <w:tc>
          <w:tcPr>
            <w:tcW w:w="1134" w:type="dxa"/>
            <w:tcBorders>
              <w:left w:val="nil"/>
              <w:bottom w:val="single" w:sz="4" w:space="0" w:color="auto"/>
              <w:right w:val="nil"/>
            </w:tcBorders>
            <w:shd w:val="clear" w:color="auto" w:fill="auto"/>
            <w:noWrap/>
            <w:vAlign w:val="center"/>
            <w:hideMark/>
          </w:tcPr>
          <w:p>
            <w:pPr>
              <w:spacing w:after="0"/>
              <w:jc w:val="center"/>
              <w:rPr>
                <w:rFonts w:eastAsia="Times New Roman"/>
                <w:b/>
                <w:color w:val="000000"/>
                <w:sz w:val="16"/>
                <w:szCs w:val="16"/>
                <w:highlight w:val="cyan"/>
                <w:lang w:val="de-DE" w:eastAsia="de-DE"/>
              </w:rPr>
            </w:pPr>
            <w:r>
              <w:rPr>
                <w:rFonts w:eastAsia="Times New Roman"/>
                <w:b/>
                <w:color w:val="000000"/>
                <w:sz w:val="16"/>
                <w:szCs w:val="16"/>
                <w:highlight w:val="cyan"/>
                <w:lang w:val="de-DE" w:eastAsia="de-DE"/>
              </w:rPr>
              <w:t>-27.0 ± 13.2</w:t>
            </w:r>
          </w:p>
        </w:tc>
        <w:tc>
          <w:tcPr>
            <w:tcW w:w="1134" w:type="dxa"/>
            <w:tcBorders>
              <w:left w:val="nil"/>
              <w:bottom w:val="single" w:sz="4" w:space="0" w:color="auto"/>
              <w:right w:val="nil"/>
            </w:tcBorders>
            <w:shd w:val="clear" w:color="auto" w:fill="auto"/>
            <w:noWrap/>
            <w:vAlign w:val="center"/>
            <w:hideMark/>
          </w:tcPr>
          <w:p>
            <w:pPr>
              <w:spacing w:after="0"/>
              <w:jc w:val="center"/>
              <w:rPr>
                <w:rFonts w:eastAsia="Times New Roman"/>
                <w:b/>
                <w:color w:val="000000"/>
                <w:sz w:val="16"/>
                <w:szCs w:val="16"/>
                <w:highlight w:val="cyan"/>
                <w:lang w:val="de-DE" w:eastAsia="de-DE"/>
              </w:rPr>
            </w:pPr>
            <w:r>
              <w:rPr>
                <w:rFonts w:eastAsia="Times New Roman"/>
                <w:b/>
                <w:color w:val="000000"/>
                <w:sz w:val="16"/>
                <w:szCs w:val="16"/>
                <w:highlight w:val="cyan"/>
                <w:lang w:val="de-DE" w:eastAsia="de-DE"/>
              </w:rPr>
              <w:t>98.4 ± 37</w:t>
            </w:r>
          </w:p>
        </w:tc>
        <w:tc>
          <w:tcPr>
            <w:tcW w:w="1134" w:type="dxa"/>
            <w:tcBorders>
              <w:left w:val="nil"/>
              <w:bottom w:val="single" w:sz="4" w:space="0" w:color="auto"/>
              <w:right w:val="nil"/>
            </w:tcBorders>
            <w:shd w:val="clear" w:color="auto" w:fill="auto"/>
            <w:noWrap/>
            <w:vAlign w:val="center"/>
            <w:hideMark/>
          </w:tcPr>
          <w:p>
            <w:pPr>
              <w:spacing w:after="0"/>
              <w:jc w:val="center"/>
              <w:rPr>
                <w:rFonts w:eastAsia="Times New Roman"/>
                <w:b/>
                <w:color w:val="000000"/>
                <w:sz w:val="16"/>
                <w:szCs w:val="16"/>
                <w:highlight w:val="cyan"/>
                <w:lang w:val="de-DE" w:eastAsia="de-DE"/>
              </w:rPr>
            </w:pPr>
            <w:r>
              <w:rPr>
                <w:rFonts w:eastAsia="Times New Roman"/>
                <w:b/>
                <w:color w:val="000000"/>
                <w:sz w:val="16"/>
                <w:szCs w:val="16"/>
                <w:highlight w:val="cyan"/>
                <w:lang w:val="de-DE" w:eastAsia="de-DE"/>
              </w:rPr>
              <w:t>-37.8 ± 14.8</w:t>
            </w:r>
          </w:p>
        </w:tc>
        <w:tc>
          <w:tcPr>
            <w:tcW w:w="1134" w:type="dxa"/>
            <w:tcBorders>
              <w:left w:val="nil"/>
              <w:bottom w:val="single" w:sz="4" w:space="0" w:color="auto"/>
              <w:right w:val="nil"/>
            </w:tcBorders>
            <w:shd w:val="clear" w:color="auto" w:fill="auto"/>
            <w:noWrap/>
            <w:vAlign w:val="center"/>
            <w:hideMark/>
          </w:tcPr>
          <w:p>
            <w:pPr>
              <w:spacing w:after="0"/>
              <w:jc w:val="center"/>
              <w:rPr>
                <w:rFonts w:eastAsia="Times New Roman"/>
                <w:b/>
                <w:color w:val="000000"/>
                <w:sz w:val="16"/>
                <w:szCs w:val="16"/>
                <w:lang w:val="de-DE" w:eastAsia="de-DE"/>
              </w:rPr>
            </w:pPr>
            <w:r>
              <w:rPr>
                <w:rFonts w:eastAsia="Times New Roman"/>
                <w:b/>
                <w:color w:val="000000"/>
                <w:sz w:val="16"/>
                <w:szCs w:val="16"/>
                <w:highlight w:val="cyan"/>
                <w:lang w:val="de-DE" w:eastAsia="de-DE"/>
              </w:rPr>
              <w:t>-57.7 ± 6.6</w:t>
            </w:r>
          </w:p>
        </w:tc>
      </w:tr>
    </w:tbl>
    <w:p>
      <w:pPr>
        <w:spacing w:after="0"/>
        <w:jc w:val="both"/>
        <w:rPr>
          <w:szCs w:val="24"/>
          <w:highlight w:val="cyan"/>
        </w:rPr>
      </w:pPr>
      <w:r>
        <w:rPr>
          <w:b/>
          <w:szCs w:val="24"/>
          <w:highlight w:val="cyan"/>
        </w:rPr>
        <w:t xml:space="preserve">Table S5 </w:t>
      </w:r>
      <w:r>
        <w:rPr>
          <w:szCs w:val="24"/>
          <w:highlight w:val="cyan"/>
        </w:rPr>
        <w:t>Ratio of the 12 most abundant families compared to the mean of the initial soil for 14 different treatments (</w:t>
      </w:r>
      <w:r>
        <w:rPr>
          <w:i/>
          <w:szCs w:val="24"/>
          <w:highlight w:val="cyan"/>
        </w:rPr>
        <w:t>n</w:t>
      </w:r>
      <w:r>
        <w:rPr>
          <w:szCs w:val="24"/>
          <w:highlight w:val="cyan"/>
        </w:rPr>
        <w:t xml:space="preserve"> = 4) and the average trend across all treatments (final compared to initial). Different letters (a, b, and c) indicate significant differences between treatments (p &lt; 0.05) calculated with multivariate ANOVA (Tukey’s post-hoc test). </w:t>
      </w:r>
    </w:p>
    <w:p>
      <w:pPr>
        <w:spacing w:after="0"/>
        <w:jc w:val="both"/>
        <w:rPr>
          <w:szCs w:val="24"/>
          <w:highlight w:val="cyan"/>
        </w:rPr>
        <w:sectPr>
          <w:pgSz w:w="15840" w:h="12240" w:orient="landscape"/>
          <w:pgMar w:top="1440" w:right="1440" w:bottom="1440" w:left="1440" w:header="708" w:footer="708" w:gutter="0"/>
          <w:cols w:space="708"/>
          <w:docGrid w:linePitch="360"/>
        </w:sectPr>
      </w:pPr>
    </w:p>
    <w:p>
      <w:pPr>
        <w:spacing w:after="0"/>
        <w:jc w:val="both"/>
        <w:rPr>
          <w:highlight w:val="cyan"/>
        </w:rPr>
      </w:pPr>
      <w:r>
        <w:rPr>
          <w:b/>
          <w:highlight w:val="cyan"/>
        </w:rPr>
        <w:lastRenderedPageBreak/>
        <w:t xml:space="preserve">Table S6 </w:t>
      </w:r>
      <w:r>
        <w:rPr>
          <w:szCs w:val="24"/>
          <w:highlight w:val="cyan"/>
        </w:rPr>
        <w:t xml:space="preserve">Differences among treatments observed with edgeR and given by log2FC, logCPM, p-value and false discovery rate (FDR). Shown are bacterial families with a FDR-value lower 0.05. Families belonging to the 12 most abundant families are written in bold. Asterisks (*) indicate seven families that </w:t>
      </w:r>
      <w:r>
        <w:rPr>
          <w:w w:val="105"/>
          <w:highlight w:val="cyan"/>
        </w:rPr>
        <w:t xml:space="preserve">revealed most pronounced differences for treatment B_MF140 compared to the other treatments. </w:t>
      </w:r>
    </w:p>
    <w:p>
      <w:pPr>
        <w:spacing w:after="0"/>
        <w:rPr>
          <w:b/>
          <w:highlight w:val="cyan"/>
        </w:rPr>
      </w:pPr>
    </w:p>
    <w:p>
      <w:pPr>
        <w:spacing w:after="0"/>
        <w:rPr>
          <w:b/>
          <w:highlight w:val="cyan"/>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0"/>
        <w:gridCol w:w="1000"/>
        <w:gridCol w:w="1070"/>
        <w:gridCol w:w="1120"/>
        <w:gridCol w:w="1120"/>
      </w:tblGrid>
      <w:tr>
        <w:trPr>
          <w:trHeight w:val="300"/>
          <w:jc w:val="center"/>
        </w:trPr>
        <w:tc>
          <w:tcPr>
            <w:tcW w:w="3520" w:type="dxa"/>
            <w:tcBorders>
              <w:top w:val="single" w:sz="4" w:space="0" w:color="auto"/>
              <w:bottom w:val="single" w:sz="4" w:space="0" w:color="auto"/>
            </w:tcBorders>
            <w:noWrap/>
            <w:hideMark/>
          </w:tcPr>
          <w:p>
            <w:pPr>
              <w:spacing w:after="0"/>
              <w:rPr>
                <w:rFonts w:cs="Times New Roman"/>
                <w:b/>
                <w:highlight w:val="cyan"/>
              </w:rPr>
            </w:pPr>
            <w:r>
              <w:rPr>
                <w:rFonts w:cs="Times New Roman"/>
                <w:b/>
                <w:highlight w:val="cyan"/>
              </w:rPr>
              <w:t>Family</w:t>
            </w:r>
          </w:p>
        </w:tc>
        <w:tc>
          <w:tcPr>
            <w:tcW w:w="1000" w:type="dxa"/>
            <w:tcBorders>
              <w:top w:val="single" w:sz="4" w:space="0" w:color="auto"/>
              <w:bottom w:val="single" w:sz="4" w:space="0" w:color="auto"/>
            </w:tcBorders>
            <w:noWrap/>
            <w:hideMark/>
          </w:tcPr>
          <w:p>
            <w:pPr>
              <w:spacing w:after="0"/>
              <w:jc w:val="center"/>
              <w:rPr>
                <w:rFonts w:cs="Times New Roman"/>
                <w:b/>
                <w:highlight w:val="cyan"/>
              </w:rPr>
            </w:pPr>
            <w:r>
              <w:rPr>
                <w:rFonts w:cs="Times New Roman"/>
                <w:b/>
                <w:highlight w:val="cyan"/>
              </w:rPr>
              <w:t>log2FC</w:t>
            </w:r>
          </w:p>
        </w:tc>
        <w:tc>
          <w:tcPr>
            <w:tcW w:w="999" w:type="dxa"/>
            <w:tcBorders>
              <w:top w:val="single" w:sz="4" w:space="0" w:color="auto"/>
              <w:bottom w:val="single" w:sz="4" w:space="0" w:color="auto"/>
            </w:tcBorders>
            <w:noWrap/>
            <w:hideMark/>
          </w:tcPr>
          <w:p>
            <w:pPr>
              <w:spacing w:after="0"/>
              <w:jc w:val="center"/>
              <w:rPr>
                <w:rFonts w:cs="Times New Roman"/>
                <w:b/>
                <w:highlight w:val="cyan"/>
              </w:rPr>
            </w:pPr>
            <w:r>
              <w:rPr>
                <w:rFonts w:cs="Times New Roman"/>
                <w:b/>
                <w:highlight w:val="cyan"/>
              </w:rPr>
              <w:t>logCPM</w:t>
            </w:r>
          </w:p>
        </w:tc>
        <w:tc>
          <w:tcPr>
            <w:tcW w:w="1120" w:type="dxa"/>
            <w:tcBorders>
              <w:top w:val="single" w:sz="4" w:space="0" w:color="auto"/>
              <w:bottom w:val="single" w:sz="4" w:space="0" w:color="auto"/>
            </w:tcBorders>
            <w:noWrap/>
            <w:hideMark/>
          </w:tcPr>
          <w:p>
            <w:pPr>
              <w:spacing w:after="0"/>
              <w:jc w:val="center"/>
              <w:rPr>
                <w:rFonts w:cs="Times New Roman"/>
                <w:b/>
                <w:highlight w:val="cyan"/>
              </w:rPr>
            </w:pPr>
            <w:r>
              <w:rPr>
                <w:rFonts w:cs="Times New Roman"/>
                <w:b/>
                <w:highlight w:val="cyan"/>
              </w:rPr>
              <w:t>p-value</w:t>
            </w:r>
          </w:p>
        </w:tc>
        <w:tc>
          <w:tcPr>
            <w:tcW w:w="1120" w:type="dxa"/>
            <w:tcBorders>
              <w:top w:val="single" w:sz="4" w:space="0" w:color="auto"/>
              <w:bottom w:val="single" w:sz="4" w:space="0" w:color="auto"/>
            </w:tcBorders>
            <w:noWrap/>
            <w:hideMark/>
          </w:tcPr>
          <w:p>
            <w:pPr>
              <w:spacing w:after="0"/>
              <w:jc w:val="center"/>
              <w:rPr>
                <w:rFonts w:cs="Times New Roman"/>
                <w:b/>
                <w:highlight w:val="cyan"/>
              </w:rPr>
            </w:pPr>
            <w:r>
              <w:rPr>
                <w:rFonts w:cs="Times New Roman"/>
                <w:b/>
                <w:highlight w:val="cyan"/>
              </w:rPr>
              <w:t>FDR</w:t>
            </w:r>
          </w:p>
        </w:tc>
      </w:tr>
      <w:tr>
        <w:trPr>
          <w:trHeight w:val="300"/>
          <w:jc w:val="center"/>
        </w:trPr>
        <w:tc>
          <w:tcPr>
            <w:tcW w:w="3520" w:type="dxa"/>
            <w:tcBorders>
              <w:top w:val="single" w:sz="4" w:space="0" w:color="auto"/>
            </w:tcBorders>
            <w:noWrap/>
            <w:hideMark/>
          </w:tcPr>
          <w:p>
            <w:pPr>
              <w:spacing w:after="0"/>
              <w:rPr>
                <w:rFonts w:cs="Times New Roman"/>
                <w:i/>
                <w:highlight w:val="cyan"/>
              </w:rPr>
            </w:pPr>
            <w:r>
              <w:rPr>
                <w:rFonts w:cs="Times New Roman"/>
                <w:i/>
                <w:highlight w:val="cyan"/>
              </w:rPr>
              <w:t>BIrii41 *</w:t>
            </w:r>
          </w:p>
        </w:tc>
        <w:tc>
          <w:tcPr>
            <w:tcW w:w="1000" w:type="dxa"/>
            <w:tcBorders>
              <w:top w:val="single" w:sz="4" w:space="0" w:color="auto"/>
            </w:tcBorders>
            <w:noWrap/>
            <w:vAlign w:val="center"/>
            <w:hideMark/>
          </w:tcPr>
          <w:p>
            <w:pPr>
              <w:spacing w:after="0"/>
              <w:jc w:val="center"/>
              <w:rPr>
                <w:rFonts w:cs="Times New Roman"/>
                <w:color w:val="000000"/>
                <w:sz w:val="22"/>
                <w:highlight w:val="cyan"/>
              </w:rPr>
            </w:pPr>
            <w:r>
              <w:rPr>
                <w:rFonts w:cs="Times New Roman"/>
                <w:color w:val="000000"/>
                <w:sz w:val="22"/>
                <w:highlight w:val="cyan"/>
              </w:rPr>
              <w:t>-2.85</w:t>
            </w:r>
          </w:p>
        </w:tc>
        <w:tc>
          <w:tcPr>
            <w:tcW w:w="999" w:type="dxa"/>
            <w:tcBorders>
              <w:top w:val="single" w:sz="4" w:space="0" w:color="auto"/>
            </w:tcBorders>
            <w:noWrap/>
            <w:vAlign w:val="center"/>
            <w:hideMark/>
          </w:tcPr>
          <w:p>
            <w:pPr>
              <w:spacing w:after="0"/>
              <w:jc w:val="center"/>
              <w:rPr>
                <w:rFonts w:cs="Times New Roman"/>
                <w:color w:val="000000"/>
                <w:sz w:val="22"/>
                <w:highlight w:val="cyan"/>
              </w:rPr>
            </w:pPr>
            <w:r>
              <w:rPr>
                <w:rFonts w:cs="Times New Roman"/>
                <w:color w:val="000000"/>
                <w:sz w:val="22"/>
                <w:highlight w:val="cyan"/>
              </w:rPr>
              <w:t>11.27</w:t>
            </w:r>
          </w:p>
        </w:tc>
        <w:tc>
          <w:tcPr>
            <w:tcW w:w="1120" w:type="dxa"/>
            <w:tcBorders>
              <w:top w:val="single" w:sz="4" w:space="0" w:color="auto"/>
            </w:tcBorders>
            <w:noWrap/>
            <w:vAlign w:val="center"/>
            <w:hideMark/>
          </w:tcPr>
          <w:p>
            <w:pPr>
              <w:spacing w:after="0"/>
              <w:jc w:val="center"/>
              <w:rPr>
                <w:rFonts w:cs="Times New Roman"/>
                <w:color w:val="000000"/>
                <w:sz w:val="22"/>
                <w:highlight w:val="cyan"/>
              </w:rPr>
            </w:pPr>
            <w:r>
              <w:rPr>
                <w:rFonts w:cs="Times New Roman"/>
                <w:color w:val="000000"/>
                <w:sz w:val="22"/>
                <w:highlight w:val="cyan"/>
              </w:rPr>
              <w:t>&lt;0.0001</w:t>
            </w:r>
          </w:p>
        </w:tc>
        <w:tc>
          <w:tcPr>
            <w:tcW w:w="1120" w:type="dxa"/>
            <w:tcBorders>
              <w:top w:val="single" w:sz="4" w:space="0" w:color="auto"/>
            </w:tcBorders>
            <w:noWrap/>
            <w:vAlign w:val="center"/>
            <w:hideMark/>
          </w:tcPr>
          <w:p>
            <w:pPr>
              <w:spacing w:after="0"/>
              <w:jc w:val="center"/>
              <w:rPr>
                <w:rFonts w:cs="Times New Roman"/>
                <w:color w:val="000000"/>
                <w:sz w:val="22"/>
                <w:highlight w:val="cyan"/>
              </w:rPr>
            </w:pPr>
            <w:r>
              <w:rPr>
                <w:rFonts w:cs="Times New Roman"/>
                <w:color w:val="000000"/>
                <w:sz w:val="22"/>
                <w:highlight w:val="cyan"/>
              </w:rPr>
              <w:t>&lt;0.0001</w:t>
            </w:r>
          </w:p>
        </w:tc>
      </w:tr>
      <w:tr>
        <w:trPr>
          <w:trHeight w:val="80"/>
          <w:jc w:val="center"/>
        </w:trPr>
        <w:tc>
          <w:tcPr>
            <w:tcW w:w="3520" w:type="dxa"/>
            <w:noWrap/>
            <w:hideMark/>
          </w:tcPr>
          <w:p>
            <w:pPr>
              <w:spacing w:after="0"/>
              <w:rPr>
                <w:rFonts w:cs="Times New Roman"/>
                <w:i/>
                <w:highlight w:val="cyan"/>
              </w:rPr>
            </w:pPr>
            <w:r>
              <w:rPr>
                <w:rFonts w:cs="Times New Roman"/>
                <w:i/>
                <w:highlight w:val="cyan"/>
              </w:rPr>
              <w:t>Sandaracinaceae *</w:t>
            </w:r>
          </w:p>
        </w:tc>
        <w:tc>
          <w:tcPr>
            <w:tcW w:w="1000" w:type="dxa"/>
            <w:noWrap/>
            <w:vAlign w:val="center"/>
            <w:hideMark/>
          </w:tcPr>
          <w:p>
            <w:pPr>
              <w:spacing w:after="0"/>
              <w:jc w:val="center"/>
              <w:rPr>
                <w:rFonts w:cs="Times New Roman"/>
                <w:color w:val="000000"/>
                <w:sz w:val="22"/>
                <w:highlight w:val="cyan"/>
              </w:rPr>
            </w:pPr>
            <w:r>
              <w:rPr>
                <w:rFonts w:cs="Times New Roman"/>
                <w:color w:val="000000"/>
                <w:sz w:val="22"/>
                <w:highlight w:val="cyan"/>
              </w:rPr>
              <w:t>-0.82</w:t>
            </w:r>
          </w:p>
        </w:tc>
        <w:tc>
          <w:tcPr>
            <w:tcW w:w="999" w:type="dxa"/>
            <w:noWrap/>
            <w:vAlign w:val="center"/>
            <w:hideMark/>
          </w:tcPr>
          <w:p>
            <w:pPr>
              <w:spacing w:after="0"/>
              <w:jc w:val="center"/>
              <w:rPr>
                <w:rFonts w:cs="Times New Roman"/>
                <w:color w:val="000000"/>
                <w:sz w:val="22"/>
                <w:highlight w:val="cyan"/>
              </w:rPr>
            </w:pPr>
            <w:r>
              <w:rPr>
                <w:rFonts w:cs="Times New Roman"/>
                <w:color w:val="000000"/>
                <w:sz w:val="22"/>
                <w:highlight w:val="cyan"/>
              </w:rPr>
              <w:t>11.58</w:t>
            </w:r>
          </w:p>
        </w:tc>
        <w:tc>
          <w:tcPr>
            <w:tcW w:w="1120" w:type="dxa"/>
            <w:noWrap/>
            <w:vAlign w:val="center"/>
            <w:hideMark/>
          </w:tcPr>
          <w:p>
            <w:pPr>
              <w:spacing w:after="0"/>
              <w:jc w:val="center"/>
              <w:rPr>
                <w:rFonts w:cs="Times New Roman"/>
                <w:color w:val="000000"/>
                <w:sz w:val="22"/>
                <w:highlight w:val="cyan"/>
              </w:rPr>
            </w:pPr>
            <w:r>
              <w:rPr>
                <w:rFonts w:cs="Times New Roman"/>
                <w:color w:val="000000"/>
                <w:sz w:val="22"/>
                <w:highlight w:val="cyan"/>
              </w:rPr>
              <w:t>0.0002</w:t>
            </w:r>
          </w:p>
        </w:tc>
        <w:tc>
          <w:tcPr>
            <w:tcW w:w="1120" w:type="dxa"/>
            <w:noWrap/>
            <w:vAlign w:val="center"/>
            <w:hideMark/>
          </w:tcPr>
          <w:p>
            <w:pPr>
              <w:spacing w:after="0"/>
              <w:jc w:val="center"/>
              <w:rPr>
                <w:rFonts w:cs="Times New Roman"/>
                <w:color w:val="000000"/>
                <w:sz w:val="22"/>
                <w:highlight w:val="cyan"/>
              </w:rPr>
            </w:pPr>
            <w:r>
              <w:rPr>
                <w:rFonts w:cs="Times New Roman"/>
                <w:color w:val="000000"/>
                <w:sz w:val="22"/>
                <w:highlight w:val="cyan"/>
              </w:rPr>
              <w:t>0.0110</w:t>
            </w:r>
          </w:p>
        </w:tc>
      </w:tr>
      <w:tr>
        <w:trPr>
          <w:trHeight w:val="300"/>
          <w:jc w:val="center"/>
        </w:trPr>
        <w:tc>
          <w:tcPr>
            <w:tcW w:w="3520" w:type="dxa"/>
            <w:noWrap/>
            <w:hideMark/>
          </w:tcPr>
          <w:p>
            <w:pPr>
              <w:spacing w:after="0"/>
              <w:rPr>
                <w:rFonts w:cs="Times New Roman"/>
                <w:i/>
                <w:highlight w:val="cyan"/>
              </w:rPr>
            </w:pPr>
            <w:r>
              <w:rPr>
                <w:rFonts w:cs="Times New Roman"/>
                <w:i/>
                <w:highlight w:val="cyan"/>
              </w:rPr>
              <w:t>Reyranellaceae *</w:t>
            </w:r>
          </w:p>
        </w:tc>
        <w:tc>
          <w:tcPr>
            <w:tcW w:w="1000" w:type="dxa"/>
            <w:noWrap/>
            <w:vAlign w:val="center"/>
            <w:hideMark/>
          </w:tcPr>
          <w:p>
            <w:pPr>
              <w:spacing w:after="0"/>
              <w:jc w:val="center"/>
              <w:rPr>
                <w:rFonts w:cs="Times New Roman"/>
                <w:color w:val="000000"/>
                <w:sz w:val="22"/>
                <w:highlight w:val="cyan"/>
              </w:rPr>
            </w:pPr>
            <w:r>
              <w:rPr>
                <w:rFonts w:cs="Times New Roman"/>
                <w:color w:val="000000"/>
                <w:sz w:val="22"/>
                <w:highlight w:val="cyan"/>
              </w:rPr>
              <w:t>0.56</w:t>
            </w:r>
          </w:p>
        </w:tc>
        <w:tc>
          <w:tcPr>
            <w:tcW w:w="999" w:type="dxa"/>
            <w:noWrap/>
            <w:vAlign w:val="center"/>
            <w:hideMark/>
          </w:tcPr>
          <w:p>
            <w:pPr>
              <w:spacing w:after="0"/>
              <w:jc w:val="center"/>
              <w:rPr>
                <w:rFonts w:cs="Times New Roman"/>
                <w:color w:val="000000"/>
                <w:sz w:val="22"/>
                <w:highlight w:val="cyan"/>
              </w:rPr>
            </w:pPr>
            <w:r>
              <w:rPr>
                <w:rFonts w:cs="Times New Roman"/>
                <w:color w:val="000000"/>
                <w:sz w:val="22"/>
                <w:highlight w:val="cyan"/>
              </w:rPr>
              <w:t>12.81</w:t>
            </w:r>
          </w:p>
        </w:tc>
        <w:tc>
          <w:tcPr>
            <w:tcW w:w="1120" w:type="dxa"/>
            <w:noWrap/>
            <w:vAlign w:val="center"/>
            <w:hideMark/>
          </w:tcPr>
          <w:p>
            <w:pPr>
              <w:spacing w:after="0"/>
              <w:jc w:val="center"/>
              <w:rPr>
                <w:rFonts w:cs="Times New Roman"/>
                <w:color w:val="000000"/>
                <w:sz w:val="22"/>
                <w:highlight w:val="cyan"/>
              </w:rPr>
            </w:pPr>
            <w:r>
              <w:rPr>
                <w:rFonts w:cs="Times New Roman"/>
                <w:color w:val="000000"/>
                <w:sz w:val="22"/>
                <w:highlight w:val="cyan"/>
              </w:rPr>
              <w:t>0.0017</w:t>
            </w:r>
          </w:p>
        </w:tc>
        <w:tc>
          <w:tcPr>
            <w:tcW w:w="1120" w:type="dxa"/>
            <w:noWrap/>
            <w:vAlign w:val="center"/>
            <w:hideMark/>
          </w:tcPr>
          <w:p>
            <w:pPr>
              <w:spacing w:after="0"/>
              <w:jc w:val="center"/>
              <w:rPr>
                <w:rFonts w:cs="Times New Roman"/>
                <w:color w:val="000000"/>
                <w:sz w:val="22"/>
                <w:highlight w:val="cyan"/>
              </w:rPr>
            </w:pPr>
            <w:r>
              <w:rPr>
                <w:rFonts w:cs="Times New Roman"/>
                <w:color w:val="000000"/>
                <w:sz w:val="22"/>
                <w:highlight w:val="cyan"/>
              </w:rPr>
              <w:t>0.0417</w:t>
            </w:r>
          </w:p>
        </w:tc>
      </w:tr>
      <w:tr>
        <w:trPr>
          <w:trHeight w:val="300"/>
          <w:jc w:val="center"/>
        </w:trPr>
        <w:tc>
          <w:tcPr>
            <w:tcW w:w="3520" w:type="dxa"/>
            <w:noWrap/>
            <w:hideMark/>
          </w:tcPr>
          <w:p>
            <w:pPr>
              <w:spacing w:after="0"/>
              <w:rPr>
                <w:rFonts w:cs="Times New Roman"/>
                <w:b/>
                <w:i/>
                <w:highlight w:val="cyan"/>
              </w:rPr>
            </w:pPr>
            <w:r>
              <w:rPr>
                <w:rFonts w:cs="Times New Roman"/>
                <w:b/>
                <w:i/>
                <w:highlight w:val="cyan"/>
              </w:rPr>
              <w:t>Mycobacteriaceae *</w:t>
            </w:r>
          </w:p>
        </w:tc>
        <w:tc>
          <w:tcPr>
            <w:tcW w:w="1000" w:type="dxa"/>
            <w:noWrap/>
            <w:vAlign w:val="center"/>
            <w:hideMark/>
          </w:tcPr>
          <w:p>
            <w:pPr>
              <w:spacing w:after="0"/>
              <w:jc w:val="center"/>
              <w:rPr>
                <w:rFonts w:cs="Times New Roman"/>
                <w:color w:val="000000"/>
                <w:sz w:val="22"/>
                <w:highlight w:val="cyan"/>
              </w:rPr>
            </w:pPr>
            <w:r>
              <w:rPr>
                <w:rFonts w:cs="Times New Roman"/>
                <w:color w:val="000000"/>
                <w:sz w:val="22"/>
                <w:highlight w:val="cyan"/>
              </w:rPr>
              <w:t>0.42</w:t>
            </w:r>
          </w:p>
        </w:tc>
        <w:tc>
          <w:tcPr>
            <w:tcW w:w="999" w:type="dxa"/>
            <w:noWrap/>
            <w:vAlign w:val="center"/>
            <w:hideMark/>
          </w:tcPr>
          <w:p>
            <w:pPr>
              <w:spacing w:after="0"/>
              <w:jc w:val="center"/>
              <w:rPr>
                <w:rFonts w:cs="Times New Roman"/>
                <w:color w:val="000000"/>
                <w:sz w:val="22"/>
                <w:highlight w:val="cyan"/>
              </w:rPr>
            </w:pPr>
            <w:r>
              <w:rPr>
                <w:rFonts w:cs="Times New Roman"/>
                <w:color w:val="000000"/>
                <w:sz w:val="22"/>
                <w:highlight w:val="cyan"/>
              </w:rPr>
              <w:t>14.55</w:t>
            </w:r>
          </w:p>
        </w:tc>
        <w:tc>
          <w:tcPr>
            <w:tcW w:w="1120" w:type="dxa"/>
            <w:noWrap/>
            <w:vAlign w:val="center"/>
            <w:hideMark/>
          </w:tcPr>
          <w:p>
            <w:pPr>
              <w:spacing w:after="0"/>
              <w:jc w:val="center"/>
              <w:rPr>
                <w:rFonts w:cs="Times New Roman"/>
                <w:color w:val="000000"/>
                <w:sz w:val="22"/>
                <w:highlight w:val="cyan"/>
              </w:rPr>
            </w:pPr>
            <w:r>
              <w:rPr>
                <w:rFonts w:cs="Times New Roman"/>
                <w:color w:val="000000"/>
                <w:sz w:val="22"/>
                <w:highlight w:val="cyan"/>
              </w:rPr>
              <w:t>0.0019</w:t>
            </w:r>
          </w:p>
        </w:tc>
        <w:tc>
          <w:tcPr>
            <w:tcW w:w="1120" w:type="dxa"/>
            <w:noWrap/>
            <w:vAlign w:val="center"/>
            <w:hideMark/>
          </w:tcPr>
          <w:p>
            <w:pPr>
              <w:spacing w:after="0"/>
              <w:jc w:val="center"/>
              <w:rPr>
                <w:rFonts w:cs="Times New Roman"/>
                <w:color w:val="000000"/>
                <w:sz w:val="22"/>
                <w:highlight w:val="cyan"/>
              </w:rPr>
            </w:pPr>
            <w:r>
              <w:rPr>
                <w:rFonts w:cs="Times New Roman"/>
                <w:color w:val="000000"/>
                <w:sz w:val="22"/>
                <w:highlight w:val="cyan"/>
              </w:rPr>
              <w:t>0.0417</w:t>
            </w:r>
          </w:p>
        </w:tc>
      </w:tr>
      <w:tr>
        <w:trPr>
          <w:trHeight w:val="300"/>
          <w:jc w:val="center"/>
        </w:trPr>
        <w:tc>
          <w:tcPr>
            <w:tcW w:w="3520" w:type="dxa"/>
            <w:noWrap/>
          </w:tcPr>
          <w:p>
            <w:pPr>
              <w:spacing w:after="0"/>
              <w:rPr>
                <w:rFonts w:cs="Times New Roman"/>
                <w:i/>
                <w:highlight w:val="cyan"/>
              </w:rPr>
            </w:pPr>
            <w:r>
              <w:rPr>
                <w:rFonts w:cs="Times New Roman"/>
                <w:i/>
                <w:highlight w:val="cyan"/>
              </w:rPr>
              <w:t>bacteriap25</w:t>
            </w:r>
          </w:p>
        </w:tc>
        <w:tc>
          <w:tcPr>
            <w:tcW w:w="1000" w:type="dxa"/>
            <w:noWrap/>
            <w:vAlign w:val="center"/>
          </w:tcPr>
          <w:p>
            <w:pPr>
              <w:spacing w:after="0"/>
              <w:jc w:val="center"/>
              <w:rPr>
                <w:rFonts w:cs="Times New Roman"/>
                <w:color w:val="000000"/>
                <w:sz w:val="22"/>
                <w:highlight w:val="cyan"/>
              </w:rPr>
            </w:pPr>
            <w:r>
              <w:rPr>
                <w:rFonts w:cs="Times New Roman"/>
                <w:color w:val="000000"/>
                <w:sz w:val="22"/>
                <w:highlight w:val="cyan"/>
              </w:rPr>
              <w:t>0.34</w:t>
            </w:r>
          </w:p>
        </w:tc>
        <w:tc>
          <w:tcPr>
            <w:tcW w:w="999" w:type="dxa"/>
            <w:noWrap/>
            <w:vAlign w:val="center"/>
          </w:tcPr>
          <w:p>
            <w:pPr>
              <w:spacing w:after="0"/>
              <w:jc w:val="center"/>
              <w:rPr>
                <w:rFonts w:cs="Times New Roman"/>
                <w:color w:val="000000"/>
                <w:sz w:val="22"/>
                <w:highlight w:val="cyan"/>
              </w:rPr>
            </w:pPr>
            <w:r>
              <w:rPr>
                <w:rFonts w:cs="Times New Roman"/>
                <w:color w:val="000000"/>
                <w:sz w:val="22"/>
                <w:highlight w:val="cyan"/>
              </w:rPr>
              <w:t>13.42</w:t>
            </w:r>
          </w:p>
        </w:tc>
        <w:tc>
          <w:tcPr>
            <w:tcW w:w="1120" w:type="dxa"/>
            <w:noWrap/>
            <w:vAlign w:val="center"/>
          </w:tcPr>
          <w:p>
            <w:pPr>
              <w:spacing w:after="0"/>
              <w:jc w:val="center"/>
              <w:rPr>
                <w:rFonts w:cs="Times New Roman"/>
                <w:color w:val="000000"/>
                <w:sz w:val="22"/>
                <w:highlight w:val="cyan"/>
              </w:rPr>
            </w:pPr>
            <w:r>
              <w:rPr>
                <w:rFonts w:cs="Times New Roman"/>
                <w:color w:val="000000"/>
                <w:sz w:val="22"/>
                <w:highlight w:val="cyan"/>
              </w:rPr>
              <w:t>0.0020</w:t>
            </w:r>
          </w:p>
        </w:tc>
        <w:tc>
          <w:tcPr>
            <w:tcW w:w="1120" w:type="dxa"/>
            <w:noWrap/>
            <w:vAlign w:val="center"/>
          </w:tcPr>
          <w:p>
            <w:pPr>
              <w:spacing w:after="0"/>
              <w:jc w:val="center"/>
              <w:rPr>
                <w:rFonts w:cs="Times New Roman"/>
                <w:color w:val="000000"/>
                <w:sz w:val="22"/>
                <w:highlight w:val="cyan"/>
              </w:rPr>
            </w:pPr>
            <w:r>
              <w:rPr>
                <w:rFonts w:cs="Times New Roman"/>
                <w:color w:val="000000"/>
                <w:sz w:val="22"/>
                <w:highlight w:val="cyan"/>
              </w:rPr>
              <w:t>0.0417</w:t>
            </w:r>
          </w:p>
        </w:tc>
      </w:tr>
      <w:tr>
        <w:trPr>
          <w:trHeight w:val="300"/>
          <w:jc w:val="center"/>
        </w:trPr>
        <w:tc>
          <w:tcPr>
            <w:tcW w:w="3520" w:type="dxa"/>
            <w:noWrap/>
          </w:tcPr>
          <w:p>
            <w:pPr>
              <w:spacing w:after="0"/>
              <w:rPr>
                <w:rFonts w:cs="Times New Roman"/>
                <w:i/>
                <w:highlight w:val="cyan"/>
              </w:rPr>
            </w:pPr>
            <w:r>
              <w:rPr>
                <w:rFonts w:cs="Times New Roman"/>
                <w:i/>
                <w:highlight w:val="cyan"/>
              </w:rPr>
              <w:t>Bdellovibrionaceae *</w:t>
            </w:r>
          </w:p>
        </w:tc>
        <w:tc>
          <w:tcPr>
            <w:tcW w:w="1000" w:type="dxa"/>
            <w:noWrap/>
            <w:vAlign w:val="center"/>
          </w:tcPr>
          <w:p>
            <w:pPr>
              <w:spacing w:after="0"/>
              <w:jc w:val="center"/>
              <w:rPr>
                <w:rFonts w:cs="Times New Roman"/>
                <w:color w:val="000000"/>
                <w:sz w:val="22"/>
                <w:highlight w:val="cyan"/>
              </w:rPr>
            </w:pPr>
            <w:r>
              <w:rPr>
                <w:rFonts w:cs="Times New Roman"/>
                <w:color w:val="000000"/>
                <w:sz w:val="22"/>
                <w:highlight w:val="cyan"/>
              </w:rPr>
              <w:t>-1.03</w:t>
            </w:r>
          </w:p>
        </w:tc>
        <w:tc>
          <w:tcPr>
            <w:tcW w:w="999" w:type="dxa"/>
            <w:noWrap/>
            <w:vAlign w:val="center"/>
          </w:tcPr>
          <w:p>
            <w:pPr>
              <w:spacing w:after="0"/>
              <w:jc w:val="center"/>
              <w:rPr>
                <w:rFonts w:cs="Times New Roman"/>
                <w:color w:val="000000"/>
                <w:sz w:val="22"/>
                <w:highlight w:val="cyan"/>
              </w:rPr>
            </w:pPr>
            <w:r>
              <w:rPr>
                <w:rFonts w:cs="Times New Roman"/>
                <w:color w:val="000000"/>
                <w:sz w:val="22"/>
                <w:highlight w:val="cyan"/>
              </w:rPr>
              <w:t>10.34</w:t>
            </w:r>
          </w:p>
        </w:tc>
        <w:tc>
          <w:tcPr>
            <w:tcW w:w="1120" w:type="dxa"/>
            <w:noWrap/>
            <w:vAlign w:val="center"/>
          </w:tcPr>
          <w:p>
            <w:pPr>
              <w:spacing w:after="0"/>
              <w:jc w:val="center"/>
              <w:rPr>
                <w:rFonts w:cs="Times New Roman"/>
                <w:color w:val="000000"/>
                <w:sz w:val="22"/>
                <w:highlight w:val="cyan"/>
              </w:rPr>
            </w:pPr>
            <w:r>
              <w:rPr>
                <w:rFonts w:cs="Times New Roman"/>
                <w:color w:val="000000"/>
                <w:sz w:val="22"/>
                <w:highlight w:val="cyan"/>
              </w:rPr>
              <w:t>0.0022</w:t>
            </w:r>
          </w:p>
        </w:tc>
        <w:tc>
          <w:tcPr>
            <w:tcW w:w="1120" w:type="dxa"/>
            <w:noWrap/>
            <w:vAlign w:val="center"/>
          </w:tcPr>
          <w:p>
            <w:pPr>
              <w:spacing w:after="0"/>
              <w:jc w:val="center"/>
              <w:rPr>
                <w:rFonts w:cs="Times New Roman"/>
                <w:color w:val="000000"/>
                <w:sz w:val="22"/>
                <w:highlight w:val="cyan"/>
              </w:rPr>
            </w:pPr>
            <w:r>
              <w:rPr>
                <w:rFonts w:cs="Times New Roman"/>
                <w:color w:val="000000"/>
                <w:sz w:val="22"/>
                <w:highlight w:val="cyan"/>
              </w:rPr>
              <w:t>0.0417</w:t>
            </w:r>
          </w:p>
        </w:tc>
      </w:tr>
      <w:tr>
        <w:trPr>
          <w:trHeight w:val="300"/>
          <w:jc w:val="center"/>
        </w:trPr>
        <w:tc>
          <w:tcPr>
            <w:tcW w:w="3520" w:type="dxa"/>
            <w:noWrap/>
          </w:tcPr>
          <w:p>
            <w:pPr>
              <w:spacing w:after="0"/>
              <w:rPr>
                <w:rFonts w:cs="Times New Roman"/>
                <w:i/>
                <w:highlight w:val="cyan"/>
              </w:rPr>
            </w:pPr>
            <w:r>
              <w:rPr>
                <w:rFonts w:cs="Times New Roman"/>
                <w:i/>
                <w:highlight w:val="cyan"/>
              </w:rPr>
              <w:t>NS11_12_marine_group</w:t>
            </w:r>
          </w:p>
        </w:tc>
        <w:tc>
          <w:tcPr>
            <w:tcW w:w="1000" w:type="dxa"/>
            <w:noWrap/>
            <w:vAlign w:val="center"/>
          </w:tcPr>
          <w:p>
            <w:pPr>
              <w:spacing w:after="0"/>
              <w:jc w:val="center"/>
              <w:rPr>
                <w:rFonts w:cs="Times New Roman"/>
                <w:color w:val="000000"/>
                <w:sz w:val="22"/>
                <w:highlight w:val="cyan"/>
              </w:rPr>
            </w:pPr>
            <w:r>
              <w:rPr>
                <w:rFonts w:cs="Times New Roman"/>
                <w:color w:val="000000"/>
                <w:sz w:val="22"/>
                <w:highlight w:val="cyan"/>
              </w:rPr>
              <w:t>1.80</w:t>
            </w:r>
          </w:p>
        </w:tc>
        <w:tc>
          <w:tcPr>
            <w:tcW w:w="999" w:type="dxa"/>
            <w:noWrap/>
            <w:vAlign w:val="center"/>
          </w:tcPr>
          <w:p>
            <w:pPr>
              <w:spacing w:after="0"/>
              <w:jc w:val="center"/>
              <w:rPr>
                <w:rFonts w:cs="Times New Roman"/>
                <w:color w:val="000000"/>
                <w:sz w:val="22"/>
                <w:highlight w:val="cyan"/>
              </w:rPr>
            </w:pPr>
            <w:r>
              <w:rPr>
                <w:rFonts w:cs="Times New Roman"/>
                <w:color w:val="000000"/>
                <w:sz w:val="22"/>
                <w:highlight w:val="cyan"/>
              </w:rPr>
              <w:t>8.26</w:t>
            </w:r>
          </w:p>
        </w:tc>
        <w:tc>
          <w:tcPr>
            <w:tcW w:w="1120" w:type="dxa"/>
            <w:noWrap/>
            <w:vAlign w:val="center"/>
          </w:tcPr>
          <w:p>
            <w:pPr>
              <w:spacing w:after="0"/>
              <w:jc w:val="center"/>
              <w:rPr>
                <w:rFonts w:cs="Times New Roman"/>
                <w:color w:val="000000"/>
                <w:sz w:val="22"/>
                <w:highlight w:val="cyan"/>
              </w:rPr>
            </w:pPr>
            <w:r>
              <w:rPr>
                <w:rFonts w:cs="Times New Roman"/>
                <w:color w:val="000000"/>
                <w:sz w:val="22"/>
                <w:highlight w:val="cyan"/>
              </w:rPr>
              <w:t>0.0034</w:t>
            </w:r>
          </w:p>
        </w:tc>
        <w:tc>
          <w:tcPr>
            <w:tcW w:w="1120" w:type="dxa"/>
            <w:noWrap/>
            <w:vAlign w:val="center"/>
          </w:tcPr>
          <w:p>
            <w:pPr>
              <w:spacing w:after="0"/>
              <w:jc w:val="center"/>
              <w:rPr>
                <w:rFonts w:cs="Times New Roman"/>
                <w:color w:val="000000"/>
                <w:sz w:val="22"/>
                <w:highlight w:val="cyan"/>
              </w:rPr>
            </w:pPr>
            <w:r>
              <w:rPr>
                <w:rFonts w:cs="Times New Roman"/>
                <w:color w:val="000000"/>
                <w:sz w:val="22"/>
                <w:highlight w:val="cyan"/>
              </w:rPr>
              <w:t>0.0493</w:t>
            </w:r>
          </w:p>
        </w:tc>
      </w:tr>
      <w:tr>
        <w:trPr>
          <w:trHeight w:val="300"/>
          <w:jc w:val="center"/>
        </w:trPr>
        <w:tc>
          <w:tcPr>
            <w:tcW w:w="3520" w:type="dxa"/>
            <w:noWrap/>
            <w:hideMark/>
          </w:tcPr>
          <w:p>
            <w:pPr>
              <w:spacing w:after="0"/>
              <w:rPr>
                <w:rFonts w:cs="Times New Roman"/>
                <w:b/>
                <w:i/>
                <w:highlight w:val="cyan"/>
              </w:rPr>
            </w:pPr>
            <w:r>
              <w:rPr>
                <w:rFonts w:cs="Times New Roman"/>
                <w:b/>
                <w:i/>
                <w:highlight w:val="cyan"/>
              </w:rPr>
              <w:t>Haliangiaceae *</w:t>
            </w:r>
          </w:p>
        </w:tc>
        <w:tc>
          <w:tcPr>
            <w:tcW w:w="1000" w:type="dxa"/>
            <w:noWrap/>
            <w:vAlign w:val="center"/>
            <w:hideMark/>
          </w:tcPr>
          <w:p>
            <w:pPr>
              <w:spacing w:after="0"/>
              <w:jc w:val="center"/>
              <w:rPr>
                <w:rFonts w:cs="Times New Roman"/>
                <w:color w:val="000000"/>
                <w:sz w:val="22"/>
                <w:highlight w:val="cyan"/>
              </w:rPr>
            </w:pPr>
            <w:r>
              <w:rPr>
                <w:rFonts w:cs="Times New Roman"/>
                <w:color w:val="000000"/>
                <w:sz w:val="22"/>
                <w:highlight w:val="cyan"/>
              </w:rPr>
              <w:t>-0.38</w:t>
            </w:r>
          </w:p>
        </w:tc>
        <w:tc>
          <w:tcPr>
            <w:tcW w:w="999" w:type="dxa"/>
            <w:noWrap/>
            <w:vAlign w:val="center"/>
            <w:hideMark/>
          </w:tcPr>
          <w:p>
            <w:pPr>
              <w:spacing w:after="0"/>
              <w:jc w:val="center"/>
              <w:rPr>
                <w:rFonts w:cs="Times New Roman"/>
                <w:color w:val="000000"/>
                <w:sz w:val="22"/>
                <w:highlight w:val="cyan"/>
              </w:rPr>
            </w:pPr>
            <w:r>
              <w:rPr>
                <w:rFonts w:cs="Times New Roman"/>
                <w:color w:val="000000"/>
                <w:sz w:val="22"/>
                <w:highlight w:val="cyan"/>
              </w:rPr>
              <w:t>13.78</w:t>
            </w:r>
          </w:p>
        </w:tc>
        <w:tc>
          <w:tcPr>
            <w:tcW w:w="1120" w:type="dxa"/>
            <w:noWrap/>
            <w:vAlign w:val="center"/>
            <w:hideMark/>
          </w:tcPr>
          <w:p>
            <w:pPr>
              <w:spacing w:after="0"/>
              <w:jc w:val="center"/>
              <w:rPr>
                <w:rFonts w:cs="Times New Roman"/>
                <w:color w:val="000000"/>
                <w:sz w:val="22"/>
                <w:highlight w:val="cyan"/>
              </w:rPr>
            </w:pPr>
            <w:r>
              <w:rPr>
                <w:rFonts w:cs="Times New Roman"/>
                <w:color w:val="000000"/>
                <w:sz w:val="22"/>
                <w:highlight w:val="cyan"/>
              </w:rPr>
              <w:t>0.0035</w:t>
            </w:r>
          </w:p>
        </w:tc>
        <w:tc>
          <w:tcPr>
            <w:tcW w:w="1120" w:type="dxa"/>
            <w:noWrap/>
            <w:vAlign w:val="center"/>
            <w:hideMark/>
          </w:tcPr>
          <w:p>
            <w:pPr>
              <w:spacing w:after="0"/>
              <w:jc w:val="center"/>
              <w:rPr>
                <w:rFonts w:cs="Times New Roman"/>
                <w:color w:val="000000"/>
                <w:sz w:val="22"/>
                <w:highlight w:val="cyan"/>
              </w:rPr>
            </w:pPr>
            <w:r>
              <w:rPr>
                <w:rFonts w:cs="Times New Roman"/>
                <w:color w:val="000000"/>
                <w:sz w:val="22"/>
                <w:highlight w:val="cyan"/>
              </w:rPr>
              <w:t>0.0493</w:t>
            </w:r>
          </w:p>
        </w:tc>
      </w:tr>
      <w:tr>
        <w:trPr>
          <w:trHeight w:val="300"/>
          <w:jc w:val="center"/>
        </w:trPr>
        <w:tc>
          <w:tcPr>
            <w:tcW w:w="3520" w:type="dxa"/>
            <w:noWrap/>
            <w:hideMark/>
          </w:tcPr>
          <w:p>
            <w:pPr>
              <w:spacing w:after="0"/>
              <w:rPr>
                <w:rFonts w:cs="Times New Roman"/>
                <w:i/>
                <w:highlight w:val="cyan"/>
              </w:rPr>
            </w:pPr>
            <w:r>
              <w:rPr>
                <w:rFonts w:cs="Times New Roman"/>
                <w:i/>
                <w:highlight w:val="cyan"/>
              </w:rPr>
              <w:t>Anaerolineaceae *</w:t>
            </w:r>
          </w:p>
        </w:tc>
        <w:tc>
          <w:tcPr>
            <w:tcW w:w="1000" w:type="dxa"/>
            <w:noWrap/>
            <w:vAlign w:val="center"/>
            <w:hideMark/>
          </w:tcPr>
          <w:p>
            <w:pPr>
              <w:spacing w:after="0"/>
              <w:jc w:val="center"/>
              <w:rPr>
                <w:rFonts w:cs="Times New Roman"/>
                <w:color w:val="000000"/>
                <w:sz w:val="22"/>
                <w:highlight w:val="cyan"/>
              </w:rPr>
            </w:pPr>
            <w:r>
              <w:rPr>
                <w:rFonts w:cs="Times New Roman"/>
                <w:color w:val="000000"/>
                <w:sz w:val="22"/>
                <w:highlight w:val="cyan"/>
              </w:rPr>
              <w:t>-1.92</w:t>
            </w:r>
          </w:p>
        </w:tc>
        <w:tc>
          <w:tcPr>
            <w:tcW w:w="999" w:type="dxa"/>
            <w:noWrap/>
            <w:vAlign w:val="center"/>
            <w:hideMark/>
          </w:tcPr>
          <w:p>
            <w:pPr>
              <w:spacing w:after="0"/>
              <w:jc w:val="center"/>
              <w:rPr>
                <w:rFonts w:cs="Times New Roman"/>
                <w:color w:val="000000"/>
                <w:sz w:val="22"/>
                <w:highlight w:val="cyan"/>
              </w:rPr>
            </w:pPr>
            <w:r>
              <w:rPr>
                <w:rFonts w:cs="Times New Roman"/>
                <w:color w:val="000000"/>
                <w:sz w:val="22"/>
                <w:highlight w:val="cyan"/>
              </w:rPr>
              <w:t>9.41</w:t>
            </w:r>
          </w:p>
        </w:tc>
        <w:tc>
          <w:tcPr>
            <w:tcW w:w="1120" w:type="dxa"/>
            <w:noWrap/>
            <w:vAlign w:val="center"/>
            <w:hideMark/>
          </w:tcPr>
          <w:p>
            <w:pPr>
              <w:spacing w:after="0"/>
              <w:jc w:val="center"/>
              <w:rPr>
                <w:rFonts w:cs="Times New Roman"/>
                <w:color w:val="000000"/>
                <w:sz w:val="22"/>
                <w:highlight w:val="cyan"/>
              </w:rPr>
            </w:pPr>
            <w:r>
              <w:rPr>
                <w:rFonts w:cs="Times New Roman"/>
                <w:color w:val="000000"/>
                <w:sz w:val="22"/>
                <w:highlight w:val="cyan"/>
              </w:rPr>
              <w:t>0.0042</w:t>
            </w:r>
          </w:p>
        </w:tc>
        <w:tc>
          <w:tcPr>
            <w:tcW w:w="1120" w:type="dxa"/>
            <w:noWrap/>
            <w:vAlign w:val="center"/>
            <w:hideMark/>
          </w:tcPr>
          <w:p>
            <w:pPr>
              <w:spacing w:after="0"/>
              <w:jc w:val="center"/>
              <w:rPr>
                <w:rFonts w:cs="Times New Roman"/>
                <w:color w:val="000000"/>
                <w:sz w:val="22"/>
                <w:highlight w:val="cyan"/>
              </w:rPr>
            </w:pPr>
            <w:r>
              <w:rPr>
                <w:rFonts w:cs="Times New Roman"/>
                <w:color w:val="000000"/>
                <w:sz w:val="22"/>
                <w:highlight w:val="cyan"/>
              </w:rPr>
              <w:t>0.0493</w:t>
            </w:r>
          </w:p>
        </w:tc>
      </w:tr>
      <w:tr>
        <w:trPr>
          <w:trHeight w:val="300"/>
          <w:jc w:val="center"/>
        </w:trPr>
        <w:tc>
          <w:tcPr>
            <w:tcW w:w="3520" w:type="dxa"/>
            <w:tcBorders>
              <w:bottom w:val="single" w:sz="4" w:space="0" w:color="auto"/>
            </w:tcBorders>
            <w:noWrap/>
          </w:tcPr>
          <w:p>
            <w:pPr>
              <w:spacing w:after="0"/>
              <w:rPr>
                <w:rFonts w:cs="Times New Roman"/>
                <w:b/>
                <w:i/>
                <w:highlight w:val="cyan"/>
              </w:rPr>
            </w:pPr>
            <w:r>
              <w:rPr>
                <w:rFonts w:cs="Times New Roman"/>
                <w:b/>
                <w:i/>
                <w:highlight w:val="cyan"/>
              </w:rPr>
              <w:t>Nitrosomonadaceae</w:t>
            </w:r>
          </w:p>
        </w:tc>
        <w:tc>
          <w:tcPr>
            <w:tcW w:w="1000" w:type="dxa"/>
            <w:tcBorders>
              <w:bottom w:val="single" w:sz="4" w:space="0" w:color="auto"/>
            </w:tcBorders>
            <w:noWrap/>
            <w:vAlign w:val="center"/>
          </w:tcPr>
          <w:p>
            <w:pPr>
              <w:spacing w:after="0"/>
              <w:jc w:val="center"/>
              <w:rPr>
                <w:rFonts w:cs="Times New Roman"/>
                <w:color w:val="000000"/>
                <w:sz w:val="22"/>
                <w:highlight w:val="cyan"/>
              </w:rPr>
            </w:pPr>
            <w:r>
              <w:rPr>
                <w:rFonts w:cs="Times New Roman"/>
                <w:color w:val="000000"/>
                <w:sz w:val="22"/>
                <w:highlight w:val="cyan"/>
              </w:rPr>
              <w:t>-0.44</w:t>
            </w:r>
          </w:p>
        </w:tc>
        <w:tc>
          <w:tcPr>
            <w:tcW w:w="999" w:type="dxa"/>
            <w:tcBorders>
              <w:bottom w:val="single" w:sz="4" w:space="0" w:color="auto"/>
            </w:tcBorders>
            <w:noWrap/>
            <w:vAlign w:val="center"/>
          </w:tcPr>
          <w:p>
            <w:pPr>
              <w:spacing w:after="0"/>
              <w:jc w:val="center"/>
              <w:rPr>
                <w:rFonts w:cs="Times New Roman"/>
                <w:color w:val="000000"/>
                <w:sz w:val="22"/>
                <w:highlight w:val="cyan"/>
              </w:rPr>
            </w:pPr>
            <w:r>
              <w:rPr>
                <w:rFonts w:cs="Times New Roman"/>
                <w:color w:val="000000"/>
                <w:sz w:val="22"/>
                <w:highlight w:val="cyan"/>
              </w:rPr>
              <w:t>14.55</w:t>
            </w:r>
          </w:p>
        </w:tc>
        <w:tc>
          <w:tcPr>
            <w:tcW w:w="1120" w:type="dxa"/>
            <w:tcBorders>
              <w:bottom w:val="single" w:sz="4" w:space="0" w:color="auto"/>
            </w:tcBorders>
            <w:noWrap/>
            <w:vAlign w:val="center"/>
          </w:tcPr>
          <w:p>
            <w:pPr>
              <w:spacing w:after="0"/>
              <w:jc w:val="center"/>
              <w:rPr>
                <w:rFonts w:cs="Times New Roman"/>
                <w:color w:val="000000"/>
                <w:sz w:val="22"/>
                <w:highlight w:val="cyan"/>
              </w:rPr>
            </w:pPr>
            <w:r>
              <w:rPr>
                <w:rFonts w:cs="Times New Roman"/>
                <w:color w:val="000000"/>
                <w:sz w:val="22"/>
                <w:highlight w:val="cyan"/>
              </w:rPr>
              <w:t>0.0044</w:t>
            </w:r>
          </w:p>
        </w:tc>
        <w:tc>
          <w:tcPr>
            <w:tcW w:w="1120" w:type="dxa"/>
            <w:tcBorders>
              <w:bottom w:val="single" w:sz="4" w:space="0" w:color="auto"/>
            </w:tcBorders>
            <w:noWrap/>
            <w:vAlign w:val="center"/>
          </w:tcPr>
          <w:p>
            <w:pPr>
              <w:spacing w:after="0"/>
              <w:jc w:val="center"/>
              <w:rPr>
                <w:rFonts w:cs="Times New Roman"/>
                <w:color w:val="000000"/>
                <w:sz w:val="22"/>
              </w:rPr>
            </w:pPr>
            <w:r>
              <w:rPr>
                <w:rFonts w:cs="Times New Roman"/>
                <w:color w:val="000000"/>
                <w:sz w:val="22"/>
                <w:highlight w:val="cyan"/>
              </w:rPr>
              <w:t>0.0493</w:t>
            </w:r>
          </w:p>
        </w:tc>
      </w:tr>
    </w:tbl>
    <w:p>
      <w:pPr>
        <w:spacing w:after="0"/>
        <w:rPr>
          <w:b/>
        </w:rPr>
      </w:pPr>
    </w:p>
    <w:p>
      <w:pPr>
        <w:spacing w:after="0"/>
        <w:rPr>
          <w:b/>
        </w:rPr>
      </w:pPr>
      <w:r>
        <w:rPr>
          <w:b/>
        </w:rPr>
        <w:br w:type="page"/>
      </w:r>
    </w:p>
    <w:p>
      <w:pPr>
        <w:rPr>
          <w:b/>
        </w:rPr>
      </w:pPr>
      <w:r>
        <w:rPr>
          <w:b/>
        </w:rPr>
        <w:lastRenderedPageBreak/>
        <w:t>References</w:t>
      </w:r>
    </w:p>
    <w:p>
      <w:pPr>
        <w:pStyle w:val="Textkrper"/>
      </w:pPr>
      <w:r>
        <w:t>Green VS, Stott DE, Diack M (2006) Assay for fluorescein diacetate hydrolytic activ</w:t>
      </w:r>
      <w:r>
        <w:rPr>
          <w:spacing w:val="-3"/>
        </w:rPr>
        <w:t>ity:</w:t>
      </w:r>
      <w:r>
        <w:rPr>
          <w:spacing w:val="51"/>
        </w:rPr>
        <w:t xml:space="preserve"> </w:t>
      </w:r>
      <w:r>
        <w:t>optimization</w:t>
      </w:r>
      <w:r>
        <w:rPr>
          <w:spacing w:val="25"/>
        </w:rPr>
        <w:t xml:space="preserve"> </w:t>
      </w:r>
      <w:r>
        <w:t>for</w:t>
      </w:r>
      <w:r>
        <w:rPr>
          <w:spacing w:val="24"/>
        </w:rPr>
        <w:t xml:space="preserve"> </w:t>
      </w:r>
      <w:r>
        <w:t>soil</w:t>
      </w:r>
      <w:r>
        <w:rPr>
          <w:spacing w:val="25"/>
        </w:rPr>
        <w:t xml:space="preserve"> </w:t>
      </w:r>
      <w:r>
        <w:t>samples.</w:t>
      </w:r>
      <w:r>
        <w:rPr>
          <w:spacing w:val="52"/>
        </w:rPr>
        <w:t xml:space="preserve"> </w:t>
      </w:r>
      <w:r>
        <w:t>Soil</w:t>
      </w:r>
      <w:r>
        <w:rPr>
          <w:spacing w:val="23"/>
        </w:rPr>
        <w:t xml:space="preserve"> </w:t>
      </w:r>
      <w:r>
        <w:t>Biology</w:t>
      </w:r>
      <w:r>
        <w:rPr>
          <w:spacing w:val="25"/>
        </w:rPr>
        <w:t xml:space="preserve"> </w:t>
      </w:r>
      <w:r>
        <w:t>&amp;</w:t>
      </w:r>
      <w:r>
        <w:rPr>
          <w:spacing w:val="25"/>
        </w:rPr>
        <w:t xml:space="preserve"> </w:t>
      </w:r>
      <w:r>
        <w:t>Biochemistry</w:t>
      </w:r>
      <w:r>
        <w:rPr>
          <w:spacing w:val="24"/>
        </w:rPr>
        <w:t xml:space="preserve"> </w:t>
      </w:r>
      <w:r>
        <w:t>38(4):693–701</w:t>
      </w:r>
    </w:p>
    <w:p>
      <w:pPr>
        <w:pStyle w:val="Textkrper"/>
      </w:pPr>
    </w:p>
    <w:p>
      <w:pPr>
        <w:pStyle w:val="Textkrper"/>
        <w:rPr>
          <w:lang w:eastAsia="de-DE"/>
        </w:rPr>
      </w:pPr>
      <w:r>
        <w:rPr>
          <w:lang w:eastAsia="de-DE"/>
        </w:rPr>
        <w:t>Guckert JB, Carr GJ, Johnson TD, Hamm BG, Davidson DH and Kumagai Y (1996) Community analysis by Biolog: curve integration for statistical analysis of activated sludge microbial habitats. Journal of Microbiological Methods 27:183–197</w:t>
      </w:r>
    </w:p>
    <w:p>
      <w:pPr>
        <w:widowControl w:val="0"/>
        <w:autoSpaceDE w:val="0"/>
        <w:autoSpaceDN w:val="0"/>
        <w:adjustRightInd w:val="0"/>
        <w:spacing w:after="0"/>
        <w:rPr>
          <w:szCs w:val="24"/>
          <w:lang w:eastAsia="de-DE"/>
        </w:rPr>
      </w:pPr>
    </w:p>
    <w:p>
      <w:pPr>
        <w:pStyle w:val="Textkrper"/>
        <w:rPr>
          <w:w w:val="105"/>
        </w:rPr>
      </w:pPr>
      <w:r>
        <w:rPr>
          <w:w w:val="105"/>
        </w:rPr>
        <w:t>Li L, Xu M, Eyakub Ali M, Zhang W, Duan Y, Li D (2018) Factors affecting soil microbial biomass and functional diversity with the application of organic amendments in three contrasting cropland soils during a field experiment. PLoS One 13:e0203812</w:t>
      </w:r>
    </w:p>
    <w:p>
      <w:pPr>
        <w:rPr>
          <w:b/>
        </w:rPr>
      </w:pPr>
    </w:p>
    <w:p/>
    <w:sectPr>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8887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8BB162A"/>
    <w:multiLevelType w:val="hybridMultilevel"/>
    <w:tmpl w:val="E0D03966"/>
    <w:lvl w:ilvl="0" w:tplc="6398462E">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6EE58CEA-EB37-4602-9857-CF3856753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pPr>
    <w:rPr>
      <w:rFonts w:ascii="Times New Roman" w:hAnsi="Times New Roman"/>
      <w:sz w:val="24"/>
      <w:szCs w:val="22"/>
      <w:lang w:val="en-US" w:eastAsia="en-US"/>
    </w:rPr>
  </w:style>
  <w:style w:type="paragraph" w:styleId="berschrift1">
    <w:name w:val="heading 1"/>
    <w:basedOn w:val="Standard"/>
    <w:next w:val="Standard"/>
    <w:link w:val="berschrift1Zchn"/>
    <w:uiPriority w:val="9"/>
    <w:qFormat/>
    <w:pPr>
      <w:keepNext/>
      <w:spacing w:before="240" w:after="60"/>
      <w:outlineLvl w:val="0"/>
    </w:pPr>
    <w:rPr>
      <w:rFonts w:eastAsia="Times New Roman"/>
      <w:b/>
      <w:bCs/>
      <w:kern w:val="32"/>
      <w:sz w:val="28"/>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Pr>
      <w:rFonts w:ascii="Times New Roman" w:eastAsia="Times New Roman" w:hAnsi="Times New Roman" w:cs="Times New Roman"/>
      <w:b/>
      <w:bCs/>
      <w:kern w:val="32"/>
      <w:sz w:val="28"/>
      <w:szCs w:val="32"/>
    </w:rPr>
  </w:style>
  <w:style w:type="paragraph" w:customStyle="1" w:styleId="TableParagraph">
    <w:name w:val="Table Paragraph"/>
    <w:basedOn w:val="Standard"/>
    <w:uiPriority w:val="1"/>
    <w:qFormat/>
    <w:pPr>
      <w:widowControl w:val="0"/>
      <w:autoSpaceDE w:val="0"/>
      <w:autoSpaceDN w:val="0"/>
      <w:spacing w:before="29" w:after="0"/>
      <w:ind w:left="119"/>
      <w:jc w:val="center"/>
    </w:pPr>
    <w:rPr>
      <w:rFonts w:eastAsia="Times New Roman"/>
      <w:sz w:val="22"/>
    </w:rPr>
  </w:style>
  <w:style w:type="paragraph" w:styleId="Sprechblasentext">
    <w:name w:val="Balloon Text"/>
    <w:basedOn w:val="Standard"/>
    <w:link w:val="SprechblasentextZchn"/>
    <w:uiPriority w:val="99"/>
    <w:semiHidden/>
    <w:unhideWhenUsed/>
    <w:pPr>
      <w:spacing w:after="0"/>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pPr>
      <w:spacing w:after="160" w:line="360" w:lineRule="auto"/>
      <w:jc w:val="both"/>
    </w:pPr>
    <w:rPr>
      <w:sz w:val="20"/>
      <w:szCs w:val="20"/>
    </w:rPr>
  </w:style>
  <w:style w:type="character" w:customStyle="1" w:styleId="KommentartextZchn">
    <w:name w:val="Kommentartext Zchn"/>
    <w:link w:val="Kommentartext"/>
    <w:uiPriority w:val="99"/>
    <w:semiHidden/>
    <w:rPr>
      <w:rFonts w:ascii="Times New Roman" w:hAnsi="Times New Roman"/>
    </w:rPr>
  </w:style>
  <w:style w:type="paragraph" w:styleId="Textkrper">
    <w:name w:val="Body Text"/>
    <w:basedOn w:val="Standard"/>
    <w:link w:val="TextkrperZchn"/>
    <w:uiPriority w:val="1"/>
    <w:qFormat/>
    <w:pPr>
      <w:widowControl w:val="0"/>
      <w:autoSpaceDE w:val="0"/>
      <w:autoSpaceDN w:val="0"/>
      <w:spacing w:after="0"/>
      <w:jc w:val="both"/>
    </w:pPr>
    <w:rPr>
      <w:rFonts w:eastAsia="Times New Roman"/>
      <w:szCs w:val="24"/>
    </w:rPr>
  </w:style>
  <w:style w:type="character" w:customStyle="1" w:styleId="TextkrperZchn">
    <w:name w:val="Textkörper Zchn"/>
    <w:basedOn w:val="Absatz-Standardschriftart"/>
    <w:link w:val="Textkrper"/>
    <w:uiPriority w:val="1"/>
    <w:rPr>
      <w:rFonts w:ascii="Times New Roman" w:eastAsia="Times New Roman" w:hAnsi="Times New Roman"/>
      <w:sz w:val="24"/>
      <w:szCs w:val="24"/>
      <w:lang w:val="en-US" w:eastAsia="en-US"/>
    </w:rPr>
  </w:style>
  <w:style w:type="paragraph" w:styleId="Kommentarthema">
    <w:name w:val="annotation subject"/>
    <w:basedOn w:val="Kommentartext"/>
    <w:next w:val="Kommentartext"/>
    <w:link w:val="KommentarthemaZchn"/>
    <w:uiPriority w:val="99"/>
    <w:semiHidden/>
    <w:unhideWhenUsed/>
    <w:pPr>
      <w:spacing w:after="200" w:line="240" w:lineRule="auto"/>
      <w:jc w:val="left"/>
    </w:pPr>
    <w:rPr>
      <w:b/>
      <w:bCs/>
    </w:rPr>
  </w:style>
  <w:style w:type="character" w:customStyle="1" w:styleId="KommentarthemaZchn">
    <w:name w:val="Kommentarthema Zchn"/>
    <w:basedOn w:val="KommentartextZchn"/>
    <w:link w:val="Kommentarthema"/>
    <w:uiPriority w:val="99"/>
    <w:semiHidden/>
    <w:rPr>
      <w:rFonts w:ascii="Times New Roman" w:hAnsi="Times New Roman"/>
      <w:b/>
      <w:bCs/>
      <w:lang w:val="en-US" w:eastAsia="en-US"/>
    </w:rPr>
  </w:style>
  <w:style w:type="table" w:styleId="Tabellenraster">
    <w:name w:val="Table Grid"/>
    <w:basedOn w:val="NormaleTabelle"/>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849743">
      <w:bodyDiv w:val="1"/>
      <w:marLeft w:val="0"/>
      <w:marRight w:val="0"/>
      <w:marTop w:val="0"/>
      <w:marBottom w:val="0"/>
      <w:divBdr>
        <w:top w:val="none" w:sz="0" w:space="0" w:color="auto"/>
        <w:left w:val="none" w:sz="0" w:space="0" w:color="auto"/>
        <w:bottom w:val="none" w:sz="0" w:space="0" w:color="auto"/>
        <w:right w:val="none" w:sz="0" w:space="0" w:color="auto"/>
      </w:divBdr>
    </w:div>
    <w:div w:id="1822388268">
      <w:bodyDiv w:val="1"/>
      <w:marLeft w:val="0"/>
      <w:marRight w:val="0"/>
      <w:marTop w:val="0"/>
      <w:marBottom w:val="0"/>
      <w:divBdr>
        <w:top w:val="none" w:sz="0" w:space="0" w:color="auto"/>
        <w:left w:val="none" w:sz="0" w:space="0" w:color="auto"/>
        <w:bottom w:val="none" w:sz="0" w:space="0" w:color="auto"/>
        <w:right w:val="none" w:sz="0" w:space="0" w:color="auto"/>
      </w:divBdr>
    </w:div>
    <w:div w:id="21436491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2294</Words>
  <Characters>13081</Characters>
  <Application>Microsoft Office Word</Application>
  <DocSecurity>0</DocSecurity>
  <Lines>109</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15345</CharactersWithSpaces>
  <SharedDoc>false</SharedDoc>
  <HLinks>
    <vt:vector size="12" baseType="variant">
      <vt:variant>
        <vt:i4>2228343</vt:i4>
      </vt:variant>
      <vt:variant>
        <vt:i4>2400</vt:i4>
      </vt:variant>
      <vt:variant>
        <vt:i4>1025</vt:i4>
      </vt:variant>
      <vt:variant>
        <vt:i4>1</vt:i4>
      </vt:variant>
      <vt:variant>
        <vt:lpwstr>Setup2</vt:lpwstr>
      </vt:variant>
      <vt:variant>
        <vt:lpwstr/>
      </vt:variant>
      <vt:variant>
        <vt:i4>6226010</vt:i4>
      </vt:variant>
      <vt:variant>
        <vt:i4>2663</vt:i4>
      </vt:variant>
      <vt:variant>
        <vt:i4>1027</vt:i4>
      </vt:variant>
      <vt:variant>
        <vt:i4>1</vt:i4>
      </vt:variant>
      <vt:variant>
        <vt:lpwstr>Ratio_MinN2222_Col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eva-maria.minarsch</dc:creator>
  <cp:keywords/>
  <dc:description/>
  <cp:lastModifiedBy>Schröder, Peter</cp:lastModifiedBy>
  <cp:revision>2</cp:revision>
  <dcterms:created xsi:type="dcterms:W3CDTF">2020-05-25T11:31:00Z</dcterms:created>
  <dcterms:modified xsi:type="dcterms:W3CDTF">2020-05-25T11:31:00Z</dcterms:modified>
</cp:coreProperties>
</file>