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spacing w:line="360" w:lineRule="auto"/>
        <w:rPr>
          <w:rFonts w:ascii="Times New Roman" w:hAnsi="Times New Roman" w:cs="Times New Roman"/>
          <w:sz w:val="24"/>
          <w:szCs w:val="24"/>
        </w:rPr>
      </w:pPr>
      <w:r>
        <w:rPr>
          <w:rFonts w:ascii="Times New Roman" w:hAnsi="Times New Roman" w:cs="Times New Roman"/>
          <w:sz w:val="24"/>
          <w:szCs w:val="24"/>
        </w:rPr>
        <w:t>Increased estrogen to androgen ratio enhances immunoglobulin levels and impairs B cell function in male mice</w:t>
      </w:r>
    </w:p>
    <w:p>
      <w:pPr>
        <w:spacing w:line="360" w:lineRule="auto"/>
        <w:rPr>
          <w:rFonts w:ascii="Times New Roman" w:hAnsi="Times New Roman" w:cs="Times New Roman"/>
          <w:sz w:val="24"/>
          <w:szCs w:val="24"/>
        </w:rPr>
      </w:pPr>
    </w:p>
    <w:p>
      <w:pPr>
        <w:pStyle w:val="NoSpacing"/>
        <w:spacing w:line="360" w:lineRule="auto"/>
        <w:rPr>
          <w:rFonts w:ascii="Times New Roman" w:hAnsi="Times New Roman" w:cs="Times New Roman"/>
          <w:b/>
          <w:sz w:val="24"/>
          <w:szCs w:val="24"/>
          <w:vertAlign w:val="superscript"/>
        </w:rPr>
      </w:pPr>
      <w:r>
        <w:rPr>
          <w:rFonts w:ascii="Times New Roman" w:hAnsi="Times New Roman" w:cs="Times New Roman"/>
          <w:sz w:val="24"/>
          <w:szCs w:val="24"/>
        </w:rPr>
        <w:t xml:space="preserve">Juan Antonio Aguilar-Pimentel </w:t>
      </w:r>
      <w:r>
        <w:rPr>
          <w:rFonts w:ascii="Times New Roman" w:hAnsi="Times New Roman" w:cs="Times New Roman"/>
          <w:b/>
          <w:sz w:val="24"/>
          <w:szCs w:val="24"/>
          <w:vertAlign w:val="superscript"/>
        </w:rPr>
        <w:t>1,*</w:t>
      </w:r>
      <w:r>
        <w:rPr>
          <w:rFonts w:ascii="Times New Roman" w:hAnsi="Times New Roman" w:cs="Times New Roman"/>
          <w:sz w:val="24"/>
          <w:szCs w:val="24"/>
        </w:rPr>
        <w:t xml:space="preserve">, </w:t>
      </w:r>
      <w:r>
        <w:rPr>
          <w:rStyle w:val="NoSpacingChar"/>
          <w:rFonts w:ascii="Times New Roman" w:hAnsi="Times New Roman" w:cs="Times New Roman"/>
          <w:sz w:val="24"/>
          <w:szCs w:val="24"/>
        </w:rPr>
        <w:t xml:space="preserve">Cho Yi-Li </w:t>
      </w:r>
      <w:r>
        <w:rPr>
          <w:rStyle w:val="NoSpacingChar"/>
          <w:rFonts w:ascii="Times New Roman" w:hAnsi="Times New Roman" w:cs="Times New Roman"/>
          <w:b/>
          <w:sz w:val="24"/>
          <w:szCs w:val="24"/>
          <w:vertAlign w:val="superscript"/>
        </w:rPr>
        <w:t>1</w:t>
      </w:r>
      <w:r>
        <w:rPr>
          <w:rFonts w:ascii="Times New Roman" w:hAnsi="Times New Roman" w:cs="Times New Roman"/>
          <w:sz w:val="24"/>
          <w:szCs w:val="24"/>
        </w:rPr>
        <w:t xml:space="preserve">, Raffaele Gerlini </w:t>
      </w:r>
      <w:r>
        <w:rPr>
          <w:rFonts w:ascii="Times New Roman" w:hAnsi="Times New Roman" w:cs="Times New Roman"/>
          <w:b/>
          <w:sz w:val="24"/>
          <w:szCs w:val="24"/>
          <w:vertAlign w:val="superscript"/>
        </w:rPr>
        <w:t>2,3</w:t>
      </w:r>
      <w:r>
        <w:rPr>
          <w:rFonts w:ascii="Times New Roman" w:hAnsi="Times New Roman" w:cs="Times New Roman"/>
          <w:sz w:val="24"/>
          <w:szCs w:val="24"/>
        </w:rPr>
        <w:t xml:space="preserve">, Julia Calzada-Wack </w:t>
      </w:r>
      <w:r>
        <w:rPr>
          <w:rStyle w:val="NoSpacingChar"/>
          <w:rFonts w:ascii="Times New Roman" w:hAnsi="Times New Roman" w:cs="Times New Roman"/>
          <w:b/>
          <w:sz w:val="24"/>
          <w:szCs w:val="24"/>
          <w:vertAlign w:val="superscript"/>
        </w:rPr>
        <w:t>1</w:t>
      </w:r>
      <w:r>
        <w:rPr>
          <w:rFonts w:ascii="Times New Roman" w:hAnsi="Times New Roman" w:cs="Times New Roman"/>
          <w:sz w:val="24"/>
          <w:szCs w:val="24"/>
        </w:rPr>
        <w:t xml:space="preserve">, Maria </w:t>
      </w:r>
      <w:proofErr w:type="spellStart"/>
      <w:r>
        <w:rPr>
          <w:rFonts w:ascii="Times New Roman" w:hAnsi="Times New Roman" w:cs="Times New Roman"/>
          <w:sz w:val="24"/>
          <w:szCs w:val="24"/>
        </w:rPr>
        <w:t>Wimmer</w:t>
      </w:r>
      <w:proofErr w:type="spellEnd"/>
      <w:r>
        <w:rPr>
          <w:rFonts w:ascii="Times New Roman" w:hAnsi="Times New Roman" w:cs="Times New Roman"/>
          <w:sz w:val="24"/>
          <w:szCs w:val="24"/>
        </w:rPr>
        <w:t xml:space="preserve"> </w:t>
      </w:r>
      <w:r>
        <w:rPr>
          <w:rFonts w:ascii="Times New Roman" w:hAnsi="Times New Roman" w:cs="Times New Roman"/>
          <w:b/>
          <w:sz w:val="24"/>
          <w:szCs w:val="24"/>
          <w:vertAlign w:val="superscript"/>
        </w:rPr>
        <w:t>4,5</w:t>
      </w:r>
      <w:r>
        <w:rPr>
          <w:rStyle w:val="NoSpacingChar"/>
          <w:rFonts w:ascii="Times New Roman" w:hAnsi="Times New Roman" w:cs="Times New Roman"/>
          <w:sz w:val="24"/>
          <w:szCs w:val="24"/>
        </w:rPr>
        <w:t>, Philipp Mayer-</w:t>
      </w:r>
      <w:proofErr w:type="spellStart"/>
      <w:r>
        <w:rPr>
          <w:rStyle w:val="NoSpacingChar"/>
          <w:rFonts w:ascii="Times New Roman" w:hAnsi="Times New Roman" w:cs="Times New Roman"/>
          <w:sz w:val="24"/>
          <w:szCs w:val="24"/>
        </w:rPr>
        <w:t>Kuckuk</w:t>
      </w:r>
      <w:proofErr w:type="spellEnd"/>
      <w:r>
        <w:rPr>
          <w:rStyle w:val="NoSpacingChar"/>
          <w:rFonts w:ascii="Times New Roman" w:hAnsi="Times New Roman" w:cs="Times New Roman"/>
          <w:sz w:val="24"/>
          <w:szCs w:val="24"/>
        </w:rPr>
        <w:t xml:space="preserve"> </w:t>
      </w:r>
      <w:r>
        <w:rPr>
          <w:rFonts w:ascii="Times New Roman" w:hAnsi="Times New Roman" w:cs="Times New Roman"/>
          <w:b/>
          <w:sz w:val="24"/>
          <w:szCs w:val="24"/>
          <w:vertAlign w:val="superscript"/>
        </w:rPr>
        <w:t>1</w:t>
      </w:r>
      <w:r>
        <w:rPr>
          <w:rStyle w:val="NoSpacingChar"/>
          <w:rFonts w:ascii="Times New Roman" w:hAnsi="Times New Roman" w:cs="Times New Roman"/>
          <w:sz w:val="24"/>
          <w:szCs w:val="24"/>
        </w:rPr>
        <w:t xml:space="preserve">, Thure Adler </w:t>
      </w:r>
      <w:r>
        <w:rPr>
          <w:rStyle w:val="NoSpacingChar"/>
          <w:rFonts w:ascii="Times New Roman" w:hAnsi="Times New Roman" w:cs="Times New Roman"/>
          <w:b/>
          <w:sz w:val="24"/>
          <w:szCs w:val="24"/>
          <w:vertAlign w:val="superscript"/>
        </w:rPr>
        <w:t>6,7</w:t>
      </w:r>
      <w:r>
        <w:rPr>
          <w:rStyle w:val="NoSpacingChar"/>
          <w:rFonts w:ascii="Times New Roman" w:hAnsi="Times New Roman" w:cs="Times New Roman"/>
          <w:sz w:val="24"/>
          <w:szCs w:val="24"/>
        </w:rPr>
        <w:t xml:space="preserve">, Carsten B. Schmidt-Weber </w:t>
      </w:r>
      <w:r>
        <w:rPr>
          <w:rStyle w:val="NoSpacingChar"/>
          <w:rFonts w:ascii="Times New Roman" w:hAnsi="Times New Roman" w:cs="Times New Roman"/>
          <w:sz w:val="24"/>
          <w:szCs w:val="24"/>
          <w:vertAlign w:val="superscript"/>
        </w:rPr>
        <w:t>5</w:t>
      </w:r>
      <w:r>
        <w:rPr>
          <w:rStyle w:val="NoSpacingChar"/>
          <w:rFonts w:ascii="Times New Roman" w:hAnsi="Times New Roman" w:cs="Times New Roman"/>
          <w:sz w:val="24"/>
          <w:szCs w:val="24"/>
        </w:rPr>
        <w:t xml:space="preserve">, Dirk H. Busch </w:t>
      </w:r>
      <w:r>
        <w:rPr>
          <w:rStyle w:val="NoSpacingChar"/>
          <w:rFonts w:ascii="Times New Roman" w:hAnsi="Times New Roman" w:cs="Times New Roman"/>
          <w:b/>
          <w:sz w:val="24"/>
          <w:szCs w:val="24"/>
          <w:vertAlign w:val="superscript"/>
        </w:rPr>
        <w:t>6</w:t>
      </w:r>
      <w:r>
        <w:rPr>
          <w:rFonts w:ascii="Times New Roman" w:hAnsi="Times New Roman" w:cs="Times New Roman"/>
          <w:sz w:val="24"/>
          <w:szCs w:val="24"/>
        </w:rPr>
        <w:t>, Helmut Fuchs</w:t>
      </w:r>
      <w:r>
        <w:rPr>
          <w:rFonts w:ascii="Times New Roman" w:hAnsi="Times New Roman" w:cs="Times New Roman"/>
          <w:b/>
          <w:sz w:val="24"/>
          <w:szCs w:val="24"/>
          <w:vertAlign w:val="superscript"/>
        </w:rPr>
        <w:t xml:space="preserve"> 1</w:t>
      </w:r>
      <w:r>
        <w:rPr>
          <w:rFonts w:ascii="Times New Roman" w:hAnsi="Times New Roman" w:cs="Times New Roman"/>
          <w:sz w:val="24"/>
          <w:szCs w:val="24"/>
        </w:rPr>
        <w:t xml:space="preserve">, </w:t>
      </w:r>
      <w:proofErr w:type="spellStart"/>
      <w:r>
        <w:rPr>
          <w:rFonts w:ascii="Times New Roman" w:hAnsi="Times New Roman" w:cs="Times New Roman"/>
          <w:sz w:val="24"/>
          <w:szCs w:val="24"/>
        </w:rPr>
        <w:t>Valérie</w:t>
      </w:r>
      <w:proofErr w:type="spellEnd"/>
      <w:r>
        <w:rPr>
          <w:rFonts w:ascii="Times New Roman" w:hAnsi="Times New Roman" w:cs="Times New Roman"/>
          <w:sz w:val="24"/>
          <w:szCs w:val="24"/>
        </w:rPr>
        <w:t xml:space="preserve"> Gailus-Durner </w:t>
      </w:r>
      <w:r>
        <w:rPr>
          <w:rFonts w:ascii="Times New Roman" w:hAnsi="Times New Roman" w:cs="Times New Roman"/>
          <w:b/>
          <w:sz w:val="24"/>
          <w:szCs w:val="24"/>
          <w:vertAlign w:val="superscript"/>
        </w:rPr>
        <w:t>1</w:t>
      </w:r>
      <w:r>
        <w:rPr>
          <w:rFonts w:ascii="Times New Roman" w:hAnsi="Times New Roman" w:cs="Times New Roman"/>
          <w:sz w:val="24"/>
          <w:szCs w:val="24"/>
        </w:rPr>
        <w:t xml:space="preserve">, Markus Ollert </w:t>
      </w:r>
      <w:r>
        <w:rPr>
          <w:rFonts w:ascii="Times New Roman" w:hAnsi="Times New Roman" w:cs="Times New Roman"/>
          <w:b/>
          <w:sz w:val="24"/>
          <w:szCs w:val="24"/>
          <w:vertAlign w:val="superscript"/>
        </w:rPr>
        <w:t>8,9</w:t>
      </w:r>
      <w:r>
        <w:rPr>
          <w:rFonts w:ascii="Times New Roman" w:hAnsi="Times New Roman" w:cs="Times New Roman"/>
          <w:sz w:val="24"/>
          <w:szCs w:val="24"/>
        </w:rPr>
        <w:t xml:space="preserve">, Martin </w:t>
      </w:r>
      <w:proofErr w:type="spellStart"/>
      <w:r>
        <w:rPr>
          <w:rFonts w:ascii="Times New Roman" w:hAnsi="Times New Roman" w:cs="Times New Roman"/>
          <w:sz w:val="24"/>
          <w:szCs w:val="24"/>
        </w:rPr>
        <w:t>Hrabě</w:t>
      </w:r>
      <w:proofErr w:type="spellEnd"/>
      <w:r>
        <w:rPr>
          <w:rFonts w:ascii="Times New Roman" w:hAnsi="Times New Roman" w:cs="Times New Roman"/>
          <w:sz w:val="24"/>
          <w:szCs w:val="24"/>
        </w:rPr>
        <w:t xml:space="preserve"> de Angelis </w:t>
      </w:r>
      <w:r>
        <w:rPr>
          <w:rFonts w:ascii="Times New Roman" w:hAnsi="Times New Roman" w:cs="Times New Roman"/>
          <w:b/>
          <w:sz w:val="24"/>
          <w:szCs w:val="24"/>
          <w:vertAlign w:val="superscript"/>
        </w:rPr>
        <w:t>1,2,3,10,*</w:t>
      </w:r>
      <w:r>
        <w:rPr>
          <w:rFonts w:ascii="Times New Roman" w:hAnsi="Times New Roman" w:cs="Times New Roman"/>
          <w:sz w:val="24"/>
          <w:szCs w:val="24"/>
        </w:rPr>
        <w:t xml:space="preserve">, </w:t>
      </w:r>
      <w:proofErr w:type="spellStart"/>
      <w:r>
        <w:rPr>
          <w:rFonts w:ascii="Times New Roman" w:hAnsi="Times New Roman" w:cs="Times New Roman"/>
          <w:sz w:val="24"/>
          <w:szCs w:val="24"/>
        </w:rPr>
        <w:t>Claes</w:t>
      </w:r>
      <w:proofErr w:type="spellEnd"/>
      <w:r>
        <w:rPr>
          <w:rFonts w:ascii="Times New Roman" w:hAnsi="Times New Roman" w:cs="Times New Roman"/>
          <w:sz w:val="24"/>
          <w:szCs w:val="24"/>
        </w:rPr>
        <w:t xml:space="preserve"> Ohlsson</w:t>
      </w:r>
      <w:r>
        <w:rPr>
          <w:rFonts w:ascii="Times New Roman" w:hAnsi="Times New Roman" w:cs="Times New Roman"/>
          <w:b/>
          <w:sz w:val="24"/>
          <w:szCs w:val="24"/>
          <w:vertAlign w:val="superscript"/>
        </w:rPr>
        <w:t>11</w:t>
      </w:r>
      <w:r>
        <w:rPr>
          <w:rFonts w:ascii="Times New Roman" w:hAnsi="Times New Roman" w:cs="Times New Roman"/>
          <w:sz w:val="24"/>
          <w:szCs w:val="24"/>
        </w:rPr>
        <w:t xml:space="preserve">, </w:t>
      </w:r>
      <w:proofErr w:type="spellStart"/>
      <w:r>
        <w:rPr>
          <w:rFonts w:ascii="Times New Roman" w:hAnsi="Times New Roman" w:cs="Times New Roman"/>
          <w:sz w:val="24"/>
          <w:szCs w:val="24"/>
        </w:rPr>
        <w:t>Matti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Poutanen</w:t>
      </w:r>
      <w:proofErr w:type="spellEnd"/>
      <w:r>
        <w:rPr>
          <w:rFonts w:ascii="Times New Roman" w:hAnsi="Times New Roman" w:cs="Times New Roman"/>
          <w:sz w:val="24"/>
          <w:szCs w:val="24"/>
        </w:rPr>
        <w:t xml:space="preserve"> </w:t>
      </w:r>
      <w:r>
        <w:rPr>
          <w:rFonts w:ascii="Times New Roman" w:hAnsi="Times New Roman" w:cs="Times New Roman"/>
          <w:b/>
          <w:sz w:val="24"/>
          <w:szCs w:val="24"/>
          <w:vertAlign w:val="superscript"/>
        </w:rPr>
        <w:t>11, 12, 13</w:t>
      </w:r>
      <w:r>
        <w:rPr>
          <w:rFonts w:ascii="Times New Roman" w:hAnsi="Times New Roman" w:cs="Times New Roman"/>
          <w:sz w:val="24"/>
          <w:szCs w:val="24"/>
        </w:rPr>
        <w:t xml:space="preserve">, Raffaele Teperino </w:t>
      </w:r>
      <w:r>
        <w:rPr>
          <w:rFonts w:ascii="Times New Roman" w:hAnsi="Times New Roman" w:cs="Times New Roman"/>
          <w:b/>
          <w:sz w:val="24"/>
          <w:szCs w:val="24"/>
          <w:vertAlign w:val="superscript"/>
        </w:rPr>
        <w:t>2,3</w:t>
      </w:r>
      <w:r>
        <w:rPr>
          <w:rFonts w:ascii="Times New Roman" w:hAnsi="Times New Roman" w:cs="Times New Roman"/>
          <w:b/>
          <w:sz w:val="24"/>
          <w:szCs w:val="24"/>
        </w:rPr>
        <w:t xml:space="preserve">, </w:t>
      </w:r>
      <w:r>
        <w:rPr>
          <w:rFonts w:ascii="Times New Roman" w:hAnsi="Times New Roman" w:cs="Times New Roman"/>
          <w:sz w:val="24"/>
          <w:szCs w:val="24"/>
        </w:rPr>
        <w:t xml:space="preserve">Leena Strauss </w:t>
      </w:r>
      <w:r>
        <w:rPr>
          <w:rFonts w:ascii="Times New Roman" w:hAnsi="Times New Roman" w:cs="Times New Roman"/>
          <w:b/>
          <w:sz w:val="24"/>
          <w:szCs w:val="24"/>
          <w:vertAlign w:val="superscript"/>
        </w:rPr>
        <w:t>12,13</w:t>
      </w:r>
    </w:p>
    <w:p>
      <w:pPr>
        <w:spacing w:line="360" w:lineRule="auto"/>
        <w:rPr>
          <w:rFonts w:ascii="Times New Roman" w:hAnsi="Times New Roman"/>
          <w:b/>
          <w:bCs/>
          <w:color w:val="212121"/>
          <w:sz w:val="24"/>
          <w:szCs w:val="24"/>
        </w:rPr>
      </w:pPr>
    </w:p>
    <w:p>
      <w:pPr>
        <w:spacing w:line="360" w:lineRule="auto"/>
        <w:rPr>
          <w:rFonts w:ascii="Times New Roman" w:hAnsi="Times New Roman"/>
          <w:color w:val="212121"/>
          <w:sz w:val="24"/>
          <w:szCs w:val="24"/>
        </w:rPr>
      </w:pPr>
      <w:r>
        <w:rPr>
          <w:rFonts w:ascii="Times New Roman" w:hAnsi="Times New Roman"/>
          <w:b/>
          <w:bCs/>
          <w:color w:val="212121"/>
          <w:sz w:val="24"/>
          <w:szCs w:val="24"/>
        </w:rPr>
        <w:t>Supplement Figure 1. Sex-bias in the amounts of natural killer (NK) cells and eosinophils in blood.</w:t>
      </w:r>
      <w:r>
        <w:rPr>
          <w:rFonts w:ascii="Times New Roman" w:hAnsi="Times New Roman"/>
          <w:color w:val="212121"/>
          <w:sz w:val="24"/>
          <w:szCs w:val="24"/>
        </w:rPr>
        <w:t xml:space="preserve"> The figure shows the relative amounts of natural killer (NK) cells (A) and eosinophils (B) in the blood samples. The AROM+ males resembled more to the WT females than to the WT males (median, n= 10).</w:t>
      </w:r>
    </w:p>
    <w:p>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42.75pt">
            <v:imagedata r:id="rId4" o:title="Supplement figure 1"/>
          </v:shape>
        </w:pict>
      </w:r>
    </w:p>
    <w:p/>
    <w:p>
      <w:pPr>
        <w:spacing w:line="360" w:lineRule="auto"/>
        <w:rPr>
          <w:rFonts w:ascii="Times New Roman" w:hAnsi="Times New Roman"/>
          <w:color w:val="212121"/>
          <w:sz w:val="24"/>
          <w:szCs w:val="24"/>
        </w:rPr>
      </w:pPr>
      <w:bookmarkStart w:id="0" w:name="_GoBack"/>
      <w:bookmarkEnd w:id="0"/>
      <w:r>
        <w:rPr>
          <w:rFonts w:ascii="Times New Roman" w:hAnsi="Times New Roman"/>
          <w:b/>
          <w:bCs/>
          <w:color w:val="212121"/>
          <w:sz w:val="24"/>
          <w:szCs w:val="24"/>
        </w:rPr>
        <w:t>Supplement Figure 2. Sexual dimorphism in the immune cells.</w:t>
      </w:r>
      <w:r>
        <w:rPr>
          <w:rFonts w:ascii="Times New Roman" w:hAnsi="Times New Roman"/>
          <w:color w:val="212121"/>
          <w:sz w:val="24"/>
          <w:szCs w:val="24"/>
        </w:rPr>
        <w:t xml:space="preserve"> A) Relative distribution of T and B cells in the spleen of male and female mice as determined by a large-scale phenotyping screening from mice at the German Mouse Clinic (GMC, data of C57BL6 WT mouse screened). B) Correlation of the spleen weight and body weight showing heavy spleens in females when correlated to males. Median, n&gt; </w:t>
      </w:r>
      <w:proofErr w:type="gramStart"/>
      <w:r>
        <w:rPr>
          <w:rFonts w:ascii="Times New Roman" w:hAnsi="Times New Roman"/>
          <w:color w:val="212121"/>
          <w:sz w:val="24"/>
          <w:szCs w:val="24"/>
        </w:rPr>
        <w:t>340 ,</w:t>
      </w:r>
      <w:proofErr w:type="gramEnd"/>
      <w:r>
        <w:rPr>
          <w:rFonts w:ascii="Times New Roman" w:hAnsi="Times New Roman"/>
          <w:color w:val="212121"/>
          <w:sz w:val="24"/>
          <w:szCs w:val="24"/>
        </w:rPr>
        <w:t xml:space="preserve"> Mice between 15 to 17 weeks old (C57BL/6).</w:t>
      </w:r>
    </w:p>
    <w:p>
      <w:r>
        <w:rPr>
          <w:noProof/>
        </w:rPr>
        <w:pict>
          <v:shape id="_x0000_i1026" type="#_x0000_t75" style="width:468pt;height:297pt">
            <v:imagedata r:id="rId5" o:title="Supplement figure 2"/>
          </v:shape>
        </w:pict>
      </w:r>
    </w:p>
    <w:p>
      <w:pPr>
        <w:spacing w:after="160" w:line="259" w:lineRule="auto"/>
        <w:rPr>
          <w:rFonts w:ascii="Times New Roman" w:hAnsi="Times New Roman"/>
          <w:b/>
          <w:bCs/>
          <w:color w:val="212121"/>
          <w:sz w:val="24"/>
          <w:szCs w:val="24"/>
        </w:rPr>
      </w:pPr>
    </w:p>
    <w:p>
      <w:pPr>
        <w:spacing w:after="160" w:line="259" w:lineRule="auto"/>
        <w:rPr>
          <w:rFonts w:ascii="Times New Roman" w:hAnsi="Times New Roman"/>
          <w:b/>
          <w:bCs/>
          <w:color w:val="212121"/>
          <w:sz w:val="24"/>
          <w:szCs w:val="24"/>
        </w:rPr>
      </w:pPr>
      <w:r>
        <w:rPr>
          <w:rFonts w:ascii="Times New Roman" w:hAnsi="Times New Roman"/>
          <w:b/>
          <w:bCs/>
          <w:color w:val="212121"/>
          <w:sz w:val="24"/>
          <w:szCs w:val="24"/>
        </w:rPr>
        <w:br w:type="page"/>
      </w:r>
    </w:p>
    <w:p>
      <w:pPr>
        <w:spacing w:line="360" w:lineRule="auto"/>
        <w:rPr>
          <w:rFonts w:ascii="Times New Roman" w:hAnsi="Times New Roman"/>
          <w:color w:val="212121"/>
          <w:sz w:val="24"/>
          <w:szCs w:val="24"/>
        </w:rPr>
      </w:pPr>
      <w:r>
        <w:rPr>
          <w:rFonts w:ascii="Times New Roman" w:hAnsi="Times New Roman"/>
          <w:b/>
          <w:bCs/>
          <w:color w:val="212121"/>
          <w:sz w:val="24"/>
          <w:szCs w:val="24"/>
        </w:rPr>
        <w:lastRenderedPageBreak/>
        <w:t xml:space="preserve">Supplement Figure 3. </w:t>
      </w:r>
      <w:proofErr w:type="spellStart"/>
      <w:r>
        <w:rPr>
          <w:rFonts w:ascii="Times New Roman" w:hAnsi="Times New Roman"/>
          <w:b/>
          <w:bCs/>
          <w:color w:val="212121"/>
          <w:sz w:val="24"/>
          <w:szCs w:val="24"/>
        </w:rPr>
        <w:t>Immunohistochemical</w:t>
      </w:r>
      <w:proofErr w:type="spellEnd"/>
      <w:r>
        <w:rPr>
          <w:rFonts w:ascii="Times New Roman" w:hAnsi="Times New Roman"/>
          <w:b/>
          <w:bCs/>
          <w:color w:val="212121"/>
          <w:sz w:val="24"/>
          <w:szCs w:val="24"/>
        </w:rPr>
        <w:t xml:space="preserve"> detection of B and T cells in the spleen.</w:t>
      </w:r>
      <w:r>
        <w:rPr>
          <w:rFonts w:ascii="Times New Roman" w:hAnsi="Times New Roman"/>
          <w:color w:val="212121"/>
          <w:sz w:val="24"/>
          <w:szCs w:val="24"/>
        </w:rPr>
        <w:t xml:space="preserve"> The </w:t>
      </w:r>
      <w:r>
        <w:rPr>
          <w:rFonts w:ascii="Times New Roman" w:hAnsi="Times New Roman"/>
          <w:bCs/>
          <w:color w:val="212121"/>
          <w:sz w:val="24"/>
          <w:szCs w:val="24"/>
        </w:rPr>
        <w:t xml:space="preserve">B and T cells were detected by </w:t>
      </w:r>
      <w:proofErr w:type="spellStart"/>
      <w:r>
        <w:rPr>
          <w:rFonts w:ascii="Times New Roman" w:hAnsi="Times New Roman"/>
          <w:bCs/>
          <w:color w:val="212121"/>
          <w:sz w:val="24"/>
          <w:szCs w:val="24"/>
        </w:rPr>
        <w:t>immunohistochemical</w:t>
      </w:r>
      <w:proofErr w:type="spellEnd"/>
      <w:r>
        <w:rPr>
          <w:rFonts w:ascii="Times New Roman" w:hAnsi="Times New Roman"/>
          <w:bCs/>
          <w:color w:val="212121"/>
          <w:sz w:val="24"/>
          <w:szCs w:val="24"/>
        </w:rPr>
        <w:t xml:space="preserve"> staining for B220 and CD3, respectively.</w:t>
      </w:r>
      <w:r>
        <w:rPr>
          <w:rFonts w:ascii="Times New Roman" w:hAnsi="Times New Roman"/>
          <w:b/>
          <w:bCs/>
          <w:color w:val="212121"/>
          <w:sz w:val="24"/>
          <w:szCs w:val="24"/>
        </w:rPr>
        <w:t xml:space="preserve"> </w:t>
      </w:r>
      <w:r>
        <w:rPr>
          <w:rFonts w:ascii="Times New Roman" w:hAnsi="Times New Roman"/>
          <w:color w:val="212121"/>
          <w:sz w:val="24"/>
          <w:szCs w:val="24"/>
        </w:rPr>
        <w:t>Representative micrograph of longitudinal sections of the spleen at low magnification is presented. Using immunohistochemistry (IHC) a subtle enlargement of the follicular area in the AROM+ mutant mice was detected, without any significant difference between the proportion of T and B lymphocytes (n= 3-5).</w:t>
      </w:r>
    </w:p>
    <w:p>
      <w:r>
        <w:rPr>
          <w:noProof/>
        </w:rPr>
        <w:pict>
          <v:shape id="_x0000_i1027" type="#_x0000_t75" style="width:208.5pt;height:249.75pt">
            <v:imagedata r:id="rId6" o:title="Supplement figure 3"/>
          </v:shape>
        </w:pict>
      </w:r>
    </w:p>
    <w:p/>
    <w:p>
      <w:pPr>
        <w:spacing w:after="160" w:line="259" w:lineRule="auto"/>
        <w:rPr>
          <w:rFonts w:ascii="Times New Roman" w:hAnsi="Times New Roman"/>
          <w:b/>
          <w:bCs/>
          <w:color w:val="212121"/>
          <w:sz w:val="24"/>
          <w:szCs w:val="24"/>
        </w:rPr>
      </w:pPr>
      <w:r>
        <w:rPr>
          <w:rFonts w:ascii="Times New Roman" w:hAnsi="Times New Roman"/>
          <w:b/>
          <w:bCs/>
          <w:color w:val="212121"/>
          <w:sz w:val="24"/>
          <w:szCs w:val="24"/>
        </w:rPr>
        <w:br w:type="page"/>
      </w:r>
    </w:p>
    <w:p>
      <w:pPr>
        <w:spacing w:after="160" w:line="259" w:lineRule="auto"/>
        <w:rPr>
          <w:rFonts w:ascii="Times New Roman" w:hAnsi="Times New Roman"/>
          <w:b/>
          <w:bCs/>
          <w:color w:val="212121"/>
          <w:sz w:val="24"/>
          <w:szCs w:val="24"/>
        </w:rPr>
      </w:pPr>
    </w:p>
    <w:p>
      <w:pPr>
        <w:spacing w:after="160" w:line="259" w:lineRule="auto"/>
        <w:rPr>
          <w:rFonts w:ascii="Times New Roman" w:hAnsi="Times New Roman"/>
          <w:b/>
          <w:bCs/>
          <w:color w:val="212121"/>
          <w:sz w:val="24"/>
          <w:szCs w:val="24"/>
        </w:rPr>
      </w:pPr>
    </w:p>
    <w:p>
      <w:pPr>
        <w:spacing w:line="360" w:lineRule="auto"/>
      </w:pPr>
      <w:r>
        <w:rPr>
          <w:rFonts w:ascii="Times New Roman" w:hAnsi="Times New Roman"/>
          <w:b/>
          <w:bCs/>
          <w:color w:val="212121"/>
          <w:sz w:val="24"/>
          <w:szCs w:val="24"/>
        </w:rPr>
        <w:t xml:space="preserve">Supplement Figure 4. Flow </w:t>
      </w:r>
      <w:proofErr w:type="spellStart"/>
      <w:r>
        <w:rPr>
          <w:rFonts w:ascii="Times New Roman" w:hAnsi="Times New Roman"/>
          <w:b/>
          <w:bCs/>
          <w:color w:val="212121"/>
          <w:sz w:val="24"/>
          <w:szCs w:val="24"/>
        </w:rPr>
        <w:t>cytometric</w:t>
      </w:r>
      <w:proofErr w:type="spellEnd"/>
      <w:r>
        <w:rPr>
          <w:rFonts w:ascii="Times New Roman" w:hAnsi="Times New Roman"/>
          <w:b/>
          <w:bCs/>
          <w:color w:val="212121"/>
          <w:sz w:val="24"/>
          <w:szCs w:val="24"/>
        </w:rPr>
        <w:t xml:space="preserve"> </w:t>
      </w:r>
      <w:proofErr w:type="spellStart"/>
      <w:r>
        <w:rPr>
          <w:rFonts w:ascii="Times New Roman" w:hAnsi="Times New Roman"/>
          <w:b/>
          <w:bCs/>
          <w:color w:val="212121"/>
          <w:sz w:val="24"/>
          <w:szCs w:val="24"/>
        </w:rPr>
        <w:t>immunophenotyping</w:t>
      </w:r>
      <w:proofErr w:type="spellEnd"/>
      <w:r>
        <w:rPr>
          <w:rFonts w:ascii="Times New Roman" w:hAnsi="Times New Roman"/>
          <w:b/>
          <w:bCs/>
          <w:color w:val="212121"/>
          <w:sz w:val="24"/>
          <w:szCs w:val="24"/>
        </w:rPr>
        <w:t xml:space="preserve"> of the small intestine, Peyer’s patches and spleen.</w:t>
      </w:r>
      <w:r>
        <w:rPr>
          <w:rFonts w:ascii="Times New Roman" w:hAnsi="Times New Roman"/>
          <w:color w:val="212121"/>
          <w:sz w:val="24"/>
          <w:szCs w:val="24"/>
        </w:rPr>
        <w:t xml:space="preserve"> Cells were isolated from the small intestine (SI), Peyer’s patches (PP) and spleen. Cells were further labelled with monoclonal antibodies specific for CD45, CD3, CD4, </w:t>
      </w:r>
      <w:proofErr w:type="spellStart"/>
      <w:r>
        <w:rPr>
          <w:rFonts w:ascii="Times New Roman" w:hAnsi="Times New Roman"/>
          <w:color w:val="212121"/>
          <w:sz w:val="24"/>
          <w:szCs w:val="24"/>
        </w:rPr>
        <w:t>RORgt</w:t>
      </w:r>
      <w:proofErr w:type="spellEnd"/>
      <w:r>
        <w:rPr>
          <w:rFonts w:ascii="Times New Roman" w:hAnsi="Times New Roman"/>
          <w:color w:val="212121"/>
          <w:sz w:val="24"/>
          <w:szCs w:val="24"/>
        </w:rPr>
        <w:t>, Foxp3, GATA3 and Helios for the identification of T Cells (</w:t>
      </w:r>
      <w:proofErr w:type="spellStart"/>
      <w:r>
        <w:rPr>
          <w:rFonts w:ascii="Times New Roman" w:hAnsi="Times New Roman"/>
          <w:color w:val="212121"/>
          <w:sz w:val="24"/>
          <w:szCs w:val="24"/>
        </w:rPr>
        <w:t>Treg</w:t>
      </w:r>
      <w:proofErr w:type="spellEnd"/>
      <w:r>
        <w:rPr>
          <w:rFonts w:ascii="Times New Roman" w:hAnsi="Times New Roman"/>
          <w:color w:val="212121"/>
          <w:sz w:val="24"/>
          <w:szCs w:val="24"/>
        </w:rPr>
        <w:t xml:space="preserve">), or labelled with CD45, CD4, PD1, CXCR5, </w:t>
      </w:r>
      <w:proofErr w:type="spellStart"/>
      <w:r>
        <w:rPr>
          <w:rFonts w:ascii="Times New Roman" w:hAnsi="Times New Roman"/>
          <w:color w:val="212121"/>
          <w:sz w:val="24"/>
          <w:szCs w:val="24"/>
        </w:rPr>
        <w:t>Icos</w:t>
      </w:r>
      <w:proofErr w:type="spellEnd"/>
      <w:r>
        <w:rPr>
          <w:rFonts w:ascii="Times New Roman" w:hAnsi="Times New Roman"/>
          <w:color w:val="212121"/>
          <w:sz w:val="24"/>
          <w:szCs w:val="24"/>
        </w:rPr>
        <w:t xml:space="preserve">, and Foxp3 for the identification of follicular helper T cells (TFH). Overall, no differences were detected in the percentage of regulatory </w:t>
      </w:r>
      <w:proofErr w:type="spellStart"/>
      <w:r>
        <w:rPr>
          <w:rFonts w:ascii="Times New Roman" w:hAnsi="Times New Roman"/>
          <w:color w:val="212121"/>
          <w:sz w:val="24"/>
          <w:szCs w:val="24"/>
        </w:rPr>
        <w:t>Treg</w:t>
      </w:r>
      <w:proofErr w:type="spellEnd"/>
      <w:r>
        <w:rPr>
          <w:rFonts w:ascii="Times New Roman" w:hAnsi="Times New Roman"/>
          <w:color w:val="212121"/>
          <w:sz w:val="24"/>
          <w:szCs w:val="24"/>
        </w:rPr>
        <w:t xml:space="preserve"> or TFH or subsets between the spleens of AROM+ and WT mice. Data is presented as mean ±SD).</w:t>
      </w:r>
    </w:p>
    <w:p>
      <w:r>
        <w:rPr>
          <w:noProof/>
        </w:rPr>
        <w:pict>
          <v:shape id="_x0000_i1028" type="#_x0000_t75" style="width:468pt;height:631.5pt">
            <v:imagedata r:id="rId7" o:title="Supplement figure 4"/>
          </v:shape>
        </w:pict>
      </w:r>
    </w:p>
    <w:p>
      <w:pPr>
        <w:autoSpaceDE w:val="0"/>
        <w:autoSpaceDN w:val="0"/>
        <w:adjustRightInd w:val="0"/>
        <w:spacing w:line="360" w:lineRule="auto"/>
        <w:rPr>
          <w:rFonts w:ascii="Times New Roman" w:hAnsi="Times New Roman" w:cs="Times New Roman"/>
          <w:color w:val="000000"/>
          <w:sz w:val="24"/>
          <w:szCs w:val="24"/>
          <w:lang w:val="en-GB"/>
        </w:rPr>
      </w:pPr>
      <w:r>
        <w:rPr>
          <w:rFonts w:ascii="Times New Roman" w:hAnsi="Times New Roman" w:cs="Times New Roman"/>
          <w:b/>
          <w:bCs/>
          <w:color w:val="000000"/>
          <w:sz w:val="24"/>
          <w:szCs w:val="24"/>
          <w:lang w:val="en-GB"/>
        </w:rPr>
        <w:t>Supplementary Figure 5. Bar plots of the GO analysis of Molecular Function.</w:t>
      </w:r>
      <w:r>
        <w:rPr>
          <w:rFonts w:ascii="Times New Roman" w:hAnsi="Times New Roman" w:cs="Times New Roman"/>
          <w:color w:val="000000"/>
          <w:sz w:val="24"/>
          <w:szCs w:val="24"/>
          <w:lang w:val="en-GB"/>
        </w:rPr>
        <w:t xml:space="preserve"> A-B) Scatter plot of normalized read counts per gene (average of three replicates) calculated by </w:t>
      </w:r>
      <w:proofErr w:type="spellStart"/>
      <w:r>
        <w:rPr>
          <w:rFonts w:ascii="Times New Roman" w:hAnsi="Times New Roman" w:cs="Times New Roman"/>
          <w:color w:val="000000"/>
          <w:sz w:val="24"/>
          <w:szCs w:val="24"/>
          <w:lang w:val="en-GB"/>
        </w:rPr>
        <w:t>EdgeR</w:t>
      </w:r>
      <w:proofErr w:type="spellEnd"/>
      <w:r>
        <w:rPr>
          <w:rFonts w:ascii="Times New Roman" w:hAnsi="Times New Roman" w:cs="Times New Roman"/>
          <w:color w:val="000000"/>
          <w:sz w:val="24"/>
          <w:szCs w:val="24"/>
          <w:lang w:val="en-GB"/>
        </w:rPr>
        <w:t xml:space="preserve"> in WT and AROM</w:t>
      </w:r>
      <w:r>
        <w:rPr>
          <w:rFonts w:ascii="Times New Roman" w:hAnsi="Times New Roman" w:cs="Times New Roman"/>
          <w:i/>
          <w:iCs/>
          <w:color w:val="000000"/>
          <w:sz w:val="24"/>
          <w:szCs w:val="24"/>
          <w:lang w:val="en-GB"/>
        </w:rPr>
        <w:t>+</w:t>
      </w:r>
      <w:r>
        <w:rPr>
          <w:rFonts w:ascii="Times New Roman" w:hAnsi="Times New Roman" w:cs="Times New Roman"/>
          <w:color w:val="000000"/>
          <w:sz w:val="24"/>
          <w:szCs w:val="24"/>
          <w:lang w:val="en-GB"/>
        </w:rPr>
        <w:t xml:space="preserve"> MZ (left A) and FO (left B) cells. The black dots represent the genes called differentially expressed with p-value &lt;0.05 and fold change &gt;0.5 and &lt;-0.5. The numbers of genes upregulated and downregulated are indicated in the cake plots. The bar plot shows Fold Enrichment values of the significant enrichment terms of genes involving their molecular function in FO (right A) and MZ (right B) isolated cells.</w:t>
      </w:r>
    </w:p>
    <w:p>
      <w:pPr>
        <w:rPr>
          <w:lang w:val="en-GB"/>
        </w:rPr>
      </w:pPr>
      <w:r>
        <w:rPr>
          <w:noProof/>
        </w:rPr>
        <w:pict>
          <v:shape id="_x0000_i1029" type="#_x0000_t75" style="width:467.25pt;height:597.75pt">
            <v:imagedata r:id="rId8" o:title="Supplement figure 5"/>
          </v:shape>
        </w:pict>
      </w:r>
    </w:p>
    <w:p>
      <w:pPr>
        <w:spacing w:after="160" w:line="259" w:lineRule="auto"/>
        <w:rPr>
          <w:rFonts w:ascii="Times New Roman" w:hAnsi="Times New Roman"/>
          <w:b/>
          <w:bCs/>
          <w:color w:val="212121"/>
          <w:sz w:val="24"/>
          <w:szCs w:val="24"/>
        </w:rPr>
      </w:pPr>
      <w:r>
        <w:rPr>
          <w:rFonts w:ascii="Times New Roman" w:hAnsi="Times New Roman"/>
          <w:b/>
          <w:bCs/>
          <w:color w:val="212121"/>
          <w:sz w:val="24"/>
          <w:szCs w:val="24"/>
        </w:rPr>
        <w:br w:type="page"/>
      </w:r>
    </w:p>
    <w:p>
      <w:pPr>
        <w:spacing w:after="160" w:line="259" w:lineRule="auto"/>
        <w:rPr>
          <w:rFonts w:ascii="Times New Roman" w:hAnsi="Times New Roman"/>
          <w:b/>
          <w:bCs/>
          <w:color w:val="212121"/>
          <w:sz w:val="24"/>
          <w:szCs w:val="24"/>
        </w:rPr>
      </w:pPr>
    </w:p>
    <w:p>
      <w:pPr>
        <w:spacing w:after="160" w:line="259" w:lineRule="auto"/>
      </w:pPr>
      <w:r>
        <w:rPr>
          <w:rFonts w:ascii="Times New Roman" w:hAnsi="Times New Roman"/>
          <w:b/>
          <w:bCs/>
          <w:color w:val="212121"/>
          <w:sz w:val="24"/>
          <w:szCs w:val="24"/>
        </w:rPr>
        <w:t xml:space="preserve">Supplement Figure 6. Flow cytometry gating strategy. </w:t>
      </w:r>
      <w:r>
        <w:rPr>
          <w:rFonts w:ascii="Times New Roman" w:hAnsi="Times New Roman"/>
          <w:bCs/>
          <w:color w:val="212121"/>
          <w:sz w:val="24"/>
          <w:szCs w:val="24"/>
        </w:rPr>
        <w:t xml:space="preserve">Example of broad immune phenotyping gating strategy by flow cytometry using </w:t>
      </w:r>
      <w:proofErr w:type="spellStart"/>
      <w:r>
        <w:rPr>
          <w:rFonts w:ascii="Times New Roman" w:hAnsi="Times New Roman"/>
          <w:bCs/>
          <w:color w:val="212121"/>
          <w:sz w:val="24"/>
          <w:szCs w:val="24"/>
        </w:rPr>
        <w:t>FlowJo</w:t>
      </w:r>
      <w:proofErr w:type="spellEnd"/>
      <w:r>
        <w:rPr>
          <w:rFonts w:ascii="Times New Roman" w:hAnsi="Times New Roman"/>
          <w:b/>
          <w:bCs/>
          <w:color w:val="212121"/>
          <w:sz w:val="24"/>
          <w:szCs w:val="24"/>
        </w:rPr>
        <w:t xml:space="preserve">. </w:t>
      </w:r>
      <w:r>
        <w:rPr>
          <w:rFonts w:ascii="Times New Roman" w:hAnsi="Times New Roman"/>
          <w:bCs/>
          <w:color w:val="212121"/>
          <w:sz w:val="24"/>
          <w:szCs w:val="24"/>
        </w:rPr>
        <w:t xml:space="preserve">Spleen cells were first gated on the singlet cells (FSC-A vs. FSC-W), singlet cells were then analyzed for the expression of leukocyte common antigen CD45, and the dead cells were excluded by PI staining, then a gate was applied to include the cells of interest </w:t>
      </w:r>
      <w:r>
        <w:rPr>
          <w:noProof/>
        </w:rPr>
        <w:pict>
          <v:shape id="_x0000_i1030" type="#_x0000_t75" style="width:468pt;height:331.5pt">
            <v:imagedata r:id="rId9" o:title="Supplement figure 6"/>
          </v:shape>
        </w:pict>
      </w:r>
    </w:p>
    <w:p>
      <w:pPr>
        <w:spacing w:after="160" w:line="259" w:lineRule="auto"/>
      </w:pPr>
      <w:r>
        <w:br w:type="page"/>
      </w:r>
    </w:p>
    <w:p>
      <w:pPr>
        <w:spacing w:line="360" w:lineRule="auto"/>
        <w:rPr>
          <w:rFonts w:ascii="Times New Roman" w:hAnsi="Times New Roman"/>
          <w:color w:val="212121"/>
          <w:sz w:val="24"/>
          <w:szCs w:val="24"/>
        </w:rPr>
      </w:pPr>
      <w:r>
        <w:rPr>
          <w:rFonts w:ascii="Times New Roman" w:hAnsi="Times New Roman"/>
          <w:b/>
          <w:bCs/>
          <w:color w:val="212121"/>
          <w:sz w:val="24"/>
          <w:szCs w:val="24"/>
        </w:rPr>
        <w:t xml:space="preserve">Supplement Figure 7. Exemplary analysis of multi-color FACS staining for identification of the specific B cell subsets. </w:t>
      </w:r>
      <w:r>
        <w:rPr>
          <w:rFonts w:ascii="Times New Roman" w:hAnsi="Times New Roman"/>
          <w:color w:val="212121"/>
          <w:sz w:val="24"/>
          <w:szCs w:val="24"/>
        </w:rPr>
        <w:t>Spleen cells were first gated for lymphocytes (SSC-A vs. FSC-H) and singlet cells (FSC-H vs. FSC-W). The singlet cells were then analyzed for the expression of leukocyte common antigen, CD45, and the dead cells were excluded by PI staining. The live cells were further divided by the expression of CD3 and CD19 markers, defining the T cells as CD3+ cells and B cells as CD19+ cells. Thereafter, the detailed B cell subsets were distinguished from the gated CD19+ B cell population and indicated in the figure.</w:t>
      </w:r>
    </w:p>
    <w:p>
      <w:r>
        <w:rPr>
          <w:noProof/>
        </w:rPr>
        <w:pict>
          <v:shape id="_x0000_i1031" type="#_x0000_t75" style="width:238.5pt;height:269.25pt">
            <v:imagedata r:id="rId10" o:title="Supplement figure 7"/>
          </v:shape>
        </w:pict>
      </w:r>
    </w:p>
    <w:p/>
    <w:p/>
    <w:p>
      <w:pPr>
        <w:spacing w:after="160" w:line="259" w:lineRule="auto"/>
      </w:pPr>
      <w:r>
        <w:br w:type="page"/>
      </w:r>
    </w:p>
    <w:p>
      <w:pPr>
        <w:spacing w:line="360" w:lineRule="auto"/>
        <w:rPr>
          <w:rFonts w:ascii="Times New Roman" w:hAnsi="Times New Roman"/>
          <w:color w:val="212121"/>
          <w:sz w:val="24"/>
          <w:szCs w:val="24"/>
        </w:rPr>
      </w:pPr>
      <w:r>
        <w:rPr>
          <w:rFonts w:ascii="Times New Roman" w:hAnsi="Times New Roman"/>
          <w:b/>
          <w:bCs/>
          <w:color w:val="212121"/>
          <w:sz w:val="24"/>
          <w:szCs w:val="24"/>
        </w:rPr>
        <w:t>Supplement Figure 8.</w:t>
      </w:r>
      <w:r>
        <w:t xml:space="preserve"> </w:t>
      </w:r>
      <w:r>
        <w:rPr>
          <w:rFonts w:ascii="Times New Roman" w:hAnsi="Times New Roman"/>
          <w:b/>
          <w:bCs/>
          <w:color w:val="212121"/>
          <w:sz w:val="24"/>
          <w:szCs w:val="24"/>
        </w:rPr>
        <w:t xml:space="preserve">Representative plot of FACS staining analysis at day-7 after cell stimulation </w:t>
      </w:r>
      <w:r>
        <w:rPr>
          <w:rFonts w:ascii="Times New Roman" w:hAnsi="Times New Roman"/>
          <w:b/>
          <w:bCs/>
          <w:i/>
          <w:color w:val="212121"/>
          <w:sz w:val="24"/>
          <w:szCs w:val="24"/>
        </w:rPr>
        <w:t>in vitro</w:t>
      </w:r>
      <w:r>
        <w:rPr>
          <w:rFonts w:ascii="Times New Roman" w:hAnsi="Times New Roman"/>
          <w:b/>
          <w:bCs/>
          <w:color w:val="212121"/>
          <w:sz w:val="24"/>
          <w:szCs w:val="24"/>
        </w:rPr>
        <w:t>.</w:t>
      </w:r>
      <w:r>
        <w:rPr>
          <w:rFonts w:ascii="Times New Roman" w:hAnsi="Times New Roman"/>
          <w:color w:val="212121"/>
          <w:sz w:val="24"/>
          <w:szCs w:val="24"/>
        </w:rPr>
        <w:t xml:space="preserve"> Stimulated </w:t>
      </w:r>
      <w:proofErr w:type="spellStart"/>
      <w:r>
        <w:rPr>
          <w:rFonts w:ascii="Times New Roman" w:hAnsi="Times New Roman"/>
          <w:color w:val="212121"/>
          <w:sz w:val="24"/>
          <w:szCs w:val="24"/>
        </w:rPr>
        <w:t>splenocytes</w:t>
      </w:r>
      <w:proofErr w:type="spellEnd"/>
      <w:r>
        <w:rPr>
          <w:rFonts w:ascii="Times New Roman" w:hAnsi="Times New Roman"/>
          <w:color w:val="212121"/>
          <w:sz w:val="24"/>
          <w:szCs w:val="24"/>
        </w:rPr>
        <w:t xml:space="preserve"> were first gated for lymphocytes (SSC-H vs. FSC-H) and singlet cells (FSC-H vs. FSC-A). The singlet cells were then analyzed for the expression of leukocyte common antigen CD45 and excluded the dead cells by PI staining. The T cells were then defined as CD3+ cell population and B cells as CD19+ cell population from gated live CD45+ leukocytes.</w:t>
      </w:r>
    </w:p>
    <w:p>
      <w:pPr>
        <w:spacing w:line="360" w:lineRule="auto"/>
        <w:rPr>
          <w:color w:val="212121"/>
        </w:rPr>
      </w:pPr>
    </w:p>
    <w:p>
      <w:r>
        <w:rPr>
          <w:noProof/>
        </w:rPr>
        <w:pict>
          <v:shape id="_x0000_i1032" type="#_x0000_t75" style="width:468pt;height:133.5pt">
            <v:imagedata r:id="rId11" o:title="Supplement figure 8"/>
          </v:shape>
        </w:pict>
      </w:r>
    </w:p>
    <w:p/>
    <w:p>
      <w:pPr>
        <w:spacing w:after="160" w:line="259" w:lineRule="auto"/>
      </w:pPr>
    </w:p>
    <w:p>
      <w:pPr>
        <w:spacing w:after="160" w:line="259" w:lineRule="auto"/>
      </w:pPr>
    </w:p>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5:chartTrackingRefBased/>
  <w15:docId w15:val="{263C2B0E-7540-4B18-831A-861520BC7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pPr>
      <w:spacing w:before="480" w:after="0"/>
      <w:contextualSpacing/>
      <w:outlineLvl w:val="0"/>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 Pimentel, Juan Antonio, Dr.</dc:creator>
  <cp:keywords/>
  <dc:description/>
  <cp:lastModifiedBy>Aguilar Pimentel, Juan Antonio, Dr.</cp:lastModifiedBy>
  <cp:revision>4</cp:revision>
  <dcterms:created xsi:type="dcterms:W3CDTF">2020-08-14T13:13:00Z</dcterms:created>
  <dcterms:modified xsi:type="dcterms:W3CDTF">2020-09-16T07:30:00Z</dcterms:modified>
</cp:coreProperties>
</file>