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27ECE4" w14:textId="1ED5B807" w:rsidR="008D682A" w:rsidRPr="00976B70" w:rsidRDefault="008D682A" w:rsidP="00BC3249">
      <w:pPr>
        <w:pStyle w:val="Heading1"/>
        <w:numPr>
          <w:ilvl w:val="0"/>
          <w:numId w:val="0"/>
        </w:numPr>
        <w:spacing w:line="276" w:lineRule="auto"/>
        <w:rPr>
          <w:rFonts w:asciiTheme="minorHAnsi" w:eastAsiaTheme="minorHAnsi" w:hAnsiTheme="minorHAnsi" w:cstheme="minorHAnsi"/>
          <w:b/>
          <w:bCs/>
          <w:sz w:val="32"/>
          <w:szCs w:val="32"/>
        </w:rPr>
      </w:pPr>
      <w:r w:rsidRPr="00976B70">
        <w:rPr>
          <w:rFonts w:asciiTheme="minorHAnsi" w:eastAsiaTheme="minorHAnsi" w:hAnsiTheme="minorHAnsi" w:cstheme="minorHAnsi"/>
          <w:b/>
          <w:bCs/>
          <w:sz w:val="32"/>
          <w:szCs w:val="32"/>
        </w:rPr>
        <w:t xml:space="preserve">Supplementary </w:t>
      </w:r>
      <w:r w:rsidR="001759D4" w:rsidRPr="00976B70">
        <w:rPr>
          <w:rFonts w:asciiTheme="minorHAnsi" w:eastAsiaTheme="minorHAnsi" w:hAnsiTheme="minorHAnsi" w:cstheme="minorHAnsi"/>
          <w:b/>
          <w:bCs/>
          <w:sz w:val="32"/>
          <w:szCs w:val="32"/>
        </w:rPr>
        <w:t>Information</w:t>
      </w:r>
    </w:p>
    <w:p w14:paraId="1A2D5D2B" w14:textId="77777777" w:rsidR="001759D4" w:rsidRPr="00976B70" w:rsidRDefault="001759D4" w:rsidP="00BC3249">
      <w:pPr>
        <w:spacing w:before="120" w:after="120"/>
        <w:ind w:firstLine="170"/>
        <w:jc w:val="center"/>
        <w:rPr>
          <w:b/>
          <w:sz w:val="28"/>
          <w:szCs w:val="28"/>
        </w:rPr>
      </w:pPr>
      <w:r w:rsidRPr="00976B70">
        <w:rPr>
          <w:b/>
          <w:sz w:val="28"/>
          <w:szCs w:val="28"/>
        </w:rPr>
        <w:t xml:space="preserve">Development of a dynamic </w:t>
      </w:r>
      <w:r w:rsidRPr="00976B70">
        <w:rPr>
          <w:b/>
          <w:i/>
          <w:iCs/>
          <w:sz w:val="28"/>
          <w:szCs w:val="28"/>
        </w:rPr>
        <w:t>in vitro</w:t>
      </w:r>
      <w:r w:rsidRPr="00976B70">
        <w:rPr>
          <w:b/>
          <w:sz w:val="28"/>
          <w:szCs w:val="28"/>
        </w:rPr>
        <w:t xml:space="preserve"> stretch model of the alveolar interface with aerosol delivery</w:t>
      </w:r>
    </w:p>
    <w:p w14:paraId="29AA2A54" w14:textId="5F9C1245" w:rsidR="001759D4" w:rsidRPr="00976B70" w:rsidRDefault="001759D4" w:rsidP="00BC3249">
      <w:pPr>
        <w:autoSpaceDE w:val="0"/>
        <w:autoSpaceDN w:val="0"/>
        <w:adjustRightInd w:val="0"/>
        <w:spacing w:before="120" w:after="120"/>
        <w:ind w:firstLine="170"/>
        <w:jc w:val="center"/>
        <w:rPr>
          <w:rFonts w:cs="CMR10"/>
          <w:i/>
          <w:sz w:val="21"/>
          <w:szCs w:val="21"/>
        </w:rPr>
      </w:pPr>
      <w:r w:rsidRPr="00976B70">
        <w:rPr>
          <w:rFonts w:cs="CMR10"/>
          <w:i/>
          <w:sz w:val="21"/>
          <w:szCs w:val="21"/>
        </w:rPr>
        <w:t xml:space="preserve">Daniele Cei, Ali Doryab, </w:t>
      </w:r>
      <w:proofErr w:type="spellStart"/>
      <w:r w:rsidRPr="00976B70">
        <w:rPr>
          <w:rFonts w:cs="CMR10"/>
          <w:i/>
          <w:sz w:val="21"/>
          <w:szCs w:val="21"/>
        </w:rPr>
        <w:t>Anke</w:t>
      </w:r>
      <w:proofErr w:type="spellEnd"/>
      <w:r w:rsidRPr="00976B70">
        <w:rPr>
          <w:rFonts w:cs="CMR10"/>
          <w:i/>
          <w:sz w:val="21"/>
          <w:szCs w:val="21"/>
        </w:rPr>
        <w:t xml:space="preserve">-Gabriele Lenz, Andreas </w:t>
      </w:r>
      <w:proofErr w:type="spellStart"/>
      <w:r w:rsidRPr="00976B70">
        <w:rPr>
          <w:rFonts w:cs="CMR10"/>
          <w:i/>
          <w:sz w:val="21"/>
          <w:szCs w:val="21"/>
        </w:rPr>
        <w:t>Schröppe</w:t>
      </w:r>
      <w:proofErr w:type="spellEnd"/>
      <w:r w:rsidRPr="00976B70">
        <w:rPr>
          <w:rFonts w:cs="CMR10"/>
          <w:i/>
          <w:sz w:val="21"/>
          <w:szCs w:val="21"/>
        </w:rPr>
        <w:t xml:space="preserve">, Paula Mayer, Gerald </w:t>
      </w:r>
      <w:proofErr w:type="spellStart"/>
      <w:r w:rsidRPr="00976B70">
        <w:rPr>
          <w:rFonts w:cs="CMR10"/>
          <w:i/>
          <w:sz w:val="21"/>
          <w:szCs w:val="21"/>
        </w:rPr>
        <w:t>Burgstaller</w:t>
      </w:r>
      <w:proofErr w:type="spellEnd"/>
      <w:r w:rsidRPr="00976B70">
        <w:rPr>
          <w:rFonts w:cs="CMR10"/>
          <w:i/>
          <w:sz w:val="21"/>
          <w:szCs w:val="21"/>
        </w:rPr>
        <w:t>, Roberta Nossa, Arti Ahluwalia, Otmar Schmid</w:t>
      </w:r>
    </w:p>
    <w:p w14:paraId="0175CE2B" w14:textId="77777777" w:rsidR="001759D4" w:rsidRPr="00976B70" w:rsidRDefault="001759D4" w:rsidP="00BC3249">
      <w:pPr>
        <w:autoSpaceDE w:val="0"/>
        <w:autoSpaceDN w:val="0"/>
        <w:adjustRightInd w:val="0"/>
        <w:spacing w:before="120" w:after="120"/>
        <w:ind w:firstLine="170"/>
        <w:jc w:val="center"/>
        <w:rPr>
          <w:rFonts w:cs="CMR10"/>
          <w:i/>
          <w:sz w:val="21"/>
          <w:szCs w:val="21"/>
        </w:rPr>
      </w:pPr>
    </w:p>
    <w:p w14:paraId="61F1BF98" w14:textId="77777777" w:rsidR="001759D4" w:rsidRPr="00976B70" w:rsidRDefault="001759D4" w:rsidP="00BC3249">
      <w:pPr>
        <w:pStyle w:val="Heading2"/>
        <w:spacing w:line="276" w:lineRule="auto"/>
        <w:rPr>
          <w:rFonts w:asciiTheme="minorHAnsi" w:eastAsiaTheme="minorHAnsi" w:hAnsiTheme="minorHAnsi" w:cstheme="minorHAnsi"/>
          <w:sz w:val="21"/>
          <w:szCs w:val="21"/>
        </w:rPr>
      </w:pPr>
      <w:r w:rsidRPr="00976B70">
        <w:rPr>
          <w:rFonts w:asciiTheme="minorHAnsi" w:eastAsiaTheme="minorHAnsi" w:hAnsiTheme="minorHAnsi" w:cstheme="minorHAnsi"/>
          <w:bCs/>
          <w:sz w:val="21"/>
          <w:szCs w:val="21"/>
        </w:rPr>
        <w:t xml:space="preserve">Videos of the FEM models </w:t>
      </w:r>
    </w:p>
    <w:p w14:paraId="4C4D1008" w14:textId="38EBE57E" w:rsidR="001759D4" w:rsidRPr="00976B70" w:rsidRDefault="001759D4" w:rsidP="00BC3249">
      <w:r w:rsidRPr="00976B70">
        <w:t>Videos can be downloaded from this link: https://drive.google.com/drive/folders/1wYa3CEJ0wxSAEZ8wve5JfYpGgBgLXK2-?usp=sharing</w:t>
      </w:r>
    </w:p>
    <w:p w14:paraId="66B79761" w14:textId="68C6EAEA" w:rsidR="008D682A" w:rsidRPr="00976B70" w:rsidRDefault="001759D4" w:rsidP="00BC3249">
      <w:pPr>
        <w:pStyle w:val="Heading2"/>
        <w:spacing w:line="276" w:lineRule="auto"/>
        <w:rPr>
          <w:rFonts w:asciiTheme="minorHAnsi" w:eastAsiaTheme="minorHAnsi" w:hAnsiTheme="minorHAnsi" w:cstheme="minorHAnsi"/>
          <w:sz w:val="21"/>
          <w:szCs w:val="21"/>
        </w:rPr>
      </w:pPr>
      <w:r w:rsidRPr="00976B70">
        <w:rPr>
          <w:rFonts w:asciiTheme="minorHAnsi" w:eastAsiaTheme="minorHAnsi" w:hAnsiTheme="minorHAnsi" w:cstheme="minorHAnsi"/>
          <w:bCs/>
          <w:sz w:val="21"/>
          <w:szCs w:val="21"/>
        </w:rPr>
        <w:t>B</w:t>
      </w:r>
      <w:r w:rsidR="008D682A" w:rsidRPr="00976B70">
        <w:rPr>
          <w:rFonts w:asciiTheme="minorHAnsi" w:eastAsiaTheme="minorHAnsi" w:hAnsiTheme="minorHAnsi" w:cstheme="minorHAnsi"/>
          <w:sz w:val="21"/>
          <w:szCs w:val="21"/>
        </w:rPr>
        <w:t xml:space="preserve">asal chamber </w:t>
      </w:r>
      <w:r w:rsidRPr="00976B70">
        <w:rPr>
          <w:rFonts w:asciiTheme="minorHAnsi" w:eastAsiaTheme="minorHAnsi" w:hAnsiTheme="minorHAnsi" w:cstheme="minorHAnsi"/>
          <w:sz w:val="21"/>
          <w:szCs w:val="21"/>
        </w:rPr>
        <w:t xml:space="preserve">domain in </w:t>
      </w:r>
      <w:r w:rsidR="008D682A" w:rsidRPr="00976B70">
        <w:rPr>
          <w:rFonts w:asciiTheme="minorHAnsi" w:eastAsiaTheme="minorHAnsi" w:hAnsiTheme="minorHAnsi" w:cstheme="minorHAnsi"/>
          <w:sz w:val="21"/>
          <w:szCs w:val="21"/>
        </w:rPr>
        <w:t>FEM model</w:t>
      </w:r>
      <w:r w:rsidRPr="00976B70">
        <w:rPr>
          <w:rFonts w:asciiTheme="minorHAnsi" w:eastAsiaTheme="minorHAnsi" w:hAnsiTheme="minorHAnsi" w:cstheme="minorHAnsi"/>
          <w:sz w:val="21"/>
          <w:szCs w:val="21"/>
        </w:rPr>
        <w:t xml:space="preserve"> </w:t>
      </w:r>
    </w:p>
    <w:p w14:paraId="37376965" w14:textId="322EF889" w:rsidR="00995B7F" w:rsidRPr="00976B70" w:rsidRDefault="00995B7F" w:rsidP="00BC3249">
      <w:pPr>
        <w:pStyle w:val="Text"/>
        <w:spacing w:after="120" w:line="276" w:lineRule="auto"/>
        <w:ind w:firstLine="0"/>
        <w:rPr>
          <w:rFonts w:asciiTheme="minorHAnsi" w:hAnsiTheme="minorHAnsi" w:cstheme="minorHAnsi"/>
          <w:sz w:val="21"/>
          <w:szCs w:val="21"/>
        </w:rPr>
      </w:pPr>
      <w:r w:rsidRPr="00976B70">
        <w:rPr>
          <w:rFonts w:asciiTheme="minorHAnsi" w:eastAsiaTheme="minorHAnsi" w:hAnsiTheme="minorHAnsi" w:cstheme="minorHAnsi"/>
          <w:sz w:val="21"/>
          <w:szCs w:val="21"/>
          <w:lang w:val="en-GB"/>
        </w:rPr>
        <w:t>T</w:t>
      </w:r>
      <w:r w:rsidRPr="00976B70">
        <w:rPr>
          <w:rFonts w:asciiTheme="minorHAnsi" w:hAnsiTheme="minorHAnsi" w:cstheme="minorHAnsi"/>
          <w:sz w:val="21"/>
          <w:szCs w:val="21"/>
        </w:rPr>
        <w:t>he basolateral chamber (see Figure S1) was scaled to allow the membrane to expand freely during breathing.</w:t>
      </w:r>
    </w:p>
    <w:p w14:paraId="2C37590E" w14:textId="034BE471" w:rsidR="008D682A" w:rsidRPr="00976B70" w:rsidRDefault="008D682A" w:rsidP="00BC3249">
      <w:pPr>
        <w:pStyle w:val="Text"/>
        <w:spacing w:line="276" w:lineRule="auto"/>
        <w:ind w:firstLine="0"/>
        <w:rPr>
          <w:rFonts w:asciiTheme="minorHAnsi" w:eastAsiaTheme="minorHAnsi" w:hAnsiTheme="minorHAnsi" w:cstheme="minorHAnsi"/>
          <w:bCs/>
          <w:sz w:val="21"/>
          <w:szCs w:val="21"/>
          <w:lang w:val="en-GB"/>
        </w:rPr>
      </w:pPr>
      <w:r w:rsidRPr="00976B70">
        <w:rPr>
          <w:rFonts w:asciiTheme="minorHAnsi" w:eastAsiaTheme="minorHAnsi" w:hAnsiTheme="minorHAnsi" w:cstheme="minorHAnsi"/>
          <w:bCs/>
          <w:sz w:val="21"/>
          <w:szCs w:val="21"/>
          <w:lang w:val="en-GB"/>
        </w:rPr>
        <w:t>Figure S1 shows the dimensions of the basal chamber as implemented in the FEM model. The model was solved parametrically for different heights</w:t>
      </w:r>
      <w:r w:rsidR="00B44D67" w:rsidRPr="00976B70">
        <w:rPr>
          <w:rFonts w:asciiTheme="minorHAnsi" w:eastAsiaTheme="minorHAnsi" w:hAnsiTheme="minorHAnsi" w:cstheme="minorHAnsi"/>
          <w:bCs/>
          <w:sz w:val="21"/>
          <w:szCs w:val="21"/>
          <w:lang w:val="en-GB"/>
        </w:rPr>
        <w:t xml:space="preserve"> H</w:t>
      </w:r>
      <w:r w:rsidRPr="00976B70">
        <w:rPr>
          <w:rFonts w:asciiTheme="minorHAnsi" w:eastAsiaTheme="minorHAnsi" w:hAnsiTheme="minorHAnsi" w:cstheme="minorHAnsi"/>
          <w:bCs/>
          <w:sz w:val="21"/>
          <w:szCs w:val="21"/>
          <w:lang w:val="en-GB"/>
        </w:rPr>
        <w:t>, which led to the identification of 14 mm as the optimum.</w:t>
      </w:r>
      <w:r w:rsidR="00194FD4" w:rsidRPr="00976B70">
        <w:rPr>
          <w:rFonts w:asciiTheme="minorHAnsi" w:eastAsiaTheme="minorHAnsi" w:hAnsiTheme="minorHAnsi" w:cstheme="minorHAnsi"/>
          <w:bCs/>
          <w:sz w:val="21"/>
          <w:szCs w:val="21"/>
          <w:lang w:val="en-GB"/>
        </w:rPr>
        <w:t xml:space="preserve"> </w:t>
      </w:r>
    </w:p>
    <w:p w14:paraId="11877C00" w14:textId="7BE65B55" w:rsidR="006838DD" w:rsidRPr="00976B70" w:rsidRDefault="006838DD" w:rsidP="00BC3249">
      <w:pPr>
        <w:pStyle w:val="Text"/>
        <w:spacing w:line="276" w:lineRule="auto"/>
        <w:ind w:firstLine="0"/>
        <w:rPr>
          <w:rFonts w:asciiTheme="minorHAnsi" w:eastAsiaTheme="minorHAnsi" w:hAnsiTheme="minorHAnsi" w:cstheme="minorHAnsi"/>
          <w:bCs/>
          <w:sz w:val="21"/>
          <w:szCs w:val="21"/>
          <w:lang w:val="en-GB"/>
        </w:rPr>
      </w:pPr>
    </w:p>
    <w:p w14:paraId="4F4ACA48" w14:textId="2B645EDA" w:rsidR="006838DD" w:rsidRPr="00976B70" w:rsidRDefault="00F04F23" w:rsidP="00C75888">
      <w:pPr>
        <w:pStyle w:val="Text"/>
        <w:spacing w:line="276" w:lineRule="auto"/>
        <w:ind w:firstLine="0"/>
        <w:jc w:val="center"/>
        <w:rPr>
          <w:rFonts w:asciiTheme="minorHAnsi" w:eastAsiaTheme="minorHAnsi" w:hAnsiTheme="minorHAnsi" w:cstheme="minorHAnsi"/>
          <w:bCs/>
          <w:sz w:val="21"/>
          <w:szCs w:val="21"/>
          <w:lang w:val="en-GB"/>
        </w:rPr>
      </w:pPr>
      <w:r w:rsidRPr="00976B70">
        <w:rPr>
          <w:rFonts w:asciiTheme="minorHAnsi" w:eastAsiaTheme="minorHAnsi" w:hAnsiTheme="minorHAnsi" w:cstheme="minorHAnsi"/>
          <w:bCs/>
          <w:noProof/>
          <w:sz w:val="21"/>
          <w:szCs w:val="21"/>
          <w:lang w:val="en-GB"/>
        </w:rPr>
        <w:drawing>
          <wp:inline distT="0" distB="0" distL="0" distR="0" wp14:anchorId="44978A97" wp14:editId="58C60A8E">
            <wp:extent cx="4932665" cy="2263140"/>
            <wp:effectExtent l="0" t="0" r="1905" b="3810"/>
            <wp:docPr id="11" name="Immagine 11" descr="Immagine che contiene screensho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1_600 dpi.tif"/>
                    <pic:cNvPicPr/>
                  </pic:nvPicPr>
                  <pic:blipFill>
                    <a:blip r:embed="rId8"/>
                    <a:stretch>
                      <a:fillRect/>
                    </a:stretch>
                  </pic:blipFill>
                  <pic:spPr>
                    <a:xfrm>
                      <a:off x="0" y="0"/>
                      <a:ext cx="4937839" cy="2265514"/>
                    </a:xfrm>
                    <a:prstGeom prst="rect">
                      <a:avLst/>
                    </a:prstGeom>
                  </pic:spPr>
                </pic:pic>
              </a:graphicData>
            </a:graphic>
          </wp:inline>
        </w:drawing>
      </w:r>
    </w:p>
    <w:p w14:paraId="64F6D619" w14:textId="77777777" w:rsidR="00240D81" w:rsidRPr="00976B70" w:rsidRDefault="00240D81" w:rsidP="00BC3249">
      <w:pPr>
        <w:pStyle w:val="Text"/>
        <w:spacing w:line="276" w:lineRule="auto"/>
        <w:ind w:firstLine="0"/>
        <w:rPr>
          <w:rFonts w:asciiTheme="minorHAnsi" w:eastAsiaTheme="minorHAnsi" w:hAnsiTheme="minorHAnsi" w:cstheme="minorHAnsi"/>
          <w:bCs/>
          <w:noProof/>
          <w:sz w:val="22"/>
          <w:szCs w:val="22"/>
        </w:rPr>
      </w:pPr>
    </w:p>
    <w:p w14:paraId="62602861" w14:textId="662CC5DC" w:rsidR="008D682A" w:rsidRPr="00976B70" w:rsidRDefault="008D682A" w:rsidP="00BC3249">
      <w:pPr>
        <w:pStyle w:val="Text"/>
        <w:spacing w:line="276" w:lineRule="auto"/>
        <w:ind w:firstLine="0"/>
        <w:rPr>
          <w:rFonts w:asciiTheme="minorHAnsi" w:eastAsiaTheme="minorHAnsi" w:hAnsiTheme="minorHAnsi" w:cstheme="minorHAnsi"/>
          <w:bCs/>
          <w:sz w:val="22"/>
          <w:szCs w:val="22"/>
          <w:lang w:val="en-GB"/>
        </w:rPr>
      </w:pPr>
    </w:p>
    <w:p w14:paraId="198DDAFD" w14:textId="10E150D1" w:rsidR="008D682A" w:rsidRPr="00976B70" w:rsidRDefault="008D682A" w:rsidP="00BC3249">
      <w:pPr>
        <w:autoSpaceDE w:val="0"/>
        <w:autoSpaceDN w:val="0"/>
        <w:adjustRightInd w:val="0"/>
        <w:spacing w:after="0"/>
        <w:jc w:val="center"/>
        <w:rPr>
          <w:rFonts w:cstheme="minorHAnsi"/>
          <w:i/>
          <w:sz w:val="18"/>
          <w:lang w:val="en-US"/>
        </w:rPr>
      </w:pPr>
      <w:r w:rsidRPr="00976B70">
        <w:rPr>
          <w:rFonts w:cstheme="minorHAnsi"/>
          <w:i/>
          <w:sz w:val="18"/>
          <w:lang w:val="en-US"/>
        </w:rPr>
        <w:t>Fig. S1: Basolateral chamber domain as described by the FEM model.</w:t>
      </w:r>
      <w:r w:rsidR="00B44D67" w:rsidRPr="00976B70">
        <w:rPr>
          <w:rFonts w:cstheme="minorHAnsi"/>
          <w:i/>
          <w:sz w:val="18"/>
          <w:lang w:val="en-US"/>
        </w:rPr>
        <w:t xml:space="preserve"> The inlet and outlet diameters are 1 and </w:t>
      </w:r>
      <w:proofErr w:type="gramStart"/>
      <w:r w:rsidR="00B44D67" w:rsidRPr="00976B70">
        <w:rPr>
          <w:rFonts w:cstheme="minorHAnsi"/>
          <w:i/>
          <w:sz w:val="18"/>
          <w:lang w:val="en-US"/>
        </w:rPr>
        <w:t>2  mm</w:t>
      </w:r>
      <w:proofErr w:type="gramEnd"/>
      <w:r w:rsidR="00B44D67" w:rsidRPr="00976B70">
        <w:rPr>
          <w:rFonts w:cstheme="minorHAnsi"/>
          <w:i/>
          <w:sz w:val="18"/>
          <w:lang w:val="en-US"/>
        </w:rPr>
        <w:t xml:space="preserve"> respectively.</w:t>
      </w:r>
      <w:r w:rsidR="00CC7913" w:rsidRPr="00976B70">
        <w:rPr>
          <w:rFonts w:cstheme="minorHAnsi"/>
          <w:i/>
          <w:sz w:val="18"/>
          <w:lang w:val="en-US"/>
        </w:rPr>
        <w:t xml:space="preserve"> </w:t>
      </w:r>
      <w:r w:rsidR="004B5434" w:rsidRPr="00976B70">
        <w:rPr>
          <w:rFonts w:cstheme="minorHAnsi"/>
          <w:i/>
          <w:sz w:val="18"/>
          <w:lang w:val="en-US"/>
        </w:rPr>
        <w:t xml:space="preserve">The height H was </w:t>
      </w:r>
      <w:r w:rsidR="00CC7913" w:rsidRPr="00976B70">
        <w:rPr>
          <w:rFonts w:cstheme="minorHAnsi"/>
          <w:i/>
          <w:sz w:val="18"/>
          <w:lang w:val="en-US"/>
        </w:rPr>
        <w:t>varied</w:t>
      </w:r>
      <w:r w:rsidR="004B5434" w:rsidRPr="00976B70">
        <w:rPr>
          <w:rFonts w:cstheme="minorHAnsi"/>
          <w:i/>
          <w:sz w:val="18"/>
          <w:lang w:val="en-US"/>
        </w:rPr>
        <w:t xml:space="preserve"> </w:t>
      </w:r>
      <w:r w:rsidR="00CC7913" w:rsidRPr="00976B70">
        <w:rPr>
          <w:rFonts w:cstheme="minorHAnsi"/>
          <w:i/>
          <w:sz w:val="18"/>
          <w:lang w:val="en-US"/>
        </w:rPr>
        <w:t>between</w:t>
      </w:r>
      <w:r w:rsidR="004B5434" w:rsidRPr="00976B70">
        <w:rPr>
          <w:rFonts w:cstheme="minorHAnsi"/>
          <w:i/>
          <w:sz w:val="18"/>
          <w:lang w:val="en-US"/>
        </w:rPr>
        <w:t xml:space="preserve"> </w:t>
      </w:r>
      <w:r w:rsidR="00CC7913" w:rsidRPr="00976B70">
        <w:rPr>
          <w:rFonts w:cstheme="minorHAnsi"/>
          <w:i/>
          <w:sz w:val="18"/>
          <w:lang w:val="en-US"/>
        </w:rPr>
        <w:t>10</w:t>
      </w:r>
      <w:r w:rsidR="004B5434" w:rsidRPr="00976B70">
        <w:rPr>
          <w:rFonts w:cstheme="minorHAnsi"/>
          <w:i/>
          <w:sz w:val="18"/>
          <w:lang w:val="en-US"/>
        </w:rPr>
        <w:t xml:space="preserve"> and </w:t>
      </w:r>
      <w:r w:rsidR="00CC7913" w:rsidRPr="00976B70">
        <w:rPr>
          <w:rFonts w:cstheme="minorHAnsi"/>
          <w:i/>
          <w:sz w:val="18"/>
          <w:lang w:val="en-US"/>
        </w:rPr>
        <w:t>20</w:t>
      </w:r>
      <w:r w:rsidR="004B5434" w:rsidRPr="00976B70">
        <w:rPr>
          <w:rFonts w:cstheme="minorHAnsi"/>
          <w:i/>
          <w:sz w:val="18"/>
          <w:lang w:val="en-US"/>
        </w:rPr>
        <w:t xml:space="preserve"> mm</w:t>
      </w:r>
      <w:r w:rsidR="00CC7913" w:rsidRPr="00976B70">
        <w:rPr>
          <w:rFonts w:cstheme="minorHAnsi"/>
          <w:i/>
          <w:sz w:val="18"/>
          <w:lang w:val="en-US"/>
        </w:rPr>
        <w:t xml:space="preserve"> in the parametric model</w:t>
      </w:r>
      <w:r w:rsidR="004B5434" w:rsidRPr="00976B70">
        <w:rPr>
          <w:rFonts w:cstheme="minorHAnsi"/>
          <w:i/>
          <w:sz w:val="18"/>
          <w:lang w:val="en-US"/>
        </w:rPr>
        <w:t>.</w:t>
      </w:r>
    </w:p>
    <w:p w14:paraId="7216E5DD" w14:textId="77777777" w:rsidR="008D682A" w:rsidRPr="00976B70" w:rsidRDefault="008D682A" w:rsidP="00BC3249">
      <w:pPr>
        <w:autoSpaceDE w:val="0"/>
        <w:autoSpaceDN w:val="0"/>
        <w:adjustRightInd w:val="0"/>
        <w:spacing w:after="0"/>
        <w:jc w:val="center"/>
        <w:rPr>
          <w:rFonts w:cstheme="minorHAnsi"/>
          <w:bCs/>
          <w:lang w:val="en-US"/>
        </w:rPr>
      </w:pPr>
    </w:p>
    <w:p w14:paraId="7258BD79" w14:textId="5B1BE4EC" w:rsidR="0024700F" w:rsidRPr="00976B70" w:rsidRDefault="0024700F" w:rsidP="00BC3249">
      <w:pPr>
        <w:pStyle w:val="Heading2"/>
        <w:spacing w:line="276" w:lineRule="auto"/>
        <w:rPr>
          <w:rFonts w:asciiTheme="minorHAnsi" w:eastAsiaTheme="minorHAnsi" w:hAnsiTheme="minorHAnsi" w:cstheme="minorHAnsi"/>
          <w:sz w:val="21"/>
          <w:szCs w:val="21"/>
        </w:rPr>
      </w:pPr>
      <w:r w:rsidRPr="00976B70">
        <w:rPr>
          <w:rFonts w:asciiTheme="minorHAnsi" w:eastAsiaTheme="minorHAnsi" w:hAnsiTheme="minorHAnsi" w:cstheme="minorHAnsi"/>
          <w:sz w:val="21"/>
          <w:szCs w:val="21"/>
        </w:rPr>
        <w:t>Input parameters for the FEM model representing the apical chamber</w:t>
      </w:r>
    </w:p>
    <w:p w14:paraId="3E9B90B3" w14:textId="77777777" w:rsidR="0024700F" w:rsidRPr="00976B70" w:rsidRDefault="0024700F" w:rsidP="00BC3249">
      <w:pPr>
        <w:jc w:val="both"/>
        <w:rPr>
          <w:sz w:val="21"/>
          <w:szCs w:val="21"/>
        </w:rPr>
      </w:pPr>
      <w:r w:rsidRPr="00976B70">
        <w:rPr>
          <w:sz w:val="21"/>
          <w:szCs w:val="21"/>
          <w:lang w:val="en-US"/>
        </w:rPr>
        <w:t>T</w:t>
      </w:r>
      <w:r w:rsidRPr="00976B70">
        <w:rPr>
          <w:sz w:val="21"/>
          <w:szCs w:val="21"/>
        </w:rPr>
        <w:t xml:space="preserve">he following constants were used for the two-phase model: </w:t>
      </w:r>
    </w:p>
    <w:p w14:paraId="4A7A4604" w14:textId="77777777" w:rsidR="0024700F" w:rsidRPr="00976B70" w:rsidRDefault="0024700F" w:rsidP="00BC3249">
      <w:pPr>
        <w:jc w:val="both"/>
        <w:rPr>
          <w:sz w:val="21"/>
          <w:szCs w:val="21"/>
        </w:rPr>
      </w:pPr>
      <w:r w:rsidRPr="00976B70">
        <w:rPr>
          <w:sz w:val="21"/>
          <w:szCs w:val="21"/>
        </w:rPr>
        <w:t>AIR phase: air density = 1.225 kg/m</w:t>
      </w:r>
      <w:r w:rsidRPr="00976B70">
        <w:rPr>
          <w:sz w:val="21"/>
          <w:szCs w:val="21"/>
          <w:vertAlign w:val="superscript"/>
        </w:rPr>
        <w:t>3</w:t>
      </w:r>
      <w:r w:rsidRPr="00976B70">
        <w:rPr>
          <w:sz w:val="21"/>
          <w:szCs w:val="21"/>
        </w:rPr>
        <w:t xml:space="preserve"> and viscosity = 1.7894 10</w:t>
      </w:r>
      <w:r w:rsidRPr="00976B70">
        <w:rPr>
          <w:sz w:val="21"/>
          <w:szCs w:val="21"/>
          <w:vertAlign w:val="superscript"/>
        </w:rPr>
        <w:t>-5</w:t>
      </w:r>
      <w:r w:rsidRPr="00976B70">
        <w:rPr>
          <w:sz w:val="21"/>
          <w:szCs w:val="21"/>
        </w:rPr>
        <w:t xml:space="preserve"> </w:t>
      </w:r>
      <w:proofErr w:type="spellStart"/>
      <w:r w:rsidRPr="00976B70">
        <w:rPr>
          <w:sz w:val="21"/>
          <w:szCs w:val="21"/>
        </w:rPr>
        <w:t>Pa·s</w:t>
      </w:r>
      <w:proofErr w:type="spellEnd"/>
      <w:r w:rsidRPr="00976B70">
        <w:rPr>
          <w:sz w:val="21"/>
          <w:szCs w:val="21"/>
        </w:rPr>
        <w:t xml:space="preserve">, pressure = 101.3 kPa, temperature = 37 °C. </w:t>
      </w:r>
    </w:p>
    <w:p w14:paraId="4BAAC152" w14:textId="35F9D096" w:rsidR="0024700F" w:rsidRPr="00976B70" w:rsidRDefault="0024700F" w:rsidP="00BC3249">
      <w:pPr>
        <w:jc w:val="both"/>
        <w:rPr>
          <w:sz w:val="21"/>
          <w:szCs w:val="21"/>
        </w:rPr>
      </w:pPr>
      <w:r w:rsidRPr="00976B70">
        <w:rPr>
          <w:sz w:val="21"/>
          <w:szCs w:val="21"/>
        </w:rPr>
        <w:t xml:space="preserve">For the CLOUD phase (secondary fluid): </w:t>
      </w:r>
      <w:r w:rsidR="00AC6290" w:rsidRPr="00976B70">
        <w:rPr>
          <w:sz w:val="21"/>
          <w:szCs w:val="21"/>
        </w:rPr>
        <w:t>considering a total aqueous volume of 10 µL in a</w:t>
      </w:r>
      <w:r w:rsidR="002F1FE1" w:rsidRPr="00976B70">
        <w:rPr>
          <w:sz w:val="21"/>
          <w:szCs w:val="21"/>
        </w:rPr>
        <w:t>n</w:t>
      </w:r>
      <w:r w:rsidR="00AC6290" w:rsidRPr="00976B70">
        <w:rPr>
          <w:sz w:val="21"/>
          <w:szCs w:val="21"/>
        </w:rPr>
        <w:t xml:space="preserve"> apical chamber of </w:t>
      </w:r>
      <w:r w:rsidR="002F1FE1" w:rsidRPr="00976B70">
        <w:rPr>
          <w:sz w:val="21"/>
          <w:szCs w:val="21"/>
        </w:rPr>
        <w:t>18.8</w:t>
      </w:r>
      <w:r w:rsidR="00AC6290" w:rsidRPr="00976B70">
        <w:rPr>
          <w:sz w:val="21"/>
          <w:szCs w:val="21"/>
        </w:rPr>
        <w:t xml:space="preserve"> mL</w:t>
      </w:r>
      <w:r w:rsidR="002F1FE1" w:rsidRPr="00976B70">
        <w:rPr>
          <w:sz w:val="21"/>
          <w:szCs w:val="21"/>
        </w:rPr>
        <w:t xml:space="preserve"> over a period of 2 s, </w:t>
      </w:r>
      <w:r w:rsidRPr="00976B70">
        <w:rPr>
          <w:sz w:val="21"/>
          <w:szCs w:val="21"/>
        </w:rPr>
        <w:t>a mean water volume fraction of 2×10</w:t>
      </w:r>
      <w:r w:rsidRPr="00976B70">
        <w:rPr>
          <w:sz w:val="21"/>
          <w:szCs w:val="21"/>
          <w:vertAlign w:val="superscript"/>
        </w:rPr>
        <w:noBreakHyphen/>
        <w:t>4</w:t>
      </w:r>
      <w:r w:rsidRPr="00976B70">
        <w:rPr>
          <w:sz w:val="21"/>
          <w:szCs w:val="21"/>
        </w:rPr>
        <w:t xml:space="preserve"> was assumed (water: viscosity =10</w:t>
      </w:r>
      <w:r w:rsidRPr="00976B70">
        <w:rPr>
          <w:sz w:val="21"/>
          <w:szCs w:val="21"/>
          <w:vertAlign w:val="superscript"/>
        </w:rPr>
        <w:t>-3</w:t>
      </w:r>
      <w:r w:rsidRPr="00976B70">
        <w:rPr>
          <w:sz w:val="21"/>
          <w:szCs w:val="21"/>
        </w:rPr>
        <w:t xml:space="preserve"> </w:t>
      </w:r>
      <w:proofErr w:type="spellStart"/>
      <w:r w:rsidRPr="00976B70">
        <w:rPr>
          <w:sz w:val="21"/>
          <w:szCs w:val="21"/>
        </w:rPr>
        <w:t>Pa·s</w:t>
      </w:r>
      <w:proofErr w:type="spellEnd"/>
      <w:r w:rsidRPr="00976B70">
        <w:rPr>
          <w:sz w:val="21"/>
          <w:szCs w:val="21"/>
        </w:rPr>
        <w:t xml:space="preserve"> and density= 1000 kg/m</w:t>
      </w:r>
      <w:r w:rsidRPr="00976B70">
        <w:rPr>
          <w:sz w:val="21"/>
          <w:szCs w:val="21"/>
          <w:vertAlign w:val="superscript"/>
        </w:rPr>
        <w:t>3</w:t>
      </w:r>
      <w:r w:rsidRPr="00976B70">
        <w:rPr>
          <w:sz w:val="21"/>
          <w:szCs w:val="21"/>
        </w:rPr>
        <w:t xml:space="preserve">).  </w:t>
      </w:r>
    </w:p>
    <w:p w14:paraId="4DE74ABB" w14:textId="7F4BAE50" w:rsidR="00AC6290" w:rsidRPr="00976B70" w:rsidRDefault="0024700F" w:rsidP="00BC3249">
      <w:pPr>
        <w:jc w:val="both"/>
        <w:rPr>
          <w:sz w:val="21"/>
          <w:szCs w:val="21"/>
        </w:rPr>
      </w:pPr>
      <w:r w:rsidRPr="00976B70">
        <w:rPr>
          <w:sz w:val="21"/>
          <w:szCs w:val="21"/>
        </w:rPr>
        <w:lastRenderedPageBreak/>
        <w:t>For a water volume fraction of 2×10</w:t>
      </w:r>
      <w:r w:rsidRPr="00976B70">
        <w:rPr>
          <w:sz w:val="21"/>
          <w:szCs w:val="21"/>
          <w:vertAlign w:val="superscript"/>
        </w:rPr>
        <w:t>-4</w:t>
      </w:r>
      <w:r w:rsidRPr="00976B70">
        <w:rPr>
          <w:sz w:val="21"/>
          <w:szCs w:val="21"/>
        </w:rPr>
        <w:t xml:space="preserve"> the cloud density is 16% higher than that of air, thus we can consider a two phase air-droplet system in which cloud motion is present</w:t>
      </w:r>
      <w:r w:rsidR="006838DD" w:rsidRPr="00976B70">
        <w:rPr>
          <w:sz w:val="21"/>
          <w:szCs w:val="21"/>
        </w:rPr>
        <w:t xml:space="preserve"> </w:t>
      </w:r>
      <w:r w:rsidR="006838DD" w:rsidRPr="00976B70">
        <w:rPr>
          <w:sz w:val="21"/>
          <w:szCs w:val="21"/>
        </w:rPr>
        <w:fldChar w:fldCharType="begin" w:fldLock="1"/>
      </w:r>
      <w:r w:rsidR="006838DD" w:rsidRPr="00976B70">
        <w:rPr>
          <w:sz w:val="21"/>
          <w:szCs w:val="21"/>
        </w:rPr>
        <w:instrText>ADDIN CSL_CITATION {"citationItems":[{"id":"ITEM-1","itemData":{"ISBN":"0471194107","author":[{"dropping-particle":"","family":"Hinds","given":"William C","non-dropping-particle":"","parse-names":false,"suffix":""}],"id":"ITEM-1","issued":{"date-parts":[["1999"]]},"publisher":"John Wiley &amp; Sons","title":"Aerosol technology: properties, behavior, and measurement of airborne particles","type":"book"},"uris":["http://www.mendeley.com/documents/?uuid=10018e8f-c130-49f8-85cc-eef235599989"]}],"mendeley":{"formattedCitation":"(Hinds, 1999)","plainTextFormattedCitation":"(Hinds, 1999)","previouslyFormattedCitation":"(Hinds, 1999)"},"properties":{"noteIndex":0},"schema":"https://github.com/citation-style-language/schema/raw/master/csl-citation.json"}</w:instrText>
      </w:r>
      <w:r w:rsidR="006838DD" w:rsidRPr="00976B70">
        <w:rPr>
          <w:sz w:val="21"/>
          <w:szCs w:val="21"/>
        </w:rPr>
        <w:fldChar w:fldCharType="separate"/>
      </w:r>
      <w:r w:rsidR="006838DD" w:rsidRPr="00976B70">
        <w:rPr>
          <w:noProof/>
          <w:sz w:val="21"/>
          <w:szCs w:val="21"/>
        </w:rPr>
        <w:t>(Hinds, 1999)</w:t>
      </w:r>
      <w:r w:rsidR="006838DD" w:rsidRPr="00976B70">
        <w:rPr>
          <w:sz w:val="21"/>
          <w:szCs w:val="21"/>
        </w:rPr>
        <w:fldChar w:fldCharType="end"/>
      </w:r>
      <w:r w:rsidR="007E47D4" w:rsidRPr="00976B70">
        <w:rPr>
          <w:sz w:val="21"/>
          <w:szCs w:val="21"/>
        </w:rPr>
        <w:t>.</w:t>
      </w:r>
      <w:r w:rsidRPr="00976B70">
        <w:rPr>
          <w:sz w:val="21"/>
          <w:szCs w:val="21"/>
        </w:rPr>
        <w:t xml:space="preserve"> </w:t>
      </w:r>
    </w:p>
    <w:p w14:paraId="617507C7" w14:textId="7DA8C054" w:rsidR="0024700F" w:rsidRPr="00976B70" w:rsidRDefault="0024700F" w:rsidP="00BC3249">
      <w:pPr>
        <w:jc w:val="both"/>
        <w:rPr>
          <w:sz w:val="21"/>
          <w:szCs w:val="21"/>
        </w:rPr>
      </w:pPr>
      <w:r w:rsidRPr="00976B70">
        <w:rPr>
          <w:sz w:val="21"/>
          <w:szCs w:val="21"/>
        </w:rPr>
        <w:t>The nebulizer was modelled as an inlet surface for water on the top of the aerosol inlet tube. The initial speed of both water droplets and air at the inlet was set to 2.5 m/s (as determined by a setup having the cloud pass through two consecutive light gates placed at a known distance from each other). Considering that nebulizer is typically on for 2 s, the liquid volume output rate was set at 5 µL/s with an active period of 2 s by implementing a User Defined Function (UDF) in the FEM model.</w:t>
      </w:r>
    </w:p>
    <w:p w14:paraId="737D33D6" w14:textId="2A67FCC4" w:rsidR="008D682A" w:rsidRPr="00976B70" w:rsidRDefault="008D682A" w:rsidP="00BC3249">
      <w:pPr>
        <w:pStyle w:val="Heading2"/>
        <w:spacing w:line="276" w:lineRule="auto"/>
        <w:rPr>
          <w:rFonts w:asciiTheme="minorHAnsi" w:eastAsiaTheme="minorHAnsi" w:hAnsiTheme="minorHAnsi" w:cstheme="minorHAnsi"/>
          <w:sz w:val="21"/>
          <w:szCs w:val="21"/>
        </w:rPr>
      </w:pPr>
      <w:r w:rsidRPr="00976B70">
        <w:rPr>
          <w:rFonts w:asciiTheme="minorHAnsi" w:eastAsiaTheme="minorHAnsi" w:hAnsiTheme="minorHAnsi" w:cstheme="minorHAnsi"/>
          <w:sz w:val="21"/>
          <w:szCs w:val="21"/>
        </w:rPr>
        <w:t>MALI design and prototype</w:t>
      </w:r>
    </w:p>
    <w:p w14:paraId="253A8FF4" w14:textId="77C0C0CC" w:rsidR="008D682A" w:rsidRPr="00976B70" w:rsidRDefault="008D682A" w:rsidP="00BC3249">
      <w:pPr>
        <w:autoSpaceDE w:val="0"/>
        <w:autoSpaceDN w:val="0"/>
        <w:adjustRightInd w:val="0"/>
        <w:spacing w:after="0"/>
        <w:jc w:val="both"/>
        <w:rPr>
          <w:rFonts w:cstheme="minorHAnsi"/>
          <w:sz w:val="21"/>
          <w:szCs w:val="21"/>
          <w:lang w:val="en-US"/>
        </w:rPr>
      </w:pPr>
      <w:r w:rsidRPr="00976B70">
        <w:rPr>
          <w:rFonts w:cstheme="minorHAnsi"/>
          <w:sz w:val="21"/>
          <w:szCs w:val="21"/>
          <w:lang w:val="en-US"/>
        </w:rPr>
        <w:t>MALI</w:t>
      </w:r>
      <w:r w:rsidR="00B44D67" w:rsidRPr="00976B70">
        <w:rPr>
          <w:rFonts w:cstheme="minorHAnsi"/>
          <w:sz w:val="21"/>
          <w:szCs w:val="21"/>
          <w:lang w:val="en-US"/>
        </w:rPr>
        <w:t xml:space="preserve"> bioreactor</w:t>
      </w:r>
      <w:r w:rsidRPr="00976B70">
        <w:rPr>
          <w:rFonts w:cstheme="minorHAnsi"/>
          <w:sz w:val="21"/>
          <w:szCs w:val="21"/>
          <w:lang w:val="en-US"/>
        </w:rPr>
        <w:t xml:space="preserve"> components were fabricated using the "milli-molding" method: a polydimethylsiloxane solution was casted into molds made of stainless steel (Figure S2). SolidWorks </w:t>
      </w:r>
      <w:r w:rsidR="005F436A" w:rsidRPr="00976B70">
        <w:rPr>
          <w:rFonts w:cstheme="minorHAnsi"/>
          <w:sz w:val="21"/>
          <w:szCs w:val="21"/>
          <w:lang w:val="en-US"/>
        </w:rPr>
        <w:t xml:space="preserve">2017 </w:t>
      </w:r>
      <w:r w:rsidRPr="00976B70">
        <w:rPr>
          <w:rFonts w:cstheme="minorHAnsi"/>
          <w:sz w:val="21"/>
          <w:szCs w:val="21"/>
          <w:lang w:val="en-US"/>
        </w:rPr>
        <w:t xml:space="preserve">software (Dassault System, </w:t>
      </w:r>
      <w:proofErr w:type="spellStart"/>
      <w:r w:rsidRPr="00976B70">
        <w:rPr>
          <w:rFonts w:cstheme="minorHAnsi"/>
          <w:sz w:val="21"/>
          <w:szCs w:val="21"/>
          <w:lang w:val="en-US"/>
        </w:rPr>
        <w:t>Vlizy-Villacoublay</w:t>
      </w:r>
      <w:proofErr w:type="spellEnd"/>
      <w:r w:rsidRPr="00976B70">
        <w:rPr>
          <w:rFonts w:cstheme="minorHAnsi"/>
          <w:sz w:val="21"/>
          <w:szCs w:val="21"/>
          <w:lang w:val="en-US"/>
        </w:rPr>
        <w:t xml:space="preserve">, France) was used to design both the bioreactor and the molds. Polydimethylsiloxane (PDMS, </w:t>
      </w:r>
      <w:proofErr w:type="spellStart"/>
      <w:r w:rsidRPr="00976B70">
        <w:rPr>
          <w:rFonts w:cstheme="minorHAnsi"/>
          <w:sz w:val="21"/>
          <w:szCs w:val="21"/>
          <w:lang w:val="en-US"/>
        </w:rPr>
        <w:t>Sylgard</w:t>
      </w:r>
      <w:proofErr w:type="spellEnd"/>
      <w:r w:rsidRPr="00976B70">
        <w:rPr>
          <w:rFonts w:cstheme="minorHAnsi"/>
          <w:sz w:val="21"/>
          <w:szCs w:val="21"/>
          <w:lang w:val="en-US"/>
        </w:rPr>
        <w:t xml:space="preserve"> 184 1.1 kg Kit, </w:t>
      </w:r>
      <w:proofErr w:type="spellStart"/>
      <w:r w:rsidRPr="00976B70">
        <w:rPr>
          <w:rFonts w:cstheme="minorHAnsi"/>
          <w:sz w:val="21"/>
          <w:szCs w:val="21"/>
          <w:lang w:val="en-US"/>
        </w:rPr>
        <w:t>Mascherpa</w:t>
      </w:r>
      <w:proofErr w:type="spellEnd"/>
      <w:r w:rsidRPr="00976B70">
        <w:rPr>
          <w:rFonts w:cstheme="minorHAnsi"/>
          <w:sz w:val="21"/>
          <w:szCs w:val="21"/>
          <w:lang w:val="en-US"/>
        </w:rPr>
        <w:t>, Milan, Italy) was prepared according to the manufacturer’s instructions (1:10 PDMS monomer-</w:t>
      </w:r>
      <w:proofErr w:type="spellStart"/>
      <w:r w:rsidRPr="00976B70">
        <w:rPr>
          <w:rFonts w:cstheme="minorHAnsi"/>
          <w:sz w:val="21"/>
          <w:szCs w:val="21"/>
          <w:lang w:val="en-US"/>
        </w:rPr>
        <w:t>catalyser</w:t>
      </w:r>
      <w:proofErr w:type="spellEnd"/>
      <w:r w:rsidRPr="00976B70">
        <w:rPr>
          <w:rFonts w:cstheme="minorHAnsi"/>
          <w:sz w:val="21"/>
          <w:szCs w:val="21"/>
          <w:lang w:val="en-US"/>
        </w:rPr>
        <w:t xml:space="preserve"> mix). The bubbles formed during the PDMS preparation and casting were removed putting the molds in vacuum for at least 30 minutes. </w:t>
      </w:r>
    </w:p>
    <w:p w14:paraId="38B13E75" w14:textId="04702538" w:rsidR="006838DD" w:rsidRPr="00976B70" w:rsidRDefault="006838DD" w:rsidP="00BC3249">
      <w:pPr>
        <w:autoSpaceDE w:val="0"/>
        <w:autoSpaceDN w:val="0"/>
        <w:adjustRightInd w:val="0"/>
        <w:spacing w:after="0"/>
        <w:jc w:val="both"/>
        <w:rPr>
          <w:rFonts w:cstheme="minorHAnsi"/>
          <w:sz w:val="21"/>
          <w:szCs w:val="21"/>
          <w:lang w:val="en-US"/>
        </w:rPr>
      </w:pPr>
    </w:p>
    <w:p w14:paraId="5D5078A2" w14:textId="77777777" w:rsidR="006838DD" w:rsidRPr="00976B70" w:rsidRDefault="006838DD" w:rsidP="00C75888">
      <w:pPr>
        <w:autoSpaceDE w:val="0"/>
        <w:autoSpaceDN w:val="0"/>
        <w:adjustRightInd w:val="0"/>
        <w:spacing w:after="0"/>
        <w:jc w:val="center"/>
        <w:rPr>
          <w:rFonts w:cstheme="minorHAnsi"/>
          <w:sz w:val="21"/>
          <w:szCs w:val="21"/>
          <w:lang w:val="en-US"/>
        </w:rPr>
      </w:pPr>
      <w:r w:rsidRPr="00976B70">
        <w:rPr>
          <w:rFonts w:cstheme="minorHAnsi"/>
          <w:noProof/>
          <w:sz w:val="21"/>
          <w:szCs w:val="21"/>
          <w:lang w:val="en-US"/>
        </w:rPr>
        <w:drawing>
          <wp:inline distT="0" distB="0" distL="0" distR="0" wp14:anchorId="68564BFA" wp14:editId="11D2308B">
            <wp:extent cx="4676381" cy="1821180"/>
            <wp:effectExtent l="0" t="0" r="0" b="7620"/>
            <wp:docPr id="4" name="Immagine 4" descr="Immagine che contiene testo, disegna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2_600 dpi.tif"/>
                    <pic:cNvPicPr/>
                  </pic:nvPicPr>
                  <pic:blipFill>
                    <a:blip r:embed="rId9"/>
                    <a:stretch>
                      <a:fillRect/>
                    </a:stretch>
                  </pic:blipFill>
                  <pic:spPr>
                    <a:xfrm>
                      <a:off x="0" y="0"/>
                      <a:ext cx="4703148" cy="1831604"/>
                    </a:xfrm>
                    <a:prstGeom prst="rect">
                      <a:avLst/>
                    </a:prstGeom>
                  </pic:spPr>
                </pic:pic>
              </a:graphicData>
            </a:graphic>
          </wp:inline>
        </w:drawing>
      </w:r>
    </w:p>
    <w:p w14:paraId="52B15D2E" w14:textId="77777777" w:rsidR="008D682A" w:rsidRPr="00976B70" w:rsidRDefault="008D682A" w:rsidP="00BC3249">
      <w:pPr>
        <w:autoSpaceDE w:val="0"/>
        <w:autoSpaceDN w:val="0"/>
        <w:adjustRightInd w:val="0"/>
        <w:spacing w:after="0"/>
        <w:jc w:val="both"/>
        <w:rPr>
          <w:rFonts w:cstheme="minorHAnsi"/>
          <w:lang w:val="en-US"/>
        </w:rPr>
      </w:pPr>
    </w:p>
    <w:p w14:paraId="795089DF" w14:textId="664E2F39" w:rsidR="008D682A" w:rsidRPr="00976B70" w:rsidRDefault="008D682A" w:rsidP="00BC3249">
      <w:pPr>
        <w:autoSpaceDE w:val="0"/>
        <w:autoSpaceDN w:val="0"/>
        <w:adjustRightInd w:val="0"/>
        <w:spacing w:after="0"/>
        <w:jc w:val="both"/>
        <w:rPr>
          <w:rFonts w:cstheme="minorHAnsi"/>
          <w:lang w:val="en-US"/>
        </w:rPr>
      </w:pPr>
    </w:p>
    <w:p w14:paraId="21C619E3" w14:textId="12AD82D9" w:rsidR="008D682A" w:rsidRPr="00976B70" w:rsidRDefault="008D682A" w:rsidP="00BC3249">
      <w:pPr>
        <w:autoSpaceDE w:val="0"/>
        <w:autoSpaceDN w:val="0"/>
        <w:adjustRightInd w:val="0"/>
        <w:spacing w:after="0"/>
        <w:jc w:val="center"/>
        <w:rPr>
          <w:rFonts w:cstheme="minorHAnsi"/>
          <w:i/>
          <w:sz w:val="18"/>
          <w:lang w:val="en-US"/>
        </w:rPr>
      </w:pPr>
      <w:r w:rsidRPr="00976B70">
        <w:rPr>
          <w:rFonts w:cstheme="minorHAnsi"/>
          <w:i/>
          <w:sz w:val="18"/>
          <w:lang w:val="en-US"/>
        </w:rPr>
        <w:t>Fig. S2: 3D sketch of MALI molds and bioreactor designed using SolidWorks</w:t>
      </w:r>
      <w:r w:rsidR="00DE023F" w:rsidRPr="00976B70">
        <w:rPr>
          <w:rFonts w:cstheme="minorHAnsi"/>
          <w:i/>
          <w:sz w:val="18"/>
          <w:lang w:val="en-US"/>
        </w:rPr>
        <w:t>.</w:t>
      </w:r>
    </w:p>
    <w:p w14:paraId="47DBE644" w14:textId="77777777" w:rsidR="008D682A" w:rsidRPr="00976B70" w:rsidRDefault="008D682A" w:rsidP="00BC3249">
      <w:pPr>
        <w:autoSpaceDE w:val="0"/>
        <w:autoSpaceDN w:val="0"/>
        <w:adjustRightInd w:val="0"/>
        <w:spacing w:after="0"/>
        <w:jc w:val="center"/>
        <w:rPr>
          <w:rFonts w:cstheme="minorHAnsi"/>
          <w:i/>
          <w:sz w:val="18"/>
          <w:lang w:val="en-US"/>
        </w:rPr>
      </w:pPr>
    </w:p>
    <w:p w14:paraId="5A1D9F82" w14:textId="2857D594" w:rsidR="008D682A" w:rsidRPr="00976B70" w:rsidRDefault="008D682A" w:rsidP="00BC3249">
      <w:pPr>
        <w:autoSpaceDE w:val="0"/>
        <w:autoSpaceDN w:val="0"/>
        <w:adjustRightInd w:val="0"/>
        <w:spacing w:after="0"/>
        <w:jc w:val="both"/>
        <w:rPr>
          <w:rFonts w:cstheme="minorHAnsi"/>
          <w:sz w:val="21"/>
          <w:szCs w:val="21"/>
          <w:lang w:val="en-US"/>
        </w:rPr>
      </w:pPr>
      <w:r w:rsidRPr="00976B70">
        <w:rPr>
          <w:rFonts w:cstheme="minorHAnsi"/>
          <w:sz w:val="21"/>
          <w:szCs w:val="21"/>
          <w:lang w:val="en-US"/>
        </w:rPr>
        <w:t>The bioreactor is divided into four parts: the two chambers (basolateral and apical chamber, Figure S3A) and a membrane holder (Figure S3</w:t>
      </w:r>
      <w:r w:rsidR="00AE533B" w:rsidRPr="00976B70">
        <w:rPr>
          <w:rFonts w:cstheme="minorHAnsi"/>
          <w:sz w:val="21"/>
          <w:szCs w:val="21"/>
          <w:lang w:val="en-US"/>
        </w:rPr>
        <w:t xml:space="preserve"> </w:t>
      </w:r>
      <w:r w:rsidRPr="00976B70">
        <w:rPr>
          <w:rFonts w:cstheme="minorHAnsi"/>
          <w:sz w:val="21"/>
          <w:szCs w:val="21"/>
          <w:lang w:val="en-US"/>
        </w:rPr>
        <w:t xml:space="preserve">B and C). </w:t>
      </w:r>
      <w:r w:rsidR="0065427B" w:rsidRPr="00976B70">
        <w:rPr>
          <w:rFonts w:cstheme="minorHAnsi"/>
          <w:sz w:val="21"/>
          <w:szCs w:val="21"/>
          <w:lang w:val="en-US"/>
        </w:rPr>
        <w:t>Any type of membrane or even a gravimetric sensor can be housed in the holder.</w:t>
      </w:r>
    </w:p>
    <w:p w14:paraId="6F123866" w14:textId="290A8D54" w:rsidR="006838DD" w:rsidRPr="00976B70" w:rsidRDefault="006838DD" w:rsidP="00BC3249">
      <w:pPr>
        <w:autoSpaceDE w:val="0"/>
        <w:autoSpaceDN w:val="0"/>
        <w:adjustRightInd w:val="0"/>
        <w:spacing w:after="0"/>
        <w:jc w:val="both"/>
        <w:rPr>
          <w:rFonts w:cstheme="minorHAnsi"/>
          <w:sz w:val="21"/>
          <w:szCs w:val="21"/>
          <w:lang w:val="en-US"/>
        </w:rPr>
      </w:pPr>
    </w:p>
    <w:p w14:paraId="14DC9521" w14:textId="73BF05D7" w:rsidR="006838DD" w:rsidRPr="00976B70" w:rsidRDefault="006838DD" w:rsidP="00C75888">
      <w:pPr>
        <w:autoSpaceDE w:val="0"/>
        <w:autoSpaceDN w:val="0"/>
        <w:adjustRightInd w:val="0"/>
        <w:spacing w:after="0"/>
        <w:jc w:val="center"/>
        <w:rPr>
          <w:rFonts w:cstheme="minorHAnsi"/>
          <w:sz w:val="21"/>
          <w:szCs w:val="21"/>
          <w:lang w:val="en-US"/>
        </w:rPr>
      </w:pPr>
      <w:r w:rsidRPr="00976B70">
        <w:rPr>
          <w:rFonts w:cstheme="minorHAnsi"/>
          <w:noProof/>
          <w:sz w:val="21"/>
          <w:szCs w:val="21"/>
          <w:lang w:val="en-US"/>
        </w:rPr>
        <w:drawing>
          <wp:inline distT="0" distB="0" distL="0" distR="0" wp14:anchorId="02500BB6" wp14:editId="09252D61">
            <wp:extent cx="4616575" cy="1744980"/>
            <wp:effectExtent l="0" t="0" r="0" b="7620"/>
            <wp:docPr id="5" name="Immagine 5" descr="Immagine che contiene tazza, interni, caffè,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3_300 dpi.tif"/>
                    <pic:cNvPicPr/>
                  </pic:nvPicPr>
                  <pic:blipFill>
                    <a:blip r:embed="rId10"/>
                    <a:stretch>
                      <a:fillRect/>
                    </a:stretch>
                  </pic:blipFill>
                  <pic:spPr>
                    <a:xfrm>
                      <a:off x="0" y="0"/>
                      <a:ext cx="4623657" cy="1747657"/>
                    </a:xfrm>
                    <a:prstGeom prst="rect">
                      <a:avLst/>
                    </a:prstGeom>
                  </pic:spPr>
                </pic:pic>
              </a:graphicData>
            </a:graphic>
          </wp:inline>
        </w:drawing>
      </w:r>
    </w:p>
    <w:p w14:paraId="3D7D3224" w14:textId="5FB9088E" w:rsidR="008D682A" w:rsidRPr="00976B70" w:rsidRDefault="008D682A" w:rsidP="00BC3249">
      <w:pPr>
        <w:autoSpaceDE w:val="0"/>
        <w:autoSpaceDN w:val="0"/>
        <w:adjustRightInd w:val="0"/>
        <w:spacing w:after="0"/>
        <w:jc w:val="center"/>
        <w:rPr>
          <w:rFonts w:cstheme="minorHAnsi"/>
          <w:lang w:val="en-US"/>
        </w:rPr>
      </w:pPr>
    </w:p>
    <w:p w14:paraId="06F968D9" w14:textId="74F2D6AF" w:rsidR="008D682A" w:rsidRPr="00976B70" w:rsidRDefault="008D682A" w:rsidP="00BC3249">
      <w:pPr>
        <w:autoSpaceDE w:val="0"/>
        <w:autoSpaceDN w:val="0"/>
        <w:adjustRightInd w:val="0"/>
        <w:spacing w:after="0"/>
        <w:jc w:val="center"/>
        <w:rPr>
          <w:rFonts w:cstheme="minorHAnsi"/>
          <w:i/>
          <w:sz w:val="18"/>
          <w:lang w:val="en-US"/>
        </w:rPr>
      </w:pPr>
      <w:r w:rsidRPr="00976B70">
        <w:rPr>
          <w:rFonts w:cstheme="minorHAnsi"/>
          <w:i/>
          <w:sz w:val="18"/>
          <w:lang w:val="en-US"/>
        </w:rPr>
        <w:t xml:space="preserve">Fig. S3: MALI prototype parts: A) basolateral chamber (on the right) and apical chamber (on the left) with </w:t>
      </w:r>
      <w:proofErr w:type="gramStart"/>
      <w:r w:rsidRPr="00976B70">
        <w:rPr>
          <w:rFonts w:cstheme="minorHAnsi"/>
          <w:i/>
          <w:sz w:val="18"/>
          <w:lang w:val="en-US"/>
        </w:rPr>
        <w:t>tubing,  B</w:t>
      </w:r>
      <w:proofErr w:type="gramEnd"/>
      <w:r w:rsidRPr="00976B70">
        <w:rPr>
          <w:rFonts w:cstheme="minorHAnsi"/>
          <w:i/>
          <w:sz w:val="18"/>
          <w:lang w:val="en-US"/>
        </w:rPr>
        <w:t xml:space="preserve">) PDMS hoops, C) PLA retaining ring (Dint= 25 mm, </w:t>
      </w:r>
      <w:proofErr w:type="spellStart"/>
      <w:r w:rsidRPr="00976B70">
        <w:rPr>
          <w:rFonts w:cstheme="minorHAnsi"/>
          <w:i/>
          <w:sz w:val="18"/>
          <w:lang w:val="en-US"/>
        </w:rPr>
        <w:t>Dext</w:t>
      </w:r>
      <w:proofErr w:type="spellEnd"/>
      <w:r w:rsidRPr="00976B70">
        <w:rPr>
          <w:rFonts w:cstheme="minorHAnsi"/>
          <w:i/>
          <w:sz w:val="18"/>
          <w:lang w:val="en-US"/>
        </w:rPr>
        <w:t xml:space="preserve"> = 29 mm).</w:t>
      </w:r>
    </w:p>
    <w:p w14:paraId="2937F12D" w14:textId="77777777" w:rsidR="008D682A" w:rsidRPr="00976B70" w:rsidRDefault="008D682A" w:rsidP="00BC3249">
      <w:pPr>
        <w:autoSpaceDE w:val="0"/>
        <w:autoSpaceDN w:val="0"/>
        <w:adjustRightInd w:val="0"/>
        <w:spacing w:after="0"/>
        <w:jc w:val="center"/>
        <w:rPr>
          <w:rFonts w:cstheme="minorHAnsi"/>
          <w:i/>
          <w:sz w:val="18"/>
          <w:lang w:val="en-US"/>
        </w:rPr>
      </w:pPr>
    </w:p>
    <w:p w14:paraId="622C027E" w14:textId="2A444A9A" w:rsidR="008D682A" w:rsidRPr="00976B70" w:rsidRDefault="008D682A" w:rsidP="00BC3249">
      <w:pPr>
        <w:autoSpaceDE w:val="0"/>
        <w:autoSpaceDN w:val="0"/>
        <w:adjustRightInd w:val="0"/>
        <w:spacing w:after="0"/>
        <w:jc w:val="both"/>
        <w:rPr>
          <w:rFonts w:cstheme="minorHAnsi"/>
          <w:sz w:val="21"/>
          <w:szCs w:val="21"/>
          <w:lang w:val="en-US"/>
        </w:rPr>
      </w:pPr>
      <w:r w:rsidRPr="00976B70">
        <w:rPr>
          <w:rFonts w:cstheme="minorHAnsi"/>
          <w:sz w:val="21"/>
          <w:szCs w:val="21"/>
          <w:lang w:val="en-US"/>
        </w:rPr>
        <w:t xml:space="preserve">The holder is composed of two 3D printed rings that hold the membrane (Figure S3C), embedded in two PDMS hoops coupled by a male-female joint (Figure S3B). An </w:t>
      </w:r>
      <w:proofErr w:type="spellStart"/>
      <w:r w:rsidRPr="00976B70">
        <w:rPr>
          <w:rFonts w:cstheme="minorHAnsi"/>
          <w:sz w:val="21"/>
          <w:szCs w:val="21"/>
          <w:lang w:val="en-US"/>
        </w:rPr>
        <w:t>Ultimaker</w:t>
      </w:r>
      <w:proofErr w:type="spellEnd"/>
      <w:r w:rsidRPr="00976B70">
        <w:rPr>
          <w:rFonts w:cstheme="minorHAnsi"/>
          <w:sz w:val="21"/>
          <w:szCs w:val="21"/>
          <w:lang w:val="en-US"/>
        </w:rPr>
        <w:t xml:space="preserve"> 3D printer (3D Printing, </w:t>
      </w:r>
      <w:proofErr w:type="spellStart"/>
      <w:r w:rsidRPr="00976B70">
        <w:rPr>
          <w:rFonts w:cstheme="minorHAnsi"/>
          <w:sz w:val="21"/>
          <w:szCs w:val="21"/>
          <w:lang w:val="en-US"/>
        </w:rPr>
        <w:t>Geldermalsen</w:t>
      </w:r>
      <w:proofErr w:type="spellEnd"/>
      <w:r w:rsidRPr="00976B70">
        <w:rPr>
          <w:rFonts w:cstheme="minorHAnsi"/>
          <w:sz w:val="21"/>
          <w:szCs w:val="21"/>
          <w:lang w:val="en-US"/>
        </w:rPr>
        <w:t xml:space="preserve">, Netherlands) was used to realize the polylactide acid (PLA) holding rings. </w:t>
      </w:r>
      <w:r w:rsidR="003744F7" w:rsidRPr="00976B70">
        <w:rPr>
          <w:rFonts w:cstheme="minorHAnsi"/>
          <w:sz w:val="21"/>
          <w:szCs w:val="21"/>
        </w:rPr>
        <w:t>In addition to ensuring no slippage of the membrane, the PLA rings enable easy handling of the membrane without touching or damaging it – particularly important during cell culture (see Section 3</w:t>
      </w:r>
      <w:r w:rsidR="005F436A" w:rsidRPr="00976B70">
        <w:rPr>
          <w:rFonts w:cstheme="minorHAnsi"/>
          <w:sz w:val="21"/>
          <w:szCs w:val="21"/>
        </w:rPr>
        <w:t>B&amp;E, main text</w:t>
      </w:r>
      <w:r w:rsidR="003744F7" w:rsidRPr="00976B70">
        <w:rPr>
          <w:rFonts w:cstheme="minorHAnsi"/>
          <w:sz w:val="21"/>
          <w:szCs w:val="21"/>
        </w:rPr>
        <w:t xml:space="preserve">).  </w:t>
      </w:r>
      <w:bookmarkStart w:id="0" w:name="_Hlk42966241"/>
      <w:r w:rsidR="003744F7" w:rsidRPr="00976B70">
        <w:rPr>
          <w:rFonts w:cstheme="minorHAnsi"/>
          <w:sz w:val="21"/>
          <w:szCs w:val="21"/>
        </w:rPr>
        <w:t>The PLA ring assembly with the membrane is lodged in a PDMS hoop and held in between the apical and basolateral chambers.</w:t>
      </w:r>
      <w:bookmarkEnd w:id="0"/>
      <w:r w:rsidR="003744F7" w:rsidRPr="00976B70">
        <w:rPr>
          <w:rFonts w:cstheme="minorHAnsi"/>
          <w:sz w:val="21"/>
          <w:szCs w:val="21"/>
        </w:rPr>
        <w:t xml:space="preserve"> As all three parts (basolateral chamber, membrane hoop and apical chamber) are made of PDMS, the self-adhesive properties of PDMS allow O-ring-free sealing by applying a small squeezing pressure. </w:t>
      </w:r>
      <w:r w:rsidRPr="00976B70">
        <w:rPr>
          <w:rFonts w:cstheme="minorHAnsi"/>
          <w:sz w:val="21"/>
          <w:szCs w:val="21"/>
          <w:lang w:val="en-US"/>
        </w:rPr>
        <w:t xml:space="preserve">In the </w:t>
      </w:r>
      <w:r w:rsidR="00B44D67" w:rsidRPr="00976B70">
        <w:rPr>
          <w:rFonts w:cstheme="minorHAnsi"/>
          <w:sz w:val="21"/>
          <w:szCs w:val="21"/>
          <w:lang w:val="en-US"/>
        </w:rPr>
        <w:t xml:space="preserve">final </w:t>
      </w:r>
      <w:r w:rsidRPr="00976B70">
        <w:rPr>
          <w:rFonts w:cstheme="minorHAnsi"/>
          <w:sz w:val="21"/>
          <w:szCs w:val="21"/>
          <w:lang w:val="en-US"/>
        </w:rPr>
        <w:t>configuratio</w:t>
      </w:r>
      <w:r w:rsidR="00B44D67" w:rsidRPr="00976B70">
        <w:rPr>
          <w:rFonts w:cstheme="minorHAnsi"/>
          <w:sz w:val="21"/>
          <w:szCs w:val="21"/>
          <w:lang w:val="en-US"/>
        </w:rPr>
        <w:t>n</w:t>
      </w:r>
      <w:r w:rsidRPr="00976B70">
        <w:rPr>
          <w:rFonts w:cstheme="minorHAnsi"/>
          <w:sz w:val="21"/>
          <w:szCs w:val="21"/>
          <w:lang w:val="en-US"/>
        </w:rPr>
        <w:t>, the membrane has a total area of 4.9 cm</w:t>
      </w:r>
      <w:r w:rsidRPr="00976B70">
        <w:rPr>
          <w:rFonts w:cstheme="minorHAnsi"/>
          <w:sz w:val="21"/>
          <w:szCs w:val="21"/>
          <w:vertAlign w:val="superscript"/>
          <w:lang w:val="en-US"/>
        </w:rPr>
        <w:t>2</w:t>
      </w:r>
      <w:r w:rsidRPr="00976B70">
        <w:rPr>
          <w:rFonts w:cstheme="minorHAnsi"/>
          <w:sz w:val="21"/>
          <w:szCs w:val="21"/>
          <w:lang w:val="en-US"/>
        </w:rPr>
        <w:t>, while the useful area for cell seeding is 4.2 cm</w:t>
      </w:r>
      <w:r w:rsidRPr="00976B70">
        <w:rPr>
          <w:rFonts w:cstheme="minorHAnsi"/>
          <w:sz w:val="21"/>
          <w:szCs w:val="21"/>
          <w:vertAlign w:val="superscript"/>
          <w:lang w:val="en-US"/>
        </w:rPr>
        <w:t>2</w:t>
      </w:r>
      <w:r w:rsidRPr="00976B70">
        <w:rPr>
          <w:rFonts w:cstheme="minorHAnsi"/>
          <w:sz w:val="21"/>
          <w:szCs w:val="21"/>
          <w:lang w:val="en-US"/>
        </w:rPr>
        <w:t>.</w:t>
      </w:r>
    </w:p>
    <w:p w14:paraId="4D688FFD" w14:textId="306DB15D" w:rsidR="008D682A" w:rsidRPr="00976B70" w:rsidRDefault="008D682A" w:rsidP="00BC3249">
      <w:pPr>
        <w:autoSpaceDE w:val="0"/>
        <w:autoSpaceDN w:val="0"/>
        <w:adjustRightInd w:val="0"/>
        <w:spacing w:after="0"/>
        <w:jc w:val="both"/>
        <w:rPr>
          <w:rFonts w:cstheme="minorHAnsi"/>
          <w:sz w:val="21"/>
          <w:szCs w:val="21"/>
          <w:lang w:val="en-US"/>
        </w:rPr>
      </w:pPr>
      <w:r w:rsidRPr="00976B70">
        <w:rPr>
          <w:rFonts w:cstheme="minorHAnsi"/>
          <w:sz w:val="21"/>
          <w:szCs w:val="21"/>
          <w:lang w:val="en-US"/>
        </w:rPr>
        <w:t>The chambers and the holder are held together by a 3D fabricated ABS</w:t>
      </w:r>
      <w:r w:rsidR="005F436A" w:rsidRPr="00976B70">
        <w:rPr>
          <w:rFonts w:cstheme="minorHAnsi"/>
          <w:sz w:val="21"/>
          <w:szCs w:val="21"/>
          <w:lang w:val="en-US"/>
        </w:rPr>
        <w:t xml:space="preserve"> </w:t>
      </w:r>
      <w:r w:rsidR="005F436A" w:rsidRPr="00976B70">
        <w:rPr>
          <w:rFonts w:cstheme="minorHAnsi"/>
          <w:sz w:val="21"/>
          <w:szCs w:val="21"/>
        </w:rPr>
        <w:t xml:space="preserve">(acrylonitrile butadiene styrene) </w:t>
      </w:r>
      <w:r w:rsidRPr="00976B70">
        <w:rPr>
          <w:rFonts w:cstheme="minorHAnsi"/>
          <w:sz w:val="21"/>
          <w:szCs w:val="21"/>
          <w:lang w:val="en-US"/>
        </w:rPr>
        <w:t>clamping system (</w:t>
      </w:r>
      <w:r w:rsidR="005F436A" w:rsidRPr="00976B70">
        <w:rPr>
          <w:rFonts w:cstheme="minorHAnsi"/>
          <w:sz w:val="21"/>
          <w:szCs w:val="21"/>
          <w:lang w:val="en-US"/>
        </w:rPr>
        <w:t xml:space="preserve">yellow parts, </w:t>
      </w:r>
      <w:r w:rsidRPr="00976B70">
        <w:rPr>
          <w:rFonts w:cstheme="minorHAnsi"/>
          <w:sz w:val="21"/>
          <w:szCs w:val="21"/>
          <w:lang w:val="en-US"/>
        </w:rPr>
        <w:t>Figure S4). It is composed of a base, where the bioreactor is housed, and a lid, which seals the bioreactor when the external parts are included into the base column’s buttonholes.</w:t>
      </w:r>
    </w:p>
    <w:p w14:paraId="7B3A1067" w14:textId="072FA968" w:rsidR="006838DD" w:rsidRPr="00976B70" w:rsidRDefault="006838DD" w:rsidP="00BC3249">
      <w:pPr>
        <w:autoSpaceDE w:val="0"/>
        <w:autoSpaceDN w:val="0"/>
        <w:adjustRightInd w:val="0"/>
        <w:spacing w:after="0"/>
        <w:jc w:val="both"/>
        <w:rPr>
          <w:rFonts w:cstheme="minorHAnsi"/>
          <w:sz w:val="21"/>
          <w:szCs w:val="21"/>
          <w:lang w:val="en-US"/>
        </w:rPr>
      </w:pPr>
    </w:p>
    <w:p w14:paraId="4A82B227" w14:textId="77777777" w:rsidR="007F5E3F" w:rsidRPr="00976B70" w:rsidRDefault="007F5E3F" w:rsidP="00BC3249">
      <w:pPr>
        <w:autoSpaceDE w:val="0"/>
        <w:autoSpaceDN w:val="0"/>
        <w:adjustRightInd w:val="0"/>
        <w:spacing w:after="0"/>
        <w:jc w:val="both"/>
        <w:rPr>
          <w:rFonts w:cstheme="minorHAnsi"/>
          <w:sz w:val="21"/>
          <w:szCs w:val="21"/>
          <w:lang w:val="en-US"/>
        </w:rPr>
      </w:pPr>
    </w:p>
    <w:p w14:paraId="25FC51F1" w14:textId="49B78F4A" w:rsidR="006838DD" w:rsidRPr="00976B70" w:rsidRDefault="00F04F23" w:rsidP="00C75888">
      <w:pPr>
        <w:autoSpaceDE w:val="0"/>
        <w:autoSpaceDN w:val="0"/>
        <w:adjustRightInd w:val="0"/>
        <w:spacing w:after="0"/>
        <w:jc w:val="center"/>
        <w:rPr>
          <w:rFonts w:cstheme="minorHAnsi"/>
          <w:sz w:val="21"/>
          <w:szCs w:val="21"/>
          <w:lang w:val="en-US"/>
        </w:rPr>
      </w:pPr>
      <w:r w:rsidRPr="00976B70">
        <w:rPr>
          <w:rFonts w:cstheme="minorHAnsi"/>
          <w:noProof/>
          <w:sz w:val="21"/>
          <w:szCs w:val="21"/>
          <w:lang w:val="en-US"/>
        </w:rPr>
        <w:drawing>
          <wp:inline distT="0" distB="0" distL="0" distR="0" wp14:anchorId="2200F542" wp14:editId="73993EA7">
            <wp:extent cx="1981200" cy="1900059"/>
            <wp:effectExtent l="0" t="0" r="0" b="5080"/>
            <wp:docPr id="12" name="Immagine 12" descr="Immagine che contiene interni, tavolo, sedendo, picc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4_300 dpi.tif"/>
                    <pic:cNvPicPr/>
                  </pic:nvPicPr>
                  <pic:blipFill>
                    <a:blip r:embed="rId11"/>
                    <a:stretch>
                      <a:fillRect/>
                    </a:stretch>
                  </pic:blipFill>
                  <pic:spPr>
                    <a:xfrm>
                      <a:off x="0" y="0"/>
                      <a:ext cx="2001562" cy="1919587"/>
                    </a:xfrm>
                    <a:prstGeom prst="rect">
                      <a:avLst/>
                    </a:prstGeom>
                  </pic:spPr>
                </pic:pic>
              </a:graphicData>
            </a:graphic>
          </wp:inline>
        </w:drawing>
      </w:r>
    </w:p>
    <w:p w14:paraId="3F68AC2F" w14:textId="65955867" w:rsidR="008D682A" w:rsidRPr="00976B70" w:rsidRDefault="008D682A" w:rsidP="00BC3249">
      <w:pPr>
        <w:autoSpaceDE w:val="0"/>
        <w:autoSpaceDN w:val="0"/>
        <w:adjustRightInd w:val="0"/>
        <w:spacing w:after="0"/>
        <w:jc w:val="center"/>
        <w:rPr>
          <w:rFonts w:cstheme="minorHAnsi"/>
          <w:lang w:val="en-US"/>
        </w:rPr>
      </w:pPr>
    </w:p>
    <w:p w14:paraId="2DA267A9" w14:textId="10D44059" w:rsidR="008D682A" w:rsidRPr="00976B70" w:rsidRDefault="008D682A" w:rsidP="00BC3249">
      <w:pPr>
        <w:autoSpaceDE w:val="0"/>
        <w:autoSpaceDN w:val="0"/>
        <w:adjustRightInd w:val="0"/>
        <w:spacing w:after="0"/>
        <w:jc w:val="center"/>
        <w:rPr>
          <w:rFonts w:cstheme="minorHAnsi"/>
          <w:i/>
          <w:sz w:val="18"/>
          <w:lang w:val="en-US"/>
        </w:rPr>
      </w:pPr>
      <w:r w:rsidRPr="00976B70">
        <w:rPr>
          <w:rFonts w:cstheme="minorHAnsi"/>
          <w:i/>
          <w:sz w:val="18"/>
          <w:lang w:val="en-US"/>
        </w:rPr>
        <w:t>Fig. S4: MALI bioreactor enclosed and sealed in the clamping system</w:t>
      </w:r>
      <w:r w:rsidR="00DC771A" w:rsidRPr="00976B70">
        <w:rPr>
          <w:rFonts w:cstheme="minorHAnsi"/>
          <w:i/>
          <w:sz w:val="18"/>
          <w:lang w:val="en-US"/>
        </w:rPr>
        <w:t>.</w:t>
      </w:r>
    </w:p>
    <w:p w14:paraId="4A6F770A" w14:textId="77777777" w:rsidR="008D682A" w:rsidRPr="00976B70" w:rsidRDefault="008D682A" w:rsidP="00BC3249">
      <w:pPr>
        <w:autoSpaceDE w:val="0"/>
        <w:autoSpaceDN w:val="0"/>
        <w:adjustRightInd w:val="0"/>
        <w:spacing w:after="0"/>
        <w:jc w:val="center"/>
        <w:rPr>
          <w:rFonts w:cstheme="minorHAnsi"/>
          <w:iCs/>
          <w:lang w:val="en-US"/>
        </w:rPr>
      </w:pPr>
    </w:p>
    <w:p w14:paraId="231FD0D6" w14:textId="1B0DF60F" w:rsidR="006B55DA" w:rsidRPr="00976B70" w:rsidRDefault="008D682A" w:rsidP="00BC3249">
      <w:pPr>
        <w:pStyle w:val="Text"/>
        <w:spacing w:line="276" w:lineRule="auto"/>
        <w:rPr>
          <w:rFonts w:asciiTheme="minorHAnsi" w:eastAsiaTheme="minorHAnsi" w:hAnsiTheme="minorHAnsi" w:cstheme="minorHAnsi"/>
          <w:iCs/>
          <w:sz w:val="21"/>
          <w:szCs w:val="21"/>
          <w:lang w:val="en-GB"/>
        </w:rPr>
      </w:pPr>
      <w:r w:rsidRPr="00976B70">
        <w:rPr>
          <w:rFonts w:asciiTheme="minorHAnsi" w:hAnsiTheme="minorHAnsi" w:cstheme="minorHAnsi"/>
          <w:iCs/>
          <w:sz w:val="21"/>
          <w:szCs w:val="21"/>
        </w:rPr>
        <w:t>The waterproofness of the bioreactor is guarantee by the clamping system and the use of PDMS, which is self-adhesive and deformable. The whole device (bioreactor and clamping system) can be sterilized by ethanol solution, gas plasma, or ultraviolet light.</w:t>
      </w:r>
      <w:r w:rsidR="006B55DA" w:rsidRPr="00976B70">
        <w:rPr>
          <w:rFonts w:asciiTheme="minorHAnsi" w:hAnsiTheme="minorHAnsi" w:cstheme="minorHAnsi"/>
          <w:iCs/>
          <w:sz w:val="21"/>
          <w:szCs w:val="21"/>
        </w:rPr>
        <w:t xml:space="preserve"> </w:t>
      </w:r>
      <w:r w:rsidR="006B55DA" w:rsidRPr="00976B70">
        <w:rPr>
          <w:rFonts w:asciiTheme="minorHAnsi" w:eastAsiaTheme="minorHAnsi" w:hAnsiTheme="minorHAnsi" w:cstheme="minorHAnsi"/>
          <w:iCs/>
          <w:sz w:val="21"/>
          <w:szCs w:val="21"/>
          <w:lang w:val="en-GB"/>
        </w:rPr>
        <w:t>All wetted parts of the MALI system were sterilized with 80% ethanol (Et</w:t>
      </w:r>
      <w:r w:rsidR="00DC771A" w:rsidRPr="00976B70">
        <w:rPr>
          <w:rFonts w:asciiTheme="minorHAnsi" w:eastAsiaTheme="minorHAnsi" w:hAnsiTheme="minorHAnsi" w:cstheme="minorHAnsi"/>
          <w:iCs/>
          <w:sz w:val="21"/>
          <w:szCs w:val="21"/>
          <w:lang w:val="en-GB"/>
        </w:rPr>
        <w:t>O</w:t>
      </w:r>
      <w:r w:rsidR="006B55DA" w:rsidRPr="00976B70">
        <w:rPr>
          <w:rFonts w:asciiTheme="minorHAnsi" w:eastAsiaTheme="minorHAnsi" w:hAnsiTheme="minorHAnsi" w:cstheme="minorHAnsi"/>
          <w:iCs/>
          <w:sz w:val="21"/>
          <w:szCs w:val="21"/>
          <w:lang w:val="en-GB"/>
        </w:rPr>
        <w:t xml:space="preserve">H) and ultraviolet light before the cell culture experiments. </w:t>
      </w:r>
    </w:p>
    <w:p w14:paraId="3136A0C3" w14:textId="65BE4143" w:rsidR="008D682A" w:rsidRPr="00976B70" w:rsidRDefault="008D682A" w:rsidP="00BC3249">
      <w:pPr>
        <w:autoSpaceDE w:val="0"/>
        <w:autoSpaceDN w:val="0"/>
        <w:adjustRightInd w:val="0"/>
        <w:spacing w:after="0"/>
        <w:jc w:val="both"/>
        <w:rPr>
          <w:rFonts w:cstheme="minorHAnsi"/>
          <w:iCs/>
          <w:sz w:val="21"/>
          <w:szCs w:val="21"/>
          <w:lang w:val="en-US"/>
        </w:rPr>
      </w:pPr>
      <w:r w:rsidRPr="00976B70">
        <w:rPr>
          <w:rFonts w:cstheme="minorHAnsi"/>
          <w:iCs/>
          <w:sz w:val="21"/>
          <w:szCs w:val="21"/>
          <w:lang w:val="en-US"/>
        </w:rPr>
        <w:t xml:space="preserve"> </w:t>
      </w:r>
      <w:r w:rsidR="006B55DA" w:rsidRPr="00976B70">
        <w:rPr>
          <w:rFonts w:cstheme="minorHAnsi"/>
          <w:iCs/>
          <w:sz w:val="21"/>
          <w:szCs w:val="21"/>
        </w:rPr>
        <w:t>As shown in Figure 1A (main text), the basolateral chamber is perfused with media through a closed loop circuit consisting of a peristaltic pump (</w:t>
      </w:r>
      <w:proofErr w:type="spellStart"/>
      <w:r w:rsidR="006B55DA" w:rsidRPr="00976B70">
        <w:rPr>
          <w:rFonts w:cstheme="minorHAnsi"/>
          <w:iCs/>
          <w:sz w:val="21"/>
          <w:szCs w:val="21"/>
        </w:rPr>
        <w:t>Ismatec</w:t>
      </w:r>
      <w:proofErr w:type="spellEnd"/>
      <w:r w:rsidR="006B55DA" w:rsidRPr="00976B70">
        <w:rPr>
          <w:rFonts w:cstheme="minorHAnsi"/>
          <w:iCs/>
          <w:sz w:val="21"/>
          <w:szCs w:val="21"/>
        </w:rPr>
        <w:t xml:space="preserve"> IPC 4, IDEX Health &amp; Science, Germany - component d in Figure 1A</w:t>
      </w:r>
      <w:r w:rsidR="005F436A" w:rsidRPr="00976B70">
        <w:rPr>
          <w:rFonts w:cstheme="minorHAnsi"/>
          <w:iCs/>
          <w:sz w:val="21"/>
          <w:szCs w:val="21"/>
        </w:rPr>
        <w:t xml:space="preserve">, </w:t>
      </w:r>
      <w:r w:rsidR="009C7EC7" w:rsidRPr="00976B70">
        <w:rPr>
          <w:rFonts w:cstheme="minorHAnsi"/>
          <w:iCs/>
          <w:sz w:val="21"/>
          <w:szCs w:val="21"/>
        </w:rPr>
        <w:t xml:space="preserve"> </w:t>
      </w:r>
      <w:r w:rsidR="006B55DA" w:rsidRPr="00976B70">
        <w:rPr>
          <w:rFonts w:cstheme="minorHAnsi"/>
          <w:iCs/>
          <w:sz w:val="21"/>
          <w:szCs w:val="21"/>
        </w:rPr>
        <w:t>main text)</w:t>
      </w:r>
      <w:r w:rsidR="009C7EC7" w:rsidRPr="00976B70">
        <w:rPr>
          <w:rFonts w:cstheme="minorHAnsi"/>
          <w:iCs/>
          <w:sz w:val="21"/>
          <w:szCs w:val="21"/>
        </w:rPr>
        <w:t xml:space="preserve"> </w:t>
      </w:r>
      <w:r w:rsidR="006B55DA" w:rsidRPr="00976B70">
        <w:rPr>
          <w:rFonts w:cstheme="minorHAnsi"/>
          <w:iCs/>
          <w:sz w:val="21"/>
          <w:szCs w:val="21"/>
        </w:rPr>
        <w:t>and a medium reservoir (a 40 mL polystyrene bottle, Falcon- component c in Figure 1A</w:t>
      </w:r>
      <w:r w:rsidR="005F436A" w:rsidRPr="00976B70">
        <w:rPr>
          <w:rFonts w:cstheme="minorHAnsi"/>
          <w:iCs/>
          <w:sz w:val="21"/>
          <w:szCs w:val="21"/>
        </w:rPr>
        <w:t>,</w:t>
      </w:r>
      <w:r w:rsidR="009C7EC7" w:rsidRPr="00976B70">
        <w:rPr>
          <w:rFonts w:cstheme="minorHAnsi"/>
          <w:iCs/>
          <w:sz w:val="21"/>
          <w:szCs w:val="21"/>
        </w:rPr>
        <w:t xml:space="preserve"> </w:t>
      </w:r>
      <w:r w:rsidR="006B55DA" w:rsidRPr="00976B70">
        <w:rPr>
          <w:rFonts w:cstheme="minorHAnsi"/>
          <w:iCs/>
          <w:sz w:val="21"/>
          <w:szCs w:val="21"/>
        </w:rPr>
        <w:t>main text) all connected by 1 mm id silicone tubing. The flow rate is typically set to 0.4 mL/min</w:t>
      </w:r>
      <w:r w:rsidR="00AE533B" w:rsidRPr="00976B70">
        <w:rPr>
          <w:rFonts w:cstheme="minorHAnsi"/>
          <w:iCs/>
          <w:sz w:val="21"/>
          <w:szCs w:val="21"/>
        </w:rPr>
        <w:t xml:space="preserve"> </w:t>
      </w:r>
      <w:r w:rsidR="006B55DA" w:rsidRPr="00976B70">
        <w:rPr>
          <w:rFonts w:cstheme="minorHAnsi"/>
          <w:iCs/>
          <w:sz w:val="21"/>
          <w:szCs w:val="21"/>
        </w:rPr>
        <w:fldChar w:fldCharType="begin" w:fldLock="1"/>
      </w:r>
      <w:r w:rsidR="00E66933" w:rsidRPr="00976B70">
        <w:rPr>
          <w:rFonts w:cstheme="minorHAnsi"/>
          <w:iCs/>
          <w:sz w:val="21"/>
          <w:szCs w:val="21"/>
        </w:rPr>
        <w:instrText>ADDIN CSL_CITATION {"citationItems":[{"id":"ITEM-1","itemData":{"DOI":"10.1002/bit.22671","ISBN":"0006-3592","ISSN":"00063592","PMID":"20091740","abstract":"A generic \"system on a plate\" modular multicompartmental bioreactor array which enables microwell protocols to be transferred directly to the bioreactor modules, without redesign of cell culture experiments or protocols is described. The modular bioreactors are simple to assemble and use and can be easily compared with standard controls since cell numbers and medium volumes are quite similar. Starting from fluid dynamic and mass transport considerations, a modular bioreactor chamber was first modeled and then fabricated using \"milli-molding,\" a technique adapted from soft lithography. After confirming that the shear stress was extremely low in the system in the range of useful flow rates, the bioreactor chambers were tested using hepatocytes. The results show that the bioreactor chambers can increase or maintain cell viability and function when the flow rates are below 500 microL/min, corresponding to wall shear stresses of 10(-5) Pa or less at the cell culture surface.","author":[{"dropping-particle":"","family":"Mazzei","given":"D.","non-dropping-particle":"","parse-names":false,"suffix":""},{"dropping-particle":"","family":"Guzzardi","given":"M.A.","non-dropping-particle":"","parse-names":false,"suffix":""},{"dropping-particle":"","family":"Giusti","given":"S.","non-dropping-particle":"","parse-names":false,"suffix":""},{"dropping-particle":"","family":"Ahluwalia","given":"A.","non-dropping-particle":"","parse-names":false,"suffix":""}],"container-title":"Biotechnology and Bioengineering","id":"ITEM-1","issue":"1","issued":{"date-parts":[["2010"]]},"page":"n/a-n/a","title":"A low shear stress modular bioreactor for connected cell culture under high flow rates","type":"article-journal","volume":"106"},"uris":["http://www.mendeley.com/documents/?uuid=8adfb0da-f27a-4da0-a4ff-e7ddbd5f235d"]}],"mendeley":{"formattedCitation":"(Mazzei et al., 2010)","plainTextFormattedCitation":"(Mazzei et al., 2010)","previouslyFormattedCitation":"(Mazzei et al., 2010)"},"properties":{"noteIndex":0},"schema":"https://github.com/citation-style-language/schema/raw/master/csl-citation.json"}</w:instrText>
      </w:r>
      <w:r w:rsidR="006B55DA" w:rsidRPr="00976B70">
        <w:rPr>
          <w:rFonts w:cstheme="minorHAnsi"/>
          <w:iCs/>
          <w:sz w:val="21"/>
          <w:szCs w:val="21"/>
        </w:rPr>
        <w:fldChar w:fldCharType="separate"/>
      </w:r>
      <w:r w:rsidR="006B55DA" w:rsidRPr="00976B70">
        <w:rPr>
          <w:rFonts w:cstheme="minorHAnsi"/>
          <w:iCs/>
          <w:noProof/>
          <w:sz w:val="21"/>
          <w:szCs w:val="21"/>
        </w:rPr>
        <w:t>(Mazzei et al., 2010)</w:t>
      </w:r>
      <w:r w:rsidR="006B55DA" w:rsidRPr="00976B70">
        <w:rPr>
          <w:rFonts w:cstheme="minorHAnsi"/>
          <w:iCs/>
          <w:sz w:val="21"/>
          <w:szCs w:val="21"/>
        </w:rPr>
        <w:fldChar w:fldCharType="end"/>
      </w:r>
      <w:r w:rsidR="006B55DA" w:rsidRPr="00976B70">
        <w:rPr>
          <w:rFonts w:cstheme="minorHAnsi"/>
          <w:iCs/>
          <w:sz w:val="21"/>
          <w:szCs w:val="21"/>
        </w:rPr>
        <w:t xml:space="preserve"> and the whole basolateral circuit contains 10 mL of medium.  For mechanical activation of the membrane, two electro-pneumatic regulators (ITV0010-2BL-Q, SMC, Italy - component e in </w:t>
      </w:r>
      <w:proofErr w:type="gramStart"/>
      <w:r w:rsidR="006B55DA" w:rsidRPr="00976B70">
        <w:rPr>
          <w:rFonts w:cstheme="minorHAnsi"/>
          <w:iCs/>
          <w:sz w:val="21"/>
          <w:szCs w:val="21"/>
        </w:rPr>
        <w:t xml:space="preserve">Figure </w:t>
      </w:r>
      <w:r w:rsidR="005F436A" w:rsidRPr="00976B70">
        <w:rPr>
          <w:rFonts w:cstheme="minorHAnsi"/>
          <w:iCs/>
          <w:sz w:val="21"/>
          <w:szCs w:val="21"/>
        </w:rPr>
        <w:t>,</w:t>
      </w:r>
      <w:proofErr w:type="gramEnd"/>
      <w:r w:rsidR="005F436A" w:rsidRPr="00976B70">
        <w:rPr>
          <w:rFonts w:cstheme="minorHAnsi"/>
          <w:iCs/>
          <w:sz w:val="21"/>
          <w:szCs w:val="21"/>
        </w:rPr>
        <w:t xml:space="preserve"> main text</w:t>
      </w:r>
      <w:r w:rsidR="006B55DA" w:rsidRPr="00976B70">
        <w:rPr>
          <w:rFonts w:cstheme="minorHAnsi"/>
          <w:iCs/>
          <w:sz w:val="21"/>
          <w:szCs w:val="21"/>
        </w:rPr>
        <w:t xml:space="preserve">) controlled by a microcontroller (Arduino Uno board with additional PCB board, Arduino, Turin, Italy) were connected to a compressed air supply (house air between 0.001 and 0.1 MPa) and to ambient air allowing for cyclic pressure variations. </w:t>
      </w:r>
      <w:bookmarkStart w:id="1" w:name="_Hlk43219638"/>
      <w:r w:rsidR="006B55DA" w:rsidRPr="00976B70">
        <w:rPr>
          <w:rFonts w:cstheme="minorHAnsi"/>
          <w:iCs/>
          <w:sz w:val="21"/>
          <w:szCs w:val="21"/>
        </w:rPr>
        <w:t>The residual air volume is compressible, which allows for direct measurement of the degree of stretching of the membrane during pressure activation using a differential pressure sensor (component f in Figure 1A</w:t>
      </w:r>
      <w:r w:rsidR="005F436A" w:rsidRPr="00976B70">
        <w:rPr>
          <w:rFonts w:cstheme="minorHAnsi"/>
          <w:iCs/>
          <w:sz w:val="21"/>
          <w:szCs w:val="21"/>
        </w:rPr>
        <w:t>, main text</w:t>
      </w:r>
      <w:r w:rsidR="006B55DA" w:rsidRPr="00976B70">
        <w:rPr>
          <w:rFonts w:cstheme="minorHAnsi"/>
          <w:iCs/>
          <w:sz w:val="21"/>
          <w:szCs w:val="21"/>
        </w:rPr>
        <w:t xml:space="preserve"> - MPX5050, Freescale Semiconductor, Munich, Germany).</w:t>
      </w:r>
    </w:p>
    <w:bookmarkEnd w:id="1"/>
    <w:p w14:paraId="17C2226C" w14:textId="77777777" w:rsidR="008D682A" w:rsidRPr="00976B70" w:rsidRDefault="008D682A" w:rsidP="00BC3249">
      <w:pPr>
        <w:pStyle w:val="Heading2"/>
        <w:spacing w:line="276" w:lineRule="auto"/>
        <w:rPr>
          <w:rFonts w:asciiTheme="minorHAnsi" w:hAnsiTheme="minorHAnsi" w:cstheme="minorHAnsi"/>
          <w:smallCaps/>
          <w:sz w:val="21"/>
          <w:szCs w:val="21"/>
        </w:rPr>
      </w:pPr>
      <w:r w:rsidRPr="00976B70">
        <w:rPr>
          <w:rFonts w:asciiTheme="minorHAnsi" w:hAnsiTheme="minorHAnsi" w:cstheme="minorHAnsi"/>
          <w:sz w:val="21"/>
          <w:szCs w:val="21"/>
        </w:rPr>
        <w:t>Control System</w:t>
      </w:r>
    </w:p>
    <w:p w14:paraId="0DAF4AF3" w14:textId="6591ED38" w:rsidR="008D682A" w:rsidRPr="00976B70" w:rsidRDefault="008D682A" w:rsidP="00BC3249">
      <w:pPr>
        <w:spacing w:after="0"/>
        <w:jc w:val="both"/>
        <w:rPr>
          <w:sz w:val="21"/>
          <w:szCs w:val="21"/>
        </w:rPr>
      </w:pPr>
      <w:r w:rsidRPr="00976B70">
        <w:rPr>
          <w:sz w:val="21"/>
          <w:szCs w:val="21"/>
        </w:rPr>
        <w:t>A control box was designed for containing all the components that regulate the membrane distension and the fluid flow, i.e. for the hardware for the control of both hydraulic and pneumatic circuits.</w:t>
      </w:r>
      <w:r w:rsidR="0065427B" w:rsidRPr="00976B70">
        <w:rPr>
          <w:sz w:val="21"/>
          <w:szCs w:val="21"/>
        </w:rPr>
        <w:t xml:space="preserve"> </w:t>
      </w:r>
      <w:r w:rsidR="0070507D" w:rsidRPr="00976B70">
        <w:rPr>
          <w:sz w:val="21"/>
          <w:szCs w:val="21"/>
        </w:rPr>
        <w:t xml:space="preserve">Currently, the system can monitor and control 2 bioreactors (2 membranes) at the same time, but it can be expanded to allow for multiplexed membrane exposure. </w:t>
      </w:r>
      <w:r w:rsidR="0065427B" w:rsidRPr="00976B70">
        <w:rPr>
          <w:sz w:val="21"/>
          <w:szCs w:val="21"/>
        </w:rPr>
        <w:t>The main limitation to adding more bioreactors is the requirement for additional pumps or multiple pump heads.</w:t>
      </w:r>
    </w:p>
    <w:p w14:paraId="5AB31DEB" w14:textId="3F7A83BD" w:rsidR="00B519ED" w:rsidRPr="00976B70" w:rsidRDefault="008D682A" w:rsidP="00BC3249">
      <w:pPr>
        <w:spacing w:after="0"/>
        <w:jc w:val="both"/>
        <w:rPr>
          <w:rFonts w:cstheme="minorHAnsi"/>
          <w:sz w:val="21"/>
          <w:szCs w:val="21"/>
        </w:rPr>
      </w:pPr>
      <w:r w:rsidRPr="00976B70">
        <w:rPr>
          <w:sz w:val="21"/>
          <w:szCs w:val="21"/>
        </w:rPr>
        <w:t>A dedicated microprocessor manages the cyclic inflow and outflow of compressed air in the apical chamber, while a user-friendly interface allows the control of stretching entity. The control system can be divided into four different parts (Figure S5):</w:t>
      </w:r>
      <w:r w:rsidR="00B519ED" w:rsidRPr="00976B70">
        <w:rPr>
          <w:rFonts w:cstheme="minorHAnsi"/>
          <w:sz w:val="21"/>
          <w:szCs w:val="21"/>
        </w:rPr>
        <w:t xml:space="preserve"> </w:t>
      </w:r>
    </w:p>
    <w:p w14:paraId="264A2D00" w14:textId="77777777" w:rsidR="008D682A" w:rsidRPr="00976B70" w:rsidRDefault="008D682A" w:rsidP="00BC3249">
      <w:pPr>
        <w:pStyle w:val="ListParagraph"/>
        <w:numPr>
          <w:ilvl w:val="0"/>
          <w:numId w:val="2"/>
        </w:numPr>
        <w:jc w:val="both"/>
        <w:rPr>
          <w:sz w:val="21"/>
          <w:szCs w:val="21"/>
        </w:rPr>
      </w:pPr>
      <w:r w:rsidRPr="00976B70">
        <w:rPr>
          <w:i/>
          <w:sz w:val="21"/>
          <w:szCs w:val="21"/>
        </w:rPr>
        <w:t>a controlled pressure air circuit</w:t>
      </w:r>
      <w:r w:rsidRPr="00976B70">
        <w:rPr>
          <w:sz w:val="21"/>
          <w:szCs w:val="21"/>
        </w:rPr>
        <w:t>: for controlled air injection to stretch the membrane, with a controller board and a dedicated microcontroller;</w:t>
      </w:r>
    </w:p>
    <w:p w14:paraId="06AD21AF" w14:textId="77777777" w:rsidR="008D682A" w:rsidRPr="00976B70" w:rsidRDefault="008D682A" w:rsidP="00BC3249">
      <w:pPr>
        <w:pStyle w:val="ListParagraph"/>
        <w:numPr>
          <w:ilvl w:val="0"/>
          <w:numId w:val="2"/>
        </w:numPr>
        <w:jc w:val="both"/>
        <w:rPr>
          <w:sz w:val="21"/>
          <w:szCs w:val="21"/>
        </w:rPr>
      </w:pPr>
      <w:r w:rsidRPr="00976B70">
        <w:rPr>
          <w:i/>
          <w:sz w:val="21"/>
          <w:szCs w:val="21"/>
        </w:rPr>
        <w:t>a peristaltic pump</w:t>
      </w:r>
      <w:r w:rsidRPr="00976B70">
        <w:rPr>
          <w:sz w:val="21"/>
          <w:szCs w:val="21"/>
        </w:rPr>
        <w:t>: for fluid flow in the basolateral chamber;</w:t>
      </w:r>
    </w:p>
    <w:p w14:paraId="3AF1F165" w14:textId="5AF657D7" w:rsidR="008D682A" w:rsidRPr="00976B70" w:rsidRDefault="008D682A" w:rsidP="00BC3249">
      <w:pPr>
        <w:pStyle w:val="ListParagraph"/>
        <w:numPr>
          <w:ilvl w:val="0"/>
          <w:numId w:val="2"/>
        </w:numPr>
        <w:jc w:val="both"/>
        <w:rPr>
          <w:sz w:val="21"/>
          <w:szCs w:val="21"/>
        </w:rPr>
      </w:pPr>
      <w:r w:rsidRPr="00976B70">
        <w:rPr>
          <w:i/>
          <w:sz w:val="21"/>
          <w:szCs w:val="21"/>
        </w:rPr>
        <w:t>a liquid reservoir</w:t>
      </w:r>
      <w:r w:rsidRPr="00976B70">
        <w:rPr>
          <w:sz w:val="21"/>
          <w:szCs w:val="21"/>
        </w:rPr>
        <w:t>: used as a liquid reserve and oxygen exchange point, for evaluating membrane displacement through the measurement of air pressure;</w:t>
      </w:r>
    </w:p>
    <w:p w14:paraId="6EC679B8" w14:textId="77777777" w:rsidR="008D682A" w:rsidRPr="00976B70" w:rsidRDefault="008D682A" w:rsidP="00BC3249">
      <w:pPr>
        <w:pStyle w:val="ListParagraph"/>
        <w:numPr>
          <w:ilvl w:val="0"/>
          <w:numId w:val="2"/>
        </w:numPr>
        <w:spacing w:after="0"/>
        <w:jc w:val="both"/>
        <w:rPr>
          <w:sz w:val="21"/>
          <w:szCs w:val="21"/>
        </w:rPr>
      </w:pPr>
      <w:r w:rsidRPr="00976B70">
        <w:rPr>
          <w:i/>
          <w:sz w:val="21"/>
          <w:szCs w:val="21"/>
        </w:rPr>
        <w:t>a user interface</w:t>
      </w:r>
      <w:r w:rsidRPr="00976B70">
        <w:rPr>
          <w:sz w:val="21"/>
          <w:szCs w:val="21"/>
        </w:rPr>
        <w:t>: a user-friendly analogue interface to control test parameters and performance.</w:t>
      </w:r>
    </w:p>
    <w:p w14:paraId="4F38735E" w14:textId="7D944007" w:rsidR="008D682A" w:rsidRPr="00976B70" w:rsidRDefault="008D682A" w:rsidP="00BC3249">
      <w:pPr>
        <w:ind w:left="170"/>
        <w:jc w:val="both"/>
        <w:rPr>
          <w:sz w:val="21"/>
          <w:szCs w:val="21"/>
        </w:rPr>
      </w:pPr>
      <w:r w:rsidRPr="00976B70">
        <w:rPr>
          <w:sz w:val="21"/>
          <w:szCs w:val="21"/>
        </w:rPr>
        <w:t>Each part was designed and validated before connecting to the whole system.</w:t>
      </w:r>
    </w:p>
    <w:p w14:paraId="3B6957D6" w14:textId="7763E986" w:rsidR="006838DD" w:rsidRPr="00976B70" w:rsidRDefault="006838DD" w:rsidP="00C75888">
      <w:pPr>
        <w:ind w:left="170"/>
        <w:jc w:val="center"/>
        <w:rPr>
          <w:sz w:val="21"/>
          <w:szCs w:val="21"/>
        </w:rPr>
      </w:pPr>
      <w:r w:rsidRPr="00976B70">
        <w:rPr>
          <w:noProof/>
          <w:sz w:val="21"/>
          <w:szCs w:val="21"/>
        </w:rPr>
        <w:drawing>
          <wp:inline distT="0" distB="0" distL="0" distR="0" wp14:anchorId="4F02BB3B" wp14:editId="4D362729">
            <wp:extent cx="4384755" cy="2743200"/>
            <wp:effectExtent l="0" t="0" r="0" b="0"/>
            <wp:docPr id="8" name="Immagine 8" descr="Immagine che contiene circui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5_600 dpi.tif"/>
                    <pic:cNvPicPr/>
                  </pic:nvPicPr>
                  <pic:blipFill>
                    <a:blip r:embed="rId12"/>
                    <a:stretch>
                      <a:fillRect/>
                    </a:stretch>
                  </pic:blipFill>
                  <pic:spPr>
                    <a:xfrm>
                      <a:off x="0" y="0"/>
                      <a:ext cx="4403432" cy="2754885"/>
                    </a:xfrm>
                    <a:prstGeom prst="rect">
                      <a:avLst/>
                    </a:prstGeom>
                  </pic:spPr>
                </pic:pic>
              </a:graphicData>
            </a:graphic>
          </wp:inline>
        </w:drawing>
      </w:r>
    </w:p>
    <w:p w14:paraId="43AEA9CD" w14:textId="3524D84B" w:rsidR="008D682A" w:rsidRPr="00976B70" w:rsidRDefault="008D682A" w:rsidP="00BC3249">
      <w:pPr>
        <w:spacing w:after="0"/>
        <w:jc w:val="center"/>
      </w:pPr>
    </w:p>
    <w:p w14:paraId="1EB4F059" w14:textId="497E6422" w:rsidR="008D682A" w:rsidRPr="00976B70" w:rsidRDefault="008D682A" w:rsidP="00BC3249">
      <w:pPr>
        <w:jc w:val="center"/>
        <w:rPr>
          <w:i/>
          <w:sz w:val="18"/>
        </w:rPr>
      </w:pPr>
      <w:r w:rsidRPr="00976B70">
        <w:rPr>
          <w:i/>
          <w:sz w:val="18"/>
        </w:rPr>
        <w:t>Fig. S5: Schematic of the control box layout</w:t>
      </w:r>
      <w:r w:rsidR="00DC771A" w:rsidRPr="00976B70">
        <w:rPr>
          <w:i/>
          <w:sz w:val="18"/>
        </w:rPr>
        <w:t>.</w:t>
      </w:r>
    </w:p>
    <w:p w14:paraId="064730A6" w14:textId="599D44D3" w:rsidR="006B55DA" w:rsidRPr="00976B70" w:rsidRDefault="006B55DA" w:rsidP="00BC3249">
      <w:pPr>
        <w:pStyle w:val="Heading2"/>
        <w:spacing w:line="276" w:lineRule="auto"/>
        <w:rPr>
          <w:rFonts w:asciiTheme="minorHAnsi" w:hAnsiTheme="minorHAnsi" w:cstheme="minorHAnsi"/>
          <w:sz w:val="21"/>
          <w:szCs w:val="21"/>
        </w:rPr>
      </w:pPr>
      <w:r w:rsidRPr="00976B70">
        <w:rPr>
          <w:rFonts w:asciiTheme="minorHAnsi" w:hAnsiTheme="minorHAnsi" w:cstheme="minorHAnsi"/>
          <w:sz w:val="21"/>
          <w:szCs w:val="21"/>
        </w:rPr>
        <w:t>Membrane preparation and cell culture</w:t>
      </w:r>
    </w:p>
    <w:p w14:paraId="4B8D3621" w14:textId="1E956009" w:rsidR="008C103A" w:rsidRPr="00976B70" w:rsidRDefault="006B55DA" w:rsidP="00BC3249">
      <w:pPr>
        <w:pStyle w:val="Text"/>
        <w:spacing w:line="276" w:lineRule="auto"/>
        <w:rPr>
          <w:rFonts w:asciiTheme="minorHAnsi" w:eastAsiaTheme="minorHAnsi" w:hAnsiTheme="minorHAnsi" w:cstheme="minorHAnsi"/>
          <w:sz w:val="21"/>
          <w:szCs w:val="21"/>
          <w:lang w:val="en-GB"/>
        </w:rPr>
      </w:pPr>
      <w:r w:rsidRPr="00976B70">
        <w:rPr>
          <w:rFonts w:asciiTheme="minorHAnsi" w:hAnsiTheme="minorHAnsi" w:cstheme="minorHAnsi"/>
          <w:sz w:val="21"/>
          <w:szCs w:val="21"/>
        </w:rPr>
        <w:t xml:space="preserve">The membranes </w:t>
      </w:r>
      <w:r w:rsidR="0065427B" w:rsidRPr="00976B70">
        <w:rPr>
          <w:rFonts w:asciiTheme="minorHAnsi" w:hAnsiTheme="minorHAnsi" w:cstheme="minorHAnsi"/>
          <w:sz w:val="21"/>
          <w:szCs w:val="21"/>
        </w:rPr>
        <w:t xml:space="preserve">used in this work </w:t>
      </w:r>
      <w:r w:rsidRPr="00976B70">
        <w:rPr>
          <w:rFonts w:asciiTheme="minorHAnsi" w:hAnsiTheme="minorHAnsi" w:cstheme="minorHAnsi"/>
          <w:sz w:val="21"/>
          <w:szCs w:val="21"/>
        </w:rPr>
        <w:t>were hydrophobic and not cell adhesive in their pristine state. Thus, prior to</w:t>
      </w:r>
      <w:r w:rsidR="00E26B20" w:rsidRPr="00976B70">
        <w:rPr>
          <w:rFonts w:asciiTheme="minorHAnsi" w:hAnsiTheme="minorHAnsi" w:cstheme="minorHAnsi"/>
          <w:sz w:val="21"/>
          <w:szCs w:val="21"/>
        </w:rPr>
        <w:t xml:space="preserve"> coating with an adhesive layer and</w:t>
      </w:r>
      <w:r w:rsidRPr="00976B70">
        <w:rPr>
          <w:rFonts w:asciiTheme="minorHAnsi" w:hAnsiTheme="minorHAnsi" w:cstheme="minorHAnsi"/>
          <w:sz w:val="21"/>
          <w:szCs w:val="21"/>
        </w:rPr>
        <w:t xml:space="preserve"> seeding with cells</w:t>
      </w:r>
      <w:r w:rsidR="00E26B20" w:rsidRPr="00976B70">
        <w:rPr>
          <w:rFonts w:asciiTheme="minorHAnsi" w:hAnsiTheme="minorHAnsi" w:cstheme="minorHAnsi"/>
          <w:sz w:val="21"/>
          <w:szCs w:val="21"/>
        </w:rPr>
        <w:t xml:space="preserve">, the </w:t>
      </w:r>
      <w:proofErr w:type="spellStart"/>
      <w:r w:rsidR="00E26B20" w:rsidRPr="00976B70">
        <w:rPr>
          <w:rFonts w:asciiTheme="minorHAnsi" w:hAnsiTheme="minorHAnsi" w:cstheme="minorHAnsi"/>
          <w:sz w:val="21"/>
          <w:szCs w:val="21"/>
        </w:rPr>
        <w:t>Bionate</w:t>
      </w:r>
      <w:proofErr w:type="spellEnd"/>
      <w:r w:rsidR="00A87AD1" w:rsidRPr="00976B70">
        <w:rPr>
          <w:rFonts w:asciiTheme="minorHAnsi" w:hAnsiTheme="minorHAnsi" w:cstheme="minorHAnsi"/>
          <w:sz w:val="21"/>
          <w:szCs w:val="21"/>
        </w:rPr>
        <w:t>®</w:t>
      </w:r>
      <w:r w:rsidR="00E26B20" w:rsidRPr="00976B70">
        <w:rPr>
          <w:rFonts w:asciiTheme="minorHAnsi" w:hAnsiTheme="minorHAnsi" w:cstheme="minorHAnsi"/>
          <w:sz w:val="21"/>
          <w:szCs w:val="21"/>
        </w:rPr>
        <w:t xml:space="preserve"> membranes mounted in the rings were rendered hydrophilic by dipping in 40% EtOH and then sterilized in 80% EtOH for 15 min followed by 15 min exposure to UV light on both sides, as instructed by the manufacturer. To promote cell adhesion and spreading, the membranes were then coated were coated with 1.72 mg/mL </w:t>
      </w:r>
      <w:proofErr w:type="spellStart"/>
      <w:r w:rsidR="00E26B20" w:rsidRPr="00976B70">
        <w:rPr>
          <w:rFonts w:asciiTheme="minorHAnsi" w:hAnsiTheme="minorHAnsi" w:cstheme="minorHAnsi"/>
          <w:sz w:val="21"/>
          <w:szCs w:val="21"/>
        </w:rPr>
        <w:t>MatriGel</w:t>
      </w:r>
      <w:proofErr w:type="spellEnd"/>
      <w:r w:rsidR="00E26B20" w:rsidRPr="00976B70">
        <w:rPr>
          <w:rFonts w:asciiTheme="minorHAnsi" w:hAnsiTheme="minorHAnsi" w:cstheme="minorHAnsi"/>
          <w:sz w:val="21"/>
          <w:szCs w:val="21"/>
        </w:rPr>
        <w:t xml:space="preserve"> (Corning, cat. # 356234, Kaiserslautern, Germany) which contains components present in the alveolar basal lamina.</w:t>
      </w:r>
      <w:r w:rsidR="008C103A" w:rsidRPr="00976B70">
        <w:rPr>
          <w:rFonts w:asciiTheme="minorHAnsi" w:hAnsiTheme="minorHAnsi" w:cstheme="minorHAnsi"/>
          <w:sz w:val="21"/>
          <w:szCs w:val="21"/>
        </w:rPr>
        <w:t xml:space="preserve"> </w:t>
      </w:r>
      <w:r w:rsidR="00E26B20" w:rsidRPr="00976B70">
        <w:rPr>
          <w:rFonts w:asciiTheme="minorHAnsi" w:hAnsiTheme="minorHAnsi" w:cstheme="minorHAnsi"/>
          <w:sz w:val="21"/>
          <w:szCs w:val="21"/>
        </w:rPr>
        <w:t>Specifically,</w:t>
      </w:r>
      <w:r w:rsidRPr="00976B70">
        <w:rPr>
          <w:rFonts w:asciiTheme="minorHAnsi" w:hAnsiTheme="minorHAnsi" w:cstheme="minorHAnsi"/>
          <w:sz w:val="21"/>
          <w:szCs w:val="21"/>
        </w:rPr>
        <w:t xml:space="preserve"> </w:t>
      </w:r>
      <w:proofErr w:type="spellStart"/>
      <w:r w:rsidRPr="00976B70">
        <w:rPr>
          <w:rFonts w:asciiTheme="minorHAnsi" w:hAnsiTheme="minorHAnsi" w:cstheme="minorHAnsi"/>
          <w:sz w:val="21"/>
          <w:szCs w:val="21"/>
        </w:rPr>
        <w:t>MatriGel</w:t>
      </w:r>
      <w:proofErr w:type="spellEnd"/>
      <w:r w:rsidRPr="00976B70">
        <w:rPr>
          <w:rFonts w:asciiTheme="minorHAnsi" w:hAnsiTheme="minorHAnsi" w:cstheme="minorHAnsi"/>
          <w:sz w:val="21"/>
          <w:szCs w:val="21"/>
        </w:rPr>
        <w:t xml:space="preserve"> was thawed in the refrigerator (4°C) overnight and diluted to a protein concentration of 1.72 mg/mL with medium (DMEM, serum-free</w:t>
      </w:r>
      <w:r w:rsidR="002E36A8" w:rsidRPr="00976B70">
        <w:rPr>
          <w:rFonts w:asciiTheme="minorHAnsi" w:hAnsiTheme="minorHAnsi" w:cstheme="minorHAnsi"/>
          <w:sz w:val="21"/>
          <w:szCs w:val="21"/>
        </w:rPr>
        <w:t>, Invitrogen, Germany</w:t>
      </w:r>
      <w:r w:rsidRPr="00976B70">
        <w:rPr>
          <w:rFonts w:asciiTheme="minorHAnsi" w:hAnsiTheme="minorHAnsi" w:cstheme="minorHAnsi"/>
          <w:sz w:val="21"/>
          <w:szCs w:val="21"/>
        </w:rPr>
        <w:t xml:space="preserve">) to ensure a uniform coating on all </w:t>
      </w:r>
      <w:r w:rsidR="00DC771A" w:rsidRPr="00976B70">
        <w:rPr>
          <w:rFonts w:asciiTheme="minorHAnsi" w:hAnsiTheme="minorHAnsi" w:cstheme="minorHAnsi"/>
          <w:sz w:val="21"/>
          <w:szCs w:val="21"/>
        </w:rPr>
        <w:t>fibers</w:t>
      </w:r>
      <w:r w:rsidRPr="00976B70">
        <w:rPr>
          <w:rFonts w:asciiTheme="minorHAnsi" w:hAnsiTheme="minorHAnsi" w:cstheme="minorHAnsi"/>
          <w:sz w:val="21"/>
          <w:szCs w:val="21"/>
        </w:rPr>
        <w:t xml:space="preserve"> of the </w:t>
      </w:r>
      <w:proofErr w:type="spellStart"/>
      <w:r w:rsidRPr="00976B70">
        <w:rPr>
          <w:rFonts w:asciiTheme="minorHAnsi" w:hAnsiTheme="minorHAnsi" w:cstheme="minorHAnsi"/>
          <w:sz w:val="21"/>
          <w:szCs w:val="21"/>
        </w:rPr>
        <w:t>Bionate</w:t>
      </w:r>
      <w:proofErr w:type="spellEnd"/>
      <w:r w:rsidRPr="00976B70">
        <w:rPr>
          <w:rFonts w:asciiTheme="minorHAnsi" w:hAnsiTheme="minorHAnsi" w:cstheme="minorHAnsi"/>
          <w:sz w:val="21"/>
          <w:szCs w:val="21"/>
        </w:rPr>
        <w:t xml:space="preserve">® membrane. Each membrane was placed in a well of a 6-well plate filled with 1 mL </w:t>
      </w:r>
      <w:proofErr w:type="spellStart"/>
      <w:r w:rsidRPr="00976B70">
        <w:rPr>
          <w:rFonts w:asciiTheme="minorHAnsi" w:hAnsiTheme="minorHAnsi" w:cstheme="minorHAnsi"/>
          <w:sz w:val="21"/>
          <w:szCs w:val="21"/>
        </w:rPr>
        <w:t>MatriGel</w:t>
      </w:r>
      <w:proofErr w:type="spellEnd"/>
      <w:r w:rsidRPr="00976B70">
        <w:rPr>
          <w:rFonts w:asciiTheme="minorHAnsi" w:hAnsiTheme="minorHAnsi" w:cstheme="minorHAnsi"/>
          <w:sz w:val="21"/>
          <w:szCs w:val="21"/>
        </w:rPr>
        <w:t xml:space="preserve"> and incubated for 1 h at room temperature followed by 30 min at 37°C. Subsequently, the excess </w:t>
      </w:r>
      <w:proofErr w:type="spellStart"/>
      <w:r w:rsidRPr="00976B70">
        <w:rPr>
          <w:rFonts w:asciiTheme="minorHAnsi" w:hAnsiTheme="minorHAnsi" w:cstheme="minorHAnsi"/>
          <w:sz w:val="21"/>
          <w:szCs w:val="21"/>
        </w:rPr>
        <w:t>MatriGel</w:t>
      </w:r>
      <w:proofErr w:type="spellEnd"/>
      <w:r w:rsidRPr="00976B70">
        <w:rPr>
          <w:rFonts w:asciiTheme="minorHAnsi" w:hAnsiTheme="minorHAnsi" w:cstheme="minorHAnsi"/>
          <w:sz w:val="21"/>
          <w:szCs w:val="21"/>
        </w:rPr>
        <w:t xml:space="preserve"> was aspirated and the membranes in their rings were mounted between the two PDMS hoops for integration in the bioreactor.</w:t>
      </w:r>
      <w:r w:rsidR="008C103A" w:rsidRPr="00976B70">
        <w:rPr>
          <w:rFonts w:asciiTheme="minorHAnsi" w:hAnsiTheme="minorHAnsi" w:cstheme="minorHAnsi"/>
          <w:sz w:val="21"/>
          <w:szCs w:val="21"/>
        </w:rPr>
        <w:t xml:space="preserve"> The cell culture medium </w:t>
      </w:r>
      <w:r w:rsidR="002E36A8" w:rsidRPr="00976B70">
        <w:rPr>
          <w:rFonts w:asciiTheme="minorHAnsi" w:hAnsiTheme="minorHAnsi" w:cstheme="minorHAnsi"/>
          <w:sz w:val="21"/>
          <w:szCs w:val="21"/>
        </w:rPr>
        <w:t xml:space="preserve">for the A549 cells </w:t>
      </w:r>
      <w:r w:rsidR="008C103A" w:rsidRPr="00976B70">
        <w:rPr>
          <w:rFonts w:asciiTheme="minorHAnsi" w:hAnsiTheme="minorHAnsi" w:cstheme="minorHAnsi"/>
          <w:sz w:val="21"/>
          <w:szCs w:val="21"/>
        </w:rPr>
        <w:t xml:space="preserve">consisted of DMEM/F12/L-Glut/15 mM HEPES buffered medium (Invitrogen, Germany) containing 100 Unit/mL penicillin, 100 µg/mL streptomycin, 0.5 mg/mL gentamycin sulfate (G418, Invitrogen, Germany), 25 µg/mL of Amphotericin B (Antimycotic) and 10 % </w:t>
      </w:r>
      <w:r w:rsidR="00DC771A" w:rsidRPr="00976B70">
        <w:rPr>
          <w:rFonts w:asciiTheme="minorHAnsi" w:hAnsiTheme="minorHAnsi" w:cstheme="minorHAnsi"/>
          <w:sz w:val="21"/>
          <w:szCs w:val="21"/>
        </w:rPr>
        <w:t>fetal</w:t>
      </w:r>
      <w:r w:rsidR="008C103A" w:rsidRPr="00976B70">
        <w:rPr>
          <w:rFonts w:asciiTheme="minorHAnsi" w:hAnsiTheme="minorHAnsi" w:cstheme="minorHAnsi"/>
          <w:sz w:val="21"/>
          <w:szCs w:val="21"/>
        </w:rPr>
        <w:t xml:space="preserve"> calf serum (FCS). </w:t>
      </w:r>
    </w:p>
    <w:p w14:paraId="4B6BE56A" w14:textId="03625D9E" w:rsidR="006B55DA" w:rsidRPr="00976B70" w:rsidRDefault="006B55DA" w:rsidP="00BC3249">
      <w:pPr>
        <w:tabs>
          <w:tab w:val="num" w:pos="720"/>
        </w:tabs>
        <w:spacing w:after="0"/>
        <w:jc w:val="both"/>
        <w:rPr>
          <w:rFonts w:cstheme="minorHAnsi"/>
        </w:rPr>
      </w:pPr>
    </w:p>
    <w:p w14:paraId="016644D9" w14:textId="07BEDEB5" w:rsidR="006B55DA" w:rsidRPr="00976B70" w:rsidRDefault="00D60188" w:rsidP="00BC3249">
      <w:pPr>
        <w:pStyle w:val="Heading2"/>
        <w:spacing w:line="276" w:lineRule="auto"/>
        <w:rPr>
          <w:rFonts w:asciiTheme="minorHAnsi" w:hAnsiTheme="minorHAnsi" w:cstheme="minorHAnsi"/>
          <w:sz w:val="21"/>
          <w:szCs w:val="21"/>
        </w:rPr>
      </w:pPr>
      <w:r w:rsidRPr="00976B70">
        <w:rPr>
          <w:rFonts w:asciiTheme="minorHAnsi" w:hAnsiTheme="minorHAnsi" w:cstheme="minorHAnsi"/>
          <w:sz w:val="21"/>
          <w:szCs w:val="21"/>
        </w:rPr>
        <w:t>Cell assays and imaging: technical details</w:t>
      </w:r>
    </w:p>
    <w:p w14:paraId="6BD55BA9" w14:textId="4E3FD75A" w:rsidR="00D60188" w:rsidRPr="00976B70" w:rsidRDefault="00D60188" w:rsidP="00BC3249">
      <w:pPr>
        <w:autoSpaceDE w:val="0"/>
        <w:autoSpaceDN w:val="0"/>
        <w:adjustRightInd w:val="0"/>
        <w:spacing w:after="0"/>
        <w:jc w:val="both"/>
        <w:rPr>
          <w:sz w:val="21"/>
          <w:szCs w:val="21"/>
          <w:lang w:val="en-US"/>
        </w:rPr>
      </w:pPr>
      <w:r w:rsidRPr="00976B70">
        <w:rPr>
          <w:sz w:val="21"/>
          <w:szCs w:val="21"/>
          <w:lang w:val="en-US"/>
        </w:rPr>
        <w:t xml:space="preserve">The </w:t>
      </w:r>
      <w:proofErr w:type="gramStart"/>
      <w:r w:rsidRPr="00976B70">
        <w:rPr>
          <w:sz w:val="21"/>
          <w:szCs w:val="21"/>
          <w:lang w:val="en-US"/>
        </w:rPr>
        <w:t>LDH  assay</w:t>
      </w:r>
      <w:proofErr w:type="gramEnd"/>
      <w:r w:rsidRPr="00976B70">
        <w:rPr>
          <w:sz w:val="21"/>
          <w:szCs w:val="21"/>
          <w:lang w:val="en-US"/>
        </w:rPr>
        <w:t xml:space="preserve"> was performed using the Cytotoxicity Detection Kit from Roche (Roche Diagnostics, Cat. No. 11644793001, Mannheim, Germany) according to the manufacturer’s protocol. The LDH concentration in 500 µL of the cell culture supernatant was determined by absorbance measurements at a wavelength of 492 nm. As 100% control of the available LDH, cells cultured on a </w:t>
      </w:r>
      <w:proofErr w:type="spellStart"/>
      <w:r w:rsidRPr="00976B70">
        <w:rPr>
          <w:sz w:val="21"/>
          <w:szCs w:val="21"/>
          <w:lang w:val="en-US"/>
        </w:rPr>
        <w:t>Bionate</w:t>
      </w:r>
      <w:proofErr w:type="spellEnd"/>
      <w:r w:rsidR="00DC771A" w:rsidRPr="00976B70">
        <w:rPr>
          <w:rFonts w:cstheme="minorHAnsi"/>
          <w:sz w:val="21"/>
          <w:szCs w:val="21"/>
          <w:lang w:val="en-US"/>
        </w:rPr>
        <w:t>®</w:t>
      </w:r>
      <w:r w:rsidRPr="00976B70">
        <w:rPr>
          <w:sz w:val="21"/>
          <w:szCs w:val="21"/>
          <w:lang w:val="en-US"/>
        </w:rPr>
        <w:t xml:space="preserve"> membrane under submerged conditions in the petri dish in the incubator were treated with 2 % (w/v) Triton X-100 (100% level). The relative LDH release of a given sample (LDH concentration normalized to the 100% control level) is defined as cytotoxicity value. Less than 10% LDH release was regarded as non-toxic. </w:t>
      </w:r>
      <w:r w:rsidR="00B05A0D" w:rsidRPr="00976B70">
        <w:rPr>
          <w:sz w:val="21"/>
          <w:szCs w:val="21"/>
          <w:lang w:val="en-US"/>
        </w:rPr>
        <w:t>The effect of different media volumes was accounted for by converting the LDH concentration of each sample into the LDH dose (= LDH concentration times the volume of media).</w:t>
      </w:r>
    </w:p>
    <w:p w14:paraId="57AA58B6" w14:textId="2421723E" w:rsidR="00D60188" w:rsidRPr="00976B70" w:rsidRDefault="00DD5712" w:rsidP="00BC3249">
      <w:pPr>
        <w:autoSpaceDE w:val="0"/>
        <w:autoSpaceDN w:val="0"/>
        <w:adjustRightInd w:val="0"/>
        <w:spacing w:after="0"/>
        <w:jc w:val="both"/>
        <w:rPr>
          <w:sz w:val="21"/>
          <w:szCs w:val="21"/>
          <w:lang w:val="en-US"/>
        </w:rPr>
      </w:pPr>
      <w:r w:rsidRPr="00976B70">
        <w:rPr>
          <w:sz w:val="21"/>
          <w:szCs w:val="21"/>
          <w:lang w:val="en-US"/>
        </w:rPr>
        <w:t>For imaging, c</w:t>
      </w:r>
      <w:r w:rsidR="00D60188" w:rsidRPr="00976B70">
        <w:rPr>
          <w:sz w:val="21"/>
          <w:szCs w:val="21"/>
          <w:lang w:val="en-US"/>
        </w:rPr>
        <w:t xml:space="preserve">ells on the </w:t>
      </w:r>
      <w:proofErr w:type="spellStart"/>
      <w:r w:rsidR="00D60188" w:rsidRPr="00976B70">
        <w:rPr>
          <w:sz w:val="21"/>
          <w:szCs w:val="21"/>
          <w:lang w:val="en-US"/>
        </w:rPr>
        <w:t>Bionate</w:t>
      </w:r>
      <w:proofErr w:type="spellEnd"/>
      <w:r w:rsidR="00D60188" w:rsidRPr="00976B70">
        <w:rPr>
          <w:sz w:val="21"/>
          <w:szCs w:val="21"/>
          <w:vertAlign w:val="superscript"/>
        </w:rPr>
        <w:t>®</w:t>
      </w:r>
      <w:r w:rsidR="00D60188" w:rsidRPr="00976B70">
        <w:rPr>
          <w:sz w:val="21"/>
          <w:szCs w:val="21"/>
          <w:lang w:val="en-US"/>
        </w:rPr>
        <w:t xml:space="preserve"> membrane were fixed for 15 min at room temperature in 3% paraformaldehyde (in PBS) and stored in 0.1M glycine (in PBS). Cell membranes were permeabilized for 15 min at room temperature using 0.2% Triton X-100 (in PBS). Cytoskeletal actin was visualized by incubation with Phalloidin (</w:t>
      </w:r>
      <w:proofErr w:type="spellStart"/>
      <w:r w:rsidR="00D60188" w:rsidRPr="00976B70">
        <w:rPr>
          <w:sz w:val="21"/>
          <w:szCs w:val="21"/>
          <w:lang w:val="en-US"/>
        </w:rPr>
        <w:t>BodipyFL</w:t>
      </w:r>
      <w:proofErr w:type="spellEnd"/>
      <w:r w:rsidR="00D60188" w:rsidRPr="00976B70">
        <w:rPr>
          <w:sz w:val="21"/>
          <w:szCs w:val="21"/>
          <w:lang w:val="en-US"/>
        </w:rPr>
        <w:t xml:space="preserve">, Invitrogen) diluted 1:40 in 1% BSA (in PBS) for 1 h at room temperature. Nuclear staining was achieved with </w:t>
      </w:r>
      <w:proofErr w:type="spellStart"/>
      <w:r w:rsidR="00D60188" w:rsidRPr="00976B70">
        <w:rPr>
          <w:sz w:val="21"/>
          <w:szCs w:val="21"/>
          <w:lang w:val="en-US"/>
        </w:rPr>
        <w:t>ProLong</w:t>
      </w:r>
      <w:proofErr w:type="spellEnd"/>
      <w:r w:rsidR="00D60188" w:rsidRPr="00976B70">
        <w:rPr>
          <w:sz w:val="21"/>
          <w:szCs w:val="21"/>
          <w:lang w:val="en-US"/>
        </w:rPr>
        <w:t xml:space="preserve">® Gold Antifade Reagent containing DAPI (Invitrogen). </w:t>
      </w:r>
    </w:p>
    <w:p w14:paraId="079EA2BA" w14:textId="60135707" w:rsidR="00D60188" w:rsidRPr="00976B70" w:rsidRDefault="00D60188" w:rsidP="00BC3249">
      <w:pPr>
        <w:autoSpaceDE w:val="0"/>
        <w:autoSpaceDN w:val="0"/>
        <w:adjustRightInd w:val="0"/>
        <w:spacing w:after="0"/>
        <w:jc w:val="both"/>
        <w:rPr>
          <w:sz w:val="21"/>
          <w:szCs w:val="21"/>
          <w:lang w:val="en-US"/>
        </w:rPr>
      </w:pPr>
      <w:r w:rsidRPr="00976B70">
        <w:rPr>
          <w:sz w:val="21"/>
          <w:szCs w:val="21"/>
          <w:lang w:val="en-US"/>
        </w:rPr>
        <w:t xml:space="preserve">Confocal imaging was performed at various locations of the </w:t>
      </w:r>
      <w:proofErr w:type="spellStart"/>
      <w:r w:rsidRPr="00976B70">
        <w:rPr>
          <w:sz w:val="21"/>
          <w:szCs w:val="21"/>
          <w:lang w:val="en-US"/>
        </w:rPr>
        <w:t>Bionate</w:t>
      </w:r>
      <w:proofErr w:type="spellEnd"/>
      <w:r w:rsidRPr="00976B70">
        <w:rPr>
          <w:sz w:val="21"/>
          <w:szCs w:val="21"/>
          <w:vertAlign w:val="superscript"/>
        </w:rPr>
        <w:t>®</w:t>
      </w:r>
      <w:r w:rsidRPr="00976B70">
        <w:rPr>
          <w:sz w:val="21"/>
          <w:szCs w:val="21"/>
          <w:lang w:val="en-US"/>
        </w:rPr>
        <w:t xml:space="preserve"> membrane (Z-stacks, 512 x 512 pixels, 8 bit) using a </w:t>
      </w:r>
      <w:bookmarkStart w:id="2" w:name="_Hlk43221093"/>
      <w:r w:rsidRPr="00976B70">
        <w:rPr>
          <w:sz w:val="21"/>
          <w:szCs w:val="21"/>
          <w:lang w:val="en-US"/>
        </w:rPr>
        <w:t xml:space="preserve">LSM710 system (Carl Zeiss) </w:t>
      </w:r>
      <w:bookmarkEnd w:id="2"/>
      <w:r w:rsidRPr="00976B70">
        <w:rPr>
          <w:sz w:val="21"/>
          <w:szCs w:val="21"/>
          <w:lang w:val="en-US"/>
        </w:rPr>
        <w:t xml:space="preserve">and a Plan-Apochromat 63x/1.40 Oil Ph3 objective lens (Carl Zeiss). The confocal data sets were analyzed and processed either with </w:t>
      </w:r>
      <w:proofErr w:type="spellStart"/>
      <w:r w:rsidRPr="00976B70">
        <w:rPr>
          <w:sz w:val="21"/>
          <w:szCs w:val="21"/>
          <w:lang w:val="en-US"/>
        </w:rPr>
        <w:t>Imaris</w:t>
      </w:r>
      <w:proofErr w:type="spellEnd"/>
      <w:r w:rsidRPr="00976B70">
        <w:rPr>
          <w:sz w:val="21"/>
          <w:szCs w:val="21"/>
          <w:lang w:val="en-US"/>
        </w:rPr>
        <w:t xml:space="preserve"> 7.4.0 (</w:t>
      </w:r>
      <w:proofErr w:type="spellStart"/>
      <w:r w:rsidRPr="00976B70">
        <w:rPr>
          <w:sz w:val="21"/>
          <w:szCs w:val="21"/>
          <w:lang w:val="en-US"/>
        </w:rPr>
        <w:t>Bitplane</w:t>
      </w:r>
      <w:proofErr w:type="spellEnd"/>
      <w:r w:rsidRPr="00976B70">
        <w:rPr>
          <w:sz w:val="21"/>
          <w:szCs w:val="21"/>
          <w:lang w:val="en-US"/>
        </w:rPr>
        <w:t xml:space="preserve">) or with </w:t>
      </w:r>
      <w:proofErr w:type="spellStart"/>
      <w:r w:rsidRPr="00976B70">
        <w:rPr>
          <w:sz w:val="21"/>
          <w:szCs w:val="21"/>
          <w:lang w:val="en-US"/>
        </w:rPr>
        <w:t>AxioVision</w:t>
      </w:r>
      <w:proofErr w:type="spellEnd"/>
      <w:r w:rsidRPr="00976B70">
        <w:rPr>
          <w:sz w:val="21"/>
          <w:szCs w:val="21"/>
          <w:lang w:val="en-US"/>
        </w:rPr>
        <w:t xml:space="preserve"> 4.8 (Zeiss) software.</w:t>
      </w:r>
    </w:p>
    <w:p w14:paraId="33D65441" w14:textId="4BF5E66F" w:rsidR="004B039A" w:rsidRPr="00976B70" w:rsidRDefault="004B039A" w:rsidP="004B039A">
      <w:pPr>
        <w:autoSpaceDE w:val="0"/>
        <w:autoSpaceDN w:val="0"/>
        <w:adjustRightInd w:val="0"/>
        <w:spacing w:after="0"/>
        <w:jc w:val="both"/>
        <w:rPr>
          <w:sz w:val="21"/>
          <w:szCs w:val="21"/>
          <w:lang w:val="en-US"/>
        </w:rPr>
      </w:pPr>
      <w:r w:rsidRPr="00976B70">
        <w:rPr>
          <w:sz w:val="21"/>
          <w:szCs w:val="21"/>
          <w:lang w:val="en-US"/>
        </w:rPr>
        <w:t xml:space="preserve">For Figure </w:t>
      </w:r>
      <w:r w:rsidR="00694E53" w:rsidRPr="00976B70">
        <w:rPr>
          <w:sz w:val="21"/>
          <w:szCs w:val="21"/>
          <w:lang w:val="en-US"/>
        </w:rPr>
        <w:t>6</w:t>
      </w:r>
      <w:r w:rsidRPr="00976B70">
        <w:rPr>
          <w:sz w:val="21"/>
          <w:szCs w:val="21"/>
          <w:lang w:val="en-US"/>
        </w:rPr>
        <w:t xml:space="preserve">, cells were fixed in 4% paraformaldehyde (Sigma-Aldrich), washed with PBS and, permeabilized by 0.3% Triton X-100 (Sigma-Aldrich) in PBS at room temperature. To prevent any unspecific antibody binding, a blocking buffer (5% BSA and 0.1% TritonX-100) was added for 10 min. The F-actin cytoskeleton and cell nuclei were stained with Phalloidin 594 (1:40) and DAPI (1:100), respectively. The cells were then embedded in </w:t>
      </w:r>
      <w:proofErr w:type="spellStart"/>
      <w:r w:rsidRPr="00976B70">
        <w:rPr>
          <w:sz w:val="21"/>
          <w:szCs w:val="21"/>
          <w:lang w:val="en-US"/>
        </w:rPr>
        <w:t>Glycergel</w:t>
      </w:r>
      <w:proofErr w:type="spellEnd"/>
      <w:r w:rsidRPr="00976B70">
        <w:rPr>
          <w:sz w:val="21"/>
          <w:szCs w:val="21"/>
          <w:lang w:val="en-US"/>
        </w:rPr>
        <w:t xml:space="preserve"> (DAKO Schweiz AG, </w:t>
      </w:r>
      <w:proofErr w:type="spellStart"/>
      <w:r w:rsidRPr="00976B70">
        <w:rPr>
          <w:sz w:val="21"/>
          <w:szCs w:val="21"/>
          <w:lang w:val="en-US"/>
        </w:rPr>
        <w:t>Baar</w:t>
      </w:r>
      <w:proofErr w:type="spellEnd"/>
      <w:r w:rsidRPr="00976B70">
        <w:rPr>
          <w:sz w:val="21"/>
          <w:szCs w:val="21"/>
          <w:lang w:val="en-US"/>
        </w:rPr>
        <w:t xml:space="preserve">, Switzerland). All cell images were acquired using a confocal laser scanning microscope (LSM710, Carl Zeiss; </w:t>
      </w:r>
      <w:proofErr w:type="spellStart"/>
      <w:r w:rsidRPr="00976B70">
        <w:rPr>
          <w:sz w:val="21"/>
          <w:szCs w:val="21"/>
          <w:lang w:val="en-US"/>
        </w:rPr>
        <w:t>Oberkochen</w:t>
      </w:r>
      <w:proofErr w:type="spellEnd"/>
      <w:r w:rsidRPr="00976B70">
        <w:rPr>
          <w:sz w:val="21"/>
          <w:szCs w:val="21"/>
          <w:lang w:val="en-US"/>
        </w:rPr>
        <w:t xml:space="preserve">, Germany) coupled to the Zen2009 software. </w:t>
      </w:r>
      <w:r w:rsidR="00873E0C" w:rsidRPr="00976B70">
        <w:rPr>
          <w:sz w:val="21"/>
          <w:szCs w:val="21"/>
          <w:lang w:val="en-US"/>
        </w:rPr>
        <w:t>For the scanning electron microscopy (Figure S9), the samples were fixed in 6% (v/v) glutaraldehyde (Sigma-Aldrich‎) and then dehydrated in gradient ethanol solutions followed by HDMS (</w:t>
      </w:r>
      <w:proofErr w:type="spellStart"/>
      <w:r w:rsidR="00873E0C" w:rsidRPr="00976B70">
        <w:rPr>
          <w:sz w:val="21"/>
          <w:szCs w:val="21"/>
          <w:lang w:val="en-US"/>
        </w:rPr>
        <w:t>hexamethyldisilazane</w:t>
      </w:r>
      <w:proofErr w:type="spellEnd"/>
      <w:r w:rsidR="00873E0C" w:rsidRPr="00976B70">
        <w:rPr>
          <w:sz w:val="21"/>
          <w:szCs w:val="21"/>
          <w:lang w:val="en-US"/>
        </w:rPr>
        <w:t>, Sigma-Aldrich).</w:t>
      </w:r>
    </w:p>
    <w:p w14:paraId="119C52DC" w14:textId="77777777" w:rsidR="008D682A" w:rsidRPr="00976B70" w:rsidRDefault="008D682A" w:rsidP="00BC3249">
      <w:pPr>
        <w:pStyle w:val="Heading2"/>
        <w:spacing w:line="276" w:lineRule="auto"/>
        <w:rPr>
          <w:rFonts w:asciiTheme="minorHAnsi" w:hAnsiTheme="minorHAnsi" w:cstheme="minorHAnsi"/>
          <w:sz w:val="21"/>
          <w:szCs w:val="21"/>
        </w:rPr>
      </w:pPr>
      <w:r w:rsidRPr="00976B70">
        <w:rPr>
          <w:rFonts w:asciiTheme="minorHAnsi" w:hAnsiTheme="minorHAnsi" w:cstheme="minorHAnsi"/>
          <w:sz w:val="21"/>
          <w:szCs w:val="21"/>
        </w:rPr>
        <w:t>Thin shell theory for relating membrane linear strain to overpressure in the medium reservoir</w:t>
      </w:r>
    </w:p>
    <w:p w14:paraId="35236D4E" w14:textId="5AD18F11" w:rsidR="008D682A" w:rsidRPr="00976B70" w:rsidRDefault="00B10A11" w:rsidP="00BC3249">
      <w:pPr>
        <w:jc w:val="both"/>
        <w:rPr>
          <w:sz w:val="21"/>
          <w:szCs w:val="21"/>
        </w:rPr>
      </w:pPr>
      <w:r w:rsidRPr="00976B70">
        <w:rPr>
          <w:sz w:val="21"/>
          <w:szCs w:val="21"/>
        </w:rPr>
        <w:t>When referring to alveolar distension, the term “linear strain” refers to a change in alveolar radius. To determine the linear strain in the MALI bioreactor,</w:t>
      </w:r>
      <w:r w:rsidR="00B44D67" w:rsidRPr="00976B70">
        <w:rPr>
          <w:sz w:val="21"/>
          <w:szCs w:val="21"/>
        </w:rPr>
        <w:t xml:space="preserve"> we </w:t>
      </w:r>
      <w:r w:rsidRPr="00976B70">
        <w:rPr>
          <w:sz w:val="21"/>
          <w:szCs w:val="21"/>
        </w:rPr>
        <w:t>represent t</w:t>
      </w:r>
      <w:r w:rsidR="008D682A" w:rsidRPr="00976B70">
        <w:rPr>
          <w:sz w:val="21"/>
          <w:szCs w:val="21"/>
        </w:rPr>
        <w:t xml:space="preserve">he deformed membrane as a spherical cap with height </w:t>
      </w:r>
      <w:r w:rsidR="00E207F9" w:rsidRPr="00976B70">
        <w:rPr>
          <w:i/>
          <w:iCs/>
          <w:sz w:val="21"/>
          <w:szCs w:val="21"/>
        </w:rPr>
        <w:t>h</w:t>
      </w:r>
      <w:r w:rsidR="00E207F9" w:rsidRPr="00976B70">
        <w:rPr>
          <w:sz w:val="21"/>
          <w:szCs w:val="21"/>
        </w:rPr>
        <w:t xml:space="preserve"> </w:t>
      </w:r>
      <w:r w:rsidR="008D682A" w:rsidRPr="00976B70">
        <w:rPr>
          <w:sz w:val="21"/>
          <w:szCs w:val="21"/>
        </w:rPr>
        <w:t>as shown in Figure S6.</w:t>
      </w:r>
    </w:p>
    <w:p w14:paraId="346A54BF" w14:textId="715AD13E" w:rsidR="006838DD" w:rsidRPr="00976B70" w:rsidRDefault="006838DD" w:rsidP="00C75888">
      <w:pPr>
        <w:jc w:val="center"/>
        <w:rPr>
          <w:sz w:val="21"/>
          <w:szCs w:val="21"/>
        </w:rPr>
      </w:pPr>
      <w:r w:rsidRPr="00976B70">
        <w:rPr>
          <w:noProof/>
          <w:sz w:val="21"/>
          <w:szCs w:val="21"/>
        </w:rPr>
        <w:drawing>
          <wp:inline distT="0" distB="0" distL="0" distR="0" wp14:anchorId="441A3D1F" wp14:editId="1D0D9744">
            <wp:extent cx="1202312" cy="1059180"/>
            <wp:effectExtent l="0" t="0" r="0" b="7620"/>
            <wp:docPr id="9" name="Immagine 9" descr="Immagine che contiene gioco, orolog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6_600 dpi.tif"/>
                    <pic:cNvPicPr/>
                  </pic:nvPicPr>
                  <pic:blipFill>
                    <a:blip r:embed="rId13"/>
                    <a:stretch>
                      <a:fillRect/>
                    </a:stretch>
                  </pic:blipFill>
                  <pic:spPr>
                    <a:xfrm>
                      <a:off x="0" y="0"/>
                      <a:ext cx="1212721" cy="1068350"/>
                    </a:xfrm>
                    <a:prstGeom prst="rect">
                      <a:avLst/>
                    </a:prstGeom>
                  </pic:spPr>
                </pic:pic>
              </a:graphicData>
            </a:graphic>
          </wp:inline>
        </w:drawing>
      </w:r>
    </w:p>
    <w:p w14:paraId="2B2529B2" w14:textId="33D38F49" w:rsidR="008D682A" w:rsidRPr="00976B70" w:rsidRDefault="008D682A" w:rsidP="00BC3249">
      <w:pPr>
        <w:spacing w:after="0"/>
        <w:jc w:val="center"/>
      </w:pPr>
    </w:p>
    <w:p w14:paraId="4BBD5BC5" w14:textId="77777777" w:rsidR="008D682A" w:rsidRPr="00976B70" w:rsidRDefault="008D682A" w:rsidP="00BC3249">
      <w:pPr>
        <w:jc w:val="center"/>
        <w:rPr>
          <w:i/>
          <w:sz w:val="18"/>
        </w:rPr>
      </w:pPr>
      <w:r w:rsidRPr="00976B70">
        <w:rPr>
          <w:i/>
          <w:sz w:val="18"/>
        </w:rPr>
        <w:t xml:space="preserve">Fig. S6: The membrane is approximated as a spherical cap with variable height </w:t>
      </w:r>
      <w:r w:rsidRPr="00976B70">
        <w:rPr>
          <w:b/>
          <w:bCs/>
          <w:i/>
          <w:sz w:val="18"/>
        </w:rPr>
        <w:t>h.</w:t>
      </w:r>
    </w:p>
    <w:p w14:paraId="6A68551E" w14:textId="19DA8A58" w:rsidR="008D682A" w:rsidRPr="00976B70" w:rsidRDefault="008D682A" w:rsidP="00BC3249">
      <w:pPr>
        <w:spacing w:after="0"/>
        <w:jc w:val="both"/>
      </w:pPr>
      <w:r w:rsidRPr="00976B70">
        <w:t>Assuming an isotropic elastic membrane with negligible thickness subject to uniform pressure load, the linear strain (i</w:t>
      </w:r>
      <w:r w:rsidR="007E47D4" w:rsidRPr="00976B70">
        <w:t>.</w:t>
      </w:r>
      <w:r w:rsidRPr="00976B70">
        <w:t>e. the change in membrane radius</w:t>
      </w:r>
      <w:r w:rsidR="0042590A" w:rsidRPr="00976B70">
        <w:t xml:space="preserve"> </w:t>
      </w:r>
      <w:r w:rsidRPr="00976B70">
        <w:t xml:space="preserve">as it undergoes deformation) is related to the axial displacement </w:t>
      </w:r>
      <w:r w:rsidRPr="00976B70">
        <w:rPr>
          <w:i/>
          <w:iCs/>
        </w:rPr>
        <w:t>h</w:t>
      </w:r>
      <w:r w:rsidRPr="00976B70">
        <w:rPr>
          <w:b/>
          <w:bCs/>
        </w:rPr>
        <w:t xml:space="preserve"> </w:t>
      </w:r>
      <w:r w:rsidRPr="00976B70">
        <w:t xml:space="preserve">as </w:t>
      </w:r>
      <w:r w:rsidR="00523062" w:rsidRPr="00976B70">
        <w:t xml:space="preserve">in E1 </w:t>
      </w:r>
      <w:r w:rsidR="007E47D4" w:rsidRPr="00976B70">
        <w:fldChar w:fldCharType="begin" w:fldLock="1"/>
      </w:r>
      <w:r w:rsidR="00E66933" w:rsidRPr="00976B70">
        <w:instrText>ADDIN CSL_CITATION {"citationItems":[{"id":"ITEM-1","itemData":{"DOI":"10.1002/bit.22671","ISBN":"0006-3592","ISSN":"00063592","PMID":"20091740","abstract":"A generic \"system on a plate\" modular multicompartmental bioreactor array which enables microwell protocols to be transferred directly to the bioreactor modules, without redesign of cell culture experiments or protocols is described. The modular bioreactors are simple to assemble and use and can be easily compared with standard controls since cell numbers and medium volumes are quite similar. Starting from fluid dynamic and mass transport considerations, a modular bioreactor chamber was first modeled and then fabricated using \"milli-molding,\" a technique adapted from soft lithography. After confirming that the shear stress was extremely low in the system in the range of useful flow rates, the bioreactor chambers were tested using hepatocytes. The results show that the bioreactor chambers can increase or maintain cell viability and function when the flow rates are below 500 microL/min, corresponding to wall shear stresses of 10(-5) Pa or less at the cell culture surface.","author":[{"dropping-particle":"","family":"Mazzei","given":"D.","non-dropping-particle":"","parse-names":false,"suffix":""},{"dropping-particle":"","family":"Guzzardi","given":"M.A.","non-dropping-particle":"","parse-names":false,"suffix":""},{"dropping-particle":"","family":"Giusti","given":"S.","non-dropping-particle":"","parse-names":false,"suffix":""},{"dropping-particle":"","family":"Ahluwalia","given":"A.","non-dropping-particle":"","parse-names":false,"suffix":""}],"container-title":"Biotechnology and Bioengineering","id":"ITEM-1","issue":"1","issued":{"date-parts":[["2010"]]},"page":"n/a-n/a","title":"A low shear stress modular bioreactor for connected cell culture under high flow rates","type":"article-journal","volume":"106"},"uris":["http://www.mendeley.com/documents/?uuid=8adfb0da-f27a-4da0-a4ff-e7ddbd5f235d"]},{"id":"ITEM-2","itemData":{"ISBN":"10-1-58488-502-5","author":[{"dropping-particle":"","family":"Polyanin","given":"Andrei D.","non-dropping-particle":"","parse-names":false,"suffix":""},{"dropping-particle":"","family":"Alexander V. Manzhirov","given":"","non-dropping-particle":"","parse-names":false,"suffix":""}],"id":"ITEM-2","issue":"p. 69","issued":{"date-parts":[["2006"]]},"title":"Handbook of Mathematics for Engineers and Scientists","type":"article-journal"},"uris":["http://www.mendeley.com/documents/?uuid=99b279fa-dd1b-454e-bad3-c05ea8731039"]},{"id":"ITEM-3","itemData":{"DOI":"10.1007/s10439-011-0328-z","ISSN":"0090-6964","abstract":"Mechanical ventilation is not only a life saving treatment but can also cause negative side effects. One of the main complications is inflammation caused by overstretching of the alveolar tissue. Previously, studies investigated either global strains or looked into which states lead to inflammatory reactions in cell cultures. However, the connection between the global deformation, of a tissue strip or the whole organ, and the strains reaching the single cells lining the alveolar walls is unknown and respective studies are still missing. The main reason for this is most likely the complex, sponge-like alveolar geometry, whose three-dimensional details have been unknown until recently. Utilizing synchrotron-based X-ray tomographic microscopy, we were able to generate real and detailed three-dimensional alveolar geometries on which we have performed finite-element simulations. This allowed us to determine, for the first time, a three-dimensional strain state within the alveolar wall. Briefly, precision-cut lung slices, prepared from isolated rat lungs, were scanned and segmented to provide a three-dimensional geometry. This was then discretized using newly developed tetrahedral elements. The main conclusions of this study are that the local strain in the alveolar wall can reach a multiple of the value of the global strain, for our simulations up to four times as high and that thin structures obviously cause hotspots that are especially at risk of overstretching. © 2011 Biomedical Engineering Society.","author":[{"dropping-particle":"","family":"Rausch","given":"S. M. K.","non-dropping-particle":"","parse-names":false,"suffix":""},{"dropping-particle":"","family":"Haberthür","given":"D.","non-dropping-particle":"","parse-names":false,"suffix":""},{"dropping-particle":"","family":"Stampanoni","given":"M.","non-dropping-particle":"","parse-names":false,"suffix":""},{"dropping-particle":"","family":"Schittny","given":"J. C.","non-dropping-particle":"","parse-names":false,"suffix":""},{"dropping-particle":"","family":"Wall","given":"W. A.","non-dropping-particle":"","parse-names":false,"suffix":""}],"container-title":"Annals of Biomedical Engineering","id":"ITEM-3","issue":"11","issued":{"date-parts":[["2011","11","24"]]},"page":"2835-2843","title":"Local Strain Distribution in Real Three-Dimensional Alveolar Geometries","type":"article-journal","volume":"39"},"uris":["http://www.mendeley.com/documents/?uuid=b619efbf-7052-40c0-9540-72129c542f44"]},{"id":"ITEM-4","itemData":{"DOI":"10.1152/ajplung.00105.2011","ISBN":"1522-1504 (Electronic)\\r1040-0605 (Linking)","ISSN":"1040-0605","PMID":"21873445","abstract":"The pulmonary alveolus, terminal gas-exchange unit of the lung, is composed of alveolar epithelial and endothelial cells separated by a thin basement membrane and interstitial space. These cells participate in the maintenance of a delicate system regulated not only by biological factors but also by the mechanical environment of the lung, which undergoes dynamic deformation during breathing. Clinical and animal studies as well as cell culture studies point toward a strong influence of mechanical forces on lung cells and tissues including effects on growth and repair, surfactant release, injury, and inflammation. However, despite substantial advances in our understanding of lung mechanics over the last half century, there are still many unanswered questions regarding the micromechanics of the alveolus and how it deforms during lung inflation. Therefore, the aims of this review are to draw a multidisciplinary account of the mechanics of the alveolus on the basis of its structure, biology, and chemistry and to compare estimates of alveolar deformation from previous studies.","author":[{"dropping-particle":"","family":"Roan","given":"Esra","non-dropping-particle":"","parse-names":false,"suffix":""},{"dropping-particle":"","family":"Waters","given":"Christopher M","non-dropping-particle":"","parse-names":false,"suffix":""}],"container-title":"American Journal of Physiology-Lung Cellular and Molecular Physiology","id":"ITEM-4","issue":"5","issued":{"date-parts":[["2011","11"]]},"page":"L625-L635","title":"What do we know about mechanical strain in lung alveoli?","type":"article-journal","volume":"301"},"uris":["http://www.mendeley.com/documents/?uuid=4d63cbb4-9f12-4052-a0e2-f2b984281c63"]},{"id":"ITEM-5","itemData":{"ISBN":"0070647798","author":[{"dropping-particle":"","family":"Timoshenko","given":"Stepan Prokofevich","non-dropping-particle":"","parse-names":false,"suffix":""},{"dropping-particle":"","family":"Woinowsky-Krieger","given":"S","non-dropping-particle":"","parse-names":false,"suffix":""}],"edition":"2","id":"ITEM-5","issued":{"date-parts":[["1959"]]},"number-of-pages":"580","publisher":"McGraw-Hill","publisher-place":"New York","title":"Theory of plates and shells, Engineering Societies Monographs","type":"book"},"uris":["http://www.mendeley.com/documents/?uuid=932a7fd4-eba2-4599-97f2-88c7c9c8680a"]},{"id":"ITEM-6","itemData":{"DOI":"10.1113/jphysiol.1954.sp005099","ISSN":"00223751","abstract":"Images: Fig. 4:","author":[{"dropping-particle":"","family":"Wade","given":"O. L.","non-dropping-particle":"","parse-names":false,"suffix":""}],"container-title":"The Journal of Physiology","id":"ITEM-6","issue":"2","issued":{"date-parts":[["1954","5","28"]]},"page":"193-212","title":"Movements of the thoracic cage and diaphragm in respiration","type":"article-journal","volume":"124"},"uris":["http://www.mendeley.com/documents/?uuid=819fdd60-9048-43ff-8844-e0f459f08fa5"]}],"mendeley":{"formattedCitation":"(Mazzei et al., 2010; Polyanin and Alexander V. Manzhirov, 2006; Rausch et al., 2011; Roan and Waters, 2011; Timoshenko and Woinowsky-Krieger, 1959; Wade, 1954)","plainTextFormattedCitation":"(Mazzei et al., 2010; Polyanin and Alexander V. Manzhirov, 2006; Rausch et al., 2011; Roan and Waters, 2011; Timoshenko and Woinowsky-Krieger, 1959; Wade, 1954)","previouslyFormattedCitation":"(Mazzei et al., 2010; Polyanin and Alexander V. Manzhirov, 2006; Rausch et al., 2011; Roan and Waters, 2011; Timoshenko and Woinowsky-Krieger, 1959; Wade, 1954)"},"properties":{"noteIndex":0},"schema":"https://github.com/citation-style-language/schema/raw/master/csl-citation.json"}</w:instrText>
      </w:r>
      <w:r w:rsidR="007E47D4" w:rsidRPr="00976B70">
        <w:fldChar w:fldCharType="separate"/>
      </w:r>
      <w:r w:rsidR="007E47D4" w:rsidRPr="00976B70">
        <w:rPr>
          <w:noProof/>
        </w:rPr>
        <w:t>(Mazzei et al., 2010; Polyanin and Alexander V. Manzhirov, 2006; Rausch et al., 2011; Roan and Waters, 2011; Timoshenko and Woinowsky-Krieger, 1959; Wade, 1954)</w:t>
      </w:r>
      <w:r w:rsidR="007E47D4" w:rsidRPr="00976B70">
        <w:fldChar w:fldCharType="end"/>
      </w:r>
      <w:r w:rsidR="007E47D4" w:rsidRPr="00976B70" w:rsidDel="007E47D4">
        <w:t xml:space="preserve"> </w:t>
      </w:r>
      <w:r w:rsidRPr="00976B70">
        <w:t xml:space="preserve">: </w:t>
      </w:r>
    </w:p>
    <w:p w14:paraId="3F96528A" w14:textId="057AEEAA" w:rsidR="008D682A" w:rsidRPr="00976B70" w:rsidRDefault="009E1CC3" w:rsidP="00BC3249">
      <w:pPr>
        <w:jc w:val="center"/>
      </w:pPr>
      <m:oMath>
        <m:r>
          <w:rPr>
            <w:rFonts w:ascii="Cambria Math" w:hAnsi="Cambria Math"/>
            <w:sz w:val="23"/>
            <w:szCs w:val="23"/>
          </w:rPr>
          <m:t>h=a</m:t>
        </m:r>
        <m:rad>
          <m:radPr>
            <m:degHide m:val="1"/>
            <m:ctrlPr>
              <w:rPr>
                <w:rFonts w:ascii="Cambria Math" w:hAnsi="Cambria Math"/>
                <w:i/>
                <w:sz w:val="23"/>
                <w:szCs w:val="23"/>
              </w:rPr>
            </m:ctrlPr>
          </m:radPr>
          <m:deg/>
          <m:e>
            <m:r>
              <w:rPr>
                <w:rFonts w:ascii="Cambria Math" w:hAnsi="Cambria Math"/>
                <w:sz w:val="23"/>
                <w:szCs w:val="23"/>
              </w:rPr>
              <m:t>2</m:t>
            </m:r>
            <m:f>
              <m:fPr>
                <m:ctrlPr>
                  <w:rPr>
                    <w:rFonts w:ascii="Cambria Math" w:hAnsi="Cambria Math"/>
                    <w:i/>
                    <w:sz w:val="23"/>
                    <w:szCs w:val="23"/>
                  </w:rPr>
                </m:ctrlPr>
              </m:fPr>
              <m:num>
                <m:r>
                  <w:rPr>
                    <w:rFonts w:ascii="Cambria Math" w:hAnsi="Cambria Math"/>
                    <w:sz w:val="23"/>
                    <w:szCs w:val="23"/>
                  </w:rPr>
                  <m:t>δr</m:t>
                </m:r>
              </m:num>
              <m:den>
                <m:r>
                  <w:rPr>
                    <w:rFonts w:ascii="Cambria Math" w:hAnsi="Cambria Math"/>
                    <w:sz w:val="23"/>
                    <w:szCs w:val="23"/>
                  </w:rPr>
                  <m:t>r</m:t>
                </m:r>
              </m:den>
            </m:f>
            <m:r>
              <w:rPr>
                <w:rFonts w:ascii="Cambria Math" w:hAnsi="Cambria Math"/>
                <w:sz w:val="23"/>
                <w:szCs w:val="23"/>
              </w:rPr>
              <m:t>+</m:t>
            </m:r>
            <m:sSup>
              <m:sSupPr>
                <m:ctrlPr>
                  <w:rPr>
                    <w:rFonts w:ascii="Cambria Math" w:hAnsi="Cambria Math"/>
                    <w:i/>
                    <w:sz w:val="23"/>
                    <w:szCs w:val="23"/>
                  </w:rPr>
                </m:ctrlPr>
              </m:sSupPr>
              <m:e>
                <m:d>
                  <m:dPr>
                    <m:ctrlPr>
                      <w:rPr>
                        <w:rFonts w:ascii="Cambria Math" w:hAnsi="Cambria Math"/>
                        <w:i/>
                        <w:sz w:val="23"/>
                        <w:szCs w:val="23"/>
                      </w:rPr>
                    </m:ctrlPr>
                  </m:dPr>
                  <m:e>
                    <m:f>
                      <m:fPr>
                        <m:ctrlPr>
                          <w:rPr>
                            <w:rFonts w:ascii="Cambria Math" w:hAnsi="Cambria Math"/>
                            <w:i/>
                            <w:sz w:val="23"/>
                            <w:szCs w:val="23"/>
                          </w:rPr>
                        </m:ctrlPr>
                      </m:fPr>
                      <m:num>
                        <m:r>
                          <w:rPr>
                            <w:rFonts w:ascii="Cambria Math" w:hAnsi="Cambria Math"/>
                            <w:sz w:val="23"/>
                            <w:szCs w:val="23"/>
                          </w:rPr>
                          <m:t>δr</m:t>
                        </m:r>
                      </m:num>
                      <m:den>
                        <m:r>
                          <w:rPr>
                            <w:rFonts w:ascii="Cambria Math" w:hAnsi="Cambria Math"/>
                            <w:sz w:val="23"/>
                            <w:szCs w:val="23"/>
                          </w:rPr>
                          <m:t>r</m:t>
                        </m:r>
                      </m:den>
                    </m:f>
                  </m:e>
                </m:d>
              </m:e>
              <m:sup>
                <m:r>
                  <w:rPr>
                    <w:rFonts w:ascii="Cambria Math" w:hAnsi="Cambria Math"/>
                    <w:sz w:val="23"/>
                    <w:szCs w:val="23"/>
                  </w:rPr>
                  <m:t>2</m:t>
                </m:r>
              </m:sup>
            </m:sSup>
          </m:e>
        </m:rad>
      </m:oMath>
      <w:r w:rsidR="00523062" w:rsidRPr="00976B70">
        <w:rPr>
          <w:rFonts w:eastAsiaTheme="minorEastAsia"/>
          <w:sz w:val="23"/>
          <w:szCs w:val="23"/>
        </w:rPr>
        <w:tab/>
        <w:t>E1</w:t>
      </w:r>
    </w:p>
    <w:p w14:paraId="04E94E87" w14:textId="10BB9D20" w:rsidR="008D682A" w:rsidRPr="00976B70" w:rsidRDefault="008D682A" w:rsidP="00BC3249">
      <w:pPr>
        <w:spacing w:after="0"/>
        <w:jc w:val="both"/>
      </w:pPr>
      <w:r w:rsidRPr="00976B70">
        <w:t>Assuming that the deformations are small (h&lt;&lt;r), the expression simplifies to</w:t>
      </w:r>
      <w:r w:rsidR="009C7EC7" w:rsidRPr="00976B70">
        <w:t xml:space="preserve"> </w:t>
      </w:r>
      <w:r w:rsidR="009C7EC7" w:rsidRPr="00976B70">
        <w:fldChar w:fldCharType="begin" w:fldLock="1"/>
      </w:r>
      <w:r w:rsidR="007E47D4" w:rsidRPr="00976B70">
        <w:instrText>ADDIN CSL_CITATION {"citationItems":[{"id":"ITEM-1","itemData":{"DOI":"10.1113/jphysiol.1954.sp005099","ISSN":"00223751","abstract":"Images: Fig. 4:","author":[{"dropping-particle":"","family":"Wade","given":"O. L.","non-dropping-particle":"","parse-names":false,"suffix":""}],"container-title":"The Journal of Physiology","id":"ITEM-1","issue":"2","issued":{"date-parts":[["1954","5","28"]]},"page":"193-212","title":"Movements of the thoracic cage and diaphragm in respiration","type":"article-journal","volume":"124"},"uris":["http://www.mendeley.com/documents/?uuid=819fdd60-9048-43ff-8844-e0f459f08fa5"]}],"mendeley":{"formattedCitation":"(Wade, 1954)","plainTextFormattedCitation":"(Wade, 1954)","previouslyFormattedCitation":"(Wade, 1954)"},"properties":{"noteIndex":0},"schema":"https://github.com/citation-style-language/schema/raw/master/csl-citation.json"}</w:instrText>
      </w:r>
      <w:r w:rsidR="009C7EC7" w:rsidRPr="00976B70">
        <w:fldChar w:fldCharType="separate"/>
      </w:r>
      <w:r w:rsidR="009C7EC7" w:rsidRPr="00976B70">
        <w:rPr>
          <w:noProof/>
        </w:rPr>
        <w:t>(Wade, 1954)</w:t>
      </w:r>
      <w:r w:rsidR="009C7EC7" w:rsidRPr="00976B70">
        <w:fldChar w:fldCharType="end"/>
      </w:r>
      <w:r w:rsidRPr="00976B70">
        <w:t>:</w:t>
      </w:r>
    </w:p>
    <w:p w14:paraId="05765515" w14:textId="48DE1DCD" w:rsidR="008D682A" w:rsidRPr="00976B70" w:rsidRDefault="009E1CC3" w:rsidP="00BC3249">
      <w:pPr>
        <w:spacing w:after="0"/>
        <w:jc w:val="center"/>
      </w:pPr>
      <m:oMath>
        <m:r>
          <w:rPr>
            <w:rFonts w:ascii="Cambria Math" w:hAnsi="Cambria Math"/>
            <w:sz w:val="23"/>
            <w:szCs w:val="23"/>
          </w:rPr>
          <m:t>h=a</m:t>
        </m:r>
        <m:rad>
          <m:radPr>
            <m:degHide m:val="1"/>
            <m:ctrlPr>
              <w:rPr>
                <w:rFonts w:ascii="Cambria Math" w:hAnsi="Cambria Math"/>
                <w:i/>
                <w:sz w:val="23"/>
                <w:szCs w:val="23"/>
              </w:rPr>
            </m:ctrlPr>
          </m:radPr>
          <m:deg/>
          <m:e>
            <m:r>
              <w:rPr>
                <w:rFonts w:ascii="Cambria Math" w:hAnsi="Cambria Math"/>
                <w:sz w:val="23"/>
                <w:szCs w:val="23"/>
              </w:rPr>
              <m:t>2</m:t>
            </m:r>
            <m:f>
              <m:fPr>
                <m:ctrlPr>
                  <w:rPr>
                    <w:rFonts w:ascii="Cambria Math" w:hAnsi="Cambria Math"/>
                    <w:i/>
                    <w:sz w:val="23"/>
                    <w:szCs w:val="23"/>
                  </w:rPr>
                </m:ctrlPr>
              </m:fPr>
              <m:num>
                <m:r>
                  <w:rPr>
                    <w:rFonts w:ascii="Cambria Math" w:hAnsi="Cambria Math"/>
                    <w:sz w:val="23"/>
                    <w:szCs w:val="23"/>
                  </w:rPr>
                  <m:t>δr</m:t>
                </m:r>
              </m:num>
              <m:den>
                <m:r>
                  <w:rPr>
                    <w:rFonts w:ascii="Cambria Math" w:hAnsi="Cambria Math"/>
                    <w:sz w:val="23"/>
                    <w:szCs w:val="23"/>
                  </w:rPr>
                  <m:t>r</m:t>
                </m:r>
              </m:den>
            </m:f>
          </m:e>
        </m:rad>
      </m:oMath>
      <w:r w:rsidR="00523062" w:rsidRPr="00976B70">
        <w:rPr>
          <w:rFonts w:eastAsiaTheme="minorEastAsia"/>
          <w:sz w:val="23"/>
          <w:szCs w:val="23"/>
        </w:rPr>
        <w:tab/>
        <w:t>E2</w:t>
      </w:r>
    </w:p>
    <w:p w14:paraId="18D966E5" w14:textId="4F6E2762" w:rsidR="00AC0BE8" w:rsidRPr="00976B70" w:rsidRDefault="008D682A" w:rsidP="00BC3249">
      <w:pPr>
        <w:jc w:val="both"/>
        <w:rPr>
          <w:sz w:val="21"/>
          <w:szCs w:val="21"/>
        </w:rPr>
      </w:pPr>
      <w:r w:rsidRPr="00976B70">
        <w:rPr>
          <w:sz w:val="21"/>
          <w:szCs w:val="21"/>
        </w:rPr>
        <w:t>Thus, the maximal membrane displacement in the axial direction can be correlated with the linear strain of its surface. Moreover, the volume of water displaced by the membrane (</w:t>
      </w:r>
      <w:r w:rsidRPr="00976B70">
        <w:rPr>
          <w:rFonts w:cstheme="minorHAnsi"/>
          <w:i/>
          <w:iCs/>
          <w:sz w:val="21"/>
          <w:szCs w:val="21"/>
        </w:rPr>
        <w:t>Δ</w:t>
      </w:r>
      <w:r w:rsidRPr="00976B70">
        <w:rPr>
          <w:i/>
          <w:iCs/>
          <w:sz w:val="21"/>
          <w:szCs w:val="21"/>
        </w:rPr>
        <w:t>V</w:t>
      </w:r>
      <w:r w:rsidRPr="00976B70">
        <w:rPr>
          <w:sz w:val="21"/>
          <w:szCs w:val="21"/>
        </w:rPr>
        <w:t xml:space="preserve">)- and the resulting overpressure in the reservoir- as it stretches and relaxes during the application of cyclic pressure in the apical chamber is also correlated with the axial displacement according to </w:t>
      </w:r>
      <w:r w:rsidR="009C7EC7" w:rsidRPr="00976B70">
        <w:rPr>
          <w:sz w:val="21"/>
          <w:szCs w:val="21"/>
        </w:rPr>
        <w:fldChar w:fldCharType="begin" w:fldLock="1"/>
      </w:r>
      <w:r w:rsidR="007E47D4" w:rsidRPr="00976B70">
        <w:rPr>
          <w:sz w:val="21"/>
          <w:szCs w:val="21"/>
        </w:rPr>
        <w:instrText>ADDIN CSL_CITATION {"citationItems":[{"id":"ITEM-1","itemData":{"ISBN":"10-1-58488-502-5","author":[{"dropping-particle":"","family":"Polyanin","given":"Andrei D.","non-dropping-particle":"","parse-names":false,"suffix":""},{"dropping-particle":"","family":"Alexander V. Manzhirov","given":"","non-dropping-particle":"","parse-names":false,"suffix":""}],"id":"ITEM-1","issue":"p. 69","issued":{"date-parts":[["2006"]]},"title":"Handbook of Mathematics for Engineers and Scientists","type":"article-journal"},"uris":["http://www.mendeley.com/documents/?uuid=99b279fa-dd1b-454e-bad3-c05ea8731039"]}],"mendeley":{"formattedCitation":"(Polyanin and Alexander V. Manzhirov, 2006)","plainTextFormattedCitation":"(Polyanin and Alexander V. Manzhirov, 2006)","previouslyFormattedCitation":"(Polyanin and Alexander V. Manzhirov, 2006)"},"properties":{"noteIndex":0},"schema":"https://github.com/citation-style-language/schema/raw/master/csl-citation.json"}</w:instrText>
      </w:r>
      <w:r w:rsidR="009C7EC7" w:rsidRPr="00976B70">
        <w:rPr>
          <w:sz w:val="21"/>
          <w:szCs w:val="21"/>
        </w:rPr>
        <w:fldChar w:fldCharType="separate"/>
      </w:r>
      <w:r w:rsidR="007E47D4" w:rsidRPr="00976B70">
        <w:rPr>
          <w:noProof/>
          <w:sz w:val="21"/>
          <w:szCs w:val="21"/>
        </w:rPr>
        <w:t>(Polyanin and Alexander V. Manzhirov, 2006)</w:t>
      </w:r>
      <w:r w:rsidR="009C7EC7" w:rsidRPr="00976B70">
        <w:rPr>
          <w:sz w:val="21"/>
          <w:szCs w:val="21"/>
        </w:rPr>
        <w:fldChar w:fldCharType="end"/>
      </w:r>
      <w:r w:rsidR="00DC771A" w:rsidRPr="00976B70">
        <w:rPr>
          <w:sz w:val="21"/>
          <w:szCs w:val="21"/>
        </w:rPr>
        <w:t>:</w:t>
      </w:r>
    </w:p>
    <w:p w14:paraId="5B4AF423" w14:textId="6167CFCA" w:rsidR="008D682A" w:rsidRPr="00976B70" w:rsidRDefault="008D682A" w:rsidP="00BC3249">
      <w:pPr>
        <w:jc w:val="center"/>
        <w:rPr>
          <w:sz w:val="23"/>
          <w:szCs w:val="23"/>
        </w:rPr>
      </w:pPr>
      <m:oMath>
        <m:r>
          <w:rPr>
            <w:rFonts w:ascii="Cambria Math" w:hAnsi="Cambria Math"/>
            <w:sz w:val="23"/>
            <w:szCs w:val="23"/>
          </w:rPr>
          <m:t>∆V=πh</m:t>
        </m:r>
        <m:d>
          <m:dPr>
            <m:ctrlPr>
              <w:rPr>
                <w:rFonts w:ascii="Cambria Math" w:hAnsi="Cambria Math"/>
                <w:i/>
                <w:sz w:val="23"/>
                <w:szCs w:val="23"/>
              </w:rPr>
            </m:ctrlPr>
          </m:dPr>
          <m:e>
            <m:f>
              <m:fPr>
                <m:ctrlPr>
                  <w:rPr>
                    <w:rFonts w:ascii="Cambria Math" w:hAnsi="Cambria Math"/>
                    <w:i/>
                    <w:sz w:val="23"/>
                    <w:szCs w:val="23"/>
                  </w:rPr>
                </m:ctrlPr>
              </m:fPr>
              <m:num>
                <m:sSup>
                  <m:sSupPr>
                    <m:ctrlPr>
                      <w:rPr>
                        <w:rFonts w:ascii="Cambria Math" w:hAnsi="Cambria Math"/>
                        <w:i/>
                        <w:sz w:val="23"/>
                        <w:szCs w:val="23"/>
                      </w:rPr>
                    </m:ctrlPr>
                  </m:sSupPr>
                  <m:e>
                    <m:r>
                      <w:rPr>
                        <w:rFonts w:ascii="Cambria Math" w:hAnsi="Cambria Math"/>
                        <w:sz w:val="23"/>
                        <w:szCs w:val="23"/>
                      </w:rPr>
                      <m:t>a</m:t>
                    </m:r>
                  </m:e>
                  <m:sup>
                    <m:r>
                      <w:rPr>
                        <w:rFonts w:ascii="Cambria Math" w:hAnsi="Cambria Math"/>
                        <w:sz w:val="23"/>
                        <w:szCs w:val="23"/>
                      </w:rPr>
                      <m:t>2</m:t>
                    </m:r>
                  </m:sup>
                </m:sSup>
              </m:num>
              <m:den>
                <m:r>
                  <w:rPr>
                    <w:rFonts w:ascii="Cambria Math" w:hAnsi="Cambria Math"/>
                    <w:sz w:val="23"/>
                    <w:szCs w:val="23"/>
                  </w:rPr>
                  <m:t>2</m:t>
                </m:r>
              </m:den>
            </m:f>
            <m:r>
              <w:rPr>
                <w:rFonts w:ascii="Cambria Math" w:hAnsi="Cambria Math"/>
                <w:sz w:val="23"/>
                <w:szCs w:val="23"/>
              </w:rPr>
              <m:t>+</m:t>
            </m:r>
            <m:f>
              <m:fPr>
                <m:ctrlPr>
                  <w:rPr>
                    <w:rFonts w:ascii="Cambria Math" w:hAnsi="Cambria Math"/>
                    <w:i/>
                    <w:sz w:val="23"/>
                    <w:szCs w:val="23"/>
                  </w:rPr>
                </m:ctrlPr>
              </m:fPr>
              <m:num>
                <m:sSup>
                  <m:sSupPr>
                    <m:ctrlPr>
                      <w:rPr>
                        <w:rFonts w:ascii="Cambria Math" w:hAnsi="Cambria Math"/>
                        <w:i/>
                        <w:sz w:val="23"/>
                        <w:szCs w:val="23"/>
                      </w:rPr>
                    </m:ctrlPr>
                  </m:sSupPr>
                  <m:e>
                    <m:r>
                      <w:rPr>
                        <w:rFonts w:ascii="Cambria Math" w:hAnsi="Cambria Math"/>
                        <w:sz w:val="23"/>
                        <w:szCs w:val="23"/>
                      </w:rPr>
                      <m:t>h</m:t>
                    </m:r>
                  </m:e>
                  <m:sup>
                    <m:r>
                      <w:rPr>
                        <w:rFonts w:ascii="Cambria Math" w:hAnsi="Cambria Math"/>
                        <w:sz w:val="23"/>
                        <w:szCs w:val="23"/>
                      </w:rPr>
                      <m:t>2</m:t>
                    </m:r>
                  </m:sup>
                </m:sSup>
              </m:num>
              <m:den>
                <m:r>
                  <w:rPr>
                    <w:rFonts w:ascii="Cambria Math" w:hAnsi="Cambria Math"/>
                    <w:sz w:val="23"/>
                    <w:szCs w:val="23"/>
                  </w:rPr>
                  <m:t>6</m:t>
                </m:r>
              </m:den>
            </m:f>
          </m:e>
        </m:d>
      </m:oMath>
      <w:r w:rsidR="00523062" w:rsidRPr="00976B70">
        <w:rPr>
          <w:rFonts w:eastAsiaTheme="minorEastAsia"/>
          <w:sz w:val="23"/>
          <w:szCs w:val="23"/>
        </w:rPr>
        <w:tab/>
        <w:t>E3</w:t>
      </w:r>
    </w:p>
    <w:p w14:paraId="6584B702" w14:textId="4757DE40" w:rsidR="008D682A" w:rsidRPr="00976B70" w:rsidRDefault="008D682A" w:rsidP="00BC3249">
      <w:pPr>
        <w:spacing w:after="0"/>
        <w:jc w:val="both"/>
        <w:rPr>
          <w:sz w:val="21"/>
          <w:szCs w:val="21"/>
        </w:rPr>
      </w:pPr>
      <w:r w:rsidRPr="00976B70">
        <w:rPr>
          <w:sz w:val="21"/>
          <w:szCs w:val="21"/>
        </w:rPr>
        <w:t xml:space="preserve">The change in air volume in the reservoir is directly proportional to the change in overpressure and the proportionality constant can easily be determined from the ratio of ambient air pressure (absolute) and the air volume in the medium reservoir without membrane stretch, i.e. </w:t>
      </w:r>
      <w:r w:rsidRPr="00976B70">
        <w:rPr>
          <w:i/>
          <w:iCs/>
          <w:sz w:val="21"/>
          <w:szCs w:val="21"/>
        </w:rPr>
        <w:t>h=0</w:t>
      </w:r>
      <w:r w:rsidRPr="00976B70">
        <w:rPr>
          <w:sz w:val="21"/>
          <w:szCs w:val="21"/>
        </w:rPr>
        <w:t xml:space="preserve">). Thus, </w:t>
      </w:r>
      <w:r w:rsidRPr="00976B70">
        <w:rPr>
          <w:i/>
          <w:iCs/>
          <w:sz w:val="21"/>
          <w:szCs w:val="21"/>
        </w:rPr>
        <w:t>h</w:t>
      </w:r>
      <w:r w:rsidRPr="00976B70">
        <w:rPr>
          <w:sz w:val="21"/>
          <w:szCs w:val="21"/>
        </w:rPr>
        <w:t xml:space="preserve"> can be derived from the overpressure signal. Subsequently, </w:t>
      </w:r>
      <w:r w:rsidR="00523062" w:rsidRPr="00976B70">
        <w:rPr>
          <w:sz w:val="21"/>
          <w:szCs w:val="21"/>
        </w:rPr>
        <w:t>E2</w:t>
      </w:r>
      <w:r w:rsidRPr="00976B70">
        <w:rPr>
          <w:sz w:val="21"/>
          <w:szCs w:val="21"/>
        </w:rPr>
        <w:t xml:space="preserve"> can be used to derive the corresponding linear strain (</w:t>
      </w:r>
      <w:proofErr w:type="spellStart"/>
      <w:r w:rsidRPr="00976B70">
        <w:rPr>
          <w:rFonts w:cstheme="minorHAnsi"/>
          <w:i/>
          <w:iCs/>
          <w:sz w:val="21"/>
          <w:szCs w:val="21"/>
        </w:rPr>
        <w:t>δ</w:t>
      </w:r>
      <w:r w:rsidRPr="00976B70">
        <w:rPr>
          <w:i/>
          <w:iCs/>
          <w:sz w:val="21"/>
          <w:szCs w:val="21"/>
        </w:rPr>
        <w:t>r</w:t>
      </w:r>
      <w:proofErr w:type="spellEnd"/>
      <w:r w:rsidRPr="00976B70">
        <w:rPr>
          <w:i/>
          <w:iCs/>
          <w:sz w:val="21"/>
          <w:szCs w:val="21"/>
        </w:rPr>
        <w:t>/r</w:t>
      </w:r>
      <w:r w:rsidRPr="00976B70">
        <w:rPr>
          <w:sz w:val="21"/>
          <w:szCs w:val="21"/>
        </w:rPr>
        <w:t>).</w:t>
      </w:r>
    </w:p>
    <w:p w14:paraId="2F6DAED4" w14:textId="3187E783" w:rsidR="008D682A" w:rsidRPr="00976B70" w:rsidRDefault="008D682A" w:rsidP="00BC3249">
      <w:pPr>
        <w:jc w:val="both"/>
        <w:rPr>
          <w:sz w:val="21"/>
          <w:szCs w:val="21"/>
        </w:rPr>
      </w:pPr>
      <w:r w:rsidRPr="00976B70">
        <w:rPr>
          <w:sz w:val="21"/>
          <w:szCs w:val="21"/>
        </w:rPr>
        <w:t>Figure S7 shows an example of the overpressure measured in the reservoir during an exposure experiment.</w:t>
      </w:r>
    </w:p>
    <w:p w14:paraId="45C96827" w14:textId="4BFAB2BA" w:rsidR="006838DD" w:rsidRPr="00976B70" w:rsidRDefault="006838DD" w:rsidP="00C75888">
      <w:pPr>
        <w:jc w:val="center"/>
        <w:rPr>
          <w:sz w:val="21"/>
          <w:szCs w:val="21"/>
        </w:rPr>
      </w:pPr>
      <w:r w:rsidRPr="00976B70">
        <w:rPr>
          <w:noProof/>
          <w:sz w:val="21"/>
          <w:szCs w:val="21"/>
        </w:rPr>
        <w:drawing>
          <wp:inline distT="0" distB="0" distL="0" distR="0" wp14:anchorId="6BA76069" wp14:editId="34347804">
            <wp:extent cx="2495480" cy="1447800"/>
            <wp:effectExtent l="0" t="0" r="635"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7_600 dpi.tif"/>
                    <pic:cNvPicPr/>
                  </pic:nvPicPr>
                  <pic:blipFill>
                    <a:blip r:embed="rId14"/>
                    <a:stretch>
                      <a:fillRect/>
                    </a:stretch>
                  </pic:blipFill>
                  <pic:spPr>
                    <a:xfrm>
                      <a:off x="0" y="0"/>
                      <a:ext cx="2512405" cy="1457619"/>
                    </a:xfrm>
                    <a:prstGeom prst="rect">
                      <a:avLst/>
                    </a:prstGeom>
                  </pic:spPr>
                </pic:pic>
              </a:graphicData>
            </a:graphic>
          </wp:inline>
        </w:drawing>
      </w:r>
    </w:p>
    <w:p w14:paraId="1DD8D276" w14:textId="600C7C7B" w:rsidR="008D682A" w:rsidRPr="00976B70" w:rsidRDefault="008D682A" w:rsidP="00BC3249">
      <w:pPr>
        <w:spacing w:after="0"/>
        <w:jc w:val="center"/>
      </w:pPr>
    </w:p>
    <w:p w14:paraId="220EAB5F" w14:textId="24E7175E" w:rsidR="00FA2861" w:rsidRPr="00976B70" w:rsidRDefault="008D682A" w:rsidP="00BC3249">
      <w:pPr>
        <w:autoSpaceDE w:val="0"/>
        <w:autoSpaceDN w:val="0"/>
        <w:adjustRightInd w:val="0"/>
        <w:spacing w:after="0"/>
        <w:jc w:val="center"/>
        <w:rPr>
          <w:rFonts w:ascii="CMTI9" w:hAnsi="CMTI9" w:cs="CMTI9"/>
          <w:i/>
          <w:iCs/>
          <w:sz w:val="18"/>
          <w:szCs w:val="18"/>
        </w:rPr>
      </w:pPr>
      <w:r w:rsidRPr="00976B70">
        <w:rPr>
          <w:rFonts w:cstheme="minorHAnsi"/>
          <w:i/>
          <w:iCs/>
          <w:sz w:val="18"/>
          <w:szCs w:val="18"/>
        </w:rPr>
        <w:t>Figure S7: An example of cyclic oscillation of the pressure in the reservoir chamber during the breathing cycle</w:t>
      </w:r>
      <w:r w:rsidRPr="00976B70">
        <w:rPr>
          <w:rFonts w:ascii="CMTI9" w:hAnsi="CMTI9" w:cs="CMTI9"/>
          <w:i/>
          <w:iCs/>
          <w:sz w:val="18"/>
          <w:szCs w:val="18"/>
        </w:rPr>
        <w:t>.</w:t>
      </w:r>
    </w:p>
    <w:p w14:paraId="507844FE" w14:textId="77777777" w:rsidR="00FA2861" w:rsidRPr="00976B70" w:rsidRDefault="00FA2861">
      <w:pPr>
        <w:spacing w:after="160" w:line="259" w:lineRule="auto"/>
        <w:rPr>
          <w:rFonts w:ascii="CMTI9" w:hAnsi="CMTI9" w:cs="CMTI9"/>
          <w:i/>
          <w:iCs/>
          <w:sz w:val="18"/>
          <w:szCs w:val="18"/>
        </w:rPr>
      </w:pPr>
      <w:r w:rsidRPr="00976B70">
        <w:rPr>
          <w:rFonts w:ascii="CMTI9" w:hAnsi="CMTI9" w:cs="CMTI9"/>
          <w:i/>
          <w:iCs/>
          <w:sz w:val="18"/>
          <w:szCs w:val="18"/>
        </w:rPr>
        <w:br w:type="page"/>
      </w:r>
    </w:p>
    <w:p w14:paraId="52DA43FD" w14:textId="1733769E" w:rsidR="00932192" w:rsidRPr="00976B70" w:rsidRDefault="00932192" w:rsidP="00932192">
      <w:pPr>
        <w:pStyle w:val="Heading2"/>
        <w:rPr>
          <w:rFonts w:asciiTheme="minorHAnsi" w:hAnsiTheme="minorHAnsi" w:cstheme="minorHAnsi"/>
          <w:sz w:val="21"/>
          <w:szCs w:val="21"/>
        </w:rPr>
      </w:pPr>
      <w:r w:rsidRPr="00976B70">
        <w:rPr>
          <w:rFonts w:asciiTheme="minorHAnsi" w:hAnsiTheme="minorHAnsi" w:cstheme="minorHAnsi"/>
          <w:sz w:val="21"/>
          <w:szCs w:val="21"/>
        </w:rPr>
        <w:t>Cell penetration into the scaffold</w:t>
      </w:r>
    </w:p>
    <w:p w14:paraId="2C5A3776" w14:textId="3D9A1B72" w:rsidR="00932192" w:rsidRPr="00976B70" w:rsidRDefault="00932192" w:rsidP="00932192">
      <w:r w:rsidRPr="00976B70">
        <w:rPr>
          <w:lang w:val="en-US"/>
        </w:rPr>
        <w:t>Figure S8 shows how cells penetrate around 3</w:t>
      </w:r>
      <w:r w:rsidR="0070507D" w:rsidRPr="00976B70">
        <w:rPr>
          <w:lang w:val="en-US"/>
        </w:rPr>
        <w:t>5</w:t>
      </w:r>
      <w:r w:rsidRPr="00976B70">
        <w:rPr>
          <w:lang w:val="en-US"/>
        </w:rPr>
        <w:t xml:space="preserve"> </w:t>
      </w:r>
      <w:proofErr w:type="spellStart"/>
      <w:r w:rsidRPr="00976B70">
        <w:t>μm</w:t>
      </w:r>
      <w:proofErr w:type="spellEnd"/>
      <w:r w:rsidRPr="00976B70">
        <w:rPr>
          <w:lang w:val="en-US"/>
        </w:rPr>
        <w:t xml:space="preserve"> into the scaffold forming 6 to 7 multiple layers. The inter-stack distance is 4 </w:t>
      </w:r>
      <w:proofErr w:type="spellStart"/>
      <w:r w:rsidRPr="00976B70">
        <w:t>μm</w:t>
      </w:r>
      <w:proofErr w:type="spellEnd"/>
      <w:r w:rsidRPr="00976B70">
        <w:t>.</w:t>
      </w:r>
    </w:p>
    <w:p w14:paraId="132CBEA5" w14:textId="77777777" w:rsidR="007A3A98" w:rsidRPr="00976B70" w:rsidRDefault="007A3A98" w:rsidP="007A3A98">
      <w:pPr>
        <w:jc w:val="center"/>
        <w:rPr>
          <w:rFonts w:asciiTheme="minorBidi" w:hAnsiTheme="minorBidi"/>
          <w:sz w:val="24"/>
          <w:szCs w:val="24"/>
          <w:highlight w:val="yellow"/>
          <w:lang w:val="en-US"/>
        </w:rPr>
      </w:pPr>
      <w:r w:rsidRPr="00976B70">
        <w:rPr>
          <w:rFonts w:asciiTheme="minorBidi" w:hAnsiTheme="minorBidi"/>
          <w:noProof/>
          <w:sz w:val="24"/>
          <w:szCs w:val="24"/>
          <w:highlight w:val="yellow"/>
          <w:lang w:val="en-US"/>
        </w:rPr>
        <w:drawing>
          <wp:inline distT="0" distB="0" distL="0" distR="0" wp14:anchorId="1A39FB77" wp14:editId="188B88C6">
            <wp:extent cx="4771389" cy="3619892"/>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a:stretch>
                      <a:fillRect/>
                    </a:stretch>
                  </pic:blipFill>
                  <pic:spPr>
                    <a:xfrm>
                      <a:off x="0" y="0"/>
                      <a:ext cx="4771389" cy="3619892"/>
                    </a:xfrm>
                    <a:prstGeom prst="rect">
                      <a:avLst/>
                    </a:prstGeom>
                  </pic:spPr>
                </pic:pic>
              </a:graphicData>
            </a:graphic>
          </wp:inline>
        </w:drawing>
      </w:r>
    </w:p>
    <w:p w14:paraId="369A839A" w14:textId="557045C5" w:rsidR="007A3A98" w:rsidRPr="00976B70" w:rsidRDefault="007A3A98" w:rsidP="007A3A98">
      <w:pPr>
        <w:jc w:val="both"/>
        <w:rPr>
          <w:rFonts w:cstheme="minorHAnsi"/>
          <w:i/>
          <w:iCs/>
          <w:sz w:val="20"/>
          <w:szCs w:val="20"/>
        </w:rPr>
      </w:pPr>
      <w:r w:rsidRPr="00976B70">
        <w:rPr>
          <w:rFonts w:cstheme="minorHAnsi"/>
          <w:i/>
          <w:iCs/>
          <w:sz w:val="20"/>
          <w:szCs w:val="20"/>
          <w:lang w:val="en-US"/>
        </w:rPr>
        <w:t xml:space="preserve">Figure S8. </w:t>
      </w:r>
      <w:r w:rsidRPr="00976B70">
        <w:rPr>
          <w:rFonts w:cstheme="minorHAnsi"/>
          <w:i/>
          <w:iCs/>
          <w:sz w:val="20"/>
          <w:szCs w:val="20"/>
        </w:rPr>
        <w:t xml:space="preserve">Confocal microscopy of A549 cells on the </w:t>
      </w:r>
      <w:proofErr w:type="spellStart"/>
      <w:r w:rsidRPr="00976B70">
        <w:rPr>
          <w:rFonts w:cstheme="minorHAnsi"/>
          <w:i/>
          <w:iCs/>
          <w:sz w:val="20"/>
          <w:szCs w:val="20"/>
        </w:rPr>
        <w:t>Bionate</w:t>
      </w:r>
      <w:proofErr w:type="spellEnd"/>
      <w:r w:rsidRPr="00976B70">
        <w:rPr>
          <w:rFonts w:cstheme="minorHAnsi"/>
          <w:i/>
          <w:iCs/>
          <w:sz w:val="20"/>
          <w:szCs w:val="20"/>
        </w:rPr>
        <w:t xml:space="preserve">® membrane after 3h of stretching. </w:t>
      </w:r>
      <w:r w:rsidRPr="00976B70">
        <w:rPr>
          <w:rFonts w:cstheme="minorHAnsi"/>
          <w:i/>
          <w:iCs/>
          <w:sz w:val="20"/>
          <w:szCs w:val="20"/>
          <w:lang w:val="en-US"/>
        </w:rPr>
        <w:t xml:space="preserve">Confocal stack of DAPI stained cells (Blue) with the </w:t>
      </w:r>
      <w:proofErr w:type="spellStart"/>
      <w:r w:rsidRPr="00976B70">
        <w:rPr>
          <w:rFonts w:cstheme="minorHAnsi"/>
          <w:i/>
          <w:iCs/>
          <w:sz w:val="20"/>
          <w:szCs w:val="20"/>
          <w:lang w:val="en-US"/>
        </w:rPr>
        <w:t>Bionate</w:t>
      </w:r>
      <w:proofErr w:type="spellEnd"/>
      <w:r w:rsidRPr="00976B70">
        <w:rPr>
          <w:rFonts w:cstheme="minorHAnsi"/>
          <w:i/>
          <w:iCs/>
          <w:sz w:val="20"/>
          <w:szCs w:val="20"/>
          <w:lang w:val="en-US"/>
        </w:rPr>
        <w:t xml:space="preserve"> membrane</w:t>
      </w:r>
      <w:r w:rsidR="0070507D" w:rsidRPr="00976B70">
        <w:rPr>
          <w:rFonts w:cstheme="minorHAnsi"/>
          <w:i/>
          <w:iCs/>
          <w:sz w:val="20"/>
          <w:szCs w:val="20"/>
          <w:lang w:val="en-US"/>
        </w:rPr>
        <w:t xml:space="preserve"> (apical surface=a; basal surface=i</w:t>
      </w:r>
      <w:proofErr w:type="gramStart"/>
      <w:r w:rsidR="0070507D" w:rsidRPr="00976B70">
        <w:rPr>
          <w:rFonts w:cstheme="minorHAnsi"/>
          <w:i/>
          <w:iCs/>
          <w:sz w:val="20"/>
          <w:szCs w:val="20"/>
          <w:lang w:val="en-US"/>
        </w:rPr>
        <w:t>) )</w:t>
      </w:r>
      <w:proofErr w:type="gramEnd"/>
      <w:r w:rsidRPr="00976B70">
        <w:rPr>
          <w:rFonts w:cstheme="minorHAnsi"/>
          <w:i/>
          <w:iCs/>
          <w:sz w:val="20"/>
          <w:szCs w:val="20"/>
          <w:lang w:val="en-US"/>
        </w:rPr>
        <w:t xml:space="preserve">, showing </w:t>
      </w:r>
      <w:r w:rsidRPr="00976B70">
        <w:rPr>
          <w:rFonts w:cstheme="minorHAnsi"/>
          <w:bCs/>
          <w:i/>
          <w:iCs/>
          <w:sz w:val="20"/>
          <w:szCs w:val="20"/>
        </w:rPr>
        <w:t>ca. 35 µm of cell infiltration into the scaffold</w:t>
      </w:r>
      <w:r w:rsidRPr="00976B70">
        <w:rPr>
          <w:rFonts w:cstheme="minorHAnsi"/>
          <w:i/>
          <w:iCs/>
          <w:sz w:val="20"/>
          <w:szCs w:val="20"/>
          <w:lang w:val="en-US"/>
        </w:rPr>
        <w:t xml:space="preserve">. Inter stack-distance is 4 </w:t>
      </w:r>
      <w:proofErr w:type="spellStart"/>
      <w:r w:rsidRPr="00976B70">
        <w:rPr>
          <w:rFonts w:cstheme="minorHAnsi"/>
          <w:i/>
          <w:iCs/>
          <w:sz w:val="20"/>
          <w:szCs w:val="20"/>
        </w:rPr>
        <w:t>μm</w:t>
      </w:r>
      <w:proofErr w:type="spellEnd"/>
      <w:r w:rsidRPr="00976B70">
        <w:rPr>
          <w:rFonts w:cstheme="minorHAnsi"/>
          <w:i/>
          <w:iCs/>
          <w:sz w:val="20"/>
          <w:szCs w:val="20"/>
        </w:rPr>
        <w:t xml:space="preserve">. The </w:t>
      </w:r>
      <w:r w:rsidR="00FA2861" w:rsidRPr="00976B70">
        <w:rPr>
          <w:rFonts w:cstheme="minorHAnsi"/>
          <w:i/>
          <w:iCs/>
          <w:sz w:val="20"/>
          <w:szCs w:val="20"/>
        </w:rPr>
        <w:t>s</w:t>
      </w:r>
      <w:r w:rsidRPr="00976B70">
        <w:rPr>
          <w:rFonts w:cstheme="minorHAnsi"/>
          <w:i/>
          <w:iCs/>
          <w:sz w:val="20"/>
          <w:szCs w:val="20"/>
        </w:rPr>
        <w:t>cale bar is 100</w:t>
      </w:r>
      <w:r w:rsidR="00FA2861" w:rsidRPr="00976B70">
        <w:rPr>
          <w:rFonts w:cstheme="minorHAnsi"/>
          <w:i/>
          <w:iCs/>
          <w:sz w:val="20"/>
          <w:szCs w:val="20"/>
        </w:rPr>
        <w:t xml:space="preserve"> </w:t>
      </w:r>
      <w:r w:rsidRPr="00976B70">
        <w:rPr>
          <w:rFonts w:cstheme="minorHAnsi"/>
          <w:i/>
          <w:iCs/>
          <w:sz w:val="20"/>
          <w:szCs w:val="20"/>
        </w:rPr>
        <w:t>µm.</w:t>
      </w:r>
    </w:p>
    <w:p w14:paraId="7B8D8344" w14:textId="6A22C259" w:rsidR="007A3A98" w:rsidRPr="00976B70" w:rsidRDefault="007A3A98" w:rsidP="007A3A98">
      <w:pPr>
        <w:pStyle w:val="Heading2"/>
        <w:rPr>
          <w:rFonts w:asciiTheme="minorHAnsi" w:hAnsiTheme="minorHAnsi" w:cstheme="minorHAnsi"/>
          <w:sz w:val="21"/>
          <w:szCs w:val="21"/>
        </w:rPr>
      </w:pPr>
      <w:r w:rsidRPr="00976B70">
        <w:rPr>
          <w:rFonts w:asciiTheme="minorHAnsi" w:hAnsiTheme="minorHAnsi" w:cstheme="minorHAnsi"/>
          <w:sz w:val="21"/>
          <w:szCs w:val="21"/>
        </w:rPr>
        <w:t>Adherence and proliferation of bronchial epithelial 16HBE14o− cells to the scaffold</w:t>
      </w:r>
    </w:p>
    <w:p w14:paraId="0B1DD6EF" w14:textId="77777777" w:rsidR="007A3A98" w:rsidRPr="00976B70" w:rsidRDefault="007A3A98" w:rsidP="007A3A98">
      <w:pPr>
        <w:jc w:val="both"/>
        <w:rPr>
          <w:rFonts w:asciiTheme="minorBidi" w:hAnsiTheme="minorBidi"/>
          <w:sz w:val="24"/>
          <w:szCs w:val="24"/>
        </w:rPr>
      </w:pPr>
      <w:r w:rsidRPr="00976B70">
        <w:rPr>
          <w:rFonts w:asciiTheme="minorBidi" w:hAnsiTheme="minorBidi"/>
          <w:noProof/>
          <w:sz w:val="24"/>
          <w:szCs w:val="24"/>
        </w:rPr>
        <w:drawing>
          <wp:inline distT="0" distB="0" distL="0" distR="0" wp14:anchorId="2CFE95FB" wp14:editId="3DCC8EF5">
            <wp:extent cx="3544478" cy="2345183"/>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S-SEM.tiff"/>
                    <pic:cNvPicPr/>
                  </pic:nvPicPr>
                  <pic:blipFill>
                    <a:blip r:embed="rId16"/>
                    <a:stretch>
                      <a:fillRect/>
                    </a:stretch>
                  </pic:blipFill>
                  <pic:spPr>
                    <a:xfrm>
                      <a:off x="0" y="0"/>
                      <a:ext cx="3552309" cy="2350364"/>
                    </a:xfrm>
                    <a:prstGeom prst="rect">
                      <a:avLst/>
                    </a:prstGeom>
                  </pic:spPr>
                </pic:pic>
              </a:graphicData>
            </a:graphic>
          </wp:inline>
        </w:drawing>
      </w:r>
    </w:p>
    <w:p w14:paraId="3F3199C9" w14:textId="5A71E55B" w:rsidR="00932192" w:rsidRPr="00976B70" w:rsidRDefault="0070507D" w:rsidP="00932192">
      <w:pPr>
        <w:rPr>
          <w:lang w:val="en-US"/>
        </w:rPr>
      </w:pPr>
      <w:r w:rsidRPr="00976B70">
        <w:rPr>
          <w:rFonts w:cstheme="minorHAnsi"/>
          <w:i/>
          <w:iCs/>
          <w:sz w:val="20"/>
          <w:szCs w:val="20"/>
        </w:rPr>
        <w:t xml:space="preserve">Figure S9. Scanning electron microscopy (SEM) micrograph shows bronchial epithelial 16HBE14o− cells forming a confluent layer on the </w:t>
      </w:r>
      <w:proofErr w:type="spellStart"/>
      <w:r w:rsidRPr="00976B70">
        <w:rPr>
          <w:rFonts w:cstheme="minorHAnsi"/>
          <w:i/>
          <w:iCs/>
          <w:sz w:val="20"/>
          <w:szCs w:val="20"/>
        </w:rPr>
        <w:t>electrospun</w:t>
      </w:r>
      <w:proofErr w:type="spellEnd"/>
      <w:r w:rsidRPr="00976B70">
        <w:rPr>
          <w:rFonts w:cstheme="minorHAnsi"/>
          <w:i/>
          <w:iCs/>
          <w:sz w:val="20"/>
          <w:szCs w:val="20"/>
        </w:rPr>
        <w:t xml:space="preserve"> </w:t>
      </w:r>
      <w:proofErr w:type="spellStart"/>
      <w:r w:rsidRPr="00976B70">
        <w:rPr>
          <w:rFonts w:cstheme="minorHAnsi"/>
          <w:i/>
          <w:iCs/>
          <w:sz w:val="20"/>
          <w:szCs w:val="20"/>
        </w:rPr>
        <w:t>Bionate</w:t>
      </w:r>
      <w:proofErr w:type="spellEnd"/>
      <w:r w:rsidRPr="00976B70">
        <w:rPr>
          <w:rFonts w:cstheme="minorHAnsi"/>
          <w:i/>
          <w:iCs/>
          <w:sz w:val="20"/>
          <w:szCs w:val="20"/>
        </w:rPr>
        <w:t xml:space="preserve"> membrane (cell density: 2x105 cells cm-2, 6 days under submerged conditions and 2 days under ALI culture), except for a few regions, possibly due to localized, non-sufficient Matrigel coating. The scale bar is 100 µm.</w:t>
      </w:r>
    </w:p>
    <w:p w14:paraId="02F2573D" w14:textId="06DE5230" w:rsidR="004525FE" w:rsidRPr="00976B70" w:rsidRDefault="004525FE" w:rsidP="00BC3249">
      <w:pPr>
        <w:pStyle w:val="Heading1"/>
        <w:numPr>
          <w:ilvl w:val="0"/>
          <w:numId w:val="0"/>
        </w:numPr>
        <w:spacing w:line="276" w:lineRule="auto"/>
        <w:rPr>
          <w:rFonts w:asciiTheme="minorHAnsi" w:hAnsiTheme="minorHAnsi" w:cstheme="minorHAnsi"/>
          <w:b/>
          <w:bCs/>
          <w:sz w:val="28"/>
          <w:szCs w:val="28"/>
        </w:rPr>
      </w:pPr>
      <w:r w:rsidRPr="00976B70">
        <w:rPr>
          <w:rFonts w:asciiTheme="minorHAnsi" w:hAnsiTheme="minorHAnsi" w:cstheme="minorHAnsi"/>
          <w:b/>
          <w:bCs/>
          <w:sz w:val="28"/>
          <w:szCs w:val="28"/>
        </w:rPr>
        <w:t>Bibliography</w:t>
      </w:r>
    </w:p>
    <w:p w14:paraId="3ADE245A" w14:textId="6BB77A38" w:rsidR="006838DD" w:rsidRPr="00976B70" w:rsidRDefault="009C7EC7" w:rsidP="006838DD">
      <w:pPr>
        <w:widowControl w:val="0"/>
        <w:autoSpaceDE w:val="0"/>
        <w:autoSpaceDN w:val="0"/>
        <w:adjustRightInd w:val="0"/>
        <w:spacing w:after="0" w:line="240" w:lineRule="auto"/>
        <w:ind w:left="480" w:hanging="480"/>
        <w:rPr>
          <w:rFonts w:ascii="Calibri" w:hAnsi="Calibri" w:cs="Calibri"/>
          <w:noProof/>
          <w:sz w:val="20"/>
          <w:szCs w:val="24"/>
          <w:lang w:val="it-IT"/>
        </w:rPr>
      </w:pPr>
      <w:r w:rsidRPr="00976B70">
        <w:rPr>
          <w:rFonts w:cstheme="minorHAnsi"/>
          <w:i/>
          <w:iCs/>
          <w:sz w:val="21"/>
          <w:szCs w:val="21"/>
        </w:rPr>
        <w:fldChar w:fldCharType="begin" w:fldLock="1"/>
      </w:r>
      <w:r w:rsidRPr="00976B70">
        <w:rPr>
          <w:rFonts w:cstheme="minorHAnsi"/>
          <w:i/>
          <w:iCs/>
          <w:sz w:val="21"/>
          <w:szCs w:val="21"/>
          <w:lang w:val="en-US"/>
        </w:rPr>
        <w:instrText xml:space="preserve">ADDIN Mendeley Bibliography CSL_BIBLIOGRAPHY </w:instrText>
      </w:r>
      <w:r w:rsidRPr="00976B70">
        <w:rPr>
          <w:rFonts w:cstheme="minorHAnsi"/>
          <w:i/>
          <w:iCs/>
          <w:sz w:val="21"/>
          <w:szCs w:val="21"/>
        </w:rPr>
        <w:fldChar w:fldCharType="separate"/>
      </w:r>
      <w:r w:rsidR="006838DD" w:rsidRPr="00976B70">
        <w:rPr>
          <w:rFonts w:ascii="Calibri" w:hAnsi="Calibri" w:cs="Calibri"/>
          <w:noProof/>
          <w:sz w:val="20"/>
          <w:szCs w:val="24"/>
        </w:rPr>
        <w:t xml:space="preserve">Hinds WC. 1999. Aerosol technology: properties, behavior, and measurement of airborne particles. </w:t>
      </w:r>
      <w:r w:rsidR="006838DD" w:rsidRPr="00976B70">
        <w:rPr>
          <w:rFonts w:ascii="Calibri" w:hAnsi="Calibri" w:cs="Calibri"/>
          <w:noProof/>
          <w:sz w:val="20"/>
          <w:szCs w:val="24"/>
          <w:lang w:val="it-IT"/>
        </w:rPr>
        <w:t>John Wiley &amp; Sons.</w:t>
      </w:r>
    </w:p>
    <w:p w14:paraId="77256390" w14:textId="77777777" w:rsidR="006838DD" w:rsidRPr="00976B70" w:rsidRDefault="006838DD" w:rsidP="006838DD">
      <w:pPr>
        <w:widowControl w:val="0"/>
        <w:autoSpaceDE w:val="0"/>
        <w:autoSpaceDN w:val="0"/>
        <w:adjustRightInd w:val="0"/>
        <w:spacing w:after="0" w:line="240" w:lineRule="auto"/>
        <w:ind w:left="480" w:hanging="480"/>
        <w:rPr>
          <w:rFonts w:ascii="Calibri" w:hAnsi="Calibri" w:cs="Calibri"/>
          <w:noProof/>
          <w:sz w:val="20"/>
          <w:szCs w:val="24"/>
        </w:rPr>
      </w:pPr>
      <w:r w:rsidRPr="00976B70">
        <w:rPr>
          <w:rFonts w:ascii="Calibri" w:hAnsi="Calibri" w:cs="Calibri"/>
          <w:noProof/>
          <w:sz w:val="20"/>
          <w:szCs w:val="24"/>
          <w:lang w:val="it-IT"/>
        </w:rPr>
        <w:t xml:space="preserve">Mazzei D, Guzzardi MA, Giusti S, Ahluwalia A. 2010. </w:t>
      </w:r>
      <w:r w:rsidRPr="00976B70">
        <w:rPr>
          <w:rFonts w:ascii="Calibri" w:hAnsi="Calibri" w:cs="Calibri"/>
          <w:noProof/>
          <w:sz w:val="20"/>
          <w:szCs w:val="24"/>
        </w:rPr>
        <w:t xml:space="preserve">A low shear stress modular bioreactor for connected cell culture under high flow rates. </w:t>
      </w:r>
      <w:r w:rsidRPr="00976B70">
        <w:rPr>
          <w:rFonts w:ascii="Calibri" w:hAnsi="Calibri" w:cs="Calibri"/>
          <w:i/>
          <w:iCs/>
          <w:noProof/>
          <w:sz w:val="20"/>
          <w:szCs w:val="24"/>
        </w:rPr>
        <w:t>Biotechnol. Bioeng.</w:t>
      </w:r>
      <w:r w:rsidRPr="00976B70">
        <w:rPr>
          <w:rFonts w:ascii="Calibri" w:hAnsi="Calibri" w:cs="Calibri"/>
          <w:noProof/>
          <w:sz w:val="20"/>
          <w:szCs w:val="24"/>
        </w:rPr>
        <w:t xml:space="preserve"> </w:t>
      </w:r>
      <w:r w:rsidRPr="00976B70">
        <w:rPr>
          <w:rFonts w:ascii="Calibri" w:hAnsi="Calibri" w:cs="Calibri"/>
          <w:b/>
          <w:bCs/>
          <w:noProof/>
          <w:sz w:val="20"/>
          <w:szCs w:val="24"/>
        </w:rPr>
        <w:t>106</w:t>
      </w:r>
      <w:r w:rsidRPr="00976B70">
        <w:rPr>
          <w:rFonts w:ascii="Calibri" w:hAnsi="Calibri" w:cs="Calibri"/>
          <w:noProof/>
          <w:sz w:val="20"/>
          <w:szCs w:val="24"/>
        </w:rPr>
        <w:t>:n/a-n/a. http://doi.wiley.com/10.1002/bit.22671.</w:t>
      </w:r>
    </w:p>
    <w:p w14:paraId="70698777" w14:textId="77777777" w:rsidR="006838DD" w:rsidRPr="00976B70" w:rsidRDefault="006838DD" w:rsidP="006838DD">
      <w:pPr>
        <w:widowControl w:val="0"/>
        <w:autoSpaceDE w:val="0"/>
        <w:autoSpaceDN w:val="0"/>
        <w:adjustRightInd w:val="0"/>
        <w:spacing w:after="0" w:line="240" w:lineRule="auto"/>
        <w:ind w:left="480" w:hanging="480"/>
        <w:rPr>
          <w:rFonts w:ascii="Calibri" w:hAnsi="Calibri" w:cs="Calibri"/>
          <w:noProof/>
          <w:sz w:val="20"/>
          <w:szCs w:val="24"/>
        </w:rPr>
      </w:pPr>
      <w:r w:rsidRPr="00976B70">
        <w:rPr>
          <w:rFonts w:ascii="Calibri" w:hAnsi="Calibri" w:cs="Calibri"/>
          <w:noProof/>
          <w:sz w:val="20"/>
          <w:szCs w:val="24"/>
        </w:rPr>
        <w:t>Polyanin AD, Alexander V. Manzhirov. 2006. Handbook of Mathematics for Engineers and Scientists. http://onlinelibrary.wiley.com/doi/10.1002/cbdv.200490137/abstract.</w:t>
      </w:r>
    </w:p>
    <w:p w14:paraId="1B7EDFB0" w14:textId="77777777" w:rsidR="006838DD" w:rsidRPr="00976B70" w:rsidRDefault="006838DD" w:rsidP="006838DD">
      <w:pPr>
        <w:widowControl w:val="0"/>
        <w:autoSpaceDE w:val="0"/>
        <w:autoSpaceDN w:val="0"/>
        <w:adjustRightInd w:val="0"/>
        <w:spacing w:after="0" w:line="240" w:lineRule="auto"/>
        <w:ind w:left="480" w:hanging="480"/>
        <w:rPr>
          <w:rFonts w:ascii="Calibri" w:hAnsi="Calibri" w:cs="Calibri"/>
          <w:noProof/>
          <w:sz w:val="20"/>
          <w:szCs w:val="24"/>
        </w:rPr>
      </w:pPr>
      <w:r w:rsidRPr="00976B70">
        <w:rPr>
          <w:rFonts w:ascii="Calibri" w:hAnsi="Calibri" w:cs="Calibri"/>
          <w:noProof/>
          <w:sz w:val="20"/>
          <w:szCs w:val="24"/>
        </w:rPr>
        <w:t xml:space="preserve">Rausch SMK, Haberthür D, Stampanoni M, Schittny JC, Wall WA. 2011. Local Strain Distribution in Real Three-Dimensional Alveolar Geometries. </w:t>
      </w:r>
      <w:r w:rsidRPr="00976B70">
        <w:rPr>
          <w:rFonts w:ascii="Calibri" w:hAnsi="Calibri" w:cs="Calibri"/>
          <w:i/>
          <w:iCs/>
          <w:noProof/>
          <w:sz w:val="20"/>
          <w:szCs w:val="24"/>
        </w:rPr>
        <w:t>Ann. Biomed. Eng.</w:t>
      </w:r>
      <w:r w:rsidRPr="00976B70">
        <w:rPr>
          <w:rFonts w:ascii="Calibri" w:hAnsi="Calibri" w:cs="Calibri"/>
          <w:noProof/>
          <w:sz w:val="20"/>
          <w:szCs w:val="24"/>
        </w:rPr>
        <w:t xml:space="preserve"> </w:t>
      </w:r>
      <w:r w:rsidRPr="00976B70">
        <w:rPr>
          <w:rFonts w:ascii="Calibri" w:hAnsi="Calibri" w:cs="Calibri"/>
          <w:b/>
          <w:bCs/>
          <w:noProof/>
          <w:sz w:val="20"/>
          <w:szCs w:val="24"/>
        </w:rPr>
        <w:t>39</w:t>
      </w:r>
      <w:r w:rsidRPr="00976B70">
        <w:rPr>
          <w:rFonts w:ascii="Calibri" w:hAnsi="Calibri" w:cs="Calibri"/>
          <w:noProof/>
          <w:sz w:val="20"/>
          <w:szCs w:val="24"/>
        </w:rPr>
        <w:t>:2835–2843. http://link.springer.com/10.1007/s10439-011-0328-z.</w:t>
      </w:r>
    </w:p>
    <w:p w14:paraId="6D58155D" w14:textId="77777777" w:rsidR="006838DD" w:rsidRPr="00976B70" w:rsidRDefault="006838DD" w:rsidP="006838DD">
      <w:pPr>
        <w:widowControl w:val="0"/>
        <w:autoSpaceDE w:val="0"/>
        <w:autoSpaceDN w:val="0"/>
        <w:adjustRightInd w:val="0"/>
        <w:spacing w:after="0" w:line="240" w:lineRule="auto"/>
        <w:ind w:left="480" w:hanging="480"/>
        <w:rPr>
          <w:rFonts w:ascii="Calibri" w:hAnsi="Calibri" w:cs="Calibri"/>
          <w:noProof/>
          <w:sz w:val="20"/>
          <w:szCs w:val="24"/>
        </w:rPr>
      </w:pPr>
      <w:r w:rsidRPr="00976B70">
        <w:rPr>
          <w:rFonts w:ascii="Calibri" w:hAnsi="Calibri" w:cs="Calibri"/>
          <w:noProof/>
          <w:sz w:val="20"/>
          <w:szCs w:val="24"/>
        </w:rPr>
        <w:t xml:space="preserve">Roan E, Waters CM. 2011. What do we know about mechanical strain in lung alveoli? </w:t>
      </w:r>
      <w:r w:rsidRPr="00976B70">
        <w:rPr>
          <w:rFonts w:ascii="Calibri" w:hAnsi="Calibri" w:cs="Calibri"/>
          <w:i/>
          <w:iCs/>
          <w:noProof/>
          <w:sz w:val="20"/>
          <w:szCs w:val="24"/>
        </w:rPr>
        <w:t>Am. J. Physiol. Cell. Mol. Physiol.</w:t>
      </w:r>
      <w:r w:rsidRPr="00976B70">
        <w:rPr>
          <w:rFonts w:ascii="Calibri" w:hAnsi="Calibri" w:cs="Calibri"/>
          <w:noProof/>
          <w:sz w:val="20"/>
          <w:szCs w:val="24"/>
        </w:rPr>
        <w:t xml:space="preserve"> </w:t>
      </w:r>
      <w:r w:rsidRPr="00976B70">
        <w:rPr>
          <w:rFonts w:ascii="Calibri" w:hAnsi="Calibri" w:cs="Calibri"/>
          <w:b/>
          <w:bCs/>
          <w:noProof/>
          <w:sz w:val="20"/>
          <w:szCs w:val="24"/>
        </w:rPr>
        <w:t>301</w:t>
      </w:r>
      <w:r w:rsidRPr="00976B70">
        <w:rPr>
          <w:rFonts w:ascii="Calibri" w:hAnsi="Calibri" w:cs="Calibri"/>
          <w:noProof/>
          <w:sz w:val="20"/>
          <w:szCs w:val="24"/>
        </w:rPr>
        <w:t>:L625–L635. https://www.physiology.org/doi/10.1152/ajplung.00105.2011.</w:t>
      </w:r>
    </w:p>
    <w:p w14:paraId="673873FD" w14:textId="77777777" w:rsidR="006838DD" w:rsidRPr="00976B70" w:rsidRDefault="006838DD" w:rsidP="006838DD">
      <w:pPr>
        <w:widowControl w:val="0"/>
        <w:autoSpaceDE w:val="0"/>
        <w:autoSpaceDN w:val="0"/>
        <w:adjustRightInd w:val="0"/>
        <w:spacing w:after="0" w:line="240" w:lineRule="auto"/>
        <w:ind w:left="480" w:hanging="480"/>
        <w:rPr>
          <w:rFonts w:ascii="Calibri" w:hAnsi="Calibri" w:cs="Calibri"/>
          <w:noProof/>
          <w:sz w:val="20"/>
          <w:szCs w:val="24"/>
        </w:rPr>
      </w:pPr>
      <w:r w:rsidRPr="00976B70">
        <w:rPr>
          <w:rFonts w:ascii="Calibri" w:hAnsi="Calibri" w:cs="Calibri"/>
          <w:noProof/>
          <w:sz w:val="20"/>
          <w:szCs w:val="24"/>
        </w:rPr>
        <w:t>Timoshenko SP, Woinowsky-Krieger S. 1959. Theory of plates and shells, Engineering Societies Monographs 2nd ed. New York: McGraw-Hill 580 p.</w:t>
      </w:r>
    </w:p>
    <w:p w14:paraId="7BC69DA1" w14:textId="77777777" w:rsidR="006838DD" w:rsidRPr="00976B70" w:rsidRDefault="006838DD" w:rsidP="006838DD">
      <w:pPr>
        <w:widowControl w:val="0"/>
        <w:autoSpaceDE w:val="0"/>
        <w:autoSpaceDN w:val="0"/>
        <w:adjustRightInd w:val="0"/>
        <w:spacing w:after="0" w:line="240" w:lineRule="auto"/>
        <w:ind w:left="480" w:hanging="480"/>
        <w:rPr>
          <w:rFonts w:ascii="Calibri" w:hAnsi="Calibri" w:cs="Calibri"/>
          <w:noProof/>
          <w:sz w:val="20"/>
        </w:rPr>
      </w:pPr>
      <w:r w:rsidRPr="00976B70">
        <w:rPr>
          <w:rFonts w:ascii="Calibri" w:hAnsi="Calibri" w:cs="Calibri"/>
          <w:noProof/>
          <w:sz w:val="20"/>
          <w:szCs w:val="24"/>
        </w:rPr>
        <w:t xml:space="preserve">Wade OL. 1954. Movements of the thoracic cage and diaphragm in respiration. </w:t>
      </w:r>
      <w:r w:rsidRPr="00976B70">
        <w:rPr>
          <w:rFonts w:ascii="Calibri" w:hAnsi="Calibri" w:cs="Calibri"/>
          <w:i/>
          <w:iCs/>
          <w:noProof/>
          <w:sz w:val="20"/>
          <w:szCs w:val="24"/>
        </w:rPr>
        <w:t>J. Physiol.</w:t>
      </w:r>
      <w:r w:rsidRPr="00976B70">
        <w:rPr>
          <w:rFonts w:ascii="Calibri" w:hAnsi="Calibri" w:cs="Calibri"/>
          <w:noProof/>
          <w:sz w:val="20"/>
          <w:szCs w:val="24"/>
        </w:rPr>
        <w:t xml:space="preserve"> </w:t>
      </w:r>
      <w:r w:rsidRPr="00976B70">
        <w:rPr>
          <w:rFonts w:ascii="Calibri" w:hAnsi="Calibri" w:cs="Calibri"/>
          <w:b/>
          <w:bCs/>
          <w:noProof/>
          <w:sz w:val="20"/>
          <w:szCs w:val="24"/>
        </w:rPr>
        <w:t>124</w:t>
      </w:r>
      <w:r w:rsidRPr="00976B70">
        <w:rPr>
          <w:rFonts w:ascii="Calibri" w:hAnsi="Calibri" w:cs="Calibri"/>
          <w:noProof/>
          <w:sz w:val="20"/>
          <w:szCs w:val="24"/>
        </w:rPr>
        <w:t>:193–212. http://doi.wiley.com/10.1113/jphysiol.1954.sp005099.</w:t>
      </w:r>
    </w:p>
    <w:p w14:paraId="6D7C9F11" w14:textId="7DCEBCAD" w:rsidR="009C7EC7" w:rsidRPr="00976B70" w:rsidRDefault="009C7EC7" w:rsidP="006838DD">
      <w:pPr>
        <w:autoSpaceDE w:val="0"/>
        <w:autoSpaceDN w:val="0"/>
        <w:adjustRightInd w:val="0"/>
        <w:spacing w:after="0"/>
        <w:jc w:val="center"/>
        <w:rPr>
          <w:rFonts w:ascii="CMTI9" w:hAnsi="CMTI9" w:cs="CMTI9"/>
          <w:i/>
          <w:iCs/>
          <w:sz w:val="18"/>
          <w:szCs w:val="18"/>
        </w:rPr>
      </w:pPr>
      <w:r w:rsidRPr="00976B70">
        <w:rPr>
          <w:rFonts w:cstheme="minorHAnsi"/>
          <w:i/>
          <w:iCs/>
          <w:sz w:val="21"/>
          <w:szCs w:val="21"/>
        </w:rPr>
        <w:fldChar w:fldCharType="end"/>
      </w:r>
    </w:p>
    <w:p w14:paraId="4FC7BFA3" w14:textId="77777777" w:rsidR="008D682A" w:rsidRPr="00976B70" w:rsidRDefault="008D682A" w:rsidP="00BC3249"/>
    <w:sectPr w:rsidR="008D682A" w:rsidRPr="00976B70" w:rsidSect="00FA2861">
      <w:foot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11B22C" w14:textId="77777777" w:rsidR="00311EE6" w:rsidRDefault="00311EE6" w:rsidP="0065427B">
      <w:pPr>
        <w:spacing w:after="0" w:line="240" w:lineRule="auto"/>
      </w:pPr>
      <w:r>
        <w:separator/>
      </w:r>
    </w:p>
  </w:endnote>
  <w:endnote w:type="continuationSeparator" w:id="0">
    <w:p w14:paraId="1139BDD5" w14:textId="77777777" w:rsidR="00311EE6" w:rsidRDefault="00311EE6" w:rsidP="00654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MR10">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MTI9">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96040077"/>
      <w:docPartObj>
        <w:docPartGallery w:val="Page Numbers (Bottom of Page)"/>
        <w:docPartUnique/>
      </w:docPartObj>
    </w:sdtPr>
    <w:sdtEndPr>
      <w:rPr>
        <w:noProof/>
      </w:rPr>
    </w:sdtEndPr>
    <w:sdtContent>
      <w:p w14:paraId="20434DF9" w14:textId="63F66688" w:rsidR="0065427B" w:rsidRDefault="0065427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AFF46D3" w14:textId="77777777" w:rsidR="0065427B" w:rsidRDefault="006542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053392" w14:textId="77777777" w:rsidR="00311EE6" w:rsidRDefault="00311EE6" w:rsidP="0065427B">
      <w:pPr>
        <w:spacing w:after="0" w:line="240" w:lineRule="auto"/>
      </w:pPr>
      <w:r>
        <w:separator/>
      </w:r>
    </w:p>
  </w:footnote>
  <w:footnote w:type="continuationSeparator" w:id="0">
    <w:p w14:paraId="11FF7622" w14:textId="77777777" w:rsidR="00311EE6" w:rsidRDefault="00311EE6" w:rsidP="0065427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B"/>
    <w:multiLevelType w:val="multilevel"/>
    <w:tmpl w:val="6EECB82C"/>
    <w:lvl w:ilvl="0">
      <w:start w:val="1"/>
      <w:numFmt w:val="upperRoman"/>
      <w:pStyle w:val="Heading1"/>
      <w:lvlText w:val="%1."/>
      <w:lvlJc w:val="left"/>
      <w:pPr>
        <w:ind w:left="0" w:firstLine="0"/>
      </w:pPr>
      <w:rPr>
        <w:rFonts w:hint="default"/>
      </w:rPr>
    </w:lvl>
    <w:lvl w:ilvl="1">
      <w:start w:val="1"/>
      <w:numFmt w:val="upperLetter"/>
      <w:pStyle w:val="Heading2"/>
      <w:lvlText w:val="%2."/>
      <w:lvlJc w:val="left"/>
      <w:pPr>
        <w:ind w:left="0" w:firstLine="0"/>
      </w:pPr>
      <w:rPr>
        <w:rFonts w:hint="default"/>
      </w:rPr>
    </w:lvl>
    <w:lvl w:ilvl="2">
      <w:start w:val="1"/>
      <w:numFmt w:val="decimal"/>
      <w:pStyle w:val="Heading3"/>
      <w:lvlText w:val="%3)"/>
      <w:lvlJc w:val="left"/>
      <w:pPr>
        <w:ind w:left="0" w:firstLine="0"/>
      </w:pPr>
      <w:rPr>
        <w:rFonts w:hint="default"/>
      </w:rPr>
    </w:lvl>
    <w:lvl w:ilvl="3">
      <w:start w:val="1"/>
      <w:numFmt w:val="lowerLetter"/>
      <w:pStyle w:val="Heading4"/>
      <w:lvlText w:val="%4)"/>
      <w:lvlJc w:val="left"/>
      <w:pPr>
        <w:ind w:left="1152" w:hanging="720"/>
      </w:pPr>
      <w:rPr>
        <w:rFonts w:hint="default"/>
      </w:rPr>
    </w:lvl>
    <w:lvl w:ilvl="4">
      <w:start w:val="1"/>
      <w:numFmt w:val="decimal"/>
      <w:pStyle w:val="Heading5"/>
      <w:lvlText w:val="(%5)"/>
      <w:lvlJc w:val="left"/>
      <w:pPr>
        <w:ind w:left="1872" w:hanging="720"/>
      </w:pPr>
      <w:rPr>
        <w:rFonts w:hint="default"/>
      </w:rPr>
    </w:lvl>
    <w:lvl w:ilvl="5">
      <w:start w:val="1"/>
      <w:numFmt w:val="lowerLetter"/>
      <w:pStyle w:val="Heading6"/>
      <w:lvlText w:val="(%6)"/>
      <w:lvlJc w:val="left"/>
      <w:pPr>
        <w:ind w:left="2592" w:hanging="720"/>
      </w:pPr>
      <w:rPr>
        <w:rFonts w:hint="default"/>
      </w:rPr>
    </w:lvl>
    <w:lvl w:ilvl="6">
      <w:start w:val="1"/>
      <w:numFmt w:val="lowerRoman"/>
      <w:pStyle w:val="Heading7"/>
      <w:lvlText w:val="(%7)"/>
      <w:lvlJc w:val="left"/>
      <w:pPr>
        <w:ind w:left="3312" w:hanging="720"/>
      </w:pPr>
      <w:rPr>
        <w:rFonts w:hint="default"/>
      </w:rPr>
    </w:lvl>
    <w:lvl w:ilvl="7">
      <w:start w:val="1"/>
      <w:numFmt w:val="lowerLetter"/>
      <w:pStyle w:val="Heading8"/>
      <w:lvlText w:val="(%8)"/>
      <w:lvlJc w:val="left"/>
      <w:pPr>
        <w:ind w:left="4032" w:hanging="720"/>
      </w:pPr>
      <w:rPr>
        <w:rFonts w:hint="default"/>
      </w:rPr>
    </w:lvl>
    <w:lvl w:ilvl="8">
      <w:start w:val="1"/>
      <w:numFmt w:val="lowerRoman"/>
      <w:pStyle w:val="Heading9"/>
      <w:lvlText w:val="(%9)"/>
      <w:lvlJc w:val="left"/>
      <w:pPr>
        <w:ind w:left="4752" w:hanging="720"/>
      </w:pPr>
      <w:rPr>
        <w:rFonts w:hint="default"/>
      </w:rPr>
    </w:lvl>
  </w:abstractNum>
  <w:abstractNum w:abstractNumId="1" w15:restartNumberingAfterBreak="0">
    <w:nsid w:val="13607385"/>
    <w:multiLevelType w:val="hybridMultilevel"/>
    <w:tmpl w:val="7E505D7C"/>
    <w:lvl w:ilvl="0" w:tplc="04100001">
      <w:start w:val="1"/>
      <w:numFmt w:val="bullet"/>
      <w:lvlText w:val=""/>
      <w:lvlJc w:val="left"/>
      <w:pPr>
        <w:ind w:left="530" w:hanging="360"/>
      </w:pPr>
      <w:rPr>
        <w:rFonts w:ascii="Symbol" w:hAnsi="Symbol" w:hint="default"/>
      </w:rPr>
    </w:lvl>
    <w:lvl w:ilvl="1" w:tplc="04100003" w:tentative="1">
      <w:start w:val="1"/>
      <w:numFmt w:val="bullet"/>
      <w:lvlText w:val="o"/>
      <w:lvlJc w:val="left"/>
      <w:pPr>
        <w:ind w:left="1250" w:hanging="360"/>
      </w:pPr>
      <w:rPr>
        <w:rFonts w:ascii="Courier New" w:hAnsi="Courier New" w:cs="Courier New" w:hint="default"/>
      </w:rPr>
    </w:lvl>
    <w:lvl w:ilvl="2" w:tplc="04100005" w:tentative="1">
      <w:start w:val="1"/>
      <w:numFmt w:val="bullet"/>
      <w:lvlText w:val=""/>
      <w:lvlJc w:val="left"/>
      <w:pPr>
        <w:ind w:left="1970" w:hanging="360"/>
      </w:pPr>
      <w:rPr>
        <w:rFonts w:ascii="Wingdings" w:hAnsi="Wingdings" w:hint="default"/>
      </w:rPr>
    </w:lvl>
    <w:lvl w:ilvl="3" w:tplc="04100001" w:tentative="1">
      <w:start w:val="1"/>
      <w:numFmt w:val="bullet"/>
      <w:lvlText w:val=""/>
      <w:lvlJc w:val="left"/>
      <w:pPr>
        <w:ind w:left="2690" w:hanging="360"/>
      </w:pPr>
      <w:rPr>
        <w:rFonts w:ascii="Symbol" w:hAnsi="Symbol" w:hint="default"/>
      </w:rPr>
    </w:lvl>
    <w:lvl w:ilvl="4" w:tplc="04100003" w:tentative="1">
      <w:start w:val="1"/>
      <w:numFmt w:val="bullet"/>
      <w:lvlText w:val="o"/>
      <w:lvlJc w:val="left"/>
      <w:pPr>
        <w:ind w:left="3410" w:hanging="360"/>
      </w:pPr>
      <w:rPr>
        <w:rFonts w:ascii="Courier New" w:hAnsi="Courier New" w:cs="Courier New" w:hint="default"/>
      </w:rPr>
    </w:lvl>
    <w:lvl w:ilvl="5" w:tplc="04100005" w:tentative="1">
      <w:start w:val="1"/>
      <w:numFmt w:val="bullet"/>
      <w:lvlText w:val=""/>
      <w:lvlJc w:val="left"/>
      <w:pPr>
        <w:ind w:left="4130" w:hanging="360"/>
      </w:pPr>
      <w:rPr>
        <w:rFonts w:ascii="Wingdings" w:hAnsi="Wingdings" w:hint="default"/>
      </w:rPr>
    </w:lvl>
    <w:lvl w:ilvl="6" w:tplc="04100001" w:tentative="1">
      <w:start w:val="1"/>
      <w:numFmt w:val="bullet"/>
      <w:lvlText w:val=""/>
      <w:lvlJc w:val="left"/>
      <w:pPr>
        <w:ind w:left="4850" w:hanging="360"/>
      </w:pPr>
      <w:rPr>
        <w:rFonts w:ascii="Symbol" w:hAnsi="Symbol" w:hint="default"/>
      </w:rPr>
    </w:lvl>
    <w:lvl w:ilvl="7" w:tplc="04100003" w:tentative="1">
      <w:start w:val="1"/>
      <w:numFmt w:val="bullet"/>
      <w:lvlText w:val="o"/>
      <w:lvlJc w:val="left"/>
      <w:pPr>
        <w:ind w:left="5570" w:hanging="360"/>
      </w:pPr>
      <w:rPr>
        <w:rFonts w:ascii="Courier New" w:hAnsi="Courier New" w:cs="Courier New" w:hint="default"/>
      </w:rPr>
    </w:lvl>
    <w:lvl w:ilvl="8" w:tplc="04100005" w:tentative="1">
      <w:start w:val="1"/>
      <w:numFmt w:val="bullet"/>
      <w:lvlText w:val=""/>
      <w:lvlJc w:val="left"/>
      <w:pPr>
        <w:ind w:left="629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82A"/>
    <w:rsid w:val="00000B06"/>
    <w:rsid w:val="00043722"/>
    <w:rsid w:val="00156CA5"/>
    <w:rsid w:val="001759D4"/>
    <w:rsid w:val="00194FD4"/>
    <w:rsid w:val="00213B28"/>
    <w:rsid w:val="00240D81"/>
    <w:rsid w:val="0024700F"/>
    <w:rsid w:val="002E36A8"/>
    <w:rsid w:val="002F1FE1"/>
    <w:rsid w:val="003062AF"/>
    <w:rsid w:val="00311EE6"/>
    <w:rsid w:val="003744F7"/>
    <w:rsid w:val="003D3BC4"/>
    <w:rsid w:val="0042590A"/>
    <w:rsid w:val="004525FE"/>
    <w:rsid w:val="004B039A"/>
    <w:rsid w:val="004B5434"/>
    <w:rsid w:val="00523062"/>
    <w:rsid w:val="005629F1"/>
    <w:rsid w:val="005F436A"/>
    <w:rsid w:val="0065427B"/>
    <w:rsid w:val="006838DD"/>
    <w:rsid w:val="00694E53"/>
    <w:rsid w:val="006B55DA"/>
    <w:rsid w:val="006F64AA"/>
    <w:rsid w:val="0070507D"/>
    <w:rsid w:val="007A3A98"/>
    <w:rsid w:val="007C4520"/>
    <w:rsid w:val="007D59A1"/>
    <w:rsid w:val="007E47D4"/>
    <w:rsid w:val="007F5E3F"/>
    <w:rsid w:val="008246E7"/>
    <w:rsid w:val="00873E0C"/>
    <w:rsid w:val="00886AC0"/>
    <w:rsid w:val="008C103A"/>
    <w:rsid w:val="008D682A"/>
    <w:rsid w:val="008E05DB"/>
    <w:rsid w:val="00932192"/>
    <w:rsid w:val="0095605B"/>
    <w:rsid w:val="00976B70"/>
    <w:rsid w:val="00991C98"/>
    <w:rsid w:val="00995B7F"/>
    <w:rsid w:val="009C7EC7"/>
    <w:rsid w:val="009E1CC3"/>
    <w:rsid w:val="00A51628"/>
    <w:rsid w:val="00A87AD1"/>
    <w:rsid w:val="00A95152"/>
    <w:rsid w:val="00AC0BE8"/>
    <w:rsid w:val="00AC6290"/>
    <w:rsid w:val="00AD5085"/>
    <w:rsid w:val="00AE533B"/>
    <w:rsid w:val="00B01558"/>
    <w:rsid w:val="00B05A0D"/>
    <w:rsid w:val="00B10A11"/>
    <w:rsid w:val="00B36303"/>
    <w:rsid w:val="00B44D67"/>
    <w:rsid w:val="00B519ED"/>
    <w:rsid w:val="00B72FD2"/>
    <w:rsid w:val="00BC3249"/>
    <w:rsid w:val="00C03380"/>
    <w:rsid w:val="00C75888"/>
    <w:rsid w:val="00C86C7B"/>
    <w:rsid w:val="00CB5F74"/>
    <w:rsid w:val="00CC7913"/>
    <w:rsid w:val="00CF3AB9"/>
    <w:rsid w:val="00D0334E"/>
    <w:rsid w:val="00D60188"/>
    <w:rsid w:val="00D92970"/>
    <w:rsid w:val="00DC771A"/>
    <w:rsid w:val="00DD3476"/>
    <w:rsid w:val="00DD5712"/>
    <w:rsid w:val="00DE023F"/>
    <w:rsid w:val="00E207F9"/>
    <w:rsid w:val="00E26B20"/>
    <w:rsid w:val="00E66933"/>
    <w:rsid w:val="00E812E9"/>
    <w:rsid w:val="00EF64AD"/>
    <w:rsid w:val="00F04F23"/>
    <w:rsid w:val="00FA2861"/>
    <w:rsid w:val="00FE63A4"/>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F57519A"/>
  <w15:docId w15:val="{C695F846-26AC-40A8-A961-185CD9E115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682A"/>
    <w:pPr>
      <w:spacing w:after="200" w:line="276" w:lineRule="auto"/>
    </w:pPr>
  </w:style>
  <w:style w:type="paragraph" w:styleId="Heading1">
    <w:name w:val="heading 1"/>
    <w:basedOn w:val="Normal"/>
    <w:next w:val="Normal"/>
    <w:link w:val="Heading1Char"/>
    <w:qFormat/>
    <w:rsid w:val="008D682A"/>
    <w:pPr>
      <w:keepNext/>
      <w:numPr>
        <w:numId w:val="1"/>
      </w:numPr>
      <w:autoSpaceDE w:val="0"/>
      <w:autoSpaceDN w:val="0"/>
      <w:spacing w:before="240" w:after="80" w:line="240" w:lineRule="auto"/>
      <w:jc w:val="center"/>
      <w:outlineLvl w:val="0"/>
    </w:pPr>
    <w:rPr>
      <w:rFonts w:ascii="Times New Roman" w:eastAsia="Times New Roman" w:hAnsi="Times New Roman" w:cs="Times New Roman"/>
      <w:smallCaps/>
      <w:kern w:val="28"/>
      <w:sz w:val="20"/>
      <w:szCs w:val="20"/>
      <w:lang w:val="en-US"/>
    </w:rPr>
  </w:style>
  <w:style w:type="paragraph" w:styleId="Heading2">
    <w:name w:val="heading 2"/>
    <w:basedOn w:val="Normal"/>
    <w:next w:val="Normal"/>
    <w:link w:val="Heading2Char"/>
    <w:qFormat/>
    <w:rsid w:val="008D682A"/>
    <w:pPr>
      <w:keepNext/>
      <w:numPr>
        <w:ilvl w:val="1"/>
        <w:numId w:val="1"/>
      </w:numPr>
      <w:autoSpaceDE w:val="0"/>
      <w:autoSpaceDN w:val="0"/>
      <w:spacing w:before="120" w:after="60" w:line="240" w:lineRule="auto"/>
      <w:outlineLvl w:val="1"/>
    </w:pPr>
    <w:rPr>
      <w:rFonts w:ascii="Times New Roman" w:eastAsia="Times New Roman" w:hAnsi="Times New Roman" w:cs="Times New Roman"/>
      <w:i/>
      <w:iCs/>
      <w:sz w:val="20"/>
      <w:szCs w:val="20"/>
      <w:lang w:val="en-US"/>
    </w:rPr>
  </w:style>
  <w:style w:type="paragraph" w:styleId="Heading3">
    <w:name w:val="heading 3"/>
    <w:basedOn w:val="Normal"/>
    <w:next w:val="Normal"/>
    <w:link w:val="Heading3Char"/>
    <w:qFormat/>
    <w:rsid w:val="008D682A"/>
    <w:pPr>
      <w:keepNext/>
      <w:numPr>
        <w:ilvl w:val="2"/>
        <w:numId w:val="1"/>
      </w:numPr>
      <w:autoSpaceDE w:val="0"/>
      <w:autoSpaceDN w:val="0"/>
      <w:spacing w:after="0" w:line="240" w:lineRule="auto"/>
      <w:outlineLvl w:val="2"/>
    </w:pPr>
    <w:rPr>
      <w:rFonts w:ascii="Times New Roman" w:eastAsia="Times New Roman" w:hAnsi="Times New Roman" w:cs="Times New Roman"/>
      <w:i/>
      <w:iCs/>
      <w:sz w:val="20"/>
      <w:szCs w:val="20"/>
      <w:lang w:val="en-US"/>
    </w:rPr>
  </w:style>
  <w:style w:type="paragraph" w:styleId="Heading4">
    <w:name w:val="heading 4"/>
    <w:basedOn w:val="Normal"/>
    <w:next w:val="Normal"/>
    <w:link w:val="Heading4Char"/>
    <w:qFormat/>
    <w:rsid w:val="008D682A"/>
    <w:pPr>
      <w:keepNext/>
      <w:numPr>
        <w:ilvl w:val="3"/>
        <w:numId w:val="1"/>
      </w:numPr>
      <w:autoSpaceDE w:val="0"/>
      <w:autoSpaceDN w:val="0"/>
      <w:spacing w:before="240" w:after="60" w:line="240" w:lineRule="auto"/>
      <w:outlineLvl w:val="3"/>
    </w:pPr>
    <w:rPr>
      <w:rFonts w:ascii="Times New Roman" w:eastAsia="Times New Roman" w:hAnsi="Times New Roman" w:cs="Times New Roman"/>
      <w:i/>
      <w:iCs/>
      <w:sz w:val="18"/>
      <w:szCs w:val="18"/>
      <w:lang w:val="en-US"/>
    </w:rPr>
  </w:style>
  <w:style w:type="paragraph" w:styleId="Heading5">
    <w:name w:val="heading 5"/>
    <w:basedOn w:val="Normal"/>
    <w:next w:val="Normal"/>
    <w:link w:val="Heading5Char"/>
    <w:qFormat/>
    <w:rsid w:val="008D682A"/>
    <w:pPr>
      <w:numPr>
        <w:ilvl w:val="4"/>
        <w:numId w:val="1"/>
      </w:numPr>
      <w:autoSpaceDE w:val="0"/>
      <w:autoSpaceDN w:val="0"/>
      <w:spacing w:before="240" w:after="60" w:line="240" w:lineRule="auto"/>
      <w:outlineLvl w:val="4"/>
    </w:pPr>
    <w:rPr>
      <w:rFonts w:ascii="Times New Roman" w:eastAsia="Times New Roman" w:hAnsi="Times New Roman" w:cs="Times New Roman"/>
      <w:sz w:val="18"/>
      <w:szCs w:val="18"/>
      <w:lang w:val="en-US"/>
    </w:rPr>
  </w:style>
  <w:style w:type="paragraph" w:styleId="Heading6">
    <w:name w:val="heading 6"/>
    <w:basedOn w:val="Normal"/>
    <w:next w:val="Normal"/>
    <w:link w:val="Heading6Char"/>
    <w:qFormat/>
    <w:rsid w:val="008D682A"/>
    <w:pPr>
      <w:numPr>
        <w:ilvl w:val="5"/>
        <w:numId w:val="1"/>
      </w:numPr>
      <w:autoSpaceDE w:val="0"/>
      <w:autoSpaceDN w:val="0"/>
      <w:spacing w:before="240" w:after="60" w:line="240" w:lineRule="auto"/>
      <w:outlineLvl w:val="5"/>
    </w:pPr>
    <w:rPr>
      <w:rFonts w:ascii="Times New Roman" w:eastAsia="Times New Roman" w:hAnsi="Times New Roman" w:cs="Times New Roman"/>
      <w:i/>
      <w:iCs/>
      <w:sz w:val="16"/>
      <w:szCs w:val="16"/>
      <w:lang w:val="en-US"/>
    </w:rPr>
  </w:style>
  <w:style w:type="paragraph" w:styleId="Heading7">
    <w:name w:val="heading 7"/>
    <w:basedOn w:val="Normal"/>
    <w:next w:val="Normal"/>
    <w:link w:val="Heading7Char"/>
    <w:qFormat/>
    <w:rsid w:val="008D682A"/>
    <w:pPr>
      <w:numPr>
        <w:ilvl w:val="6"/>
        <w:numId w:val="1"/>
      </w:numPr>
      <w:autoSpaceDE w:val="0"/>
      <w:autoSpaceDN w:val="0"/>
      <w:spacing w:before="240" w:after="60" w:line="240" w:lineRule="auto"/>
      <w:outlineLvl w:val="6"/>
    </w:pPr>
    <w:rPr>
      <w:rFonts w:ascii="Times New Roman" w:eastAsia="Times New Roman" w:hAnsi="Times New Roman" w:cs="Times New Roman"/>
      <w:sz w:val="16"/>
      <w:szCs w:val="16"/>
      <w:lang w:val="en-US"/>
    </w:rPr>
  </w:style>
  <w:style w:type="paragraph" w:styleId="Heading8">
    <w:name w:val="heading 8"/>
    <w:basedOn w:val="Normal"/>
    <w:next w:val="Normal"/>
    <w:link w:val="Heading8Char"/>
    <w:qFormat/>
    <w:rsid w:val="008D682A"/>
    <w:pPr>
      <w:numPr>
        <w:ilvl w:val="7"/>
        <w:numId w:val="1"/>
      </w:numPr>
      <w:autoSpaceDE w:val="0"/>
      <w:autoSpaceDN w:val="0"/>
      <w:spacing w:before="240" w:after="60" w:line="240" w:lineRule="auto"/>
      <w:outlineLvl w:val="7"/>
    </w:pPr>
    <w:rPr>
      <w:rFonts w:ascii="Times New Roman" w:eastAsia="Times New Roman" w:hAnsi="Times New Roman" w:cs="Times New Roman"/>
      <w:i/>
      <w:iCs/>
      <w:sz w:val="16"/>
      <w:szCs w:val="16"/>
      <w:lang w:val="en-US"/>
    </w:rPr>
  </w:style>
  <w:style w:type="paragraph" w:styleId="Heading9">
    <w:name w:val="heading 9"/>
    <w:basedOn w:val="Normal"/>
    <w:next w:val="Normal"/>
    <w:link w:val="Heading9Char"/>
    <w:qFormat/>
    <w:rsid w:val="008D682A"/>
    <w:pPr>
      <w:numPr>
        <w:ilvl w:val="8"/>
        <w:numId w:val="1"/>
      </w:numPr>
      <w:autoSpaceDE w:val="0"/>
      <w:autoSpaceDN w:val="0"/>
      <w:spacing w:before="240" w:after="60" w:line="240" w:lineRule="auto"/>
      <w:outlineLvl w:val="8"/>
    </w:pPr>
    <w:rPr>
      <w:rFonts w:ascii="Times New Roman" w:eastAsia="Times New Roman" w:hAnsi="Times New Roman" w:cs="Times New Roman"/>
      <w:sz w:val="16"/>
      <w:szCs w:val="1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D682A"/>
    <w:rPr>
      <w:rFonts w:ascii="Times New Roman" w:eastAsia="Times New Roman" w:hAnsi="Times New Roman" w:cs="Times New Roman"/>
      <w:smallCaps/>
      <w:kern w:val="28"/>
      <w:sz w:val="20"/>
      <w:szCs w:val="20"/>
      <w:lang w:val="en-US"/>
    </w:rPr>
  </w:style>
  <w:style w:type="character" w:customStyle="1" w:styleId="Heading2Char">
    <w:name w:val="Heading 2 Char"/>
    <w:basedOn w:val="DefaultParagraphFont"/>
    <w:link w:val="Heading2"/>
    <w:rsid w:val="008D682A"/>
    <w:rPr>
      <w:rFonts w:ascii="Times New Roman" w:eastAsia="Times New Roman" w:hAnsi="Times New Roman" w:cs="Times New Roman"/>
      <w:i/>
      <w:iCs/>
      <w:sz w:val="20"/>
      <w:szCs w:val="20"/>
      <w:lang w:val="en-US"/>
    </w:rPr>
  </w:style>
  <w:style w:type="character" w:customStyle="1" w:styleId="Heading3Char">
    <w:name w:val="Heading 3 Char"/>
    <w:basedOn w:val="DefaultParagraphFont"/>
    <w:link w:val="Heading3"/>
    <w:rsid w:val="008D682A"/>
    <w:rPr>
      <w:rFonts w:ascii="Times New Roman" w:eastAsia="Times New Roman" w:hAnsi="Times New Roman" w:cs="Times New Roman"/>
      <w:i/>
      <w:iCs/>
      <w:sz w:val="20"/>
      <w:szCs w:val="20"/>
      <w:lang w:val="en-US"/>
    </w:rPr>
  </w:style>
  <w:style w:type="character" w:customStyle="1" w:styleId="Heading4Char">
    <w:name w:val="Heading 4 Char"/>
    <w:basedOn w:val="DefaultParagraphFont"/>
    <w:link w:val="Heading4"/>
    <w:rsid w:val="008D682A"/>
    <w:rPr>
      <w:rFonts w:ascii="Times New Roman" w:eastAsia="Times New Roman" w:hAnsi="Times New Roman" w:cs="Times New Roman"/>
      <w:i/>
      <w:iCs/>
      <w:sz w:val="18"/>
      <w:szCs w:val="18"/>
      <w:lang w:val="en-US"/>
    </w:rPr>
  </w:style>
  <w:style w:type="character" w:customStyle="1" w:styleId="Heading5Char">
    <w:name w:val="Heading 5 Char"/>
    <w:basedOn w:val="DefaultParagraphFont"/>
    <w:link w:val="Heading5"/>
    <w:rsid w:val="008D682A"/>
    <w:rPr>
      <w:rFonts w:ascii="Times New Roman" w:eastAsia="Times New Roman" w:hAnsi="Times New Roman" w:cs="Times New Roman"/>
      <w:sz w:val="18"/>
      <w:szCs w:val="18"/>
      <w:lang w:val="en-US"/>
    </w:rPr>
  </w:style>
  <w:style w:type="character" w:customStyle="1" w:styleId="Heading6Char">
    <w:name w:val="Heading 6 Char"/>
    <w:basedOn w:val="DefaultParagraphFont"/>
    <w:link w:val="Heading6"/>
    <w:rsid w:val="008D682A"/>
    <w:rPr>
      <w:rFonts w:ascii="Times New Roman" w:eastAsia="Times New Roman" w:hAnsi="Times New Roman" w:cs="Times New Roman"/>
      <w:i/>
      <w:iCs/>
      <w:sz w:val="16"/>
      <w:szCs w:val="16"/>
      <w:lang w:val="en-US"/>
    </w:rPr>
  </w:style>
  <w:style w:type="character" w:customStyle="1" w:styleId="Heading7Char">
    <w:name w:val="Heading 7 Char"/>
    <w:basedOn w:val="DefaultParagraphFont"/>
    <w:link w:val="Heading7"/>
    <w:rsid w:val="008D682A"/>
    <w:rPr>
      <w:rFonts w:ascii="Times New Roman" w:eastAsia="Times New Roman" w:hAnsi="Times New Roman" w:cs="Times New Roman"/>
      <w:sz w:val="16"/>
      <w:szCs w:val="16"/>
      <w:lang w:val="en-US"/>
    </w:rPr>
  </w:style>
  <w:style w:type="character" w:customStyle="1" w:styleId="Heading8Char">
    <w:name w:val="Heading 8 Char"/>
    <w:basedOn w:val="DefaultParagraphFont"/>
    <w:link w:val="Heading8"/>
    <w:rsid w:val="008D682A"/>
    <w:rPr>
      <w:rFonts w:ascii="Times New Roman" w:eastAsia="Times New Roman" w:hAnsi="Times New Roman" w:cs="Times New Roman"/>
      <w:i/>
      <w:iCs/>
      <w:sz w:val="16"/>
      <w:szCs w:val="16"/>
      <w:lang w:val="en-US"/>
    </w:rPr>
  </w:style>
  <w:style w:type="character" w:customStyle="1" w:styleId="Heading9Char">
    <w:name w:val="Heading 9 Char"/>
    <w:basedOn w:val="DefaultParagraphFont"/>
    <w:link w:val="Heading9"/>
    <w:rsid w:val="008D682A"/>
    <w:rPr>
      <w:rFonts w:ascii="Times New Roman" w:eastAsia="Times New Roman" w:hAnsi="Times New Roman" w:cs="Times New Roman"/>
      <w:sz w:val="16"/>
      <w:szCs w:val="16"/>
      <w:lang w:val="en-US"/>
    </w:rPr>
  </w:style>
  <w:style w:type="paragraph" w:customStyle="1" w:styleId="Text">
    <w:name w:val="Text"/>
    <w:basedOn w:val="Normal"/>
    <w:rsid w:val="008D682A"/>
    <w:pPr>
      <w:widowControl w:val="0"/>
      <w:autoSpaceDE w:val="0"/>
      <w:autoSpaceDN w:val="0"/>
      <w:spacing w:after="0" w:line="252" w:lineRule="auto"/>
      <w:ind w:firstLine="170"/>
      <w:jc w:val="both"/>
    </w:pPr>
    <w:rPr>
      <w:rFonts w:ascii="Times New Roman" w:eastAsia="Times New Roman" w:hAnsi="Times New Roman" w:cs="Times New Roman"/>
      <w:sz w:val="20"/>
      <w:szCs w:val="20"/>
      <w:lang w:val="en-US"/>
    </w:rPr>
  </w:style>
  <w:style w:type="paragraph" w:styleId="ListParagraph">
    <w:name w:val="List Paragraph"/>
    <w:basedOn w:val="Normal"/>
    <w:uiPriority w:val="34"/>
    <w:qFormat/>
    <w:rsid w:val="008D682A"/>
    <w:pPr>
      <w:ind w:left="720"/>
      <w:contextualSpacing/>
    </w:pPr>
  </w:style>
  <w:style w:type="character" w:styleId="CommentReference">
    <w:name w:val="annotation reference"/>
    <w:basedOn w:val="DefaultParagraphFont"/>
    <w:uiPriority w:val="99"/>
    <w:semiHidden/>
    <w:unhideWhenUsed/>
    <w:rsid w:val="008D682A"/>
    <w:rPr>
      <w:sz w:val="16"/>
      <w:szCs w:val="16"/>
    </w:rPr>
  </w:style>
  <w:style w:type="paragraph" w:styleId="CommentText">
    <w:name w:val="annotation text"/>
    <w:basedOn w:val="Normal"/>
    <w:link w:val="CommentTextChar"/>
    <w:uiPriority w:val="99"/>
    <w:unhideWhenUsed/>
    <w:rsid w:val="008D682A"/>
    <w:pPr>
      <w:spacing w:line="240" w:lineRule="auto"/>
    </w:pPr>
    <w:rPr>
      <w:sz w:val="20"/>
      <w:szCs w:val="20"/>
    </w:rPr>
  </w:style>
  <w:style w:type="character" w:customStyle="1" w:styleId="CommentTextChar">
    <w:name w:val="Comment Text Char"/>
    <w:basedOn w:val="DefaultParagraphFont"/>
    <w:link w:val="CommentText"/>
    <w:uiPriority w:val="99"/>
    <w:rsid w:val="008D682A"/>
    <w:rPr>
      <w:sz w:val="20"/>
      <w:szCs w:val="20"/>
    </w:rPr>
  </w:style>
  <w:style w:type="character" w:styleId="Hyperlink">
    <w:name w:val="Hyperlink"/>
    <w:basedOn w:val="DefaultParagraphFont"/>
    <w:uiPriority w:val="99"/>
    <w:semiHidden/>
    <w:unhideWhenUsed/>
    <w:rsid w:val="008D682A"/>
    <w:rPr>
      <w:color w:val="0000FF"/>
      <w:u w:val="single"/>
    </w:rPr>
  </w:style>
  <w:style w:type="character" w:customStyle="1" w:styleId="reference-text">
    <w:name w:val="reference-text"/>
    <w:basedOn w:val="DefaultParagraphFont"/>
    <w:rsid w:val="008D682A"/>
  </w:style>
  <w:style w:type="character" w:styleId="HTMLCite">
    <w:name w:val="HTML Cite"/>
    <w:basedOn w:val="DefaultParagraphFont"/>
    <w:uiPriority w:val="99"/>
    <w:semiHidden/>
    <w:unhideWhenUsed/>
    <w:rsid w:val="008D682A"/>
    <w:rPr>
      <w:i/>
      <w:iCs/>
    </w:rPr>
  </w:style>
  <w:style w:type="paragraph" w:styleId="BalloonText">
    <w:name w:val="Balloon Text"/>
    <w:basedOn w:val="Normal"/>
    <w:link w:val="BalloonTextChar"/>
    <w:uiPriority w:val="99"/>
    <w:semiHidden/>
    <w:unhideWhenUsed/>
    <w:rsid w:val="008D682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682A"/>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AD5085"/>
    <w:rPr>
      <w:b/>
      <w:bCs/>
    </w:rPr>
  </w:style>
  <w:style w:type="character" w:customStyle="1" w:styleId="CommentSubjectChar">
    <w:name w:val="Comment Subject Char"/>
    <w:basedOn w:val="CommentTextChar"/>
    <w:link w:val="CommentSubject"/>
    <w:uiPriority w:val="99"/>
    <w:semiHidden/>
    <w:rsid w:val="00AD5085"/>
    <w:rPr>
      <w:b/>
      <w:bCs/>
      <w:sz w:val="20"/>
      <w:szCs w:val="20"/>
    </w:rPr>
  </w:style>
  <w:style w:type="character" w:styleId="Strong">
    <w:name w:val="Strong"/>
    <w:basedOn w:val="DefaultParagraphFont"/>
    <w:uiPriority w:val="22"/>
    <w:qFormat/>
    <w:rsid w:val="001759D4"/>
    <w:rPr>
      <w:b/>
      <w:bCs/>
    </w:rPr>
  </w:style>
  <w:style w:type="paragraph" w:styleId="Header">
    <w:name w:val="header"/>
    <w:basedOn w:val="Normal"/>
    <w:link w:val="HeaderChar"/>
    <w:uiPriority w:val="99"/>
    <w:unhideWhenUsed/>
    <w:rsid w:val="0065427B"/>
    <w:pPr>
      <w:tabs>
        <w:tab w:val="center" w:pos="4513"/>
        <w:tab w:val="right" w:pos="9026"/>
      </w:tabs>
      <w:spacing w:after="0" w:line="240" w:lineRule="auto"/>
    </w:pPr>
  </w:style>
  <w:style w:type="character" w:customStyle="1" w:styleId="HeaderChar">
    <w:name w:val="Header Char"/>
    <w:basedOn w:val="DefaultParagraphFont"/>
    <w:link w:val="Header"/>
    <w:uiPriority w:val="99"/>
    <w:rsid w:val="0065427B"/>
  </w:style>
  <w:style w:type="paragraph" w:styleId="Footer">
    <w:name w:val="footer"/>
    <w:basedOn w:val="Normal"/>
    <w:link w:val="FooterChar"/>
    <w:uiPriority w:val="99"/>
    <w:unhideWhenUsed/>
    <w:rsid w:val="0065427B"/>
    <w:pPr>
      <w:tabs>
        <w:tab w:val="center" w:pos="4513"/>
        <w:tab w:val="right" w:pos="9026"/>
      </w:tabs>
      <w:spacing w:after="0" w:line="240" w:lineRule="auto"/>
    </w:pPr>
  </w:style>
  <w:style w:type="character" w:customStyle="1" w:styleId="FooterChar">
    <w:name w:val="Footer Char"/>
    <w:basedOn w:val="DefaultParagraphFont"/>
    <w:link w:val="Footer"/>
    <w:uiPriority w:val="99"/>
    <w:rsid w:val="0065427B"/>
  </w:style>
  <w:style w:type="character" w:styleId="LineNumber">
    <w:name w:val="line number"/>
    <w:basedOn w:val="DefaultParagraphFont"/>
    <w:uiPriority w:val="99"/>
    <w:semiHidden/>
    <w:unhideWhenUsed/>
    <w:rsid w:val="007F5E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C2B574-4C6A-324F-A825-2400DB8A6E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4417</Words>
  <Characters>25177</Characters>
  <Application>Microsoft Office Word</Application>
  <DocSecurity>0</DocSecurity>
  <Lines>209</Lines>
  <Paragraphs>59</Paragraphs>
  <ScaleCrop>false</ScaleCrop>
  <HeadingPairs>
    <vt:vector size="6" baseType="variant">
      <vt:variant>
        <vt:lpstr>Title</vt:lpstr>
      </vt:variant>
      <vt:variant>
        <vt:i4>1</vt:i4>
      </vt:variant>
      <vt:variant>
        <vt:lpstr>Headings</vt:lpstr>
      </vt:variant>
      <vt:variant>
        <vt:i4>12</vt:i4>
      </vt:variant>
      <vt:variant>
        <vt:lpstr>Titolo</vt:lpstr>
      </vt:variant>
      <vt:variant>
        <vt:i4>1</vt:i4>
      </vt:variant>
    </vt:vector>
  </HeadingPairs>
  <TitlesOfParts>
    <vt:vector size="14" baseType="lpstr">
      <vt:lpstr/>
      <vt:lpstr>Supplementary Information</vt:lpstr>
      <vt:lpstr>    Videos of the FEM models </vt:lpstr>
      <vt:lpstr>    Basal chamber domain in FEM model </vt:lpstr>
      <vt:lpstr>    Input parameters for the FEM model representing the apical chamber</vt:lpstr>
      <vt:lpstr>    MALI design and prototype</vt:lpstr>
      <vt:lpstr>    Control System</vt:lpstr>
      <vt:lpstr>    Membrane preparation and cell culture</vt:lpstr>
      <vt:lpstr>    Cell assays and imaging: technical details</vt:lpstr>
      <vt:lpstr>    Thin shell theory for relating membrane linear strain to overpressure in the med</vt:lpstr>
      <vt:lpstr>    Cell penetration into the scaffold</vt:lpstr>
      <vt:lpstr>    Adherence and proliferation of bronchial epithelial 16HBE14o− cells to the scaff</vt:lpstr>
      <vt:lpstr>Bibliography</vt:lpstr>
      <vt:lpstr/>
    </vt:vector>
  </TitlesOfParts>
  <Company>Helmholtz Zentrum München</Company>
  <LinksUpToDate>false</LinksUpToDate>
  <CharactersWithSpaces>29535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Arti Ahluwalia</dc:creator>
  <cp:lastModifiedBy>Arti Ahluwalia</cp:lastModifiedBy>
  <cp:revision>2</cp:revision>
  <dcterms:created xsi:type="dcterms:W3CDTF">2020-10-10T13:23:00Z</dcterms:created>
  <dcterms:modified xsi:type="dcterms:W3CDTF">2020-10-10T13:23:00Z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http://www.zotero.org/styles/biotechnology-and-bioengineering</vt:lpwstr>
  </property>
  <property fmtid="{D5CDD505-2E9C-101B-9397-08002B2CF9AE}" pid="11" name="Mendeley Recent Style Name 4_1">
    <vt:lpwstr>Biotechnology and Bioengineering</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8f200065-7487-3c80-aff8-f66b798127d2</vt:lpwstr>
  </property>
  <property fmtid="{D5CDD505-2E9C-101B-9397-08002B2CF9AE}" pid="24" name="Mendeley Citation Style_1">
    <vt:lpwstr>http://www.zotero.org/styles/biotechnology-and-bioengineering</vt:lpwstr>
  </property>
</Properties>
</file>