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Kopfzeile"/>
        <w:spacing w:line="480" w:lineRule="auto"/>
        <w:rPr>
          <w:rFonts w:ascii="Arial" w:hAnsi="Arial" w:cs="Arial"/>
          <w:b/>
          <w:sz w:val="36"/>
          <w:lang w:val="en-US"/>
        </w:rPr>
      </w:pPr>
      <w:bookmarkStart w:id="0" w:name="_GoBack"/>
      <w:bookmarkEnd w:id="0"/>
    </w:p>
    <w:p>
      <w:pPr>
        <w:pStyle w:val="Kopfzeile"/>
        <w:spacing w:line="480" w:lineRule="auto"/>
        <w:rPr>
          <w:rFonts w:ascii="Arial" w:hAnsi="Arial" w:cs="Arial"/>
          <w:b/>
          <w:sz w:val="36"/>
          <w:lang w:val="en-US"/>
        </w:rPr>
      </w:pPr>
      <w:r>
        <w:rPr>
          <w:rFonts w:ascii="Arial" w:hAnsi="Arial" w:cs="Arial"/>
          <w:b/>
          <w:sz w:val="36"/>
          <w:lang w:val="en-US"/>
        </w:rPr>
        <w:t xml:space="preserve">Incidental Findings in Whole-Body MR Imaging of a Population-based Cohort Study: Frequency, Management and </w:t>
      </w:r>
      <w:bookmarkStart w:id="1" w:name="_Hlk489262208"/>
      <w:r>
        <w:rPr>
          <w:rFonts w:ascii="Arial" w:hAnsi="Arial" w:cs="Arial"/>
          <w:b/>
          <w:sz w:val="36"/>
          <w:lang w:val="en-US"/>
        </w:rPr>
        <w:t>Psychosocial Consequences</w:t>
      </w:r>
      <w:bookmarkEnd w:id="1"/>
    </w:p>
    <w:p>
      <w:pPr>
        <w:pStyle w:val="Kopfzeile"/>
        <w:spacing w:line="480" w:lineRule="auto"/>
        <w:rPr>
          <w:rFonts w:ascii="Arial" w:hAnsi="Arial" w:cs="Arial"/>
          <w:b/>
        </w:rPr>
      </w:pPr>
    </w:p>
    <w:p>
      <w:pPr>
        <w:spacing w:after="60" w:line="480" w:lineRule="auto"/>
        <w:rPr>
          <w:rFonts w:ascii="Arial" w:hAnsi="Arial" w:cs="Arial"/>
          <w:sz w:val="22"/>
          <w:szCs w:val="22"/>
        </w:rPr>
      </w:pPr>
      <w:r>
        <w:rPr>
          <w:rFonts w:ascii="Arial" w:hAnsi="Arial" w:cs="Arial"/>
          <w:sz w:val="22"/>
          <w:szCs w:val="22"/>
        </w:rPr>
        <w:t>Christopher L. Schlett</w:t>
      </w:r>
      <w:r>
        <w:rPr>
          <w:rFonts w:ascii="Arial" w:hAnsi="Arial" w:cs="Arial"/>
          <w:sz w:val="22"/>
          <w:szCs w:val="22"/>
          <w:vertAlign w:val="superscript"/>
        </w:rPr>
        <w:t>1</w:t>
      </w:r>
      <w:r>
        <w:rPr>
          <w:rFonts w:ascii="Arial" w:hAnsi="Arial" w:cs="Arial"/>
          <w:sz w:val="22"/>
          <w:szCs w:val="22"/>
        </w:rPr>
        <w:t>, Susanne Rospleszcz</w:t>
      </w:r>
      <w:r>
        <w:rPr>
          <w:rFonts w:ascii="Arial" w:hAnsi="Arial" w:cs="Arial"/>
          <w:sz w:val="22"/>
          <w:szCs w:val="22"/>
          <w:vertAlign w:val="superscript"/>
        </w:rPr>
        <w:t>2,6</w:t>
      </w:r>
      <w:r>
        <w:rPr>
          <w:rFonts w:ascii="Arial" w:hAnsi="Arial" w:cs="Arial"/>
          <w:sz w:val="22"/>
          <w:szCs w:val="22"/>
        </w:rPr>
        <w:t>, Dorina Korbmacher</w:t>
      </w:r>
      <w:r>
        <w:rPr>
          <w:rFonts w:ascii="Arial" w:hAnsi="Arial" w:cs="Arial"/>
          <w:sz w:val="22"/>
          <w:szCs w:val="22"/>
          <w:vertAlign w:val="superscript"/>
        </w:rPr>
        <w:t>1</w:t>
      </w:r>
      <w:r>
        <w:rPr>
          <w:rFonts w:ascii="Arial" w:hAnsi="Arial" w:cs="Arial"/>
          <w:sz w:val="22"/>
          <w:szCs w:val="22"/>
        </w:rPr>
        <w:t>, Roberto Lorbeer</w:t>
      </w:r>
      <w:r>
        <w:rPr>
          <w:rFonts w:ascii="Arial" w:hAnsi="Arial" w:cs="Arial"/>
          <w:sz w:val="22"/>
          <w:szCs w:val="22"/>
          <w:vertAlign w:val="superscript"/>
        </w:rPr>
        <w:t>3</w:t>
      </w:r>
      <w:r>
        <w:rPr>
          <w:rFonts w:ascii="Arial" w:hAnsi="Arial" w:cs="Arial"/>
          <w:sz w:val="22"/>
          <w:szCs w:val="22"/>
        </w:rPr>
        <w:t>, Sigrid Auweter</w:t>
      </w:r>
      <w:r>
        <w:rPr>
          <w:rFonts w:ascii="Arial" w:hAnsi="Arial" w:cs="Arial"/>
          <w:sz w:val="22"/>
          <w:szCs w:val="22"/>
          <w:vertAlign w:val="superscript"/>
        </w:rPr>
        <w:t>3</w:t>
      </w:r>
      <w:r>
        <w:rPr>
          <w:rFonts w:ascii="Arial" w:hAnsi="Arial" w:cs="Arial"/>
          <w:sz w:val="22"/>
          <w:szCs w:val="22"/>
        </w:rPr>
        <w:t>, Holger Hetterich</w:t>
      </w:r>
      <w:r>
        <w:rPr>
          <w:rFonts w:ascii="Arial" w:hAnsi="Arial" w:cs="Arial"/>
          <w:sz w:val="22"/>
          <w:szCs w:val="22"/>
          <w:vertAlign w:val="superscript"/>
        </w:rPr>
        <w:t>3</w:t>
      </w:r>
      <w:r>
        <w:rPr>
          <w:rFonts w:ascii="Arial" w:hAnsi="Arial" w:cs="Arial"/>
          <w:sz w:val="22"/>
          <w:szCs w:val="22"/>
        </w:rPr>
        <w:t>, Sonja Selder</w:t>
      </w:r>
      <w:r>
        <w:rPr>
          <w:rFonts w:ascii="Arial" w:hAnsi="Arial" w:cs="Arial"/>
          <w:sz w:val="22"/>
          <w:szCs w:val="22"/>
          <w:vertAlign w:val="superscript"/>
        </w:rPr>
        <w:t>3</w:t>
      </w:r>
      <w:r>
        <w:rPr>
          <w:rFonts w:ascii="Arial" w:hAnsi="Arial" w:cs="Arial"/>
          <w:sz w:val="22"/>
          <w:szCs w:val="22"/>
        </w:rPr>
        <w:t>, Margit Heier</w:t>
      </w:r>
      <w:r>
        <w:rPr>
          <w:rFonts w:ascii="Arial" w:hAnsi="Arial" w:cs="Arial"/>
          <w:sz w:val="22"/>
          <w:szCs w:val="22"/>
          <w:vertAlign w:val="superscript"/>
        </w:rPr>
        <w:t>2</w:t>
      </w:r>
      <w:r>
        <w:rPr>
          <w:rFonts w:ascii="Arial" w:hAnsi="Arial" w:cs="Arial"/>
          <w:sz w:val="22"/>
          <w:szCs w:val="22"/>
        </w:rPr>
        <w:t>, Birgit Linkohr</w:t>
      </w:r>
      <w:r>
        <w:rPr>
          <w:rFonts w:ascii="Arial" w:hAnsi="Arial" w:cs="Arial"/>
          <w:sz w:val="22"/>
          <w:szCs w:val="22"/>
          <w:vertAlign w:val="superscript"/>
        </w:rPr>
        <w:t>2</w:t>
      </w:r>
      <w:r>
        <w:rPr>
          <w:rFonts w:ascii="Arial" w:hAnsi="Arial" w:cs="Arial"/>
          <w:sz w:val="22"/>
          <w:szCs w:val="22"/>
        </w:rPr>
        <w:t xml:space="preserve">, </w:t>
      </w:r>
      <w:r>
        <w:rPr>
          <w:rFonts w:ascii="Arial" w:hAnsi="Arial" w:cs="Arial"/>
          <w:sz w:val="22"/>
          <w:szCs w:val="22"/>
        </w:rPr>
        <w:br/>
        <w:t>Sabine Weckbach</w:t>
      </w:r>
      <w:r>
        <w:rPr>
          <w:rFonts w:ascii="Arial" w:hAnsi="Arial" w:cs="Arial"/>
          <w:sz w:val="22"/>
          <w:szCs w:val="22"/>
          <w:vertAlign w:val="superscript"/>
        </w:rPr>
        <w:t>4</w:t>
      </w:r>
      <w:r>
        <w:rPr>
          <w:rFonts w:ascii="Arial" w:hAnsi="Arial" w:cs="Arial"/>
          <w:sz w:val="22"/>
          <w:szCs w:val="22"/>
        </w:rPr>
        <w:t>, Birgit Ertl-Wagner</w:t>
      </w:r>
      <w:r>
        <w:rPr>
          <w:rFonts w:ascii="Arial" w:hAnsi="Arial" w:cs="Arial"/>
          <w:sz w:val="22"/>
          <w:szCs w:val="22"/>
          <w:vertAlign w:val="superscript"/>
        </w:rPr>
        <w:t>3,5</w:t>
      </w:r>
      <w:r>
        <w:rPr>
          <w:rFonts w:ascii="Arial" w:hAnsi="Arial" w:cs="Arial"/>
          <w:sz w:val="22"/>
          <w:szCs w:val="22"/>
        </w:rPr>
        <w:t>, Annette Peters</w:t>
      </w:r>
      <w:r>
        <w:rPr>
          <w:rFonts w:ascii="Arial" w:hAnsi="Arial" w:cs="Arial"/>
          <w:sz w:val="22"/>
          <w:szCs w:val="22"/>
          <w:vertAlign w:val="superscript"/>
        </w:rPr>
        <w:t>2,6</w:t>
      </w:r>
      <w:r>
        <w:rPr>
          <w:rFonts w:ascii="Arial" w:hAnsi="Arial" w:cs="Arial"/>
          <w:sz w:val="22"/>
          <w:szCs w:val="22"/>
        </w:rPr>
        <w:t>, Fabian Bamberg</w:t>
      </w:r>
      <w:r>
        <w:rPr>
          <w:rFonts w:ascii="Arial" w:hAnsi="Arial" w:cs="Arial"/>
          <w:sz w:val="22"/>
          <w:szCs w:val="22"/>
          <w:vertAlign w:val="superscript"/>
        </w:rPr>
        <w:t xml:space="preserve">1 </w:t>
      </w:r>
    </w:p>
    <w:p>
      <w:pPr>
        <w:spacing w:after="60" w:line="480" w:lineRule="auto"/>
        <w:rPr>
          <w:rFonts w:ascii="Arial" w:hAnsi="Arial" w:cs="Arial"/>
          <w:sz w:val="22"/>
          <w:szCs w:val="22"/>
        </w:rPr>
      </w:pPr>
    </w:p>
    <w:p>
      <w:pPr>
        <w:spacing w:after="60" w:line="480" w:lineRule="auto"/>
        <w:rPr>
          <w:rFonts w:ascii="Arial" w:hAnsi="Arial" w:cs="Arial"/>
          <w:sz w:val="22"/>
          <w:szCs w:val="22"/>
          <w:lang w:val="en-US"/>
        </w:rPr>
      </w:pPr>
      <w:r>
        <w:rPr>
          <w:rFonts w:ascii="Arial" w:hAnsi="Arial" w:cs="Arial"/>
          <w:sz w:val="22"/>
          <w:szCs w:val="22"/>
          <w:lang w:val="en-US"/>
        </w:rPr>
        <w:t>1 Department of Diagnostic and Interventional Radiology, Medical Center - University of Freiburg, Faculty of Medicine, University of Freiburg, Freiburg, Germany</w:t>
      </w:r>
    </w:p>
    <w:p>
      <w:pPr>
        <w:spacing w:after="60" w:line="480" w:lineRule="auto"/>
        <w:rPr>
          <w:rFonts w:ascii="Arial" w:hAnsi="Arial" w:cs="Arial"/>
          <w:sz w:val="22"/>
          <w:szCs w:val="22"/>
          <w:lang w:val="en-US"/>
        </w:rPr>
      </w:pPr>
      <w:r>
        <w:rPr>
          <w:rFonts w:ascii="Arial" w:hAnsi="Arial" w:cs="Arial"/>
          <w:sz w:val="22"/>
          <w:szCs w:val="22"/>
          <w:lang w:val="en-US"/>
        </w:rPr>
        <w:t>2 Institute of Epidemiology, Helmholtz Center Munich - German Research Center for Environmental Health, Neuherberg, Germany</w:t>
      </w:r>
    </w:p>
    <w:p>
      <w:pPr>
        <w:spacing w:after="60" w:line="480" w:lineRule="auto"/>
        <w:rPr>
          <w:rFonts w:ascii="Arial" w:hAnsi="Arial" w:cs="Arial"/>
          <w:sz w:val="22"/>
          <w:szCs w:val="22"/>
          <w:lang w:val="en-US"/>
        </w:rPr>
      </w:pPr>
      <w:r>
        <w:rPr>
          <w:rFonts w:ascii="Arial" w:hAnsi="Arial" w:cs="Arial"/>
          <w:sz w:val="22"/>
          <w:szCs w:val="22"/>
          <w:lang w:val="en-US"/>
        </w:rPr>
        <w:t>3 Department of Radiology, Ludwig-Maximilians-University Hospital, Munich, Germany</w:t>
      </w:r>
    </w:p>
    <w:p>
      <w:pPr>
        <w:spacing w:after="60" w:line="480" w:lineRule="auto"/>
        <w:rPr>
          <w:rFonts w:ascii="Arial" w:hAnsi="Arial" w:cs="Arial"/>
          <w:sz w:val="22"/>
          <w:szCs w:val="22"/>
          <w:lang w:val="en-US"/>
        </w:rPr>
      </w:pPr>
      <w:r>
        <w:rPr>
          <w:rFonts w:ascii="Arial" w:hAnsi="Arial" w:cs="Arial"/>
          <w:sz w:val="22"/>
          <w:szCs w:val="22"/>
          <w:lang w:val="en-US"/>
        </w:rPr>
        <w:t>4 Department of Diagnostic and Interventional Radiology, University Hospital Heidelberg, Heidelberg, Germany</w:t>
      </w:r>
    </w:p>
    <w:p>
      <w:pPr>
        <w:spacing w:after="60" w:line="480" w:lineRule="auto"/>
        <w:rPr>
          <w:rFonts w:ascii="Arial" w:hAnsi="Arial" w:cs="Arial"/>
          <w:sz w:val="22"/>
          <w:szCs w:val="22"/>
          <w:lang w:val="en-US"/>
        </w:rPr>
      </w:pPr>
      <w:r>
        <w:rPr>
          <w:rFonts w:ascii="Arial" w:hAnsi="Arial" w:cs="Arial"/>
          <w:sz w:val="22"/>
          <w:szCs w:val="22"/>
          <w:lang w:val="en-US"/>
        </w:rPr>
        <w:t>5 Department of Medical Imaging, Hospital for Sick Children, University of Toronto, Toronto, Canada</w:t>
      </w:r>
    </w:p>
    <w:p>
      <w:pPr>
        <w:spacing w:after="60" w:line="480" w:lineRule="auto"/>
        <w:rPr>
          <w:rFonts w:ascii="Arial" w:hAnsi="Arial" w:cs="Arial"/>
          <w:sz w:val="22"/>
          <w:szCs w:val="22"/>
          <w:lang w:val="en-US"/>
        </w:rPr>
      </w:pPr>
      <w:r>
        <w:rPr>
          <w:rFonts w:ascii="Arial" w:hAnsi="Arial" w:cs="Arial"/>
          <w:sz w:val="22"/>
          <w:szCs w:val="22"/>
          <w:lang w:val="en-US"/>
        </w:rPr>
        <w:t>6 Chair of Epidemiology, Institute for Medical Information Processing, Biometry and Epidemiology, Medical Faculty, Ludwig-Maximilians-University Munich, Munich, Germany</w:t>
      </w:r>
    </w:p>
    <w:p>
      <w:pPr>
        <w:spacing w:after="60" w:line="480" w:lineRule="auto"/>
        <w:rPr>
          <w:rFonts w:ascii="Arial" w:hAnsi="Arial" w:cs="Arial"/>
          <w:i/>
          <w:sz w:val="22"/>
          <w:szCs w:val="22"/>
          <w:lang w:val="en-US"/>
        </w:rPr>
      </w:pPr>
    </w:p>
    <w:p>
      <w:pPr>
        <w:spacing w:after="60" w:line="480" w:lineRule="auto"/>
        <w:rPr>
          <w:rFonts w:ascii="Arial" w:hAnsi="Arial" w:cs="Arial"/>
          <w:i/>
          <w:sz w:val="22"/>
          <w:szCs w:val="22"/>
          <w:lang w:val="en-US"/>
        </w:rPr>
      </w:pPr>
    </w:p>
    <w:p>
      <w:pPr>
        <w:spacing w:after="200" w:line="276" w:lineRule="auto"/>
        <w:rPr>
          <w:rFonts w:ascii="Arial" w:hAnsi="Arial" w:cs="Arial"/>
          <w:b/>
          <w:lang w:val="en-US"/>
        </w:rPr>
      </w:pPr>
      <w:r>
        <w:rPr>
          <w:rFonts w:ascii="Arial" w:hAnsi="Arial" w:cs="Arial"/>
          <w:b/>
          <w:lang w:val="en-US"/>
        </w:rPr>
        <w:br w:type="page"/>
      </w:r>
    </w:p>
    <w:p>
      <w:pPr>
        <w:spacing w:after="60" w:line="480" w:lineRule="auto"/>
        <w:jc w:val="both"/>
        <w:rPr>
          <w:rFonts w:ascii="Arial" w:hAnsi="Arial" w:cs="Arial"/>
          <w:b/>
          <w:lang w:val="en-US"/>
        </w:rPr>
      </w:pPr>
      <w:r>
        <w:rPr>
          <w:rFonts w:ascii="Arial" w:hAnsi="Arial" w:cs="Arial"/>
          <w:b/>
          <w:lang w:val="en-US"/>
        </w:rPr>
        <w:lastRenderedPageBreak/>
        <w:t xml:space="preserve">Address for Correspondence: </w:t>
      </w:r>
    </w:p>
    <w:p>
      <w:pPr>
        <w:spacing w:after="60"/>
        <w:jc w:val="both"/>
        <w:rPr>
          <w:rFonts w:ascii="Arial" w:hAnsi="Arial" w:cs="Arial"/>
          <w:sz w:val="22"/>
          <w:szCs w:val="22"/>
          <w:lang w:val="en-US"/>
        </w:rPr>
      </w:pPr>
      <w:r>
        <w:rPr>
          <w:rFonts w:ascii="Arial" w:hAnsi="Arial" w:cs="Arial"/>
          <w:sz w:val="22"/>
          <w:szCs w:val="22"/>
          <w:lang w:val="en-US"/>
        </w:rPr>
        <w:t>Christopher L. Schlett, MD MPH</w:t>
      </w:r>
    </w:p>
    <w:p>
      <w:pPr>
        <w:spacing w:after="60"/>
        <w:ind w:firstLine="708"/>
        <w:jc w:val="both"/>
        <w:rPr>
          <w:rFonts w:ascii="Arial" w:hAnsi="Arial" w:cs="Arial"/>
          <w:sz w:val="22"/>
          <w:szCs w:val="22"/>
          <w:lang w:val="en-US"/>
        </w:rPr>
      </w:pPr>
      <w:r>
        <w:rPr>
          <w:rFonts w:ascii="Arial" w:hAnsi="Arial" w:cs="Arial"/>
          <w:sz w:val="22"/>
          <w:szCs w:val="22"/>
          <w:lang w:val="en-US"/>
        </w:rPr>
        <w:t>Department of Diagnostic and Interventional Radiology</w:t>
      </w:r>
    </w:p>
    <w:p>
      <w:pPr>
        <w:spacing w:after="60"/>
        <w:ind w:firstLine="708"/>
        <w:jc w:val="both"/>
        <w:rPr>
          <w:rFonts w:ascii="Arial" w:hAnsi="Arial" w:cs="Arial"/>
          <w:sz w:val="22"/>
          <w:szCs w:val="22"/>
          <w:lang w:val="en-US"/>
        </w:rPr>
      </w:pPr>
      <w:r>
        <w:rPr>
          <w:rFonts w:ascii="Arial" w:hAnsi="Arial" w:cs="Arial"/>
          <w:sz w:val="22"/>
          <w:szCs w:val="22"/>
          <w:lang w:val="en-US"/>
        </w:rPr>
        <w:t>Medical Center - University of Freiburg</w:t>
      </w:r>
    </w:p>
    <w:p>
      <w:pPr>
        <w:spacing w:after="60"/>
        <w:ind w:firstLine="708"/>
        <w:jc w:val="both"/>
        <w:rPr>
          <w:rFonts w:ascii="Arial" w:hAnsi="Arial" w:cs="Arial"/>
          <w:sz w:val="22"/>
          <w:szCs w:val="22"/>
          <w:lang w:val="en-US"/>
        </w:rPr>
      </w:pPr>
      <w:r>
        <w:rPr>
          <w:rFonts w:ascii="Arial" w:hAnsi="Arial" w:cs="Arial"/>
          <w:sz w:val="22"/>
          <w:szCs w:val="22"/>
          <w:lang w:val="en-US"/>
        </w:rPr>
        <w:t>Hugstetter Straße 55, 79106 Freiburg, Germany</w:t>
      </w:r>
    </w:p>
    <w:p>
      <w:pPr>
        <w:spacing w:after="60"/>
        <w:ind w:firstLine="708"/>
        <w:jc w:val="both"/>
        <w:rPr>
          <w:rFonts w:ascii="Arial" w:hAnsi="Arial" w:cs="Arial"/>
          <w:sz w:val="22"/>
          <w:szCs w:val="22"/>
          <w:lang w:val="en-US"/>
        </w:rPr>
      </w:pPr>
      <w:r>
        <w:rPr>
          <w:rFonts w:ascii="Arial" w:hAnsi="Arial" w:cs="Arial"/>
          <w:sz w:val="22"/>
          <w:szCs w:val="22"/>
          <w:lang w:val="en-US"/>
        </w:rPr>
        <w:t>Telefon: +49 761 270 38190</w:t>
      </w:r>
      <w:r>
        <w:rPr>
          <w:rFonts w:ascii="Arial" w:hAnsi="Arial" w:cs="Arial"/>
          <w:sz w:val="22"/>
          <w:szCs w:val="22"/>
          <w:lang w:val="en-US"/>
        </w:rPr>
        <w:tab/>
      </w:r>
    </w:p>
    <w:p>
      <w:pPr>
        <w:spacing w:after="60"/>
        <w:ind w:firstLine="708"/>
        <w:jc w:val="both"/>
        <w:rPr>
          <w:rFonts w:ascii="Arial" w:hAnsi="Arial" w:cs="Arial"/>
          <w:sz w:val="22"/>
          <w:szCs w:val="22"/>
          <w:lang w:val="en-US"/>
        </w:rPr>
      </w:pPr>
      <w:r>
        <w:rPr>
          <w:rFonts w:ascii="Arial" w:hAnsi="Arial" w:cs="Arial"/>
          <w:sz w:val="22"/>
          <w:szCs w:val="22"/>
          <w:lang w:val="en-US"/>
        </w:rPr>
        <w:t>Telefax: +49 761 270 39500</w:t>
      </w:r>
    </w:p>
    <w:p>
      <w:pPr>
        <w:spacing w:after="60"/>
        <w:ind w:firstLine="708"/>
        <w:jc w:val="both"/>
        <w:rPr>
          <w:rFonts w:ascii="Arial" w:hAnsi="Arial" w:cs="Arial"/>
          <w:sz w:val="22"/>
          <w:szCs w:val="22"/>
          <w:lang w:val="en-US"/>
        </w:rPr>
      </w:pPr>
      <w:r>
        <w:rPr>
          <w:rFonts w:ascii="Arial" w:hAnsi="Arial" w:cs="Arial"/>
          <w:sz w:val="22"/>
          <w:szCs w:val="22"/>
          <w:lang w:val="en-US"/>
        </w:rPr>
        <w:t xml:space="preserve">eMail: </w:t>
      </w:r>
      <w:hyperlink r:id="rId8" w:history="1">
        <w:r>
          <w:rPr>
            <w:rStyle w:val="Hyperlink"/>
            <w:rFonts w:ascii="Arial" w:hAnsi="Arial" w:cs="Arial"/>
            <w:sz w:val="22"/>
            <w:szCs w:val="22"/>
            <w:lang w:val="en-US"/>
          </w:rPr>
          <w:t>christopher.schlett@post.harvard.edu</w:t>
        </w:r>
      </w:hyperlink>
      <w:r>
        <w:rPr>
          <w:rFonts w:ascii="Arial" w:hAnsi="Arial" w:cs="Arial"/>
          <w:sz w:val="22"/>
          <w:szCs w:val="22"/>
          <w:lang w:val="en-US"/>
        </w:rPr>
        <w:t xml:space="preserve"> </w:t>
      </w:r>
    </w:p>
    <w:p>
      <w:pPr>
        <w:spacing w:after="60" w:line="480" w:lineRule="auto"/>
        <w:jc w:val="both"/>
        <w:rPr>
          <w:rFonts w:ascii="Arial" w:hAnsi="Arial" w:cs="Arial"/>
          <w:b/>
          <w:sz w:val="22"/>
          <w:szCs w:val="22"/>
          <w:lang w:val="en-US"/>
        </w:rPr>
      </w:pPr>
    </w:p>
    <w:p>
      <w:pPr>
        <w:spacing w:after="60" w:line="480" w:lineRule="auto"/>
        <w:jc w:val="both"/>
        <w:rPr>
          <w:rFonts w:ascii="Arial" w:hAnsi="Arial" w:cs="Arial"/>
          <w:b/>
          <w:sz w:val="22"/>
          <w:szCs w:val="22"/>
          <w:lang w:val="en-US"/>
        </w:rPr>
      </w:pPr>
    </w:p>
    <w:p>
      <w:pPr>
        <w:spacing w:after="60" w:line="480" w:lineRule="auto"/>
        <w:jc w:val="both"/>
        <w:rPr>
          <w:rFonts w:ascii="Arial" w:hAnsi="Arial" w:cs="Arial"/>
          <w:b/>
          <w:lang w:val="en-US"/>
        </w:rPr>
      </w:pPr>
      <w:r>
        <w:rPr>
          <w:rFonts w:ascii="Arial" w:hAnsi="Arial" w:cs="Arial"/>
          <w:b/>
          <w:lang w:val="en-US"/>
        </w:rPr>
        <w:t xml:space="preserve">Running title: </w:t>
      </w:r>
      <w:r>
        <w:rPr>
          <w:rFonts w:ascii="Arial" w:hAnsi="Arial" w:cs="Arial"/>
          <w:b/>
          <w:lang w:val="en-US"/>
        </w:rPr>
        <w:tab/>
      </w:r>
    </w:p>
    <w:p>
      <w:pPr>
        <w:spacing w:after="60" w:line="480" w:lineRule="auto"/>
        <w:jc w:val="both"/>
        <w:rPr>
          <w:rFonts w:ascii="Arial" w:hAnsi="Arial" w:cs="Arial"/>
          <w:lang w:val="en-US"/>
        </w:rPr>
      </w:pPr>
      <w:r>
        <w:rPr>
          <w:rFonts w:ascii="Arial" w:hAnsi="Arial" w:cs="Arial"/>
          <w:lang w:val="en-US"/>
        </w:rPr>
        <w:t>Incidental Findings in Whole-Body MR Imaging</w:t>
      </w:r>
    </w:p>
    <w:p>
      <w:pPr>
        <w:spacing w:after="60" w:line="480" w:lineRule="auto"/>
        <w:jc w:val="both"/>
        <w:rPr>
          <w:rFonts w:ascii="Arial" w:hAnsi="Arial" w:cs="Arial"/>
          <w:b/>
          <w:lang w:val="en-US"/>
        </w:rPr>
      </w:pPr>
    </w:p>
    <w:p>
      <w:pPr>
        <w:spacing w:after="60" w:line="480" w:lineRule="auto"/>
        <w:jc w:val="both"/>
        <w:rPr>
          <w:rFonts w:ascii="Arial" w:hAnsi="Arial" w:cs="Arial"/>
          <w:b/>
          <w:lang w:val="en-US"/>
        </w:rPr>
      </w:pPr>
      <w:r>
        <w:rPr>
          <w:rFonts w:ascii="Arial" w:hAnsi="Arial" w:cs="Arial"/>
          <w:b/>
          <w:lang w:val="en-US"/>
        </w:rPr>
        <w:t xml:space="preserve">Word count: </w:t>
      </w:r>
      <w:r>
        <w:rPr>
          <w:rFonts w:ascii="Arial" w:hAnsi="Arial" w:cs="Arial"/>
          <w:b/>
          <w:lang w:val="en-US"/>
        </w:rPr>
        <w:tab/>
      </w:r>
    </w:p>
    <w:p>
      <w:pPr>
        <w:spacing w:after="60" w:line="480" w:lineRule="auto"/>
        <w:jc w:val="both"/>
        <w:rPr>
          <w:rFonts w:ascii="Arial" w:hAnsi="Arial" w:cs="Arial"/>
          <w:lang w:val="en-US"/>
        </w:rPr>
      </w:pPr>
      <w:r>
        <w:rPr>
          <w:rFonts w:ascii="Arial" w:hAnsi="Arial" w:cs="Arial"/>
          <w:lang w:val="en-US"/>
        </w:rPr>
        <w:t>2,980</w:t>
      </w:r>
    </w:p>
    <w:p>
      <w:pPr>
        <w:spacing w:after="60" w:line="480" w:lineRule="auto"/>
        <w:jc w:val="both"/>
        <w:rPr>
          <w:rFonts w:ascii="Arial" w:hAnsi="Arial" w:cs="Arial"/>
          <w:b/>
          <w:lang w:val="en-US"/>
        </w:rPr>
      </w:pPr>
      <w:r>
        <w:rPr>
          <w:rFonts w:ascii="Arial" w:hAnsi="Arial" w:cs="Arial"/>
          <w:b/>
          <w:lang w:val="en-US"/>
        </w:rPr>
        <w:tab/>
      </w:r>
    </w:p>
    <w:p>
      <w:pPr>
        <w:spacing w:after="60" w:line="480" w:lineRule="auto"/>
        <w:jc w:val="both"/>
        <w:rPr>
          <w:rFonts w:ascii="Arial" w:hAnsi="Arial" w:cs="Arial"/>
          <w:b/>
          <w:lang w:val="en-US"/>
        </w:rPr>
      </w:pPr>
      <w:r>
        <w:rPr>
          <w:rFonts w:ascii="Arial" w:hAnsi="Arial" w:cs="Arial"/>
          <w:b/>
          <w:lang w:val="en-US"/>
        </w:rPr>
        <w:t xml:space="preserve">Disclosures: </w:t>
      </w:r>
    </w:p>
    <w:p>
      <w:pPr>
        <w:spacing w:after="60" w:line="480" w:lineRule="auto"/>
        <w:jc w:val="both"/>
        <w:rPr>
          <w:rFonts w:ascii="Arial" w:hAnsi="Arial" w:cs="Arial"/>
          <w:lang w:val="en-US"/>
        </w:rPr>
      </w:pPr>
      <w:r>
        <w:rPr>
          <w:rFonts w:ascii="Arial" w:hAnsi="Arial" w:cs="Arial"/>
          <w:lang w:val="en-US"/>
        </w:rPr>
        <w:t xml:space="preserve">The study was funded by the German Research Foundation (DFG, Bonn, Germany; ID 245222810). Further, the KORA study was initiated and financed by the Helmholtz Zentrum München - German Research Center for Environmental Health, which is funded by the German Federal Ministry of Education and Research (BMBF) and by the State of Bavaria. </w:t>
      </w:r>
    </w:p>
    <w:p>
      <w:pPr>
        <w:spacing w:after="60" w:line="480" w:lineRule="auto"/>
        <w:jc w:val="both"/>
        <w:rPr>
          <w:rFonts w:ascii="Arial" w:hAnsi="Arial" w:cs="Arial"/>
          <w:b/>
          <w:lang w:val="en-US"/>
        </w:rPr>
      </w:pPr>
    </w:p>
    <w:p>
      <w:pPr>
        <w:spacing w:after="60" w:line="480" w:lineRule="auto"/>
        <w:jc w:val="both"/>
        <w:rPr>
          <w:rFonts w:ascii="Arial" w:hAnsi="Arial" w:cs="Arial"/>
          <w:b/>
          <w:lang w:val="en-US"/>
        </w:rPr>
      </w:pPr>
      <w:r>
        <w:rPr>
          <w:rFonts w:ascii="Arial" w:hAnsi="Arial" w:cs="Arial"/>
          <w:b/>
          <w:lang w:val="en-US"/>
        </w:rPr>
        <w:t xml:space="preserve">Key words (MESH): </w:t>
      </w:r>
    </w:p>
    <w:p>
      <w:pPr>
        <w:spacing w:after="60" w:line="480" w:lineRule="auto"/>
        <w:jc w:val="both"/>
        <w:rPr>
          <w:rFonts w:ascii="Arial" w:hAnsi="Arial" w:cs="Arial"/>
          <w:lang w:val="en-US"/>
        </w:rPr>
      </w:pPr>
      <w:r>
        <w:rPr>
          <w:rFonts w:ascii="Arial" w:hAnsi="Arial" w:cs="Arial"/>
          <w:lang w:val="en-US"/>
        </w:rPr>
        <w:t xml:space="preserve">incidental finding, whole body imaging, patient care management, psychosocial aspects, epidemiologic study </w:t>
      </w:r>
    </w:p>
    <w:p>
      <w:pPr>
        <w:spacing w:after="200" w:line="276" w:lineRule="auto"/>
        <w:rPr>
          <w:rFonts w:ascii="Arial" w:hAnsi="Arial" w:cs="Arial"/>
          <w:b/>
          <w:sz w:val="22"/>
          <w:szCs w:val="22"/>
          <w:lang w:val="en-US"/>
        </w:rPr>
      </w:pPr>
      <w:r>
        <w:rPr>
          <w:rFonts w:ascii="Arial" w:hAnsi="Arial" w:cs="Arial"/>
          <w:b/>
          <w:sz w:val="22"/>
          <w:szCs w:val="22"/>
          <w:lang w:val="en-US"/>
        </w:rPr>
        <w:br w:type="page"/>
      </w:r>
    </w:p>
    <w:p>
      <w:pPr>
        <w:spacing w:after="60" w:line="480" w:lineRule="auto"/>
        <w:jc w:val="both"/>
        <w:rPr>
          <w:rFonts w:ascii="Arial" w:hAnsi="Arial" w:cs="Arial"/>
          <w:b/>
          <w:sz w:val="22"/>
          <w:szCs w:val="22"/>
          <w:lang w:val="en-US"/>
        </w:rPr>
      </w:pPr>
      <w:r>
        <w:rPr>
          <w:rFonts w:ascii="Arial" w:hAnsi="Arial" w:cs="Arial"/>
          <w:b/>
          <w:sz w:val="22"/>
          <w:szCs w:val="22"/>
          <w:lang w:val="en-US"/>
        </w:rPr>
        <w:lastRenderedPageBreak/>
        <w:t>ABSTRACT</w:t>
      </w:r>
    </w:p>
    <w:p>
      <w:pPr>
        <w:spacing w:line="480" w:lineRule="auto"/>
        <w:jc w:val="both"/>
        <w:rPr>
          <w:rFonts w:ascii="Arial" w:hAnsi="Arial" w:cs="Arial"/>
          <w:sz w:val="22"/>
          <w:szCs w:val="22"/>
          <w:lang w:val="en-US"/>
        </w:rPr>
      </w:pPr>
      <w:r>
        <w:rPr>
          <w:rFonts w:ascii="Arial" w:hAnsi="Arial" w:cs="Arial"/>
          <w:i/>
          <w:sz w:val="22"/>
          <w:szCs w:val="22"/>
          <w:u w:val="single"/>
          <w:lang w:val="en-US"/>
        </w:rPr>
        <w:t>Background:</w:t>
      </w:r>
      <w:r>
        <w:rPr>
          <w:rFonts w:ascii="Arial" w:hAnsi="Arial" w:cs="Arial"/>
          <w:sz w:val="22"/>
          <w:szCs w:val="22"/>
          <w:lang w:val="en-US"/>
        </w:rPr>
        <w:t xml:space="preserve"> Management of incidental findings (IF) in imaging remains controversial but highly relevant in the clinical and research setting. Our aim was to assess the frequency, management and psychosocial consequences of IF reporting in a population-based cohort study undergoing whole-body MR imaging.  </w:t>
      </w:r>
    </w:p>
    <w:p>
      <w:pPr>
        <w:pStyle w:val="paragraph"/>
        <w:spacing w:before="0" w:beforeAutospacing="0" w:after="0" w:afterAutospacing="0" w:line="480" w:lineRule="auto"/>
        <w:jc w:val="both"/>
        <w:textAlignment w:val="baseline"/>
        <w:rPr>
          <w:rFonts w:ascii="Arial" w:hAnsi="Arial" w:cs="Arial"/>
          <w:sz w:val="22"/>
          <w:szCs w:val="22"/>
          <w:lang w:val="en-US"/>
        </w:rPr>
      </w:pPr>
      <w:r>
        <w:rPr>
          <w:rFonts w:ascii="Arial" w:hAnsi="Arial" w:cs="Arial"/>
          <w:i/>
          <w:sz w:val="22"/>
          <w:szCs w:val="22"/>
          <w:u w:val="single"/>
          <w:lang w:val="en-US"/>
        </w:rPr>
        <w:t>Methods:</w:t>
      </w:r>
      <w:r>
        <w:rPr>
          <w:rFonts w:ascii="Arial" w:hAnsi="Arial" w:cs="Arial"/>
          <w:sz w:val="22"/>
          <w:szCs w:val="22"/>
          <w:lang w:val="en-US"/>
        </w:rPr>
        <w:t xml:space="preserve"> </w:t>
      </w:r>
      <w:r>
        <w:rPr>
          <w:rStyle w:val="normaltextrun"/>
          <w:rFonts w:ascii="Arial" w:hAnsi="Arial" w:cs="Arial"/>
          <w:sz w:val="22"/>
          <w:szCs w:val="22"/>
          <w:lang w:val="en-US"/>
        </w:rPr>
        <w:t>The study was designed as a</w:t>
      </w:r>
      <w:r>
        <w:rPr>
          <w:rStyle w:val="apple-converted-space"/>
          <w:rFonts w:ascii="Arial" w:hAnsi="Arial" w:cs="Arial"/>
          <w:sz w:val="22"/>
          <w:szCs w:val="22"/>
          <w:lang w:val="en-US"/>
        </w:rPr>
        <w:t xml:space="preserve"> </w:t>
      </w:r>
      <w:r>
        <w:rPr>
          <w:rStyle w:val="normaltextrun"/>
          <w:rFonts w:ascii="Arial" w:hAnsi="Arial" w:cs="Arial"/>
          <w:sz w:val="22"/>
          <w:szCs w:val="22"/>
          <w:lang w:val="en-US"/>
        </w:rPr>
        <w:t>case-control (diabetes, prediabetes and controls) study nested in</w:t>
      </w:r>
      <w:r>
        <w:rPr>
          <w:rStyle w:val="apple-converted-space"/>
          <w:rFonts w:ascii="Arial" w:hAnsi="Arial" w:cs="Arial"/>
          <w:sz w:val="22"/>
          <w:szCs w:val="22"/>
          <w:lang w:val="en-US"/>
        </w:rPr>
        <w:t xml:space="preserve"> </w:t>
      </w:r>
      <w:r>
        <w:rPr>
          <w:rStyle w:val="normaltextrun"/>
          <w:rFonts w:ascii="Arial" w:hAnsi="Arial" w:cs="Arial"/>
          <w:sz w:val="22"/>
          <w:szCs w:val="22"/>
          <w:lang w:val="en-US"/>
        </w:rPr>
        <w:t xml:space="preserve">a prospective cohort from </w:t>
      </w:r>
      <w:r>
        <w:rPr>
          <w:rFonts w:ascii="Arial" w:hAnsi="Arial" w:cs="Arial"/>
          <w:sz w:val="22"/>
          <w:szCs w:val="22"/>
          <w:lang w:val="en-US"/>
        </w:rPr>
        <w:t>a longitudinal, population-based cohort (KORA) in southern Germany</w:t>
      </w:r>
      <w:r>
        <w:rPr>
          <w:rStyle w:val="normaltextrun"/>
          <w:rFonts w:ascii="Arial" w:hAnsi="Arial" w:cs="Arial"/>
          <w:sz w:val="22"/>
          <w:szCs w:val="22"/>
          <w:lang w:val="en-US"/>
        </w:rPr>
        <w:t xml:space="preserve">. </w:t>
      </w:r>
      <w:r>
        <w:rPr>
          <w:rStyle w:val="apple-converted-space"/>
          <w:rFonts w:ascii="Arial" w:hAnsi="Arial" w:cs="Arial"/>
          <w:sz w:val="22"/>
          <w:szCs w:val="22"/>
          <w:lang w:val="en-US"/>
        </w:rPr>
        <w:t xml:space="preserve">All </w:t>
      </w:r>
      <w:r>
        <w:rPr>
          <w:rStyle w:val="normaltextrun"/>
          <w:rFonts w:ascii="Arial" w:hAnsi="Arial" w:cs="Arial"/>
          <w:sz w:val="22"/>
          <w:szCs w:val="22"/>
          <w:lang w:val="en-US"/>
        </w:rPr>
        <w:t xml:space="preserve">whole-body MR </w:t>
      </w:r>
      <w:r>
        <w:rPr>
          <w:rStyle w:val="apple-converted-space"/>
          <w:rFonts w:ascii="Arial" w:hAnsi="Arial" w:cs="Arial"/>
          <w:sz w:val="22"/>
          <w:szCs w:val="22"/>
          <w:lang w:val="en-US"/>
        </w:rPr>
        <w:t xml:space="preserve">images obtained on a 3T magnet were reviewed by board-certified radiologists regarding the presence of clinically relevant IF. </w:t>
      </w:r>
      <w:r>
        <w:rPr>
          <w:rFonts w:ascii="Arial" w:hAnsi="Arial" w:cs="Arial"/>
          <w:sz w:val="22"/>
          <w:szCs w:val="22"/>
          <w:lang w:val="en-US"/>
        </w:rPr>
        <w:t>A </w:t>
      </w:r>
      <w:r>
        <w:rPr>
          <w:rFonts w:ascii="Arial" w:hAnsi="Arial" w:cs="Arial"/>
          <w:bCs/>
          <w:sz w:val="22"/>
          <w:szCs w:val="22"/>
          <w:lang w:val="en-US"/>
        </w:rPr>
        <w:t>baseline self-answered questionnaire</w:t>
      </w:r>
      <w:r>
        <w:rPr>
          <w:rFonts w:ascii="Arial" w:hAnsi="Arial" w:cs="Arial"/>
          <w:b/>
          <w:bCs/>
          <w:sz w:val="22"/>
          <w:szCs w:val="22"/>
          <w:lang w:val="en-US"/>
        </w:rPr>
        <w:t xml:space="preserve"> </w:t>
      </w:r>
      <w:r>
        <w:rPr>
          <w:rFonts w:ascii="Arial" w:hAnsi="Arial" w:cs="Arial"/>
          <w:sz w:val="22"/>
          <w:szCs w:val="22"/>
          <w:lang w:val="en-US"/>
        </w:rPr>
        <w:t xml:space="preserve">was completed prior to the MRI examination. A follow-up </w:t>
      </w:r>
      <w:r>
        <w:rPr>
          <w:rFonts w:ascii="Arial" w:hAnsi="Arial" w:cs="Arial"/>
          <w:bCs/>
          <w:sz w:val="22"/>
          <w:szCs w:val="22"/>
          <w:lang w:val="en-US"/>
        </w:rPr>
        <w:t>questionnaire</w:t>
      </w:r>
      <w:r>
        <w:rPr>
          <w:rFonts w:ascii="Arial" w:hAnsi="Arial" w:cs="Arial"/>
          <w:b/>
          <w:bCs/>
          <w:sz w:val="22"/>
          <w:szCs w:val="22"/>
          <w:lang w:val="en-US"/>
        </w:rPr>
        <w:t xml:space="preserve"> </w:t>
      </w:r>
      <w:r>
        <w:rPr>
          <w:rFonts w:ascii="Arial" w:hAnsi="Arial" w:cs="Arial"/>
          <w:sz w:val="22"/>
          <w:szCs w:val="22"/>
          <w:lang w:val="en-US"/>
        </w:rPr>
        <w:t xml:space="preserve">was conducted six months after baseline imaging, including </w:t>
      </w:r>
      <w:r>
        <w:rPr>
          <w:rStyle w:val="normaltextrun"/>
          <w:rFonts w:ascii="Arial" w:hAnsi="Arial" w:cs="Arial"/>
          <w:sz w:val="22"/>
          <w:szCs w:val="22"/>
          <w:lang w:val="en-US"/>
        </w:rPr>
        <w:t>the PHQ-9 score</w:t>
      </w:r>
      <w:r>
        <w:rPr>
          <w:rFonts w:ascii="Arial" w:hAnsi="Arial" w:cs="Arial"/>
          <w:sz w:val="22"/>
          <w:szCs w:val="22"/>
          <w:lang w:val="en-US"/>
        </w:rPr>
        <w:t xml:space="preserve"> to analyze </w:t>
      </w:r>
      <w:r>
        <w:rPr>
          <w:rFonts w:ascii="Arial" w:hAnsi="Arial" w:cs="Arial"/>
          <w:bCs/>
          <w:sz w:val="22"/>
          <w:szCs w:val="22"/>
          <w:lang w:val="en-US"/>
        </w:rPr>
        <w:t>short-term consequences</w:t>
      </w:r>
      <w:r>
        <w:rPr>
          <w:rFonts w:ascii="Arial" w:hAnsi="Arial" w:cs="Arial"/>
          <w:sz w:val="22"/>
          <w:szCs w:val="22"/>
          <w:lang w:val="en-US"/>
        </w:rPr>
        <w:t xml:space="preserve">. </w:t>
      </w:r>
    </w:p>
    <w:p>
      <w:pPr>
        <w:spacing w:line="480" w:lineRule="auto"/>
        <w:jc w:val="both"/>
        <w:rPr>
          <w:rFonts w:ascii="Arial" w:hAnsi="Arial" w:cs="Arial"/>
          <w:sz w:val="22"/>
          <w:szCs w:val="22"/>
          <w:lang w:val="en-US"/>
        </w:rPr>
      </w:pPr>
      <w:r>
        <w:rPr>
          <w:rFonts w:ascii="Arial" w:hAnsi="Arial" w:cs="Arial"/>
          <w:i/>
          <w:sz w:val="22"/>
          <w:szCs w:val="22"/>
          <w:u w:val="single"/>
          <w:lang w:val="en-US"/>
        </w:rPr>
        <w:t>Results:</w:t>
      </w:r>
      <w:r>
        <w:rPr>
          <w:rFonts w:ascii="Arial" w:hAnsi="Arial" w:cs="Arial"/>
          <w:sz w:val="22"/>
          <w:szCs w:val="22"/>
          <w:lang w:val="en-US"/>
        </w:rPr>
        <w:t xml:space="preserve"> Of 400 participants undergoing whole-body MRI, IF were found in 22% of participants (n=89, 22%</w:t>
      </w:r>
      <w:r>
        <w:rPr>
          <w:rFonts w:ascii="Arial" w:hAnsi="Arial" w:cs="Arial"/>
          <w:sz w:val="20"/>
          <w:szCs w:val="22"/>
          <w:lang w:val="en-US"/>
        </w:rPr>
        <w:t xml:space="preserve">, </w:t>
      </w:r>
      <w:r>
        <w:rPr>
          <w:rFonts w:ascii="Arial" w:hAnsi="Arial" w:cs="Arial"/>
          <w:sz w:val="22"/>
          <w:szCs w:val="22"/>
          <w:lang w:val="en-US"/>
        </w:rPr>
        <w:t xml:space="preserve">95%-CI: 18-27%); most frequently located in the abdominal MR sequences. Strongest predictor for presence of IF was age (p&lt;0.001). </w:t>
      </w:r>
      <w:r>
        <w:rPr>
          <w:rStyle w:val="normaltextrun"/>
          <w:rFonts w:ascii="Arial" w:hAnsi="Arial" w:cs="Arial"/>
          <w:sz w:val="22"/>
          <w:szCs w:val="22"/>
          <w:lang w:val="en-US"/>
        </w:rPr>
        <w:t xml:space="preserve">Most participants stated in the pre-scan survey that they wanted to “contribute to a scientific purpose” (91%), while “knowing whether I’m healthy” was the most frequent motivation reported 6 months post-scan (88%). 56.8% of the participants noted in the pre-scan survey that generally reporting of IF would be “very important” to them, which </w:t>
      </w:r>
      <w:r>
        <w:rPr>
          <w:rFonts w:ascii="Arial" w:hAnsi="Arial" w:cs="Arial"/>
          <w:sz w:val="22"/>
          <w:szCs w:val="22"/>
          <w:lang w:val="en-US"/>
        </w:rPr>
        <w:t xml:space="preserve">even increased 6 months post-scan (72% vs. 84%, p=0.001). </w:t>
      </w:r>
      <w:r>
        <w:rPr>
          <w:rStyle w:val="normaltextrun"/>
          <w:rFonts w:ascii="Arial" w:hAnsi="Arial" w:cs="Arial"/>
          <w:sz w:val="22"/>
          <w:szCs w:val="22"/>
          <w:lang w:val="en-US"/>
        </w:rPr>
        <w:t xml:space="preserve">Regarding psychosocial impact, a small portion (3.4%) reported that awaiting the IF report added “Definitely” or “Very Probably” additional stress burden. Of participants with reported IF, 56.8% classified the results as “very helpful”. In the post-scan survey moderate depression was observed in 3.3% and severe depression in 1.2%. This did not differ between participants with and without reported IF. </w:t>
      </w:r>
    </w:p>
    <w:p>
      <w:pPr>
        <w:spacing w:line="480" w:lineRule="auto"/>
        <w:jc w:val="both"/>
        <w:rPr>
          <w:rStyle w:val="normaltextrun"/>
          <w:rFonts w:ascii="Arial" w:hAnsi="Arial" w:cs="Arial"/>
          <w:sz w:val="22"/>
          <w:szCs w:val="22"/>
          <w:lang w:val="en-US"/>
        </w:rPr>
      </w:pPr>
      <w:r>
        <w:rPr>
          <w:rFonts w:ascii="Arial" w:hAnsi="Arial" w:cs="Arial"/>
          <w:i/>
          <w:sz w:val="22"/>
          <w:szCs w:val="22"/>
          <w:u w:val="single"/>
          <w:lang w:val="en-US"/>
        </w:rPr>
        <w:t>Conclusion:</w:t>
      </w:r>
      <w:r>
        <w:rPr>
          <w:rFonts w:ascii="Arial" w:hAnsi="Arial" w:cs="Arial"/>
          <w:sz w:val="22"/>
          <w:szCs w:val="22"/>
          <w:lang w:val="en-US"/>
        </w:rPr>
        <w:t xml:space="preserve"> </w:t>
      </w:r>
      <w:r>
        <w:rPr>
          <w:rStyle w:val="normaltextrun"/>
          <w:rFonts w:ascii="Arial" w:hAnsi="Arial" w:cs="Arial"/>
          <w:sz w:val="22"/>
          <w:szCs w:val="22"/>
          <w:lang w:val="en-US"/>
        </w:rPr>
        <w:t xml:space="preserve">In this cohort using whole-body MR imaging, the prevalence of IF was high. To the participants, reporting of IF was deemed highly important and added only minor </w:t>
      </w:r>
      <w:r>
        <w:rPr>
          <w:rStyle w:val="normaltextrun"/>
          <w:rFonts w:ascii="Arial" w:hAnsi="Arial" w:cs="Arial"/>
          <w:sz w:val="22"/>
          <w:szCs w:val="22"/>
          <w:lang w:val="en-US"/>
        </w:rPr>
        <w:lastRenderedPageBreak/>
        <w:t xml:space="preserve">psychological burden. Thus, a stringent and transparent strategy of disclosing IFs as well as structured reporting may prove beneficial in a research setting. </w:t>
      </w:r>
    </w:p>
    <w:p>
      <w:pPr>
        <w:spacing w:line="360" w:lineRule="auto"/>
        <w:jc w:val="both"/>
        <w:rPr>
          <w:rStyle w:val="normaltextrun"/>
          <w:rFonts w:ascii="Arial" w:hAnsi="Arial" w:cs="Arial"/>
          <w:sz w:val="22"/>
          <w:szCs w:val="22"/>
          <w:lang w:val="en-US"/>
        </w:rPr>
      </w:pPr>
    </w:p>
    <w:p>
      <w:pPr>
        <w:spacing w:line="360" w:lineRule="auto"/>
        <w:jc w:val="both"/>
        <w:rPr>
          <w:rStyle w:val="normaltextrun"/>
          <w:rFonts w:ascii="Arial" w:hAnsi="Arial" w:cs="Arial"/>
          <w:sz w:val="22"/>
          <w:szCs w:val="22"/>
          <w:lang w:val="en-US"/>
        </w:rPr>
      </w:pPr>
    </w:p>
    <w:p>
      <w:pPr>
        <w:spacing w:after="200" w:line="276" w:lineRule="auto"/>
        <w:rPr>
          <w:rFonts w:ascii="Arial" w:hAnsi="Arial" w:cs="Arial"/>
          <w:b/>
          <w:sz w:val="22"/>
          <w:szCs w:val="22"/>
          <w:lang w:val="en-US"/>
        </w:rPr>
      </w:pPr>
      <w:r>
        <w:rPr>
          <w:rFonts w:ascii="Arial" w:hAnsi="Arial" w:cs="Arial"/>
          <w:b/>
          <w:sz w:val="22"/>
          <w:szCs w:val="22"/>
          <w:lang w:val="en-US"/>
        </w:rPr>
        <w:br w:type="page"/>
      </w:r>
    </w:p>
    <w:p>
      <w:pPr>
        <w:spacing w:line="360" w:lineRule="auto"/>
        <w:jc w:val="both"/>
        <w:rPr>
          <w:rFonts w:ascii="Arial" w:hAnsi="Arial" w:cs="Arial"/>
          <w:sz w:val="22"/>
          <w:szCs w:val="22"/>
          <w:lang w:val="en-US"/>
        </w:rPr>
      </w:pPr>
      <w:r>
        <w:rPr>
          <w:rFonts w:ascii="Arial" w:hAnsi="Arial" w:cs="Arial"/>
          <w:b/>
          <w:sz w:val="22"/>
          <w:szCs w:val="22"/>
          <w:lang w:val="en-US"/>
        </w:rPr>
        <w:lastRenderedPageBreak/>
        <w:t>INTRODUCTION</w:t>
      </w:r>
    </w:p>
    <w:p>
      <w:pPr>
        <w:spacing w:after="60" w:line="480" w:lineRule="auto"/>
        <w:ind w:firstLine="708"/>
        <w:jc w:val="both"/>
        <w:rPr>
          <w:rFonts w:ascii="Arial" w:hAnsi="Arial" w:cs="Arial"/>
          <w:sz w:val="22"/>
          <w:szCs w:val="22"/>
          <w:lang w:val="en-US"/>
        </w:rPr>
      </w:pPr>
      <w:r>
        <w:rPr>
          <w:rFonts w:ascii="Arial" w:hAnsi="Arial" w:cs="Arial"/>
          <w:sz w:val="22"/>
          <w:szCs w:val="22"/>
          <w:lang w:val="en-US"/>
        </w:rPr>
        <w:t xml:space="preserve">Management of incidental findings (IF) in imaging remains controversial but highly relevant for both – clinical care and research. The detection of IF poses various ethical and practical issues, particularly when the participants are “healthy” volunteers as it is often the case in population-based cohort studies </w:t>
      </w:r>
      <w:r>
        <w:rPr>
          <w:rFonts w:ascii="Arial" w:hAnsi="Arial" w:cs="Arial"/>
          <w:sz w:val="22"/>
          <w:szCs w:val="22"/>
          <w:lang w:val="en-US"/>
        </w:rPr>
        <w:fldChar w:fldCharType="begin">
          <w:fldData xml:space="preserve">PEVuZE5vdGU+PENpdGU+PEF1dGhvcj5WZXJub29pajwvQXV0aG9yPjxZZWFyPjIwMDc8L1llYXI+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</w:fldData>
        </w:fldChar>
      </w:r>
      <w:r>
        <w:rPr>
          <w:rFonts w:ascii="Arial" w:hAnsi="Arial" w:cs="Arial"/>
          <w:sz w:val="22"/>
          <w:szCs w:val="22"/>
          <w:lang w:val="en-US"/>
        </w:rPr>
        <w:instrText xml:space="preserve"> ADDIN EN.CITE </w:instrText>
      </w:r>
      <w:r>
        <w:rPr>
          <w:rFonts w:ascii="Arial" w:hAnsi="Arial" w:cs="Arial"/>
          <w:sz w:val="22"/>
          <w:szCs w:val="22"/>
          <w:lang w:val="en-US"/>
        </w:rPr>
        <w:fldChar w:fldCharType="begin">
          <w:fldData xml:space="preserve">PEVuZE5vdGU+PENpdGU+PEF1dGhvcj5WZXJub29pajwvQXV0aG9yPjxZZWFyPjIwMDc8L1llYXI+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</w:fldData>
        </w:fldChar>
      </w:r>
      <w:r>
        <w:rPr>
          <w:rFonts w:ascii="Arial" w:hAnsi="Arial" w:cs="Arial"/>
          <w:sz w:val="22"/>
          <w:szCs w:val="22"/>
          <w:lang w:val="en-US"/>
        </w:rPr>
        <w:instrText xml:space="preserve"> ADDIN EN.CITE.DATA </w:instrText>
      </w:r>
      <w:r>
        <w:rPr>
          <w:rFonts w:ascii="Arial" w:hAnsi="Arial" w:cs="Arial"/>
          <w:sz w:val="22"/>
          <w:szCs w:val="22"/>
          <w:lang w:val="en-US"/>
        </w:rPr>
      </w:r>
      <w:r>
        <w:rPr>
          <w:rFonts w:ascii="Arial" w:hAnsi="Arial" w:cs="Arial"/>
          <w:sz w:val="22"/>
          <w:szCs w:val="22"/>
          <w:lang w:val="en-US"/>
        </w:rPr>
        <w:fldChar w:fldCharType="end"/>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(1)</w:t>
      </w:r>
      <w:r>
        <w:rPr>
          <w:rFonts w:ascii="Arial" w:hAnsi="Arial" w:cs="Arial"/>
          <w:sz w:val="22"/>
          <w:szCs w:val="22"/>
          <w:lang w:val="en-US"/>
        </w:rPr>
        <w:fldChar w:fldCharType="end"/>
      </w:r>
      <w:r>
        <w:rPr>
          <w:rFonts w:ascii="Arial" w:hAnsi="Arial" w:cs="Arial"/>
          <w:sz w:val="22"/>
          <w:szCs w:val="22"/>
          <w:lang w:val="en-US"/>
        </w:rPr>
        <w:t xml:space="preserve">. The definition of being “healthy” may vary strongly by the perspective of the volunteers, their caregivers or the research investigators, which makes the interpretation of IF even more complex. </w:t>
      </w:r>
    </w:p>
    <w:p>
      <w:pPr>
        <w:spacing w:after="60" w:line="480" w:lineRule="auto"/>
        <w:ind w:firstLine="708"/>
        <w:jc w:val="both"/>
        <w:rPr>
          <w:rFonts w:ascii="Arial" w:hAnsi="Arial" w:cs="Arial"/>
          <w:sz w:val="22"/>
          <w:szCs w:val="22"/>
          <w:lang w:val="en-US"/>
        </w:rPr>
      </w:pPr>
      <w:r>
        <w:rPr>
          <w:rFonts w:ascii="Arial" w:hAnsi="Arial" w:cs="Arial"/>
          <w:sz w:val="22"/>
          <w:szCs w:val="22"/>
          <w:lang w:val="en-US"/>
        </w:rPr>
        <w:t>A wide range of IF prevalence has been reported as low as 1% and up to 47% (16, 21). The prevalence depended on the anatomic coverage with the highest numbers for whole-body imaging, but also based on the clinical specificity of the performed imaging protocol. Thus, a significant number of the reported IF did not show clinical impact when they were investigated further (12, 21). However, there are also prominent case series which benefited from reporting IF because e.g. cancer was detected at an early, curable stage (6, 22).</w:t>
      </w:r>
    </w:p>
    <w:p>
      <w:pPr>
        <w:spacing w:after="60" w:line="480" w:lineRule="auto"/>
        <w:ind w:firstLine="708"/>
        <w:jc w:val="both"/>
        <w:rPr>
          <w:rFonts w:ascii="Arial" w:hAnsi="Arial" w:cs="Arial"/>
          <w:sz w:val="22"/>
          <w:szCs w:val="22"/>
          <w:lang w:val="en-US"/>
        </w:rPr>
      </w:pPr>
      <w:r>
        <w:rPr>
          <w:rFonts w:ascii="Arial" w:hAnsi="Arial" w:cs="Arial"/>
          <w:sz w:val="22"/>
          <w:szCs w:val="22"/>
          <w:lang w:val="en-US"/>
        </w:rPr>
        <w:t xml:space="preserve">Little is known about the volunteers’ perspective of reporting IF and their psychosocial impact. In a study of 394 participants from the SHIP (Study of Health in Pomerania) cohort </w:t>
      </w:r>
      <w:r>
        <w:rPr>
          <w:rFonts w:ascii="Arial" w:hAnsi="Arial" w:cs="Arial"/>
          <w:sz w:val="22"/>
          <w:szCs w:val="22"/>
          <w:lang w:val="en-US"/>
        </w:rPr>
        <w:fldChar w:fldCharType="begin">
          <w:fldData xml:space="preserve">PEVuZE5vdGU+PENpdGU+PEF1dGhvcj5TY2htaWR0PC9BdXRob3I+PFllYXI+MjAxMzwvWWVhcj48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</w:fldData>
        </w:fldChar>
      </w:r>
      <w:r>
        <w:rPr>
          <w:rFonts w:ascii="Arial" w:hAnsi="Arial" w:cs="Arial"/>
          <w:sz w:val="22"/>
          <w:szCs w:val="22"/>
          <w:lang w:val="en-US"/>
        </w:rPr>
        <w:instrText xml:space="preserve"> ADDIN EN.CITE </w:instrText>
      </w:r>
      <w:r>
        <w:rPr>
          <w:rFonts w:ascii="Arial" w:hAnsi="Arial" w:cs="Arial"/>
          <w:sz w:val="22"/>
          <w:szCs w:val="22"/>
          <w:lang w:val="en-US"/>
        </w:rPr>
        <w:fldChar w:fldCharType="begin">
          <w:fldData xml:space="preserve">PEVuZE5vdGU+PENpdGU+PEF1dGhvcj5TY2htaWR0PC9BdXRob3I+PFllYXI+MjAxMzwvWWVhcj48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</w:fldData>
        </w:fldChar>
      </w:r>
      <w:r>
        <w:rPr>
          <w:rFonts w:ascii="Arial" w:hAnsi="Arial" w:cs="Arial"/>
          <w:sz w:val="22"/>
          <w:szCs w:val="22"/>
          <w:lang w:val="en-US"/>
        </w:rPr>
        <w:instrText xml:space="preserve"> ADDIN EN.CITE.DATA </w:instrText>
      </w:r>
      <w:r>
        <w:rPr>
          <w:rFonts w:ascii="Arial" w:hAnsi="Arial" w:cs="Arial"/>
          <w:sz w:val="22"/>
          <w:szCs w:val="22"/>
          <w:lang w:val="en-US"/>
        </w:rPr>
      </w:r>
      <w:r>
        <w:rPr>
          <w:rFonts w:ascii="Arial" w:hAnsi="Arial" w:cs="Arial"/>
          <w:sz w:val="22"/>
          <w:szCs w:val="22"/>
          <w:lang w:val="en-US"/>
        </w:rPr>
        <w:fldChar w:fldCharType="end"/>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(2)</w:t>
      </w:r>
      <w:r>
        <w:rPr>
          <w:rFonts w:ascii="Arial" w:hAnsi="Arial" w:cs="Arial"/>
          <w:sz w:val="22"/>
          <w:szCs w:val="22"/>
          <w:lang w:val="en-US"/>
        </w:rPr>
        <w:fldChar w:fldCharType="end"/>
      </w:r>
      <w:r>
        <w:rPr>
          <w:rFonts w:ascii="Arial" w:hAnsi="Arial" w:cs="Arial"/>
          <w:sz w:val="22"/>
          <w:szCs w:val="22"/>
          <w:lang w:val="en-US"/>
        </w:rPr>
        <w:t xml:space="preserve">, where participants underwent whole-body MR imaging and IF were reported, the investigators found that disclosed IF resulted in substantial psychosocial distress (9.9% had strong distress while waiting for a potential notification of an IF). However, disclosing IF is strongly endorsed by the participants although the interpretation of the clinical severity of the reported IF differed strongly between participants and caregivers (kappa = 0.02). Together with false expectations about potential benefits from MR imaging, this may lead to frustration and disappointment of the participants, which may alter the success of longitudinal, population-based cohort studies.  </w:t>
      </w:r>
    </w:p>
    <w:p>
      <w:pPr>
        <w:spacing w:after="60" w:line="480" w:lineRule="auto"/>
        <w:jc w:val="both"/>
        <w:rPr>
          <w:rFonts w:ascii="Arial" w:hAnsi="Arial" w:cs="Arial"/>
          <w:sz w:val="22"/>
          <w:szCs w:val="22"/>
          <w:lang w:val="en-US"/>
        </w:rPr>
      </w:pPr>
      <w:r>
        <w:rPr>
          <w:rFonts w:ascii="Arial" w:hAnsi="Arial" w:cs="Arial"/>
          <w:sz w:val="22"/>
          <w:szCs w:val="22"/>
          <w:lang w:val="en-US"/>
        </w:rPr>
        <w:tab/>
        <w:t xml:space="preserve">Thus, our aim was to assess the </w:t>
      </w:r>
      <w:bookmarkStart w:id="2" w:name="_Hlk479541222"/>
      <w:r>
        <w:rPr>
          <w:rFonts w:ascii="Arial" w:hAnsi="Arial" w:cs="Arial"/>
          <w:sz w:val="22"/>
          <w:szCs w:val="22"/>
          <w:lang w:val="en-US"/>
        </w:rPr>
        <w:t xml:space="preserve">frequency, management and </w:t>
      </w:r>
      <w:bookmarkStart w:id="3" w:name="_Hlk479541307"/>
      <w:r>
        <w:rPr>
          <w:rFonts w:ascii="Arial" w:hAnsi="Arial" w:cs="Arial"/>
          <w:sz w:val="22"/>
          <w:szCs w:val="22"/>
          <w:lang w:val="en-US"/>
        </w:rPr>
        <w:t xml:space="preserve">psychosocial consequences </w:t>
      </w:r>
      <w:bookmarkEnd w:id="2"/>
      <w:bookmarkEnd w:id="3"/>
      <w:r>
        <w:rPr>
          <w:rFonts w:ascii="Arial" w:hAnsi="Arial" w:cs="Arial"/>
          <w:sz w:val="22"/>
          <w:szCs w:val="22"/>
          <w:lang w:val="en-US"/>
        </w:rPr>
        <w:t xml:space="preserve">of IF reporting in all participants from the KORA (Cooperative Health Research in the Augsburg Region) study - a longitudinal, population-based cohort in Germany, which underwent whole-body MR imaging for research purposes.  </w:t>
      </w:r>
    </w:p>
    <w:p>
      <w:pPr>
        <w:spacing w:after="60" w:line="480" w:lineRule="auto"/>
        <w:jc w:val="both"/>
        <w:rPr>
          <w:rFonts w:ascii="Arial" w:hAnsi="Arial" w:cs="Arial"/>
          <w:sz w:val="22"/>
          <w:szCs w:val="22"/>
          <w:lang w:val="en-US"/>
        </w:rPr>
      </w:pPr>
    </w:p>
    <w:p>
      <w:pPr>
        <w:spacing w:after="60" w:line="480" w:lineRule="auto"/>
        <w:jc w:val="both"/>
        <w:rPr>
          <w:rFonts w:ascii="Arial" w:hAnsi="Arial" w:cs="Arial"/>
          <w:b/>
          <w:sz w:val="22"/>
          <w:szCs w:val="22"/>
          <w:lang w:val="en-US"/>
        </w:rPr>
      </w:pPr>
      <w:r>
        <w:rPr>
          <w:rFonts w:ascii="Arial" w:hAnsi="Arial" w:cs="Arial"/>
          <w:b/>
          <w:sz w:val="22"/>
          <w:szCs w:val="22"/>
          <w:lang w:val="en-US"/>
        </w:rPr>
        <w:lastRenderedPageBreak/>
        <w:t>METHODS</w:t>
      </w:r>
    </w:p>
    <w:p>
      <w:pPr>
        <w:pStyle w:val="paragraph"/>
        <w:spacing w:before="0" w:beforeAutospacing="0" w:after="60" w:afterAutospacing="0" w:line="480" w:lineRule="auto"/>
        <w:jc w:val="both"/>
        <w:textAlignment w:val="baseline"/>
        <w:rPr>
          <w:rFonts w:ascii="Arial" w:hAnsi="Arial" w:cs="Arial"/>
          <w:i/>
          <w:sz w:val="22"/>
          <w:szCs w:val="22"/>
          <w:u w:val="single"/>
          <w:lang w:val="en-US"/>
        </w:rPr>
      </w:pPr>
      <w:r>
        <w:rPr>
          <w:rStyle w:val="normaltextrun"/>
          <w:rFonts w:ascii="Arial" w:hAnsi="Arial" w:cs="Arial"/>
          <w:bCs/>
          <w:i/>
          <w:sz w:val="22"/>
          <w:szCs w:val="22"/>
          <w:u w:val="single"/>
          <w:lang w:val="en-US"/>
        </w:rPr>
        <w:t>Study Design</w:t>
      </w:r>
      <w:r>
        <w:rPr>
          <w:rStyle w:val="eop"/>
          <w:rFonts w:ascii="Arial" w:hAnsi="Arial" w:cs="Arial"/>
          <w:i/>
          <w:sz w:val="22"/>
          <w:szCs w:val="22"/>
          <w:u w:val="single"/>
          <w:lang w:val="en-US"/>
        </w:rPr>
        <w:t xml:space="preserve"> and Population</w:t>
      </w:r>
    </w:p>
    <w:p>
      <w:pPr>
        <w:pStyle w:val="paragraph"/>
        <w:spacing w:before="0" w:beforeAutospacing="0" w:after="60" w:afterAutospacing="0" w:line="480" w:lineRule="auto"/>
        <w:ind w:firstLine="720"/>
        <w:jc w:val="both"/>
        <w:textAlignment w:val="baseline"/>
        <w:rPr>
          <w:rStyle w:val="eop"/>
          <w:rFonts w:ascii="Arial" w:hAnsi="Arial" w:cs="Arial"/>
          <w:sz w:val="22"/>
          <w:szCs w:val="22"/>
          <w:lang w:val="en-US"/>
        </w:rPr>
      </w:pPr>
      <w:r>
        <w:rPr>
          <w:rStyle w:val="normaltextrun"/>
          <w:rFonts w:ascii="Arial" w:hAnsi="Arial" w:cs="Arial"/>
          <w:sz w:val="22"/>
          <w:szCs w:val="22"/>
          <w:lang w:val="en-US"/>
        </w:rPr>
        <w:t>The study was designed as a</w:t>
      </w:r>
      <w:r>
        <w:rPr>
          <w:rStyle w:val="apple-converted-space"/>
          <w:rFonts w:ascii="Arial" w:hAnsi="Arial" w:cs="Arial"/>
          <w:sz w:val="22"/>
          <w:szCs w:val="22"/>
          <w:lang w:val="en-US"/>
        </w:rPr>
        <w:t xml:space="preserve"> </w:t>
      </w:r>
      <w:r>
        <w:rPr>
          <w:rStyle w:val="normaltextrun"/>
          <w:rFonts w:ascii="Arial" w:hAnsi="Arial" w:cs="Arial"/>
          <w:sz w:val="22"/>
          <w:szCs w:val="22"/>
          <w:lang w:val="en-US"/>
        </w:rPr>
        <w:t>case-control study nested in</w:t>
      </w:r>
      <w:r>
        <w:rPr>
          <w:rStyle w:val="apple-converted-space"/>
          <w:rFonts w:ascii="Arial" w:hAnsi="Arial" w:cs="Arial"/>
          <w:sz w:val="22"/>
          <w:szCs w:val="22"/>
          <w:lang w:val="en-US"/>
        </w:rPr>
        <w:t xml:space="preserve"> </w:t>
      </w:r>
      <w:r>
        <w:rPr>
          <w:rStyle w:val="normaltextrun"/>
          <w:rFonts w:ascii="Arial" w:hAnsi="Arial" w:cs="Arial"/>
          <w:sz w:val="22"/>
          <w:szCs w:val="22"/>
          <w:lang w:val="en-US"/>
        </w:rPr>
        <w:t>a prospective cohort from the “Cooperative Health Research in the Region of Augsburg”</w:t>
      </w:r>
      <w:r>
        <w:rPr>
          <w:rStyle w:val="apple-converted-space"/>
          <w:rFonts w:ascii="Arial" w:hAnsi="Arial" w:cs="Arial"/>
          <w:sz w:val="22"/>
          <w:szCs w:val="22"/>
          <w:lang w:val="en-US"/>
        </w:rPr>
        <w:t xml:space="preserve"> </w:t>
      </w:r>
      <w:r>
        <w:rPr>
          <w:rStyle w:val="normaltextrun"/>
          <w:rFonts w:ascii="Arial" w:hAnsi="Arial" w:cs="Arial"/>
          <w:sz w:val="22"/>
          <w:szCs w:val="22"/>
          <w:lang w:val="en-US"/>
        </w:rPr>
        <w:t>(KORA) in which participants with diabetes, with prediabetes and normoglycemic controls recruited from the</w:t>
      </w:r>
      <w:r>
        <w:rPr>
          <w:rStyle w:val="apple-converted-space"/>
          <w:rFonts w:ascii="Arial" w:hAnsi="Arial" w:cs="Arial"/>
          <w:sz w:val="22"/>
          <w:szCs w:val="22"/>
          <w:lang w:val="en-US"/>
        </w:rPr>
        <w:t xml:space="preserve"> </w:t>
      </w:r>
      <w:r>
        <w:rPr>
          <w:rStyle w:val="normaltextrun"/>
          <w:rFonts w:ascii="Arial" w:hAnsi="Arial" w:cs="Arial"/>
          <w:sz w:val="22"/>
          <w:szCs w:val="22"/>
          <w:lang w:val="en-US"/>
        </w:rPr>
        <w:t>FF4 follow-up</w:t>
      </w:r>
      <w:r>
        <w:rPr>
          <w:rStyle w:val="apple-converted-space"/>
          <w:rFonts w:ascii="Arial" w:hAnsi="Arial" w:cs="Arial"/>
          <w:sz w:val="22"/>
          <w:szCs w:val="22"/>
          <w:lang w:val="en-US"/>
        </w:rPr>
        <w:t xml:space="preserve"> </w:t>
      </w:r>
      <w:r>
        <w:rPr>
          <w:rStyle w:val="normaltextrun"/>
          <w:rFonts w:ascii="Arial" w:hAnsi="Arial" w:cs="Arial"/>
          <w:sz w:val="22"/>
          <w:szCs w:val="22"/>
          <w:lang w:val="en-US"/>
        </w:rPr>
        <w:t>of the</w:t>
      </w:r>
      <w:r>
        <w:rPr>
          <w:rStyle w:val="apple-converted-space"/>
          <w:rFonts w:ascii="Arial" w:hAnsi="Arial" w:cs="Arial"/>
          <w:sz w:val="22"/>
          <w:szCs w:val="22"/>
          <w:lang w:val="en-US"/>
        </w:rPr>
        <w:t xml:space="preserve"> </w:t>
      </w:r>
      <w:r>
        <w:rPr>
          <w:rStyle w:val="normaltextrun"/>
          <w:rFonts w:ascii="Arial" w:hAnsi="Arial" w:cs="Arial"/>
          <w:sz w:val="22"/>
          <w:szCs w:val="22"/>
          <w:lang w:val="en-US"/>
        </w:rPr>
        <w:t>KORA</w:t>
      </w:r>
      <w:r>
        <w:rPr>
          <w:rStyle w:val="apple-converted-space"/>
          <w:rFonts w:ascii="Arial" w:hAnsi="Arial" w:cs="Arial"/>
          <w:sz w:val="22"/>
          <w:szCs w:val="22"/>
          <w:lang w:val="en-US"/>
        </w:rPr>
        <w:t xml:space="preserve"> </w:t>
      </w:r>
      <w:r>
        <w:rPr>
          <w:rStyle w:val="normaltextrun"/>
          <w:rFonts w:ascii="Arial" w:hAnsi="Arial" w:cs="Arial"/>
          <w:sz w:val="22"/>
          <w:szCs w:val="22"/>
          <w:lang w:val="en-US"/>
        </w:rPr>
        <w:t>S4</w:t>
      </w:r>
      <w:r>
        <w:rPr>
          <w:rStyle w:val="apple-converted-space"/>
          <w:rFonts w:ascii="Arial" w:hAnsi="Arial" w:cs="Arial"/>
          <w:sz w:val="22"/>
          <w:szCs w:val="22"/>
          <w:lang w:val="en-US"/>
        </w:rPr>
        <w:t xml:space="preserve"> </w:t>
      </w:r>
      <w:r>
        <w:rPr>
          <w:rStyle w:val="normaltextrun"/>
          <w:rFonts w:ascii="Arial" w:hAnsi="Arial" w:cs="Arial"/>
          <w:sz w:val="22"/>
          <w:szCs w:val="22"/>
          <w:lang w:val="en-US"/>
        </w:rPr>
        <w:t>study underwent whole-body MR imaging. The study design, sampling method and data collection are described in detail elsewhere</w:t>
      </w:r>
      <w:r>
        <w:rPr>
          <w:rStyle w:val="apple-converted-space"/>
          <w:rFonts w:ascii="Arial" w:hAnsi="Arial" w:cs="Arial"/>
          <w:sz w:val="22"/>
          <w:szCs w:val="22"/>
          <w:lang w:val="en-US"/>
        </w:rPr>
        <w:t xml:space="preserve"> </w:t>
      </w:r>
      <w:r>
        <w:rPr>
          <w:rStyle w:val="apple-converted-space"/>
          <w:rFonts w:ascii="Arial" w:hAnsi="Arial" w:cs="Arial"/>
          <w:sz w:val="22"/>
          <w:szCs w:val="22"/>
          <w:lang w:val="en-US"/>
        </w:rPr>
        <w:fldChar w:fldCharType="begin">
          <w:fldData xml:space="preserve">PEVuZE5vdGU+PENpdGU+PEF1dGhvcj5CYW1iZXJnPC9BdXRob3I+PFllYXI+MjAxNzwvWWVhcj48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</w:fldData>
        </w:fldChar>
      </w:r>
      <w:r>
        <w:rPr>
          <w:rStyle w:val="apple-converted-space"/>
          <w:rFonts w:ascii="Arial" w:hAnsi="Arial" w:cs="Arial"/>
          <w:sz w:val="22"/>
          <w:szCs w:val="22"/>
          <w:lang w:val="en-US"/>
        </w:rPr>
        <w:instrText xml:space="preserve"> ADDIN EN.CITE </w:instrText>
      </w:r>
      <w:r>
        <w:rPr>
          <w:rStyle w:val="apple-converted-space"/>
          <w:rFonts w:ascii="Arial" w:hAnsi="Arial" w:cs="Arial"/>
          <w:sz w:val="22"/>
          <w:szCs w:val="22"/>
          <w:lang w:val="en-US"/>
        </w:rPr>
        <w:fldChar w:fldCharType="begin">
          <w:fldData xml:space="preserve">PEVuZE5vdGU+PENpdGU+PEF1dGhvcj5CYW1iZXJnPC9BdXRob3I+PFllYXI+MjAxNzwvWWVhcj48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</w:fldData>
        </w:fldChar>
      </w:r>
      <w:r>
        <w:rPr>
          <w:rStyle w:val="apple-converted-space"/>
          <w:rFonts w:ascii="Arial" w:hAnsi="Arial" w:cs="Arial"/>
          <w:sz w:val="22"/>
          <w:szCs w:val="22"/>
          <w:lang w:val="en-US"/>
        </w:rPr>
        <w:instrText xml:space="preserve"> ADDIN EN.CITE.DATA </w:instrText>
      </w:r>
      <w:r>
        <w:rPr>
          <w:rStyle w:val="apple-converted-space"/>
          <w:rFonts w:ascii="Arial" w:hAnsi="Arial" w:cs="Arial"/>
          <w:sz w:val="22"/>
          <w:szCs w:val="22"/>
          <w:lang w:val="en-US"/>
        </w:rPr>
      </w:r>
      <w:r>
        <w:rPr>
          <w:rStyle w:val="apple-converted-space"/>
          <w:rFonts w:ascii="Arial" w:hAnsi="Arial" w:cs="Arial"/>
          <w:sz w:val="22"/>
          <w:szCs w:val="22"/>
          <w:lang w:val="en-US"/>
        </w:rPr>
        <w:fldChar w:fldCharType="end"/>
      </w:r>
      <w:r>
        <w:rPr>
          <w:rStyle w:val="apple-converted-space"/>
          <w:rFonts w:ascii="Arial" w:hAnsi="Arial" w:cs="Arial"/>
          <w:sz w:val="22"/>
          <w:szCs w:val="22"/>
          <w:lang w:val="en-US"/>
        </w:rPr>
      </w:r>
      <w:r>
        <w:rPr>
          <w:rStyle w:val="apple-converted-space"/>
          <w:rFonts w:ascii="Arial" w:hAnsi="Arial" w:cs="Arial"/>
          <w:sz w:val="22"/>
          <w:szCs w:val="22"/>
          <w:lang w:val="en-US"/>
        </w:rPr>
        <w:fldChar w:fldCharType="separate"/>
      </w:r>
      <w:r>
        <w:rPr>
          <w:rStyle w:val="apple-converted-space"/>
          <w:rFonts w:ascii="Arial" w:hAnsi="Arial" w:cs="Arial"/>
          <w:noProof/>
          <w:sz w:val="22"/>
          <w:szCs w:val="22"/>
          <w:lang w:val="en-US"/>
        </w:rPr>
        <w:t>(3)</w:t>
      </w:r>
      <w:r>
        <w:rPr>
          <w:rStyle w:val="apple-converted-space"/>
          <w:rFonts w:ascii="Arial" w:hAnsi="Arial" w:cs="Arial"/>
          <w:sz w:val="22"/>
          <w:szCs w:val="22"/>
          <w:lang w:val="en-US"/>
        </w:rPr>
        <w:fldChar w:fldCharType="end"/>
      </w:r>
      <w:r>
        <w:rPr>
          <w:rStyle w:val="apple-converted-space"/>
          <w:rFonts w:ascii="Arial" w:hAnsi="Arial" w:cs="Arial"/>
          <w:sz w:val="22"/>
          <w:szCs w:val="22"/>
          <w:lang w:val="en-US"/>
        </w:rPr>
        <w:t>.</w:t>
      </w:r>
      <w:r>
        <w:rPr>
          <w:rStyle w:val="eop"/>
          <w:rFonts w:ascii="Arial" w:hAnsi="Arial" w:cs="Arial"/>
          <w:sz w:val="22"/>
          <w:szCs w:val="22"/>
          <w:lang w:val="en-US"/>
        </w:rPr>
        <w:t xml:space="preserve"> Briefly, subjects were excluded with history of cardiocerebrovascular disease defined as validated/self-reported stroke, myocardial infarction or revascularization. In addition, subjects with non-MRI safe devices including e.g. cardiac pacemaker or implantable defibrillator, report of cerebral aneurysm clip or serum creatinine ≥1.3 mg/dL were excluded. </w:t>
      </w:r>
    </w:p>
    <w:p>
      <w:pPr>
        <w:pStyle w:val="paragraph"/>
        <w:spacing w:before="0" w:beforeAutospacing="0" w:after="60" w:afterAutospacing="0" w:line="480" w:lineRule="auto"/>
        <w:ind w:firstLine="720"/>
        <w:jc w:val="both"/>
        <w:textAlignment w:val="baseline"/>
        <w:rPr>
          <w:rFonts w:ascii="Arial" w:hAnsi="Arial" w:cs="Arial"/>
          <w:sz w:val="22"/>
          <w:szCs w:val="22"/>
          <w:lang w:val="en-US"/>
        </w:rPr>
      </w:pPr>
      <w:r>
        <w:rPr>
          <w:rStyle w:val="normaltextrun"/>
          <w:rFonts w:ascii="Arial" w:hAnsi="Arial" w:cs="Arial"/>
          <w:sz w:val="22"/>
          <w:szCs w:val="22"/>
          <w:lang w:val="en-US"/>
        </w:rPr>
        <w:t>The study was approved by the institutional review board of the</w:t>
      </w:r>
      <w:r>
        <w:rPr>
          <w:rStyle w:val="apple-converted-space"/>
          <w:rFonts w:ascii="Arial" w:hAnsi="Arial" w:cs="Arial"/>
          <w:sz w:val="22"/>
          <w:szCs w:val="22"/>
          <w:lang w:val="en-US"/>
        </w:rPr>
        <w:t xml:space="preserve"> </w:t>
      </w:r>
      <w:r>
        <w:rPr>
          <w:rStyle w:val="normaltextrun"/>
          <w:rFonts w:ascii="Arial" w:hAnsi="Arial" w:cs="Arial"/>
          <w:sz w:val="22"/>
          <w:szCs w:val="22"/>
          <w:lang w:val="en-US"/>
        </w:rPr>
        <w:t>medical faculty of</w:t>
      </w:r>
      <w:r>
        <w:rPr>
          <w:rStyle w:val="apple-converted-space"/>
          <w:rFonts w:ascii="Arial" w:hAnsi="Arial" w:cs="Arial"/>
          <w:sz w:val="22"/>
          <w:szCs w:val="22"/>
          <w:lang w:val="en-US"/>
        </w:rPr>
        <w:t xml:space="preserve"> </w:t>
      </w:r>
      <w:r>
        <w:rPr>
          <w:rStyle w:val="normaltextrun"/>
          <w:rFonts w:ascii="Arial" w:hAnsi="Arial" w:cs="Arial"/>
          <w:sz w:val="22"/>
          <w:szCs w:val="22"/>
          <w:lang w:val="en-US"/>
        </w:rPr>
        <w:t>Ludwig-Maximilian University</w:t>
      </w:r>
      <w:r>
        <w:rPr>
          <w:rStyle w:val="apple-converted-space"/>
          <w:rFonts w:ascii="Arial" w:hAnsi="Arial" w:cs="Arial"/>
          <w:sz w:val="22"/>
          <w:szCs w:val="22"/>
          <w:lang w:val="en-US"/>
        </w:rPr>
        <w:t xml:space="preserve"> </w:t>
      </w:r>
      <w:r>
        <w:rPr>
          <w:rStyle w:val="normaltextrun"/>
          <w:rFonts w:ascii="Arial" w:hAnsi="Arial" w:cs="Arial"/>
          <w:sz w:val="22"/>
          <w:szCs w:val="22"/>
          <w:lang w:val="en-US"/>
        </w:rPr>
        <w:t>Munich, Germany</w:t>
      </w:r>
      <w:r>
        <w:rPr>
          <w:rStyle w:val="apple-converted-space"/>
          <w:rFonts w:ascii="Arial" w:hAnsi="Arial" w:cs="Arial"/>
          <w:sz w:val="22"/>
          <w:szCs w:val="22"/>
          <w:lang w:val="en-US"/>
        </w:rPr>
        <w:t xml:space="preserve"> </w:t>
      </w:r>
      <w:r>
        <w:rPr>
          <w:rStyle w:val="normaltextrun"/>
          <w:rFonts w:ascii="Arial" w:hAnsi="Arial" w:cs="Arial"/>
          <w:sz w:val="22"/>
          <w:szCs w:val="22"/>
          <w:lang w:val="en-US"/>
        </w:rPr>
        <w:t xml:space="preserve">and all participants provided written informed consent.   </w:t>
      </w:r>
      <w:r>
        <w:rPr>
          <w:rStyle w:val="eop"/>
          <w:rFonts w:ascii="Arial" w:hAnsi="Arial" w:cs="Arial"/>
          <w:sz w:val="22"/>
          <w:szCs w:val="22"/>
          <w:lang w:val="en-US"/>
        </w:rPr>
        <w:t xml:space="preserve"> </w:t>
      </w:r>
    </w:p>
    <w:p>
      <w:pPr>
        <w:pStyle w:val="paragraph"/>
        <w:spacing w:before="0" w:beforeAutospacing="0" w:after="60" w:afterAutospacing="0" w:line="480" w:lineRule="auto"/>
        <w:ind w:firstLine="720"/>
        <w:jc w:val="both"/>
        <w:textAlignment w:val="baseline"/>
        <w:rPr>
          <w:rFonts w:ascii="Arial" w:hAnsi="Arial" w:cs="Arial"/>
          <w:sz w:val="22"/>
          <w:szCs w:val="22"/>
          <w:lang w:val="en-US"/>
        </w:rPr>
      </w:pPr>
    </w:p>
    <w:p>
      <w:pPr>
        <w:pStyle w:val="paragraph"/>
        <w:spacing w:before="0" w:beforeAutospacing="0" w:after="60" w:afterAutospacing="0" w:line="480" w:lineRule="auto"/>
        <w:jc w:val="both"/>
        <w:textAlignment w:val="baseline"/>
        <w:rPr>
          <w:rStyle w:val="eop"/>
          <w:rFonts w:ascii="Arial" w:hAnsi="Arial" w:cs="Arial"/>
          <w:i/>
          <w:sz w:val="22"/>
          <w:szCs w:val="22"/>
          <w:u w:val="single"/>
          <w:lang w:val="en-US"/>
        </w:rPr>
      </w:pPr>
      <w:r>
        <w:rPr>
          <w:rStyle w:val="normaltextrun"/>
          <w:rFonts w:ascii="Arial" w:hAnsi="Arial" w:cs="Arial"/>
          <w:bCs/>
          <w:i/>
          <w:sz w:val="22"/>
          <w:szCs w:val="22"/>
          <w:u w:val="single"/>
          <w:lang w:val="en-US"/>
        </w:rPr>
        <w:t>Magnetic Resonance Imaging</w:t>
      </w:r>
      <w:r>
        <w:rPr>
          <w:rStyle w:val="eop"/>
          <w:rFonts w:ascii="Arial" w:hAnsi="Arial" w:cs="Arial"/>
          <w:i/>
          <w:sz w:val="22"/>
          <w:szCs w:val="22"/>
          <w:u w:val="single"/>
          <w:lang w:val="en-US"/>
        </w:rPr>
        <w:t xml:space="preserve"> </w:t>
      </w:r>
    </w:p>
    <w:p>
      <w:pPr>
        <w:pStyle w:val="paragraph"/>
        <w:spacing w:before="0" w:beforeAutospacing="0" w:after="60" w:afterAutospacing="0" w:line="480" w:lineRule="auto"/>
        <w:ind w:firstLine="720"/>
        <w:jc w:val="both"/>
        <w:textAlignment w:val="baseline"/>
        <w:rPr>
          <w:rStyle w:val="normaltextrun"/>
          <w:rFonts w:ascii="Arial" w:hAnsi="Arial" w:cs="Arial"/>
          <w:sz w:val="22"/>
          <w:szCs w:val="22"/>
          <w:lang w:val="en-US"/>
        </w:rPr>
      </w:pPr>
      <w:r>
        <w:rPr>
          <w:rStyle w:val="normaltextrun"/>
          <w:rFonts w:ascii="Arial" w:hAnsi="Arial" w:cs="Arial"/>
          <w:sz w:val="22"/>
          <w:szCs w:val="22"/>
          <w:lang w:val="en-US"/>
        </w:rPr>
        <w:t>MR images were acquired using</w:t>
      </w:r>
      <w:r>
        <w:rPr>
          <w:rStyle w:val="apple-converted-space"/>
          <w:rFonts w:ascii="Arial" w:hAnsi="Arial" w:cs="Arial"/>
          <w:sz w:val="22"/>
          <w:szCs w:val="22"/>
          <w:lang w:val="en-US"/>
        </w:rPr>
        <w:t xml:space="preserve"> </w:t>
      </w:r>
      <w:r>
        <w:rPr>
          <w:rStyle w:val="normaltextrun"/>
          <w:rFonts w:ascii="Arial" w:hAnsi="Arial" w:cs="Arial"/>
          <w:sz w:val="22"/>
          <w:szCs w:val="22"/>
          <w:lang w:val="en-US"/>
        </w:rPr>
        <w:t>a 3 Tesla</w:t>
      </w:r>
      <w:r>
        <w:rPr>
          <w:rStyle w:val="apple-converted-space"/>
          <w:rFonts w:ascii="Arial" w:hAnsi="Arial" w:cs="Arial"/>
          <w:sz w:val="22"/>
          <w:szCs w:val="22"/>
          <w:lang w:val="en-US"/>
        </w:rPr>
        <w:t xml:space="preserve"> </w:t>
      </w:r>
      <w:r>
        <w:rPr>
          <w:rStyle w:val="spellingerror"/>
          <w:rFonts w:ascii="Arial" w:hAnsi="Arial" w:cs="Arial"/>
          <w:sz w:val="22"/>
          <w:szCs w:val="22"/>
          <w:lang w:val="en-US"/>
        </w:rPr>
        <w:t>Magnetom</w:t>
      </w:r>
      <w:r>
        <w:rPr>
          <w:rStyle w:val="apple-converted-space"/>
          <w:rFonts w:ascii="Arial" w:hAnsi="Arial" w:cs="Arial"/>
          <w:sz w:val="22"/>
          <w:szCs w:val="22"/>
          <w:lang w:val="en-US"/>
        </w:rPr>
        <w:t xml:space="preserve"> </w:t>
      </w:r>
      <w:r>
        <w:rPr>
          <w:rStyle w:val="spellingerror"/>
          <w:rFonts w:ascii="Arial" w:hAnsi="Arial" w:cs="Arial"/>
          <w:sz w:val="22"/>
          <w:szCs w:val="22"/>
          <w:lang w:val="en-US"/>
        </w:rPr>
        <w:t>Skyra</w:t>
      </w:r>
      <w:r>
        <w:rPr>
          <w:rStyle w:val="apple-converted-space"/>
          <w:rFonts w:ascii="Arial" w:hAnsi="Arial" w:cs="Arial"/>
          <w:sz w:val="22"/>
          <w:szCs w:val="22"/>
          <w:lang w:val="en-US"/>
        </w:rPr>
        <w:t xml:space="preserve"> </w:t>
      </w:r>
      <w:r>
        <w:rPr>
          <w:rStyle w:val="normaltextrun"/>
          <w:rFonts w:ascii="Arial" w:hAnsi="Arial" w:cs="Arial"/>
          <w:sz w:val="22"/>
          <w:szCs w:val="22"/>
          <w:lang w:val="en-US"/>
        </w:rPr>
        <w:t>(Siemens AG, Healthcare Sector, Erlangen Germany)</w:t>
      </w:r>
      <w:r>
        <w:rPr>
          <w:rStyle w:val="apple-converted-space"/>
          <w:rFonts w:ascii="Arial" w:hAnsi="Arial" w:cs="Arial"/>
          <w:sz w:val="22"/>
          <w:szCs w:val="22"/>
          <w:lang w:val="en-US"/>
        </w:rPr>
        <w:t xml:space="preserve"> </w:t>
      </w:r>
      <w:r>
        <w:rPr>
          <w:rStyle w:val="normaltextrun"/>
          <w:rFonts w:ascii="Arial" w:hAnsi="Arial" w:cs="Arial"/>
          <w:sz w:val="22"/>
          <w:szCs w:val="22"/>
          <w:lang w:val="en-US"/>
        </w:rPr>
        <w:t>equipped with a whole-body coiling system.</w:t>
      </w:r>
      <w:r>
        <w:rPr>
          <w:rStyle w:val="apple-converted-space"/>
          <w:rFonts w:ascii="Arial" w:hAnsi="Arial" w:cs="Arial"/>
          <w:sz w:val="22"/>
          <w:szCs w:val="22"/>
          <w:lang w:val="en-US"/>
        </w:rPr>
        <w:t xml:space="preserve"> </w:t>
      </w:r>
      <w:r>
        <w:rPr>
          <w:rStyle w:val="normaltextrun"/>
          <w:rFonts w:ascii="Arial" w:hAnsi="Arial" w:cs="Arial"/>
          <w:sz w:val="22"/>
          <w:szCs w:val="22"/>
          <w:lang w:val="en-US"/>
        </w:rPr>
        <w:t>All participants underwent the</w:t>
      </w:r>
      <w:r>
        <w:rPr>
          <w:rStyle w:val="apple-converted-space"/>
          <w:rFonts w:ascii="Arial" w:hAnsi="Arial" w:cs="Arial"/>
          <w:sz w:val="22"/>
          <w:szCs w:val="22"/>
          <w:lang w:val="en-US"/>
        </w:rPr>
        <w:t xml:space="preserve"> </w:t>
      </w:r>
      <w:r>
        <w:rPr>
          <w:rStyle w:val="normaltextrun"/>
          <w:rFonts w:ascii="Arial" w:hAnsi="Arial" w:cs="Arial"/>
          <w:sz w:val="22"/>
          <w:szCs w:val="22"/>
          <w:lang w:val="en-US"/>
        </w:rPr>
        <w:t>imaging protocol</w:t>
      </w:r>
      <w:r>
        <w:rPr>
          <w:rStyle w:val="apple-converted-space"/>
          <w:rFonts w:ascii="Arial" w:hAnsi="Arial" w:cs="Arial"/>
          <w:sz w:val="22"/>
          <w:szCs w:val="22"/>
          <w:lang w:val="en-US"/>
        </w:rPr>
        <w:t xml:space="preserve"> </w:t>
      </w:r>
      <w:r>
        <w:rPr>
          <w:rStyle w:val="normaltextrun"/>
          <w:rFonts w:ascii="Arial" w:hAnsi="Arial" w:cs="Arial"/>
          <w:sz w:val="22"/>
          <w:szCs w:val="22"/>
          <w:lang w:val="en-US"/>
        </w:rPr>
        <w:t>within</w:t>
      </w:r>
      <w:r>
        <w:rPr>
          <w:rStyle w:val="apple-converted-space"/>
          <w:rFonts w:ascii="Arial" w:hAnsi="Arial" w:cs="Arial"/>
          <w:sz w:val="22"/>
          <w:szCs w:val="22"/>
          <w:lang w:val="en-US"/>
        </w:rPr>
        <w:t xml:space="preserve"> </w:t>
      </w:r>
      <w:r>
        <w:rPr>
          <w:rStyle w:val="normaltextrun"/>
          <w:rFonts w:ascii="Arial" w:hAnsi="Arial" w:cs="Arial"/>
          <w:sz w:val="22"/>
          <w:szCs w:val="22"/>
          <w:lang w:val="en-US"/>
        </w:rPr>
        <w:t>three</w:t>
      </w:r>
      <w:r>
        <w:rPr>
          <w:rStyle w:val="apple-converted-space"/>
          <w:rFonts w:ascii="Arial" w:hAnsi="Arial" w:cs="Arial"/>
          <w:sz w:val="22"/>
          <w:szCs w:val="22"/>
          <w:lang w:val="en-US"/>
        </w:rPr>
        <w:t xml:space="preserve"> </w:t>
      </w:r>
      <w:r>
        <w:rPr>
          <w:rStyle w:val="normaltextrun"/>
          <w:rFonts w:ascii="Arial" w:hAnsi="Arial" w:cs="Arial"/>
          <w:sz w:val="22"/>
          <w:szCs w:val="22"/>
          <w:lang w:val="en-US"/>
        </w:rPr>
        <w:t xml:space="preserve">months after the visit at the study center. The </w:t>
      </w:r>
      <w:r>
        <w:rPr>
          <w:rStyle w:val="apple-converted-space"/>
          <w:rFonts w:ascii="Arial" w:hAnsi="Arial" w:cs="Arial"/>
          <w:sz w:val="22"/>
          <w:szCs w:val="22"/>
          <w:lang w:val="en-US"/>
        </w:rPr>
        <w:t xml:space="preserve">comprehensive </w:t>
      </w:r>
      <w:r>
        <w:rPr>
          <w:rStyle w:val="normaltextrun"/>
          <w:rFonts w:ascii="Arial" w:hAnsi="Arial" w:cs="Arial"/>
          <w:sz w:val="22"/>
          <w:szCs w:val="22"/>
          <w:lang w:val="en-US"/>
        </w:rPr>
        <w:t>whole-body protocol</w:t>
      </w:r>
      <w:r>
        <w:rPr>
          <w:rStyle w:val="apple-converted-space"/>
          <w:rFonts w:ascii="Arial" w:hAnsi="Arial" w:cs="Arial"/>
          <w:sz w:val="22"/>
          <w:szCs w:val="22"/>
          <w:lang w:val="en-US"/>
        </w:rPr>
        <w:t xml:space="preserve"> is detailed elsewhere </w:t>
      </w:r>
      <w:r>
        <w:rPr>
          <w:rStyle w:val="apple-converted-space"/>
          <w:rFonts w:ascii="Arial" w:hAnsi="Arial" w:cs="Arial"/>
          <w:sz w:val="22"/>
          <w:szCs w:val="22"/>
          <w:lang w:val="en-US"/>
        </w:rPr>
        <w:fldChar w:fldCharType="begin">
          <w:fldData xml:space="preserve">PEVuZE5vdGU+PENpdGU+PEF1dGhvcj5CYW1iZXJnPC9BdXRob3I+PFllYXI+MjAxNzwvWWVhcj48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</w:fldData>
        </w:fldChar>
      </w:r>
      <w:r>
        <w:rPr>
          <w:rStyle w:val="apple-converted-space"/>
          <w:rFonts w:ascii="Arial" w:hAnsi="Arial" w:cs="Arial"/>
          <w:sz w:val="22"/>
          <w:szCs w:val="22"/>
          <w:lang w:val="en-US"/>
        </w:rPr>
        <w:instrText xml:space="preserve"> ADDIN EN.CITE </w:instrText>
      </w:r>
      <w:r>
        <w:rPr>
          <w:rStyle w:val="apple-converted-space"/>
          <w:rFonts w:ascii="Arial" w:hAnsi="Arial" w:cs="Arial"/>
          <w:sz w:val="22"/>
          <w:szCs w:val="22"/>
          <w:lang w:val="en-US"/>
        </w:rPr>
        <w:fldChar w:fldCharType="begin">
          <w:fldData xml:space="preserve">PEVuZE5vdGU+PENpdGU+PEF1dGhvcj5CYW1iZXJnPC9BdXRob3I+PFllYXI+MjAxNzwvWWVhcj48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</w:fldData>
        </w:fldChar>
      </w:r>
      <w:r>
        <w:rPr>
          <w:rStyle w:val="apple-converted-space"/>
          <w:rFonts w:ascii="Arial" w:hAnsi="Arial" w:cs="Arial"/>
          <w:sz w:val="22"/>
          <w:szCs w:val="22"/>
          <w:lang w:val="en-US"/>
        </w:rPr>
        <w:instrText xml:space="preserve"> ADDIN EN.CITE.DATA </w:instrText>
      </w:r>
      <w:r>
        <w:rPr>
          <w:rStyle w:val="apple-converted-space"/>
          <w:rFonts w:ascii="Arial" w:hAnsi="Arial" w:cs="Arial"/>
          <w:sz w:val="22"/>
          <w:szCs w:val="22"/>
          <w:lang w:val="en-US"/>
        </w:rPr>
      </w:r>
      <w:r>
        <w:rPr>
          <w:rStyle w:val="apple-converted-space"/>
          <w:rFonts w:ascii="Arial" w:hAnsi="Arial" w:cs="Arial"/>
          <w:sz w:val="22"/>
          <w:szCs w:val="22"/>
          <w:lang w:val="en-US"/>
        </w:rPr>
        <w:fldChar w:fldCharType="end"/>
      </w:r>
      <w:r>
        <w:rPr>
          <w:rStyle w:val="apple-converted-space"/>
          <w:rFonts w:ascii="Arial" w:hAnsi="Arial" w:cs="Arial"/>
          <w:sz w:val="22"/>
          <w:szCs w:val="22"/>
          <w:lang w:val="en-US"/>
        </w:rPr>
      </w:r>
      <w:r>
        <w:rPr>
          <w:rStyle w:val="apple-converted-space"/>
          <w:rFonts w:ascii="Arial" w:hAnsi="Arial" w:cs="Arial"/>
          <w:sz w:val="22"/>
          <w:szCs w:val="22"/>
          <w:lang w:val="en-US"/>
        </w:rPr>
        <w:fldChar w:fldCharType="separate"/>
      </w:r>
      <w:r>
        <w:rPr>
          <w:rStyle w:val="apple-converted-space"/>
          <w:rFonts w:ascii="Arial" w:hAnsi="Arial" w:cs="Arial"/>
          <w:noProof/>
          <w:sz w:val="22"/>
          <w:szCs w:val="22"/>
          <w:lang w:val="en-US"/>
        </w:rPr>
        <w:t>(3)</w:t>
      </w:r>
      <w:r>
        <w:rPr>
          <w:rStyle w:val="apple-converted-space"/>
          <w:rFonts w:ascii="Arial" w:hAnsi="Arial" w:cs="Arial"/>
          <w:sz w:val="22"/>
          <w:szCs w:val="22"/>
          <w:lang w:val="en-US"/>
        </w:rPr>
        <w:fldChar w:fldCharType="end"/>
      </w:r>
      <w:r>
        <w:rPr>
          <w:rStyle w:val="apple-converted-space"/>
          <w:rFonts w:ascii="Arial" w:hAnsi="Arial" w:cs="Arial"/>
          <w:sz w:val="22"/>
          <w:szCs w:val="22"/>
          <w:lang w:val="en-US"/>
        </w:rPr>
        <w:t>. Briefly, it included cranial (FLAIR, T1, SWI, TOF), thoracoabdominal (T1 DIXON of the entire torso, multi-echo of the liver) and cardiovascular (LV and RV cine imaging, T1 mapping, LGE) sequences.</w:t>
      </w:r>
    </w:p>
    <w:p>
      <w:pPr>
        <w:pStyle w:val="paragraph"/>
        <w:spacing w:before="0" w:beforeAutospacing="0" w:after="60" w:afterAutospacing="0" w:line="480" w:lineRule="auto"/>
        <w:jc w:val="both"/>
        <w:textAlignment w:val="baseline"/>
        <w:rPr>
          <w:rStyle w:val="normaltextrun"/>
          <w:rFonts w:ascii="Arial" w:hAnsi="Arial" w:cs="Arial"/>
          <w:sz w:val="22"/>
          <w:szCs w:val="22"/>
          <w:lang w:val="en-US"/>
        </w:rPr>
      </w:pPr>
    </w:p>
    <w:p>
      <w:pPr>
        <w:pStyle w:val="paragraph"/>
        <w:spacing w:before="0" w:beforeAutospacing="0" w:after="60" w:afterAutospacing="0" w:line="480" w:lineRule="auto"/>
        <w:jc w:val="both"/>
        <w:textAlignment w:val="baseline"/>
        <w:rPr>
          <w:rStyle w:val="normaltextrun"/>
          <w:rFonts w:ascii="Arial" w:hAnsi="Arial" w:cs="Arial"/>
          <w:sz w:val="22"/>
          <w:szCs w:val="22"/>
          <w:lang w:val="en-US"/>
        </w:rPr>
      </w:pPr>
    </w:p>
    <w:p>
      <w:pPr>
        <w:pStyle w:val="paragraph"/>
        <w:spacing w:before="0" w:beforeAutospacing="0" w:after="60" w:afterAutospacing="0" w:line="480" w:lineRule="auto"/>
        <w:jc w:val="both"/>
        <w:textAlignment w:val="baseline"/>
        <w:rPr>
          <w:rStyle w:val="normaltextrun"/>
          <w:rFonts w:ascii="Arial" w:hAnsi="Arial" w:cs="Arial"/>
          <w:sz w:val="22"/>
          <w:szCs w:val="22"/>
          <w:lang w:val="en-US"/>
        </w:rPr>
      </w:pPr>
    </w:p>
    <w:p>
      <w:pPr>
        <w:pStyle w:val="paragraph"/>
        <w:spacing w:before="0" w:beforeAutospacing="0" w:after="60" w:afterAutospacing="0" w:line="480" w:lineRule="auto"/>
        <w:jc w:val="both"/>
        <w:textAlignment w:val="baseline"/>
        <w:rPr>
          <w:rStyle w:val="apple-converted-space"/>
          <w:rFonts w:ascii="Arial" w:hAnsi="Arial" w:cs="Arial"/>
          <w:i/>
          <w:sz w:val="22"/>
          <w:szCs w:val="22"/>
          <w:u w:val="single"/>
          <w:lang w:val="en-US"/>
        </w:rPr>
      </w:pPr>
      <w:r>
        <w:rPr>
          <w:rStyle w:val="apple-converted-space"/>
          <w:rFonts w:ascii="Arial" w:hAnsi="Arial" w:cs="Arial"/>
          <w:i/>
          <w:sz w:val="22"/>
          <w:szCs w:val="22"/>
          <w:u w:val="single"/>
          <w:lang w:val="en-US"/>
        </w:rPr>
        <w:t xml:space="preserve">Incidental Finding Reporting </w:t>
      </w:r>
    </w:p>
    <w:p>
      <w:pPr>
        <w:pStyle w:val="paragraph"/>
        <w:spacing w:before="0" w:beforeAutospacing="0" w:after="60" w:afterAutospacing="0" w:line="480" w:lineRule="auto"/>
        <w:jc w:val="both"/>
        <w:textAlignment w:val="baseline"/>
        <w:rPr>
          <w:rStyle w:val="apple-converted-space"/>
          <w:rFonts w:ascii="Arial" w:hAnsi="Arial" w:cs="Arial"/>
          <w:sz w:val="22"/>
          <w:szCs w:val="22"/>
          <w:lang w:val="en-US"/>
        </w:rPr>
      </w:pPr>
      <w:r>
        <w:rPr>
          <w:rStyle w:val="apple-converted-space"/>
          <w:rFonts w:ascii="Arial" w:hAnsi="Arial" w:cs="Arial"/>
          <w:sz w:val="22"/>
          <w:szCs w:val="22"/>
          <w:lang w:val="en-US"/>
        </w:rPr>
        <w:lastRenderedPageBreak/>
        <w:tab/>
        <w:t xml:space="preserve">All images were reviewed by board-certified radiologists regarding the presence of clinically significant IF based on prospectively developed recommendations. These recommendations were based on current literature and consisted of a positive and a negative list of potential IF including size cut-offs below reporting was not recommended. However, these recommendations were not formally binding. In case the local radiologists felt unsure about reporting or not reporting a MR finding, they were able to refer the case for adjudication to an interdisciplinary panel including expert radiologists, epidemiologists and clinicians. The participants received a standardized letter including both, the information about the detected IF and what kind of further work-up was recommended for a final diagnosis. If no IF was detected, the participants received also a letter indicating that no IF was found.   </w:t>
      </w:r>
    </w:p>
    <w:p>
      <w:pPr>
        <w:pStyle w:val="paragraph"/>
        <w:spacing w:before="0" w:beforeAutospacing="0" w:after="60" w:afterAutospacing="0" w:line="480" w:lineRule="auto"/>
        <w:jc w:val="both"/>
        <w:textAlignment w:val="baseline"/>
        <w:rPr>
          <w:rStyle w:val="apple-converted-space"/>
          <w:rFonts w:ascii="Arial" w:hAnsi="Arial" w:cs="Arial"/>
          <w:sz w:val="22"/>
          <w:szCs w:val="22"/>
          <w:lang w:val="en-US"/>
        </w:rPr>
      </w:pPr>
      <w:r>
        <w:rPr>
          <w:rStyle w:val="apple-converted-space"/>
          <w:rFonts w:ascii="Arial" w:hAnsi="Arial" w:cs="Arial"/>
          <w:sz w:val="22"/>
          <w:szCs w:val="22"/>
          <w:lang w:val="en-US"/>
        </w:rPr>
        <w:t xml:space="preserve"> </w:t>
      </w:r>
    </w:p>
    <w:p>
      <w:pPr>
        <w:pStyle w:val="paragraph"/>
        <w:spacing w:before="0" w:beforeAutospacing="0" w:after="60" w:afterAutospacing="0" w:line="480" w:lineRule="auto"/>
        <w:jc w:val="both"/>
        <w:textAlignment w:val="baseline"/>
        <w:rPr>
          <w:rStyle w:val="normaltextrun"/>
          <w:rFonts w:ascii="Arial" w:hAnsi="Arial" w:cs="Arial"/>
          <w:bCs/>
          <w:i/>
          <w:iCs/>
          <w:sz w:val="22"/>
          <w:szCs w:val="22"/>
          <w:u w:val="single"/>
          <w:lang w:val="en-US"/>
        </w:rPr>
      </w:pPr>
      <w:r>
        <w:rPr>
          <w:rStyle w:val="normaltextrun"/>
          <w:rFonts w:ascii="Arial" w:hAnsi="Arial" w:cs="Arial"/>
          <w:bCs/>
          <w:i/>
          <w:iCs/>
          <w:sz w:val="22"/>
          <w:szCs w:val="22"/>
          <w:u w:val="single"/>
          <w:lang w:val="en-US"/>
        </w:rPr>
        <w:t xml:space="preserve">Endpoint Assessment and Follow-Up </w:t>
      </w:r>
    </w:p>
    <w:p>
      <w:pPr>
        <w:pStyle w:val="paragraph"/>
        <w:spacing w:before="0" w:beforeAutospacing="0" w:after="0" w:afterAutospacing="0" w:line="480" w:lineRule="auto"/>
        <w:jc w:val="both"/>
        <w:textAlignment w:val="baseline"/>
        <w:rPr>
          <w:rFonts w:ascii="Arial" w:hAnsi="Arial" w:cs="Arial"/>
          <w:sz w:val="22"/>
          <w:szCs w:val="22"/>
          <w:lang w:val="en-US"/>
        </w:rPr>
      </w:pPr>
      <w:r>
        <w:rPr>
          <w:rStyle w:val="normaltextrun"/>
          <w:rFonts w:ascii="Arial" w:hAnsi="Arial" w:cs="Arial"/>
          <w:b/>
          <w:bCs/>
          <w:iCs/>
          <w:sz w:val="22"/>
          <w:szCs w:val="22"/>
          <w:lang w:val="en-US"/>
        </w:rPr>
        <w:tab/>
      </w:r>
      <w:r>
        <w:rPr>
          <w:rFonts w:ascii="Arial" w:hAnsi="Arial" w:cs="Arial"/>
          <w:sz w:val="22"/>
          <w:szCs w:val="22"/>
          <w:lang w:val="en-US"/>
        </w:rPr>
        <w:t>A </w:t>
      </w:r>
      <w:r>
        <w:rPr>
          <w:rFonts w:ascii="Arial" w:hAnsi="Arial" w:cs="Arial"/>
          <w:bCs/>
          <w:sz w:val="22"/>
          <w:szCs w:val="22"/>
          <w:lang w:val="en-US"/>
        </w:rPr>
        <w:t>baseline self-answered questionnaire</w:t>
      </w:r>
      <w:r>
        <w:rPr>
          <w:rFonts w:ascii="Arial" w:hAnsi="Arial" w:cs="Arial"/>
          <w:b/>
          <w:bCs/>
          <w:sz w:val="22"/>
          <w:szCs w:val="22"/>
          <w:lang w:val="en-US"/>
        </w:rPr>
        <w:t xml:space="preserve"> </w:t>
      </w:r>
      <w:r>
        <w:rPr>
          <w:rFonts w:ascii="Arial" w:hAnsi="Arial" w:cs="Arial"/>
          <w:sz w:val="22"/>
          <w:szCs w:val="22"/>
          <w:lang w:val="en-US"/>
        </w:rPr>
        <w:t xml:space="preserve">was obtained directly prior to the MRI examination (“pre-scan survey”). The questionnaire included several questions regarding the motivation for participation and expected stress induced by waiting for the IF report, and assessed quality of the informed consent form. A follow-up </w:t>
      </w:r>
      <w:r>
        <w:rPr>
          <w:rFonts w:ascii="Arial" w:hAnsi="Arial" w:cs="Arial"/>
          <w:bCs/>
          <w:sz w:val="22"/>
          <w:szCs w:val="22"/>
          <w:lang w:val="en-US"/>
        </w:rPr>
        <w:t>questionnaire</w:t>
      </w:r>
      <w:r>
        <w:rPr>
          <w:rFonts w:ascii="Arial" w:hAnsi="Arial" w:cs="Arial"/>
          <w:b/>
          <w:bCs/>
          <w:sz w:val="22"/>
          <w:szCs w:val="22"/>
          <w:lang w:val="en-US"/>
        </w:rPr>
        <w:t xml:space="preserve"> </w:t>
      </w:r>
      <w:r>
        <w:rPr>
          <w:rFonts w:ascii="Arial" w:hAnsi="Arial" w:cs="Arial"/>
          <w:sz w:val="22"/>
          <w:szCs w:val="22"/>
          <w:lang w:val="en-US"/>
        </w:rPr>
        <w:t>was conducted six months after baseline (“post-scan survey”) to analyze </w:t>
      </w:r>
      <w:r>
        <w:rPr>
          <w:rFonts w:ascii="Arial" w:hAnsi="Arial" w:cs="Arial"/>
          <w:bCs/>
          <w:sz w:val="22"/>
          <w:szCs w:val="22"/>
          <w:lang w:val="en-US"/>
        </w:rPr>
        <w:t>short-term consequences</w:t>
      </w:r>
      <w:r>
        <w:rPr>
          <w:rFonts w:ascii="Arial" w:hAnsi="Arial" w:cs="Arial"/>
          <w:sz w:val="22"/>
          <w:szCs w:val="22"/>
          <w:lang w:val="en-US"/>
        </w:rPr>
        <w:t> of population-based MRI study examinations and IF reporting on participants’ </w:t>
      </w:r>
      <w:r>
        <w:rPr>
          <w:rFonts w:ascii="Arial" w:hAnsi="Arial" w:cs="Arial"/>
          <w:bCs/>
          <w:sz w:val="22"/>
          <w:szCs w:val="22"/>
          <w:lang w:val="en-US"/>
        </w:rPr>
        <w:t>physical and mental well-being</w:t>
      </w:r>
      <w:r>
        <w:rPr>
          <w:rFonts w:ascii="Arial" w:hAnsi="Arial" w:cs="Arial"/>
          <w:sz w:val="22"/>
          <w:szCs w:val="22"/>
          <w:lang w:val="en-US"/>
        </w:rPr>
        <w:t xml:space="preserve">. Health status was assessed by self-rated health and depression was measured by standardized instruments (PHQ-9) </w:t>
      </w:r>
      <w:r>
        <w:rPr>
          <w:rFonts w:ascii="Arial" w:hAnsi="Arial" w:cs="Arial"/>
          <w:sz w:val="22"/>
          <w:szCs w:val="22"/>
          <w:lang w:val="en-US"/>
        </w:rPr>
        <w:fldChar w:fldCharType="begin"/>
      </w:r>
      <w:r>
        <w:rPr>
          <w:rFonts w:ascii="Arial" w:hAnsi="Arial" w:cs="Arial"/>
          <w:sz w:val="22"/>
          <w:szCs w:val="22"/>
          <w:lang w:val="en-US"/>
        </w:rPr>
        <w:instrText xml:space="preserve"> ADDIN EN.CITE &lt;EndNote&gt;&lt;Cite&gt;&lt;Author&gt;Lowe&lt;/Author&gt;&lt;Year&gt;2004&lt;/Year&gt;&lt;RecNum&gt;82&lt;/RecNum&gt;&lt;DisplayText&gt;(4)&lt;/DisplayText&gt;&lt;record&gt;&lt;rec-number&gt;82&lt;/rec-number&gt;&lt;foreign-keys&gt;&lt;key app="EN" db-id="twrextfw1v2tzwet5v6x0pz69vf0evfxexww" timestamp="1502276140"&gt;82&lt;/key&gt;&lt;/foreign-keys&gt;&lt;ref-type name="Journal Article"&gt;17&lt;/ref-type&gt;&lt;contributors&gt;&lt;authors&gt;&lt;author&gt;Lowe, B.&lt;/author&gt;&lt;author&gt;Unutzer, J.&lt;/author&gt;&lt;author&gt;Callahan, C. M.&lt;/author&gt;&lt;author&gt;Perkins, A. J.&lt;/author&gt;&lt;author&gt;Kroenke, K.&lt;/author&gt;&lt;/authors&gt;&lt;/contributors&gt;&lt;auth-address&gt;Department of General Internal and Psychosomatic Medicine, Heidelberg University Medical Center, D-69120 Heidelberg, Germany. bernd.loewe@med.uni-heidelberg.de&lt;/auth-address&gt;&lt;titles&gt;&lt;title&gt;Monitoring depression treatment outcomes with the patient health questionnaire-9&lt;/title&gt;&lt;secondary-title&gt;Med Care&lt;/secondary-title&gt;&lt;/titles&gt;&lt;periodical&gt;&lt;full-title&gt;Med Care&lt;/full-title&gt;&lt;/periodical&gt;&lt;pages&gt;1194-201&lt;/pages&gt;&lt;volume&gt;42&lt;/volume&gt;&lt;number&gt;12&lt;/number&gt;&lt;keywords&gt;&lt;keyword&gt;Aged&lt;/keyword&gt;&lt;keyword&gt;Depressive Disorder, Major/diagnosis/*therapy&lt;/keyword&gt;&lt;keyword&gt;Diagnostic and Statistical Manual of Mental Disorders&lt;/keyword&gt;&lt;keyword&gt;Dysthymic Disorder/diagnosis/*therapy&lt;/keyword&gt;&lt;keyword&gt;Female&lt;/keyword&gt;&lt;keyword&gt;Humans&lt;/keyword&gt;&lt;keyword&gt;Interview, Psychological&lt;/keyword&gt;&lt;keyword&gt;Male&lt;/keyword&gt;&lt;keyword&gt;Outcome Assessment (Health Care)/*methods&lt;/keyword&gt;&lt;keyword&gt;Primary Health Care/*standards&lt;/keyword&gt;&lt;keyword&gt;Psychiatric Status Rating Scales&lt;/keyword&gt;&lt;keyword&gt;Psychometrics/*instrumentation&lt;/keyword&gt;&lt;keyword&gt;Quality of Life/psychology&lt;/keyword&gt;&lt;keyword&gt;Self Efficacy&lt;/keyword&gt;&lt;keyword&gt;*Sickness Impact Profile&lt;/keyword&gt;&lt;keyword&gt;*Surveys and Questionnaires&lt;/keyword&gt;&lt;/keywords&gt;&lt;dates&gt;&lt;year&gt;2004&lt;/year&gt;&lt;pub-dates&gt;&lt;date&gt;Dec&lt;/date&gt;&lt;/pub-dates&gt;&lt;/dates&gt;&lt;isbn&gt;0025-7079 (Print)&amp;#xD;0025-7079 (Linking)&lt;/isbn&gt;&lt;accession-num&gt;15550799&lt;/accession-num&gt;&lt;urls&gt;&lt;related-urls&gt;&lt;url&gt;https://www.ncbi.nlm.nih.gov/pubmed/15550799&lt;/url&gt;&lt;/related-urls&gt;&lt;/urls&gt;&lt;/record&gt;&lt;/Cite&gt;&lt;/EndNote&gt;</w:instrText>
      </w:r>
      <w:r>
        <w:rPr>
          <w:rFonts w:ascii="Arial" w:hAnsi="Arial" w:cs="Arial"/>
          <w:sz w:val="22"/>
          <w:szCs w:val="22"/>
          <w:lang w:val="en-US"/>
        </w:rPr>
        <w:fldChar w:fldCharType="separate"/>
      </w:r>
      <w:r>
        <w:rPr>
          <w:rFonts w:ascii="Arial" w:hAnsi="Arial" w:cs="Arial"/>
          <w:noProof/>
          <w:sz w:val="22"/>
          <w:szCs w:val="22"/>
          <w:lang w:val="en-US"/>
        </w:rPr>
        <w:t>(4)</w:t>
      </w:r>
      <w:r>
        <w:rPr>
          <w:rFonts w:ascii="Arial" w:hAnsi="Arial" w:cs="Arial"/>
          <w:sz w:val="22"/>
          <w:szCs w:val="22"/>
          <w:lang w:val="en-US"/>
        </w:rPr>
        <w:fldChar w:fldCharType="end"/>
      </w:r>
      <w:r>
        <w:rPr>
          <w:rFonts w:ascii="Arial" w:hAnsi="Arial" w:cs="Arial"/>
          <w:sz w:val="22"/>
          <w:szCs w:val="22"/>
          <w:lang w:val="en-US"/>
        </w:rPr>
        <w:t xml:space="preserve">. </w:t>
      </w:r>
    </w:p>
    <w:p>
      <w:pPr>
        <w:pStyle w:val="paragraph"/>
        <w:spacing w:before="0" w:beforeAutospacing="0" w:after="0" w:afterAutospacing="0" w:line="480" w:lineRule="auto"/>
        <w:jc w:val="both"/>
        <w:textAlignment w:val="baseline"/>
        <w:rPr>
          <w:rFonts w:ascii="Arial" w:hAnsi="Arial" w:cs="Arial"/>
          <w:sz w:val="22"/>
          <w:szCs w:val="22"/>
          <w:lang w:val="en-US"/>
        </w:rPr>
      </w:pPr>
    </w:p>
    <w:p>
      <w:pPr>
        <w:pStyle w:val="paragraph"/>
        <w:spacing w:before="0" w:beforeAutospacing="0" w:after="60" w:afterAutospacing="0" w:line="480" w:lineRule="auto"/>
        <w:jc w:val="both"/>
        <w:textAlignment w:val="baseline"/>
        <w:rPr>
          <w:rFonts w:ascii="Arial" w:hAnsi="Arial" w:cs="Arial"/>
          <w:i/>
          <w:sz w:val="22"/>
          <w:szCs w:val="22"/>
          <w:u w:val="single"/>
          <w:lang w:val="en-US"/>
        </w:rPr>
      </w:pPr>
      <w:r>
        <w:rPr>
          <w:rStyle w:val="normaltextrun"/>
          <w:rFonts w:ascii="Arial" w:hAnsi="Arial" w:cs="Arial"/>
          <w:bCs/>
          <w:i/>
          <w:sz w:val="22"/>
          <w:szCs w:val="22"/>
          <w:u w:val="single"/>
          <w:lang w:val="en-US"/>
        </w:rPr>
        <w:t>Quality Assurance</w:t>
      </w:r>
    </w:p>
    <w:p>
      <w:pPr>
        <w:pStyle w:val="paragraph"/>
        <w:spacing w:before="0" w:beforeAutospacing="0" w:after="60" w:afterAutospacing="0" w:line="480" w:lineRule="auto"/>
        <w:jc w:val="both"/>
        <w:textAlignment w:val="baseline"/>
        <w:rPr>
          <w:rStyle w:val="normaltextrun"/>
          <w:rFonts w:ascii="Arial" w:hAnsi="Arial" w:cs="Arial"/>
          <w:bCs/>
          <w:sz w:val="22"/>
          <w:szCs w:val="22"/>
          <w:lang w:val="en-US"/>
        </w:rPr>
      </w:pPr>
      <w:r>
        <w:rPr>
          <w:rStyle w:val="normaltextrun"/>
          <w:rFonts w:ascii="Arial" w:hAnsi="Arial" w:cs="Arial"/>
          <w:bCs/>
          <w:sz w:val="22"/>
          <w:szCs w:val="22"/>
          <w:lang w:val="en-US"/>
        </w:rPr>
        <w:tab/>
        <w:t xml:space="preserve">All reported IF, which were part of the recommendation list and included a size cut-off, were re-evaluated by an independent investigator for the size of the lesion. This re-evaluation was performed only for quality assurance and did not affect the reporting of the IF.   </w:t>
      </w:r>
    </w:p>
    <w:p>
      <w:pPr>
        <w:pStyle w:val="paragraph"/>
        <w:spacing w:before="0" w:beforeAutospacing="0" w:after="60" w:afterAutospacing="0" w:line="480" w:lineRule="auto"/>
        <w:jc w:val="both"/>
        <w:textAlignment w:val="baseline"/>
        <w:rPr>
          <w:rStyle w:val="normaltextrun"/>
          <w:rFonts w:ascii="Arial" w:hAnsi="Arial" w:cs="Arial"/>
          <w:bCs/>
          <w:i/>
          <w:sz w:val="22"/>
          <w:szCs w:val="22"/>
          <w:u w:val="single"/>
          <w:lang w:val="en-US"/>
        </w:rPr>
      </w:pPr>
    </w:p>
    <w:p>
      <w:pPr>
        <w:pStyle w:val="paragraph"/>
        <w:spacing w:before="0" w:beforeAutospacing="0" w:after="60" w:afterAutospacing="0" w:line="480" w:lineRule="auto"/>
        <w:jc w:val="both"/>
        <w:textAlignment w:val="baseline"/>
        <w:rPr>
          <w:rFonts w:ascii="Arial" w:hAnsi="Arial" w:cs="Arial"/>
          <w:i/>
          <w:sz w:val="22"/>
          <w:szCs w:val="22"/>
          <w:u w:val="single"/>
          <w:lang w:val="en-US"/>
        </w:rPr>
      </w:pPr>
      <w:r>
        <w:rPr>
          <w:rStyle w:val="normaltextrun"/>
          <w:rFonts w:ascii="Arial" w:hAnsi="Arial" w:cs="Arial"/>
          <w:bCs/>
          <w:i/>
          <w:sz w:val="22"/>
          <w:szCs w:val="22"/>
          <w:u w:val="single"/>
          <w:lang w:val="en-US"/>
        </w:rPr>
        <w:t>Statistical Analysis</w:t>
      </w:r>
      <w:r>
        <w:rPr>
          <w:rStyle w:val="eop"/>
          <w:rFonts w:ascii="Arial" w:hAnsi="Arial" w:cs="Arial"/>
          <w:i/>
          <w:sz w:val="22"/>
          <w:szCs w:val="22"/>
          <w:u w:val="single"/>
          <w:lang w:val="en-US"/>
        </w:rPr>
        <w:t xml:space="preserve"> </w:t>
      </w:r>
    </w:p>
    <w:p>
      <w:pPr>
        <w:pStyle w:val="paragraph"/>
        <w:spacing w:before="0" w:beforeAutospacing="0" w:after="60" w:afterAutospacing="0" w:line="480" w:lineRule="auto"/>
        <w:ind w:firstLine="720"/>
        <w:jc w:val="both"/>
        <w:textAlignment w:val="baseline"/>
        <w:rPr>
          <w:rStyle w:val="normaltextrun"/>
          <w:rFonts w:ascii="Arial" w:hAnsi="Arial" w:cs="Arial"/>
          <w:sz w:val="22"/>
          <w:szCs w:val="22"/>
          <w:lang w:val="en-US"/>
        </w:rPr>
      </w:pPr>
      <w:r>
        <w:rPr>
          <w:rStyle w:val="normaltextrun"/>
          <w:rFonts w:ascii="Arial" w:hAnsi="Arial" w:cs="Arial"/>
          <w:sz w:val="22"/>
          <w:szCs w:val="22"/>
          <w:lang w:val="en-US"/>
        </w:rPr>
        <w:lastRenderedPageBreak/>
        <w:t>Demographics of participants, categories of IF, and psychosocial evaluations are reported as arithmetic mean and standard deviation or median and interquartile range for continuous variables and counts and/or percentages for categorical variables. Psychosocial evaluations were only assessed in participants with available data for the pre-scan and post-scan survey. Depression burden was determined by the Brief Patient Health Questionnaire (PHQ-9) in a standardized fashion. Differences between participants with and without IF and differences between participants with and without psychosocial evaluations were examined by unpaired t-test or χ</w:t>
      </w:r>
      <w:r>
        <w:rPr>
          <w:rStyle w:val="normaltextrun"/>
          <w:rFonts w:ascii="Arial" w:hAnsi="Arial" w:cs="Arial"/>
          <w:sz w:val="22"/>
          <w:szCs w:val="22"/>
          <w:vertAlign w:val="superscript"/>
          <w:lang w:val="en-US"/>
        </w:rPr>
        <w:t>2</w:t>
      </w:r>
      <w:r>
        <w:rPr>
          <w:rStyle w:val="normaltextrun"/>
          <w:rFonts w:ascii="Arial" w:hAnsi="Arial" w:cs="Arial"/>
          <w:sz w:val="22"/>
          <w:szCs w:val="22"/>
          <w:lang w:val="en-US"/>
        </w:rPr>
        <w:t xml:space="preserve"> -test, where appropriate. Changes in psychosocial evaluations pre-scan and post-scan were analyzed by paired t-test or χ</w:t>
      </w:r>
      <w:r>
        <w:rPr>
          <w:rStyle w:val="normaltextrun"/>
          <w:rFonts w:ascii="Arial" w:hAnsi="Arial" w:cs="Arial"/>
          <w:sz w:val="22"/>
          <w:szCs w:val="22"/>
          <w:vertAlign w:val="superscript"/>
          <w:lang w:val="en-US"/>
        </w:rPr>
        <w:t>2</w:t>
      </w:r>
      <w:r>
        <w:rPr>
          <w:rStyle w:val="normaltextrun"/>
          <w:rFonts w:ascii="Arial" w:hAnsi="Arial" w:cs="Arial"/>
          <w:sz w:val="22"/>
          <w:szCs w:val="22"/>
          <w:lang w:val="en-US"/>
        </w:rPr>
        <w:t xml:space="preserve"> -test, where appropriate. A p-value &lt; 0.04 was considered to indicate statistical significance. R Version 3.5.2 was used for all analyses.</w:t>
      </w:r>
    </w:p>
    <w:p>
      <w:pPr>
        <w:pStyle w:val="paragraph"/>
        <w:spacing w:before="0" w:beforeAutospacing="0" w:after="60" w:afterAutospacing="0" w:line="480" w:lineRule="auto"/>
        <w:ind w:firstLine="720"/>
        <w:jc w:val="both"/>
        <w:textAlignment w:val="baseline"/>
        <w:rPr>
          <w:rStyle w:val="normaltextrun"/>
          <w:rFonts w:ascii="Arial" w:hAnsi="Arial" w:cs="Arial"/>
          <w:sz w:val="22"/>
          <w:szCs w:val="22"/>
          <w:lang w:val="en-US"/>
        </w:rPr>
      </w:pPr>
    </w:p>
    <w:p>
      <w:pPr>
        <w:rPr>
          <w:rFonts w:ascii="Arial" w:hAnsi="Arial" w:cs="Arial"/>
          <w:b/>
          <w:sz w:val="22"/>
          <w:szCs w:val="22"/>
          <w:lang w:val="en-US"/>
        </w:rPr>
      </w:pPr>
    </w:p>
    <w:p>
      <w:pPr>
        <w:rPr>
          <w:rFonts w:ascii="Arial" w:hAnsi="Arial" w:cs="Arial"/>
          <w:b/>
          <w:sz w:val="22"/>
          <w:szCs w:val="22"/>
          <w:lang w:val="en-US"/>
        </w:rPr>
      </w:pPr>
    </w:p>
    <w:p>
      <w:pPr>
        <w:spacing w:after="200" w:line="276" w:lineRule="auto"/>
        <w:rPr>
          <w:rFonts w:ascii="Arial" w:hAnsi="Arial" w:cs="Arial"/>
          <w:b/>
          <w:sz w:val="22"/>
          <w:szCs w:val="22"/>
          <w:lang w:val="en-US"/>
        </w:rPr>
      </w:pPr>
      <w:r>
        <w:rPr>
          <w:rFonts w:ascii="Arial" w:hAnsi="Arial" w:cs="Arial"/>
          <w:b/>
          <w:sz w:val="22"/>
          <w:szCs w:val="22"/>
          <w:lang w:val="en-US"/>
        </w:rPr>
        <w:br w:type="page"/>
      </w:r>
    </w:p>
    <w:p>
      <w:pPr>
        <w:rPr>
          <w:rFonts w:ascii="Arial" w:hAnsi="Arial" w:cs="Arial"/>
          <w:b/>
          <w:sz w:val="22"/>
          <w:szCs w:val="22"/>
          <w:lang w:val="en-US"/>
        </w:rPr>
      </w:pPr>
      <w:r>
        <w:rPr>
          <w:rFonts w:ascii="Arial" w:hAnsi="Arial" w:cs="Arial"/>
          <w:b/>
          <w:sz w:val="22"/>
          <w:szCs w:val="22"/>
          <w:lang w:val="en-US"/>
        </w:rPr>
        <w:lastRenderedPageBreak/>
        <w:t xml:space="preserve">RESULT </w:t>
      </w:r>
    </w:p>
    <w:p>
      <w:pPr>
        <w:spacing w:line="480" w:lineRule="auto"/>
        <w:ind w:firstLine="708"/>
        <w:jc w:val="both"/>
        <w:rPr>
          <w:rFonts w:ascii="Arial" w:hAnsi="Arial" w:cs="Arial"/>
          <w:sz w:val="22"/>
          <w:szCs w:val="22"/>
          <w:lang w:val="en-US"/>
        </w:rPr>
      </w:pPr>
      <w:r>
        <w:rPr>
          <w:rFonts w:ascii="Arial" w:hAnsi="Arial" w:cs="Arial"/>
          <w:sz w:val="22"/>
          <w:szCs w:val="22"/>
          <w:lang w:val="en-US"/>
        </w:rPr>
        <w:t>Mean age of the participants was 56.3±9.2 years, 57.8% were male and mean BMI was 28.1±4.9 kg/m</w:t>
      </w:r>
      <w:r>
        <w:rPr>
          <w:rFonts w:ascii="Arial" w:hAnsi="Arial" w:cs="Arial"/>
          <w:sz w:val="22"/>
          <w:szCs w:val="22"/>
          <w:vertAlign w:val="superscript"/>
          <w:lang w:val="en-US"/>
        </w:rPr>
        <w:t>2</w:t>
      </w:r>
      <w:r>
        <w:rPr>
          <w:rFonts w:ascii="Arial" w:hAnsi="Arial" w:cs="Arial"/>
          <w:sz w:val="22"/>
          <w:szCs w:val="22"/>
          <w:lang w:val="en-US"/>
        </w:rPr>
        <w:t xml:space="preserve">. Of the 400 participants, 60.8% were normoglycemic (control), 25.8% had prediabetes and 13.5% had diabetes. Further demographics of the study population are provided in </w:t>
      </w:r>
      <w:r>
        <w:rPr>
          <w:rFonts w:ascii="Arial" w:hAnsi="Arial" w:cs="Arial"/>
          <w:b/>
          <w:sz w:val="22"/>
          <w:szCs w:val="22"/>
          <w:lang w:val="en-US"/>
        </w:rPr>
        <w:t>Table 1</w:t>
      </w:r>
      <w:r>
        <w:rPr>
          <w:rFonts w:ascii="Arial" w:hAnsi="Arial" w:cs="Arial"/>
          <w:sz w:val="22"/>
          <w:szCs w:val="22"/>
          <w:lang w:val="en-US"/>
        </w:rPr>
        <w:t>.</w:t>
      </w:r>
    </w:p>
    <w:p>
      <w:pPr>
        <w:spacing w:line="480" w:lineRule="auto"/>
        <w:ind w:firstLine="708"/>
        <w:jc w:val="both"/>
        <w:rPr>
          <w:rFonts w:ascii="Arial" w:hAnsi="Arial" w:cs="Arial"/>
          <w:sz w:val="22"/>
          <w:szCs w:val="22"/>
          <w:lang w:val="en-US"/>
        </w:rPr>
      </w:pPr>
    </w:p>
    <w:p>
      <w:pPr>
        <w:spacing w:line="480" w:lineRule="auto"/>
        <w:jc w:val="both"/>
        <w:rPr>
          <w:rFonts w:ascii="Arial" w:hAnsi="Arial" w:cs="Arial"/>
          <w:i/>
          <w:sz w:val="22"/>
          <w:szCs w:val="22"/>
          <w:u w:val="single"/>
          <w:lang w:val="en-US"/>
        </w:rPr>
      </w:pPr>
      <w:r>
        <w:rPr>
          <w:rFonts w:ascii="Arial" w:hAnsi="Arial" w:cs="Arial"/>
          <w:i/>
          <w:sz w:val="22"/>
          <w:szCs w:val="22"/>
          <w:u w:val="single"/>
          <w:lang w:val="en-US"/>
        </w:rPr>
        <w:t xml:space="preserve">Reporting and Management of Incidental Findings </w:t>
      </w:r>
    </w:p>
    <w:p>
      <w:pPr>
        <w:spacing w:line="480" w:lineRule="auto"/>
        <w:ind w:firstLine="708"/>
        <w:jc w:val="both"/>
        <w:rPr>
          <w:rFonts w:ascii="Arial" w:hAnsi="Arial" w:cs="Arial"/>
          <w:sz w:val="22"/>
          <w:szCs w:val="22"/>
          <w:lang w:val="en-US"/>
        </w:rPr>
      </w:pPr>
      <w:r>
        <w:rPr>
          <w:rFonts w:ascii="Arial" w:hAnsi="Arial" w:cs="Arial"/>
          <w:sz w:val="22"/>
          <w:szCs w:val="22"/>
          <w:lang w:val="en-US"/>
        </w:rPr>
        <w:t xml:space="preserve">Based on the reading of the local radiologists, 116 IF in 89 participants </w:t>
      </w:r>
      <w:r>
        <w:rPr>
          <w:rStyle w:val="normaltextrun"/>
          <w:rFonts w:ascii="Arial" w:hAnsi="Arial" w:cs="Arial"/>
          <w:sz w:val="22"/>
          <w:szCs w:val="22"/>
          <w:lang w:val="en-US"/>
        </w:rPr>
        <w:t>(prevalence: 22.3%, 95%CI:</w:t>
      </w:r>
      <w:r>
        <w:rPr>
          <w:rFonts w:ascii="Arial" w:hAnsi="Arial" w:cs="Arial"/>
          <w:sz w:val="22"/>
          <w:szCs w:val="22"/>
          <w:lang w:val="en-US"/>
        </w:rPr>
        <w:t xml:space="preserve"> 18-27%</w:t>
      </w:r>
      <w:r>
        <w:rPr>
          <w:rStyle w:val="normaltextrun"/>
          <w:rFonts w:ascii="Arial" w:hAnsi="Arial" w:cs="Arial"/>
          <w:sz w:val="22"/>
          <w:szCs w:val="22"/>
          <w:lang w:val="en-US"/>
        </w:rPr>
        <w:t xml:space="preserve">) </w:t>
      </w:r>
      <w:r>
        <w:rPr>
          <w:rFonts w:ascii="Arial" w:hAnsi="Arial" w:cs="Arial"/>
          <w:sz w:val="22"/>
          <w:szCs w:val="22"/>
          <w:lang w:val="en-US"/>
        </w:rPr>
        <w:t xml:space="preserve">were reported. Of those, three reported IF were excluded from analysis as the radiologists stated that no follow-up or work-up was necessary. Of cases with reported IF, 27 cases were reviewed by the investigators panel before they were reported. Additionally, 22 cases (5.5%) were referred to the panel but classified as not relevant for reporting. The study flow diagram is provided in </w:t>
      </w:r>
      <w:r>
        <w:rPr>
          <w:rFonts w:ascii="Arial" w:hAnsi="Arial" w:cs="Arial"/>
          <w:b/>
          <w:sz w:val="22"/>
          <w:szCs w:val="22"/>
          <w:lang w:val="en-US"/>
        </w:rPr>
        <w:t>Figure 1</w:t>
      </w:r>
      <w:r>
        <w:rPr>
          <w:rFonts w:ascii="Arial" w:hAnsi="Arial" w:cs="Arial"/>
          <w:sz w:val="22"/>
          <w:szCs w:val="22"/>
          <w:lang w:val="en-US"/>
        </w:rPr>
        <w:t>. All participants with clinically relevant IF were informed by mail which included a recommendation regarding the potential work-up. This comprised visiting the primary care physician or taking past medical history in 51% and seeing direct a specialist in 27%. Recommended work-up included additional imaging in 74% (n=84) of all participants, of those ultrasound correlations in 46% and/or dedicated MR exam in 41% (</w:t>
      </w:r>
      <w:r>
        <w:rPr>
          <w:rFonts w:ascii="Arial" w:hAnsi="Arial" w:cs="Arial"/>
          <w:b/>
          <w:sz w:val="22"/>
          <w:szCs w:val="22"/>
          <w:lang w:val="en-US"/>
        </w:rPr>
        <w:t>Table 2</w:t>
      </w:r>
      <w:r>
        <w:rPr>
          <w:rFonts w:ascii="Arial" w:hAnsi="Arial" w:cs="Arial"/>
          <w:sz w:val="22"/>
          <w:szCs w:val="22"/>
          <w:lang w:val="en-US"/>
        </w:rPr>
        <w:t xml:space="preserve">). In contrast, CT as a follow-up modality was recommended in 13% of cases. Mammography was recommended in all cases with reported breast lesions. </w:t>
      </w:r>
    </w:p>
    <w:p>
      <w:pPr>
        <w:spacing w:line="480" w:lineRule="auto"/>
        <w:ind w:firstLine="708"/>
        <w:jc w:val="both"/>
        <w:rPr>
          <w:rFonts w:ascii="Arial" w:hAnsi="Arial" w:cs="Arial"/>
          <w:sz w:val="22"/>
          <w:szCs w:val="22"/>
          <w:lang w:val="en-US"/>
        </w:rPr>
      </w:pPr>
    </w:p>
    <w:p>
      <w:pPr>
        <w:spacing w:line="480" w:lineRule="auto"/>
        <w:jc w:val="both"/>
        <w:textAlignment w:val="baseline"/>
        <w:rPr>
          <w:rFonts w:ascii="Arial" w:hAnsi="Arial" w:cs="Arial"/>
          <w:sz w:val="22"/>
          <w:szCs w:val="22"/>
          <w:lang w:val="en-US"/>
        </w:rPr>
      </w:pPr>
      <w:r>
        <w:rPr>
          <w:rFonts w:ascii="Arial" w:hAnsi="Arial" w:cs="Arial"/>
          <w:i/>
          <w:sz w:val="22"/>
          <w:szCs w:val="22"/>
          <w:u w:val="single"/>
          <w:lang w:val="en-US"/>
        </w:rPr>
        <w:t xml:space="preserve">Frequency of Incidental Findings and Associated Risk Factors </w:t>
      </w:r>
    </w:p>
    <w:p>
      <w:pPr>
        <w:spacing w:line="480" w:lineRule="auto"/>
        <w:ind w:firstLine="708"/>
        <w:jc w:val="both"/>
        <w:rPr>
          <w:rStyle w:val="normaltextrun"/>
          <w:rFonts w:ascii="Arial" w:hAnsi="Arial" w:cs="Arial"/>
          <w:sz w:val="22"/>
          <w:szCs w:val="22"/>
          <w:lang w:val="en-US"/>
        </w:rPr>
      </w:pPr>
      <w:r>
        <w:rPr>
          <w:rFonts w:ascii="Arial" w:hAnsi="Arial" w:cs="Arial"/>
          <w:sz w:val="22"/>
          <w:szCs w:val="22"/>
          <w:lang w:val="en-US"/>
        </w:rPr>
        <w:t xml:space="preserve">Among 113 clinically relevant IF in 89 </w:t>
      </w:r>
      <w:bookmarkStart w:id="4" w:name="_Hlk36026095"/>
      <w:r>
        <w:rPr>
          <w:rFonts w:ascii="Arial" w:hAnsi="Arial" w:cs="Arial"/>
          <w:sz w:val="22"/>
          <w:szCs w:val="22"/>
          <w:lang w:val="en-US"/>
        </w:rPr>
        <w:t>participants</w:t>
      </w:r>
      <w:bookmarkEnd w:id="4"/>
      <w:r>
        <w:rPr>
          <w:rFonts w:ascii="Arial" w:hAnsi="Arial" w:cs="Arial"/>
          <w:sz w:val="22"/>
          <w:szCs w:val="22"/>
          <w:lang w:val="en-US"/>
        </w:rPr>
        <w:t xml:space="preserve">, multiple IF within one participant occurred in a total of 21 participants, of them 18 participants had 2 distinguished IF, and 3 participants had 3 distinguished IF. </w:t>
      </w:r>
      <w:bookmarkStart w:id="5" w:name="_Hlk33382824"/>
      <w:r>
        <w:rPr>
          <w:rStyle w:val="normaltextrun"/>
          <w:rFonts w:ascii="Arial" w:hAnsi="Arial" w:cs="Arial"/>
          <w:sz w:val="22"/>
          <w:szCs w:val="22"/>
          <w:lang w:val="en-US"/>
        </w:rPr>
        <w:t>Most frequently reported were IF</w:t>
      </w:r>
      <w:r>
        <w:rPr>
          <w:rFonts w:ascii="Arial" w:hAnsi="Arial" w:cs="Arial"/>
          <w:sz w:val="22"/>
          <w:szCs w:val="22"/>
          <w:lang w:val="en-US"/>
        </w:rPr>
        <w:t xml:space="preserve"> belonging to the abdomen (41%), </w:t>
      </w:r>
      <w:bookmarkEnd w:id="5"/>
      <w:r>
        <w:rPr>
          <w:rFonts w:ascii="Arial" w:hAnsi="Arial" w:cs="Arial"/>
          <w:sz w:val="22"/>
          <w:szCs w:val="22"/>
          <w:lang w:val="en-US"/>
        </w:rPr>
        <w:t xml:space="preserve">followed by IF belonging to the neurocerebral system (17%) or to the cardiovascular system (17%). Of single findings, </w:t>
      </w:r>
      <w:r>
        <w:rPr>
          <w:rStyle w:val="normaltextrun"/>
          <w:rFonts w:ascii="Arial" w:hAnsi="Arial" w:cs="Arial"/>
          <w:sz w:val="22"/>
          <w:szCs w:val="22"/>
          <w:lang w:val="en-US"/>
        </w:rPr>
        <w:t xml:space="preserve">“Unclear Liver Lesion” (n=13), “Silent Myocardial Infarction” (n=12) and “Complex Renal Cyst” (n=9) were most common. The full list of IF is given in the </w:t>
      </w:r>
      <w:r>
        <w:rPr>
          <w:rStyle w:val="normaltextrun"/>
          <w:rFonts w:ascii="Arial" w:hAnsi="Arial" w:cs="Arial"/>
          <w:b/>
          <w:sz w:val="22"/>
          <w:szCs w:val="22"/>
          <w:lang w:val="en-US"/>
        </w:rPr>
        <w:t>Appendix E1</w:t>
      </w:r>
      <w:r>
        <w:rPr>
          <w:rStyle w:val="normaltextrun"/>
          <w:rFonts w:ascii="Arial" w:hAnsi="Arial" w:cs="Arial"/>
          <w:sz w:val="22"/>
          <w:szCs w:val="22"/>
          <w:lang w:val="en-US"/>
        </w:rPr>
        <w:t xml:space="preserve">. </w:t>
      </w:r>
    </w:p>
    <w:p>
      <w:pPr>
        <w:spacing w:line="480" w:lineRule="auto"/>
        <w:ind w:firstLine="708"/>
        <w:jc w:val="both"/>
        <w:rPr>
          <w:rFonts w:ascii="Arial" w:hAnsi="Arial" w:cs="Arial"/>
          <w:sz w:val="22"/>
          <w:szCs w:val="22"/>
          <w:lang w:val="en-US"/>
        </w:rPr>
      </w:pPr>
      <w:r>
        <w:rPr>
          <w:rFonts w:ascii="Arial" w:hAnsi="Arial" w:cs="Arial"/>
          <w:sz w:val="22"/>
          <w:szCs w:val="22"/>
          <w:lang w:val="en-US"/>
        </w:rPr>
        <w:lastRenderedPageBreak/>
        <w:t xml:space="preserve">Considering the nested case-control study design, no significant differences in IF frequency was observed between participants with diabetes, prediabetes and normal glucose tolerance (22% vs. 29% vs. 19%, p=0.14). However, 21 participants had reported IF belonging to categories, which are potentially related to diabetes (e.g. </w:t>
      </w:r>
      <w:r>
        <w:rPr>
          <w:rStyle w:val="normaltextrun"/>
          <w:rFonts w:ascii="Arial" w:hAnsi="Arial" w:cs="Arial"/>
          <w:sz w:val="22"/>
          <w:szCs w:val="22"/>
          <w:lang w:val="en-US"/>
        </w:rPr>
        <w:t>“Silent Myocardial Infarction”</w:t>
      </w:r>
      <w:r>
        <w:rPr>
          <w:rFonts w:ascii="Arial" w:hAnsi="Arial" w:cs="Arial"/>
          <w:sz w:val="22"/>
          <w:szCs w:val="22"/>
          <w:lang w:val="en-US"/>
        </w:rPr>
        <w:t>); there was a significant, stepwise trend of having diabetes-related IF between participants with normal glucose tolerance, with prediabetes and with diabetes (p=0.002 for the trend). Also, participants with IF were significantly older compared to those without IF (mean difference of 4.2 years, p&lt;0.001) while there was no difference between the other characteristics (</w:t>
      </w:r>
      <w:r>
        <w:rPr>
          <w:rFonts w:ascii="Arial" w:hAnsi="Arial" w:cs="Arial"/>
          <w:b/>
          <w:sz w:val="22"/>
          <w:szCs w:val="22"/>
          <w:lang w:val="en-US"/>
        </w:rPr>
        <w:t>Table 1</w:t>
      </w:r>
      <w:r>
        <w:rPr>
          <w:rFonts w:ascii="Arial" w:hAnsi="Arial" w:cs="Arial"/>
          <w:sz w:val="22"/>
          <w:szCs w:val="22"/>
          <w:lang w:val="en-US"/>
        </w:rPr>
        <w:t xml:space="preserve">). </w:t>
      </w:r>
    </w:p>
    <w:p>
      <w:pPr>
        <w:spacing w:line="480" w:lineRule="auto"/>
        <w:jc w:val="both"/>
        <w:rPr>
          <w:rFonts w:ascii="Arial" w:hAnsi="Arial" w:cs="Arial"/>
          <w:sz w:val="22"/>
          <w:szCs w:val="22"/>
          <w:lang w:val="en-US"/>
        </w:rPr>
      </w:pPr>
    </w:p>
    <w:p>
      <w:pPr>
        <w:spacing w:line="480" w:lineRule="auto"/>
        <w:jc w:val="both"/>
        <w:rPr>
          <w:rStyle w:val="normaltextrun"/>
          <w:rFonts w:ascii="Arial" w:hAnsi="Arial" w:cs="Arial"/>
          <w:i/>
          <w:sz w:val="22"/>
          <w:szCs w:val="22"/>
          <w:u w:val="single"/>
          <w:lang w:val="en-US"/>
        </w:rPr>
      </w:pPr>
      <w:r>
        <w:rPr>
          <w:rStyle w:val="normaltextrun"/>
          <w:rFonts w:ascii="Arial" w:hAnsi="Arial" w:cs="Arial"/>
          <w:i/>
          <w:sz w:val="22"/>
          <w:szCs w:val="22"/>
          <w:u w:val="single"/>
          <w:lang w:val="en-US"/>
        </w:rPr>
        <w:t xml:space="preserve">Motivation, Expectations and Psychosocial Consequences </w:t>
      </w:r>
    </w:p>
    <w:p>
      <w:pPr>
        <w:spacing w:line="480" w:lineRule="auto"/>
        <w:ind w:firstLine="708"/>
        <w:jc w:val="both"/>
        <w:rPr>
          <w:rStyle w:val="normaltextrun"/>
          <w:rFonts w:ascii="Arial" w:hAnsi="Arial" w:cs="Arial"/>
          <w:sz w:val="22"/>
          <w:szCs w:val="22"/>
          <w:lang w:val="en-US"/>
        </w:rPr>
      </w:pPr>
      <w:r>
        <w:rPr>
          <w:rStyle w:val="normaltextrun"/>
          <w:rFonts w:ascii="Arial" w:hAnsi="Arial" w:cs="Arial"/>
          <w:sz w:val="22"/>
          <w:szCs w:val="22"/>
          <w:lang w:val="en-US"/>
        </w:rPr>
        <w:t xml:space="preserve">Pre-/post-scan survey data were available in 243 </w:t>
      </w:r>
      <w:r>
        <w:rPr>
          <w:rFonts w:ascii="Arial" w:hAnsi="Arial" w:cs="Arial"/>
          <w:sz w:val="22"/>
          <w:szCs w:val="22"/>
          <w:lang w:val="en-US"/>
        </w:rPr>
        <w:t>participants</w:t>
      </w:r>
      <w:r>
        <w:rPr>
          <w:rStyle w:val="normaltextrun"/>
          <w:rFonts w:ascii="Arial" w:hAnsi="Arial" w:cs="Arial"/>
          <w:sz w:val="22"/>
          <w:szCs w:val="22"/>
          <w:lang w:val="en-US"/>
        </w:rPr>
        <w:t xml:space="preserve">. </w:t>
      </w:r>
      <w:r>
        <w:rPr>
          <w:rFonts w:ascii="Arial" w:hAnsi="Arial" w:cs="Arial"/>
          <w:sz w:val="22"/>
          <w:szCs w:val="22"/>
          <w:lang w:val="en-US"/>
        </w:rPr>
        <w:t>Participants</w:t>
      </w:r>
      <w:r>
        <w:rPr>
          <w:rStyle w:val="normaltextrun"/>
          <w:rFonts w:ascii="Arial" w:hAnsi="Arial" w:cs="Arial"/>
          <w:sz w:val="22"/>
          <w:szCs w:val="22"/>
          <w:lang w:val="en-US"/>
        </w:rPr>
        <w:t xml:space="preserve"> with available pre- and post-scan survey data did not differ with respect to age and gender to those with missing survey data (p=0.06 and 0.70, respectively). However, </w:t>
      </w:r>
      <w:r>
        <w:rPr>
          <w:rFonts w:ascii="Arial" w:hAnsi="Arial" w:cs="Arial"/>
          <w:sz w:val="22"/>
          <w:szCs w:val="22"/>
          <w:lang w:val="en-US"/>
        </w:rPr>
        <w:t>participants</w:t>
      </w:r>
      <w:r>
        <w:rPr>
          <w:rStyle w:val="normaltextrun"/>
          <w:rFonts w:ascii="Arial" w:hAnsi="Arial" w:cs="Arial"/>
          <w:sz w:val="22"/>
          <w:szCs w:val="22"/>
          <w:lang w:val="en-US"/>
        </w:rPr>
        <w:t xml:space="preserve"> with available survey data had a lower BMI (27.6±4.7 vs 29.0±5.1, p=0.006), had less frequent a pre-/diabetic glycemic status (p&lt;0.001) and a slightly lower creatinine level (p=0.04; </w:t>
      </w:r>
      <w:r>
        <w:rPr>
          <w:rStyle w:val="normaltextrun"/>
          <w:rFonts w:ascii="Arial" w:hAnsi="Arial" w:cs="Arial"/>
          <w:b/>
          <w:sz w:val="22"/>
          <w:szCs w:val="22"/>
          <w:lang w:val="en-US"/>
        </w:rPr>
        <w:t>Appendix E2</w:t>
      </w:r>
      <w:r>
        <w:rPr>
          <w:rStyle w:val="normaltextrun"/>
          <w:rFonts w:ascii="Arial" w:hAnsi="Arial" w:cs="Arial"/>
          <w:sz w:val="22"/>
          <w:szCs w:val="22"/>
          <w:lang w:val="en-US"/>
        </w:rPr>
        <w:t xml:space="preserve">). </w:t>
      </w:r>
    </w:p>
    <w:p>
      <w:pPr>
        <w:spacing w:line="480" w:lineRule="auto"/>
        <w:ind w:firstLine="708"/>
        <w:jc w:val="both"/>
        <w:rPr>
          <w:rStyle w:val="normaltextrun"/>
          <w:rFonts w:ascii="Arial" w:hAnsi="Arial" w:cs="Arial"/>
          <w:sz w:val="22"/>
          <w:szCs w:val="22"/>
          <w:lang w:val="en-US"/>
        </w:rPr>
      </w:pPr>
      <w:r>
        <w:rPr>
          <w:rStyle w:val="normaltextrun"/>
          <w:rFonts w:ascii="Arial" w:hAnsi="Arial" w:cs="Arial"/>
          <w:sz w:val="22"/>
          <w:szCs w:val="22"/>
          <w:lang w:val="en-US"/>
        </w:rPr>
        <w:t xml:space="preserve">Regarding motivation of </w:t>
      </w:r>
      <w:r>
        <w:rPr>
          <w:rFonts w:ascii="Arial" w:hAnsi="Arial" w:cs="Arial"/>
          <w:sz w:val="22"/>
          <w:szCs w:val="22"/>
          <w:lang w:val="en-US"/>
        </w:rPr>
        <w:t>volunteers</w:t>
      </w:r>
      <w:r>
        <w:rPr>
          <w:rStyle w:val="normaltextrun"/>
          <w:rFonts w:ascii="Arial" w:hAnsi="Arial" w:cs="Arial"/>
          <w:sz w:val="22"/>
          <w:szCs w:val="22"/>
          <w:lang w:val="en-US"/>
        </w:rPr>
        <w:t xml:space="preserve"> participating in whole-body MR imaging for research, most </w:t>
      </w:r>
      <w:r>
        <w:rPr>
          <w:rFonts w:ascii="Arial" w:hAnsi="Arial" w:cs="Arial"/>
          <w:sz w:val="22"/>
          <w:szCs w:val="22"/>
          <w:lang w:val="en-US"/>
        </w:rPr>
        <w:t>participants</w:t>
      </w:r>
      <w:r>
        <w:rPr>
          <w:rStyle w:val="normaltextrun"/>
          <w:rFonts w:ascii="Arial" w:hAnsi="Arial" w:cs="Arial"/>
          <w:sz w:val="22"/>
          <w:szCs w:val="22"/>
          <w:lang w:val="en-US"/>
        </w:rPr>
        <w:t xml:space="preserve"> stated before the scan that they wanted to “contribute to a scientific purpose” (91%), which decreased to 82% in the follow-up questionnaire (p=0.01); while “knowing whether I’m healthy” became the most prominent motivation during follow-up (88%). Less than one quarter stated that “I have health complains and would like to figure out the reason” (</w:t>
      </w:r>
      <w:r>
        <w:rPr>
          <w:rStyle w:val="normaltextrun"/>
          <w:rFonts w:ascii="Arial" w:hAnsi="Arial" w:cs="Arial"/>
          <w:b/>
          <w:sz w:val="22"/>
          <w:szCs w:val="22"/>
          <w:lang w:val="en-US"/>
        </w:rPr>
        <w:t>Table 3</w:t>
      </w:r>
      <w:r>
        <w:rPr>
          <w:rStyle w:val="normaltextrun"/>
          <w:rFonts w:ascii="Arial" w:hAnsi="Arial" w:cs="Arial"/>
          <w:sz w:val="22"/>
          <w:szCs w:val="22"/>
          <w:lang w:val="en-US"/>
        </w:rPr>
        <w:t xml:space="preserve">). More than half of the participants (56.8%) noted in the pre-scan survey that reporting IF in general would be “very important” for them, which decreased to 42.0% after the scan (p&lt;0.001); this decrease did not differ whether the participant had an IF reported or not (p=0.75). Only half of the </w:t>
      </w:r>
      <w:r>
        <w:rPr>
          <w:rFonts w:ascii="Arial" w:hAnsi="Arial" w:cs="Arial"/>
          <w:sz w:val="22"/>
          <w:szCs w:val="22"/>
          <w:lang w:val="en-US"/>
        </w:rPr>
        <w:t>volunteers</w:t>
      </w:r>
      <w:r>
        <w:rPr>
          <w:rStyle w:val="normaltextrun"/>
          <w:rFonts w:ascii="Arial" w:hAnsi="Arial" w:cs="Arial"/>
          <w:sz w:val="22"/>
          <w:szCs w:val="22"/>
          <w:lang w:val="en-US"/>
        </w:rPr>
        <w:t xml:space="preserve"> would also have </w:t>
      </w:r>
      <w:r>
        <w:rPr>
          <w:rFonts w:ascii="Arial" w:hAnsi="Arial" w:cs="Arial"/>
          <w:sz w:val="22"/>
          <w:szCs w:val="22"/>
          <w:lang w:val="en-US"/>
        </w:rPr>
        <w:t>participated if absolutely no IF would have been disclosed (</w:t>
      </w:r>
      <w:r>
        <w:rPr>
          <w:rFonts w:ascii="Arial" w:hAnsi="Arial" w:cs="Arial"/>
          <w:b/>
          <w:sz w:val="22"/>
          <w:szCs w:val="22"/>
          <w:lang w:val="en-US"/>
        </w:rPr>
        <w:t>Table 3</w:t>
      </w:r>
      <w:r>
        <w:rPr>
          <w:rFonts w:ascii="Arial" w:hAnsi="Arial" w:cs="Arial"/>
          <w:sz w:val="22"/>
          <w:szCs w:val="22"/>
          <w:lang w:val="en-US"/>
        </w:rPr>
        <w:t xml:space="preserve">), this portion did not change significantly over time. However, the desire of reporting increased over time (pre- vs. 6-month-post-scan), also for clinically less important IF (72% vs. 84%, p=0.001 for IF that not life threating and treatment is not necessary, but possible; </w:t>
      </w:r>
      <w:r>
        <w:rPr>
          <w:rFonts w:ascii="Arial" w:hAnsi="Arial" w:cs="Arial"/>
          <w:b/>
          <w:sz w:val="22"/>
          <w:szCs w:val="22"/>
          <w:lang w:val="en-US"/>
        </w:rPr>
        <w:t>Table 3</w:t>
      </w:r>
      <w:r>
        <w:rPr>
          <w:rFonts w:ascii="Arial" w:hAnsi="Arial" w:cs="Arial"/>
          <w:sz w:val="22"/>
          <w:szCs w:val="22"/>
          <w:lang w:val="en-US"/>
        </w:rPr>
        <w:t xml:space="preserve">).    </w:t>
      </w:r>
    </w:p>
    <w:p>
      <w:pPr>
        <w:spacing w:line="480" w:lineRule="auto"/>
        <w:jc w:val="both"/>
        <w:rPr>
          <w:rStyle w:val="normaltextrun"/>
          <w:rFonts w:ascii="Arial" w:hAnsi="Arial" w:cs="Arial"/>
          <w:sz w:val="22"/>
          <w:szCs w:val="22"/>
          <w:lang w:val="en-US"/>
        </w:rPr>
      </w:pPr>
      <w:r>
        <w:rPr>
          <w:rStyle w:val="normaltextrun"/>
          <w:rFonts w:ascii="Arial" w:hAnsi="Arial" w:cs="Arial"/>
          <w:sz w:val="22"/>
          <w:szCs w:val="22"/>
          <w:lang w:val="en-US"/>
        </w:rPr>
        <w:lastRenderedPageBreak/>
        <w:t xml:space="preserve">Regarding psychosocial impact, a small portion (3.4%) reported that waiting for the IF reporting added “Definitely” or “Very Probably” additional stress burden. Overall, the level of added stress burden of waiting for the IF report was not significantly different between the expected value (pre-scan) and the experienced value (post-scan; 4.1±1.3 vs 4.1±1.0, p=0.96; respectively; </w:t>
      </w:r>
      <w:r>
        <w:rPr>
          <w:rStyle w:val="normaltextrun"/>
          <w:rFonts w:ascii="Arial" w:hAnsi="Arial" w:cs="Arial"/>
          <w:b/>
          <w:sz w:val="22"/>
          <w:szCs w:val="22"/>
          <w:lang w:val="en-US"/>
        </w:rPr>
        <w:t>Figure 2</w:t>
      </w:r>
      <w:r>
        <w:rPr>
          <w:rStyle w:val="normaltextrun"/>
          <w:rFonts w:ascii="Arial" w:hAnsi="Arial" w:cs="Arial"/>
          <w:sz w:val="22"/>
          <w:szCs w:val="22"/>
          <w:lang w:val="en-US"/>
        </w:rPr>
        <w:t xml:space="preserve">). Of participants with reported IF, 9.1% felt that the results were “very burdening” while in contrast 56.8% classified the results as “very helpful”. In the post-scan survey and based on the PHQ-9 score, moderate depression (10-14 points) was observed in 3.3% and (moderately) severe depression (≥15 points) 1.2%, this did not differ between </w:t>
      </w:r>
      <w:r>
        <w:rPr>
          <w:rFonts w:ascii="Arial" w:hAnsi="Arial" w:cs="Arial"/>
          <w:sz w:val="22"/>
          <w:szCs w:val="22"/>
          <w:lang w:val="en-US"/>
        </w:rPr>
        <w:t>participants</w:t>
      </w:r>
      <w:r>
        <w:rPr>
          <w:rStyle w:val="normaltextrun"/>
          <w:rFonts w:ascii="Arial" w:hAnsi="Arial" w:cs="Arial"/>
          <w:sz w:val="22"/>
          <w:szCs w:val="22"/>
          <w:lang w:val="en-US"/>
        </w:rPr>
        <w:t xml:space="preserve"> with and without reported IF (</w:t>
      </w:r>
      <w:r>
        <w:rPr>
          <w:rStyle w:val="normaltextrun"/>
          <w:rFonts w:ascii="Arial" w:hAnsi="Arial" w:cs="Arial"/>
          <w:b/>
          <w:sz w:val="22"/>
          <w:szCs w:val="22"/>
          <w:lang w:val="en-US"/>
        </w:rPr>
        <w:t>Figure 3</w:t>
      </w:r>
      <w:r>
        <w:rPr>
          <w:rStyle w:val="normaltextrun"/>
          <w:rFonts w:ascii="Arial" w:hAnsi="Arial" w:cs="Arial"/>
          <w:sz w:val="22"/>
          <w:szCs w:val="22"/>
          <w:lang w:val="en-US"/>
        </w:rPr>
        <w:t>).</w:t>
      </w:r>
    </w:p>
    <w:p>
      <w:pPr>
        <w:spacing w:line="480" w:lineRule="auto"/>
        <w:jc w:val="both"/>
        <w:rPr>
          <w:rStyle w:val="normaltextrun"/>
          <w:rFonts w:ascii="Arial" w:hAnsi="Arial" w:cs="Arial"/>
          <w:sz w:val="22"/>
          <w:szCs w:val="22"/>
          <w:highlight w:val="yellow"/>
          <w:lang w:val="en-US"/>
        </w:rPr>
      </w:pPr>
    </w:p>
    <w:p>
      <w:pPr>
        <w:spacing w:line="480" w:lineRule="auto"/>
        <w:jc w:val="both"/>
        <w:rPr>
          <w:rStyle w:val="normaltextrun"/>
          <w:rFonts w:ascii="Arial" w:hAnsi="Arial" w:cs="Arial"/>
          <w:i/>
          <w:sz w:val="22"/>
          <w:szCs w:val="22"/>
          <w:u w:val="single"/>
          <w:lang w:val="en-US"/>
        </w:rPr>
      </w:pPr>
      <w:r>
        <w:rPr>
          <w:rStyle w:val="normaltextrun"/>
          <w:rFonts w:ascii="Arial" w:hAnsi="Arial" w:cs="Arial"/>
          <w:i/>
          <w:sz w:val="22"/>
          <w:szCs w:val="22"/>
          <w:u w:val="single"/>
          <w:lang w:val="en-US"/>
        </w:rPr>
        <w:t xml:space="preserve">Quality Assurance </w:t>
      </w:r>
    </w:p>
    <w:p>
      <w:pPr>
        <w:spacing w:line="480" w:lineRule="auto"/>
        <w:ind w:firstLine="708"/>
        <w:jc w:val="both"/>
        <w:rPr>
          <w:rFonts w:ascii="Arial" w:hAnsi="Arial" w:cs="Arial"/>
          <w:sz w:val="22"/>
          <w:szCs w:val="22"/>
          <w:lang w:val="en-US"/>
        </w:rPr>
      </w:pPr>
      <w:r>
        <w:rPr>
          <w:rFonts w:ascii="Arial" w:hAnsi="Arial" w:cs="Arial"/>
          <w:sz w:val="22"/>
          <w:szCs w:val="22"/>
          <w:lang w:val="en-US"/>
        </w:rPr>
        <w:t>Of IF in categories with recommendation regarding the minimal size to report a finding (n=59), in 20 cases (34%) the IF was reported although the recommended cutoff was not reached. Affected IF categories were e.g. “pancreas cyst (report if &gt;20mm)”, “intraabdominal lymphadenopathy (report if short axis diameter &gt;15mm) or “brain aneurysm (report if &gt;5mm)”. The mean absolute and relative difference between the actual size of the IF and the recommended size cutoff was 6.3±3.8mm (range: 1.2-14.0mm) and 36±22% (range: 6-70%), respectively; e.g. a cyst lesion of 8mm in the pancreatic head was reported although the recommended size cutoff was 20mm (12mm absolute and 60% relative difference).</w:t>
      </w:r>
    </w:p>
    <w:p>
      <w:pPr>
        <w:spacing w:line="480" w:lineRule="auto"/>
        <w:ind w:firstLine="708"/>
        <w:jc w:val="both"/>
        <w:rPr>
          <w:rStyle w:val="normaltextrun"/>
          <w:rFonts w:ascii="Arial" w:hAnsi="Arial" w:cs="Arial"/>
          <w:sz w:val="22"/>
          <w:szCs w:val="22"/>
          <w:lang w:val="en-US"/>
        </w:rPr>
      </w:pPr>
      <w:r>
        <w:rPr>
          <w:rFonts w:ascii="Arial" w:hAnsi="Arial" w:cs="Arial"/>
          <w:sz w:val="22"/>
          <w:szCs w:val="22"/>
          <w:lang w:val="en-US"/>
        </w:rPr>
        <w:t>There was an observation that the recommended size cutoff was violated more frequently in some IF categories (e.g. in all 5 out 5 cases with pancreas cysts) than in others (e.g. in only 1 out 5 cases with solid cerebral mass), but this observation did not reach statistical significance (p=0.06).</w:t>
      </w:r>
    </w:p>
    <w:p>
      <w:pPr>
        <w:rPr>
          <w:rStyle w:val="normaltextrun"/>
          <w:rFonts w:ascii="Arial" w:hAnsi="Arial" w:cs="Arial"/>
          <w:b/>
          <w:sz w:val="22"/>
          <w:szCs w:val="22"/>
          <w:lang w:val="en-US"/>
        </w:rPr>
      </w:pPr>
    </w:p>
    <w:p>
      <w:pPr>
        <w:spacing w:line="480" w:lineRule="auto"/>
        <w:jc w:val="both"/>
        <w:rPr>
          <w:rStyle w:val="normaltextrun"/>
          <w:rFonts w:ascii="Arial" w:hAnsi="Arial" w:cs="Arial"/>
          <w:b/>
          <w:sz w:val="22"/>
          <w:szCs w:val="22"/>
          <w:lang w:val="en-US"/>
        </w:rPr>
      </w:pPr>
    </w:p>
    <w:p>
      <w:pPr>
        <w:spacing w:after="200" w:line="276" w:lineRule="auto"/>
        <w:rPr>
          <w:rStyle w:val="normaltextrun"/>
          <w:rFonts w:ascii="Arial" w:hAnsi="Arial" w:cs="Arial"/>
          <w:b/>
          <w:sz w:val="22"/>
          <w:szCs w:val="22"/>
          <w:lang w:val="en-US"/>
        </w:rPr>
      </w:pPr>
      <w:r>
        <w:rPr>
          <w:rStyle w:val="normaltextrun"/>
          <w:rFonts w:ascii="Arial" w:hAnsi="Arial" w:cs="Arial"/>
          <w:b/>
          <w:sz w:val="22"/>
          <w:szCs w:val="22"/>
          <w:lang w:val="en-US"/>
        </w:rPr>
        <w:br w:type="page"/>
      </w:r>
    </w:p>
    <w:p>
      <w:pPr>
        <w:spacing w:line="480" w:lineRule="auto"/>
        <w:jc w:val="both"/>
        <w:rPr>
          <w:rStyle w:val="normaltextrun"/>
          <w:rFonts w:ascii="Arial" w:hAnsi="Arial" w:cs="Arial"/>
          <w:b/>
          <w:sz w:val="22"/>
          <w:szCs w:val="22"/>
          <w:lang w:val="en-US"/>
        </w:rPr>
      </w:pPr>
      <w:r>
        <w:rPr>
          <w:rStyle w:val="normaltextrun"/>
          <w:rFonts w:ascii="Arial" w:hAnsi="Arial" w:cs="Arial"/>
          <w:b/>
          <w:sz w:val="22"/>
          <w:szCs w:val="22"/>
          <w:lang w:val="en-US"/>
        </w:rPr>
        <w:lastRenderedPageBreak/>
        <w:t>DISCUSSION</w:t>
      </w:r>
    </w:p>
    <w:p>
      <w:pPr>
        <w:spacing w:line="480" w:lineRule="auto"/>
        <w:ind w:firstLine="708"/>
        <w:jc w:val="both"/>
        <w:rPr>
          <w:rFonts w:ascii="Arial" w:hAnsi="Arial" w:cs="Arial"/>
          <w:sz w:val="22"/>
          <w:szCs w:val="22"/>
          <w:lang w:val="en-US"/>
        </w:rPr>
      </w:pPr>
      <w:r>
        <w:rPr>
          <w:rFonts w:ascii="Arial" w:hAnsi="Arial" w:cs="Arial"/>
          <w:sz w:val="22"/>
          <w:szCs w:val="22"/>
          <w:lang w:val="en-US"/>
        </w:rPr>
        <w:t xml:space="preserve">In this nested case-controlled, whole-body MR imaging study of 400 asymptomatic, middle-aged individuals enrolled from a general population cohort without clinically known cardio-cerebrovascular </w:t>
      </w:r>
      <w:r>
        <w:rPr>
          <w:rStyle w:val="eop"/>
          <w:rFonts w:ascii="Arial" w:hAnsi="Arial" w:cs="Arial"/>
          <w:sz w:val="22"/>
          <w:szCs w:val="22"/>
          <w:lang w:val="en-US"/>
        </w:rPr>
        <w:t>disease</w:t>
      </w:r>
      <w:r>
        <w:rPr>
          <w:rFonts w:ascii="Arial" w:hAnsi="Arial" w:cs="Arial"/>
          <w:sz w:val="22"/>
          <w:szCs w:val="22"/>
          <w:lang w:val="en-US"/>
        </w:rPr>
        <w:t xml:space="preserve"> we found 113 clinically relevant IF in 89 participants leading to a prevalence of 22% with </w:t>
      </w:r>
      <w:r>
        <w:rPr>
          <w:rStyle w:val="normaltextrun"/>
          <w:rFonts w:ascii="Arial" w:hAnsi="Arial" w:cs="Arial"/>
          <w:sz w:val="22"/>
          <w:szCs w:val="22"/>
          <w:lang w:val="en-US"/>
        </w:rPr>
        <w:t>“Unclear Liver Lesion”, “Silent Myocardial Infarction” and “Complex Renal Cyst” being the most common single lesions. Among the reported IF</w:t>
      </w:r>
      <w:r>
        <w:rPr>
          <w:rFonts w:ascii="Arial" w:hAnsi="Arial" w:cs="Arial"/>
          <w:sz w:val="22"/>
          <w:szCs w:val="22"/>
          <w:lang w:val="en-US"/>
        </w:rPr>
        <w:t xml:space="preserve">, IF detected on abdominal sequences were most frequent (41%). </w:t>
      </w:r>
    </w:p>
    <w:p>
      <w:pPr>
        <w:spacing w:line="480" w:lineRule="auto"/>
        <w:ind w:firstLine="708"/>
        <w:jc w:val="both"/>
        <w:rPr>
          <w:rFonts w:ascii="Arial" w:hAnsi="Arial" w:cs="Arial"/>
          <w:sz w:val="22"/>
          <w:szCs w:val="22"/>
          <w:lang w:val="en-US"/>
        </w:rPr>
      </w:pPr>
      <w:r>
        <w:rPr>
          <w:rFonts w:ascii="Arial" w:hAnsi="Arial" w:cs="Arial"/>
          <w:sz w:val="22"/>
          <w:szCs w:val="22"/>
          <w:lang w:val="en-US"/>
        </w:rPr>
        <w:t xml:space="preserve">The prevalence of IF in our cohort is interestingly high, which may in part be contributed to the a-priori design of the study.  </w:t>
      </w:r>
      <w:r>
        <w:rPr>
          <w:rStyle w:val="normaltextrun"/>
          <w:rFonts w:ascii="Arial" w:hAnsi="Arial" w:cs="Arial"/>
          <w:sz w:val="22"/>
          <w:szCs w:val="22"/>
          <w:lang w:val="en-US"/>
        </w:rPr>
        <w:t xml:space="preserve">We included </w:t>
      </w:r>
      <w:r>
        <w:rPr>
          <w:rFonts w:ascii="Arial" w:hAnsi="Arial" w:cs="Arial"/>
          <w:sz w:val="22"/>
          <w:szCs w:val="22"/>
          <w:lang w:val="en-US"/>
        </w:rPr>
        <w:t>participants</w:t>
      </w:r>
      <w:r>
        <w:rPr>
          <w:rStyle w:val="normaltextrun"/>
          <w:rFonts w:ascii="Arial" w:hAnsi="Arial" w:cs="Arial"/>
          <w:sz w:val="22"/>
          <w:szCs w:val="22"/>
          <w:lang w:val="en-US"/>
        </w:rPr>
        <w:t xml:space="preserve"> with prediabetes and diabetes and images were systematically reviewed by radiologists, which generated 13 times more potentially serious incidental findings in comparison to radiographer flagging in other studies (6).  Also, in 20 cases (34%) the IF was reported, although </w:t>
      </w:r>
      <w:r>
        <w:rPr>
          <w:rFonts w:ascii="Arial" w:hAnsi="Arial" w:cs="Arial"/>
          <w:sz w:val="22"/>
          <w:szCs w:val="22"/>
          <w:lang w:val="en-US"/>
        </w:rPr>
        <w:t>the recommended cutoff was not reached. However, t</w:t>
      </w:r>
      <w:r>
        <w:rPr>
          <w:rStyle w:val="normaltextrun"/>
          <w:rFonts w:ascii="Arial" w:hAnsi="Arial" w:cs="Arial"/>
          <w:sz w:val="22"/>
          <w:szCs w:val="22"/>
          <w:lang w:val="en-US"/>
        </w:rPr>
        <w:t xml:space="preserve">he prevalence of clinically relevant IFs in our study is consistent with the frequencies of potentially serious IFs previously published in other whole-body MR cohort studies. For example, a proportion of 12.8% in healthy control research subjects (5) and 17.9% (6) up to 31.5% in the general adult population has previously been reported (7). We also confirm prior research by demonstrating no </w:t>
      </w:r>
      <w:r>
        <w:rPr>
          <w:rFonts w:ascii="Arial" w:hAnsi="Arial" w:cs="Arial"/>
          <w:sz w:val="22"/>
          <w:szCs w:val="22"/>
          <w:lang w:val="en-US"/>
        </w:rPr>
        <w:t>significant differences in IF between participants with diabetes, prediabetes and normal glucose tolerance, while there was a significant, stepwise trend of having diabetes-related IF between participants with normal glucose tolerance, prediabetes and diabetes. Consistently, participants with IF were on average 4.2 years older than participants without IF (p&lt;0.001). In a prospective cohort study within the UK Biobank Imaging Study designed to determine factors associated with potentially serious incidental findings on multi-modal imaging there also was no significant association between potentially serious incidental findings and body mass index or morbidity, but with age (6). Many other studies underline the increase of IFs with age (5, 14, 16, 19).</w:t>
      </w:r>
    </w:p>
    <w:p>
      <w:pPr>
        <w:spacing w:line="480" w:lineRule="auto"/>
        <w:ind w:firstLine="708"/>
        <w:jc w:val="both"/>
        <w:rPr>
          <w:rStyle w:val="normaltextrun"/>
          <w:rFonts w:ascii="Arial" w:hAnsi="Arial" w:cs="Arial"/>
          <w:sz w:val="22"/>
          <w:szCs w:val="22"/>
          <w:lang w:val="en-US"/>
        </w:rPr>
      </w:pPr>
      <w:r>
        <w:rPr>
          <w:rFonts w:ascii="Arial" w:hAnsi="Arial" w:cs="Arial"/>
          <w:sz w:val="22"/>
          <w:szCs w:val="22"/>
          <w:lang w:val="en-US"/>
        </w:rPr>
        <w:t xml:space="preserve">In addition to prior research, we investigated the motivation and psychosocial consequence of IF reporting on study participants. Contributing to a scientific purpose was the main motivation of subjects regarding the participation in whole-body MR imaging for research </w:t>
      </w:r>
      <w:r>
        <w:rPr>
          <w:rFonts w:ascii="Arial" w:hAnsi="Arial" w:cs="Arial"/>
          <w:sz w:val="22"/>
          <w:szCs w:val="22"/>
          <w:lang w:val="en-US"/>
        </w:rPr>
        <w:lastRenderedPageBreak/>
        <w:t xml:space="preserve">(91%), however, </w:t>
      </w:r>
      <w:r>
        <w:rPr>
          <w:rStyle w:val="normaltextrun"/>
          <w:rFonts w:ascii="Arial" w:hAnsi="Arial" w:cs="Arial"/>
          <w:sz w:val="22"/>
          <w:szCs w:val="22"/>
          <w:lang w:val="en-US"/>
        </w:rPr>
        <w:t>“knowing whether I’m healthy” became the most prominent motivation during follow-up (88%).</w:t>
      </w:r>
      <w:r>
        <w:rPr>
          <w:rFonts w:ascii="Arial" w:hAnsi="Arial" w:cs="Arial"/>
          <w:sz w:val="22"/>
          <w:szCs w:val="22"/>
          <w:lang w:val="en-US"/>
        </w:rPr>
        <w:t xml:space="preserve"> </w:t>
      </w:r>
      <w:r>
        <w:rPr>
          <w:rStyle w:val="normaltextrun"/>
          <w:rFonts w:ascii="Arial" w:hAnsi="Arial" w:cs="Arial"/>
          <w:sz w:val="22"/>
          <w:szCs w:val="22"/>
          <w:lang w:val="en-US"/>
        </w:rPr>
        <w:t>More than half of the participants noted in the pre-scan survey that reporting IF in general would be “very important” for them a</w:t>
      </w:r>
      <w:r>
        <w:rPr>
          <w:rFonts w:ascii="Arial" w:hAnsi="Arial" w:cs="Arial"/>
          <w:sz w:val="22"/>
          <w:szCs w:val="22"/>
          <w:lang w:val="en-US"/>
        </w:rPr>
        <w:t xml:space="preserve">nd the wish for reporting also increased over time up to 84%, even for clinically less important IF, which is in agreement to the results of Kirschen et al., who stated that almost all subjects (&gt;90%) wanted IFs to be communicated to them (10). </w:t>
      </w:r>
      <w:r>
        <w:rPr>
          <w:rStyle w:val="normaltextrun"/>
          <w:rFonts w:ascii="Arial" w:hAnsi="Arial" w:cs="Arial"/>
          <w:sz w:val="22"/>
          <w:szCs w:val="22"/>
          <w:lang w:val="en-US"/>
        </w:rPr>
        <w:t xml:space="preserve">Most of the participants with reported IF classified the results as “very helpful” (56.8%). Regarding psychosocial impact, only a small portion (3.4%) reported that waiting for the IF disclosure added “Definitely” or “Very Probably” additional stress burden, which is even less than the 9.9% of participants noticing strong distress while waiting for the IF report found by Schmidt et al. in the Study of Health in Pomerania (SHIP) (2). </w:t>
      </w:r>
      <w:r>
        <w:rPr>
          <w:rFonts w:ascii="Arial" w:hAnsi="Arial" w:cs="Arial"/>
          <w:sz w:val="22"/>
          <w:szCs w:val="22"/>
          <w:lang w:val="en-US"/>
        </w:rPr>
        <w:t>Our results were further supported be findings of Hegedüs et al., who found not only that 95% of participants considered the report of IFs as very important and 55% as beneficial to health status, but also that waiting for the IF report caused minimal stress levels, whereas high stress levels were reported when participants received an IF letter (8).</w:t>
      </w:r>
      <w:r>
        <w:rPr>
          <w:rStyle w:val="normaltextrun"/>
          <w:rFonts w:ascii="Arial" w:hAnsi="Arial" w:cs="Arial"/>
          <w:sz w:val="22"/>
          <w:szCs w:val="22"/>
          <w:lang w:val="en-US"/>
        </w:rPr>
        <w:t xml:space="preserve"> However, in our cohort only 9.1% of participants with reported IF considered the results as “very burdening”</w:t>
      </w:r>
      <w:r>
        <w:rPr>
          <w:rFonts w:ascii="Arial" w:hAnsi="Arial" w:cs="Arial"/>
          <w:sz w:val="22"/>
          <w:szCs w:val="22"/>
          <w:lang w:val="en-US"/>
        </w:rPr>
        <w:t xml:space="preserve"> and, furthermore, </w:t>
      </w:r>
      <w:r>
        <w:rPr>
          <w:rStyle w:val="normaltextrun"/>
          <w:rFonts w:ascii="Arial" w:hAnsi="Arial" w:cs="Arial"/>
          <w:sz w:val="22"/>
          <w:szCs w:val="22"/>
          <w:lang w:val="en-US"/>
        </w:rPr>
        <w:t xml:space="preserve">there was no increased rate of moderate or severe depression in the post-scan survey based on the PHQ-9 </w:t>
      </w:r>
      <w:r>
        <w:rPr>
          <w:rFonts w:ascii="Arial" w:hAnsi="Arial" w:cs="Arial"/>
          <w:sz w:val="22"/>
          <w:szCs w:val="22"/>
          <w:lang w:val="en-US"/>
        </w:rPr>
        <w:t>i</w:t>
      </w:r>
      <w:r>
        <w:rPr>
          <w:rStyle w:val="normaltextrun"/>
          <w:rFonts w:ascii="Arial" w:hAnsi="Arial" w:cs="Arial"/>
          <w:sz w:val="22"/>
          <w:szCs w:val="22"/>
          <w:lang w:val="en-US"/>
        </w:rPr>
        <w:t xml:space="preserve">n </w:t>
      </w:r>
      <w:r>
        <w:rPr>
          <w:rFonts w:ascii="Arial" w:hAnsi="Arial" w:cs="Arial"/>
          <w:sz w:val="22"/>
          <w:szCs w:val="22"/>
          <w:lang w:val="en-US"/>
        </w:rPr>
        <w:t>participants</w:t>
      </w:r>
      <w:r>
        <w:rPr>
          <w:rStyle w:val="normaltextrun"/>
          <w:rFonts w:ascii="Arial" w:hAnsi="Arial" w:cs="Arial"/>
          <w:sz w:val="22"/>
          <w:szCs w:val="22"/>
          <w:lang w:val="en-US"/>
        </w:rPr>
        <w:t xml:space="preserve"> with reported IF compared to </w:t>
      </w:r>
      <w:r>
        <w:rPr>
          <w:rFonts w:ascii="Arial" w:hAnsi="Arial" w:cs="Arial"/>
          <w:sz w:val="22"/>
          <w:szCs w:val="22"/>
          <w:lang w:val="en-US"/>
        </w:rPr>
        <w:t>participants</w:t>
      </w:r>
      <w:r>
        <w:rPr>
          <w:rStyle w:val="normaltextrun"/>
          <w:rFonts w:ascii="Arial" w:hAnsi="Arial" w:cs="Arial"/>
          <w:sz w:val="22"/>
          <w:szCs w:val="22"/>
          <w:lang w:val="en-US"/>
        </w:rPr>
        <w:t xml:space="preserve"> without IF. Taken together, this emphasizes the need of structured reporting of IF, if participant motivation and adherence is of relevance. </w:t>
      </w:r>
    </w:p>
    <w:p>
      <w:pPr>
        <w:spacing w:line="480" w:lineRule="auto"/>
        <w:ind w:firstLine="708"/>
        <w:jc w:val="both"/>
        <w:rPr>
          <w:rStyle w:val="normaltextrun"/>
          <w:rFonts w:ascii="Arial" w:hAnsi="Arial" w:cs="Arial"/>
          <w:sz w:val="22"/>
          <w:szCs w:val="22"/>
          <w:lang w:val="en-US"/>
        </w:rPr>
      </w:pPr>
      <w:r>
        <w:rPr>
          <w:rStyle w:val="normaltextrun"/>
          <w:rFonts w:ascii="Arial" w:hAnsi="Arial" w:cs="Arial"/>
          <w:sz w:val="22"/>
          <w:szCs w:val="22"/>
          <w:lang w:val="en-US"/>
        </w:rPr>
        <w:t xml:space="preserve">Our results were supported by previously published studies regarding IFs in whole-body MR imaging (2, 5-9), underlining the importance of providing sufficient information to participants to minimize false expectations. While reported IF might turn out to be without direct clinical consequences, it may affect emotional wellbeing, finances and social life (2, 12, 13, 15). To attenuate the effect, a well understandable wording in IF reports is required, which also comprises contact points and potentially medical specialists for subsequent work-up. </w:t>
      </w:r>
    </w:p>
    <w:p>
      <w:pPr>
        <w:spacing w:line="480" w:lineRule="auto"/>
        <w:ind w:firstLine="708"/>
        <w:jc w:val="both"/>
        <w:rPr>
          <w:rStyle w:val="normaltextrun"/>
          <w:rFonts w:ascii="Arial" w:hAnsi="Arial" w:cs="Arial"/>
          <w:sz w:val="22"/>
          <w:szCs w:val="22"/>
          <w:lang w:val="en-US"/>
        </w:rPr>
      </w:pPr>
      <w:r>
        <w:rPr>
          <w:rStyle w:val="normaltextrun"/>
          <w:rFonts w:ascii="Arial" w:hAnsi="Arial" w:cs="Arial"/>
          <w:sz w:val="22"/>
          <w:szCs w:val="22"/>
          <w:lang w:val="en-US"/>
        </w:rPr>
        <w:t xml:space="preserve">Presently, the inconsistent management of IFs in imaging studies (11, 14, 18) can certainly be attributed to the different expectations of stakeholders involved in balancing disclosure and associated ethical problems and withholding information from participants </w:t>
      </w:r>
      <w:r>
        <w:rPr>
          <w:rStyle w:val="normaltextrun"/>
          <w:rFonts w:ascii="Arial" w:hAnsi="Arial" w:cs="Arial"/>
          <w:sz w:val="22"/>
          <w:szCs w:val="22"/>
          <w:lang w:val="en-US"/>
        </w:rPr>
        <w:lastRenderedPageBreak/>
        <w:t xml:space="preserve">because of potential harm caused by IFs (17, 18, 20). As a consequence, and consistent with Bunnik et al., a stringent strategy of reviewing study scans and disclosing IFs should be established taking into account seven steps, which include a reasonable cost management, researchers` moral obligations and the principle of reciprocity to address the participants` wish for reporting IFs (9). Furthermore, it can be anticipated that workflow-oriented tools such as structured reporting or deep learning algorithms may prove beneficial for standardization in this setting.  </w:t>
      </w:r>
    </w:p>
    <w:p>
      <w:pPr>
        <w:spacing w:line="480" w:lineRule="auto"/>
        <w:ind w:firstLine="708"/>
        <w:jc w:val="both"/>
        <w:rPr>
          <w:rStyle w:val="normaltextrun"/>
          <w:rFonts w:ascii="Arial" w:hAnsi="Arial" w:cs="Arial"/>
          <w:sz w:val="22"/>
          <w:szCs w:val="22"/>
          <w:lang w:val="en-US"/>
        </w:rPr>
      </w:pPr>
      <w:r>
        <w:rPr>
          <w:rStyle w:val="normaltextrun"/>
          <w:rFonts w:ascii="Arial" w:hAnsi="Arial" w:cs="Arial"/>
          <w:sz w:val="22"/>
          <w:szCs w:val="22"/>
          <w:lang w:val="en-US"/>
        </w:rPr>
        <w:t>Our results need to be evaluated in the context of their limitations. First, this is a relatively small sample drawn from a population-based cohort. However, the study was particularly designed to investigate the degree of subclinical disease burden in a metabolically relevant group of participants in a well-monitored Western European setting. Thus, the results are of particular relevance in this target population while generalizability is certainly limited and further confirmatory research is warranted. Second, the MR imaging protocol is not fully comparable with previous research, which may also impact on the accuracy for the detection of IF. However, given technical advances and the specific research questions mandate targeted imaging protocols with varying image quality for the detection of IF. Third, the reading for the presence of IF depends on radiological expertise and degree of experience in this setting. In our study, all MR exams were read by board-certified radiologists with experience in reporting whole-body MRI. Thus, further research is warranted to determine the degree of experience necessary to perform whole-body MRI readings in a standardized fashion.</w:t>
      </w:r>
    </w:p>
    <w:p>
      <w:pPr>
        <w:spacing w:line="480" w:lineRule="auto"/>
        <w:jc w:val="both"/>
        <w:rPr>
          <w:rStyle w:val="normaltextrun"/>
          <w:rFonts w:ascii="Arial" w:hAnsi="Arial" w:cs="Arial"/>
          <w:sz w:val="22"/>
          <w:szCs w:val="22"/>
          <w:lang w:val="en-US"/>
        </w:rPr>
      </w:pPr>
    </w:p>
    <w:p>
      <w:pPr>
        <w:spacing w:line="480" w:lineRule="auto"/>
        <w:jc w:val="both"/>
        <w:rPr>
          <w:rStyle w:val="normaltextrun"/>
          <w:rFonts w:ascii="Arial" w:hAnsi="Arial" w:cs="Arial"/>
          <w:b/>
          <w:sz w:val="22"/>
          <w:szCs w:val="22"/>
          <w:lang w:val="en-US"/>
        </w:rPr>
      </w:pPr>
      <w:r>
        <w:rPr>
          <w:rStyle w:val="normaltextrun"/>
          <w:rFonts w:ascii="Arial" w:hAnsi="Arial" w:cs="Arial"/>
          <w:b/>
          <w:sz w:val="22"/>
          <w:szCs w:val="22"/>
          <w:lang w:val="en-US"/>
        </w:rPr>
        <w:t>CONCLUSION</w:t>
      </w:r>
    </w:p>
    <w:p>
      <w:pPr>
        <w:spacing w:line="480" w:lineRule="auto"/>
        <w:ind w:firstLine="708"/>
        <w:jc w:val="both"/>
        <w:rPr>
          <w:rStyle w:val="normaltextrun"/>
          <w:rFonts w:ascii="Arial" w:hAnsi="Arial" w:cs="Arial"/>
          <w:sz w:val="22"/>
          <w:szCs w:val="22"/>
          <w:lang w:val="en-US"/>
        </w:rPr>
      </w:pPr>
      <w:r>
        <w:rPr>
          <w:rStyle w:val="normaltextrun"/>
          <w:rFonts w:ascii="Arial" w:hAnsi="Arial" w:cs="Arial"/>
          <w:sz w:val="22"/>
          <w:szCs w:val="22"/>
          <w:lang w:val="en-US"/>
        </w:rPr>
        <w:t xml:space="preserve">In this cohort, the prevalence of IF was high, and many findings were adjudicated by an interdisciplinary panel and quality assurance showed some level of disparity. For participants, reporting of potential IF was highly important and added only minor psychological burden. Given the substantial resources of the investigators for reporting IF, a stringent strategy of reviewing study scans and disclosing IFs as well as optimized, workflow-oriented tools such as structured reporting or deep learning algorithms may prove beneficial in this </w:t>
      </w:r>
      <w:r>
        <w:rPr>
          <w:rStyle w:val="normaltextrun"/>
          <w:rFonts w:ascii="Arial" w:hAnsi="Arial" w:cs="Arial"/>
          <w:sz w:val="22"/>
          <w:szCs w:val="22"/>
          <w:lang w:val="en-US"/>
        </w:rPr>
        <w:lastRenderedPageBreak/>
        <w:t>setting. Further research especially focusing on psychosocial and medical consequences of IFs in imaging studies should be conducted.</w:t>
      </w:r>
    </w:p>
    <w:p>
      <w:pPr>
        <w:spacing w:line="480" w:lineRule="auto"/>
        <w:ind w:firstLine="708"/>
        <w:jc w:val="both"/>
        <w:rPr>
          <w:rStyle w:val="normaltextrun"/>
          <w:rFonts w:ascii="Arial" w:hAnsi="Arial" w:cs="Arial"/>
          <w:sz w:val="22"/>
          <w:szCs w:val="22"/>
          <w:lang w:val="en-US"/>
        </w:rPr>
      </w:pPr>
    </w:p>
    <w:p>
      <w:pPr>
        <w:pStyle w:val="paragraph"/>
        <w:spacing w:before="0" w:beforeAutospacing="0" w:after="60" w:afterAutospacing="0" w:line="480" w:lineRule="auto"/>
        <w:jc w:val="both"/>
        <w:textAlignment w:val="baseline"/>
        <w:rPr>
          <w:rFonts w:ascii="Arial" w:hAnsi="Arial" w:cs="Arial"/>
          <w:b/>
          <w:sz w:val="22"/>
          <w:szCs w:val="22"/>
          <w:lang w:val="en-US"/>
        </w:rPr>
      </w:pPr>
      <w:bookmarkStart w:id="6" w:name="_Hlk489950721"/>
    </w:p>
    <w:p>
      <w:pPr>
        <w:spacing w:after="200" w:line="276" w:lineRule="auto"/>
        <w:rPr>
          <w:rFonts w:ascii="Arial" w:hAnsi="Arial" w:cs="Arial"/>
          <w:b/>
          <w:sz w:val="22"/>
          <w:szCs w:val="22"/>
          <w:lang w:val="en-US"/>
        </w:rPr>
      </w:pPr>
      <w:r>
        <w:rPr>
          <w:rFonts w:ascii="Arial" w:hAnsi="Arial" w:cs="Arial"/>
          <w:b/>
          <w:sz w:val="22"/>
          <w:szCs w:val="22"/>
          <w:lang w:val="en-US"/>
        </w:rPr>
        <w:br w:type="page"/>
      </w:r>
    </w:p>
    <w:p>
      <w:pPr>
        <w:spacing w:after="200" w:line="276" w:lineRule="auto"/>
        <w:rPr>
          <w:rFonts w:ascii="Arial" w:hAnsi="Arial" w:cs="Arial"/>
          <w:b/>
          <w:sz w:val="22"/>
          <w:szCs w:val="22"/>
          <w:lang w:val="en-US"/>
        </w:rPr>
      </w:pPr>
      <w:r>
        <w:rPr>
          <w:rFonts w:ascii="Arial" w:hAnsi="Arial" w:cs="Arial"/>
          <w:b/>
          <w:sz w:val="22"/>
          <w:szCs w:val="22"/>
          <w:lang w:val="en-US"/>
        </w:rPr>
        <w:lastRenderedPageBreak/>
        <w:t>IMAGES AND TABLES</w:t>
      </w:r>
    </w:p>
    <w:p>
      <w:pPr>
        <w:spacing w:after="200" w:line="276" w:lineRule="auto"/>
        <w:rPr>
          <w:rFonts w:ascii="Arial" w:hAnsi="Arial" w:cs="Arial"/>
          <w:b/>
          <w:sz w:val="22"/>
          <w:szCs w:val="22"/>
          <w:lang w:val="en-US"/>
        </w:rPr>
      </w:pPr>
    </w:p>
    <w:p>
      <w:pPr>
        <w:spacing w:line="480" w:lineRule="auto"/>
        <w:jc w:val="both"/>
        <w:textAlignment w:val="baseline"/>
        <w:rPr>
          <w:rFonts w:ascii="Arial" w:hAnsi="Arial" w:cs="Arial"/>
          <w:sz w:val="22"/>
          <w:szCs w:val="22"/>
          <w:lang w:val="en-US"/>
        </w:rPr>
      </w:pPr>
      <w:r>
        <w:rPr>
          <w:rFonts w:ascii="Arial" w:hAnsi="Arial" w:cs="Arial"/>
          <w:noProof/>
          <w:sz w:val="22"/>
          <w:szCs w:val="22"/>
          <w:lang w:val="en-US" w:eastAsia="en-US"/>
        </w:rPr>
        <w:drawing>
          <wp:inline distT="0" distB="0" distL="0" distR="0">
            <wp:extent cx="4791552" cy="4505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1915" cy="4533874"/>
                    </a:xfrm>
                    <a:prstGeom prst="rect">
                      <a:avLst/>
                    </a:prstGeom>
                    <a:noFill/>
                  </pic:spPr>
                </pic:pic>
              </a:graphicData>
            </a:graphic>
          </wp:inline>
        </w:drawing>
      </w:r>
    </w:p>
    <w:p>
      <w:pPr>
        <w:spacing w:line="480" w:lineRule="auto"/>
        <w:jc w:val="both"/>
        <w:textAlignment w:val="baseline"/>
        <w:rPr>
          <w:rFonts w:ascii="Arial" w:hAnsi="Arial" w:cs="Arial"/>
          <w:sz w:val="22"/>
          <w:szCs w:val="22"/>
          <w:lang w:val="en-US"/>
        </w:rPr>
      </w:pPr>
      <w:r>
        <w:rPr>
          <w:rFonts w:ascii="Arial" w:hAnsi="Arial" w:cs="Arial"/>
          <w:b/>
          <w:bCs/>
          <w:sz w:val="22"/>
          <w:szCs w:val="22"/>
          <w:lang w:val="en-US"/>
        </w:rPr>
        <w:t>Figure 1: Subjects Flow-Chart within the MR Whole-Body KORA Study.</w:t>
      </w:r>
      <w:r>
        <w:rPr>
          <w:rFonts w:ascii="Arial" w:hAnsi="Arial" w:cs="Arial"/>
          <w:sz w:val="22"/>
          <w:szCs w:val="22"/>
          <w:lang w:val="en-US"/>
        </w:rPr>
        <w:t> </w:t>
      </w:r>
    </w:p>
    <w:p>
      <w:pPr>
        <w:spacing w:after="200" w:line="276" w:lineRule="auto"/>
        <w:rPr>
          <w:rFonts w:ascii="Arial" w:hAnsi="Arial" w:cs="Arial"/>
          <w:b/>
          <w:sz w:val="22"/>
          <w:szCs w:val="22"/>
          <w:lang w:val="en-US"/>
        </w:rPr>
      </w:pPr>
    </w:p>
    <w:p>
      <w:pPr>
        <w:spacing w:after="200" w:line="276" w:lineRule="auto"/>
        <w:rPr>
          <w:rFonts w:ascii="Arial" w:hAnsi="Arial" w:cs="Arial"/>
          <w:b/>
          <w:sz w:val="22"/>
          <w:szCs w:val="22"/>
          <w:lang w:val="en-US"/>
        </w:rPr>
      </w:pPr>
    </w:p>
    <w:p>
      <w:pPr>
        <w:spacing w:after="200" w:line="276" w:lineRule="auto"/>
        <w:rPr>
          <w:rFonts w:ascii="Arial" w:hAnsi="Arial" w:cs="Arial"/>
          <w:b/>
          <w:sz w:val="22"/>
          <w:szCs w:val="22"/>
          <w:lang w:val="en-US"/>
        </w:rPr>
      </w:pPr>
      <w:r>
        <w:rPr>
          <w:rFonts w:ascii="Arial" w:hAnsi="Arial" w:cs="Arial"/>
          <w:b/>
          <w:sz w:val="22"/>
          <w:szCs w:val="22"/>
          <w:lang w:val="en-US"/>
        </w:rPr>
        <w:br w:type="page"/>
      </w:r>
    </w:p>
    <w:p>
      <w:pPr>
        <w:contextualSpacing/>
        <w:jc w:val="both"/>
        <w:rPr>
          <w:rFonts w:ascii="Arial" w:hAnsi="Arial" w:cs="Arial"/>
          <w:sz w:val="22"/>
          <w:szCs w:val="22"/>
          <w:lang w:val="en-US"/>
        </w:rPr>
      </w:pPr>
    </w:p>
    <w:p>
      <w:pPr>
        <w:contextualSpacing/>
        <w:jc w:val="both"/>
        <w:rPr>
          <w:rFonts w:ascii="Arial" w:hAnsi="Arial" w:cs="Arial"/>
          <w:sz w:val="22"/>
          <w:szCs w:val="22"/>
          <w:lang w:val="en-US"/>
        </w:rPr>
      </w:pPr>
    </w:p>
    <w:tbl>
      <w:tblPr>
        <w:tblW w:w="9021" w:type="dxa"/>
        <w:tblInd w:w="55" w:type="dxa"/>
        <w:tblLayout w:type="fixed"/>
        <w:tblCellMar>
          <w:left w:w="70" w:type="dxa"/>
          <w:right w:w="70" w:type="dxa"/>
        </w:tblCellMar>
        <w:tblLook w:val="04A0" w:firstRow="1" w:lastRow="0" w:firstColumn="1" w:lastColumn="0" w:noHBand="0" w:noVBand="1"/>
      </w:tblPr>
      <w:tblGrid>
        <w:gridCol w:w="2895"/>
        <w:gridCol w:w="1742"/>
        <w:gridCol w:w="1742"/>
        <w:gridCol w:w="1742"/>
        <w:gridCol w:w="900"/>
      </w:tblGrid>
      <w:tr>
        <w:trPr>
          <w:trHeight w:val="288"/>
        </w:trPr>
        <w:tc>
          <w:tcPr>
            <w:tcW w:w="2895" w:type="dxa"/>
            <w:tcBorders>
              <w:top w:val="single" w:sz="12" w:space="0" w:color="auto"/>
              <w:left w:val="nil"/>
              <w:bottom w:val="nil"/>
              <w:right w:val="nil"/>
            </w:tcBorders>
            <w:shd w:val="clear" w:color="auto" w:fill="auto"/>
            <w:noWrap/>
            <w:vAlign w:val="bottom"/>
            <w:hideMark/>
          </w:tcPr>
          <w:p>
            <w:pPr>
              <w:rPr>
                <w:rFonts w:ascii="Arial" w:hAnsi="Arial" w:cs="Arial"/>
                <w:sz w:val="22"/>
                <w:szCs w:val="22"/>
                <w:lang w:val="en-US"/>
              </w:rPr>
            </w:pPr>
          </w:p>
        </w:tc>
        <w:tc>
          <w:tcPr>
            <w:tcW w:w="1742" w:type="dxa"/>
            <w:tcBorders>
              <w:top w:val="single" w:sz="12" w:space="0" w:color="auto"/>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All</w:t>
            </w:r>
          </w:p>
        </w:tc>
        <w:tc>
          <w:tcPr>
            <w:tcW w:w="1742" w:type="dxa"/>
            <w:tcBorders>
              <w:top w:val="single" w:sz="12" w:space="0" w:color="auto"/>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No IF</w:t>
            </w:r>
          </w:p>
        </w:tc>
        <w:tc>
          <w:tcPr>
            <w:tcW w:w="1742" w:type="dxa"/>
            <w:tcBorders>
              <w:top w:val="single" w:sz="12" w:space="0" w:color="auto"/>
              <w:left w:val="nil"/>
              <w:bottom w:val="nil"/>
              <w:right w:val="nil"/>
            </w:tcBorders>
            <w:shd w:val="clear" w:color="auto" w:fill="auto"/>
            <w:noWrap/>
            <w:vAlign w:val="center"/>
            <w:hideMark/>
          </w:tcPr>
          <w:p>
            <w:pPr>
              <w:jc w:val="center"/>
              <w:rPr>
                <w:rFonts w:ascii="Arial" w:hAnsi="Arial" w:cs="Arial"/>
                <w:sz w:val="22"/>
                <w:szCs w:val="22"/>
                <w:lang w:val="en-US"/>
              </w:rPr>
            </w:pPr>
            <w:r>
              <w:rPr>
                <w:rFonts w:ascii="Arial" w:hAnsi="Arial" w:cs="Arial"/>
                <w:sz w:val="22"/>
                <w:szCs w:val="22"/>
                <w:lang w:val="en-US"/>
              </w:rPr>
              <w:t>With IF*</w:t>
            </w:r>
          </w:p>
        </w:tc>
        <w:tc>
          <w:tcPr>
            <w:tcW w:w="900" w:type="dxa"/>
            <w:tcBorders>
              <w:top w:val="single" w:sz="12" w:space="0" w:color="auto"/>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p-value</w:t>
            </w:r>
          </w:p>
        </w:tc>
      </w:tr>
      <w:tr>
        <w:trPr>
          <w:trHeight w:val="300"/>
        </w:trPr>
        <w:tc>
          <w:tcPr>
            <w:tcW w:w="2895" w:type="dxa"/>
            <w:tcBorders>
              <w:top w:val="nil"/>
              <w:left w:val="nil"/>
              <w:bottom w:val="single" w:sz="12" w:space="0" w:color="auto"/>
              <w:right w:val="nil"/>
            </w:tcBorders>
            <w:shd w:val="clear" w:color="auto" w:fill="auto"/>
            <w:noWrap/>
            <w:vAlign w:val="bottom"/>
            <w:hideMark/>
          </w:tcPr>
          <w:p>
            <w:pPr>
              <w:rPr>
                <w:rFonts w:ascii="Arial" w:hAnsi="Arial" w:cs="Arial"/>
                <w:sz w:val="22"/>
                <w:szCs w:val="22"/>
              </w:rPr>
            </w:pPr>
          </w:p>
        </w:tc>
        <w:tc>
          <w:tcPr>
            <w:tcW w:w="1742" w:type="dxa"/>
            <w:tcBorders>
              <w:top w:val="nil"/>
              <w:left w:val="nil"/>
              <w:bottom w:val="single" w:sz="12" w:space="0" w:color="auto"/>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N = 400</w:t>
            </w:r>
          </w:p>
        </w:tc>
        <w:tc>
          <w:tcPr>
            <w:tcW w:w="1742" w:type="dxa"/>
            <w:tcBorders>
              <w:top w:val="nil"/>
              <w:left w:val="nil"/>
              <w:bottom w:val="single" w:sz="12" w:space="0" w:color="auto"/>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N = 311</w:t>
            </w:r>
          </w:p>
        </w:tc>
        <w:tc>
          <w:tcPr>
            <w:tcW w:w="1742" w:type="dxa"/>
            <w:tcBorders>
              <w:top w:val="nil"/>
              <w:left w:val="nil"/>
              <w:bottom w:val="single" w:sz="12" w:space="0" w:color="auto"/>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N = 89</w:t>
            </w:r>
          </w:p>
        </w:tc>
        <w:tc>
          <w:tcPr>
            <w:tcW w:w="900" w:type="dxa"/>
            <w:tcBorders>
              <w:top w:val="nil"/>
              <w:left w:val="nil"/>
              <w:bottom w:val="single" w:sz="12" w:space="0" w:color="auto"/>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 </w:t>
            </w:r>
          </w:p>
        </w:tc>
      </w:tr>
      <w:tr>
        <w:trPr>
          <w:trHeight w:val="300"/>
        </w:trPr>
        <w:tc>
          <w:tcPr>
            <w:tcW w:w="2895" w:type="dxa"/>
            <w:tcBorders>
              <w:top w:val="single" w:sz="12" w:space="0" w:color="auto"/>
              <w:left w:val="nil"/>
              <w:bottom w:val="nil"/>
              <w:right w:val="nil"/>
            </w:tcBorders>
            <w:shd w:val="clear" w:color="auto" w:fill="auto"/>
            <w:noWrap/>
            <w:vAlign w:val="center"/>
            <w:hideMark/>
          </w:tcPr>
          <w:p>
            <w:pPr>
              <w:rPr>
                <w:rFonts w:ascii="Arial" w:hAnsi="Arial" w:cs="Arial"/>
                <w:sz w:val="22"/>
                <w:szCs w:val="22"/>
              </w:rPr>
            </w:pPr>
            <w:r>
              <w:rPr>
                <w:rFonts w:ascii="Arial" w:hAnsi="Arial" w:cs="Arial"/>
                <w:sz w:val="22"/>
                <w:szCs w:val="22"/>
              </w:rPr>
              <w:t>Age (years)</w:t>
            </w:r>
          </w:p>
        </w:tc>
        <w:tc>
          <w:tcPr>
            <w:tcW w:w="1742" w:type="dxa"/>
            <w:tcBorders>
              <w:top w:val="single" w:sz="12" w:space="0" w:color="auto"/>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56.3 ± 9.2</w:t>
            </w:r>
          </w:p>
        </w:tc>
        <w:tc>
          <w:tcPr>
            <w:tcW w:w="1742" w:type="dxa"/>
            <w:tcBorders>
              <w:top w:val="single" w:sz="12" w:space="0" w:color="auto"/>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55.4 ± 9.1</w:t>
            </w:r>
          </w:p>
        </w:tc>
        <w:tc>
          <w:tcPr>
            <w:tcW w:w="1742" w:type="dxa"/>
            <w:tcBorders>
              <w:top w:val="single" w:sz="12" w:space="0" w:color="auto"/>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59.6 ± 8.9</w:t>
            </w:r>
          </w:p>
        </w:tc>
        <w:tc>
          <w:tcPr>
            <w:tcW w:w="900" w:type="dxa"/>
            <w:tcBorders>
              <w:top w:val="single" w:sz="12" w:space="0" w:color="auto"/>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&lt;0.001</w:t>
            </w:r>
          </w:p>
        </w:tc>
      </w:tr>
      <w:tr>
        <w:trPr>
          <w:trHeight w:val="300"/>
        </w:trPr>
        <w:tc>
          <w:tcPr>
            <w:tcW w:w="2895" w:type="dxa"/>
            <w:tcBorders>
              <w:top w:val="single" w:sz="8" w:space="0" w:color="A6A6A6"/>
              <w:left w:val="nil"/>
              <w:bottom w:val="single" w:sz="8" w:space="0" w:color="A6A6A6"/>
              <w:right w:val="nil"/>
            </w:tcBorders>
            <w:shd w:val="clear" w:color="auto" w:fill="auto"/>
            <w:noWrap/>
            <w:vAlign w:val="center"/>
            <w:hideMark/>
          </w:tcPr>
          <w:p>
            <w:pPr>
              <w:rPr>
                <w:rFonts w:ascii="Arial" w:hAnsi="Arial" w:cs="Arial"/>
                <w:sz w:val="22"/>
                <w:szCs w:val="22"/>
              </w:rPr>
            </w:pPr>
            <w:r>
              <w:rPr>
                <w:rFonts w:ascii="Arial" w:hAnsi="Arial" w:cs="Arial"/>
                <w:sz w:val="22"/>
                <w:szCs w:val="22"/>
              </w:rPr>
              <w:t>Sex (men)</w:t>
            </w:r>
          </w:p>
        </w:tc>
        <w:tc>
          <w:tcPr>
            <w:tcW w:w="1742" w:type="dxa"/>
            <w:tcBorders>
              <w:top w:val="single" w:sz="8" w:space="0" w:color="A6A6A6"/>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231 (57.8%)</w:t>
            </w:r>
          </w:p>
        </w:tc>
        <w:tc>
          <w:tcPr>
            <w:tcW w:w="1742" w:type="dxa"/>
            <w:tcBorders>
              <w:top w:val="single" w:sz="8" w:space="0" w:color="A6A6A6"/>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183 (58.8%)</w:t>
            </w:r>
          </w:p>
        </w:tc>
        <w:tc>
          <w:tcPr>
            <w:tcW w:w="1742" w:type="dxa"/>
            <w:tcBorders>
              <w:top w:val="single" w:sz="8" w:space="0" w:color="A6A6A6"/>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48 (53.9%)</w:t>
            </w:r>
          </w:p>
        </w:tc>
        <w:tc>
          <w:tcPr>
            <w:tcW w:w="900" w:type="dxa"/>
            <w:tcBorders>
              <w:top w:val="single" w:sz="8" w:space="0" w:color="A6A6A6"/>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0.48</w:t>
            </w:r>
          </w:p>
        </w:tc>
      </w:tr>
      <w:tr>
        <w:trPr>
          <w:trHeight w:val="348"/>
        </w:trPr>
        <w:tc>
          <w:tcPr>
            <w:tcW w:w="2895" w:type="dxa"/>
            <w:tcBorders>
              <w:top w:val="single" w:sz="8" w:space="0" w:color="A6A6A6"/>
              <w:left w:val="nil"/>
              <w:bottom w:val="single" w:sz="8" w:space="0" w:color="A6A6A6"/>
            </w:tcBorders>
            <w:shd w:val="clear" w:color="auto" w:fill="auto"/>
            <w:noWrap/>
            <w:vAlign w:val="center"/>
            <w:hideMark/>
          </w:tcPr>
          <w:p>
            <w:pPr>
              <w:rPr>
                <w:rFonts w:ascii="Arial" w:hAnsi="Arial" w:cs="Arial"/>
                <w:sz w:val="22"/>
                <w:szCs w:val="22"/>
              </w:rPr>
            </w:pPr>
            <w:r>
              <w:rPr>
                <w:rFonts w:ascii="Arial" w:hAnsi="Arial" w:cs="Arial"/>
                <w:sz w:val="22"/>
                <w:szCs w:val="22"/>
              </w:rPr>
              <w:t>BMI (kg/m</w:t>
            </w:r>
            <w:r>
              <w:rPr>
                <w:rFonts w:ascii="Arial" w:hAnsi="Arial" w:cs="Arial"/>
                <w:sz w:val="22"/>
                <w:szCs w:val="22"/>
                <w:vertAlign w:val="superscript"/>
              </w:rPr>
              <w:t>2</w:t>
            </w:r>
            <w:r>
              <w:rPr>
                <w:rFonts w:ascii="Arial" w:hAnsi="Arial" w:cs="Arial"/>
                <w:sz w:val="22"/>
                <w:szCs w:val="22"/>
              </w:rPr>
              <w:t>)</w:t>
            </w:r>
          </w:p>
        </w:tc>
        <w:tc>
          <w:tcPr>
            <w:tcW w:w="1742" w:type="dxa"/>
            <w:tcBorders>
              <w:top w:val="single" w:sz="8" w:space="0" w:color="A6A6A6"/>
              <w:bottom w:val="single" w:sz="8" w:space="0" w:color="A6A6A6"/>
            </w:tcBorders>
            <w:shd w:val="clear" w:color="auto" w:fill="auto"/>
            <w:noWrap/>
            <w:vAlign w:val="center"/>
            <w:hideMark/>
          </w:tcPr>
          <w:p>
            <w:pPr>
              <w:jc w:val="center"/>
              <w:rPr>
                <w:rFonts w:ascii="Arial" w:hAnsi="Arial" w:cs="Arial"/>
                <w:sz w:val="22"/>
                <w:szCs w:val="22"/>
              </w:rPr>
            </w:pPr>
            <w:r>
              <w:rPr>
                <w:rFonts w:ascii="Arial" w:hAnsi="Arial" w:cs="Arial"/>
                <w:sz w:val="22"/>
                <w:szCs w:val="22"/>
              </w:rPr>
              <w:t>28.1 ± 4.9</w:t>
            </w:r>
          </w:p>
        </w:tc>
        <w:tc>
          <w:tcPr>
            <w:tcW w:w="1742" w:type="dxa"/>
            <w:tcBorders>
              <w:top w:val="single" w:sz="8" w:space="0" w:color="A6A6A6"/>
              <w:bottom w:val="single" w:sz="8" w:space="0" w:color="A6A6A6"/>
            </w:tcBorders>
            <w:shd w:val="clear" w:color="auto" w:fill="auto"/>
            <w:noWrap/>
            <w:vAlign w:val="center"/>
            <w:hideMark/>
          </w:tcPr>
          <w:p>
            <w:pPr>
              <w:jc w:val="center"/>
              <w:rPr>
                <w:rFonts w:ascii="Arial" w:hAnsi="Arial" w:cs="Arial"/>
                <w:sz w:val="22"/>
                <w:szCs w:val="22"/>
              </w:rPr>
            </w:pPr>
            <w:r>
              <w:rPr>
                <w:rFonts w:ascii="Arial" w:hAnsi="Arial" w:cs="Arial"/>
                <w:sz w:val="22"/>
                <w:szCs w:val="22"/>
              </w:rPr>
              <w:t>28.1 ± 5.1</w:t>
            </w:r>
          </w:p>
        </w:tc>
        <w:tc>
          <w:tcPr>
            <w:tcW w:w="1742" w:type="dxa"/>
            <w:tcBorders>
              <w:top w:val="single" w:sz="8" w:space="0" w:color="A6A6A6"/>
              <w:bottom w:val="single" w:sz="8" w:space="0" w:color="A6A6A6"/>
            </w:tcBorders>
            <w:shd w:val="clear" w:color="auto" w:fill="auto"/>
            <w:noWrap/>
            <w:vAlign w:val="center"/>
            <w:hideMark/>
          </w:tcPr>
          <w:p>
            <w:pPr>
              <w:jc w:val="center"/>
              <w:rPr>
                <w:rFonts w:ascii="Arial" w:hAnsi="Arial" w:cs="Arial"/>
                <w:sz w:val="22"/>
                <w:szCs w:val="22"/>
              </w:rPr>
            </w:pPr>
            <w:r>
              <w:rPr>
                <w:rFonts w:ascii="Arial" w:hAnsi="Arial" w:cs="Arial"/>
                <w:sz w:val="22"/>
                <w:szCs w:val="22"/>
              </w:rPr>
              <w:t>28.3 ± 4.1</w:t>
            </w:r>
          </w:p>
        </w:tc>
        <w:tc>
          <w:tcPr>
            <w:tcW w:w="900" w:type="dxa"/>
            <w:tcBorders>
              <w:top w:val="single" w:sz="8" w:space="0" w:color="A6A6A6"/>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0.66</w:t>
            </w:r>
          </w:p>
        </w:tc>
      </w:tr>
      <w:tr>
        <w:trPr>
          <w:trHeight w:val="288"/>
        </w:trPr>
        <w:tc>
          <w:tcPr>
            <w:tcW w:w="2895" w:type="dxa"/>
            <w:tcBorders>
              <w:top w:val="single" w:sz="8" w:space="0" w:color="A6A6A6"/>
              <w:left w:val="nil"/>
              <w:bottom w:val="nil"/>
            </w:tcBorders>
            <w:shd w:val="clear" w:color="auto" w:fill="auto"/>
            <w:noWrap/>
            <w:vAlign w:val="center"/>
            <w:hideMark/>
          </w:tcPr>
          <w:p>
            <w:pPr>
              <w:rPr>
                <w:rFonts w:ascii="Arial" w:hAnsi="Arial" w:cs="Arial"/>
                <w:sz w:val="22"/>
                <w:szCs w:val="22"/>
              </w:rPr>
            </w:pPr>
            <w:r>
              <w:rPr>
                <w:rFonts w:ascii="Arial" w:hAnsi="Arial" w:cs="Arial"/>
                <w:sz w:val="22"/>
                <w:szCs w:val="22"/>
              </w:rPr>
              <w:t>Glycemic Status</w:t>
            </w:r>
          </w:p>
        </w:tc>
        <w:tc>
          <w:tcPr>
            <w:tcW w:w="1742" w:type="dxa"/>
            <w:tcBorders>
              <w:top w:val="single" w:sz="8" w:space="0" w:color="A6A6A6"/>
              <w:bottom w:val="nil"/>
            </w:tcBorders>
            <w:shd w:val="clear" w:color="auto" w:fill="auto"/>
            <w:vAlign w:val="center"/>
          </w:tcPr>
          <w:p>
            <w:pPr>
              <w:jc w:val="center"/>
              <w:rPr>
                <w:rFonts w:ascii="Arial" w:hAnsi="Arial" w:cs="Arial"/>
                <w:sz w:val="22"/>
                <w:szCs w:val="22"/>
              </w:rPr>
            </w:pPr>
          </w:p>
        </w:tc>
        <w:tc>
          <w:tcPr>
            <w:tcW w:w="1742" w:type="dxa"/>
            <w:tcBorders>
              <w:top w:val="nil"/>
              <w:bottom w:val="nil"/>
            </w:tcBorders>
            <w:shd w:val="clear" w:color="auto" w:fill="auto"/>
            <w:noWrap/>
            <w:vAlign w:val="center"/>
            <w:hideMark/>
          </w:tcPr>
          <w:p>
            <w:pPr>
              <w:jc w:val="center"/>
              <w:rPr>
                <w:rFonts w:ascii="Arial" w:hAnsi="Arial" w:cs="Arial"/>
                <w:sz w:val="22"/>
                <w:szCs w:val="22"/>
              </w:rPr>
            </w:pPr>
          </w:p>
        </w:tc>
        <w:tc>
          <w:tcPr>
            <w:tcW w:w="1742" w:type="dxa"/>
            <w:tcBorders>
              <w:top w:val="nil"/>
              <w:bottom w:val="nil"/>
            </w:tcBorders>
            <w:shd w:val="clear" w:color="auto" w:fill="auto"/>
            <w:noWrap/>
            <w:vAlign w:val="center"/>
            <w:hideMark/>
          </w:tcPr>
          <w:p>
            <w:pPr>
              <w:jc w:val="center"/>
              <w:rPr>
                <w:rFonts w:ascii="Arial" w:hAnsi="Arial" w:cs="Arial"/>
                <w:sz w:val="22"/>
                <w:szCs w:val="22"/>
              </w:rPr>
            </w:pPr>
          </w:p>
        </w:tc>
        <w:tc>
          <w:tcPr>
            <w:tcW w:w="900" w:type="dxa"/>
            <w:tcBorders>
              <w:top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0.14</w:t>
            </w:r>
          </w:p>
        </w:tc>
      </w:tr>
      <w:tr>
        <w:trPr>
          <w:trHeight w:val="288"/>
        </w:trPr>
        <w:tc>
          <w:tcPr>
            <w:tcW w:w="2895" w:type="dxa"/>
            <w:tcBorders>
              <w:top w:val="nil"/>
              <w:left w:val="nil"/>
              <w:bottom w:val="nil"/>
            </w:tcBorders>
            <w:shd w:val="clear" w:color="auto" w:fill="auto"/>
            <w:noWrap/>
            <w:vAlign w:val="center"/>
            <w:hideMark/>
          </w:tcPr>
          <w:p>
            <w:pPr>
              <w:rPr>
                <w:rFonts w:ascii="Arial" w:hAnsi="Arial" w:cs="Arial"/>
                <w:sz w:val="22"/>
                <w:szCs w:val="22"/>
              </w:rPr>
            </w:pPr>
            <w:r>
              <w:rPr>
                <w:rFonts w:ascii="Arial" w:hAnsi="Arial" w:cs="Arial"/>
                <w:sz w:val="22"/>
                <w:szCs w:val="22"/>
              </w:rPr>
              <w:t xml:space="preserve">    Control</w:t>
            </w:r>
          </w:p>
        </w:tc>
        <w:tc>
          <w:tcPr>
            <w:tcW w:w="1742" w:type="dxa"/>
            <w:tcBorders>
              <w:top w:val="nil"/>
              <w:bottom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243 (60.8%)</w:t>
            </w:r>
          </w:p>
        </w:tc>
        <w:tc>
          <w:tcPr>
            <w:tcW w:w="1742" w:type="dxa"/>
            <w:tcBorders>
              <w:top w:val="nil"/>
              <w:bottom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196 (63.0%)</w:t>
            </w:r>
          </w:p>
        </w:tc>
        <w:tc>
          <w:tcPr>
            <w:tcW w:w="1742" w:type="dxa"/>
            <w:tcBorders>
              <w:top w:val="nil"/>
              <w:bottom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47 (52.8%)</w:t>
            </w:r>
          </w:p>
        </w:tc>
        <w:tc>
          <w:tcPr>
            <w:tcW w:w="900" w:type="dxa"/>
            <w:tcBorders>
              <w:top w:val="nil"/>
              <w:bottom w:val="nil"/>
              <w:right w:val="nil"/>
            </w:tcBorders>
            <w:shd w:val="clear" w:color="auto" w:fill="auto"/>
            <w:noWrap/>
            <w:vAlign w:val="center"/>
            <w:hideMark/>
          </w:tcPr>
          <w:p>
            <w:pPr>
              <w:jc w:val="center"/>
              <w:rPr>
                <w:rFonts w:ascii="Arial" w:hAnsi="Arial" w:cs="Arial"/>
                <w:sz w:val="22"/>
                <w:szCs w:val="22"/>
              </w:rPr>
            </w:pPr>
          </w:p>
        </w:tc>
      </w:tr>
      <w:tr>
        <w:trPr>
          <w:trHeight w:val="288"/>
        </w:trPr>
        <w:tc>
          <w:tcPr>
            <w:tcW w:w="2895" w:type="dxa"/>
            <w:tcBorders>
              <w:top w:val="nil"/>
              <w:left w:val="nil"/>
              <w:bottom w:val="nil"/>
            </w:tcBorders>
            <w:shd w:val="clear" w:color="auto" w:fill="auto"/>
            <w:noWrap/>
            <w:vAlign w:val="center"/>
            <w:hideMark/>
          </w:tcPr>
          <w:p>
            <w:pPr>
              <w:rPr>
                <w:rFonts w:ascii="Arial" w:hAnsi="Arial" w:cs="Arial"/>
                <w:sz w:val="22"/>
                <w:szCs w:val="22"/>
              </w:rPr>
            </w:pPr>
            <w:r>
              <w:rPr>
                <w:rFonts w:ascii="Arial" w:hAnsi="Arial" w:cs="Arial"/>
                <w:sz w:val="22"/>
                <w:szCs w:val="22"/>
              </w:rPr>
              <w:t xml:space="preserve">    Prediabetes</w:t>
            </w:r>
          </w:p>
        </w:tc>
        <w:tc>
          <w:tcPr>
            <w:tcW w:w="1742" w:type="dxa"/>
            <w:tcBorders>
              <w:top w:val="nil"/>
              <w:bottom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103 (25.8%)</w:t>
            </w:r>
          </w:p>
        </w:tc>
        <w:tc>
          <w:tcPr>
            <w:tcW w:w="1742" w:type="dxa"/>
            <w:tcBorders>
              <w:top w:val="nil"/>
              <w:bottom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73 (23.5%)</w:t>
            </w:r>
          </w:p>
        </w:tc>
        <w:tc>
          <w:tcPr>
            <w:tcW w:w="1742" w:type="dxa"/>
            <w:tcBorders>
              <w:top w:val="nil"/>
              <w:bottom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30 (33.7%)</w:t>
            </w:r>
          </w:p>
        </w:tc>
        <w:tc>
          <w:tcPr>
            <w:tcW w:w="900" w:type="dxa"/>
            <w:tcBorders>
              <w:top w:val="nil"/>
              <w:bottom w:val="nil"/>
              <w:right w:val="nil"/>
            </w:tcBorders>
            <w:shd w:val="clear" w:color="auto" w:fill="auto"/>
            <w:vAlign w:val="center"/>
          </w:tcPr>
          <w:p>
            <w:pPr>
              <w:jc w:val="center"/>
              <w:rPr>
                <w:rFonts w:ascii="Arial" w:hAnsi="Arial" w:cs="Arial"/>
                <w:sz w:val="22"/>
                <w:szCs w:val="22"/>
              </w:rPr>
            </w:pPr>
          </w:p>
        </w:tc>
      </w:tr>
      <w:tr>
        <w:trPr>
          <w:trHeight w:val="300"/>
        </w:trPr>
        <w:tc>
          <w:tcPr>
            <w:tcW w:w="2895" w:type="dxa"/>
            <w:tcBorders>
              <w:top w:val="nil"/>
              <w:left w:val="nil"/>
              <w:bottom w:val="nil"/>
            </w:tcBorders>
            <w:shd w:val="clear" w:color="auto" w:fill="auto"/>
            <w:noWrap/>
            <w:vAlign w:val="center"/>
            <w:hideMark/>
          </w:tcPr>
          <w:p>
            <w:pPr>
              <w:rPr>
                <w:rFonts w:ascii="Arial" w:hAnsi="Arial" w:cs="Arial"/>
                <w:sz w:val="22"/>
                <w:szCs w:val="22"/>
              </w:rPr>
            </w:pPr>
            <w:r>
              <w:rPr>
                <w:rFonts w:ascii="Arial" w:hAnsi="Arial" w:cs="Arial"/>
                <w:sz w:val="22"/>
                <w:szCs w:val="22"/>
              </w:rPr>
              <w:t xml:space="preserve">    Diabetes</w:t>
            </w:r>
          </w:p>
        </w:tc>
        <w:tc>
          <w:tcPr>
            <w:tcW w:w="1742" w:type="dxa"/>
            <w:tcBorders>
              <w:top w:val="nil"/>
              <w:bottom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54 (13.5%)</w:t>
            </w:r>
          </w:p>
        </w:tc>
        <w:tc>
          <w:tcPr>
            <w:tcW w:w="1742" w:type="dxa"/>
            <w:tcBorders>
              <w:top w:val="nil"/>
              <w:bottom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42 (13.5%)</w:t>
            </w:r>
          </w:p>
        </w:tc>
        <w:tc>
          <w:tcPr>
            <w:tcW w:w="1742" w:type="dxa"/>
            <w:tcBorders>
              <w:top w:val="nil"/>
              <w:bottom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12 (13.5%)</w:t>
            </w:r>
          </w:p>
        </w:tc>
        <w:tc>
          <w:tcPr>
            <w:tcW w:w="900" w:type="dxa"/>
            <w:tcBorders>
              <w:top w:val="nil"/>
              <w:bottom w:val="nil"/>
              <w:right w:val="nil"/>
            </w:tcBorders>
            <w:shd w:val="clear" w:color="auto" w:fill="auto"/>
            <w:vAlign w:val="center"/>
          </w:tcPr>
          <w:p>
            <w:pPr>
              <w:jc w:val="center"/>
              <w:rPr>
                <w:rFonts w:ascii="Arial" w:hAnsi="Arial" w:cs="Arial"/>
                <w:sz w:val="22"/>
                <w:szCs w:val="22"/>
              </w:rPr>
            </w:pPr>
          </w:p>
        </w:tc>
      </w:tr>
      <w:tr>
        <w:trPr>
          <w:trHeight w:val="300"/>
        </w:trPr>
        <w:tc>
          <w:tcPr>
            <w:tcW w:w="2895" w:type="dxa"/>
            <w:tcBorders>
              <w:top w:val="single" w:sz="8" w:space="0" w:color="A6A6A6"/>
              <w:left w:val="nil"/>
              <w:bottom w:val="single" w:sz="8" w:space="0" w:color="A6A6A6"/>
            </w:tcBorders>
            <w:shd w:val="clear" w:color="auto" w:fill="auto"/>
            <w:noWrap/>
            <w:vAlign w:val="center"/>
            <w:hideMark/>
          </w:tcPr>
          <w:p>
            <w:pPr>
              <w:rPr>
                <w:rFonts w:ascii="Arial" w:hAnsi="Arial" w:cs="Arial"/>
                <w:sz w:val="22"/>
                <w:szCs w:val="22"/>
                <w:lang w:val="en-US"/>
              </w:rPr>
            </w:pPr>
            <w:r>
              <w:rPr>
                <w:rFonts w:ascii="Arial" w:hAnsi="Arial" w:cs="Arial"/>
                <w:sz w:val="22"/>
                <w:szCs w:val="22"/>
                <w:lang w:val="en-US"/>
              </w:rPr>
              <w:t xml:space="preserve">Duration of Diabetes </w:t>
            </w:r>
            <w:r>
              <w:rPr>
                <w:rFonts w:ascii="Arial" w:hAnsi="Arial" w:cs="Arial"/>
                <w:sz w:val="22"/>
                <w:szCs w:val="22"/>
                <w:lang w:val="en-US"/>
              </w:rPr>
              <w:br/>
              <w:t>(years, median)</w:t>
            </w:r>
          </w:p>
        </w:tc>
        <w:tc>
          <w:tcPr>
            <w:tcW w:w="1742" w:type="dxa"/>
            <w:tcBorders>
              <w:top w:val="single" w:sz="8" w:space="0" w:color="A6A6A6"/>
              <w:bottom w:val="single" w:sz="8" w:space="0" w:color="A6A6A6"/>
            </w:tcBorders>
            <w:shd w:val="clear" w:color="auto" w:fill="auto"/>
            <w:noWrap/>
            <w:vAlign w:val="center"/>
            <w:hideMark/>
          </w:tcPr>
          <w:p>
            <w:pPr>
              <w:jc w:val="center"/>
              <w:rPr>
                <w:rFonts w:ascii="Arial" w:hAnsi="Arial" w:cs="Arial"/>
                <w:sz w:val="22"/>
                <w:szCs w:val="22"/>
              </w:rPr>
            </w:pPr>
            <w:r>
              <w:rPr>
                <w:rFonts w:ascii="Arial" w:hAnsi="Arial" w:cs="Arial"/>
                <w:sz w:val="22"/>
                <w:szCs w:val="22"/>
              </w:rPr>
              <w:t>7.0 [5.0, 11.8]</w:t>
            </w:r>
          </w:p>
        </w:tc>
        <w:tc>
          <w:tcPr>
            <w:tcW w:w="1742" w:type="dxa"/>
            <w:tcBorders>
              <w:top w:val="single" w:sz="8" w:space="0" w:color="A6A6A6"/>
              <w:bottom w:val="single" w:sz="8" w:space="0" w:color="A6A6A6"/>
            </w:tcBorders>
            <w:shd w:val="clear" w:color="auto" w:fill="auto"/>
            <w:noWrap/>
            <w:vAlign w:val="center"/>
            <w:hideMark/>
          </w:tcPr>
          <w:p>
            <w:pPr>
              <w:jc w:val="center"/>
              <w:rPr>
                <w:rFonts w:ascii="Arial" w:hAnsi="Arial" w:cs="Arial"/>
                <w:sz w:val="22"/>
                <w:szCs w:val="22"/>
              </w:rPr>
            </w:pPr>
            <w:r>
              <w:rPr>
                <w:rFonts w:ascii="Arial" w:hAnsi="Arial" w:cs="Arial"/>
                <w:sz w:val="22"/>
                <w:szCs w:val="22"/>
              </w:rPr>
              <w:t>7.0 [4.5, 11.5]</w:t>
            </w:r>
          </w:p>
        </w:tc>
        <w:tc>
          <w:tcPr>
            <w:tcW w:w="1742" w:type="dxa"/>
            <w:tcBorders>
              <w:top w:val="single" w:sz="8" w:space="0" w:color="A6A6A6"/>
              <w:bottom w:val="single" w:sz="8" w:space="0" w:color="A6A6A6"/>
            </w:tcBorders>
            <w:shd w:val="clear" w:color="auto" w:fill="auto"/>
            <w:noWrap/>
            <w:vAlign w:val="center"/>
            <w:hideMark/>
          </w:tcPr>
          <w:p>
            <w:pPr>
              <w:jc w:val="center"/>
              <w:rPr>
                <w:rFonts w:ascii="Arial" w:hAnsi="Arial" w:cs="Arial"/>
                <w:sz w:val="22"/>
                <w:szCs w:val="22"/>
              </w:rPr>
            </w:pPr>
            <w:r>
              <w:rPr>
                <w:rFonts w:ascii="Arial" w:hAnsi="Arial" w:cs="Arial"/>
                <w:sz w:val="22"/>
                <w:szCs w:val="22"/>
              </w:rPr>
              <w:t>7.0 [5.5, 10.0]</w:t>
            </w:r>
          </w:p>
        </w:tc>
        <w:tc>
          <w:tcPr>
            <w:tcW w:w="900" w:type="dxa"/>
            <w:tcBorders>
              <w:top w:val="single" w:sz="8" w:space="0" w:color="A6A6A6"/>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0.59</w:t>
            </w:r>
          </w:p>
        </w:tc>
      </w:tr>
      <w:tr>
        <w:trPr>
          <w:trHeight w:val="300"/>
        </w:trPr>
        <w:tc>
          <w:tcPr>
            <w:tcW w:w="2895" w:type="dxa"/>
            <w:tcBorders>
              <w:top w:val="nil"/>
              <w:left w:val="nil"/>
              <w:bottom w:val="single" w:sz="8" w:space="0" w:color="A6A6A6"/>
              <w:right w:val="nil"/>
            </w:tcBorders>
            <w:shd w:val="clear" w:color="auto" w:fill="auto"/>
            <w:noWrap/>
            <w:vAlign w:val="center"/>
            <w:hideMark/>
          </w:tcPr>
          <w:p>
            <w:pPr>
              <w:rPr>
                <w:rFonts w:ascii="Arial" w:hAnsi="Arial" w:cs="Arial"/>
                <w:sz w:val="22"/>
                <w:szCs w:val="22"/>
              </w:rPr>
            </w:pPr>
            <w:r>
              <w:rPr>
                <w:rFonts w:ascii="Arial" w:hAnsi="Arial" w:cs="Arial"/>
                <w:sz w:val="22"/>
                <w:szCs w:val="22"/>
              </w:rPr>
              <w:t>HbA1c, %</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5.6 ± 0.7</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5.6 ± 0.8</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5.6 ± 0.6</w:t>
            </w:r>
          </w:p>
        </w:tc>
        <w:tc>
          <w:tcPr>
            <w:tcW w:w="9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0.61</w:t>
            </w:r>
          </w:p>
        </w:tc>
      </w:tr>
      <w:tr>
        <w:trPr>
          <w:trHeight w:val="300"/>
        </w:trPr>
        <w:tc>
          <w:tcPr>
            <w:tcW w:w="2895" w:type="dxa"/>
            <w:tcBorders>
              <w:top w:val="nil"/>
              <w:left w:val="nil"/>
              <w:bottom w:val="single" w:sz="8" w:space="0" w:color="A6A6A6"/>
              <w:right w:val="nil"/>
            </w:tcBorders>
            <w:shd w:val="clear" w:color="auto" w:fill="auto"/>
            <w:noWrap/>
            <w:vAlign w:val="center"/>
            <w:hideMark/>
          </w:tcPr>
          <w:p>
            <w:pPr>
              <w:rPr>
                <w:rFonts w:ascii="Arial" w:hAnsi="Arial" w:cs="Arial"/>
                <w:sz w:val="22"/>
                <w:szCs w:val="22"/>
              </w:rPr>
            </w:pPr>
            <w:r>
              <w:rPr>
                <w:rFonts w:ascii="Arial" w:hAnsi="Arial" w:cs="Arial"/>
                <w:sz w:val="22"/>
                <w:szCs w:val="22"/>
              </w:rPr>
              <w:t>Hypertension</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136 (34.0%)</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101 (32.5%)</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35 (39.3%)</w:t>
            </w:r>
          </w:p>
        </w:tc>
        <w:tc>
          <w:tcPr>
            <w:tcW w:w="9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0.28</w:t>
            </w:r>
          </w:p>
        </w:tc>
      </w:tr>
      <w:tr>
        <w:trPr>
          <w:trHeight w:val="300"/>
        </w:trPr>
        <w:tc>
          <w:tcPr>
            <w:tcW w:w="2895" w:type="dxa"/>
            <w:tcBorders>
              <w:top w:val="nil"/>
              <w:left w:val="nil"/>
              <w:bottom w:val="single" w:sz="8" w:space="0" w:color="A6A6A6"/>
              <w:right w:val="nil"/>
            </w:tcBorders>
            <w:shd w:val="clear" w:color="auto" w:fill="auto"/>
            <w:noWrap/>
            <w:vAlign w:val="center"/>
            <w:hideMark/>
          </w:tcPr>
          <w:p>
            <w:pPr>
              <w:rPr>
                <w:rFonts w:ascii="Arial" w:hAnsi="Arial" w:cs="Arial"/>
                <w:sz w:val="22"/>
                <w:szCs w:val="22"/>
              </w:rPr>
            </w:pPr>
            <w:r>
              <w:rPr>
                <w:rFonts w:ascii="Arial" w:hAnsi="Arial" w:cs="Arial"/>
                <w:sz w:val="22"/>
                <w:szCs w:val="22"/>
              </w:rPr>
              <w:t>Systolic BP (mmHg)</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120.6 ± 16.7</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120.4 ± 16.7</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121.3 ± 16.8</w:t>
            </w:r>
          </w:p>
        </w:tc>
        <w:tc>
          <w:tcPr>
            <w:tcW w:w="9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0.65</w:t>
            </w:r>
          </w:p>
        </w:tc>
      </w:tr>
      <w:tr>
        <w:trPr>
          <w:trHeight w:val="300"/>
        </w:trPr>
        <w:tc>
          <w:tcPr>
            <w:tcW w:w="2895" w:type="dxa"/>
            <w:tcBorders>
              <w:top w:val="nil"/>
              <w:left w:val="nil"/>
              <w:bottom w:val="single" w:sz="8" w:space="0" w:color="A6A6A6"/>
              <w:right w:val="nil"/>
            </w:tcBorders>
            <w:shd w:val="clear" w:color="auto" w:fill="auto"/>
            <w:noWrap/>
            <w:vAlign w:val="center"/>
            <w:hideMark/>
          </w:tcPr>
          <w:p>
            <w:pPr>
              <w:rPr>
                <w:rFonts w:ascii="Arial" w:hAnsi="Arial" w:cs="Arial"/>
                <w:sz w:val="22"/>
                <w:szCs w:val="22"/>
              </w:rPr>
            </w:pPr>
            <w:r>
              <w:rPr>
                <w:rFonts w:ascii="Arial" w:hAnsi="Arial" w:cs="Arial"/>
                <w:sz w:val="22"/>
                <w:szCs w:val="22"/>
              </w:rPr>
              <w:t>Diastolic BP (mmHg)</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75.3 ± 10.0</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75.3 ± 10.1</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75.0 ± 9.7</w:t>
            </w:r>
          </w:p>
        </w:tc>
        <w:tc>
          <w:tcPr>
            <w:tcW w:w="9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0.76</w:t>
            </w:r>
          </w:p>
        </w:tc>
      </w:tr>
      <w:tr>
        <w:trPr>
          <w:trHeight w:val="300"/>
        </w:trPr>
        <w:tc>
          <w:tcPr>
            <w:tcW w:w="2895" w:type="dxa"/>
            <w:tcBorders>
              <w:top w:val="nil"/>
              <w:left w:val="nil"/>
              <w:bottom w:val="single" w:sz="8" w:space="0" w:color="A6A6A6"/>
              <w:right w:val="nil"/>
            </w:tcBorders>
            <w:shd w:val="clear" w:color="auto" w:fill="auto"/>
            <w:noWrap/>
            <w:vAlign w:val="center"/>
            <w:hideMark/>
          </w:tcPr>
          <w:p>
            <w:pPr>
              <w:rPr>
                <w:rFonts w:ascii="Arial" w:hAnsi="Arial" w:cs="Arial"/>
                <w:sz w:val="22"/>
                <w:szCs w:val="22"/>
              </w:rPr>
            </w:pPr>
            <w:r>
              <w:rPr>
                <w:rFonts w:ascii="Arial" w:hAnsi="Arial" w:cs="Arial"/>
                <w:sz w:val="22"/>
                <w:szCs w:val="22"/>
              </w:rPr>
              <w:t>Antihypertensive medication</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102 (25.5%)</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76 (24.4%)</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26 (29.2%)</w:t>
            </w:r>
          </w:p>
        </w:tc>
        <w:tc>
          <w:tcPr>
            <w:tcW w:w="9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0.44</w:t>
            </w:r>
          </w:p>
        </w:tc>
      </w:tr>
      <w:tr>
        <w:trPr>
          <w:trHeight w:val="300"/>
        </w:trPr>
        <w:tc>
          <w:tcPr>
            <w:tcW w:w="2895" w:type="dxa"/>
            <w:tcBorders>
              <w:top w:val="nil"/>
              <w:left w:val="nil"/>
              <w:bottom w:val="single" w:sz="8" w:space="0" w:color="A6A6A6"/>
              <w:right w:val="nil"/>
            </w:tcBorders>
            <w:shd w:val="clear" w:color="auto" w:fill="auto"/>
            <w:noWrap/>
            <w:vAlign w:val="center"/>
            <w:hideMark/>
          </w:tcPr>
          <w:p>
            <w:pPr>
              <w:rPr>
                <w:rFonts w:ascii="Arial" w:hAnsi="Arial" w:cs="Arial"/>
                <w:sz w:val="22"/>
                <w:szCs w:val="22"/>
              </w:rPr>
            </w:pPr>
            <w:r>
              <w:rPr>
                <w:rFonts w:ascii="Arial" w:hAnsi="Arial" w:cs="Arial"/>
                <w:sz w:val="22"/>
                <w:szCs w:val="22"/>
              </w:rPr>
              <w:t>Total cholesterol (mg/dL)</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217.8 ± 36.3</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217.0 ± 36.2</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220.6 ± 36.7</w:t>
            </w:r>
          </w:p>
        </w:tc>
        <w:tc>
          <w:tcPr>
            <w:tcW w:w="9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0.41</w:t>
            </w:r>
          </w:p>
        </w:tc>
      </w:tr>
      <w:tr>
        <w:trPr>
          <w:trHeight w:val="300"/>
        </w:trPr>
        <w:tc>
          <w:tcPr>
            <w:tcW w:w="2895" w:type="dxa"/>
            <w:tcBorders>
              <w:top w:val="nil"/>
              <w:left w:val="nil"/>
              <w:bottom w:val="single" w:sz="8" w:space="0" w:color="A6A6A6"/>
              <w:right w:val="nil"/>
            </w:tcBorders>
            <w:shd w:val="clear" w:color="auto" w:fill="auto"/>
            <w:noWrap/>
            <w:vAlign w:val="center"/>
            <w:hideMark/>
          </w:tcPr>
          <w:p>
            <w:pPr>
              <w:rPr>
                <w:rFonts w:ascii="Arial" w:hAnsi="Arial" w:cs="Arial"/>
                <w:sz w:val="22"/>
                <w:szCs w:val="22"/>
              </w:rPr>
            </w:pPr>
            <w:r>
              <w:rPr>
                <w:rFonts w:ascii="Arial" w:hAnsi="Arial" w:cs="Arial"/>
                <w:sz w:val="22"/>
                <w:szCs w:val="22"/>
              </w:rPr>
              <w:t>HDL (mg/dL)</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61.9 ± 17.7</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61.6 ± 18.0</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63.0 ± 16.4</w:t>
            </w:r>
          </w:p>
        </w:tc>
        <w:tc>
          <w:tcPr>
            <w:tcW w:w="9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0.52</w:t>
            </w:r>
          </w:p>
        </w:tc>
      </w:tr>
      <w:tr>
        <w:trPr>
          <w:trHeight w:val="300"/>
        </w:trPr>
        <w:tc>
          <w:tcPr>
            <w:tcW w:w="2895" w:type="dxa"/>
            <w:tcBorders>
              <w:top w:val="nil"/>
              <w:left w:val="nil"/>
              <w:bottom w:val="single" w:sz="8" w:space="0" w:color="A6A6A6"/>
              <w:right w:val="nil"/>
            </w:tcBorders>
            <w:shd w:val="clear" w:color="auto" w:fill="auto"/>
            <w:noWrap/>
            <w:vAlign w:val="center"/>
            <w:hideMark/>
          </w:tcPr>
          <w:p>
            <w:pPr>
              <w:rPr>
                <w:rFonts w:ascii="Arial" w:hAnsi="Arial" w:cs="Arial"/>
                <w:sz w:val="22"/>
                <w:szCs w:val="22"/>
              </w:rPr>
            </w:pPr>
            <w:r>
              <w:rPr>
                <w:rFonts w:ascii="Arial" w:hAnsi="Arial" w:cs="Arial"/>
                <w:sz w:val="22"/>
                <w:szCs w:val="22"/>
              </w:rPr>
              <w:t>LDL (mg/dL)</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139.5 ± 32.9</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139.1 ± 32.9</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141.1 ± 32.9</w:t>
            </w:r>
          </w:p>
        </w:tc>
        <w:tc>
          <w:tcPr>
            <w:tcW w:w="9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0.61</w:t>
            </w:r>
          </w:p>
        </w:tc>
      </w:tr>
      <w:tr>
        <w:trPr>
          <w:trHeight w:val="300"/>
        </w:trPr>
        <w:tc>
          <w:tcPr>
            <w:tcW w:w="2895" w:type="dxa"/>
            <w:tcBorders>
              <w:top w:val="nil"/>
              <w:left w:val="nil"/>
              <w:bottom w:val="single" w:sz="8" w:space="0" w:color="A6A6A6"/>
              <w:right w:val="nil"/>
            </w:tcBorders>
            <w:shd w:val="clear" w:color="auto" w:fill="auto"/>
            <w:noWrap/>
            <w:vAlign w:val="center"/>
            <w:hideMark/>
          </w:tcPr>
          <w:p>
            <w:pPr>
              <w:rPr>
                <w:rFonts w:ascii="Arial" w:hAnsi="Arial" w:cs="Arial"/>
                <w:sz w:val="22"/>
                <w:szCs w:val="22"/>
              </w:rPr>
            </w:pPr>
            <w:r>
              <w:rPr>
                <w:rFonts w:ascii="Arial" w:hAnsi="Arial" w:cs="Arial"/>
                <w:sz w:val="22"/>
                <w:szCs w:val="22"/>
              </w:rPr>
              <w:t>Triglyceride levels (mg/dL)</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131.5 ± 84.8</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132.3 ± 85.0</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128.8 ± 84.4</w:t>
            </w:r>
          </w:p>
        </w:tc>
        <w:tc>
          <w:tcPr>
            <w:tcW w:w="9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0.74</w:t>
            </w:r>
          </w:p>
        </w:tc>
      </w:tr>
      <w:tr>
        <w:trPr>
          <w:trHeight w:val="300"/>
        </w:trPr>
        <w:tc>
          <w:tcPr>
            <w:tcW w:w="2895" w:type="dxa"/>
            <w:tcBorders>
              <w:top w:val="nil"/>
              <w:left w:val="nil"/>
              <w:bottom w:val="single" w:sz="8" w:space="0" w:color="A6A6A6"/>
              <w:right w:val="nil"/>
            </w:tcBorders>
            <w:shd w:val="clear" w:color="auto" w:fill="auto"/>
            <w:noWrap/>
            <w:vAlign w:val="center"/>
            <w:hideMark/>
          </w:tcPr>
          <w:p>
            <w:pPr>
              <w:rPr>
                <w:rFonts w:ascii="Arial" w:hAnsi="Arial" w:cs="Arial"/>
                <w:sz w:val="22"/>
                <w:szCs w:val="22"/>
              </w:rPr>
            </w:pPr>
            <w:r>
              <w:rPr>
                <w:rFonts w:ascii="Arial" w:hAnsi="Arial" w:cs="Arial"/>
                <w:sz w:val="22"/>
                <w:szCs w:val="22"/>
              </w:rPr>
              <w:t>Lipid lowering medication</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43 (10.8%)</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31 (10.0%)</w:t>
            </w:r>
          </w:p>
        </w:tc>
        <w:tc>
          <w:tcPr>
            <w:tcW w:w="1742"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12 (13.5%)</w:t>
            </w:r>
          </w:p>
        </w:tc>
        <w:tc>
          <w:tcPr>
            <w:tcW w:w="9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0.45</w:t>
            </w:r>
          </w:p>
        </w:tc>
      </w:tr>
      <w:tr>
        <w:trPr>
          <w:trHeight w:val="288"/>
        </w:trPr>
        <w:tc>
          <w:tcPr>
            <w:tcW w:w="2895" w:type="dxa"/>
            <w:tcBorders>
              <w:top w:val="nil"/>
              <w:left w:val="nil"/>
              <w:bottom w:val="nil"/>
              <w:right w:val="nil"/>
            </w:tcBorders>
            <w:shd w:val="clear" w:color="auto" w:fill="auto"/>
            <w:noWrap/>
            <w:vAlign w:val="center"/>
            <w:hideMark/>
          </w:tcPr>
          <w:p>
            <w:pPr>
              <w:rPr>
                <w:rFonts w:ascii="Arial" w:hAnsi="Arial" w:cs="Arial"/>
                <w:sz w:val="22"/>
                <w:szCs w:val="22"/>
              </w:rPr>
            </w:pPr>
            <w:r>
              <w:rPr>
                <w:rFonts w:ascii="Arial" w:hAnsi="Arial" w:cs="Arial"/>
                <w:sz w:val="22"/>
                <w:szCs w:val="22"/>
              </w:rPr>
              <w:t>Smoking status</w:t>
            </w:r>
          </w:p>
        </w:tc>
        <w:tc>
          <w:tcPr>
            <w:tcW w:w="1742" w:type="dxa"/>
            <w:tcBorders>
              <w:top w:val="nil"/>
              <w:left w:val="nil"/>
              <w:bottom w:val="nil"/>
              <w:right w:val="nil"/>
            </w:tcBorders>
            <w:shd w:val="clear" w:color="auto" w:fill="auto"/>
            <w:noWrap/>
            <w:vAlign w:val="center"/>
            <w:hideMark/>
          </w:tcPr>
          <w:p>
            <w:pPr>
              <w:jc w:val="center"/>
              <w:rPr>
                <w:rFonts w:ascii="Arial" w:hAnsi="Arial" w:cs="Arial"/>
                <w:sz w:val="22"/>
                <w:szCs w:val="22"/>
              </w:rPr>
            </w:pPr>
          </w:p>
        </w:tc>
        <w:tc>
          <w:tcPr>
            <w:tcW w:w="1742" w:type="dxa"/>
            <w:tcBorders>
              <w:top w:val="nil"/>
              <w:left w:val="nil"/>
              <w:bottom w:val="nil"/>
              <w:right w:val="nil"/>
            </w:tcBorders>
            <w:shd w:val="clear" w:color="auto" w:fill="auto"/>
            <w:noWrap/>
            <w:vAlign w:val="center"/>
            <w:hideMark/>
          </w:tcPr>
          <w:p>
            <w:pPr>
              <w:jc w:val="center"/>
              <w:rPr>
                <w:rFonts w:ascii="Arial" w:hAnsi="Arial" w:cs="Arial"/>
                <w:sz w:val="22"/>
                <w:szCs w:val="22"/>
              </w:rPr>
            </w:pPr>
          </w:p>
        </w:tc>
        <w:tc>
          <w:tcPr>
            <w:tcW w:w="1742" w:type="dxa"/>
            <w:tcBorders>
              <w:top w:val="nil"/>
              <w:left w:val="nil"/>
              <w:bottom w:val="nil"/>
              <w:right w:val="nil"/>
            </w:tcBorders>
            <w:shd w:val="clear" w:color="auto" w:fill="auto"/>
            <w:noWrap/>
            <w:vAlign w:val="center"/>
            <w:hideMark/>
          </w:tcPr>
          <w:p>
            <w:pPr>
              <w:jc w:val="center"/>
              <w:rPr>
                <w:rFonts w:ascii="Arial" w:hAnsi="Arial" w:cs="Arial"/>
                <w:sz w:val="22"/>
                <w:szCs w:val="22"/>
              </w:rPr>
            </w:pPr>
          </w:p>
        </w:tc>
        <w:tc>
          <w:tcPr>
            <w:tcW w:w="900" w:type="dxa"/>
            <w:tcBorders>
              <w:top w:val="nil"/>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0.42</w:t>
            </w:r>
          </w:p>
        </w:tc>
      </w:tr>
      <w:tr>
        <w:trPr>
          <w:trHeight w:val="288"/>
        </w:trPr>
        <w:tc>
          <w:tcPr>
            <w:tcW w:w="2895" w:type="dxa"/>
            <w:tcBorders>
              <w:top w:val="nil"/>
              <w:left w:val="nil"/>
              <w:bottom w:val="nil"/>
              <w:right w:val="nil"/>
            </w:tcBorders>
            <w:shd w:val="clear" w:color="auto" w:fill="auto"/>
            <w:noWrap/>
            <w:vAlign w:val="center"/>
            <w:hideMark/>
          </w:tcPr>
          <w:p>
            <w:pPr>
              <w:rPr>
                <w:rFonts w:ascii="Arial" w:hAnsi="Arial" w:cs="Arial"/>
                <w:sz w:val="22"/>
                <w:szCs w:val="22"/>
              </w:rPr>
            </w:pPr>
            <w:r>
              <w:rPr>
                <w:rFonts w:ascii="Arial" w:hAnsi="Arial" w:cs="Arial"/>
                <w:sz w:val="22"/>
                <w:szCs w:val="22"/>
              </w:rPr>
              <w:t xml:space="preserve">    Never-smoker</w:t>
            </w:r>
          </w:p>
        </w:tc>
        <w:tc>
          <w:tcPr>
            <w:tcW w:w="1742" w:type="dxa"/>
            <w:tcBorders>
              <w:top w:val="nil"/>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146 (36.5%)</w:t>
            </w:r>
          </w:p>
        </w:tc>
        <w:tc>
          <w:tcPr>
            <w:tcW w:w="1742" w:type="dxa"/>
            <w:tcBorders>
              <w:top w:val="nil"/>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116 (37.3%)</w:t>
            </w:r>
          </w:p>
        </w:tc>
        <w:tc>
          <w:tcPr>
            <w:tcW w:w="1742" w:type="dxa"/>
            <w:tcBorders>
              <w:top w:val="nil"/>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30 (33.7%)</w:t>
            </w:r>
          </w:p>
        </w:tc>
        <w:tc>
          <w:tcPr>
            <w:tcW w:w="900" w:type="dxa"/>
            <w:tcBorders>
              <w:top w:val="nil"/>
              <w:left w:val="nil"/>
              <w:bottom w:val="nil"/>
              <w:right w:val="nil"/>
            </w:tcBorders>
            <w:shd w:val="clear" w:color="auto" w:fill="auto"/>
            <w:vAlign w:val="center"/>
          </w:tcPr>
          <w:p>
            <w:pPr>
              <w:jc w:val="center"/>
              <w:rPr>
                <w:rFonts w:ascii="Arial" w:hAnsi="Arial" w:cs="Arial"/>
                <w:sz w:val="22"/>
                <w:szCs w:val="22"/>
              </w:rPr>
            </w:pPr>
          </w:p>
        </w:tc>
      </w:tr>
      <w:tr>
        <w:trPr>
          <w:trHeight w:val="288"/>
        </w:trPr>
        <w:tc>
          <w:tcPr>
            <w:tcW w:w="2895" w:type="dxa"/>
            <w:tcBorders>
              <w:top w:val="nil"/>
              <w:left w:val="nil"/>
              <w:bottom w:val="nil"/>
              <w:right w:val="nil"/>
            </w:tcBorders>
            <w:shd w:val="clear" w:color="auto" w:fill="auto"/>
            <w:noWrap/>
            <w:vAlign w:val="center"/>
            <w:hideMark/>
          </w:tcPr>
          <w:p>
            <w:pPr>
              <w:rPr>
                <w:rFonts w:ascii="Arial" w:hAnsi="Arial" w:cs="Arial"/>
                <w:sz w:val="22"/>
                <w:szCs w:val="22"/>
              </w:rPr>
            </w:pPr>
            <w:r>
              <w:rPr>
                <w:rFonts w:ascii="Arial" w:hAnsi="Arial" w:cs="Arial"/>
                <w:sz w:val="22"/>
                <w:szCs w:val="22"/>
              </w:rPr>
              <w:t xml:space="preserve">    Ex-smoker</w:t>
            </w:r>
          </w:p>
        </w:tc>
        <w:tc>
          <w:tcPr>
            <w:tcW w:w="1742" w:type="dxa"/>
            <w:tcBorders>
              <w:top w:val="nil"/>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174 (43.5%)</w:t>
            </w:r>
          </w:p>
        </w:tc>
        <w:tc>
          <w:tcPr>
            <w:tcW w:w="1742" w:type="dxa"/>
            <w:tcBorders>
              <w:top w:val="nil"/>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130 (41.8%)</w:t>
            </w:r>
          </w:p>
        </w:tc>
        <w:tc>
          <w:tcPr>
            <w:tcW w:w="1742" w:type="dxa"/>
            <w:tcBorders>
              <w:top w:val="nil"/>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44 (49.4%)</w:t>
            </w:r>
          </w:p>
        </w:tc>
        <w:tc>
          <w:tcPr>
            <w:tcW w:w="900" w:type="dxa"/>
            <w:tcBorders>
              <w:top w:val="nil"/>
              <w:left w:val="nil"/>
              <w:bottom w:val="nil"/>
              <w:right w:val="nil"/>
            </w:tcBorders>
            <w:shd w:val="clear" w:color="auto" w:fill="auto"/>
            <w:vAlign w:val="center"/>
          </w:tcPr>
          <w:p>
            <w:pPr>
              <w:jc w:val="center"/>
              <w:rPr>
                <w:rFonts w:ascii="Arial" w:hAnsi="Arial" w:cs="Arial"/>
                <w:sz w:val="22"/>
                <w:szCs w:val="22"/>
              </w:rPr>
            </w:pPr>
          </w:p>
        </w:tc>
      </w:tr>
      <w:tr>
        <w:trPr>
          <w:trHeight w:val="300"/>
        </w:trPr>
        <w:tc>
          <w:tcPr>
            <w:tcW w:w="2895" w:type="dxa"/>
            <w:tcBorders>
              <w:top w:val="nil"/>
              <w:left w:val="nil"/>
              <w:bottom w:val="nil"/>
              <w:right w:val="nil"/>
            </w:tcBorders>
            <w:shd w:val="clear" w:color="auto" w:fill="auto"/>
            <w:noWrap/>
            <w:vAlign w:val="center"/>
            <w:hideMark/>
          </w:tcPr>
          <w:p>
            <w:pPr>
              <w:rPr>
                <w:rFonts w:ascii="Arial" w:hAnsi="Arial" w:cs="Arial"/>
                <w:sz w:val="22"/>
                <w:szCs w:val="22"/>
              </w:rPr>
            </w:pPr>
            <w:r>
              <w:rPr>
                <w:rFonts w:ascii="Arial" w:hAnsi="Arial" w:cs="Arial"/>
                <w:sz w:val="22"/>
                <w:szCs w:val="22"/>
              </w:rPr>
              <w:t xml:space="preserve">    Smoker</w:t>
            </w:r>
          </w:p>
        </w:tc>
        <w:tc>
          <w:tcPr>
            <w:tcW w:w="1742" w:type="dxa"/>
            <w:tcBorders>
              <w:top w:val="nil"/>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80 (20.0%)</w:t>
            </w:r>
          </w:p>
        </w:tc>
        <w:tc>
          <w:tcPr>
            <w:tcW w:w="1742" w:type="dxa"/>
            <w:tcBorders>
              <w:top w:val="nil"/>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65 (20.9%)</w:t>
            </w:r>
          </w:p>
        </w:tc>
        <w:tc>
          <w:tcPr>
            <w:tcW w:w="1742" w:type="dxa"/>
            <w:tcBorders>
              <w:top w:val="nil"/>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15 (16.9%)</w:t>
            </w:r>
          </w:p>
        </w:tc>
        <w:tc>
          <w:tcPr>
            <w:tcW w:w="900" w:type="dxa"/>
            <w:tcBorders>
              <w:top w:val="nil"/>
              <w:left w:val="nil"/>
              <w:bottom w:val="nil"/>
              <w:right w:val="nil"/>
            </w:tcBorders>
            <w:shd w:val="clear" w:color="auto" w:fill="auto"/>
            <w:vAlign w:val="center"/>
          </w:tcPr>
          <w:p>
            <w:pPr>
              <w:jc w:val="center"/>
              <w:rPr>
                <w:rFonts w:ascii="Arial" w:hAnsi="Arial" w:cs="Arial"/>
                <w:sz w:val="22"/>
                <w:szCs w:val="22"/>
              </w:rPr>
            </w:pPr>
          </w:p>
        </w:tc>
      </w:tr>
      <w:tr>
        <w:trPr>
          <w:trHeight w:val="300"/>
        </w:trPr>
        <w:tc>
          <w:tcPr>
            <w:tcW w:w="2895" w:type="dxa"/>
            <w:tcBorders>
              <w:top w:val="single" w:sz="8" w:space="0" w:color="A6A6A6"/>
              <w:left w:val="nil"/>
              <w:bottom w:val="single" w:sz="12" w:space="0" w:color="auto"/>
              <w:right w:val="nil"/>
            </w:tcBorders>
            <w:shd w:val="clear" w:color="auto" w:fill="auto"/>
            <w:noWrap/>
            <w:vAlign w:val="center"/>
            <w:hideMark/>
          </w:tcPr>
          <w:p>
            <w:pPr>
              <w:rPr>
                <w:rFonts w:ascii="Arial" w:hAnsi="Arial" w:cs="Arial"/>
                <w:sz w:val="22"/>
                <w:szCs w:val="22"/>
              </w:rPr>
            </w:pPr>
            <w:r>
              <w:rPr>
                <w:rFonts w:ascii="Arial" w:hAnsi="Arial" w:cs="Arial"/>
                <w:sz w:val="22"/>
                <w:szCs w:val="22"/>
              </w:rPr>
              <w:t>Creatinine (mg/dL)</w:t>
            </w:r>
          </w:p>
        </w:tc>
        <w:tc>
          <w:tcPr>
            <w:tcW w:w="1742" w:type="dxa"/>
            <w:tcBorders>
              <w:top w:val="single" w:sz="8" w:space="0" w:color="A6A6A6"/>
              <w:left w:val="nil"/>
              <w:bottom w:val="single" w:sz="12" w:space="0" w:color="auto"/>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0.9 ± 0.2</w:t>
            </w:r>
          </w:p>
        </w:tc>
        <w:tc>
          <w:tcPr>
            <w:tcW w:w="1742" w:type="dxa"/>
            <w:tcBorders>
              <w:top w:val="single" w:sz="8" w:space="0" w:color="A6A6A6"/>
              <w:left w:val="nil"/>
              <w:bottom w:val="single" w:sz="12" w:space="0" w:color="auto"/>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0.9 ± 0.2</w:t>
            </w:r>
          </w:p>
        </w:tc>
        <w:tc>
          <w:tcPr>
            <w:tcW w:w="1742" w:type="dxa"/>
            <w:tcBorders>
              <w:top w:val="single" w:sz="8" w:space="0" w:color="A6A6A6"/>
              <w:left w:val="nil"/>
              <w:bottom w:val="single" w:sz="12" w:space="0" w:color="auto"/>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0.9 ± 0.1</w:t>
            </w:r>
          </w:p>
        </w:tc>
        <w:tc>
          <w:tcPr>
            <w:tcW w:w="900" w:type="dxa"/>
            <w:tcBorders>
              <w:top w:val="single" w:sz="8" w:space="0" w:color="A6A6A6"/>
              <w:left w:val="nil"/>
              <w:bottom w:val="single" w:sz="12" w:space="0" w:color="auto"/>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0.12</w:t>
            </w:r>
          </w:p>
        </w:tc>
      </w:tr>
    </w:tbl>
    <w:p>
      <w:pPr>
        <w:contextualSpacing/>
        <w:jc w:val="both"/>
        <w:rPr>
          <w:rFonts w:ascii="Arial" w:hAnsi="Arial" w:cs="Arial"/>
          <w:sz w:val="22"/>
          <w:szCs w:val="22"/>
          <w:lang w:val="en-US"/>
        </w:rPr>
      </w:pPr>
      <w:r>
        <w:rPr>
          <w:rFonts w:ascii="Arial" w:hAnsi="Arial" w:cs="Arial"/>
          <w:b/>
          <w:sz w:val="22"/>
          <w:szCs w:val="22"/>
          <w:lang w:val="en-US"/>
        </w:rPr>
        <w:t xml:space="preserve">Table 1: Characteristics of the study sample according to Presence of Incidental Findings (IF). </w:t>
      </w:r>
      <w:r>
        <w:rPr>
          <w:rFonts w:ascii="Arial" w:hAnsi="Arial" w:cs="Arial"/>
          <w:sz w:val="22"/>
          <w:szCs w:val="22"/>
          <w:lang w:val="en-US"/>
        </w:rPr>
        <w:t>* denotes at least 1 reported IF.</w:t>
      </w:r>
      <w:r>
        <w:rPr>
          <w:rFonts w:ascii="Arial" w:hAnsi="Arial" w:cs="Arial"/>
          <w:b/>
          <w:sz w:val="22"/>
          <w:szCs w:val="22"/>
          <w:lang w:val="en-US"/>
        </w:rPr>
        <w:t xml:space="preserve"> </w:t>
      </w:r>
    </w:p>
    <w:p>
      <w:pPr>
        <w:spacing w:after="200" w:line="276" w:lineRule="auto"/>
        <w:rPr>
          <w:rFonts w:ascii="Arial" w:hAnsi="Arial" w:cs="Arial"/>
          <w:b/>
          <w:sz w:val="22"/>
          <w:szCs w:val="22"/>
          <w:lang w:val="en-US"/>
        </w:rPr>
      </w:pPr>
    </w:p>
    <w:p>
      <w:pPr>
        <w:spacing w:after="200" w:line="276" w:lineRule="auto"/>
        <w:rPr>
          <w:rFonts w:ascii="Arial" w:hAnsi="Arial" w:cs="Arial"/>
          <w:b/>
          <w:sz w:val="22"/>
          <w:szCs w:val="22"/>
          <w:lang w:val="en-US"/>
        </w:rPr>
      </w:pPr>
    </w:p>
    <w:p>
      <w:pPr>
        <w:spacing w:after="200" w:line="276" w:lineRule="auto"/>
        <w:rPr>
          <w:rStyle w:val="normaltextrun"/>
          <w:rFonts w:ascii="Arial" w:hAnsi="Arial" w:cs="Arial"/>
          <w:sz w:val="22"/>
          <w:szCs w:val="22"/>
          <w:lang w:val="en-US"/>
        </w:rPr>
      </w:pPr>
      <w:r>
        <w:rPr>
          <w:rStyle w:val="normaltextrun"/>
          <w:rFonts w:ascii="Arial" w:hAnsi="Arial" w:cs="Arial"/>
          <w:sz w:val="22"/>
          <w:szCs w:val="22"/>
          <w:lang w:val="en-US"/>
        </w:rPr>
        <w:br w:type="page"/>
      </w:r>
    </w:p>
    <w:p>
      <w:pPr>
        <w:rPr>
          <w:rFonts w:ascii="Arial" w:hAnsi="Arial" w:cs="Arial"/>
          <w:b/>
          <w:sz w:val="22"/>
          <w:szCs w:val="22"/>
          <w:lang w:val="en-US"/>
        </w:rPr>
      </w:pPr>
    </w:p>
    <w:tbl>
      <w:tblPr>
        <w:tblW w:w="5445" w:type="dxa"/>
        <w:tblBorders>
          <w:top w:val="single" w:sz="12" w:space="0" w:color="auto"/>
          <w:bottom w:val="single" w:sz="12" w:space="0" w:color="auto"/>
        </w:tblBorders>
        <w:tblLayout w:type="fixed"/>
        <w:tblCellMar>
          <w:left w:w="70" w:type="dxa"/>
          <w:right w:w="70" w:type="dxa"/>
        </w:tblCellMar>
        <w:tblLook w:val="04A0" w:firstRow="1" w:lastRow="0" w:firstColumn="1" w:lastColumn="0" w:noHBand="0" w:noVBand="1"/>
      </w:tblPr>
      <w:tblGrid>
        <w:gridCol w:w="2340"/>
        <w:gridCol w:w="1552"/>
        <w:gridCol w:w="1553"/>
      </w:tblGrid>
      <w:tr>
        <w:trPr>
          <w:trHeight w:val="300"/>
        </w:trPr>
        <w:tc>
          <w:tcPr>
            <w:tcW w:w="2340" w:type="dxa"/>
            <w:tcBorders>
              <w:top w:val="single" w:sz="12" w:space="0" w:color="auto"/>
              <w:left w:val="nil"/>
              <w:bottom w:val="single" w:sz="8" w:space="0" w:color="auto"/>
              <w:right w:val="nil"/>
            </w:tcBorders>
            <w:noWrap/>
            <w:vAlign w:val="bottom"/>
            <w:hideMark/>
          </w:tcPr>
          <w:p>
            <w:pPr>
              <w:rPr>
                <w:rFonts w:ascii="Arial" w:hAnsi="Arial" w:cs="Arial"/>
                <w:b/>
                <w:color w:val="000000"/>
                <w:lang w:val="en-US"/>
              </w:rPr>
            </w:pPr>
            <w:r>
              <w:rPr>
                <w:rFonts w:ascii="Arial" w:hAnsi="Arial" w:cs="Arial"/>
                <w:b/>
                <w:color w:val="000000"/>
                <w:lang w:val="en-US"/>
              </w:rPr>
              <w:t>Recommended Work-Up</w:t>
            </w:r>
          </w:p>
        </w:tc>
        <w:tc>
          <w:tcPr>
            <w:tcW w:w="3105" w:type="dxa"/>
            <w:gridSpan w:val="2"/>
            <w:tcBorders>
              <w:top w:val="single" w:sz="12" w:space="0" w:color="auto"/>
              <w:left w:val="nil"/>
              <w:bottom w:val="single" w:sz="8" w:space="0" w:color="auto"/>
              <w:right w:val="nil"/>
            </w:tcBorders>
            <w:noWrap/>
            <w:vAlign w:val="center"/>
            <w:hideMark/>
          </w:tcPr>
          <w:p>
            <w:pPr>
              <w:jc w:val="center"/>
              <w:rPr>
                <w:rFonts w:ascii="Arial" w:hAnsi="Arial" w:cs="Arial"/>
                <w:b/>
                <w:color w:val="000000"/>
                <w:lang w:val="en-US"/>
              </w:rPr>
            </w:pPr>
            <w:r>
              <w:rPr>
                <w:rFonts w:ascii="Arial" w:hAnsi="Arial" w:cs="Arial"/>
                <w:b/>
                <w:color w:val="000000"/>
                <w:lang w:val="en-US"/>
              </w:rPr>
              <w:t>All subjects with IF (N=113)</w:t>
            </w:r>
          </w:p>
        </w:tc>
      </w:tr>
      <w:tr>
        <w:trPr>
          <w:trHeight w:val="300"/>
        </w:trPr>
        <w:tc>
          <w:tcPr>
            <w:tcW w:w="2340" w:type="dxa"/>
            <w:tcBorders>
              <w:top w:val="single" w:sz="8" w:space="0" w:color="auto"/>
              <w:left w:val="nil"/>
              <w:bottom w:val="nil"/>
              <w:right w:val="nil"/>
            </w:tcBorders>
            <w:noWrap/>
            <w:vAlign w:val="bottom"/>
          </w:tcPr>
          <w:p>
            <w:pPr>
              <w:rPr>
                <w:rFonts w:ascii="Arial" w:hAnsi="Arial" w:cs="Arial"/>
                <w:color w:val="000000"/>
                <w:lang w:val="en-US"/>
              </w:rPr>
            </w:pPr>
          </w:p>
        </w:tc>
        <w:tc>
          <w:tcPr>
            <w:tcW w:w="1552" w:type="dxa"/>
            <w:tcBorders>
              <w:top w:val="single" w:sz="8" w:space="0" w:color="auto"/>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 xml:space="preserve">Frequency </w:t>
            </w:r>
          </w:p>
        </w:tc>
        <w:tc>
          <w:tcPr>
            <w:tcW w:w="1553" w:type="dxa"/>
            <w:tcBorders>
              <w:top w:val="single" w:sz="8" w:space="0" w:color="auto"/>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Percentage</w:t>
            </w:r>
          </w:p>
        </w:tc>
      </w:tr>
      <w:tr>
        <w:trPr>
          <w:trHeight w:val="300"/>
        </w:trPr>
        <w:tc>
          <w:tcPr>
            <w:tcW w:w="2340" w:type="dxa"/>
            <w:tcBorders>
              <w:top w:val="single" w:sz="8" w:space="0" w:color="auto"/>
              <w:left w:val="nil"/>
              <w:bottom w:val="nil"/>
              <w:right w:val="nil"/>
            </w:tcBorders>
            <w:noWrap/>
            <w:vAlign w:val="bottom"/>
            <w:hideMark/>
          </w:tcPr>
          <w:p>
            <w:pPr>
              <w:rPr>
                <w:rFonts w:ascii="Arial" w:hAnsi="Arial" w:cs="Arial"/>
                <w:color w:val="000000"/>
                <w:lang w:val="en-US"/>
              </w:rPr>
            </w:pPr>
            <w:r>
              <w:rPr>
                <w:rFonts w:ascii="Arial" w:hAnsi="Arial" w:cs="Arial"/>
                <w:color w:val="000000"/>
                <w:lang w:val="en-US"/>
              </w:rPr>
              <w:t>Seeing a PCP</w:t>
            </w:r>
          </w:p>
        </w:tc>
        <w:tc>
          <w:tcPr>
            <w:tcW w:w="1552" w:type="dxa"/>
            <w:tcBorders>
              <w:top w:val="single" w:sz="8" w:space="0" w:color="auto"/>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52</w:t>
            </w:r>
          </w:p>
        </w:tc>
        <w:tc>
          <w:tcPr>
            <w:tcW w:w="1553" w:type="dxa"/>
            <w:tcBorders>
              <w:top w:val="single" w:sz="8" w:space="0" w:color="auto"/>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46%</w:t>
            </w:r>
          </w:p>
        </w:tc>
      </w:tr>
      <w:tr>
        <w:trPr>
          <w:trHeight w:val="300"/>
        </w:trPr>
        <w:tc>
          <w:tcPr>
            <w:tcW w:w="2340" w:type="dxa"/>
            <w:tcBorders>
              <w:top w:val="nil"/>
              <w:left w:val="nil"/>
              <w:bottom w:val="nil"/>
              <w:right w:val="nil"/>
            </w:tcBorders>
            <w:noWrap/>
            <w:vAlign w:val="bottom"/>
            <w:hideMark/>
          </w:tcPr>
          <w:p>
            <w:pPr>
              <w:rPr>
                <w:rFonts w:ascii="Arial" w:hAnsi="Arial" w:cs="Arial"/>
                <w:color w:val="000000"/>
                <w:lang w:val="en-US"/>
              </w:rPr>
            </w:pPr>
            <w:r>
              <w:rPr>
                <w:rFonts w:ascii="Arial" w:hAnsi="Arial" w:cs="Arial"/>
                <w:color w:val="000000"/>
                <w:lang w:val="en-US"/>
              </w:rPr>
              <w:t>Seeing a Specialist</w:t>
            </w:r>
          </w:p>
        </w:tc>
        <w:tc>
          <w:tcPr>
            <w:tcW w:w="1552" w:type="dxa"/>
            <w:tcBorders>
              <w:top w:val="nil"/>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30</w:t>
            </w:r>
          </w:p>
        </w:tc>
        <w:tc>
          <w:tcPr>
            <w:tcW w:w="1553" w:type="dxa"/>
            <w:tcBorders>
              <w:top w:val="nil"/>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27%</w:t>
            </w:r>
          </w:p>
        </w:tc>
      </w:tr>
      <w:tr>
        <w:trPr>
          <w:trHeight w:val="300"/>
        </w:trPr>
        <w:tc>
          <w:tcPr>
            <w:tcW w:w="2340" w:type="dxa"/>
            <w:tcBorders>
              <w:top w:val="nil"/>
              <w:left w:val="nil"/>
              <w:bottom w:val="nil"/>
              <w:right w:val="nil"/>
            </w:tcBorders>
            <w:noWrap/>
            <w:vAlign w:val="bottom"/>
            <w:hideMark/>
          </w:tcPr>
          <w:p>
            <w:pPr>
              <w:rPr>
                <w:rFonts w:ascii="Arial" w:hAnsi="Arial" w:cs="Arial"/>
                <w:color w:val="000000"/>
                <w:lang w:val="en-US"/>
              </w:rPr>
            </w:pPr>
            <w:r>
              <w:rPr>
                <w:rFonts w:ascii="Arial" w:hAnsi="Arial" w:cs="Arial"/>
                <w:color w:val="000000"/>
                <w:lang w:val="en-US"/>
              </w:rPr>
              <w:t>Taking PMH</w:t>
            </w:r>
          </w:p>
        </w:tc>
        <w:tc>
          <w:tcPr>
            <w:tcW w:w="1552" w:type="dxa"/>
            <w:tcBorders>
              <w:top w:val="nil"/>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9</w:t>
            </w:r>
          </w:p>
        </w:tc>
        <w:tc>
          <w:tcPr>
            <w:tcW w:w="1553" w:type="dxa"/>
            <w:tcBorders>
              <w:top w:val="nil"/>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8%</w:t>
            </w:r>
          </w:p>
        </w:tc>
      </w:tr>
      <w:tr>
        <w:trPr>
          <w:trHeight w:val="300"/>
        </w:trPr>
        <w:tc>
          <w:tcPr>
            <w:tcW w:w="2340" w:type="dxa"/>
            <w:tcBorders>
              <w:top w:val="nil"/>
              <w:left w:val="nil"/>
              <w:bottom w:val="nil"/>
              <w:right w:val="nil"/>
            </w:tcBorders>
            <w:noWrap/>
            <w:vAlign w:val="bottom"/>
            <w:hideMark/>
          </w:tcPr>
          <w:p>
            <w:pPr>
              <w:rPr>
                <w:rFonts w:ascii="Arial" w:hAnsi="Arial" w:cs="Arial"/>
                <w:color w:val="000000"/>
                <w:lang w:val="en-US"/>
              </w:rPr>
            </w:pPr>
            <w:r>
              <w:rPr>
                <w:rFonts w:ascii="Arial" w:hAnsi="Arial" w:cs="Arial"/>
                <w:color w:val="000000"/>
                <w:lang w:val="en-US"/>
              </w:rPr>
              <w:t>ECG</w:t>
            </w:r>
          </w:p>
        </w:tc>
        <w:tc>
          <w:tcPr>
            <w:tcW w:w="1552" w:type="dxa"/>
            <w:tcBorders>
              <w:top w:val="nil"/>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3</w:t>
            </w:r>
          </w:p>
        </w:tc>
        <w:tc>
          <w:tcPr>
            <w:tcW w:w="1553" w:type="dxa"/>
            <w:tcBorders>
              <w:top w:val="nil"/>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3%</w:t>
            </w:r>
          </w:p>
        </w:tc>
      </w:tr>
      <w:tr>
        <w:trPr>
          <w:trHeight w:val="300"/>
        </w:trPr>
        <w:tc>
          <w:tcPr>
            <w:tcW w:w="2340" w:type="dxa"/>
            <w:tcBorders>
              <w:top w:val="nil"/>
              <w:left w:val="nil"/>
              <w:bottom w:val="nil"/>
              <w:right w:val="nil"/>
            </w:tcBorders>
            <w:noWrap/>
            <w:vAlign w:val="bottom"/>
            <w:hideMark/>
          </w:tcPr>
          <w:p>
            <w:pPr>
              <w:rPr>
                <w:rFonts w:ascii="Arial" w:hAnsi="Arial" w:cs="Arial"/>
                <w:color w:val="000000"/>
                <w:lang w:val="en-US"/>
              </w:rPr>
            </w:pPr>
            <w:r>
              <w:rPr>
                <w:rFonts w:ascii="Arial" w:hAnsi="Arial" w:cs="Arial"/>
                <w:color w:val="000000"/>
                <w:lang w:val="en-US"/>
              </w:rPr>
              <w:t>Lab</w:t>
            </w:r>
          </w:p>
        </w:tc>
        <w:tc>
          <w:tcPr>
            <w:tcW w:w="1552" w:type="dxa"/>
            <w:tcBorders>
              <w:top w:val="nil"/>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1</w:t>
            </w:r>
          </w:p>
        </w:tc>
        <w:tc>
          <w:tcPr>
            <w:tcW w:w="1553" w:type="dxa"/>
            <w:tcBorders>
              <w:top w:val="nil"/>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1%</w:t>
            </w:r>
          </w:p>
        </w:tc>
      </w:tr>
      <w:tr>
        <w:trPr>
          <w:trHeight w:val="300"/>
        </w:trPr>
        <w:tc>
          <w:tcPr>
            <w:tcW w:w="2340" w:type="dxa"/>
            <w:tcBorders>
              <w:top w:val="nil"/>
              <w:left w:val="nil"/>
              <w:bottom w:val="nil"/>
              <w:right w:val="nil"/>
            </w:tcBorders>
            <w:noWrap/>
            <w:vAlign w:val="bottom"/>
            <w:hideMark/>
          </w:tcPr>
          <w:p>
            <w:pPr>
              <w:rPr>
                <w:rFonts w:ascii="Arial" w:hAnsi="Arial" w:cs="Arial"/>
                <w:color w:val="000000"/>
                <w:lang w:val="en-US"/>
              </w:rPr>
            </w:pPr>
            <w:r>
              <w:rPr>
                <w:rFonts w:ascii="Arial" w:hAnsi="Arial" w:cs="Arial"/>
                <w:color w:val="000000"/>
                <w:lang w:val="en-US"/>
              </w:rPr>
              <w:t>Additional Imaging</w:t>
            </w:r>
          </w:p>
        </w:tc>
        <w:tc>
          <w:tcPr>
            <w:tcW w:w="1552" w:type="dxa"/>
            <w:tcBorders>
              <w:top w:val="nil"/>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84</w:t>
            </w:r>
          </w:p>
        </w:tc>
        <w:tc>
          <w:tcPr>
            <w:tcW w:w="1553" w:type="dxa"/>
            <w:tcBorders>
              <w:top w:val="nil"/>
              <w:left w:val="nil"/>
              <w:bottom w:val="single" w:sz="8" w:space="0" w:color="auto"/>
              <w:right w:val="nil"/>
            </w:tcBorders>
            <w:noWrap/>
            <w:vAlign w:val="center"/>
            <w:hideMark/>
          </w:tcPr>
          <w:p>
            <w:pPr>
              <w:jc w:val="center"/>
              <w:rPr>
                <w:rFonts w:ascii="Arial" w:hAnsi="Arial" w:cs="Arial"/>
                <w:color w:val="000000"/>
                <w:lang w:val="en-US"/>
              </w:rPr>
            </w:pPr>
            <w:r>
              <w:rPr>
                <w:rFonts w:ascii="Arial" w:hAnsi="Arial" w:cs="Arial"/>
                <w:color w:val="000000"/>
                <w:lang w:val="en-US"/>
              </w:rPr>
              <w:t>74%</w:t>
            </w:r>
          </w:p>
        </w:tc>
      </w:tr>
      <w:tr>
        <w:trPr>
          <w:trHeight w:val="300"/>
        </w:trPr>
        <w:tc>
          <w:tcPr>
            <w:tcW w:w="2340" w:type="dxa"/>
            <w:tcBorders>
              <w:top w:val="nil"/>
              <w:left w:val="nil"/>
              <w:bottom w:val="nil"/>
              <w:right w:val="nil"/>
            </w:tcBorders>
            <w:noWrap/>
            <w:vAlign w:val="bottom"/>
            <w:hideMark/>
          </w:tcPr>
          <w:p>
            <w:pPr>
              <w:rPr>
                <w:rFonts w:ascii="Arial" w:hAnsi="Arial" w:cs="Arial"/>
                <w:color w:val="000000"/>
                <w:lang w:val="en-US"/>
              </w:rPr>
            </w:pPr>
            <w:r>
              <w:rPr>
                <w:rFonts w:ascii="Arial" w:hAnsi="Arial" w:cs="Arial"/>
                <w:color w:val="000000"/>
                <w:lang w:val="en-US"/>
              </w:rPr>
              <w:t xml:space="preserve">   US</w:t>
            </w:r>
          </w:p>
        </w:tc>
        <w:tc>
          <w:tcPr>
            <w:tcW w:w="1552" w:type="dxa"/>
            <w:tcBorders>
              <w:top w:val="nil"/>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39</w:t>
            </w:r>
          </w:p>
        </w:tc>
        <w:tc>
          <w:tcPr>
            <w:tcW w:w="1553" w:type="dxa"/>
            <w:tcBorders>
              <w:top w:val="single" w:sz="8" w:space="0" w:color="auto"/>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46%*</w:t>
            </w:r>
          </w:p>
        </w:tc>
      </w:tr>
      <w:tr>
        <w:trPr>
          <w:trHeight w:val="300"/>
        </w:trPr>
        <w:tc>
          <w:tcPr>
            <w:tcW w:w="2340" w:type="dxa"/>
            <w:tcBorders>
              <w:top w:val="nil"/>
              <w:left w:val="nil"/>
              <w:bottom w:val="nil"/>
              <w:right w:val="nil"/>
            </w:tcBorders>
            <w:noWrap/>
            <w:vAlign w:val="bottom"/>
            <w:hideMark/>
          </w:tcPr>
          <w:p>
            <w:pPr>
              <w:rPr>
                <w:rFonts w:ascii="Arial" w:hAnsi="Arial" w:cs="Arial"/>
                <w:color w:val="000000"/>
                <w:lang w:val="en-US"/>
              </w:rPr>
            </w:pPr>
            <w:r>
              <w:rPr>
                <w:rFonts w:ascii="Arial" w:hAnsi="Arial" w:cs="Arial"/>
                <w:color w:val="000000"/>
                <w:lang w:val="en-US"/>
              </w:rPr>
              <w:t xml:space="preserve">   MRI</w:t>
            </w:r>
          </w:p>
        </w:tc>
        <w:tc>
          <w:tcPr>
            <w:tcW w:w="1552" w:type="dxa"/>
            <w:tcBorders>
              <w:top w:val="nil"/>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35</w:t>
            </w:r>
          </w:p>
        </w:tc>
        <w:tc>
          <w:tcPr>
            <w:tcW w:w="1553" w:type="dxa"/>
            <w:tcBorders>
              <w:top w:val="nil"/>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42%*</w:t>
            </w:r>
          </w:p>
        </w:tc>
      </w:tr>
      <w:tr>
        <w:trPr>
          <w:trHeight w:val="300"/>
        </w:trPr>
        <w:tc>
          <w:tcPr>
            <w:tcW w:w="2340" w:type="dxa"/>
            <w:tcBorders>
              <w:top w:val="nil"/>
              <w:left w:val="nil"/>
              <w:bottom w:val="nil"/>
              <w:right w:val="nil"/>
            </w:tcBorders>
            <w:noWrap/>
            <w:vAlign w:val="bottom"/>
            <w:hideMark/>
          </w:tcPr>
          <w:p>
            <w:pPr>
              <w:rPr>
                <w:rFonts w:ascii="Arial" w:hAnsi="Arial" w:cs="Arial"/>
                <w:color w:val="000000"/>
                <w:lang w:val="en-US"/>
              </w:rPr>
            </w:pPr>
            <w:r>
              <w:rPr>
                <w:rFonts w:ascii="Arial" w:hAnsi="Arial" w:cs="Arial"/>
                <w:color w:val="000000"/>
                <w:lang w:val="en-US"/>
              </w:rPr>
              <w:t xml:space="preserve">   CT</w:t>
            </w:r>
          </w:p>
        </w:tc>
        <w:tc>
          <w:tcPr>
            <w:tcW w:w="1552" w:type="dxa"/>
            <w:tcBorders>
              <w:top w:val="nil"/>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15</w:t>
            </w:r>
          </w:p>
        </w:tc>
        <w:tc>
          <w:tcPr>
            <w:tcW w:w="1553" w:type="dxa"/>
            <w:tcBorders>
              <w:top w:val="nil"/>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18%*</w:t>
            </w:r>
          </w:p>
        </w:tc>
      </w:tr>
      <w:tr>
        <w:trPr>
          <w:trHeight w:val="300"/>
        </w:trPr>
        <w:tc>
          <w:tcPr>
            <w:tcW w:w="2340" w:type="dxa"/>
            <w:tcBorders>
              <w:top w:val="nil"/>
              <w:left w:val="nil"/>
              <w:bottom w:val="nil"/>
              <w:right w:val="nil"/>
            </w:tcBorders>
            <w:noWrap/>
            <w:vAlign w:val="bottom"/>
            <w:hideMark/>
          </w:tcPr>
          <w:p>
            <w:pPr>
              <w:rPr>
                <w:rFonts w:ascii="Arial" w:hAnsi="Arial" w:cs="Arial"/>
                <w:color w:val="000000"/>
                <w:lang w:val="en-US"/>
              </w:rPr>
            </w:pPr>
            <w:r>
              <w:rPr>
                <w:rFonts w:ascii="Arial" w:hAnsi="Arial" w:cs="Arial"/>
                <w:color w:val="000000"/>
                <w:lang w:val="en-US"/>
              </w:rPr>
              <w:t xml:space="preserve">   Mammography</w:t>
            </w:r>
          </w:p>
        </w:tc>
        <w:tc>
          <w:tcPr>
            <w:tcW w:w="1552" w:type="dxa"/>
            <w:tcBorders>
              <w:top w:val="nil"/>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6</w:t>
            </w:r>
          </w:p>
        </w:tc>
        <w:tc>
          <w:tcPr>
            <w:tcW w:w="1553" w:type="dxa"/>
            <w:tcBorders>
              <w:top w:val="nil"/>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7%*</w:t>
            </w:r>
          </w:p>
        </w:tc>
      </w:tr>
      <w:tr>
        <w:trPr>
          <w:trHeight w:val="300"/>
        </w:trPr>
        <w:tc>
          <w:tcPr>
            <w:tcW w:w="2340" w:type="dxa"/>
            <w:tcBorders>
              <w:top w:val="nil"/>
              <w:left w:val="nil"/>
              <w:bottom w:val="nil"/>
              <w:right w:val="nil"/>
            </w:tcBorders>
            <w:noWrap/>
            <w:vAlign w:val="bottom"/>
            <w:hideMark/>
          </w:tcPr>
          <w:p>
            <w:pPr>
              <w:rPr>
                <w:rFonts w:ascii="Arial" w:hAnsi="Arial" w:cs="Arial"/>
                <w:color w:val="000000"/>
                <w:lang w:val="en-US"/>
              </w:rPr>
            </w:pPr>
            <w:r>
              <w:rPr>
                <w:rFonts w:ascii="Arial" w:hAnsi="Arial" w:cs="Arial"/>
                <w:color w:val="000000"/>
                <w:lang w:val="en-US"/>
              </w:rPr>
              <w:t xml:space="preserve">   Xray</w:t>
            </w:r>
          </w:p>
        </w:tc>
        <w:tc>
          <w:tcPr>
            <w:tcW w:w="1552" w:type="dxa"/>
            <w:tcBorders>
              <w:top w:val="nil"/>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2</w:t>
            </w:r>
          </w:p>
        </w:tc>
        <w:tc>
          <w:tcPr>
            <w:tcW w:w="1553" w:type="dxa"/>
            <w:tcBorders>
              <w:top w:val="nil"/>
              <w:left w:val="nil"/>
              <w:bottom w:val="nil"/>
              <w:right w:val="nil"/>
            </w:tcBorders>
            <w:noWrap/>
            <w:vAlign w:val="center"/>
            <w:hideMark/>
          </w:tcPr>
          <w:p>
            <w:pPr>
              <w:jc w:val="center"/>
              <w:rPr>
                <w:rFonts w:ascii="Arial" w:hAnsi="Arial" w:cs="Arial"/>
                <w:color w:val="000000"/>
                <w:lang w:val="en-US"/>
              </w:rPr>
            </w:pPr>
            <w:r>
              <w:rPr>
                <w:rFonts w:ascii="Arial" w:hAnsi="Arial" w:cs="Arial"/>
                <w:color w:val="000000"/>
                <w:lang w:val="en-US"/>
              </w:rPr>
              <w:t>2%*</w:t>
            </w:r>
          </w:p>
        </w:tc>
      </w:tr>
      <w:tr>
        <w:trPr>
          <w:trHeight w:val="300"/>
        </w:trPr>
        <w:tc>
          <w:tcPr>
            <w:tcW w:w="2340" w:type="dxa"/>
            <w:tcBorders>
              <w:top w:val="nil"/>
              <w:left w:val="nil"/>
              <w:bottom w:val="single" w:sz="12" w:space="0" w:color="auto"/>
              <w:right w:val="nil"/>
            </w:tcBorders>
            <w:noWrap/>
            <w:vAlign w:val="bottom"/>
            <w:hideMark/>
          </w:tcPr>
          <w:p>
            <w:pPr>
              <w:rPr>
                <w:rFonts w:ascii="Arial" w:hAnsi="Arial" w:cs="Arial"/>
                <w:color w:val="000000"/>
                <w:lang w:val="en-US"/>
              </w:rPr>
            </w:pPr>
            <w:r>
              <w:rPr>
                <w:rFonts w:ascii="Arial" w:hAnsi="Arial" w:cs="Arial"/>
                <w:color w:val="000000"/>
                <w:lang w:val="en-US"/>
              </w:rPr>
              <w:t xml:space="preserve">   Scintigraphy</w:t>
            </w:r>
          </w:p>
        </w:tc>
        <w:tc>
          <w:tcPr>
            <w:tcW w:w="1552" w:type="dxa"/>
            <w:tcBorders>
              <w:top w:val="nil"/>
              <w:left w:val="nil"/>
              <w:bottom w:val="single" w:sz="12" w:space="0" w:color="auto"/>
              <w:right w:val="nil"/>
            </w:tcBorders>
            <w:noWrap/>
            <w:vAlign w:val="center"/>
            <w:hideMark/>
          </w:tcPr>
          <w:p>
            <w:pPr>
              <w:jc w:val="center"/>
              <w:rPr>
                <w:rFonts w:ascii="Arial" w:hAnsi="Arial" w:cs="Arial"/>
                <w:color w:val="000000"/>
                <w:lang w:val="en-US"/>
              </w:rPr>
            </w:pPr>
            <w:r>
              <w:rPr>
                <w:rFonts w:ascii="Arial" w:hAnsi="Arial" w:cs="Arial"/>
                <w:color w:val="000000"/>
                <w:lang w:val="en-US"/>
              </w:rPr>
              <w:t>1</w:t>
            </w:r>
          </w:p>
        </w:tc>
        <w:tc>
          <w:tcPr>
            <w:tcW w:w="1553" w:type="dxa"/>
            <w:tcBorders>
              <w:top w:val="nil"/>
              <w:left w:val="nil"/>
              <w:bottom w:val="single" w:sz="12" w:space="0" w:color="auto"/>
              <w:right w:val="nil"/>
            </w:tcBorders>
            <w:noWrap/>
            <w:vAlign w:val="center"/>
            <w:hideMark/>
          </w:tcPr>
          <w:p>
            <w:pPr>
              <w:jc w:val="center"/>
              <w:rPr>
                <w:rFonts w:ascii="Arial" w:hAnsi="Arial" w:cs="Arial"/>
                <w:color w:val="000000"/>
                <w:lang w:val="en-US"/>
              </w:rPr>
            </w:pPr>
            <w:r>
              <w:rPr>
                <w:rFonts w:ascii="Arial" w:hAnsi="Arial" w:cs="Arial"/>
                <w:color w:val="000000"/>
                <w:lang w:val="en-US"/>
              </w:rPr>
              <w:t>1%*</w:t>
            </w:r>
          </w:p>
        </w:tc>
      </w:tr>
    </w:tbl>
    <w:p>
      <w:pPr>
        <w:rPr>
          <w:rFonts w:ascii="Arial" w:eastAsiaTheme="minorHAnsi" w:hAnsi="Arial" w:cs="Arial"/>
          <w:sz w:val="22"/>
          <w:szCs w:val="22"/>
          <w:lang w:val="en-US" w:eastAsia="en-US"/>
        </w:rPr>
      </w:pPr>
      <w:r>
        <w:rPr>
          <w:rFonts w:ascii="Arial" w:hAnsi="Arial" w:cs="Arial"/>
          <w:b/>
          <w:lang w:val="en-US"/>
        </w:rPr>
        <w:t xml:space="preserve">Table 2: Recommended Work-Up of Reported Incidental Findings. </w:t>
      </w:r>
      <w:r>
        <w:rPr>
          <w:rFonts w:ascii="Arial" w:hAnsi="Arial" w:cs="Arial"/>
          <w:lang w:val="en-US"/>
        </w:rPr>
        <w:t xml:space="preserve">PCP denotes primary care physician; PMH, past medical history; ECG, electrocardiogram; LAB, laboratory test; US, ultrasonography; MRI, dedicated magnetic resonance imaging; CT, computed tomography. * Percentage with respect of subjects with recommended, additional imaging (N=84).  </w:t>
      </w:r>
    </w:p>
    <w:p>
      <w:pPr>
        <w:spacing w:after="200" w:line="276" w:lineRule="auto"/>
        <w:rPr>
          <w:rStyle w:val="normaltextrun"/>
          <w:rFonts w:ascii="Arial" w:hAnsi="Arial" w:cs="Arial"/>
          <w:sz w:val="22"/>
          <w:szCs w:val="22"/>
          <w:lang w:val="en-US"/>
        </w:rPr>
      </w:pPr>
      <w:r>
        <w:rPr>
          <w:rStyle w:val="normaltextrun"/>
          <w:rFonts w:ascii="Arial" w:hAnsi="Arial" w:cs="Arial"/>
          <w:sz w:val="22"/>
          <w:szCs w:val="22"/>
          <w:lang w:val="en-US"/>
        </w:rPr>
        <w:br w:type="page"/>
      </w:r>
    </w:p>
    <w:p>
      <w:pPr>
        <w:spacing w:after="200" w:line="276" w:lineRule="auto"/>
        <w:rPr>
          <w:rStyle w:val="normaltextrun"/>
          <w:rFonts w:ascii="Arial" w:hAnsi="Arial" w:cs="Arial"/>
          <w:sz w:val="22"/>
          <w:szCs w:val="22"/>
          <w:lang w:val="en-US"/>
        </w:rPr>
      </w:pPr>
    </w:p>
    <w:p>
      <w:pPr>
        <w:rPr>
          <w:rFonts w:ascii="Arial" w:hAnsi="Arial" w:cs="Arial"/>
          <w:b/>
          <w:sz w:val="22"/>
          <w:szCs w:val="22"/>
          <w:lang w:val="en-US"/>
        </w:rPr>
      </w:pPr>
    </w:p>
    <w:tbl>
      <w:tblPr>
        <w:tblW w:w="9520" w:type="dxa"/>
        <w:tblInd w:w="55" w:type="dxa"/>
        <w:tblCellMar>
          <w:left w:w="70" w:type="dxa"/>
          <w:right w:w="70" w:type="dxa"/>
        </w:tblCellMar>
        <w:tblLook w:val="04A0" w:firstRow="1" w:lastRow="0" w:firstColumn="1" w:lastColumn="0" w:noHBand="0" w:noVBand="1"/>
      </w:tblPr>
      <w:tblGrid>
        <w:gridCol w:w="4400"/>
        <w:gridCol w:w="1700"/>
        <w:gridCol w:w="1480"/>
        <w:gridCol w:w="1000"/>
        <w:gridCol w:w="940"/>
      </w:tblGrid>
      <w:tr>
        <w:trPr>
          <w:trHeight w:val="300"/>
        </w:trPr>
        <w:tc>
          <w:tcPr>
            <w:tcW w:w="4400" w:type="dxa"/>
            <w:vMerge w:val="restart"/>
            <w:tcBorders>
              <w:top w:val="single" w:sz="12" w:space="0" w:color="auto"/>
              <w:left w:val="nil"/>
              <w:bottom w:val="single" w:sz="8" w:space="0" w:color="000000"/>
              <w:right w:val="nil"/>
            </w:tcBorders>
            <w:shd w:val="clear" w:color="auto" w:fill="auto"/>
            <w:vAlign w:val="bottom"/>
            <w:hideMark/>
          </w:tcPr>
          <w:p>
            <w:pPr>
              <w:rPr>
                <w:rFonts w:ascii="Arial" w:hAnsi="Arial" w:cs="Arial"/>
                <w:sz w:val="22"/>
                <w:szCs w:val="22"/>
                <w:lang w:val="en-US"/>
              </w:rPr>
            </w:pPr>
            <w:r>
              <w:rPr>
                <w:rFonts w:ascii="Arial" w:hAnsi="Arial" w:cs="Arial"/>
                <w:sz w:val="22"/>
                <w:szCs w:val="22"/>
                <w:lang w:val="en-US"/>
              </w:rPr>
              <w:t> </w:t>
            </w:r>
          </w:p>
        </w:tc>
        <w:tc>
          <w:tcPr>
            <w:tcW w:w="1700" w:type="dxa"/>
            <w:vMerge w:val="restart"/>
            <w:tcBorders>
              <w:top w:val="single" w:sz="12" w:space="0" w:color="auto"/>
              <w:left w:val="nil"/>
              <w:bottom w:val="single" w:sz="8" w:space="0" w:color="000000"/>
              <w:right w:val="nil"/>
            </w:tcBorders>
            <w:shd w:val="clear" w:color="auto" w:fill="auto"/>
            <w:vAlign w:val="center"/>
            <w:hideMark/>
          </w:tcPr>
          <w:p>
            <w:pPr>
              <w:jc w:val="center"/>
              <w:rPr>
                <w:rFonts w:ascii="Arial" w:hAnsi="Arial" w:cs="Arial"/>
                <w:b/>
                <w:bCs/>
                <w:sz w:val="22"/>
                <w:szCs w:val="22"/>
              </w:rPr>
            </w:pPr>
            <w:r>
              <w:rPr>
                <w:rFonts w:ascii="Arial" w:hAnsi="Arial" w:cs="Arial"/>
                <w:b/>
                <w:bCs/>
                <w:sz w:val="22"/>
                <w:szCs w:val="22"/>
                <w:lang w:val="en-US"/>
              </w:rPr>
              <w:t xml:space="preserve">pre-scan survey </w:t>
            </w:r>
          </w:p>
        </w:tc>
        <w:tc>
          <w:tcPr>
            <w:tcW w:w="1480" w:type="dxa"/>
            <w:vMerge w:val="restart"/>
            <w:tcBorders>
              <w:top w:val="single" w:sz="12" w:space="0" w:color="auto"/>
              <w:left w:val="nil"/>
              <w:bottom w:val="single" w:sz="8" w:space="0" w:color="000000"/>
              <w:right w:val="nil"/>
            </w:tcBorders>
            <w:shd w:val="clear" w:color="auto" w:fill="auto"/>
            <w:vAlign w:val="center"/>
            <w:hideMark/>
          </w:tcPr>
          <w:p>
            <w:pPr>
              <w:jc w:val="center"/>
              <w:rPr>
                <w:rFonts w:ascii="Arial" w:hAnsi="Arial" w:cs="Arial"/>
                <w:b/>
                <w:bCs/>
                <w:sz w:val="22"/>
                <w:szCs w:val="22"/>
              </w:rPr>
            </w:pPr>
            <w:r>
              <w:rPr>
                <w:rFonts w:ascii="Arial" w:hAnsi="Arial" w:cs="Arial"/>
                <w:b/>
                <w:bCs/>
                <w:sz w:val="22"/>
                <w:szCs w:val="22"/>
                <w:lang w:val="en-US"/>
              </w:rPr>
              <w:t>6 months post-scan survey</w:t>
            </w:r>
          </w:p>
        </w:tc>
        <w:tc>
          <w:tcPr>
            <w:tcW w:w="1000" w:type="dxa"/>
            <w:vMerge w:val="restart"/>
            <w:tcBorders>
              <w:top w:val="single" w:sz="12" w:space="0" w:color="auto"/>
              <w:left w:val="nil"/>
              <w:bottom w:val="single" w:sz="8" w:space="0" w:color="000000"/>
              <w:right w:val="nil"/>
            </w:tcBorders>
            <w:shd w:val="clear" w:color="auto" w:fill="auto"/>
            <w:vAlign w:val="center"/>
            <w:hideMark/>
          </w:tcPr>
          <w:p>
            <w:pPr>
              <w:jc w:val="center"/>
              <w:rPr>
                <w:rFonts w:ascii="Arial" w:hAnsi="Arial" w:cs="Arial"/>
                <w:b/>
                <w:bCs/>
                <w:sz w:val="22"/>
                <w:szCs w:val="22"/>
                <w:lang w:val="en-US"/>
              </w:rPr>
            </w:pPr>
            <w:r>
              <w:rPr>
                <w:rFonts w:ascii="Arial" w:hAnsi="Arial" w:cs="Arial"/>
                <w:b/>
                <w:bCs/>
                <w:sz w:val="22"/>
                <w:szCs w:val="22"/>
                <w:lang w:val="en-US"/>
              </w:rPr>
              <w:t xml:space="preserve">p-value </w:t>
            </w:r>
            <w:r>
              <w:rPr>
                <w:rFonts w:ascii="Arial" w:hAnsi="Arial" w:cs="Arial"/>
                <w:sz w:val="22"/>
                <w:szCs w:val="22"/>
                <w:lang w:val="en-US"/>
              </w:rPr>
              <w:t>(pre vs post)</w:t>
            </w:r>
          </w:p>
        </w:tc>
        <w:tc>
          <w:tcPr>
            <w:tcW w:w="940" w:type="dxa"/>
            <w:tcBorders>
              <w:top w:val="single" w:sz="12" w:space="0" w:color="auto"/>
              <w:left w:val="nil"/>
              <w:bottom w:val="nil"/>
              <w:right w:val="nil"/>
            </w:tcBorders>
            <w:shd w:val="clear" w:color="auto" w:fill="auto"/>
            <w:vAlign w:val="center"/>
            <w:hideMark/>
          </w:tcPr>
          <w:p>
            <w:pPr>
              <w:jc w:val="center"/>
              <w:rPr>
                <w:rFonts w:ascii="Arial" w:hAnsi="Arial" w:cs="Arial"/>
                <w:b/>
                <w:bCs/>
                <w:sz w:val="22"/>
                <w:szCs w:val="22"/>
              </w:rPr>
            </w:pPr>
            <w:r>
              <w:rPr>
                <w:rFonts w:ascii="Arial" w:hAnsi="Arial" w:cs="Arial"/>
                <w:b/>
                <w:bCs/>
                <w:sz w:val="22"/>
                <w:szCs w:val="22"/>
                <w:lang w:val="en-US"/>
              </w:rPr>
              <w:t>p-value</w:t>
            </w:r>
          </w:p>
        </w:tc>
      </w:tr>
      <w:tr>
        <w:trPr>
          <w:trHeight w:val="468"/>
        </w:trPr>
        <w:tc>
          <w:tcPr>
            <w:tcW w:w="4400" w:type="dxa"/>
            <w:vMerge/>
            <w:tcBorders>
              <w:top w:val="single" w:sz="12" w:space="0" w:color="auto"/>
              <w:left w:val="nil"/>
              <w:bottom w:val="single" w:sz="8" w:space="0" w:color="000000"/>
              <w:right w:val="nil"/>
            </w:tcBorders>
            <w:vAlign w:val="center"/>
            <w:hideMark/>
          </w:tcPr>
          <w:p>
            <w:pPr>
              <w:rPr>
                <w:rFonts w:ascii="Arial" w:hAnsi="Arial" w:cs="Arial"/>
                <w:sz w:val="22"/>
                <w:szCs w:val="22"/>
              </w:rPr>
            </w:pPr>
          </w:p>
        </w:tc>
        <w:tc>
          <w:tcPr>
            <w:tcW w:w="1700" w:type="dxa"/>
            <w:vMerge/>
            <w:tcBorders>
              <w:top w:val="single" w:sz="12" w:space="0" w:color="auto"/>
              <w:left w:val="nil"/>
              <w:bottom w:val="single" w:sz="8" w:space="0" w:color="000000"/>
              <w:right w:val="nil"/>
            </w:tcBorders>
            <w:vAlign w:val="center"/>
            <w:hideMark/>
          </w:tcPr>
          <w:p>
            <w:pPr>
              <w:rPr>
                <w:rFonts w:ascii="Arial" w:hAnsi="Arial" w:cs="Arial"/>
                <w:b/>
                <w:bCs/>
                <w:sz w:val="22"/>
                <w:szCs w:val="22"/>
              </w:rPr>
            </w:pPr>
          </w:p>
        </w:tc>
        <w:tc>
          <w:tcPr>
            <w:tcW w:w="1480" w:type="dxa"/>
            <w:vMerge/>
            <w:tcBorders>
              <w:top w:val="single" w:sz="12" w:space="0" w:color="auto"/>
              <w:left w:val="nil"/>
              <w:bottom w:val="single" w:sz="8" w:space="0" w:color="000000"/>
              <w:right w:val="nil"/>
            </w:tcBorders>
            <w:vAlign w:val="center"/>
            <w:hideMark/>
          </w:tcPr>
          <w:p>
            <w:pPr>
              <w:rPr>
                <w:rFonts w:ascii="Arial" w:hAnsi="Arial" w:cs="Arial"/>
                <w:b/>
                <w:bCs/>
                <w:sz w:val="22"/>
                <w:szCs w:val="22"/>
              </w:rPr>
            </w:pPr>
          </w:p>
        </w:tc>
        <w:tc>
          <w:tcPr>
            <w:tcW w:w="1000" w:type="dxa"/>
            <w:vMerge/>
            <w:tcBorders>
              <w:top w:val="single" w:sz="12" w:space="0" w:color="auto"/>
              <w:left w:val="nil"/>
              <w:bottom w:val="single" w:sz="8" w:space="0" w:color="000000"/>
              <w:right w:val="nil"/>
            </w:tcBorders>
            <w:vAlign w:val="center"/>
            <w:hideMark/>
          </w:tcPr>
          <w:p>
            <w:pPr>
              <w:rPr>
                <w:rFonts w:ascii="Arial" w:hAnsi="Arial" w:cs="Arial"/>
                <w:b/>
                <w:bCs/>
                <w:sz w:val="22"/>
                <w:szCs w:val="22"/>
              </w:rPr>
            </w:pPr>
          </w:p>
        </w:tc>
        <w:tc>
          <w:tcPr>
            <w:tcW w:w="940" w:type="dxa"/>
            <w:tcBorders>
              <w:top w:val="nil"/>
              <w:left w:val="nil"/>
              <w:bottom w:val="single" w:sz="8" w:space="0" w:color="auto"/>
              <w:right w:val="nil"/>
            </w:tcBorders>
            <w:shd w:val="clear" w:color="auto" w:fill="auto"/>
            <w:vAlign w:val="center"/>
            <w:hideMark/>
          </w:tcPr>
          <w:p>
            <w:pPr>
              <w:jc w:val="center"/>
              <w:rPr>
                <w:rFonts w:ascii="Arial" w:hAnsi="Arial" w:cs="Arial"/>
                <w:sz w:val="22"/>
                <w:szCs w:val="22"/>
              </w:rPr>
            </w:pPr>
            <w:r>
              <w:rPr>
                <w:rFonts w:ascii="Arial" w:hAnsi="Arial" w:cs="Arial"/>
                <w:sz w:val="22"/>
                <w:szCs w:val="22"/>
                <w:lang w:val="en-US"/>
              </w:rPr>
              <w:t>(No IF vs IF)</w:t>
            </w:r>
          </w:p>
        </w:tc>
      </w:tr>
      <w:tr>
        <w:trPr>
          <w:trHeight w:val="564"/>
        </w:trPr>
        <w:tc>
          <w:tcPr>
            <w:tcW w:w="4400" w:type="dxa"/>
            <w:tcBorders>
              <w:top w:val="nil"/>
              <w:left w:val="nil"/>
              <w:bottom w:val="nil"/>
              <w:right w:val="nil"/>
            </w:tcBorders>
            <w:shd w:val="clear" w:color="auto" w:fill="auto"/>
            <w:vAlign w:val="center"/>
            <w:hideMark/>
          </w:tcPr>
          <w:p>
            <w:pPr>
              <w:rPr>
                <w:rFonts w:ascii="Arial" w:hAnsi="Arial" w:cs="Arial"/>
                <w:sz w:val="22"/>
                <w:szCs w:val="22"/>
                <w:lang w:val="en-US"/>
              </w:rPr>
            </w:pPr>
            <w:r>
              <w:rPr>
                <w:rFonts w:ascii="Arial" w:hAnsi="Arial" w:cs="Arial"/>
                <w:sz w:val="22"/>
                <w:szCs w:val="22"/>
                <w:lang w:val="en-US"/>
              </w:rPr>
              <w:t>I participated in the whole-body research MR exam because …</w:t>
            </w:r>
          </w:p>
        </w:tc>
        <w:tc>
          <w:tcPr>
            <w:tcW w:w="1700" w:type="dxa"/>
            <w:tcBorders>
              <w:top w:val="nil"/>
              <w:left w:val="nil"/>
              <w:bottom w:val="nil"/>
              <w:right w:val="nil"/>
            </w:tcBorders>
            <w:shd w:val="clear" w:color="auto" w:fill="auto"/>
            <w:noWrap/>
            <w:vAlign w:val="center"/>
            <w:hideMark/>
          </w:tcPr>
          <w:p>
            <w:pPr>
              <w:jc w:val="center"/>
              <w:rPr>
                <w:rFonts w:ascii="Arial" w:hAnsi="Arial" w:cs="Arial"/>
                <w:sz w:val="22"/>
                <w:szCs w:val="22"/>
                <w:lang w:val="en-US"/>
              </w:rPr>
            </w:pPr>
          </w:p>
        </w:tc>
        <w:tc>
          <w:tcPr>
            <w:tcW w:w="1480" w:type="dxa"/>
            <w:tcBorders>
              <w:top w:val="nil"/>
              <w:left w:val="nil"/>
              <w:bottom w:val="nil"/>
              <w:right w:val="nil"/>
            </w:tcBorders>
            <w:shd w:val="clear" w:color="auto" w:fill="auto"/>
            <w:noWrap/>
            <w:vAlign w:val="center"/>
            <w:hideMark/>
          </w:tcPr>
          <w:p>
            <w:pPr>
              <w:jc w:val="center"/>
              <w:rPr>
                <w:rFonts w:ascii="Arial" w:hAnsi="Arial" w:cs="Arial"/>
                <w:sz w:val="22"/>
                <w:szCs w:val="22"/>
                <w:lang w:val="en-US"/>
              </w:rPr>
            </w:pPr>
          </w:p>
        </w:tc>
        <w:tc>
          <w:tcPr>
            <w:tcW w:w="1000" w:type="dxa"/>
            <w:tcBorders>
              <w:top w:val="nil"/>
              <w:left w:val="nil"/>
              <w:bottom w:val="nil"/>
              <w:right w:val="nil"/>
            </w:tcBorders>
            <w:shd w:val="clear" w:color="auto" w:fill="auto"/>
            <w:noWrap/>
            <w:vAlign w:val="center"/>
            <w:hideMark/>
          </w:tcPr>
          <w:p>
            <w:pPr>
              <w:jc w:val="center"/>
              <w:rPr>
                <w:rFonts w:ascii="Arial" w:hAnsi="Arial" w:cs="Arial"/>
                <w:sz w:val="22"/>
                <w:szCs w:val="22"/>
                <w:lang w:val="en-US"/>
              </w:rPr>
            </w:pPr>
          </w:p>
        </w:tc>
        <w:tc>
          <w:tcPr>
            <w:tcW w:w="940" w:type="dxa"/>
            <w:tcBorders>
              <w:top w:val="nil"/>
              <w:left w:val="nil"/>
              <w:bottom w:val="nil"/>
              <w:right w:val="nil"/>
            </w:tcBorders>
            <w:shd w:val="clear" w:color="auto" w:fill="auto"/>
            <w:vAlign w:val="center"/>
            <w:hideMark/>
          </w:tcPr>
          <w:p>
            <w:pPr>
              <w:jc w:val="center"/>
              <w:rPr>
                <w:rFonts w:ascii="Arial" w:hAnsi="Arial" w:cs="Arial"/>
                <w:sz w:val="22"/>
                <w:szCs w:val="22"/>
                <w:lang w:val="en-US"/>
              </w:rPr>
            </w:pPr>
          </w:p>
        </w:tc>
      </w:tr>
      <w:tr>
        <w:trPr>
          <w:trHeight w:val="300"/>
        </w:trPr>
        <w:tc>
          <w:tcPr>
            <w:tcW w:w="4400" w:type="dxa"/>
            <w:tcBorders>
              <w:top w:val="single" w:sz="8" w:space="0" w:color="A6A6A6"/>
              <w:left w:val="nil"/>
              <w:bottom w:val="single" w:sz="8" w:space="0" w:color="A6A6A6"/>
              <w:right w:val="nil"/>
            </w:tcBorders>
            <w:shd w:val="clear" w:color="auto" w:fill="auto"/>
            <w:vAlign w:val="center"/>
            <w:hideMark/>
          </w:tcPr>
          <w:p>
            <w:pPr>
              <w:ind w:left="213"/>
              <w:rPr>
                <w:rFonts w:ascii="Arial" w:hAnsi="Arial" w:cs="Arial"/>
                <w:sz w:val="22"/>
                <w:szCs w:val="22"/>
                <w:lang w:val="en-US"/>
              </w:rPr>
            </w:pPr>
            <w:r>
              <w:rPr>
                <w:rFonts w:ascii="Arial" w:hAnsi="Arial" w:cs="Arial"/>
                <w:sz w:val="22"/>
                <w:szCs w:val="22"/>
                <w:lang w:val="en-US"/>
              </w:rPr>
              <w:t>…I wanted to contribute to a scientific     purpose</w:t>
            </w:r>
          </w:p>
        </w:tc>
        <w:tc>
          <w:tcPr>
            <w:tcW w:w="1700" w:type="dxa"/>
            <w:tcBorders>
              <w:top w:val="single" w:sz="8" w:space="0" w:color="A6A6A6"/>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91.4%</w:t>
            </w:r>
          </w:p>
        </w:tc>
        <w:tc>
          <w:tcPr>
            <w:tcW w:w="1480" w:type="dxa"/>
            <w:tcBorders>
              <w:top w:val="single" w:sz="8" w:space="0" w:color="A6A6A6"/>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81.5%</w:t>
            </w:r>
          </w:p>
        </w:tc>
        <w:tc>
          <w:tcPr>
            <w:tcW w:w="1000" w:type="dxa"/>
            <w:tcBorders>
              <w:top w:val="single" w:sz="8" w:space="0" w:color="A6A6A6"/>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0.01</w:t>
            </w:r>
          </w:p>
        </w:tc>
        <w:tc>
          <w:tcPr>
            <w:tcW w:w="940" w:type="dxa"/>
            <w:tcBorders>
              <w:top w:val="single" w:sz="8" w:space="0" w:color="A6A6A6"/>
              <w:left w:val="nil"/>
              <w:bottom w:val="single" w:sz="8" w:space="0" w:color="A6A6A6"/>
              <w:right w:val="nil"/>
            </w:tcBorders>
            <w:shd w:val="clear" w:color="auto" w:fill="auto"/>
            <w:vAlign w:val="center"/>
            <w:hideMark/>
          </w:tcPr>
          <w:p>
            <w:pPr>
              <w:jc w:val="center"/>
              <w:rPr>
                <w:rFonts w:ascii="Arial" w:hAnsi="Arial" w:cs="Arial"/>
                <w:sz w:val="22"/>
                <w:szCs w:val="22"/>
              </w:rPr>
            </w:pPr>
            <w:r>
              <w:rPr>
                <w:rFonts w:ascii="Arial" w:hAnsi="Arial" w:cs="Arial"/>
                <w:sz w:val="22"/>
                <w:szCs w:val="22"/>
                <w:lang w:val="en-US"/>
              </w:rPr>
              <w:t>1.00</w:t>
            </w:r>
          </w:p>
        </w:tc>
      </w:tr>
      <w:tr>
        <w:trPr>
          <w:trHeight w:val="300"/>
        </w:trPr>
        <w:tc>
          <w:tcPr>
            <w:tcW w:w="4400" w:type="dxa"/>
            <w:tcBorders>
              <w:top w:val="nil"/>
              <w:left w:val="nil"/>
              <w:bottom w:val="single" w:sz="8" w:space="0" w:color="A6A6A6"/>
              <w:right w:val="nil"/>
            </w:tcBorders>
            <w:shd w:val="clear" w:color="auto" w:fill="auto"/>
            <w:vAlign w:val="center"/>
            <w:hideMark/>
          </w:tcPr>
          <w:p>
            <w:pPr>
              <w:ind w:left="213"/>
              <w:rPr>
                <w:rFonts w:ascii="Arial" w:hAnsi="Arial" w:cs="Arial"/>
                <w:sz w:val="22"/>
                <w:szCs w:val="22"/>
                <w:lang w:val="en-US"/>
              </w:rPr>
            </w:pPr>
            <w:r>
              <w:rPr>
                <w:rFonts w:ascii="Arial" w:hAnsi="Arial" w:cs="Arial"/>
                <w:sz w:val="22"/>
                <w:szCs w:val="22"/>
                <w:lang w:val="en-US"/>
              </w:rPr>
              <w:t xml:space="preserve">…I would like to know whether I’m healthy </w:t>
            </w:r>
          </w:p>
        </w:tc>
        <w:tc>
          <w:tcPr>
            <w:tcW w:w="17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86.0%</w:t>
            </w:r>
          </w:p>
        </w:tc>
        <w:tc>
          <w:tcPr>
            <w:tcW w:w="148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88.1%</w:t>
            </w:r>
          </w:p>
        </w:tc>
        <w:tc>
          <w:tcPr>
            <w:tcW w:w="10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0.31</w:t>
            </w:r>
          </w:p>
        </w:tc>
        <w:tc>
          <w:tcPr>
            <w:tcW w:w="940" w:type="dxa"/>
            <w:tcBorders>
              <w:top w:val="nil"/>
              <w:left w:val="nil"/>
              <w:bottom w:val="single" w:sz="8" w:space="0" w:color="A6A6A6"/>
              <w:right w:val="nil"/>
            </w:tcBorders>
            <w:shd w:val="clear" w:color="auto" w:fill="auto"/>
            <w:vAlign w:val="center"/>
            <w:hideMark/>
          </w:tcPr>
          <w:p>
            <w:pPr>
              <w:jc w:val="center"/>
              <w:rPr>
                <w:rFonts w:ascii="Arial" w:hAnsi="Arial" w:cs="Arial"/>
                <w:sz w:val="22"/>
                <w:szCs w:val="22"/>
              </w:rPr>
            </w:pPr>
            <w:r>
              <w:rPr>
                <w:rFonts w:ascii="Arial" w:hAnsi="Arial" w:cs="Arial"/>
                <w:sz w:val="22"/>
                <w:szCs w:val="22"/>
                <w:lang w:val="en-US"/>
              </w:rPr>
              <w:t>0.55</w:t>
            </w:r>
          </w:p>
        </w:tc>
      </w:tr>
      <w:tr>
        <w:trPr>
          <w:trHeight w:val="564"/>
        </w:trPr>
        <w:tc>
          <w:tcPr>
            <w:tcW w:w="4400" w:type="dxa"/>
            <w:tcBorders>
              <w:top w:val="nil"/>
              <w:left w:val="nil"/>
              <w:bottom w:val="single" w:sz="8" w:space="0" w:color="A6A6A6"/>
              <w:right w:val="nil"/>
            </w:tcBorders>
            <w:shd w:val="clear" w:color="auto" w:fill="auto"/>
            <w:vAlign w:val="center"/>
            <w:hideMark/>
          </w:tcPr>
          <w:p>
            <w:pPr>
              <w:ind w:left="213"/>
              <w:rPr>
                <w:rFonts w:ascii="Arial" w:hAnsi="Arial" w:cs="Arial"/>
                <w:sz w:val="22"/>
                <w:szCs w:val="22"/>
                <w:lang w:val="en-US"/>
              </w:rPr>
            </w:pPr>
            <w:r>
              <w:rPr>
                <w:rFonts w:ascii="Arial" w:hAnsi="Arial" w:cs="Arial"/>
                <w:sz w:val="22"/>
                <w:szCs w:val="22"/>
                <w:lang w:val="en-US"/>
              </w:rPr>
              <w:t xml:space="preserve">…I have health complains and would like to figure out the reason </w:t>
            </w:r>
          </w:p>
        </w:tc>
        <w:tc>
          <w:tcPr>
            <w:tcW w:w="17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21.4%</w:t>
            </w:r>
          </w:p>
        </w:tc>
        <w:tc>
          <w:tcPr>
            <w:tcW w:w="148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17.7%</w:t>
            </w:r>
          </w:p>
        </w:tc>
        <w:tc>
          <w:tcPr>
            <w:tcW w:w="10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0.51</w:t>
            </w:r>
          </w:p>
        </w:tc>
        <w:tc>
          <w:tcPr>
            <w:tcW w:w="940" w:type="dxa"/>
            <w:tcBorders>
              <w:top w:val="nil"/>
              <w:left w:val="nil"/>
              <w:bottom w:val="single" w:sz="8" w:space="0" w:color="A6A6A6"/>
              <w:right w:val="nil"/>
            </w:tcBorders>
            <w:shd w:val="clear" w:color="auto" w:fill="auto"/>
            <w:vAlign w:val="center"/>
            <w:hideMark/>
          </w:tcPr>
          <w:p>
            <w:pPr>
              <w:jc w:val="center"/>
              <w:rPr>
                <w:rFonts w:ascii="Arial" w:hAnsi="Arial" w:cs="Arial"/>
                <w:sz w:val="22"/>
                <w:szCs w:val="22"/>
              </w:rPr>
            </w:pPr>
            <w:r>
              <w:rPr>
                <w:rFonts w:ascii="Arial" w:hAnsi="Arial" w:cs="Arial"/>
                <w:sz w:val="22"/>
                <w:szCs w:val="22"/>
                <w:lang w:val="en-US"/>
              </w:rPr>
              <w:t>1.00</w:t>
            </w:r>
          </w:p>
        </w:tc>
      </w:tr>
      <w:tr>
        <w:trPr>
          <w:trHeight w:val="390"/>
        </w:trPr>
        <w:tc>
          <w:tcPr>
            <w:tcW w:w="4400" w:type="dxa"/>
            <w:tcBorders>
              <w:top w:val="nil"/>
              <w:left w:val="nil"/>
              <w:bottom w:val="single" w:sz="8" w:space="0" w:color="A6A6A6"/>
              <w:right w:val="nil"/>
            </w:tcBorders>
            <w:shd w:val="clear" w:color="auto" w:fill="auto"/>
            <w:vAlign w:val="center"/>
            <w:hideMark/>
          </w:tcPr>
          <w:p>
            <w:pPr>
              <w:rPr>
                <w:rFonts w:ascii="Arial" w:hAnsi="Arial" w:cs="Arial"/>
                <w:sz w:val="22"/>
                <w:szCs w:val="22"/>
                <w:lang w:val="en-US"/>
              </w:rPr>
            </w:pPr>
            <w:r>
              <w:rPr>
                <w:rFonts w:ascii="Arial" w:hAnsi="Arial" w:cs="Arial"/>
                <w:sz w:val="22"/>
                <w:szCs w:val="22"/>
                <w:lang w:val="en-US"/>
              </w:rPr>
              <w:t>Importance of reporting IF based on the MR exam (continuous)</w:t>
            </w:r>
          </w:p>
        </w:tc>
        <w:tc>
          <w:tcPr>
            <w:tcW w:w="17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lang w:val="en-US"/>
              </w:rPr>
              <w:t>4.4 ± 0.8</w:t>
            </w:r>
          </w:p>
        </w:tc>
        <w:tc>
          <w:tcPr>
            <w:tcW w:w="148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lang w:val="en-US"/>
              </w:rPr>
              <w:t>4.1 ± 1.0</w:t>
            </w:r>
          </w:p>
        </w:tc>
        <w:tc>
          <w:tcPr>
            <w:tcW w:w="10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lang w:val="en-US"/>
              </w:rPr>
              <w:t>&lt;0.001</w:t>
            </w:r>
          </w:p>
        </w:tc>
        <w:tc>
          <w:tcPr>
            <w:tcW w:w="940" w:type="dxa"/>
            <w:tcBorders>
              <w:top w:val="nil"/>
              <w:left w:val="nil"/>
              <w:bottom w:val="single" w:sz="8" w:space="0" w:color="A6A6A6"/>
              <w:right w:val="nil"/>
            </w:tcBorders>
            <w:shd w:val="clear" w:color="auto" w:fill="auto"/>
            <w:vAlign w:val="center"/>
            <w:hideMark/>
          </w:tcPr>
          <w:p>
            <w:pPr>
              <w:jc w:val="center"/>
              <w:rPr>
                <w:rFonts w:ascii="Arial" w:hAnsi="Arial" w:cs="Arial"/>
                <w:sz w:val="22"/>
                <w:szCs w:val="22"/>
              </w:rPr>
            </w:pPr>
            <w:r>
              <w:rPr>
                <w:rFonts w:ascii="Arial" w:hAnsi="Arial" w:cs="Arial"/>
                <w:sz w:val="22"/>
                <w:szCs w:val="22"/>
              </w:rPr>
              <w:t>0.21</w:t>
            </w:r>
          </w:p>
        </w:tc>
      </w:tr>
      <w:tr>
        <w:trPr>
          <w:trHeight w:val="381"/>
        </w:trPr>
        <w:tc>
          <w:tcPr>
            <w:tcW w:w="4400" w:type="dxa"/>
            <w:tcBorders>
              <w:top w:val="nil"/>
              <w:left w:val="nil"/>
              <w:bottom w:val="nil"/>
              <w:right w:val="nil"/>
            </w:tcBorders>
            <w:shd w:val="clear" w:color="auto" w:fill="auto"/>
            <w:vAlign w:val="center"/>
            <w:hideMark/>
          </w:tcPr>
          <w:p>
            <w:pPr>
              <w:rPr>
                <w:rFonts w:ascii="Arial" w:hAnsi="Arial" w:cs="Arial"/>
                <w:sz w:val="22"/>
                <w:szCs w:val="22"/>
                <w:lang w:val="en-US"/>
              </w:rPr>
            </w:pPr>
            <w:r>
              <w:rPr>
                <w:rFonts w:ascii="Arial" w:hAnsi="Arial" w:cs="Arial"/>
                <w:sz w:val="22"/>
                <w:szCs w:val="22"/>
                <w:lang w:val="en-US"/>
              </w:rPr>
              <w:t>Importance of reporting IF based on the MR exam</w:t>
            </w:r>
          </w:p>
        </w:tc>
        <w:tc>
          <w:tcPr>
            <w:tcW w:w="1700" w:type="dxa"/>
            <w:tcBorders>
              <w:top w:val="nil"/>
              <w:left w:val="nil"/>
              <w:bottom w:val="nil"/>
              <w:right w:val="nil"/>
            </w:tcBorders>
            <w:shd w:val="clear" w:color="auto" w:fill="auto"/>
            <w:noWrap/>
            <w:vAlign w:val="center"/>
            <w:hideMark/>
          </w:tcPr>
          <w:p>
            <w:pPr>
              <w:jc w:val="center"/>
              <w:rPr>
                <w:rFonts w:ascii="Arial" w:hAnsi="Arial" w:cs="Arial"/>
                <w:sz w:val="22"/>
                <w:szCs w:val="22"/>
                <w:lang w:val="en-US"/>
              </w:rPr>
            </w:pPr>
            <w:r>
              <w:rPr>
                <w:rFonts w:ascii="Arial" w:hAnsi="Arial" w:cs="Arial"/>
                <w:sz w:val="22"/>
                <w:szCs w:val="22"/>
                <w:lang w:val="en-US"/>
              </w:rPr>
              <w:t> </w:t>
            </w:r>
          </w:p>
        </w:tc>
        <w:tc>
          <w:tcPr>
            <w:tcW w:w="1480" w:type="dxa"/>
            <w:tcBorders>
              <w:top w:val="nil"/>
              <w:left w:val="nil"/>
              <w:bottom w:val="nil"/>
              <w:right w:val="nil"/>
            </w:tcBorders>
            <w:shd w:val="clear" w:color="auto" w:fill="auto"/>
            <w:noWrap/>
            <w:vAlign w:val="center"/>
            <w:hideMark/>
          </w:tcPr>
          <w:p>
            <w:pPr>
              <w:jc w:val="center"/>
              <w:rPr>
                <w:rFonts w:ascii="Arial" w:hAnsi="Arial" w:cs="Arial"/>
                <w:sz w:val="22"/>
                <w:szCs w:val="22"/>
                <w:lang w:val="en-US"/>
              </w:rPr>
            </w:pPr>
            <w:r>
              <w:rPr>
                <w:rFonts w:ascii="Arial" w:hAnsi="Arial" w:cs="Arial"/>
                <w:sz w:val="22"/>
                <w:szCs w:val="22"/>
                <w:lang w:val="en-US"/>
              </w:rPr>
              <w:t> </w:t>
            </w:r>
          </w:p>
        </w:tc>
        <w:tc>
          <w:tcPr>
            <w:tcW w:w="1000" w:type="dxa"/>
            <w:tcBorders>
              <w:top w:val="nil"/>
              <w:left w:val="nil"/>
              <w:bottom w:val="nil"/>
              <w:right w:val="nil"/>
            </w:tcBorders>
            <w:shd w:val="clear" w:color="auto" w:fill="auto"/>
            <w:noWrap/>
            <w:vAlign w:val="center"/>
            <w:hideMark/>
          </w:tcPr>
          <w:p>
            <w:pPr>
              <w:jc w:val="center"/>
              <w:rPr>
                <w:rFonts w:ascii="Arial" w:hAnsi="Arial" w:cs="Arial"/>
                <w:sz w:val="22"/>
                <w:szCs w:val="22"/>
                <w:lang w:val="en-US"/>
              </w:rPr>
            </w:pPr>
            <w:r>
              <w:rPr>
                <w:rFonts w:ascii="Arial" w:hAnsi="Arial" w:cs="Arial"/>
                <w:sz w:val="22"/>
                <w:szCs w:val="22"/>
                <w:lang w:val="en-US"/>
              </w:rPr>
              <w:t>--- </w:t>
            </w:r>
          </w:p>
        </w:tc>
        <w:tc>
          <w:tcPr>
            <w:tcW w:w="940" w:type="dxa"/>
            <w:tcBorders>
              <w:top w:val="nil"/>
              <w:left w:val="nil"/>
              <w:bottom w:val="nil"/>
              <w:right w:val="nil"/>
            </w:tcBorders>
            <w:shd w:val="clear" w:color="auto" w:fill="auto"/>
            <w:vAlign w:val="center"/>
            <w:hideMark/>
          </w:tcPr>
          <w:p>
            <w:pPr>
              <w:jc w:val="center"/>
              <w:rPr>
                <w:rFonts w:ascii="Arial" w:hAnsi="Arial" w:cs="Arial"/>
                <w:sz w:val="22"/>
                <w:szCs w:val="22"/>
                <w:lang w:val="en-US"/>
              </w:rPr>
            </w:pPr>
            <w:r>
              <w:rPr>
                <w:rFonts w:ascii="Arial" w:hAnsi="Arial" w:cs="Arial"/>
                <w:sz w:val="22"/>
                <w:szCs w:val="22"/>
                <w:lang w:val="en-US"/>
              </w:rPr>
              <w:t> ---</w:t>
            </w:r>
          </w:p>
        </w:tc>
      </w:tr>
      <w:tr>
        <w:trPr>
          <w:trHeight w:val="288"/>
        </w:trPr>
        <w:tc>
          <w:tcPr>
            <w:tcW w:w="4400" w:type="dxa"/>
            <w:tcBorders>
              <w:top w:val="nil"/>
              <w:left w:val="nil"/>
              <w:bottom w:val="nil"/>
              <w:right w:val="nil"/>
            </w:tcBorders>
            <w:shd w:val="clear" w:color="auto" w:fill="auto"/>
            <w:vAlign w:val="center"/>
            <w:hideMark/>
          </w:tcPr>
          <w:p>
            <w:pPr>
              <w:rPr>
                <w:rFonts w:ascii="Arial" w:hAnsi="Arial" w:cs="Arial"/>
                <w:sz w:val="22"/>
                <w:szCs w:val="22"/>
              </w:rPr>
            </w:pPr>
            <w:r>
              <w:rPr>
                <w:rFonts w:ascii="Arial" w:hAnsi="Arial" w:cs="Arial"/>
                <w:sz w:val="22"/>
                <w:szCs w:val="22"/>
                <w:lang w:val="en-US"/>
              </w:rPr>
              <w:t xml:space="preserve">   Very Important</w:t>
            </w:r>
          </w:p>
        </w:tc>
        <w:tc>
          <w:tcPr>
            <w:tcW w:w="1700" w:type="dxa"/>
            <w:tcBorders>
              <w:top w:val="nil"/>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56.8%</w:t>
            </w:r>
          </w:p>
        </w:tc>
        <w:tc>
          <w:tcPr>
            <w:tcW w:w="1480" w:type="dxa"/>
            <w:tcBorders>
              <w:top w:val="nil"/>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42.0%</w:t>
            </w:r>
          </w:p>
        </w:tc>
        <w:tc>
          <w:tcPr>
            <w:tcW w:w="1000" w:type="dxa"/>
            <w:tcBorders>
              <w:top w:val="nil"/>
              <w:left w:val="nil"/>
              <w:bottom w:val="nil"/>
              <w:right w:val="nil"/>
            </w:tcBorders>
            <w:shd w:val="clear" w:color="auto" w:fill="auto"/>
            <w:noWrap/>
            <w:vAlign w:val="center"/>
          </w:tcPr>
          <w:p>
            <w:pPr>
              <w:jc w:val="center"/>
              <w:rPr>
                <w:rFonts w:ascii="Arial" w:hAnsi="Arial" w:cs="Arial"/>
                <w:sz w:val="22"/>
                <w:szCs w:val="22"/>
              </w:rPr>
            </w:pPr>
          </w:p>
        </w:tc>
        <w:tc>
          <w:tcPr>
            <w:tcW w:w="940" w:type="dxa"/>
            <w:tcBorders>
              <w:top w:val="nil"/>
              <w:left w:val="nil"/>
              <w:bottom w:val="nil"/>
              <w:right w:val="nil"/>
            </w:tcBorders>
            <w:shd w:val="clear" w:color="auto" w:fill="auto"/>
            <w:vAlign w:val="center"/>
          </w:tcPr>
          <w:p>
            <w:pPr>
              <w:jc w:val="center"/>
              <w:rPr>
                <w:rFonts w:ascii="Arial" w:hAnsi="Arial" w:cs="Arial"/>
                <w:sz w:val="22"/>
                <w:szCs w:val="22"/>
              </w:rPr>
            </w:pPr>
          </w:p>
        </w:tc>
      </w:tr>
      <w:tr>
        <w:trPr>
          <w:trHeight w:val="288"/>
        </w:trPr>
        <w:tc>
          <w:tcPr>
            <w:tcW w:w="4400" w:type="dxa"/>
            <w:tcBorders>
              <w:top w:val="nil"/>
              <w:left w:val="nil"/>
              <w:bottom w:val="nil"/>
              <w:right w:val="nil"/>
            </w:tcBorders>
            <w:shd w:val="clear" w:color="auto" w:fill="auto"/>
            <w:vAlign w:val="center"/>
            <w:hideMark/>
          </w:tcPr>
          <w:p>
            <w:pPr>
              <w:rPr>
                <w:rFonts w:ascii="Arial" w:hAnsi="Arial" w:cs="Arial"/>
                <w:sz w:val="22"/>
                <w:szCs w:val="22"/>
              </w:rPr>
            </w:pPr>
            <w:r>
              <w:rPr>
                <w:rFonts w:ascii="Arial" w:hAnsi="Arial" w:cs="Arial"/>
                <w:sz w:val="22"/>
                <w:szCs w:val="22"/>
                <w:lang w:val="en-US"/>
              </w:rPr>
              <w:t xml:space="preserve">   Important</w:t>
            </w:r>
          </w:p>
        </w:tc>
        <w:tc>
          <w:tcPr>
            <w:tcW w:w="1700" w:type="dxa"/>
            <w:tcBorders>
              <w:top w:val="nil"/>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28.4%</w:t>
            </w:r>
          </w:p>
        </w:tc>
        <w:tc>
          <w:tcPr>
            <w:tcW w:w="1480" w:type="dxa"/>
            <w:tcBorders>
              <w:top w:val="nil"/>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32.9%</w:t>
            </w:r>
          </w:p>
        </w:tc>
        <w:tc>
          <w:tcPr>
            <w:tcW w:w="1000" w:type="dxa"/>
            <w:tcBorders>
              <w:top w:val="nil"/>
              <w:left w:val="nil"/>
              <w:bottom w:val="nil"/>
              <w:right w:val="nil"/>
            </w:tcBorders>
            <w:shd w:val="clear" w:color="auto" w:fill="auto"/>
            <w:noWrap/>
            <w:vAlign w:val="center"/>
          </w:tcPr>
          <w:p>
            <w:pPr>
              <w:jc w:val="center"/>
              <w:rPr>
                <w:rFonts w:ascii="Arial" w:hAnsi="Arial" w:cs="Arial"/>
                <w:sz w:val="22"/>
                <w:szCs w:val="22"/>
              </w:rPr>
            </w:pPr>
          </w:p>
        </w:tc>
        <w:tc>
          <w:tcPr>
            <w:tcW w:w="940" w:type="dxa"/>
            <w:tcBorders>
              <w:top w:val="nil"/>
              <w:left w:val="nil"/>
              <w:bottom w:val="nil"/>
              <w:right w:val="nil"/>
            </w:tcBorders>
            <w:shd w:val="clear" w:color="auto" w:fill="auto"/>
            <w:vAlign w:val="center"/>
          </w:tcPr>
          <w:p>
            <w:pPr>
              <w:jc w:val="center"/>
              <w:rPr>
                <w:rFonts w:ascii="Arial" w:hAnsi="Arial" w:cs="Arial"/>
                <w:sz w:val="22"/>
                <w:szCs w:val="22"/>
              </w:rPr>
            </w:pPr>
          </w:p>
        </w:tc>
      </w:tr>
      <w:tr>
        <w:trPr>
          <w:trHeight w:val="288"/>
        </w:trPr>
        <w:tc>
          <w:tcPr>
            <w:tcW w:w="4400" w:type="dxa"/>
            <w:tcBorders>
              <w:top w:val="nil"/>
              <w:left w:val="nil"/>
              <w:bottom w:val="nil"/>
              <w:right w:val="nil"/>
            </w:tcBorders>
            <w:shd w:val="clear" w:color="auto" w:fill="auto"/>
            <w:vAlign w:val="center"/>
            <w:hideMark/>
          </w:tcPr>
          <w:p>
            <w:pPr>
              <w:rPr>
                <w:rFonts w:ascii="Arial" w:hAnsi="Arial" w:cs="Arial"/>
                <w:sz w:val="22"/>
                <w:szCs w:val="22"/>
              </w:rPr>
            </w:pPr>
            <w:r>
              <w:rPr>
                <w:rFonts w:ascii="Arial" w:hAnsi="Arial" w:cs="Arial"/>
                <w:sz w:val="22"/>
                <w:szCs w:val="22"/>
                <w:lang w:val="en-US"/>
              </w:rPr>
              <w:t xml:space="preserve">   Moderately Important</w:t>
            </w:r>
          </w:p>
        </w:tc>
        <w:tc>
          <w:tcPr>
            <w:tcW w:w="1700" w:type="dxa"/>
            <w:tcBorders>
              <w:top w:val="nil"/>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11.9%</w:t>
            </w:r>
          </w:p>
        </w:tc>
        <w:tc>
          <w:tcPr>
            <w:tcW w:w="1480" w:type="dxa"/>
            <w:tcBorders>
              <w:top w:val="nil"/>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16.0%</w:t>
            </w:r>
          </w:p>
        </w:tc>
        <w:tc>
          <w:tcPr>
            <w:tcW w:w="1000" w:type="dxa"/>
            <w:tcBorders>
              <w:top w:val="nil"/>
              <w:left w:val="nil"/>
              <w:bottom w:val="nil"/>
              <w:right w:val="nil"/>
            </w:tcBorders>
            <w:shd w:val="clear" w:color="auto" w:fill="auto"/>
            <w:noWrap/>
            <w:vAlign w:val="center"/>
          </w:tcPr>
          <w:p>
            <w:pPr>
              <w:jc w:val="center"/>
              <w:rPr>
                <w:rFonts w:ascii="Arial" w:hAnsi="Arial" w:cs="Arial"/>
                <w:sz w:val="22"/>
                <w:szCs w:val="22"/>
              </w:rPr>
            </w:pPr>
          </w:p>
        </w:tc>
        <w:tc>
          <w:tcPr>
            <w:tcW w:w="940" w:type="dxa"/>
            <w:tcBorders>
              <w:top w:val="nil"/>
              <w:left w:val="nil"/>
              <w:bottom w:val="nil"/>
              <w:right w:val="nil"/>
            </w:tcBorders>
            <w:shd w:val="clear" w:color="auto" w:fill="auto"/>
            <w:vAlign w:val="center"/>
          </w:tcPr>
          <w:p>
            <w:pPr>
              <w:jc w:val="center"/>
              <w:rPr>
                <w:rFonts w:ascii="Arial" w:hAnsi="Arial" w:cs="Arial"/>
                <w:sz w:val="22"/>
                <w:szCs w:val="22"/>
              </w:rPr>
            </w:pPr>
          </w:p>
        </w:tc>
      </w:tr>
      <w:tr>
        <w:trPr>
          <w:trHeight w:val="288"/>
        </w:trPr>
        <w:tc>
          <w:tcPr>
            <w:tcW w:w="4400" w:type="dxa"/>
            <w:tcBorders>
              <w:top w:val="nil"/>
              <w:left w:val="nil"/>
              <w:bottom w:val="nil"/>
              <w:right w:val="nil"/>
            </w:tcBorders>
            <w:shd w:val="clear" w:color="auto" w:fill="auto"/>
            <w:vAlign w:val="center"/>
            <w:hideMark/>
          </w:tcPr>
          <w:p>
            <w:pPr>
              <w:rPr>
                <w:rFonts w:ascii="Arial" w:hAnsi="Arial" w:cs="Arial"/>
                <w:sz w:val="22"/>
                <w:szCs w:val="22"/>
              </w:rPr>
            </w:pPr>
            <w:r>
              <w:rPr>
                <w:rFonts w:ascii="Arial" w:hAnsi="Arial" w:cs="Arial"/>
                <w:sz w:val="22"/>
                <w:szCs w:val="22"/>
                <w:lang w:val="en-US"/>
              </w:rPr>
              <w:t xml:space="preserve">   Slightly Important</w:t>
            </w:r>
          </w:p>
        </w:tc>
        <w:tc>
          <w:tcPr>
            <w:tcW w:w="1700" w:type="dxa"/>
            <w:tcBorders>
              <w:top w:val="nil"/>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2.1%</w:t>
            </w:r>
          </w:p>
        </w:tc>
        <w:tc>
          <w:tcPr>
            <w:tcW w:w="1480" w:type="dxa"/>
            <w:tcBorders>
              <w:top w:val="nil"/>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6.2%</w:t>
            </w:r>
          </w:p>
        </w:tc>
        <w:tc>
          <w:tcPr>
            <w:tcW w:w="1000" w:type="dxa"/>
            <w:tcBorders>
              <w:top w:val="nil"/>
              <w:left w:val="nil"/>
              <w:bottom w:val="nil"/>
              <w:right w:val="nil"/>
            </w:tcBorders>
            <w:shd w:val="clear" w:color="auto" w:fill="auto"/>
            <w:noWrap/>
            <w:vAlign w:val="center"/>
          </w:tcPr>
          <w:p>
            <w:pPr>
              <w:jc w:val="center"/>
              <w:rPr>
                <w:rFonts w:ascii="Arial" w:hAnsi="Arial" w:cs="Arial"/>
                <w:sz w:val="22"/>
                <w:szCs w:val="22"/>
              </w:rPr>
            </w:pPr>
          </w:p>
        </w:tc>
        <w:tc>
          <w:tcPr>
            <w:tcW w:w="940" w:type="dxa"/>
            <w:tcBorders>
              <w:top w:val="nil"/>
              <w:left w:val="nil"/>
              <w:bottom w:val="nil"/>
              <w:right w:val="nil"/>
            </w:tcBorders>
            <w:shd w:val="clear" w:color="auto" w:fill="auto"/>
            <w:vAlign w:val="center"/>
          </w:tcPr>
          <w:p>
            <w:pPr>
              <w:jc w:val="center"/>
              <w:rPr>
                <w:rFonts w:ascii="Arial" w:hAnsi="Arial" w:cs="Arial"/>
                <w:sz w:val="22"/>
                <w:szCs w:val="22"/>
              </w:rPr>
            </w:pPr>
          </w:p>
        </w:tc>
      </w:tr>
      <w:tr>
        <w:trPr>
          <w:trHeight w:val="300"/>
        </w:trPr>
        <w:tc>
          <w:tcPr>
            <w:tcW w:w="4400" w:type="dxa"/>
            <w:tcBorders>
              <w:top w:val="nil"/>
              <w:left w:val="nil"/>
              <w:bottom w:val="single" w:sz="8" w:space="0" w:color="A6A6A6"/>
              <w:right w:val="nil"/>
            </w:tcBorders>
            <w:shd w:val="clear" w:color="auto" w:fill="auto"/>
            <w:vAlign w:val="center"/>
            <w:hideMark/>
          </w:tcPr>
          <w:p>
            <w:pPr>
              <w:rPr>
                <w:rFonts w:ascii="Arial" w:hAnsi="Arial" w:cs="Arial"/>
                <w:sz w:val="22"/>
                <w:szCs w:val="22"/>
              </w:rPr>
            </w:pPr>
            <w:r>
              <w:rPr>
                <w:rFonts w:ascii="Arial" w:hAnsi="Arial" w:cs="Arial"/>
                <w:sz w:val="22"/>
                <w:szCs w:val="22"/>
                <w:lang w:val="en-US"/>
              </w:rPr>
              <w:t xml:space="preserve">   Not Important</w:t>
            </w:r>
          </w:p>
        </w:tc>
        <w:tc>
          <w:tcPr>
            <w:tcW w:w="17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0.4%</w:t>
            </w:r>
          </w:p>
        </w:tc>
        <w:tc>
          <w:tcPr>
            <w:tcW w:w="148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0.8%</w:t>
            </w:r>
          </w:p>
        </w:tc>
        <w:tc>
          <w:tcPr>
            <w:tcW w:w="1000" w:type="dxa"/>
            <w:tcBorders>
              <w:top w:val="nil"/>
              <w:left w:val="nil"/>
              <w:bottom w:val="single" w:sz="8" w:space="0" w:color="A6A6A6"/>
              <w:right w:val="nil"/>
            </w:tcBorders>
            <w:shd w:val="clear" w:color="auto" w:fill="auto"/>
            <w:noWrap/>
            <w:vAlign w:val="center"/>
          </w:tcPr>
          <w:p>
            <w:pPr>
              <w:jc w:val="center"/>
              <w:rPr>
                <w:rFonts w:ascii="Arial" w:hAnsi="Arial" w:cs="Arial"/>
                <w:sz w:val="22"/>
                <w:szCs w:val="22"/>
              </w:rPr>
            </w:pPr>
          </w:p>
        </w:tc>
        <w:tc>
          <w:tcPr>
            <w:tcW w:w="940" w:type="dxa"/>
            <w:tcBorders>
              <w:top w:val="nil"/>
              <w:left w:val="nil"/>
              <w:bottom w:val="single" w:sz="8" w:space="0" w:color="A6A6A6"/>
              <w:right w:val="nil"/>
            </w:tcBorders>
            <w:shd w:val="clear" w:color="auto" w:fill="auto"/>
            <w:vAlign w:val="center"/>
          </w:tcPr>
          <w:p>
            <w:pPr>
              <w:jc w:val="center"/>
              <w:rPr>
                <w:rFonts w:ascii="Arial" w:hAnsi="Arial" w:cs="Arial"/>
                <w:sz w:val="22"/>
                <w:szCs w:val="22"/>
              </w:rPr>
            </w:pPr>
          </w:p>
        </w:tc>
      </w:tr>
      <w:tr>
        <w:trPr>
          <w:trHeight w:val="363"/>
        </w:trPr>
        <w:tc>
          <w:tcPr>
            <w:tcW w:w="4400" w:type="dxa"/>
            <w:tcBorders>
              <w:top w:val="nil"/>
              <w:left w:val="nil"/>
              <w:bottom w:val="single" w:sz="8" w:space="0" w:color="A6A6A6"/>
              <w:right w:val="nil"/>
            </w:tcBorders>
            <w:shd w:val="clear" w:color="auto" w:fill="auto"/>
            <w:vAlign w:val="center"/>
            <w:hideMark/>
          </w:tcPr>
          <w:p>
            <w:pPr>
              <w:rPr>
                <w:rFonts w:ascii="Arial" w:hAnsi="Arial" w:cs="Arial"/>
                <w:sz w:val="22"/>
                <w:szCs w:val="22"/>
                <w:lang w:val="en-US"/>
              </w:rPr>
            </w:pPr>
            <w:r>
              <w:rPr>
                <w:rFonts w:ascii="Arial" w:hAnsi="Arial" w:cs="Arial"/>
                <w:sz w:val="22"/>
                <w:szCs w:val="22"/>
                <w:lang w:val="en-US"/>
              </w:rPr>
              <w:t>Would you have participated if absolutely no IF had been disclosed?</w:t>
            </w:r>
          </w:p>
        </w:tc>
        <w:tc>
          <w:tcPr>
            <w:tcW w:w="17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53.1%</w:t>
            </w:r>
          </w:p>
        </w:tc>
        <w:tc>
          <w:tcPr>
            <w:tcW w:w="148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49.8%</w:t>
            </w:r>
          </w:p>
        </w:tc>
        <w:tc>
          <w:tcPr>
            <w:tcW w:w="10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0.30</w:t>
            </w:r>
          </w:p>
        </w:tc>
        <w:tc>
          <w:tcPr>
            <w:tcW w:w="940" w:type="dxa"/>
            <w:tcBorders>
              <w:top w:val="nil"/>
              <w:left w:val="nil"/>
              <w:bottom w:val="single" w:sz="8" w:space="0" w:color="A6A6A6"/>
              <w:right w:val="nil"/>
            </w:tcBorders>
            <w:shd w:val="clear" w:color="auto" w:fill="auto"/>
            <w:vAlign w:val="center"/>
            <w:hideMark/>
          </w:tcPr>
          <w:p>
            <w:pPr>
              <w:jc w:val="center"/>
              <w:rPr>
                <w:rFonts w:ascii="Arial" w:hAnsi="Arial" w:cs="Arial"/>
                <w:sz w:val="22"/>
                <w:szCs w:val="22"/>
              </w:rPr>
            </w:pPr>
            <w:r>
              <w:rPr>
                <w:rFonts w:ascii="Arial" w:hAnsi="Arial" w:cs="Arial"/>
                <w:sz w:val="22"/>
                <w:szCs w:val="22"/>
              </w:rPr>
              <w:t>0.43</w:t>
            </w:r>
          </w:p>
        </w:tc>
      </w:tr>
      <w:tr>
        <w:trPr>
          <w:trHeight w:val="288"/>
        </w:trPr>
        <w:tc>
          <w:tcPr>
            <w:tcW w:w="4400" w:type="dxa"/>
            <w:tcBorders>
              <w:top w:val="nil"/>
              <w:left w:val="nil"/>
              <w:bottom w:val="nil"/>
              <w:right w:val="nil"/>
            </w:tcBorders>
            <w:shd w:val="clear" w:color="auto" w:fill="auto"/>
            <w:vAlign w:val="center"/>
            <w:hideMark/>
          </w:tcPr>
          <w:p>
            <w:pPr>
              <w:rPr>
                <w:rFonts w:ascii="Arial" w:hAnsi="Arial" w:cs="Arial"/>
                <w:sz w:val="22"/>
                <w:szCs w:val="22"/>
                <w:lang w:val="en-US"/>
              </w:rPr>
            </w:pPr>
            <w:r>
              <w:rPr>
                <w:rFonts w:ascii="Arial" w:hAnsi="Arial" w:cs="Arial"/>
                <w:sz w:val="22"/>
                <w:szCs w:val="22"/>
                <w:lang w:val="en-US"/>
              </w:rPr>
              <w:t>How should be the IF communicated</w:t>
            </w:r>
          </w:p>
        </w:tc>
        <w:tc>
          <w:tcPr>
            <w:tcW w:w="1700" w:type="dxa"/>
            <w:vMerge w:val="restart"/>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lang w:val="en-US"/>
              </w:rPr>
              <w:t>---</w:t>
            </w:r>
          </w:p>
        </w:tc>
        <w:tc>
          <w:tcPr>
            <w:tcW w:w="1480" w:type="dxa"/>
            <w:tcBorders>
              <w:top w:val="nil"/>
              <w:left w:val="nil"/>
              <w:bottom w:val="nil"/>
              <w:right w:val="nil"/>
            </w:tcBorders>
            <w:shd w:val="clear" w:color="auto" w:fill="auto"/>
            <w:noWrap/>
            <w:vAlign w:val="center"/>
            <w:hideMark/>
          </w:tcPr>
          <w:p>
            <w:pPr>
              <w:jc w:val="center"/>
              <w:rPr>
                <w:rFonts w:ascii="Arial" w:hAnsi="Arial" w:cs="Arial"/>
                <w:sz w:val="22"/>
                <w:szCs w:val="22"/>
              </w:rPr>
            </w:pPr>
          </w:p>
        </w:tc>
        <w:tc>
          <w:tcPr>
            <w:tcW w:w="1000" w:type="dxa"/>
            <w:vMerge w:val="restart"/>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lang w:val="en-US"/>
              </w:rPr>
              <w:t>---</w:t>
            </w:r>
          </w:p>
        </w:tc>
        <w:tc>
          <w:tcPr>
            <w:tcW w:w="940" w:type="dxa"/>
            <w:tcBorders>
              <w:top w:val="nil"/>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0.16</w:t>
            </w:r>
          </w:p>
        </w:tc>
      </w:tr>
      <w:tr>
        <w:trPr>
          <w:trHeight w:val="318"/>
        </w:trPr>
        <w:tc>
          <w:tcPr>
            <w:tcW w:w="4400" w:type="dxa"/>
            <w:tcBorders>
              <w:top w:val="nil"/>
              <w:left w:val="nil"/>
              <w:bottom w:val="nil"/>
              <w:right w:val="nil"/>
            </w:tcBorders>
            <w:shd w:val="clear" w:color="auto" w:fill="auto"/>
            <w:vAlign w:val="center"/>
            <w:hideMark/>
          </w:tcPr>
          <w:p>
            <w:pPr>
              <w:rPr>
                <w:rFonts w:ascii="Arial" w:hAnsi="Arial" w:cs="Arial"/>
                <w:sz w:val="22"/>
                <w:szCs w:val="22"/>
              </w:rPr>
            </w:pPr>
            <w:r>
              <w:rPr>
                <w:rFonts w:ascii="Arial" w:hAnsi="Arial" w:cs="Arial"/>
                <w:sz w:val="22"/>
                <w:szCs w:val="22"/>
                <w:lang w:val="en-US"/>
              </w:rPr>
              <w:t xml:space="preserve">   by letter</w:t>
            </w:r>
          </w:p>
        </w:tc>
        <w:tc>
          <w:tcPr>
            <w:tcW w:w="1700" w:type="dxa"/>
            <w:vMerge/>
            <w:tcBorders>
              <w:top w:val="nil"/>
              <w:left w:val="nil"/>
              <w:bottom w:val="single" w:sz="8" w:space="0" w:color="A6A6A6"/>
              <w:right w:val="nil"/>
            </w:tcBorders>
            <w:vAlign w:val="center"/>
            <w:hideMark/>
          </w:tcPr>
          <w:p>
            <w:pPr>
              <w:rPr>
                <w:rFonts w:ascii="Arial" w:hAnsi="Arial" w:cs="Arial"/>
                <w:sz w:val="22"/>
                <w:szCs w:val="22"/>
              </w:rPr>
            </w:pPr>
          </w:p>
        </w:tc>
        <w:tc>
          <w:tcPr>
            <w:tcW w:w="1480" w:type="dxa"/>
            <w:tcBorders>
              <w:top w:val="nil"/>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76.5%</w:t>
            </w:r>
          </w:p>
        </w:tc>
        <w:tc>
          <w:tcPr>
            <w:tcW w:w="1000" w:type="dxa"/>
            <w:vMerge/>
            <w:tcBorders>
              <w:top w:val="nil"/>
              <w:left w:val="nil"/>
              <w:bottom w:val="single" w:sz="8" w:space="0" w:color="A6A6A6"/>
              <w:right w:val="nil"/>
            </w:tcBorders>
            <w:vAlign w:val="center"/>
            <w:hideMark/>
          </w:tcPr>
          <w:p>
            <w:pPr>
              <w:rPr>
                <w:rFonts w:ascii="Arial" w:hAnsi="Arial" w:cs="Arial"/>
                <w:sz w:val="22"/>
                <w:szCs w:val="22"/>
              </w:rPr>
            </w:pPr>
          </w:p>
        </w:tc>
        <w:tc>
          <w:tcPr>
            <w:tcW w:w="940" w:type="dxa"/>
            <w:tcBorders>
              <w:top w:val="nil"/>
              <w:left w:val="nil"/>
              <w:bottom w:val="nil"/>
              <w:right w:val="nil"/>
            </w:tcBorders>
            <w:shd w:val="clear" w:color="auto" w:fill="auto"/>
            <w:noWrap/>
            <w:vAlign w:val="center"/>
            <w:hideMark/>
          </w:tcPr>
          <w:p>
            <w:pPr>
              <w:jc w:val="center"/>
              <w:rPr>
                <w:rFonts w:ascii="Arial" w:hAnsi="Arial" w:cs="Arial"/>
                <w:sz w:val="22"/>
                <w:szCs w:val="22"/>
              </w:rPr>
            </w:pPr>
          </w:p>
        </w:tc>
      </w:tr>
      <w:tr>
        <w:trPr>
          <w:trHeight w:val="288"/>
        </w:trPr>
        <w:tc>
          <w:tcPr>
            <w:tcW w:w="4400" w:type="dxa"/>
            <w:tcBorders>
              <w:top w:val="nil"/>
              <w:left w:val="nil"/>
              <w:bottom w:val="nil"/>
              <w:right w:val="nil"/>
            </w:tcBorders>
            <w:shd w:val="clear" w:color="auto" w:fill="auto"/>
            <w:vAlign w:val="center"/>
            <w:hideMark/>
          </w:tcPr>
          <w:p>
            <w:pPr>
              <w:rPr>
                <w:rFonts w:ascii="Arial" w:hAnsi="Arial" w:cs="Arial"/>
                <w:sz w:val="22"/>
                <w:szCs w:val="22"/>
              </w:rPr>
            </w:pPr>
            <w:r>
              <w:rPr>
                <w:rFonts w:ascii="Arial" w:hAnsi="Arial" w:cs="Arial"/>
                <w:sz w:val="22"/>
                <w:szCs w:val="22"/>
                <w:lang w:val="en-US"/>
              </w:rPr>
              <w:t xml:space="preserve">   by phone</w:t>
            </w:r>
          </w:p>
        </w:tc>
        <w:tc>
          <w:tcPr>
            <w:tcW w:w="1700" w:type="dxa"/>
            <w:vMerge/>
            <w:tcBorders>
              <w:top w:val="nil"/>
              <w:left w:val="nil"/>
              <w:bottom w:val="single" w:sz="8" w:space="0" w:color="A6A6A6"/>
              <w:right w:val="nil"/>
            </w:tcBorders>
            <w:vAlign w:val="center"/>
            <w:hideMark/>
          </w:tcPr>
          <w:p>
            <w:pPr>
              <w:rPr>
                <w:rFonts w:ascii="Arial" w:hAnsi="Arial" w:cs="Arial"/>
                <w:sz w:val="22"/>
                <w:szCs w:val="22"/>
              </w:rPr>
            </w:pPr>
          </w:p>
        </w:tc>
        <w:tc>
          <w:tcPr>
            <w:tcW w:w="1480" w:type="dxa"/>
            <w:tcBorders>
              <w:top w:val="nil"/>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1.2%</w:t>
            </w:r>
          </w:p>
        </w:tc>
        <w:tc>
          <w:tcPr>
            <w:tcW w:w="1000" w:type="dxa"/>
            <w:vMerge/>
            <w:tcBorders>
              <w:top w:val="nil"/>
              <w:left w:val="nil"/>
              <w:bottom w:val="single" w:sz="8" w:space="0" w:color="A6A6A6"/>
              <w:right w:val="nil"/>
            </w:tcBorders>
            <w:vAlign w:val="center"/>
            <w:hideMark/>
          </w:tcPr>
          <w:p>
            <w:pPr>
              <w:rPr>
                <w:rFonts w:ascii="Arial" w:hAnsi="Arial" w:cs="Arial"/>
                <w:sz w:val="22"/>
                <w:szCs w:val="22"/>
              </w:rPr>
            </w:pPr>
          </w:p>
        </w:tc>
        <w:tc>
          <w:tcPr>
            <w:tcW w:w="940" w:type="dxa"/>
            <w:tcBorders>
              <w:top w:val="nil"/>
              <w:left w:val="nil"/>
              <w:bottom w:val="nil"/>
              <w:right w:val="nil"/>
            </w:tcBorders>
            <w:shd w:val="clear" w:color="auto" w:fill="auto"/>
            <w:noWrap/>
            <w:vAlign w:val="center"/>
            <w:hideMark/>
          </w:tcPr>
          <w:p>
            <w:pPr>
              <w:jc w:val="center"/>
              <w:rPr>
                <w:rFonts w:ascii="Arial" w:hAnsi="Arial" w:cs="Arial"/>
                <w:sz w:val="22"/>
                <w:szCs w:val="22"/>
              </w:rPr>
            </w:pPr>
          </w:p>
        </w:tc>
      </w:tr>
      <w:tr>
        <w:trPr>
          <w:trHeight w:val="288"/>
        </w:trPr>
        <w:tc>
          <w:tcPr>
            <w:tcW w:w="4400" w:type="dxa"/>
            <w:tcBorders>
              <w:top w:val="nil"/>
              <w:left w:val="nil"/>
              <w:bottom w:val="nil"/>
              <w:right w:val="nil"/>
            </w:tcBorders>
            <w:shd w:val="clear" w:color="auto" w:fill="auto"/>
            <w:vAlign w:val="center"/>
            <w:hideMark/>
          </w:tcPr>
          <w:p>
            <w:pPr>
              <w:rPr>
                <w:rFonts w:ascii="Arial" w:hAnsi="Arial" w:cs="Arial"/>
                <w:sz w:val="22"/>
                <w:szCs w:val="22"/>
              </w:rPr>
            </w:pPr>
            <w:r>
              <w:rPr>
                <w:rFonts w:ascii="Arial" w:hAnsi="Arial" w:cs="Arial"/>
                <w:sz w:val="22"/>
                <w:szCs w:val="22"/>
                <w:lang w:val="en-US"/>
              </w:rPr>
              <w:t xml:space="preserve">   by a personal appointment </w:t>
            </w:r>
          </w:p>
        </w:tc>
        <w:tc>
          <w:tcPr>
            <w:tcW w:w="1700" w:type="dxa"/>
            <w:vMerge/>
            <w:tcBorders>
              <w:top w:val="nil"/>
              <w:left w:val="nil"/>
              <w:bottom w:val="single" w:sz="8" w:space="0" w:color="A6A6A6"/>
              <w:right w:val="nil"/>
            </w:tcBorders>
            <w:vAlign w:val="center"/>
            <w:hideMark/>
          </w:tcPr>
          <w:p>
            <w:pPr>
              <w:rPr>
                <w:rFonts w:ascii="Arial" w:hAnsi="Arial" w:cs="Arial"/>
                <w:sz w:val="22"/>
                <w:szCs w:val="22"/>
              </w:rPr>
            </w:pPr>
          </w:p>
        </w:tc>
        <w:tc>
          <w:tcPr>
            <w:tcW w:w="1480" w:type="dxa"/>
            <w:tcBorders>
              <w:top w:val="nil"/>
              <w:left w:val="nil"/>
              <w:bottom w:val="nil"/>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11.9%</w:t>
            </w:r>
          </w:p>
        </w:tc>
        <w:tc>
          <w:tcPr>
            <w:tcW w:w="1000" w:type="dxa"/>
            <w:vMerge/>
            <w:tcBorders>
              <w:top w:val="nil"/>
              <w:left w:val="nil"/>
              <w:bottom w:val="single" w:sz="8" w:space="0" w:color="A6A6A6"/>
              <w:right w:val="nil"/>
            </w:tcBorders>
            <w:vAlign w:val="center"/>
            <w:hideMark/>
          </w:tcPr>
          <w:p>
            <w:pPr>
              <w:rPr>
                <w:rFonts w:ascii="Arial" w:hAnsi="Arial" w:cs="Arial"/>
                <w:sz w:val="22"/>
                <w:szCs w:val="22"/>
              </w:rPr>
            </w:pPr>
          </w:p>
        </w:tc>
        <w:tc>
          <w:tcPr>
            <w:tcW w:w="940" w:type="dxa"/>
            <w:tcBorders>
              <w:top w:val="nil"/>
              <w:left w:val="nil"/>
              <w:bottom w:val="nil"/>
              <w:right w:val="nil"/>
            </w:tcBorders>
            <w:shd w:val="clear" w:color="auto" w:fill="auto"/>
            <w:noWrap/>
            <w:vAlign w:val="center"/>
            <w:hideMark/>
          </w:tcPr>
          <w:p>
            <w:pPr>
              <w:jc w:val="center"/>
              <w:rPr>
                <w:rFonts w:ascii="Arial" w:hAnsi="Arial" w:cs="Arial"/>
                <w:sz w:val="22"/>
                <w:szCs w:val="22"/>
              </w:rPr>
            </w:pPr>
          </w:p>
        </w:tc>
      </w:tr>
      <w:tr>
        <w:trPr>
          <w:trHeight w:val="300"/>
        </w:trPr>
        <w:tc>
          <w:tcPr>
            <w:tcW w:w="4400" w:type="dxa"/>
            <w:tcBorders>
              <w:top w:val="nil"/>
              <w:left w:val="nil"/>
              <w:bottom w:val="single" w:sz="8" w:space="0" w:color="A6A6A6"/>
              <w:right w:val="nil"/>
            </w:tcBorders>
            <w:shd w:val="clear" w:color="auto" w:fill="auto"/>
            <w:vAlign w:val="center"/>
            <w:hideMark/>
          </w:tcPr>
          <w:p>
            <w:pPr>
              <w:rPr>
                <w:rFonts w:ascii="Arial" w:hAnsi="Arial" w:cs="Arial"/>
                <w:sz w:val="22"/>
                <w:szCs w:val="22"/>
              </w:rPr>
            </w:pPr>
            <w:r>
              <w:rPr>
                <w:rFonts w:ascii="Arial" w:hAnsi="Arial" w:cs="Arial"/>
                <w:sz w:val="22"/>
                <w:szCs w:val="22"/>
                <w:lang w:val="en-US"/>
              </w:rPr>
              <w:t xml:space="preserve">   others</w:t>
            </w:r>
          </w:p>
        </w:tc>
        <w:tc>
          <w:tcPr>
            <w:tcW w:w="1700" w:type="dxa"/>
            <w:vMerge/>
            <w:tcBorders>
              <w:top w:val="nil"/>
              <w:left w:val="nil"/>
              <w:bottom w:val="single" w:sz="8" w:space="0" w:color="A6A6A6"/>
              <w:right w:val="nil"/>
            </w:tcBorders>
            <w:vAlign w:val="center"/>
            <w:hideMark/>
          </w:tcPr>
          <w:p>
            <w:pPr>
              <w:rPr>
                <w:rFonts w:ascii="Arial" w:hAnsi="Arial" w:cs="Arial"/>
                <w:sz w:val="22"/>
                <w:szCs w:val="22"/>
              </w:rPr>
            </w:pPr>
          </w:p>
        </w:tc>
        <w:tc>
          <w:tcPr>
            <w:tcW w:w="148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9.9%</w:t>
            </w:r>
          </w:p>
        </w:tc>
        <w:tc>
          <w:tcPr>
            <w:tcW w:w="1000" w:type="dxa"/>
            <w:vMerge/>
            <w:tcBorders>
              <w:top w:val="nil"/>
              <w:left w:val="nil"/>
              <w:bottom w:val="single" w:sz="8" w:space="0" w:color="A6A6A6"/>
              <w:right w:val="nil"/>
            </w:tcBorders>
            <w:vAlign w:val="center"/>
            <w:hideMark/>
          </w:tcPr>
          <w:p>
            <w:pPr>
              <w:rPr>
                <w:rFonts w:ascii="Arial" w:hAnsi="Arial" w:cs="Arial"/>
                <w:sz w:val="22"/>
                <w:szCs w:val="22"/>
              </w:rPr>
            </w:pPr>
          </w:p>
        </w:tc>
        <w:tc>
          <w:tcPr>
            <w:tcW w:w="94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 </w:t>
            </w:r>
          </w:p>
        </w:tc>
      </w:tr>
      <w:tr>
        <w:trPr>
          <w:trHeight w:val="564"/>
        </w:trPr>
        <w:tc>
          <w:tcPr>
            <w:tcW w:w="4400" w:type="dxa"/>
            <w:tcBorders>
              <w:top w:val="nil"/>
              <w:left w:val="nil"/>
              <w:bottom w:val="single" w:sz="8" w:space="0" w:color="A6A6A6"/>
              <w:right w:val="nil"/>
            </w:tcBorders>
            <w:shd w:val="clear" w:color="auto" w:fill="auto"/>
            <w:vAlign w:val="center"/>
            <w:hideMark/>
          </w:tcPr>
          <w:p>
            <w:pPr>
              <w:rPr>
                <w:rFonts w:ascii="Arial" w:hAnsi="Arial" w:cs="Arial"/>
                <w:sz w:val="22"/>
                <w:szCs w:val="22"/>
                <w:lang w:val="en-US"/>
              </w:rPr>
            </w:pPr>
            <w:r>
              <w:rPr>
                <w:rFonts w:ascii="Arial" w:hAnsi="Arial" w:cs="Arial"/>
                <w:sz w:val="22"/>
                <w:szCs w:val="22"/>
                <w:lang w:val="en-US"/>
              </w:rPr>
              <w:t>IF will be (pre)/should be (post) reported in case of…</w:t>
            </w:r>
          </w:p>
        </w:tc>
        <w:tc>
          <w:tcPr>
            <w:tcW w:w="17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lang w:val="en-US"/>
              </w:rPr>
            </w:pPr>
            <w:r>
              <w:rPr>
                <w:rFonts w:ascii="Arial" w:hAnsi="Arial" w:cs="Arial"/>
                <w:sz w:val="22"/>
                <w:szCs w:val="22"/>
                <w:lang w:val="en-US"/>
              </w:rPr>
              <w:t> </w:t>
            </w:r>
          </w:p>
        </w:tc>
        <w:tc>
          <w:tcPr>
            <w:tcW w:w="148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lang w:val="en-US"/>
              </w:rPr>
            </w:pPr>
            <w:r>
              <w:rPr>
                <w:rFonts w:ascii="Arial" w:hAnsi="Arial" w:cs="Arial"/>
                <w:sz w:val="22"/>
                <w:szCs w:val="22"/>
                <w:lang w:val="en-US"/>
              </w:rPr>
              <w:t> </w:t>
            </w:r>
          </w:p>
        </w:tc>
        <w:tc>
          <w:tcPr>
            <w:tcW w:w="10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lang w:val="en-US"/>
              </w:rPr>
            </w:pPr>
            <w:r>
              <w:rPr>
                <w:rFonts w:ascii="Arial" w:hAnsi="Arial" w:cs="Arial"/>
                <w:sz w:val="22"/>
                <w:szCs w:val="22"/>
                <w:lang w:val="en-US"/>
              </w:rPr>
              <w:t> </w:t>
            </w:r>
          </w:p>
        </w:tc>
        <w:tc>
          <w:tcPr>
            <w:tcW w:w="940" w:type="dxa"/>
            <w:tcBorders>
              <w:top w:val="nil"/>
              <w:left w:val="nil"/>
              <w:bottom w:val="single" w:sz="8" w:space="0" w:color="A6A6A6"/>
              <w:right w:val="nil"/>
            </w:tcBorders>
            <w:shd w:val="clear" w:color="auto" w:fill="auto"/>
            <w:vAlign w:val="center"/>
            <w:hideMark/>
          </w:tcPr>
          <w:p>
            <w:pPr>
              <w:jc w:val="center"/>
              <w:rPr>
                <w:rFonts w:ascii="Arial" w:hAnsi="Arial" w:cs="Arial"/>
                <w:sz w:val="22"/>
                <w:szCs w:val="22"/>
                <w:lang w:val="en-US"/>
              </w:rPr>
            </w:pPr>
            <w:r>
              <w:rPr>
                <w:rFonts w:ascii="Arial" w:hAnsi="Arial" w:cs="Arial"/>
                <w:sz w:val="22"/>
                <w:szCs w:val="22"/>
                <w:lang w:val="en-US"/>
              </w:rPr>
              <w:t> </w:t>
            </w:r>
          </w:p>
        </w:tc>
      </w:tr>
      <w:tr>
        <w:trPr>
          <w:trHeight w:val="300"/>
        </w:trPr>
        <w:tc>
          <w:tcPr>
            <w:tcW w:w="4400" w:type="dxa"/>
            <w:tcBorders>
              <w:top w:val="nil"/>
              <w:left w:val="nil"/>
              <w:bottom w:val="single" w:sz="8" w:space="0" w:color="A6A6A6"/>
              <w:right w:val="nil"/>
            </w:tcBorders>
            <w:shd w:val="clear" w:color="auto" w:fill="auto"/>
            <w:vAlign w:val="center"/>
            <w:hideMark/>
          </w:tcPr>
          <w:p>
            <w:pPr>
              <w:ind w:left="213"/>
              <w:rPr>
                <w:rFonts w:ascii="Arial" w:hAnsi="Arial" w:cs="Arial"/>
                <w:sz w:val="22"/>
                <w:szCs w:val="22"/>
                <w:lang w:val="en-US"/>
              </w:rPr>
            </w:pPr>
            <w:r>
              <w:rPr>
                <w:rFonts w:ascii="Arial" w:hAnsi="Arial" w:cs="Arial"/>
                <w:sz w:val="22"/>
                <w:szCs w:val="22"/>
                <w:lang w:val="en-US"/>
              </w:rPr>
              <w:t xml:space="preserve">…life threating and immediate action is required </w:t>
            </w:r>
          </w:p>
        </w:tc>
        <w:tc>
          <w:tcPr>
            <w:tcW w:w="17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91.4%</w:t>
            </w:r>
          </w:p>
        </w:tc>
        <w:tc>
          <w:tcPr>
            <w:tcW w:w="148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97.5%</w:t>
            </w:r>
          </w:p>
        </w:tc>
        <w:tc>
          <w:tcPr>
            <w:tcW w:w="10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0.002</w:t>
            </w:r>
          </w:p>
        </w:tc>
        <w:tc>
          <w:tcPr>
            <w:tcW w:w="940" w:type="dxa"/>
            <w:tcBorders>
              <w:top w:val="nil"/>
              <w:left w:val="nil"/>
              <w:bottom w:val="single" w:sz="8" w:space="0" w:color="A6A6A6"/>
              <w:right w:val="nil"/>
            </w:tcBorders>
            <w:shd w:val="clear" w:color="auto" w:fill="auto"/>
            <w:vAlign w:val="center"/>
            <w:hideMark/>
          </w:tcPr>
          <w:p>
            <w:pPr>
              <w:jc w:val="center"/>
              <w:rPr>
                <w:rFonts w:ascii="Arial" w:hAnsi="Arial" w:cs="Arial"/>
                <w:sz w:val="22"/>
                <w:szCs w:val="22"/>
              </w:rPr>
            </w:pPr>
            <w:r>
              <w:rPr>
                <w:rFonts w:ascii="Arial" w:hAnsi="Arial" w:cs="Arial"/>
                <w:sz w:val="22"/>
                <w:szCs w:val="22"/>
                <w:lang w:val="en-US"/>
              </w:rPr>
              <w:t>0.75</w:t>
            </w:r>
          </w:p>
        </w:tc>
      </w:tr>
      <w:tr>
        <w:trPr>
          <w:trHeight w:val="300"/>
        </w:trPr>
        <w:tc>
          <w:tcPr>
            <w:tcW w:w="4400" w:type="dxa"/>
            <w:tcBorders>
              <w:top w:val="nil"/>
              <w:left w:val="nil"/>
              <w:bottom w:val="single" w:sz="8" w:space="0" w:color="A6A6A6"/>
              <w:right w:val="nil"/>
            </w:tcBorders>
            <w:shd w:val="clear" w:color="auto" w:fill="auto"/>
            <w:vAlign w:val="center"/>
            <w:hideMark/>
          </w:tcPr>
          <w:p>
            <w:pPr>
              <w:ind w:left="213"/>
              <w:rPr>
                <w:rFonts w:ascii="Arial" w:hAnsi="Arial" w:cs="Arial"/>
                <w:sz w:val="22"/>
                <w:szCs w:val="22"/>
                <w:lang w:val="en-US"/>
              </w:rPr>
            </w:pPr>
            <w:r>
              <w:rPr>
                <w:rFonts w:ascii="Arial" w:hAnsi="Arial" w:cs="Arial"/>
                <w:sz w:val="22"/>
                <w:szCs w:val="22"/>
                <w:lang w:val="en-US"/>
              </w:rPr>
              <w:t xml:space="preserve">…not direct life threating, but treatment is necessary </w:t>
            </w:r>
          </w:p>
        </w:tc>
        <w:tc>
          <w:tcPr>
            <w:tcW w:w="17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93.8%</w:t>
            </w:r>
          </w:p>
        </w:tc>
        <w:tc>
          <w:tcPr>
            <w:tcW w:w="148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97.1%</w:t>
            </w:r>
          </w:p>
        </w:tc>
        <w:tc>
          <w:tcPr>
            <w:tcW w:w="1000" w:type="dxa"/>
            <w:tcBorders>
              <w:top w:val="nil"/>
              <w:left w:val="nil"/>
              <w:bottom w:val="single" w:sz="8" w:space="0" w:color="A6A6A6"/>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0.06</w:t>
            </w:r>
          </w:p>
        </w:tc>
        <w:tc>
          <w:tcPr>
            <w:tcW w:w="940" w:type="dxa"/>
            <w:tcBorders>
              <w:top w:val="nil"/>
              <w:left w:val="nil"/>
              <w:bottom w:val="single" w:sz="8" w:space="0" w:color="A6A6A6"/>
              <w:right w:val="nil"/>
            </w:tcBorders>
            <w:shd w:val="clear" w:color="auto" w:fill="auto"/>
            <w:vAlign w:val="center"/>
            <w:hideMark/>
          </w:tcPr>
          <w:p>
            <w:pPr>
              <w:jc w:val="center"/>
              <w:rPr>
                <w:rFonts w:ascii="Arial" w:hAnsi="Arial" w:cs="Arial"/>
                <w:sz w:val="22"/>
                <w:szCs w:val="22"/>
              </w:rPr>
            </w:pPr>
            <w:r>
              <w:rPr>
                <w:rFonts w:ascii="Arial" w:hAnsi="Arial" w:cs="Arial"/>
                <w:sz w:val="22"/>
                <w:szCs w:val="22"/>
                <w:lang w:val="en-US"/>
              </w:rPr>
              <w:t>0.48</w:t>
            </w:r>
          </w:p>
        </w:tc>
      </w:tr>
      <w:tr>
        <w:trPr>
          <w:trHeight w:val="564"/>
        </w:trPr>
        <w:tc>
          <w:tcPr>
            <w:tcW w:w="4400" w:type="dxa"/>
            <w:tcBorders>
              <w:top w:val="nil"/>
              <w:left w:val="nil"/>
              <w:bottom w:val="single" w:sz="12" w:space="0" w:color="auto"/>
              <w:right w:val="nil"/>
            </w:tcBorders>
            <w:shd w:val="clear" w:color="auto" w:fill="auto"/>
            <w:vAlign w:val="center"/>
            <w:hideMark/>
          </w:tcPr>
          <w:p>
            <w:pPr>
              <w:ind w:left="213"/>
              <w:rPr>
                <w:rFonts w:ascii="Arial" w:hAnsi="Arial" w:cs="Arial"/>
                <w:sz w:val="22"/>
                <w:szCs w:val="22"/>
                <w:lang w:val="en-US"/>
              </w:rPr>
            </w:pPr>
            <w:r>
              <w:rPr>
                <w:rFonts w:ascii="Arial" w:hAnsi="Arial" w:cs="Arial"/>
                <w:sz w:val="22"/>
                <w:szCs w:val="22"/>
                <w:lang w:val="en-US"/>
              </w:rPr>
              <w:t>…not life threating, treatment is not necessary, but possible</w:t>
            </w:r>
          </w:p>
        </w:tc>
        <w:tc>
          <w:tcPr>
            <w:tcW w:w="1700" w:type="dxa"/>
            <w:tcBorders>
              <w:top w:val="nil"/>
              <w:left w:val="nil"/>
              <w:bottom w:val="single" w:sz="12" w:space="0" w:color="auto"/>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72.0%</w:t>
            </w:r>
          </w:p>
        </w:tc>
        <w:tc>
          <w:tcPr>
            <w:tcW w:w="1480" w:type="dxa"/>
            <w:tcBorders>
              <w:top w:val="nil"/>
              <w:left w:val="nil"/>
              <w:bottom w:val="single" w:sz="12" w:space="0" w:color="auto"/>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83.5%</w:t>
            </w:r>
          </w:p>
        </w:tc>
        <w:tc>
          <w:tcPr>
            <w:tcW w:w="1000" w:type="dxa"/>
            <w:tcBorders>
              <w:top w:val="nil"/>
              <w:left w:val="nil"/>
              <w:bottom w:val="single" w:sz="12" w:space="0" w:color="auto"/>
              <w:right w:val="nil"/>
            </w:tcBorders>
            <w:shd w:val="clear" w:color="auto" w:fill="auto"/>
            <w:noWrap/>
            <w:vAlign w:val="center"/>
            <w:hideMark/>
          </w:tcPr>
          <w:p>
            <w:pPr>
              <w:jc w:val="center"/>
              <w:rPr>
                <w:rFonts w:ascii="Arial" w:hAnsi="Arial" w:cs="Arial"/>
                <w:sz w:val="22"/>
                <w:szCs w:val="22"/>
              </w:rPr>
            </w:pPr>
            <w:r>
              <w:rPr>
                <w:rFonts w:ascii="Arial" w:hAnsi="Arial" w:cs="Arial"/>
                <w:sz w:val="22"/>
                <w:szCs w:val="22"/>
              </w:rPr>
              <w:t>0.001</w:t>
            </w:r>
          </w:p>
        </w:tc>
        <w:tc>
          <w:tcPr>
            <w:tcW w:w="940" w:type="dxa"/>
            <w:tcBorders>
              <w:top w:val="nil"/>
              <w:left w:val="nil"/>
              <w:bottom w:val="single" w:sz="12" w:space="0" w:color="auto"/>
              <w:right w:val="nil"/>
            </w:tcBorders>
            <w:shd w:val="clear" w:color="auto" w:fill="auto"/>
            <w:vAlign w:val="center"/>
            <w:hideMark/>
          </w:tcPr>
          <w:p>
            <w:pPr>
              <w:jc w:val="center"/>
              <w:rPr>
                <w:rFonts w:ascii="Arial" w:hAnsi="Arial" w:cs="Arial"/>
                <w:sz w:val="22"/>
                <w:szCs w:val="22"/>
              </w:rPr>
            </w:pPr>
            <w:r>
              <w:rPr>
                <w:rFonts w:ascii="Arial" w:hAnsi="Arial" w:cs="Arial"/>
                <w:sz w:val="22"/>
                <w:szCs w:val="22"/>
                <w:lang w:val="en-US"/>
              </w:rPr>
              <w:t>0.07</w:t>
            </w:r>
          </w:p>
        </w:tc>
      </w:tr>
    </w:tbl>
    <w:p>
      <w:pPr>
        <w:rPr>
          <w:rFonts w:ascii="Arial" w:hAnsi="Arial" w:cs="Arial"/>
          <w:b/>
          <w:sz w:val="22"/>
          <w:szCs w:val="22"/>
          <w:lang w:val="en-US"/>
        </w:rPr>
      </w:pPr>
      <w:r>
        <w:rPr>
          <w:rFonts w:ascii="Arial" w:hAnsi="Arial" w:cs="Arial"/>
          <w:b/>
          <w:sz w:val="22"/>
          <w:szCs w:val="22"/>
          <w:lang w:val="en-US"/>
        </w:rPr>
        <w:t xml:space="preserve">Table 3: Motivation and Expectations of Participants in a Population-based Cohort Study Undergoing Whole-Body MR Imaging. </w:t>
      </w:r>
    </w:p>
    <w:p>
      <w:pPr>
        <w:spacing w:line="480" w:lineRule="auto"/>
        <w:ind w:firstLine="708"/>
        <w:jc w:val="both"/>
        <w:rPr>
          <w:rStyle w:val="normaltextrun"/>
          <w:rFonts w:ascii="Arial" w:hAnsi="Arial" w:cs="Arial"/>
          <w:sz w:val="22"/>
          <w:szCs w:val="22"/>
          <w:lang w:val="en-US"/>
        </w:rPr>
      </w:pPr>
    </w:p>
    <w:p>
      <w:pPr>
        <w:rPr>
          <w:rFonts w:ascii="Arial" w:hAnsi="Arial" w:cs="Arial"/>
          <w:b/>
          <w:sz w:val="22"/>
          <w:szCs w:val="22"/>
          <w:lang w:val="en-US"/>
        </w:rPr>
      </w:pPr>
    </w:p>
    <w:p>
      <w:pPr>
        <w:spacing w:after="200" w:line="276" w:lineRule="auto"/>
        <w:rPr>
          <w:rFonts w:ascii="Arial" w:hAnsi="Arial" w:cs="Arial"/>
          <w:b/>
          <w:sz w:val="22"/>
          <w:szCs w:val="22"/>
          <w:lang w:val="en-US"/>
        </w:rPr>
      </w:pPr>
      <w:r>
        <w:rPr>
          <w:rFonts w:ascii="Arial" w:hAnsi="Arial" w:cs="Arial"/>
          <w:b/>
          <w:sz w:val="22"/>
          <w:szCs w:val="22"/>
          <w:lang w:val="en-US"/>
        </w:rPr>
        <w:br w:type="page"/>
      </w:r>
    </w:p>
    <w:p>
      <w:pPr>
        <w:rPr>
          <w:rFonts w:ascii="Arial" w:hAnsi="Arial" w:cs="Arial"/>
          <w:b/>
          <w:sz w:val="22"/>
          <w:szCs w:val="22"/>
          <w:lang w:val="en-US"/>
        </w:rPr>
      </w:pPr>
    </w:p>
    <w:p>
      <w:pPr>
        <w:rPr>
          <w:rFonts w:ascii="Arial" w:hAnsi="Arial" w:cs="Arial"/>
          <w:b/>
          <w:sz w:val="22"/>
          <w:szCs w:val="22"/>
          <w:lang w:val="en-US"/>
        </w:rPr>
      </w:pPr>
    </w:p>
    <w:p>
      <w:pPr>
        <w:rPr>
          <w:rFonts w:ascii="Arial" w:hAnsi="Arial" w:cs="Arial"/>
          <w:b/>
          <w:sz w:val="22"/>
          <w:szCs w:val="22"/>
          <w:lang w:val="en-US"/>
        </w:rPr>
      </w:pPr>
    </w:p>
    <w:p>
      <w:pPr>
        <w:rPr>
          <w:rFonts w:ascii="Arial" w:hAnsi="Arial" w:cs="Arial"/>
          <w:b/>
          <w:sz w:val="22"/>
          <w:szCs w:val="22"/>
          <w:lang w:val="en-US"/>
        </w:rPr>
      </w:pPr>
    </w:p>
    <w:p>
      <w:pPr>
        <w:rPr>
          <w:rFonts w:ascii="Arial" w:hAnsi="Arial" w:cs="Arial"/>
          <w:b/>
          <w:sz w:val="22"/>
          <w:szCs w:val="22"/>
          <w:lang w:val="en-US"/>
        </w:rPr>
      </w:pPr>
    </w:p>
    <w:p>
      <w:pPr>
        <w:rPr>
          <w:rFonts w:ascii="Arial" w:hAnsi="Arial" w:cs="Arial"/>
          <w:b/>
          <w:sz w:val="22"/>
          <w:szCs w:val="22"/>
          <w:lang w:val="en-US"/>
        </w:rPr>
      </w:pPr>
      <w:r>
        <w:rPr>
          <w:noProof/>
          <w:lang w:val="en-US" w:eastAsia="en-US"/>
        </w:rPr>
        <w:drawing>
          <wp:inline distT="0" distB="0" distL="0" distR="0">
            <wp:extent cx="5334000" cy="304800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0" name="Picture" descr="03_add.phq9---Kopie_files/figure-docx/plotitfigescel-1.png"/>
                    <pic:cNvPicPr>
                      <a:picLocks noChangeAspect="1" noChangeArrowheads="1"/>
                    </pic:cNvPicPr>
                  </pic:nvPicPr>
                  <pic:blipFill>
                    <a:blip r:embed="rId10"/>
                    <a:stretch>
                      <a:fillRect/>
                    </a:stretch>
                  </pic:blipFill>
                  <pic:spPr bwMode="auto">
                    <a:xfrm>
                      <a:off x="0" y="0"/>
                      <a:ext cx="5334000" cy="3048000"/>
                    </a:xfrm>
                    <a:prstGeom prst="rect">
                      <a:avLst/>
                    </a:prstGeom>
                    <a:noFill/>
                    <a:ln w="9525">
                      <a:noFill/>
                      <a:headEnd/>
                      <a:tailEnd/>
                    </a:ln>
                  </pic:spPr>
                </pic:pic>
              </a:graphicData>
            </a:graphic>
          </wp:inline>
        </w:drawing>
      </w:r>
    </w:p>
    <w:p>
      <w:pPr>
        <w:rPr>
          <w:rFonts w:ascii="Arial" w:hAnsi="Arial" w:cs="Arial"/>
          <w:sz w:val="22"/>
          <w:szCs w:val="22"/>
          <w:lang w:val="en-US"/>
        </w:rPr>
      </w:pPr>
      <w:r>
        <w:rPr>
          <w:rFonts w:ascii="Arial" w:hAnsi="Arial" w:cs="Arial"/>
          <w:b/>
          <w:sz w:val="22"/>
          <w:szCs w:val="22"/>
          <w:lang w:val="en-US"/>
        </w:rPr>
        <w:t xml:space="preserve">Figure 2: Stress Burden of Waiting for IF Report. </w:t>
      </w:r>
      <w:r>
        <w:rPr>
          <w:rFonts w:ascii="Arial" w:hAnsi="Arial" w:cs="Arial"/>
          <w:sz w:val="22"/>
          <w:szCs w:val="22"/>
          <w:lang w:val="en-US"/>
        </w:rPr>
        <w:t>The subjects were asked to rate their expected (pre-scan survey) and experienced (post-scan survey) stress burden on a 6-point-likert scale. On the x-axis: frequency of reported stress burden. On the y-axis: 6 categories of stress burden. Error bars denote 95% confidence intervals. Overall, no significant difference was observed between the two time points (4.1±1.3 vs 4.1±1.0, p=0.96 for pre- vs. post-scan).</w:t>
      </w:r>
    </w:p>
    <w:p>
      <w:pPr>
        <w:rPr>
          <w:rFonts w:ascii="Arial" w:hAnsi="Arial" w:cs="Arial"/>
          <w:b/>
          <w:sz w:val="22"/>
          <w:szCs w:val="22"/>
          <w:lang w:val="en-US"/>
        </w:rPr>
      </w:pPr>
    </w:p>
    <w:p>
      <w:pPr>
        <w:rPr>
          <w:rFonts w:ascii="Arial" w:hAnsi="Arial" w:cs="Arial"/>
          <w:b/>
          <w:sz w:val="22"/>
          <w:szCs w:val="22"/>
          <w:lang w:val="en-US"/>
        </w:rPr>
      </w:pPr>
    </w:p>
    <w:p>
      <w:pPr>
        <w:rPr>
          <w:rFonts w:ascii="Arial" w:hAnsi="Arial" w:cs="Arial"/>
          <w:b/>
          <w:sz w:val="22"/>
          <w:szCs w:val="22"/>
          <w:lang w:val="en-US"/>
        </w:rPr>
      </w:pPr>
    </w:p>
    <w:p>
      <w:pPr>
        <w:rPr>
          <w:rFonts w:ascii="Arial" w:hAnsi="Arial" w:cs="Arial"/>
          <w:b/>
          <w:sz w:val="22"/>
          <w:szCs w:val="22"/>
          <w:lang w:val="en-US"/>
        </w:rPr>
      </w:pPr>
      <w:r>
        <w:rPr>
          <w:noProof/>
          <w:lang w:val="en-US" w:eastAsia="en-US"/>
        </w:rPr>
        <w:drawing>
          <wp:inline distT="0" distB="0" distL="0" distR="0">
            <wp:extent cx="5334000" cy="266700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0" name="Picture" descr="03_add.phq9---Kopie_files/figure-docx/plotit4-1.png"/>
                    <pic:cNvPicPr>
                      <a:picLocks noChangeAspect="1" noChangeArrowheads="1"/>
                    </pic:cNvPicPr>
                  </pic:nvPicPr>
                  <pic:blipFill>
                    <a:blip r:embed="rId11"/>
                    <a:stretch>
                      <a:fillRect/>
                    </a:stretch>
                  </pic:blipFill>
                  <pic:spPr bwMode="auto">
                    <a:xfrm>
                      <a:off x="0" y="0"/>
                      <a:ext cx="5334000" cy="2667000"/>
                    </a:xfrm>
                    <a:prstGeom prst="rect">
                      <a:avLst/>
                    </a:prstGeom>
                    <a:noFill/>
                    <a:ln w="9525">
                      <a:noFill/>
                      <a:headEnd/>
                      <a:tailEnd/>
                    </a:ln>
                  </pic:spPr>
                </pic:pic>
              </a:graphicData>
            </a:graphic>
          </wp:inline>
        </w:drawing>
      </w:r>
    </w:p>
    <w:p>
      <w:pPr>
        <w:rPr>
          <w:rFonts w:ascii="Arial" w:hAnsi="Arial" w:cs="Arial"/>
          <w:b/>
          <w:sz w:val="22"/>
          <w:szCs w:val="22"/>
          <w:lang w:val="en-US"/>
        </w:rPr>
      </w:pPr>
      <w:r>
        <w:rPr>
          <w:rFonts w:ascii="Arial" w:hAnsi="Arial" w:cs="Arial"/>
          <w:b/>
          <w:sz w:val="22"/>
          <w:szCs w:val="22"/>
          <w:lang w:val="en-US"/>
        </w:rPr>
        <w:t xml:space="preserve">Figure 3: Depression as measured by PHQ-9 score between participants with and without reported IF. </w:t>
      </w:r>
      <w:r>
        <w:rPr>
          <w:rFonts w:ascii="Arial" w:hAnsi="Arial" w:cs="Arial"/>
          <w:bCs/>
          <w:sz w:val="22"/>
          <w:szCs w:val="22"/>
          <w:lang w:val="en-US"/>
        </w:rPr>
        <w:t>On the x-axis: categories of PHQ-9 score, stratified by reporting of IF. On the y-axis: frequencies of reported categories. Error bars denote 95% confidence intervals.</w:t>
      </w:r>
      <w:r>
        <w:rPr>
          <w:rFonts w:ascii="Arial" w:hAnsi="Arial" w:cs="Arial"/>
          <w:b/>
          <w:sz w:val="22"/>
          <w:szCs w:val="22"/>
          <w:lang w:val="en-US"/>
        </w:rPr>
        <w:t xml:space="preserve"> </w:t>
      </w:r>
      <w:r>
        <w:rPr>
          <w:rFonts w:ascii="Arial" w:hAnsi="Arial" w:cs="Arial"/>
          <w:sz w:val="22"/>
          <w:szCs w:val="22"/>
          <w:lang w:val="en-US"/>
        </w:rPr>
        <w:t>No significant differences were observed (p=0.74).</w:t>
      </w:r>
    </w:p>
    <w:p>
      <w:pPr>
        <w:spacing w:after="200" w:line="276" w:lineRule="auto"/>
        <w:rPr>
          <w:rFonts w:ascii="Arial" w:hAnsi="Arial" w:cs="Arial"/>
          <w:b/>
          <w:lang w:val="en-US"/>
        </w:rPr>
        <w:sectPr>
          <w:headerReference w:type="default" r:id="rId12"/>
          <w:footerReference w:type="default" r:id="rId13"/>
          <w:pgSz w:w="11906" w:h="16838"/>
          <w:pgMar w:top="1687" w:right="1417" w:bottom="1134" w:left="1417" w:header="708" w:footer="708" w:gutter="0"/>
          <w:cols w:space="708"/>
          <w:docGrid w:linePitch="360"/>
        </w:sectPr>
      </w:pPr>
    </w:p>
    <w:p>
      <w:pPr>
        <w:spacing w:after="200" w:line="276" w:lineRule="auto"/>
        <w:rPr>
          <w:rFonts w:ascii="Arial" w:hAnsi="Arial" w:cs="Arial"/>
          <w:b/>
          <w:sz w:val="22"/>
          <w:szCs w:val="22"/>
          <w:lang w:val="en-US"/>
        </w:rPr>
      </w:pPr>
      <w:r>
        <w:rPr>
          <w:rFonts w:ascii="Arial" w:hAnsi="Arial" w:cs="Arial"/>
          <w:b/>
          <w:lang w:val="en-US"/>
        </w:rPr>
        <w:lastRenderedPageBreak/>
        <w:t>APPENDIX</w:t>
      </w:r>
    </w:p>
    <w:p>
      <w:pPr>
        <w:rPr>
          <w:b/>
          <w:lang w:val="en-US"/>
        </w:rPr>
      </w:pPr>
    </w:p>
    <w:tbl>
      <w:tblPr>
        <w:tblW w:w="13467" w:type="dxa"/>
        <w:tblCellMar>
          <w:left w:w="70" w:type="dxa"/>
          <w:right w:w="70" w:type="dxa"/>
        </w:tblCellMar>
        <w:tblLook w:val="04A0" w:firstRow="1" w:lastRow="0" w:firstColumn="1" w:lastColumn="0" w:noHBand="0" w:noVBand="1"/>
      </w:tblPr>
      <w:tblGrid>
        <w:gridCol w:w="1542"/>
        <w:gridCol w:w="5546"/>
        <w:gridCol w:w="4961"/>
        <w:gridCol w:w="1418"/>
      </w:tblGrid>
      <w:tr>
        <w:trPr>
          <w:trHeight w:val="330"/>
        </w:trPr>
        <w:tc>
          <w:tcPr>
            <w:tcW w:w="1542" w:type="dxa"/>
            <w:tcBorders>
              <w:top w:val="single" w:sz="12" w:space="0" w:color="auto"/>
              <w:left w:val="nil"/>
              <w:bottom w:val="single" w:sz="12" w:space="0" w:color="auto"/>
              <w:right w:val="nil"/>
            </w:tcBorders>
            <w:shd w:val="clear" w:color="auto" w:fill="auto"/>
            <w:noWrap/>
            <w:vAlign w:val="center"/>
            <w:hideMark/>
          </w:tcPr>
          <w:p>
            <w:pPr>
              <w:rPr>
                <w:rFonts w:ascii="Arial" w:hAnsi="Arial" w:cs="Arial"/>
                <w:b/>
                <w:bCs/>
                <w:color w:val="000000"/>
                <w:sz w:val="20"/>
                <w:szCs w:val="20"/>
                <w:lang w:bidi="he-IL"/>
              </w:rPr>
            </w:pPr>
            <w:r>
              <w:rPr>
                <w:rFonts w:ascii="Arial" w:hAnsi="Arial" w:cs="Arial"/>
                <w:b/>
                <w:bCs/>
                <w:color w:val="000000"/>
                <w:sz w:val="20"/>
                <w:szCs w:val="20"/>
                <w:lang w:val="en-US" w:bidi="he-IL"/>
              </w:rPr>
              <w:t>Body Location</w:t>
            </w:r>
          </w:p>
        </w:tc>
        <w:tc>
          <w:tcPr>
            <w:tcW w:w="5546" w:type="dxa"/>
            <w:tcBorders>
              <w:top w:val="single" w:sz="12" w:space="0" w:color="auto"/>
              <w:left w:val="nil"/>
              <w:bottom w:val="single" w:sz="12" w:space="0" w:color="auto"/>
              <w:right w:val="nil"/>
            </w:tcBorders>
            <w:shd w:val="clear" w:color="auto" w:fill="auto"/>
            <w:noWrap/>
            <w:vAlign w:val="center"/>
            <w:hideMark/>
          </w:tcPr>
          <w:p>
            <w:pPr>
              <w:rPr>
                <w:rFonts w:ascii="Arial" w:hAnsi="Arial" w:cs="Arial"/>
                <w:b/>
                <w:bCs/>
                <w:color w:val="000000"/>
                <w:sz w:val="20"/>
                <w:szCs w:val="20"/>
                <w:lang w:bidi="he-IL"/>
              </w:rPr>
            </w:pPr>
            <w:r>
              <w:rPr>
                <w:rFonts w:ascii="Arial" w:hAnsi="Arial" w:cs="Arial"/>
                <w:b/>
                <w:bCs/>
                <w:color w:val="000000"/>
                <w:sz w:val="20"/>
                <w:szCs w:val="20"/>
                <w:lang w:val="en-US" w:bidi="he-IL"/>
              </w:rPr>
              <w:t>IF Category</w:t>
            </w:r>
          </w:p>
        </w:tc>
        <w:tc>
          <w:tcPr>
            <w:tcW w:w="4961" w:type="dxa"/>
            <w:tcBorders>
              <w:top w:val="single" w:sz="12" w:space="0" w:color="auto"/>
              <w:left w:val="nil"/>
              <w:bottom w:val="single" w:sz="12" w:space="0" w:color="auto"/>
              <w:right w:val="nil"/>
            </w:tcBorders>
            <w:shd w:val="clear" w:color="auto" w:fill="auto"/>
            <w:vAlign w:val="center"/>
            <w:hideMark/>
          </w:tcPr>
          <w:p>
            <w:pPr>
              <w:rPr>
                <w:rFonts w:ascii="Arial" w:hAnsi="Arial" w:cs="Arial"/>
                <w:b/>
                <w:bCs/>
                <w:color w:val="000000"/>
                <w:sz w:val="20"/>
                <w:szCs w:val="20"/>
                <w:lang w:bidi="he-IL"/>
              </w:rPr>
            </w:pPr>
            <w:r>
              <w:rPr>
                <w:rFonts w:ascii="Arial" w:hAnsi="Arial" w:cs="Arial"/>
                <w:b/>
                <w:bCs/>
                <w:color w:val="000000"/>
                <w:sz w:val="20"/>
                <w:szCs w:val="20"/>
                <w:lang w:val="en-US" w:bidi="he-IL"/>
              </w:rPr>
              <w:t xml:space="preserve">Recommended Definition/Cut-Offs </w:t>
            </w:r>
          </w:p>
        </w:tc>
        <w:tc>
          <w:tcPr>
            <w:tcW w:w="1418" w:type="dxa"/>
            <w:tcBorders>
              <w:top w:val="single" w:sz="12" w:space="0" w:color="auto"/>
              <w:left w:val="nil"/>
              <w:bottom w:val="single" w:sz="12" w:space="0" w:color="auto"/>
              <w:right w:val="nil"/>
            </w:tcBorders>
            <w:shd w:val="clear" w:color="auto" w:fill="auto"/>
            <w:noWrap/>
            <w:vAlign w:val="center"/>
            <w:hideMark/>
          </w:tcPr>
          <w:p>
            <w:pPr>
              <w:jc w:val="center"/>
              <w:rPr>
                <w:rFonts w:ascii="Arial" w:hAnsi="Arial" w:cs="Arial"/>
                <w:b/>
                <w:bCs/>
                <w:color w:val="000000"/>
                <w:sz w:val="20"/>
                <w:szCs w:val="20"/>
                <w:lang w:bidi="he-IL"/>
              </w:rPr>
            </w:pPr>
            <w:r>
              <w:rPr>
                <w:rFonts w:ascii="Arial" w:hAnsi="Arial" w:cs="Arial"/>
                <w:b/>
                <w:bCs/>
                <w:color w:val="000000"/>
                <w:sz w:val="20"/>
                <w:szCs w:val="20"/>
                <w:lang w:val="en-US" w:bidi="he-IL"/>
              </w:rPr>
              <w:t>N (% of 113)</w:t>
            </w:r>
          </w:p>
        </w:tc>
      </w:tr>
      <w:tr>
        <w:trPr>
          <w:trHeight w:val="330"/>
        </w:trPr>
        <w:tc>
          <w:tcPr>
            <w:tcW w:w="1542" w:type="dxa"/>
            <w:tcBorders>
              <w:top w:val="nil"/>
              <w:left w:val="nil"/>
              <w:bottom w:val="nil"/>
              <w:right w:val="nil"/>
            </w:tcBorders>
            <w:shd w:val="clear" w:color="auto" w:fill="auto"/>
            <w:noWrap/>
            <w:vAlign w:val="center"/>
            <w:hideMark/>
          </w:tcPr>
          <w:p>
            <w:pPr>
              <w:rPr>
                <w:rFonts w:ascii="Arial" w:hAnsi="Arial" w:cs="Arial"/>
                <w:b/>
                <w:bCs/>
                <w:color w:val="000000"/>
                <w:sz w:val="20"/>
                <w:szCs w:val="20"/>
                <w:lang w:bidi="he-IL"/>
              </w:rPr>
            </w:pPr>
            <w:r>
              <w:rPr>
                <w:rFonts w:ascii="Arial" w:hAnsi="Arial" w:cs="Arial"/>
                <w:b/>
                <w:bCs/>
                <w:color w:val="000000"/>
                <w:sz w:val="20"/>
                <w:szCs w:val="20"/>
                <w:lang w:val="en-US" w:bidi="he-IL"/>
              </w:rPr>
              <w:t>Abdomen</w:t>
            </w: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val="en-US" w:bidi="he-IL"/>
              </w:rPr>
            </w:pPr>
            <w:r>
              <w:rPr>
                <w:rFonts w:ascii="Arial" w:hAnsi="Arial" w:cs="Arial"/>
                <w:color w:val="000000"/>
                <w:sz w:val="20"/>
                <w:szCs w:val="20"/>
                <w:lang w:val="en-US" w:bidi="he-IL"/>
              </w:rPr>
              <w:t xml:space="preserve">Unclear Liver Lesion, further work-up recommended </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val="en-US" w:bidi="he-IL"/>
              </w:rPr>
            </w:pPr>
            <w:r>
              <w:rPr>
                <w:rFonts w:ascii="Arial" w:hAnsi="Arial" w:cs="Arial"/>
                <w:color w:val="000000"/>
                <w:sz w:val="20"/>
                <w:szCs w:val="20"/>
                <w:lang w:val="en-US" w:bidi="he-IL"/>
              </w:rPr>
              <w:t> </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Arial" w:hAnsi="Arial" w:cs="Arial"/>
                <w:color w:val="000000"/>
                <w:sz w:val="20"/>
                <w:szCs w:val="20"/>
                <w:lang w:val="en-US" w:bidi="he-IL"/>
              </w:rPr>
              <w:t>13 (11.5%)</w:t>
            </w:r>
          </w:p>
        </w:tc>
      </w:tr>
      <w:tr>
        <w:trPr>
          <w:trHeight w:val="31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xml:space="preserve">Complex renal cyst </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Bosniak 2F</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Arial" w:hAnsi="Arial" w:cs="Arial"/>
                <w:color w:val="000000"/>
                <w:sz w:val="20"/>
                <w:szCs w:val="20"/>
                <w:lang w:val="en-US" w:bidi="he-IL"/>
              </w:rPr>
              <w:t>10 (8.9%)</w:t>
            </w:r>
          </w:p>
        </w:tc>
      </w:tr>
      <w:tr>
        <w:trPr>
          <w:trHeight w:val="31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xml:space="preserve">Cystic Pancreatic Lesion </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Size &gt;2cm</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Arial" w:hAnsi="Arial" w:cs="Arial"/>
                <w:color w:val="000000"/>
                <w:sz w:val="20"/>
                <w:szCs w:val="20"/>
                <w:lang w:val="en-US" w:bidi="he-IL"/>
              </w:rPr>
              <w:t>5 (4.4%)</w:t>
            </w:r>
          </w:p>
        </w:tc>
      </w:tr>
      <w:tr>
        <w:trPr>
          <w:trHeight w:val="31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xml:space="preserve">Solid liver lesions </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Size &gt;2 cm</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Arial" w:hAnsi="Arial" w:cs="Arial"/>
                <w:color w:val="000000"/>
                <w:sz w:val="20"/>
                <w:szCs w:val="20"/>
                <w:lang w:val="en-US" w:bidi="he-IL"/>
              </w:rPr>
              <w:t>4 (3.5%)</w:t>
            </w:r>
          </w:p>
        </w:tc>
      </w:tr>
      <w:tr>
        <w:trPr>
          <w:trHeight w:val="31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val="en-US" w:bidi="he-IL"/>
              </w:rPr>
            </w:pPr>
            <w:r>
              <w:rPr>
                <w:rFonts w:ascii="Arial" w:hAnsi="Arial" w:cs="Arial"/>
                <w:color w:val="000000"/>
                <w:sz w:val="20"/>
                <w:szCs w:val="20"/>
                <w:lang w:val="en-US" w:bidi="he-IL"/>
              </w:rPr>
              <w:t xml:space="preserve">Intra or extrahepatic cholestasis with </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val="en-US" w:bidi="he-IL"/>
              </w:rPr>
            </w:pPr>
            <w:r>
              <w:rPr>
                <w:rFonts w:ascii="Arial" w:hAnsi="Arial" w:cs="Arial"/>
                <w:color w:val="000000"/>
                <w:sz w:val="20"/>
                <w:szCs w:val="20"/>
                <w:lang w:val="en-US" w:bidi="he-IL"/>
              </w:rPr>
              <w:t>DHC &gt;15 mm (after cholecystectomy DHC &gt;20 mm)</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Urinary obstruction</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val="en-US" w:bidi="he-IL"/>
              </w:rPr>
            </w:pPr>
            <w:r>
              <w:rPr>
                <w:rFonts w:ascii="Arial" w:hAnsi="Arial" w:cs="Arial"/>
                <w:color w:val="000000"/>
                <w:sz w:val="20"/>
                <w:szCs w:val="20"/>
                <w:lang w:val="en-US" w:bidi="he-IL"/>
              </w:rPr>
              <w:t>Grade II, III or IV</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77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single" w:sz="8" w:space="0" w:color="BFBFBF"/>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xml:space="preserve">Intraabdominal lymphadenopathy </w:t>
            </w:r>
          </w:p>
        </w:tc>
        <w:tc>
          <w:tcPr>
            <w:tcW w:w="4961" w:type="dxa"/>
            <w:tcBorders>
              <w:top w:val="single" w:sz="8" w:space="0" w:color="BFBFBF"/>
              <w:left w:val="nil"/>
              <w:bottom w:val="single" w:sz="8" w:space="0" w:color="BFBFBF"/>
              <w:right w:val="nil"/>
            </w:tcBorders>
            <w:shd w:val="clear" w:color="auto" w:fill="auto"/>
            <w:vAlign w:val="center"/>
            <w:hideMark/>
          </w:tcPr>
          <w:p>
            <w:pPr>
              <w:rPr>
                <w:rFonts w:ascii="Arial" w:hAnsi="Arial" w:cs="Arial"/>
                <w:color w:val="000000"/>
                <w:sz w:val="20"/>
                <w:szCs w:val="20"/>
                <w:lang w:val="en-US" w:bidi="he-IL"/>
              </w:rPr>
            </w:pPr>
            <w:r>
              <w:rPr>
                <w:rFonts w:ascii="Arial" w:hAnsi="Arial" w:cs="Arial"/>
                <w:color w:val="000000"/>
                <w:sz w:val="20"/>
                <w:szCs w:val="20"/>
                <w:lang w:val="en-US" w:bidi="he-IL"/>
              </w:rPr>
              <w:t>Short diameter &gt;15 mm and &gt;3 lymphnodes grouped in a circumscribed region</w:t>
            </w:r>
          </w:p>
        </w:tc>
        <w:tc>
          <w:tcPr>
            <w:tcW w:w="1418" w:type="dxa"/>
            <w:tcBorders>
              <w:top w:val="single" w:sz="8" w:space="0" w:color="BFBFBF"/>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Arial" w:hAnsi="Arial" w:cs="Arial"/>
                <w:color w:val="000000"/>
                <w:sz w:val="20"/>
                <w:szCs w:val="20"/>
                <w:lang w:val="en-US" w:bidi="he-IL"/>
              </w:rPr>
              <w:t>≤3</w:t>
            </w:r>
          </w:p>
        </w:tc>
      </w:tr>
      <w:tr>
        <w:trPr>
          <w:trHeight w:val="31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val="en-US" w:bidi="he-IL"/>
              </w:rPr>
            </w:pPr>
          </w:p>
        </w:tc>
        <w:tc>
          <w:tcPr>
            <w:tcW w:w="5546" w:type="dxa"/>
            <w:tcBorders>
              <w:top w:val="single" w:sz="8" w:space="0" w:color="BFBFBF"/>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xml:space="preserve">Adrenal lesion </w:t>
            </w:r>
          </w:p>
        </w:tc>
        <w:tc>
          <w:tcPr>
            <w:tcW w:w="4961" w:type="dxa"/>
            <w:tcBorders>
              <w:top w:val="single" w:sz="8" w:space="0" w:color="BFBFBF"/>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Size &gt;2 cm</w:t>
            </w:r>
          </w:p>
        </w:tc>
        <w:tc>
          <w:tcPr>
            <w:tcW w:w="1418" w:type="dxa"/>
            <w:tcBorders>
              <w:top w:val="single" w:sz="8" w:space="0" w:color="BFBFBF"/>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Chronic inflammatory bowel disease</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xml:space="preserve">Dilatation of pancreatic duct </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Diameter &gt;5 mm</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val="en-US" w:bidi="he-IL"/>
              </w:rPr>
            </w:pPr>
            <w:r>
              <w:rPr>
                <w:rFonts w:ascii="Arial" w:hAnsi="Arial" w:cs="Arial"/>
                <w:color w:val="000000"/>
                <w:sz w:val="20"/>
                <w:szCs w:val="20"/>
                <w:lang w:val="en-US" w:bidi="he-IL"/>
              </w:rPr>
              <w:t xml:space="preserve">Solid and semisolid renal tumors </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Size &gt;2 cm</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val="en-US" w:bidi="he-IL"/>
              </w:rPr>
            </w:pPr>
            <w:r>
              <w:rPr>
                <w:rFonts w:ascii="Arial" w:hAnsi="Arial" w:cs="Arial"/>
                <w:color w:val="000000"/>
                <w:sz w:val="20"/>
                <w:szCs w:val="20"/>
                <w:lang w:val="en-US" w:bidi="he-IL"/>
              </w:rPr>
              <w:t>Multiple non-cystic, non-hemangioma like liver lesions</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Multiple &gt;3, size &gt;2 cm</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single" w:sz="8" w:space="0" w:color="auto"/>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w:t>
            </w:r>
          </w:p>
        </w:tc>
        <w:tc>
          <w:tcPr>
            <w:tcW w:w="5546" w:type="dxa"/>
            <w:tcBorders>
              <w:top w:val="nil"/>
              <w:left w:val="nil"/>
              <w:bottom w:val="single" w:sz="8" w:space="0" w:color="auto"/>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xml:space="preserve">Solid gall bladder lesion </w:t>
            </w:r>
          </w:p>
        </w:tc>
        <w:tc>
          <w:tcPr>
            <w:tcW w:w="4961" w:type="dxa"/>
            <w:tcBorders>
              <w:top w:val="nil"/>
              <w:left w:val="nil"/>
              <w:bottom w:val="single" w:sz="8" w:space="0" w:color="auto"/>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Size &gt;2 cm</w:t>
            </w:r>
          </w:p>
        </w:tc>
        <w:tc>
          <w:tcPr>
            <w:tcW w:w="1418" w:type="dxa"/>
            <w:tcBorders>
              <w:top w:val="nil"/>
              <w:left w:val="nil"/>
              <w:bottom w:val="single" w:sz="8" w:space="0" w:color="auto"/>
              <w:right w:val="nil"/>
            </w:tcBorders>
            <w:shd w:val="clear" w:color="auto" w:fill="auto"/>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vMerge w:val="restart"/>
            <w:tcBorders>
              <w:top w:val="nil"/>
              <w:left w:val="nil"/>
              <w:bottom w:val="nil"/>
              <w:right w:val="nil"/>
            </w:tcBorders>
            <w:shd w:val="clear" w:color="auto" w:fill="auto"/>
            <w:noWrap/>
            <w:vAlign w:val="center"/>
            <w:hideMark/>
          </w:tcPr>
          <w:p>
            <w:pPr>
              <w:rPr>
                <w:rFonts w:ascii="Arial" w:hAnsi="Arial" w:cs="Arial"/>
                <w:b/>
                <w:bCs/>
                <w:color w:val="000000"/>
                <w:sz w:val="20"/>
                <w:szCs w:val="20"/>
                <w:lang w:bidi="he-IL"/>
              </w:rPr>
            </w:pPr>
            <w:r>
              <w:rPr>
                <w:rFonts w:ascii="Arial" w:hAnsi="Arial" w:cs="Arial"/>
                <w:b/>
                <w:bCs/>
                <w:color w:val="000000"/>
                <w:sz w:val="20"/>
                <w:szCs w:val="20"/>
                <w:lang w:val="en-US" w:bidi="he-IL"/>
              </w:rPr>
              <w:t>Cardio-vascular</w:t>
            </w: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Myocardial infarction</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Arial" w:hAnsi="Arial" w:cs="Arial"/>
                <w:color w:val="000000"/>
                <w:sz w:val="20"/>
                <w:szCs w:val="20"/>
                <w:lang w:val="en-US" w:bidi="he-IL"/>
              </w:rPr>
              <w:t>12 (10.6%)</w:t>
            </w:r>
          </w:p>
        </w:tc>
      </w:tr>
      <w:tr>
        <w:trPr>
          <w:trHeight w:val="315"/>
        </w:trPr>
        <w:tc>
          <w:tcPr>
            <w:tcW w:w="1542" w:type="dxa"/>
            <w:vMerge/>
            <w:tcBorders>
              <w:top w:val="nil"/>
              <w:left w:val="nil"/>
              <w:bottom w:val="nil"/>
              <w:right w:val="nil"/>
            </w:tcBorders>
            <w:vAlign w:val="center"/>
            <w:hideMark/>
          </w:tcPr>
          <w:p>
            <w:pPr>
              <w:rPr>
                <w:rFonts w:ascii="Arial" w:hAnsi="Arial" w:cs="Arial"/>
                <w:b/>
                <w:bCs/>
                <w:color w:val="000000"/>
                <w:sz w:val="20"/>
                <w:szCs w:val="20"/>
                <w:lang w:bidi="he-IL"/>
              </w:rPr>
            </w:pP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Cardiomyopathy</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vMerge/>
            <w:tcBorders>
              <w:top w:val="nil"/>
              <w:left w:val="nil"/>
              <w:bottom w:val="nil"/>
              <w:right w:val="nil"/>
            </w:tcBorders>
            <w:vAlign w:val="center"/>
            <w:hideMark/>
          </w:tcPr>
          <w:p>
            <w:pPr>
              <w:rPr>
                <w:rFonts w:ascii="Arial" w:hAnsi="Arial" w:cs="Arial"/>
                <w:b/>
                <w:bCs/>
                <w:color w:val="000000"/>
                <w:sz w:val="20"/>
                <w:szCs w:val="20"/>
                <w:lang w:bidi="he-IL"/>
              </w:rPr>
            </w:pP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val="en-US" w:bidi="he-IL"/>
              </w:rPr>
            </w:pPr>
            <w:r>
              <w:rPr>
                <w:rFonts w:ascii="Arial" w:hAnsi="Arial" w:cs="Arial"/>
                <w:color w:val="000000"/>
                <w:sz w:val="20"/>
                <w:szCs w:val="20"/>
                <w:lang w:val="en-US" w:bidi="he-IL"/>
              </w:rPr>
              <w:t>Cardiac mass (including cardiac thrombus)</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val="en-US" w:bidi="he-IL"/>
              </w:rPr>
            </w:pPr>
            <w:r>
              <w:rPr>
                <w:rFonts w:ascii="Arial" w:hAnsi="Arial" w:cs="Arial"/>
                <w:color w:val="000000"/>
                <w:sz w:val="20"/>
                <w:szCs w:val="20"/>
                <w:lang w:val="en-US" w:bidi="he-IL"/>
              </w:rPr>
              <w:t> </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val="en-US" w:bidi="he-IL"/>
              </w:rPr>
            </w:pPr>
            <w:r>
              <w:rPr>
                <w:rFonts w:ascii="Arial" w:hAnsi="Arial" w:cs="Arial"/>
                <w:color w:val="000000"/>
                <w:sz w:val="20"/>
                <w:szCs w:val="20"/>
                <w:lang w:val="en-US" w:bidi="he-IL"/>
              </w:rPr>
              <w:t>Severe Arterial Stenosis or Occlusion (of a relevant vessel)</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val="en-US" w:bidi="he-IL"/>
              </w:rPr>
            </w:pPr>
            <w:r>
              <w:rPr>
                <w:rFonts w:ascii="Arial" w:hAnsi="Arial" w:cs="Arial"/>
                <w:color w:val="000000"/>
                <w:sz w:val="20"/>
                <w:szCs w:val="20"/>
                <w:lang w:val="en-US" w:bidi="he-IL"/>
              </w:rPr>
              <w:t> </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xml:space="preserve">Severely reduced LV function  </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EF &lt;30%</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xml:space="preserve">Thoracic aortic aneurysm </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Diameter &gt;5 cm</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single" w:sz="8" w:space="0" w:color="auto"/>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w:t>
            </w:r>
          </w:p>
        </w:tc>
        <w:tc>
          <w:tcPr>
            <w:tcW w:w="5546" w:type="dxa"/>
            <w:tcBorders>
              <w:top w:val="nil"/>
              <w:left w:val="nil"/>
              <w:bottom w:val="single" w:sz="8" w:space="0" w:color="auto"/>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Vasculitis</w:t>
            </w:r>
          </w:p>
        </w:tc>
        <w:tc>
          <w:tcPr>
            <w:tcW w:w="4961" w:type="dxa"/>
            <w:tcBorders>
              <w:top w:val="nil"/>
              <w:left w:val="nil"/>
              <w:bottom w:val="single" w:sz="8" w:space="0" w:color="auto"/>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w:t>
            </w:r>
          </w:p>
        </w:tc>
        <w:tc>
          <w:tcPr>
            <w:tcW w:w="1418" w:type="dxa"/>
            <w:tcBorders>
              <w:top w:val="nil"/>
              <w:left w:val="nil"/>
              <w:bottom w:val="single" w:sz="8" w:space="0" w:color="auto"/>
              <w:right w:val="nil"/>
            </w:tcBorders>
            <w:shd w:val="clear" w:color="auto" w:fill="auto"/>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nil"/>
              <w:right w:val="nil"/>
            </w:tcBorders>
            <w:shd w:val="clear" w:color="auto" w:fill="auto"/>
            <w:noWrap/>
            <w:vAlign w:val="center"/>
            <w:hideMark/>
          </w:tcPr>
          <w:p>
            <w:pPr>
              <w:rPr>
                <w:rFonts w:ascii="Arial" w:hAnsi="Arial" w:cs="Arial"/>
                <w:b/>
                <w:bCs/>
                <w:color w:val="000000"/>
                <w:sz w:val="20"/>
                <w:szCs w:val="20"/>
                <w:lang w:bidi="he-IL"/>
              </w:rPr>
            </w:pPr>
            <w:r>
              <w:rPr>
                <w:rFonts w:ascii="Arial" w:hAnsi="Arial" w:cs="Arial"/>
                <w:b/>
                <w:bCs/>
                <w:color w:val="000000"/>
                <w:sz w:val="20"/>
                <w:szCs w:val="20"/>
                <w:lang w:val="en-US" w:bidi="he-IL"/>
              </w:rPr>
              <w:t>ENT</w:t>
            </w: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xml:space="preserve">Cystic mass </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Size &gt;2 cm</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xml:space="preserve">Thyroid mass </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Size &gt;3 cm</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single" w:sz="8" w:space="0" w:color="auto"/>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lastRenderedPageBreak/>
              <w:t> </w:t>
            </w:r>
          </w:p>
        </w:tc>
        <w:tc>
          <w:tcPr>
            <w:tcW w:w="5546" w:type="dxa"/>
            <w:tcBorders>
              <w:top w:val="nil"/>
              <w:left w:val="nil"/>
              <w:bottom w:val="single" w:sz="8" w:space="0" w:color="auto"/>
              <w:right w:val="nil"/>
            </w:tcBorders>
            <w:shd w:val="clear" w:color="auto" w:fill="auto"/>
            <w:noWrap/>
            <w:vAlign w:val="center"/>
            <w:hideMark/>
          </w:tcPr>
          <w:p>
            <w:pPr>
              <w:rPr>
                <w:rFonts w:ascii="Arial" w:hAnsi="Arial" w:cs="Arial"/>
                <w:color w:val="000000"/>
                <w:sz w:val="20"/>
                <w:szCs w:val="20"/>
                <w:lang w:val="en-US" w:bidi="he-IL"/>
              </w:rPr>
            </w:pPr>
            <w:r>
              <w:rPr>
                <w:rFonts w:ascii="Arial" w:hAnsi="Arial" w:cs="Arial"/>
                <w:color w:val="000000"/>
                <w:sz w:val="20"/>
                <w:szCs w:val="20"/>
                <w:lang w:val="en-US" w:bidi="he-IL"/>
              </w:rPr>
              <w:t>Intraoral dental/bone/soft tissue infection</w:t>
            </w:r>
          </w:p>
        </w:tc>
        <w:tc>
          <w:tcPr>
            <w:tcW w:w="4961" w:type="dxa"/>
            <w:tcBorders>
              <w:top w:val="nil"/>
              <w:left w:val="nil"/>
              <w:bottom w:val="single" w:sz="8" w:space="0" w:color="auto"/>
              <w:right w:val="nil"/>
            </w:tcBorders>
            <w:shd w:val="clear" w:color="auto" w:fill="auto"/>
            <w:vAlign w:val="center"/>
            <w:hideMark/>
          </w:tcPr>
          <w:p>
            <w:pPr>
              <w:rPr>
                <w:rFonts w:ascii="Arial" w:hAnsi="Arial" w:cs="Arial"/>
                <w:color w:val="000000"/>
                <w:sz w:val="20"/>
                <w:szCs w:val="20"/>
                <w:lang w:val="en-US" w:bidi="he-IL"/>
              </w:rPr>
            </w:pPr>
            <w:r>
              <w:rPr>
                <w:rFonts w:ascii="Arial" w:hAnsi="Arial" w:cs="Arial"/>
                <w:color w:val="000000"/>
                <w:sz w:val="20"/>
                <w:szCs w:val="20"/>
                <w:lang w:val="en-US" w:bidi="he-IL"/>
              </w:rPr>
              <w:t> </w:t>
            </w:r>
          </w:p>
        </w:tc>
        <w:tc>
          <w:tcPr>
            <w:tcW w:w="1418" w:type="dxa"/>
            <w:tcBorders>
              <w:top w:val="nil"/>
              <w:left w:val="nil"/>
              <w:bottom w:val="single" w:sz="8" w:space="0" w:color="auto"/>
              <w:right w:val="nil"/>
            </w:tcBorders>
            <w:shd w:val="clear" w:color="auto" w:fill="auto"/>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single" w:sz="8" w:space="0" w:color="auto"/>
              <w:right w:val="nil"/>
            </w:tcBorders>
            <w:shd w:val="clear" w:color="auto" w:fill="auto"/>
            <w:noWrap/>
            <w:vAlign w:val="center"/>
            <w:hideMark/>
          </w:tcPr>
          <w:p>
            <w:pPr>
              <w:rPr>
                <w:rFonts w:ascii="Arial" w:hAnsi="Arial" w:cs="Arial"/>
                <w:b/>
                <w:bCs/>
                <w:color w:val="000000"/>
                <w:sz w:val="20"/>
                <w:szCs w:val="20"/>
                <w:lang w:bidi="he-IL"/>
              </w:rPr>
            </w:pPr>
            <w:r>
              <w:rPr>
                <w:rFonts w:ascii="Arial" w:hAnsi="Arial" w:cs="Arial"/>
                <w:b/>
                <w:bCs/>
                <w:color w:val="000000"/>
                <w:sz w:val="20"/>
                <w:szCs w:val="20"/>
                <w:lang w:val="en-US" w:bidi="he-IL"/>
              </w:rPr>
              <w:t>Genital system</w:t>
            </w:r>
          </w:p>
        </w:tc>
        <w:tc>
          <w:tcPr>
            <w:tcW w:w="5546" w:type="dxa"/>
            <w:tcBorders>
              <w:top w:val="nil"/>
              <w:left w:val="nil"/>
              <w:bottom w:val="single" w:sz="8" w:space="0" w:color="auto"/>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xml:space="preserve">Cystic ovarian tumor </w:t>
            </w:r>
          </w:p>
        </w:tc>
        <w:tc>
          <w:tcPr>
            <w:tcW w:w="4961" w:type="dxa"/>
            <w:tcBorders>
              <w:top w:val="nil"/>
              <w:left w:val="nil"/>
              <w:bottom w:val="single" w:sz="8" w:space="0" w:color="auto"/>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Size &gt;2 cm</w:t>
            </w:r>
          </w:p>
        </w:tc>
        <w:tc>
          <w:tcPr>
            <w:tcW w:w="1418" w:type="dxa"/>
            <w:tcBorders>
              <w:top w:val="nil"/>
              <w:left w:val="nil"/>
              <w:bottom w:val="single" w:sz="8" w:space="0" w:color="auto"/>
              <w:right w:val="nil"/>
            </w:tcBorders>
            <w:shd w:val="clear" w:color="auto" w:fill="auto"/>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nil"/>
              <w:right w:val="nil"/>
            </w:tcBorders>
            <w:shd w:val="clear" w:color="auto" w:fill="auto"/>
            <w:noWrap/>
            <w:vAlign w:val="center"/>
            <w:hideMark/>
          </w:tcPr>
          <w:p>
            <w:pPr>
              <w:rPr>
                <w:rFonts w:ascii="Arial" w:hAnsi="Arial" w:cs="Arial"/>
                <w:b/>
                <w:bCs/>
                <w:color w:val="000000"/>
                <w:sz w:val="20"/>
                <w:szCs w:val="20"/>
                <w:lang w:bidi="he-IL"/>
              </w:rPr>
            </w:pPr>
            <w:r>
              <w:rPr>
                <w:rFonts w:ascii="Arial" w:hAnsi="Arial" w:cs="Arial"/>
                <w:b/>
                <w:bCs/>
                <w:color w:val="000000"/>
                <w:sz w:val="20"/>
                <w:szCs w:val="20"/>
                <w:lang w:val="en-US" w:bidi="he-IL"/>
              </w:rPr>
              <w:t>MSK</w:t>
            </w: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val="en-US" w:bidi="he-IL"/>
              </w:rPr>
            </w:pPr>
            <w:r>
              <w:rPr>
                <w:rFonts w:ascii="Arial" w:hAnsi="Arial" w:cs="Arial"/>
                <w:color w:val="000000"/>
                <w:sz w:val="20"/>
                <w:szCs w:val="20"/>
                <w:lang w:val="en-US" w:bidi="he-IL"/>
              </w:rPr>
              <w:t xml:space="preserve">Bone tumors and tumor like bone lesions </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Size &gt;2 cm</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417"/>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single" w:sz="8" w:space="0" w:color="BFBFBF"/>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bidi="he-IL"/>
              </w:rPr>
              <w:t xml:space="preserve">Soft tissue tumor </w:t>
            </w:r>
          </w:p>
        </w:tc>
        <w:tc>
          <w:tcPr>
            <w:tcW w:w="4961" w:type="dxa"/>
            <w:tcBorders>
              <w:top w:val="single" w:sz="8" w:space="0" w:color="BFBFBF"/>
              <w:left w:val="nil"/>
              <w:bottom w:val="single" w:sz="8" w:space="0" w:color="BFBFBF"/>
              <w:right w:val="nil"/>
            </w:tcBorders>
            <w:shd w:val="clear" w:color="auto" w:fill="auto"/>
            <w:vAlign w:val="center"/>
            <w:hideMark/>
          </w:tcPr>
          <w:p>
            <w:pPr>
              <w:rPr>
                <w:rFonts w:ascii="Arial" w:hAnsi="Arial" w:cs="Arial"/>
                <w:color w:val="000000"/>
                <w:sz w:val="20"/>
                <w:szCs w:val="20"/>
                <w:lang w:val="en-US" w:bidi="he-IL"/>
              </w:rPr>
            </w:pPr>
            <w:r>
              <w:rPr>
                <w:rFonts w:ascii="Arial" w:hAnsi="Arial" w:cs="Arial"/>
                <w:color w:val="000000"/>
                <w:sz w:val="20"/>
                <w:szCs w:val="20"/>
                <w:lang w:val="en-US" w:bidi="he-IL"/>
              </w:rPr>
              <w:t>If size &gt;5 cm or infiltrative growth pattern</w:t>
            </w:r>
          </w:p>
        </w:tc>
        <w:tc>
          <w:tcPr>
            <w:tcW w:w="1418" w:type="dxa"/>
            <w:tcBorders>
              <w:top w:val="single" w:sz="8" w:space="0" w:color="BFBFBF"/>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Arial" w:hAnsi="Arial" w:cs="Arial"/>
                <w:color w:val="000000"/>
                <w:sz w:val="20"/>
                <w:szCs w:val="20"/>
                <w:lang w:val="en-US" w:bidi="he-IL"/>
              </w:rPr>
              <w:t>≤3</w:t>
            </w:r>
          </w:p>
        </w:tc>
      </w:tr>
      <w:tr>
        <w:trPr>
          <w:trHeight w:val="31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single" w:sz="8" w:space="0" w:color="BFBFBF"/>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bidi="he-IL"/>
              </w:rPr>
              <w:t>Compression of myelon</w:t>
            </w:r>
          </w:p>
        </w:tc>
        <w:tc>
          <w:tcPr>
            <w:tcW w:w="4961" w:type="dxa"/>
            <w:tcBorders>
              <w:top w:val="single" w:sz="8" w:space="0" w:color="BFBFBF"/>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bidi="he-IL"/>
              </w:rPr>
              <w:t> </w:t>
            </w:r>
          </w:p>
        </w:tc>
        <w:tc>
          <w:tcPr>
            <w:tcW w:w="1418" w:type="dxa"/>
            <w:tcBorders>
              <w:top w:val="single" w:sz="8" w:space="0" w:color="BFBFBF"/>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xml:space="preserve">Intraspinal tumor </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Size &gt;1 cm</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single" w:sz="8" w:space="0" w:color="auto"/>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w:t>
            </w:r>
          </w:p>
        </w:tc>
        <w:tc>
          <w:tcPr>
            <w:tcW w:w="5546" w:type="dxa"/>
            <w:tcBorders>
              <w:top w:val="nil"/>
              <w:left w:val="nil"/>
              <w:bottom w:val="single" w:sz="8" w:space="0" w:color="auto"/>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Suspecion of rheumatic disease</w:t>
            </w:r>
          </w:p>
        </w:tc>
        <w:tc>
          <w:tcPr>
            <w:tcW w:w="4961" w:type="dxa"/>
            <w:tcBorders>
              <w:top w:val="nil"/>
              <w:left w:val="nil"/>
              <w:bottom w:val="single" w:sz="8" w:space="0" w:color="auto"/>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w:t>
            </w:r>
          </w:p>
        </w:tc>
        <w:tc>
          <w:tcPr>
            <w:tcW w:w="1418" w:type="dxa"/>
            <w:tcBorders>
              <w:top w:val="nil"/>
              <w:left w:val="nil"/>
              <w:bottom w:val="single" w:sz="8" w:space="0" w:color="auto"/>
              <w:right w:val="nil"/>
            </w:tcBorders>
            <w:shd w:val="clear" w:color="auto" w:fill="auto"/>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nil"/>
              <w:right w:val="nil"/>
            </w:tcBorders>
            <w:shd w:val="clear" w:color="auto" w:fill="auto"/>
            <w:noWrap/>
            <w:vAlign w:val="center"/>
            <w:hideMark/>
          </w:tcPr>
          <w:p>
            <w:pPr>
              <w:rPr>
                <w:rFonts w:ascii="Arial" w:hAnsi="Arial" w:cs="Arial"/>
                <w:b/>
                <w:bCs/>
                <w:color w:val="000000"/>
                <w:sz w:val="20"/>
                <w:szCs w:val="20"/>
                <w:lang w:bidi="he-IL"/>
              </w:rPr>
            </w:pPr>
            <w:r>
              <w:rPr>
                <w:rFonts w:ascii="Arial" w:hAnsi="Arial" w:cs="Arial"/>
                <w:b/>
                <w:bCs/>
                <w:color w:val="000000"/>
                <w:sz w:val="20"/>
                <w:szCs w:val="20"/>
                <w:lang w:val="en-US" w:bidi="he-IL"/>
              </w:rPr>
              <w:t>Neuro</w:t>
            </w: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Solid cerebral mass supratentorial</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Size &gt;2 cm</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Arial" w:hAnsi="Arial" w:cs="Arial"/>
                <w:color w:val="000000"/>
                <w:sz w:val="20"/>
                <w:szCs w:val="20"/>
                <w:lang w:val="en-US" w:bidi="he-IL"/>
              </w:rPr>
              <w:t>5 (4.4%)</w:t>
            </w:r>
          </w:p>
        </w:tc>
      </w:tr>
      <w:tr>
        <w:trPr>
          <w:trHeight w:val="31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Vascular malformations excluding DVA</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Arial" w:hAnsi="Arial" w:cs="Arial"/>
                <w:color w:val="000000"/>
                <w:sz w:val="20"/>
                <w:szCs w:val="20"/>
                <w:lang w:val="en-US" w:bidi="he-IL"/>
              </w:rPr>
              <w:t>4 (3.5%)</w:t>
            </w:r>
          </w:p>
        </w:tc>
      </w:tr>
      <w:tr>
        <w:trPr>
          <w:trHeight w:val="31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Aneurysm of intracranial arteries</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Diameter &gt;5mm</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Territorial brain infarction</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Solid cerebral mass infratentorial</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Size &gt;1 cm</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Cystic cerebral mass infratentorial</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Size &gt;1 cm</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single" w:sz="8" w:space="0" w:color="auto"/>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w:t>
            </w:r>
          </w:p>
        </w:tc>
        <w:tc>
          <w:tcPr>
            <w:tcW w:w="5546" w:type="dxa"/>
            <w:tcBorders>
              <w:top w:val="nil"/>
              <w:left w:val="nil"/>
              <w:bottom w:val="single" w:sz="8" w:space="0" w:color="auto"/>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Cystic cerebral mass supratentorial</w:t>
            </w:r>
          </w:p>
        </w:tc>
        <w:tc>
          <w:tcPr>
            <w:tcW w:w="4961" w:type="dxa"/>
            <w:tcBorders>
              <w:top w:val="nil"/>
              <w:left w:val="nil"/>
              <w:bottom w:val="single" w:sz="8" w:space="0" w:color="auto"/>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Size &gt;2 cm</w:t>
            </w:r>
          </w:p>
        </w:tc>
        <w:tc>
          <w:tcPr>
            <w:tcW w:w="1418" w:type="dxa"/>
            <w:tcBorders>
              <w:top w:val="nil"/>
              <w:left w:val="nil"/>
              <w:bottom w:val="single" w:sz="8" w:space="0" w:color="auto"/>
              <w:right w:val="nil"/>
            </w:tcBorders>
            <w:shd w:val="clear" w:color="auto" w:fill="auto"/>
            <w:vAlign w:val="center"/>
            <w:hideMark/>
          </w:tcPr>
          <w:p>
            <w:pPr>
              <w:jc w:val="center"/>
              <w:rPr>
                <w:rFonts w:ascii="Arial" w:hAnsi="Arial" w:cs="Arial"/>
                <w:color w:val="000000"/>
                <w:sz w:val="20"/>
                <w:szCs w:val="20"/>
                <w:lang w:bidi="he-IL"/>
              </w:rPr>
            </w:pPr>
            <w:r>
              <w:rPr>
                <w:rFonts w:ascii="Calibri" w:hAnsi="Calibri" w:cs="Calibri"/>
                <w:color w:val="000000"/>
                <w:sz w:val="20"/>
                <w:szCs w:val="20"/>
                <w:lang w:val="en-US" w:bidi="he-IL"/>
              </w:rPr>
              <w:t>≤</w:t>
            </w:r>
            <w:r>
              <w:rPr>
                <w:rFonts w:ascii="Arial" w:hAnsi="Arial" w:cs="Arial"/>
                <w:color w:val="000000"/>
                <w:sz w:val="20"/>
                <w:szCs w:val="20"/>
                <w:lang w:val="en-US" w:bidi="he-IL"/>
              </w:rPr>
              <w:t>3</w:t>
            </w:r>
          </w:p>
        </w:tc>
      </w:tr>
      <w:tr>
        <w:trPr>
          <w:trHeight w:val="315"/>
        </w:trPr>
        <w:tc>
          <w:tcPr>
            <w:tcW w:w="1542" w:type="dxa"/>
            <w:tcBorders>
              <w:top w:val="nil"/>
              <w:left w:val="nil"/>
              <w:bottom w:val="nil"/>
              <w:right w:val="nil"/>
            </w:tcBorders>
            <w:shd w:val="clear" w:color="auto" w:fill="auto"/>
            <w:noWrap/>
            <w:vAlign w:val="center"/>
            <w:hideMark/>
          </w:tcPr>
          <w:p>
            <w:pPr>
              <w:rPr>
                <w:rFonts w:ascii="Arial" w:hAnsi="Arial" w:cs="Arial"/>
                <w:b/>
                <w:bCs/>
                <w:color w:val="000000"/>
                <w:sz w:val="20"/>
                <w:szCs w:val="20"/>
                <w:lang w:bidi="he-IL"/>
              </w:rPr>
            </w:pPr>
            <w:r>
              <w:rPr>
                <w:rFonts w:ascii="Arial" w:hAnsi="Arial" w:cs="Arial"/>
                <w:b/>
                <w:bCs/>
                <w:color w:val="000000"/>
                <w:sz w:val="20"/>
                <w:szCs w:val="20"/>
                <w:lang w:val="en-US" w:bidi="he-IL"/>
              </w:rPr>
              <w:t>Thorax</w:t>
            </w: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xml:space="preserve">Breast lesion </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Size &gt;2 cm</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Arial" w:hAnsi="Arial" w:cs="Arial"/>
                <w:color w:val="000000"/>
                <w:sz w:val="20"/>
                <w:szCs w:val="20"/>
                <w:lang w:val="en-US" w:bidi="he-IL"/>
              </w:rPr>
              <w:t>6 (5.3%)</w:t>
            </w:r>
          </w:p>
        </w:tc>
      </w:tr>
      <w:tr>
        <w:trPr>
          <w:trHeight w:val="315"/>
        </w:trPr>
        <w:tc>
          <w:tcPr>
            <w:tcW w:w="1542" w:type="dxa"/>
            <w:tcBorders>
              <w:top w:val="nil"/>
              <w:left w:val="nil"/>
              <w:bottom w:val="nil"/>
              <w:right w:val="nil"/>
            </w:tcBorders>
            <w:shd w:val="clear" w:color="auto" w:fill="auto"/>
            <w:noWrap/>
            <w:hideMark/>
          </w:tcPr>
          <w:p>
            <w:pPr>
              <w:rPr>
                <w:rFonts w:ascii="Arial" w:hAnsi="Arial" w:cs="Arial"/>
                <w:color w:val="000000"/>
                <w:sz w:val="20"/>
                <w:szCs w:val="20"/>
                <w:lang w:bidi="he-IL"/>
              </w:rPr>
            </w:pPr>
          </w:p>
        </w:tc>
        <w:tc>
          <w:tcPr>
            <w:tcW w:w="5546" w:type="dxa"/>
            <w:tcBorders>
              <w:top w:val="nil"/>
              <w:left w:val="nil"/>
              <w:bottom w:val="single" w:sz="8" w:space="0" w:color="BFBFBF"/>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xml:space="preserve">Pulmonary mass </w:t>
            </w:r>
          </w:p>
        </w:tc>
        <w:tc>
          <w:tcPr>
            <w:tcW w:w="4961" w:type="dxa"/>
            <w:tcBorders>
              <w:top w:val="nil"/>
              <w:left w:val="nil"/>
              <w:bottom w:val="single" w:sz="8" w:space="0" w:color="BFBFBF"/>
              <w:right w:val="nil"/>
            </w:tcBorders>
            <w:shd w:val="clear" w:color="auto" w:fill="auto"/>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Size &gt;2 cm</w:t>
            </w:r>
          </w:p>
        </w:tc>
        <w:tc>
          <w:tcPr>
            <w:tcW w:w="1418" w:type="dxa"/>
            <w:tcBorders>
              <w:top w:val="nil"/>
              <w:left w:val="nil"/>
              <w:bottom w:val="single" w:sz="8" w:space="0" w:color="BFBFBF"/>
              <w:right w:val="nil"/>
            </w:tcBorders>
            <w:shd w:val="clear" w:color="auto" w:fill="auto"/>
            <w:noWrap/>
            <w:vAlign w:val="center"/>
            <w:hideMark/>
          </w:tcPr>
          <w:p>
            <w:pPr>
              <w:jc w:val="center"/>
              <w:rPr>
                <w:rFonts w:ascii="Arial" w:hAnsi="Arial" w:cs="Arial"/>
                <w:color w:val="000000"/>
                <w:sz w:val="20"/>
                <w:szCs w:val="20"/>
                <w:lang w:bidi="he-IL"/>
              </w:rPr>
            </w:pPr>
            <w:r>
              <w:rPr>
                <w:rFonts w:ascii="Arial" w:hAnsi="Arial" w:cs="Arial"/>
                <w:color w:val="000000"/>
                <w:sz w:val="20"/>
                <w:szCs w:val="20"/>
                <w:lang w:val="en-US" w:bidi="he-IL"/>
              </w:rPr>
              <w:t>6 (5.3%)</w:t>
            </w:r>
          </w:p>
        </w:tc>
      </w:tr>
      <w:tr>
        <w:trPr>
          <w:trHeight w:val="366"/>
        </w:trPr>
        <w:tc>
          <w:tcPr>
            <w:tcW w:w="1542" w:type="dxa"/>
            <w:tcBorders>
              <w:top w:val="nil"/>
              <w:left w:val="nil"/>
              <w:bottom w:val="single" w:sz="12" w:space="0" w:color="000000"/>
              <w:right w:val="nil"/>
            </w:tcBorders>
            <w:shd w:val="clear" w:color="auto" w:fill="auto"/>
            <w:noWrap/>
            <w:vAlign w:val="center"/>
            <w:hideMark/>
          </w:tcPr>
          <w:p>
            <w:pPr>
              <w:rPr>
                <w:rFonts w:ascii="Arial" w:hAnsi="Arial" w:cs="Arial"/>
                <w:color w:val="000000"/>
                <w:sz w:val="20"/>
                <w:szCs w:val="20"/>
                <w:lang w:bidi="he-IL"/>
              </w:rPr>
            </w:pPr>
          </w:p>
        </w:tc>
        <w:tc>
          <w:tcPr>
            <w:tcW w:w="5546" w:type="dxa"/>
            <w:tcBorders>
              <w:top w:val="nil"/>
              <w:left w:val="nil"/>
              <w:bottom w:val="single" w:sz="12" w:space="0" w:color="auto"/>
              <w:right w:val="nil"/>
            </w:tcBorders>
            <w:shd w:val="clear" w:color="auto" w:fill="auto"/>
            <w:noWrap/>
            <w:vAlign w:val="center"/>
            <w:hideMark/>
          </w:tcPr>
          <w:p>
            <w:pPr>
              <w:rPr>
                <w:rFonts w:ascii="Arial" w:hAnsi="Arial" w:cs="Arial"/>
                <w:color w:val="000000"/>
                <w:sz w:val="20"/>
                <w:szCs w:val="20"/>
                <w:lang w:bidi="he-IL"/>
              </w:rPr>
            </w:pPr>
            <w:r>
              <w:rPr>
                <w:rFonts w:ascii="Arial" w:hAnsi="Arial" w:cs="Arial"/>
                <w:color w:val="000000"/>
                <w:sz w:val="20"/>
                <w:szCs w:val="20"/>
                <w:lang w:val="en-US" w:bidi="he-IL"/>
              </w:rPr>
              <w:t xml:space="preserve">Mediastinal lymphadenopathy </w:t>
            </w:r>
          </w:p>
        </w:tc>
        <w:tc>
          <w:tcPr>
            <w:tcW w:w="4961" w:type="dxa"/>
            <w:tcBorders>
              <w:top w:val="nil"/>
              <w:left w:val="nil"/>
              <w:bottom w:val="single" w:sz="12" w:space="0" w:color="auto"/>
              <w:right w:val="nil"/>
            </w:tcBorders>
            <w:shd w:val="clear" w:color="auto" w:fill="auto"/>
            <w:vAlign w:val="center"/>
            <w:hideMark/>
          </w:tcPr>
          <w:p>
            <w:pPr>
              <w:rPr>
                <w:rFonts w:ascii="Arial" w:hAnsi="Arial" w:cs="Arial"/>
                <w:color w:val="000000"/>
                <w:sz w:val="20"/>
                <w:szCs w:val="20"/>
                <w:lang w:val="en-US" w:bidi="he-IL"/>
              </w:rPr>
            </w:pPr>
            <w:r>
              <w:rPr>
                <w:rFonts w:ascii="Arial" w:hAnsi="Arial" w:cs="Arial"/>
                <w:color w:val="000000"/>
                <w:sz w:val="20"/>
                <w:szCs w:val="20"/>
                <w:lang w:val="en-US" w:bidi="he-IL"/>
              </w:rPr>
              <w:t>Short diameter &gt;15 mm and &gt;3 lymphnodes</w:t>
            </w:r>
          </w:p>
        </w:tc>
        <w:tc>
          <w:tcPr>
            <w:tcW w:w="1418" w:type="dxa"/>
            <w:tcBorders>
              <w:top w:val="nil"/>
              <w:left w:val="nil"/>
              <w:bottom w:val="single" w:sz="12" w:space="0" w:color="000000"/>
              <w:right w:val="nil"/>
            </w:tcBorders>
            <w:shd w:val="clear" w:color="auto" w:fill="auto"/>
            <w:noWrap/>
            <w:vAlign w:val="center"/>
            <w:hideMark/>
          </w:tcPr>
          <w:p>
            <w:pPr>
              <w:jc w:val="center"/>
              <w:rPr>
                <w:rFonts w:ascii="Arial" w:hAnsi="Arial" w:cs="Arial"/>
                <w:color w:val="000000"/>
                <w:sz w:val="20"/>
                <w:szCs w:val="20"/>
                <w:lang w:bidi="he-IL"/>
              </w:rPr>
            </w:pPr>
            <w:r>
              <w:rPr>
                <w:rFonts w:ascii="Arial" w:hAnsi="Arial" w:cs="Arial"/>
                <w:color w:val="000000"/>
                <w:sz w:val="20"/>
                <w:szCs w:val="20"/>
                <w:lang w:val="en-US" w:bidi="he-IL"/>
              </w:rPr>
              <w:t>≤3</w:t>
            </w:r>
          </w:p>
        </w:tc>
      </w:tr>
    </w:tbl>
    <w:p>
      <w:pPr>
        <w:rPr>
          <w:rFonts w:ascii="Arial" w:hAnsi="Arial" w:cs="Arial"/>
          <w:b/>
          <w:sz w:val="22"/>
          <w:szCs w:val="22"/>
          <w:lang w:val="en-US"/>
        </w:rPr>
      </w:pPr>
    </w:p>
    <w:p>
      <w:pPr>
        <w:rPr>
          <w:rFonts w:ascii="Arial" w:hAnsi="Arial" w:cs="Arial"/>
          <w:lang w:val="en-US"/>
        </w:rPr>
        <w:sectPr>
          <w:pgSz w:w="16838" w:h="11906" w:orient="landscape"/>
          <w:pgMar w:top="1417" w:right="1687" w:bottom="1417" w:left="1134" w:header="708" w:footer="708" w:gutter="0"/>
          <w:cols w:space="708"/>
          <w:docGrid w:linePitch="360"/>
        </w:sectPr>
      </w:pPr>
      <w:r>
        <w:rPr>
          <w:rFonts w:ascii="Arial" w:hAnsi="Arial" w:cs="Arial"/>
          <w:b/>
          <w:lang w:val="en-US"/>
        </w:rPr>
        <w:t xml:space="preserve">Appendix E1: </w:t>
      </w:r>
      <w:r>
        <w:rPr>
          <w:rFonts w:ascii="Arial" w:hAnsi="Arial" w:cs="Arial"/>
          <w:lang w:val="en-US"/>
        </w:rPr>
        <w:t xml:space="preserve">Reported Incidental Findings by Categories and sorted by Body Location. Numbers of IF reported for 3 individuals or less are aggregated (for reasons of data and privacy protection as required by the local IRB). ENT denotes  ear nose throat; MSK, musculoskeletal.  </w:t>
      </w:r>
    </w:p>
    <w:p>
      <w:pPr>
        <w:rPr>
          <w:rFonts w:ascii="Arial" w:hAnsi="Arial" w:cs="Arial"/>
          <w:b/>
          <w:sz w:val="22"/>
          <w:szCs w:val="22"/>
          <w:lang w:val="en-US"/>
        </w:rPr>
      </w:pPr>
    </w:p>
    <w:p>
      <w:pPr>
        <w:rPr>
          <w:rFonts w:ascii="Arial" w:hAnsi="Arial" w:cs="Arial"/>
          <w:b/>
          <w:sz w:val="22"/>
          <w:szCs w:val="22"/>
          <w:lang w:val="en-US"/>
        </w:rPr>
      </w:pPr>
    </w:p>
    <w:tbl>
      <w:tblPr>
        <w:tblW w:w="9309" w:type="dxa"/>
        <w:tblInd w:w="55" w:type="dxa"/>
        <w:tblBorders>
          <w:top w:val="single" w:sz="12" w:space="0" w:color="auto"/>
          <w:bottom w:val="single" w:sz="12" w:space="0" w:color="auto"/>
        </w:tblBorders>
        <w:tblCellMar>
          <w:left w:w="70" w:type="dxa"/>
          <w:right w:w="70" w:type="dxa"/>
        </w:tblCellMar>
        <w:tblLook w:val="04A0" w:firstRow="1" w:lastRow="0" w:firstColumn="1" w:lastColumn="0" w:noHBand="0" w:noVBand="1"/>
      </w:tblPr>
      <w:tblGrid>
        <w:gridCol w:w="3440"/>
        <w:gridCol w:w="1608"/>
        <w:gridCol w:w="1701"/>
        <w:gridCol w:w="1560"/>
        <w:gridCol w:w="1000"/>
      </w:tblGrid>
      <w:tr>
        <w:trPr>
          <w:trHeight w:val="300"/>
        </w:trPr>
        <w:tc>
          <w:tcPr>
            <w:tcW w:w="3440" w:type="dxa"/>
            <w:tcBorders>
              <w:top w:val="single" w:sz="12" w:space="0" w:color="auto"/>
              <w:bottom w:val="nil"/>
            </w:tcBorders>
            <w:noWrap/>
            <w:vAlign w:val="bottom"/>
            <w:hideMark/>
          </w:tcPr>
          <w:p>
            <w:pPr>
              <w:rPr>
                <w:rFonts w:ascii="Arial" w:hAnsi="Arial" w:cs="Arial"/>
                <w:b/>
                <w:sz w:val="22"/>
                <w:szCs w:val="22"/>
                <w:lang w:val="en-US"/>
              </w:rPr>
            </w:pPr>
          </w:p>
        </w:tc>
        <w:tc>
          <w:tcPr>
            <w:tcW w:w="1608" w:type="dxa"/>
            <w:tcBorders>
              <w:top w:val="single" w:sz="12" w:space="0" w:color="auto"/>
              <w:bottom w:val="nil"/>
            </w:tcBorders>
            <w:noWrap/>
            <w:vAlign w:val="center"/>
            <w:hideMark/>
          </w:tcPr>
          <w:p>
            <w:pPr>
              <w:rPr>
                <w:rFonts w:ascii="Arial" w:hAnsi="Arial" w:cs="Arial"/>
                <w:sz w:val="22"/>
                <w:szCs w:val="22"/>
                <w:lang w:eastAsia="en-US"/>
              </w:rPr>
            </w:pPr>
            <w:r>
              <w:rPr>
                <w:rFonts w:ascii="Arial" w:hAnsi="Arial" w:cs="Arial"/>
                <w:sz w:val="22"/>
                <w:szCs w:val="22"/>
              </w:rPr>
              <w:t>All</w:t>
            </w:r>
          </w:p>
        </w:tc>
        <w:tc>
          <w:tcPr>
            <w:tcW w:w="1701" w:type="dxa"/>
            <w:tcBorders>
              <w:top w:val="single" w:sz="12" w:space="0" w:color="auto"/>
              <w:bottom w:val="nil"/>
            </w:tcBorders>
            <w:noWrap/>
            <w:vAlign w:val="center"/>
            <w:hideMark/>
          </w:tcPr>
          <w:p>
            <w:pPr>
              <w:rPr>
                <w:rFonts w:ascii="Arial" w:hAnsi="Arial" w:cs="Arial"/>
                <w:sz w:val="22"/>
                <w:szCs w:val="22"/>
              </w:rPr>
            </w:pPr>
            <w:r>
              <w:rPr>
                <w:rFonts w:ascii="Arial" w:hAnsi="Arial" w:cs="Arial"/>
                <w:sz w:val="22"/>
                <w:szCs w:val="22"/>
              </w:rPr>
              <w:t>Excluded</w:t>
            </w:r>
          </w:p>
        </w:tc>
        <w:tc>
          <w:tcPr>
            <w:tcW w:w="1560" w:type="dxa"/>
            <w:tcBorders>
              <w:top w:val="single" w:sz="12" w:space="0" w:color="auto"/>
              <w:bottom w:val="nil"/>
            </w:tcBorders>
            <w:noWrap/>
            <w:vAlign w:val="center"/>
            <w:hideMark/>
          </w:tcPr>
          <w:p>
            <w:pPr>
              <w:rPr>
                <w:rFonts w:ascii="Arial" w:hAnsi="Arial" w:cs="Arial"/>
                <w:sz w:val="22"/>
                <w:szCs w:val="22"/>
              </w:rPr>
            </w:pPr>
            <w:r>
              <w:rPr>
                <w:rFonts w:ascii="Arial" w:hAnsi="Arial" w:cs="Arial"/>
                <w:sz w:val="22"/>
                <w:szCs w:val="22"/>
              </w:rPr>
              <w:t>Included</w:t>
            </w:r>
          </w:p>
        </w:tc>
        <w:tc>
          <w:tcPr>
            <w:tcW w:w="1000" w:type="dxa"/>
            <w:tcBorders>
              <w:top w:val="single" w:sz="12" w:space="0" w:color="auto"/>
              <w:bottom w:val="nil"/>
            </w:tcBorders>
            <w:noWrap/>
            <w:vAlign w:val="center"/>
            <w:hideMark/>
          </w:tcPr>
          <w:p>
            <w:pPr>
              <w:jc w:val="center"/>
              <w:rPr>
                <w:rFonts w:ascii="Arial" w:hAnsi="Arial" w:cs="Arial"/>
                <w:sz w:val="22"/>
                <w:szCs w:val="22"/>
              </w:rPr>
            </w:pPr>
            <w:r>
              <w:rPr>
                <w:rFonts w:ascii="Arial" w:hAnsi="Arial" w:cs="Arial"/>
                <w:sz w:val="22"/>
                <w:szCs w:val="22"/>
              </w:rPr>
              <w:t>p-value</w:t>
            </w:r>
          </w:p>
        </w:tc>
      </w:tr>
      <w:tr>
        <w:trPr>
          <w:trHeight w:val="315"/>
        </w:trPr>
        <w:tc>
          <w:tcPr>
            <w:tcW w:w="3440" w:type="dxa"/>
            <w:tcBorders>
              <w:top w:val="nil"/>
              <w:bottom w:val="single" w:sz="8" w:space="0" w:color="auto"/>
            </w:tcBorders>
            <w:noWrap/>
            <w:vAlign w:val="bottom"/>
            <w:hideMark/>
          </w:tcPr>
          <w:p>
            <w:pPr>
              <w:rPr>
                <w:rFonts w:ascii="Arial" w:hAnsi="Arial" w:cs="Arial"/>
                <w:sz w:val="22"/>
                <w:szCs w:val="22"/>
              </w:rPr>
            </w:pPr>
          </w:p>
        </w:tc>
        <w:tc>
          <w:tcPr>
            <w:tcW w:w="1608" w:type="dxa"/>
            <w:tcBorders>
              <w:top w:val="nil"/>
              <w:bottom w:val="single" w:sz="8" w:space="0" w:color="auto"/>
            </w:tcBorders>
            <w:noWrap/>
            <w:vAlign w:val="center"/>
            <w:hideMark/>
          </w:tcPr>
          <w:p>
            <w:pPr>
              <w:rPr>
                <w:rFonts w:ascii="Arial" w:hAnsi="Arial" w:cs="Arial"/>
                <w:sz w:val="22"/>
                <w:szCs w:val="22"/>
                <w:lang w:eastAsia="en-US"/>
              </w:rPr>
            </w:pPr>
            <w:r>
              <w:rPr>
                <w:rFonts w:ascii="Arial" w:hAnsi="Arial" w:cs="Arial"/>
                <w:sz w:val="22"/>
                <w:szCs w:val="22"/>
              </w:rPr>
              <w:t>N = 400</w:t>
            </w:r>
          </w:p>
        </w:tc>
        <w:tc>
          <w:tcPr>
            <w:tcW w:w="1701" w:type="dxa"/>
            <w:tcBorders>
              <w:top w:val="nil"/>
              <w:bottom w:val="single" w:sz="8" w:space="0" w:color="auto"/>
            </w:tcBorders>
            <w:noWrap/>
            <w:vAlign w:val="center"/>
            <w:hideMark/>
          </w:tcPr>
          <w:p>
            <w:pPr>
              <w:rPr>
                <w:rFonts w:ascii="Arial" w:hAnsi="Arial" w:cs="Arial"/>
                <w:sz w:val="22"/>
                <w:szCs w:val="22"/>
              </w:rPr>
            </w:pPr>
            <w:r>
              <w:rPr>
                <w:rFonts w:ascii="Arial" w:hAnsi="Arial" w:cs="Arial"/>
                <w:sz w:val="22"/>
                <w:szCs w:val="22"/>
              </w:rPr>
              <w:t>N = 157</w:t>
            </w:r>
          </w:p>
        </w:tc>
        <w:tc>
          <w:tcPr>
            <w:tcW w:w="1560" w:type="dxa"/>
            <w:tcBorders>
              <w:top w:val="nil"/>
              <w:bottom w:val="single" w:sz="8" w:space="0" w:color="auto"/>
            </w:tcBorders>
            <w:noWrap/>
            <w:vAlign w:val="center"/>
            <w:hideMark/>
          </w:tcPr>
          <w:p>
            <w:pPr>
              <w:rPr>
                <w:rFonts w:ascii="Arial" w:hAnsi="Arial" w:cs="Arial"/>
                <w:sz w:val="22"/>
                <w:szCs w:val="22"/>
              </w:rPr>
            </w:pPr>
            <w:r>
              <w:rPr>
                <w:rFonts w:ascii="Arial" w:hAnsi="Arial" w:cs="Arial"/>
                <w:sz w:val="22"/>
                <w:szCs w:val="22"/>
              </w:rPr>
              <w:t>N = 243</w:t>
            </w:r>
          </w:p>
        </w:tc>
        <w:tc>
          <w:tcPr>
            <w:tcW w:w="1000" w:type="dxa"/>
            <w:tcBorders>
              <w:top w:val="nil"/>
              <w:bottom w:val="single" w:sz="8" w:space="0" w:color="auto"/>
            </w:tcBorders>
            <w:noWrap/>
            <w:vAlign w:val="center"/>
            <w:hideMark/>
          </w:tcPr>
          <w:p>
            <w:pPr>
              <w:rPr>
                <w:rFonts w:ascii="Arial" w:hAnsi="Arial" w:cs="Arial"/>
                <w:sz w:val="22"/>
                <w:szCs w:val="22"/>
              </w:rPr>
            </w:pPr>
          </w:p>
        </w:tc>
      </w:tr>
      <w:tr>
        <w:trPr>
          <w:trHeight w:val="300"/>
        </w:trPr>
        <w:tc>
          <w:tcPr>
            <w:tcW w:w="3440" w:type="dxa"/>
            <w:tcBorders>
              <w:top w:val="single" w:sz="8" w:space="0" w:color="auto"/>
            </w:tcBorders>
            <w:noWrap/>
            <w:vAlign w:val="center"/>
            <w:hideMark/>
          </w:tcPr>
          <w:p>
            <w:pPr>
              <w:rPr>
                <w:rFonts w:ascii="Arial" w:hAnsi="Arial" w:cs="Arial"/>
                <w:sz w:val="22"/>
                <w:szCs w:val="22"/>
                <w:lang w:eastAsia="en-US"/>
              </w:rPr>
            </w:pPr>
            <w:r>
              <w:rPr>
                <w:rFonts w:ascii="Arial" w:hAnsi="Arial" w:cs="Arial"/>
                <w:sz w:val="22"/>
                <w:szCs w:val="22"/>
              </w:rPr>
              <w:t>Age (years)</w:t>
            </w:r>
          </w:p>
        </w:tc>
        <w:tc>
          <w:tcPr>
            <w:tcW w:w="1608" w:type="dxa"/>
            <w:tcBorders>
              <w:top w:val="single" w:sz="8" w:space="0" w:color="auto"/>
            </w:tcBorders>
            <w:noWrap/>
            <w:vAlign w:val="center"/>
            <w:hideMark/>
          </w:tcPr>
          <w:p>
            <w:pPr>
              <w:rPr>
                <w:rFonts w:ascii="Arial" w:hAnsi="Arial" w:cs="Arial"/>
                <w:sz w:val="22"/>
                <w:szCs w:val="22"/>
              </w:rPr>
            </w:pPr>
            <w:r>
              <w:rPr>
                <w:rFonts w:ascii="Arial" w:hAnsi="Arial" w:cs="Arial"/>
                <w:sz w:val="22"/>
                <w:szCs w:val="22"/>
              </w:rPr>
              <w:t>56.3 ± 9.2</w:t>
            </w:r>
          </w:p>
        </w:tc>
        <w:tc>
          <w:tcPr>
            <w:tcW w:w="1701" w:type="dxa"/>
            <w:tcBorders>
              <w:top w:val="single" w:sz="8" w:space="0" w:color="auto"/>
            </w:tcBorders>
            <w:noWrap/>
            <w:vAlign w:val="center"/>
            <w:hideMark/>
          </w:tcPr>
          <w:p>
            <w:pPr>
              <w:rPr>
                <w:rFonts w:ascii="Arial" w:hAnsi="Arial" w:cs="Arial"/>
                <w:sz w:val="22"/>
                <w:szCs w:val="22"/>
              </w:rPr>
            </w:pPr>
            <w:r>
              <w:rPr>
                <w:rFonts w:ascii="Arial" w:hAnsi="Arial" w:cs="Arial"/>
                <w:sz w:val="22"/>
                <w:szCs w:val="22"/>
              </w:rPr>
              <w:t>57.4 ± 9.4</w:t>
            </w:r>
          </w:p>
        </w:tc>
        <w:tc>
          <w:tcPr>
            <w:tcW w:w="1560" w:type="dxa"/>
            <w:tcBorders>
              <w:top w:val="single" w:sz="8" w:space="0" w:color="auto"/>
            </w:tcBorders>
            <w:noWrap/>
            <w:vAlign w:val="center"/>
            <w:hideMark/>
          </w:tcPr>
          <w:p>
            <w:pPr>
              <w:rPr>
                <w:rFonts w:ascii="Arial" w:hAnsi="Arial" w:cs="Arial"/>
                <w:sz w:val="22"/>
                <w:szCs w:val="22"/>
              </w:rPr>
            </w:pPr>
            <w:r>
              <w:rPr>
                <w:rFonts w:ascii="Arial" w:hAnsi="Arial" w:cs="Arial"/>
                <w:sz w:val="22"/>
                <w:szCs w:val="22"/>
              </w:rPr>
              <w:t>55.6 ± 9.0</w:t>
            </w:r>
          </w:p>
        </w:tc>
        <w:tc>
          <w:tcPr>
            <w:tcW w:w="1000" w:type="dxa"/>
            <w:tcBorders>
              <w:top w:val="single" w:sz="8" w:space="0" w:color="auto"/>
            </w:tcBorders>
            <w:noWrap/>
            <w:vAlign w:val="center"/>
            <w:hideMark/>
          </w:tcPr>
          <w:p>
            <w:pPr>
              <w:jc w:val="center"/>
              <w:rPr>
                <w:rFonts w:ascii="Arial" w:hAnsi="Arial" w:cs="Arial"/>
                <w:sz w:val="22"/>
                <w:szCs w:val="22"/>
              </w:rPr>
            </w:pPr>
            <w:r>
              <w:rPr>
                <w:rFonts w:ascii="Arial" w:hAnsi="Arial" w:cs="Arial"/>
                <w:sz w:val="22"/>
                <w:szCs w:val="22"/>
              </w:rPr>
              <w:t>0.06</w:t>
            </w:r>
          </w:p>
        </w:tc>
      </w:tr>
      <w:tr>
        <w:trPr>
          <w:trHeight w:val="300"/>
        </w:trPr>
        <w:tc>
          <w:tcPr>
            <w:tcW w:w="3440" w:type="dxa"/>
            <w:noWrap/>
            <w:vAlign w:val="center"/>
            <w:hideMark/>
          </w:tcPr>
          <w:p>
            <w:pPr>
              <w:rPr>
                <w:rFonts w:ascii="Arial" w:hAnsi="Arial" w:cs="Arial"/>
                <w:sz w:val="22"/>
                <w:szCs w:val="22"/>
              </w:rPr>
            </w:pPr>
            <w:r>
              <w:rPr>
                <w:rFonts w:ascii="Arial" w:hAnsi="Arial" w:cs="Arial"/>
                <w:sz w:val="22"/>
                <w:szCs w:val="22"/>
              </w:rPr>
              <w:t>Sex (men)</w:t>
            </w:r>
          </w:p>
        </w:tc>
        <w:tc>
          <w:tcPr>
            <w:tcW w:w="1608" w:type="dxa"/>
            <w:noWrap/>
            <w:vAlign w:val="center"/>
            <w:hideMark/>
          </w:tcPr>
          <w:p>
            <w:pPr>
              <w:rPr>
                <w:rFonts w:ascii="Arial" w:hAnsi="Arial" w:cs="Arial"/>
                <w:sz w:val="22"/>
                <w:szCs w:val="22"/>
              </w:rPr>
            </w:pPr>
            <w:r>
              <w:rPr>
                <w:rFonts w:ascii="Arial" w:hAnsi="Arial" w:cs="Arial"/>
                <w:sz w:val="22"/>
                <w:szCs w:val="22"/>
              </w:rPr>
              <w:t>231 (57.8%)</w:t>
            </w:r>
          </w:p>
        </w:tc>
        <w:tc>
          <w:tcPr>
            <w:tcW w:w="1701" w:type="dxa"/>
            <w:noWrap/>
            <w:vAlign w:val="center"/>
            <w:hideMark/>
          </w:tcPr>
          <w:p>
            <w:pPr>
              <w:rPr>
                <w:rFonts w:ascii="Arial" w:hAnsi="Arial" w:cs="Arial"/>
                <w:sz w:val="22"/>
                <w:szCs w:val="22"/>
              </w:rPr>
            </w:pPr>
            <w:r>
              <w:rPr>
                <w:rFonts w:ascii="Arial" w:hAnsi="Arial" w:cs="Arial"/>
                <w:sz w:val="22"/>
                <w:szCs w:val="22"/>
              </w:rPr>
              <w:t>93 (59.2%)</w:t>
            </w:r>
          </w:p>
        </w:tc>
        <w:tc>
          <w:tcPr>
            <w:tcW w:w="1560" w:type="dxa"/>
            <w:noWrap/>
            <w:vAlign w:val="center"/>
            <w:hideMark/>
          </w:tcPr>
          <w:p>
            <w:pPr>
              <w:rPr>
                <w:rFonts w:ascii="Arial" w:hAnsi="Arial" w:cs="Arial"/>
                <w:sz w:val="22"/>
                <w:szCs w:val="22"/>
              </w:rPr>
            </w:pPr>
            <w:r>
              <w:rPr>
                <w:rFonts w:ascii="Arial" w:hAnsi="Arial" w:cs="Arial"/>
                <w:sz w:val="22"/>
                <w:szCs w:val="22"/>
              </w:rPr>
              <w:t>138 (56.8%)</w:t>
            </w:r>
          </w:p>
        </w:tc>
        <w:tc>
          <w:tcPr>
            <w:tcW w:w="1000" w:type="dxa"/>
            <w:noWrap/>
            <w:vAlign w:val="center"/>
            <w:hideMark/>
          </w:tcPr>
          <w:p>
            <w:pPr>
              <w:jc w:val="center"/>
              <w:rPr>
                <w:rFonts w:ascii="Arial" w:hAnsi="Arial" w:cs="Arial"/>
                <w:sz w:val="22"/>
                <w:szCs w:val="22"/>
              </w:rPr>
            </w:pPr>
            <w:r>
              <w:rPr>
                <w:rFonts w:ascii="Arial" w:hAnsi="Arial" w:cs="Arial"/>
                <w:sz w:val="22"/>
                <w:szCs w:val="22"/>
              </w:rPr>
              <w:t>0.70</w:t>
            </w:r>
          </w:p>
        </w:tc>
      </w:tr>
      <w:tr>
        <w:trPr>
          <w:trHeight w:val="360"/>
        </w:trPr>
        <w:tc>
          <w:tcPr>
            <w:tcW w:w="3440" w:type="dxa"/>
            <w:noWrap/>
            <w:vAlign w:val="center"/>
            <w:hideMark/>
          </w:tcPr>
          <w:p>
            <w:pPr>
              <w:rPr>
                <w:rFonts w:ascii="Arial" w:hAnsi="Arial" w:cs="Arial"/>
                <w:sz w:val="22"/>
                <w:szCs w:val="22"/>
              </w:rPr>
            </w:pPr>
            <w:r>
              <w:rPr>
                <w:rFonts w:ascii="Arial" w:hAnsi="Arial" w:cs="Arial"/>
                <w:sz w:val="22"/>
                <w:szCs w:val="22"/>
              </w:rPr>
              <w:t>BMI (kg/m</w:t>
            </w:r>
            <w:r>
              <w:rPr>
                <w:rFonts w:ascii="Arial" w:hAnsi="Arial" w:cs="Arial"/>
                <w:sz w:val="22"/>
                <w:szCs w:val="22"/>
                <w:vertAlign w:val="superscript"/>
              </w:rPr>
              <w:t>2</w:t>
            </w:r>
            <w:r>
              <w:rPr>
                <w:rFonts w:ascii="Arial" w:hAnsi="Arial" w:cs="Arial"/>
                <w:sz w:val="22"/>
                <w:szCs w:val="22"/>
              </w:rPr>
              <w:t>)</w:t>
            </w:r>
          </w:p>
        </w:tc>
        <w:tc>
          <w:tcPr>
            <w:tcW w:w="1608" w:type="dxa"/>
            <w:noWrap/>
            <w:vAlign w:val="center"/>
            <w:hideMark/>
          </w:tcPr>
          <w:p>
            <w:pPr>
              <w:rPr>
                <w:rFonts w:ascii="Arial" w:hAnsi="Arial" w:cs="Arial"/>
                <w:sz w:val="22"/>
                <w:szCs w:val="22"/>
              </w:rPr>
            </w:pPr>
            <w:r>
              <w:rPr>
                <w:rFonts w:ascii="Arial" w:hAnsi="Arial" w:cs="Arial"/>
                <w:sz w:val="22"/>
                <w:szCs w:val="22"/>
              </w:rPr>
              <w:t>28.1 ± 4.9</w:t>
            </w:r>
          </w:p>
        </w:tc>
        <w:tc>
          <w:tcPr>
            <w:tcW w:w="1701" w:type="dxa"/>
            <w:noWrap/>
            <w:vAlign w:val="center"/>
            <w:hideMark/>
          </w:tcPr>
          <w:p>
            <w:pPr>
              <w:rPr>
                <w:rFonts w:ascii="Arial" w:hAnsi="Arial" w:cs="Arial"/>
                <w:sz w:val="22"/>
                <w:szCs w:val="22"/>
              </w:rPr>
            </w:pPr>
            <w:r>
              <w:rPr>
                <w:rFonts w:ascii="Arial" w:hAnsi="Arial" w:cs="Arial"/>
                <w:sz w:val="22"/>
                <w:szCs w:val="22"/>
              </w:rPr>
              <w:t>29.0 ± 5.1</w:t>
            </w:r>
          </w:p>
        </w:tc>
        <w:tc>
          <w:tcPr>
            <w:tcW w:w="1560" w:type="dxa"/>
            <w:noWrap/>
            <w:vAlign w:val="center"/>
            <w:hideMark/>
          </w:tcPr>
          <w:p>
            <w:pPr>
              <w:rPr>
                <w:rFonts w:ascii="Arial" w:hAnsi="Arial" w:cs="Arial"/>
                <w:sz w:val="22"/>
                <w:szCs w:val="22"/>
              </w:rPr>
            </w:pPr>
            <w:r>
              <w:rPr>
                <w:rFonts w:ascii="Arial" w:hAnsi="Arial" w:cs="Arial"/>
                <w:sz w:val="22"/>
                <w:szCs w:val="22"/>
              </w:rPr>
              <w:t>27.6 ± 4.7</w:t>
            </w:r>
          </w:p>
        </w:tc>
        <w:tc>
          <w:tcPr>
            <w:tcW w:w="1000" w:type="dxa"/>
            <w:noWrap/>
            <w:vAlign w:val="center"/>
            <w:hideMark/>
          </w:tcPr>
          <w:p>
            <w:pPr>
              <w:jc w:val="center"/>
              <w:rPr>
                <w:rFonts w:ascii="Arial" w:hAnsi="Arial" w:cs="Arial"/>
                <w:b/>
                <w:sz w:val="22"/>
                <w:szCs w:val="22"/>
              </w:rPr>
            </w:pPr>
            <w:r>
              <w:rPr>
                <w:rFonts w:ascii="Arial" w:hAnsi="Arial" w:cs="Arial"/>
                <w:b/>
                <w:sz w:val="22"/>
                <w:szCs w:val="22"/>
              </w:rPr>
              <w:t>0.006</w:t>
            </w:r>
          </w:p>
        </w:tc>
      </w:tr>
      <w:tr>
        <w:trPr>
          <w:trHeight w:val="300"/>
        </w:trPr>
        <w:tc>
          <w:tcPr>
            <w:tcW w:w="3440" w:type="dxa"/>
            <w:noWrap/>
            <w:vAlign w:val="center"/>
            <w:hideMark/>
          </w:tcPr>
          <w:p>
            <w:pPr>
              <w:rPr>
                <w:rFonts w:ascii="Arial" w:hAnsi="Arial" w:cs="Arial"/>
                <w:sz w:val="22"/>
                <w:szCs w:val="22"/>
              </w:rPr>
            </w:pPr>
            <w:r>
              <w:rPr>
                <w:rFonts w:ascii="Arial" w:hAnsi="Arial" w:cs="Arial"/>
                <w:sz w:val="22"/>
                <w:szCs w:val="22"/>
              </w:rPr>
              <w:t>Glycemic Status</w:t>
            </w:r>
          </w:p>
        </w:tc>
        <w:tc>
          <w:tcPr>
            <w:tcW w:w="1608" w:type="dxa"/>
            <w:noWrap/>
            <w:vAlign w:val="center"/>
            <w:hideMark/>
          </w:tcPr>
          <w:p>
            <w:pPr>
              <w:rPr>
                <w:rFonts w:ascii="Arial" w:hAnsi="Arial" w:cs="Arial"/>
                <w:sz w:val="22"/>
                <w:szCs w:val="22"/>
              </w:rPr>
            </w:pPr>
          </w:p>
        </w:tc>
        <w:tc>
          <w:tcPr>
            <w:tcW w:w="1701" w:type="dxa"/>
            <w:noWrap/>
            <w:vAlign w:val="center"/>
            <w:hideMark/>
          </w:tcPr>
          <w:p>
            <w:pPr>
              <w:rPr>
                <w:rFonts w:ascii="Arial" w:hAnsi="Arial" w:cs="Arial"/>
                <w:sz w:val="22"/>
                <w:szCs w:val="22"/>
              </w:rPr>
            </w:pPr>
          </w:p>
        </w:tc>
        <w:tc>
          <w:tcPr>
            <w:tcW w:w="1560" w:type="dxa"/>
            <w:noWrap/>
            <w:vAlign w:val="center"/>
            <w:hideMark/>
          </w:tcPr>
          <w:p>
            <w:pPr>
              <w:rPr>
                <w:rFonts w:ascii="Arial" w:hAnsi="Arial" w:cs="Arial"/>
                <w:sz w:val="22"/>
                <w:szCs w:val="22"/>
              </w:rPr>
            </w:pPr>
          </w:p>
        </w:tc>
        <w:tc>
          <w:tcPr>
            <w:tcW w:w="1000" w:type="dxa"/>
            <w:noWrap/>
            <w:vAlign w:val="center"/>
            <w:hideMark/>
          </w:tcPr>
          <w:p>
            <w:pPr>
              <w:jc w:val="center"/>
              <w:rPr>
                <w:rFonts w:ascii="Arial" w:hAnsi="Arial" w:cs="Arial"/>
                <w:b/>
                <w:sz w:val="22"/>
                <w:szCs w:val="22"/>
                <w:lang w:eastAsia="en-US"/>
              </w:rPr>
            </w:pPr>
            <w:r>
              <w:rPr>
                <w:rFonts w:ascii="Arial" w:hAnsi="Arial" w:cs="Arial"/>
                <w:b/>
                <w:sz w:val="22"/>
                <w:szCs w:val="22"/>
              </w:rPr>
              <w:t>&lt;0.001</w:t>
            </w:r>
          </w:p>
        </w:tc>
      </w:tr>
      <w:tr>
        <w:trPr>
          <w:trHeight w:val="60"/>
        </w:trPr>
        <w:tc>
          <w:tcPr>
            <w:tcW w:w="3440" w:type="dxa"/>
            <w:noWrap/>
            <w:vAlign w:val="center"/>
            <w:hideMark/>
          </w:tcPr>
          <w:p>
            <w:pPr>
              <w:rPr>
                <w:rFonts w:ascii="Arial" w:hAnsi="Arial" w:cs="Arial"/>
                <w:sz w:val="22"/>
                <w:szCs w:val="22"/>
              </w:rPr>
            </w:pPr>
            <w:r>
              <w:rPr>
                <w:rFonts w:ascii="Arial" w:hAnsi="Arial" w:cs="Arial"/>
                <w:sz w:val="22"/>
                <w:szCs w:val="22"/>
              </w:rPr>
              <w:t xml:space="preserve">    Control</w:t>
            </w:r>
          </w:p>
        </w:tc>
        <w:tc>
          <w:tcPr>
            <w:tcW w:w="1608" w:type="dxa"/>
            <w:noWrap/>
            <w:vAlign w:val="center"/>
            <w:hideMark/>
          </w:tcPr>
          <w:p>
            <w:pPr>
              <w:rPr>
                <w:rFonts w:ascii="Arial" w:hAnsi="Arial" w:cs="Arial"/>
                <w:sz w:val="22"/>
                <w:szCs w:val="22"/>
              </w:rPr>
            </w:pPr>
            <w:r>
              <w:rPr>
                <w:rFonts w:ascii="Arial" w:hAnsi="Arial" w:cs="Arial"/>
                <w:sz w:val="22"/>
                <w:szCs w:val="22"/>
              </w:rPr>
              <w:t>243 (60.8%)</w:t>
            </w:r>
          </w:p>
        </w:tc>
        <w:tc>
          <w:tcPr>
            <w:tcW w:w="1701" w:type="dxa"/>
            <w:noWrap/>
            <w:vAlign w:val="center"/>
            <w:hideMark/>
          </w:tcPr>
          <w:p>
            <w:pPr>
              <w:rPr>
                <w:rFonts w:ascii="Arial" w:hAnsi="Arial" w:cs="Arial"/>
                <w:sz w:val="22"/>
                <w:szCs w:val="22"/>
              </w:rPr>
            </w:pPr>
            <w:r>
              <w:rPr>
                <w:rFonts w:ascii="Arial" w:hAnsi="Arial" w:cs="Arial"/>
                <w:sz w:val="22"/>
                <w:szCs w:val="22"/>
              </w:rPr>
              <w:t>64 (40.8%)</w:t>
            </w:r>
          </w:p>
        </w:tc>
        <w:tc>
          <w:tcPr>
            <w:tcW w:w="1560" w:type="dxa"/>
            <w:noWrap/>
            <w:vAlign w:val="center"/>
            <w:hideMark/>
          </w:tcPr>
          <w:p>
            <w:pPr>
              <w:rPr>
                <w:rFonts w:ascii="Arial" w:hAnsi="Arial" w:cs="Arial"/>
                <w:sz w:val="22"/>
                <w:szCs w:val="22"/>
              </w:rPr>
            </w:pPr>
            <w:r>
              <w:rPr>
                <w:rFonts w:ascii="Arial" w:hAnsi="Arial" w:cs="Arial"/>
                <w:sz w:val="22"/>
                <w:szCs w:val="22"/>
              </w:rPr>
              <w:t>179 (73.7%)</w:t>
            </w:r>
          </w:p>
        </w:tc>
        <w:tc>
          <w:tcPr>
            <w:tcW w:w="1000" w:type="dxa"/>
            <w:noWrap/>
            <w:vAlign w:val="center"/>
            <w:hideMark/>
          </w:tcPr>
          <w:p>
            <w:pPr>
              <w:rPr>
                <w:rFonts w:ascii="Arial" w:hAnsi="Arial" w:cs="Arial"/>
                <w:b/>
                <w:sz w:val="22"/>
                <w:szCs w:val="22"/>
              </w:rPr>
            </w:pPr>
          </w:p>
        </w:tc>
      </w:tr>
      <w:tr>
        <w:trPr>
          <w:trHeight w:val="300"/>
        </w:trPr>
        <w:tc>
          <w:tcPr>
            <w:tcW w:w="3440" w:type="dxa"/>
            <w:noWrap/>
            <w:vAlign w:val="center"/>
            <w:hideMark/>
          </w:tcPr>
          <w:p>
            <w:pPr>
              <w:rPr>
                <w:rFonts w:ascii="Arial" w:hAnsi="Arial" w:cs="Arial"/>
                <w:sz w:val="22"/>
                <w:szCs w:val="22"/>
                <w:lang w:eastAsia="en-US"/>
              </w:rPr>
            </w:pPr>
            <w:r>
              <w:rPr>
                <w:rFonts w:ascii="Arial" w:hAnsi="Arial" w:cs="Arial"/>
                <w:sz w:val="22"/>
                <w:szCs w:val="22"/>
              </w:rPr>
              <w:t xml:space="preserve">    Prediabetes</w:t>
            </w:r>
          </w:p>
        </w:tc>
        <w:tc>
          <w:tcPr>
            <w:tcW w:w="1608" w:type="dxa"/>
            <w:noWrap/>
            <w:vAlign w:val="center"/>
            <w:hideMark/>
          </w:tcPr>
          <w:p>
            <w:pPr>
              <w:rPr>
                <w:rFonts w:ascii="Arial" w:hAnsi="Arial" w:cs="Arial"/>
                <w:sz w:val="22"/>
                <w:szCs w:val="22"/>
              </w:rPr>
            </w:pPr>
            <w:r>
              <w:rPr>
                <w:rFonts w:ascii="Arial" w:hAnsi="Arial" w:cs="Arial"/>
                <w:sz w:val="22"/>
                <w:szCs w:val="22"/>
              </w:rPr>
              <w:t>103 (25.8%)</w:t>
            </w:r>
          </w:p>
        </w:tc>
        <w:tc>
          <w:tcPr>
            <w:tcW w:w="1701" w:type="dxa"/>
            <w:noWrap/>
            <w:vAlign w:val="center"/>
            <w:hideMark/>
          </w:tcPr>
          <w:p>
            <w:pPr>
              <w:rPr>
                <w:rFonts w:ascii="Arial" w:hAnsi="Arial" w:cs="Arial"/>
                <w:sz w:val="22"/>
                <w:szCs w:val="22"/>
              </w:rPr>
            </w:pPr>
            <w:r>
              <w:rPr>
                <w:rFonts w:ascii="Arial" w:hAnsi="Arial" w:cs="Arial"/>
                <w:sz w:val="22"/>
                <w:szCs w:val="22"/>
              </w:rPr>
              <w:t>68 (43.3%)</w:t>
            </w:r>
          </w:p>
        </w:tc>
        <w:tc>
          <w:tcPr>
            <w:tcW w:w="1560" w:type="dxa"/>
            <w:noWrap/>
            <w:vAlign w:val="center"/>
            <w:hideMark/>
          </w:tcPr>
          <w:p>
            <w:pPr>
              <w:rPr>
                <w:rFonts w:ascii="Arial" w:hAnsi="Arial" w:cs="Arial"/>
                <w:sz w:val="22"/>
                <w:szCs w:val="22"/>
              </w:rPr>
            </w:pPr>
            <w:r>
              <w:rPr>
                <w:rFonts w:ascii="Arial" w:hAnsi="Arial" w:cs="Arial"/>
                <w:sz w:val="22"/>
                <w:szCs w:val="22"/>
              </w:rPr>
              <w:t>35 (14.4%)</w:t>
            </w:r>
          </w:p>
        </w:tc>
        <w:tc>
          <w:tcPr>
            <w:tcW w:w="1000" w:type="dxa"/>
            <w:noWrap/>
            <w:vAlign w:val="center"/>
            <w:hideMark/>
          </w:tcPr>
          <w:p>
            <w:pPr>
              <w:rPr>
                <w:rFonts w:ascii="Arial" w:hAnsi="Arial" w:cs="Arial"/>
                <w:b/>
                <w:sz w:val="22"/>
                <w:szCs w:val="22"/>
              </w:rPr>
            </w:pPr>
          </w:p>
        </w:tc>
      </w:tr>
      <w:tr>
        <w:trPr>
          <w:trHeight w:val="300"/>
        </w:trPr>
        <w:tc>
          <w:tcPr>
            <w:tcW w:w="3440" w:type="dxa"/>
            <w:noWrap/>
            <w:vAlign w:val="center"/>
            <w:hideMark/>
          </w:tcPr>
          <w:p>
            <w:pPr>
              <w:rPr>
                <w:rFonts w:ascii="Arial" w:hAnsi="Arial" w:cs="Arial"/>
                <w:sz w:val="22"/>
                <w:szCs w:val="22"/>
                <w:lang w:eastAsia="en-US"/>
              </w:rPr>
            </w:pPr>
            <w:r>
              <w:rPr>
                <w:rFonts w:ascii="Arial" w:hAnsi="Arial" w:cs="Arial"/>
                <w:sz w:val="22"/>
                <w:szCs w:val="22"/>
              </w:rPr>
              <w:t xml:space="preserve">    Diabetes</w:t>
            </w:r>
          </w:p>
        </w:tc>
        <w:tc>
          <w:tcPr>
            <w:tcW w:w="1608" w:type="dxa"/>
            <w:noWrap/>
            <w:vAlign w:val="center"/>
            <w:hideMark/>
          </w:tcPr>
          <w:p>
            <w:pPr>
              <w:rPr>
                <w:rFonts w:ascii="Arial" w:hAnsi="Arial" w:cs="Arial"/>
                <w:sz w:val="22"/>
                <w:szCs w:val="22"/>
              </w:rPr>
            </w:pPr>
            <w:r>
              <w:rPr>
                <w:rFonts w:ascii="Arial" w:hAnsi="Arial" w:cs="Arial"/>
                <w:sz w:val="22"/>
                <w:szCs w:val="22"/>
              </w:rPr>
              <w:t>54 (13.5%)</w:t>
            </w:r>
          </w:p>
        </w:tc>
        <w:tc>
          <w:tcPr>
            <w:tcW w:w="1701" w:type="dxa"/>
            <w:noWrap/>
            <w:vAlign w:val="center"/>
            <w:hideMark/>
          </w:tcPr>
          <w:p>
            <w:pPr>
              <w:rPr>
                <w:rFonts w:ascii="Arial" w:hAnsi="Arial" w:cs="Arial"/>
                <w:sz w:val="22"/>
                <w:szCs w:val="22"/>
              </w:rPr>
            </w:pPr>
            <w:r>
              <w:rPr>
                <w:rFonts w:ascii="Arial" w:hAnsi="Arial" w:cs="Arial"/>
                <w:sz w:val="22"/>
                <w:szCs w:val="22"/>
              </w:rPr>
              <w:t>25 (15.9%)</w:t>
            </w:r>
          </w:p>
        </w:tc>
        <w:tc>
          <w:tcPr>
            <w:tcW w:w="1560" w:type="dxa"/>
            <w:noWrap/>
            <w:vAlign w:val="center"/>
            <w:hideMark/>
          </w:tcPr>
          <w:p>
            <w:pPr>
              <w:rPr>
                <w:rFonts w:ascii="Arial" w:hAnsi="Arial" w:cs="Arial"/>
                <w:sz w:val="22"/>
                <w:szCs w:val="22"/>
              </w:rPr>
            </w:pPr>
            <w:r>
              <w:rPr>
                <w:rFonts w:ascii="Arial" w:hAnsi="Arial" w:cs="Arial"/>
                <w:sz w:val="22"/>
                <w:szCs w:val="22"/>
              </w:rPr>
              <w:t>29 (11.9%)</w:t>
            </w:r>
          </w:p>
        </w:tc>
        <w:tc>
          <w:tcPr>
            <w:tcW w:w="1000" w:type="dxa"/>
            <w:noWrap/>
            <w:vAlign w:val="center"/>
            <w:hideMark/>
          </w:tcPr>
          <w:p>
            <w:pPr>
              <w:rPr>
                <w:rFonts w:ascii="Arial" w:hAnsi="Arial" w:cs="Arial"/>
                <w:b/>
                <w:sz w:val="22"/>
                <w:szCs w:val="22"/>
              </w:rPr>
            </w:pPr>
          </w:p>
        </w:tc>
      </w:tr>
      <w:tr>
        <w:trPr>
          <w:trHeight w:val="300"/>
        </w:trPr>
        <w:tc>
          <w:tcPr>
            <w:tcW w:w="3440" w:type="dxa"/>
            <w:noWrap/>
            <w:vAlign w:val="center"/>
            <w:hideMark/>
          </w:tcPr>
          <w:p>
            <w:pPr>
              <w:rPr>
                <w:rFonts w:ascii="Arial" w:hAnsi="Arial" w:cs="Arial"/>
                <w:sz w:val="22"/>
                <w:szCs w:val="22"/>
                <w:lang w:val="en-US" w:eastAsia="en-US"/>
              </w:rPr>
            </w:pPr>
            <w:r>
              <w:rPr>
                <w:rFonts w:ascii="Arial" w:hAnsi="Arial" w:cs="Arial"/>
                <w:sz w:val="22"/>
                <w:szCs w:val="22"/>
                <w:lang w:val="en-US"/>
              </w:rPr>
              <w:t>Duration of Diabetes (years, median)</w:t>
            </w:r>
          </w:p>
        </w:tc>
        <w:tc>
          <w:tcPr>
            <w:tcW w:w="1608" w:type="dxa"/>
            <w:noWrap/>
            <w:vAlign w:val="center"/>
            <w:hideMark/>
          </w:tcPr>
          <w:p>
            <w:pPr>
              <w:rPr>
                <w:rFonts w:ascii="Arial" w:hAnsi="Arial" w:cs="Arial"/>
                <w:sz w:val="22"/>
                <w:szCs w:val="22"/>
              </w:rPr>
            </w:pPr>
            <w:r>
              <w:rPr>
                <w:rFonts w:ascii="Arial" w:hAnsi="Arial" w:cs="Arial"/>
                <w:sz w:val="22"/>
                <w:szCs w:val="22"/>
              </w:rPr>
              <w:t>7.0 [5.0, 11.8]</w:t>
            </w:r>
          </w:p>
        </w:tc>
        <w:tc>
          <w:tcPr>
            <w:tcW w:w="1701" w:type="dxa"/>
            <w:noWrap/>
            <w:vAlign w:val="center"/>
            <w:hideMark/>
          </w:tcPr>
          <w:p>
            <w:pPr>
              <w:rPr>
                <w:rFonts w:ascii="Arial" w:hAnsi="Arial" w:cs="Arial"/>
                <w:sz w:val="22"/>
                <w:szCs w:val="22"/>
              </w:rPr>
            </w:pPr>
            <w:r>
              <w:rPr>
                <w:rFonts w:ascii="Arial" w:hAnsi="Arial" w:cs="Arial"/>
                <w:sz w:val="22"/>
                <w:szCs w:val="22"/>
              </w:rPr>
              <w:t>6.5 [5.0, 11.0]</w:t>
            </w:r>
          </w:p>
        </w:tc>
        <w:tc>
          <w:tcPr>
            <w:tcW w:w="1560" w:type="dxa"/>
            <w:noWrap/>
            <w:vAlign w:val="center"/>
            <w:hideMark/>
          </w:tcPr>
          <w:p>
            <w:pPr>
              <w:rPr>
                <w:rFonts w:ascii="Arial" w:hAnsi="Arial" w:cs="Arial"/>
                <w:sz w:val="22"/>
                <w:szCs w:val="22"/>
              </w:rPr>
            </w:pPr>
            <w:r>
              <w:rPr>
                <w:rFonts w:ascii="Arial" w:hAnsi="Arial" w:cs="Arial"/>
                <w:sz w:val="22"/>
                <w:szCs w:val="22"/>
              </w:rPr>
              <w:t>7.5 [4.5, 13.5]</w:t>
            </w:r>
          </w:p>
        </w:tc>
        <w:tc>
          <w:tcPr>
            <w:tcW w:w="1000" w:type="dxa"/>
            <w:noWrap/>
            <w:vAlign w:val="center"/>
            <w:hideMark/>
          </w:tcPr>
          <w:p>
            <w:pPr>
              <w:jc w:val="center"/>
              <w:rPr>
                <w:rFonts w:ascii="Arial" w:hAnsi="Arial" w:cs="Arial"/>
                <w:sz w:val="22"/>
                <w:szCs w:val="22"/>
              </w:rPr>
            </w:pPr>
            <w:r>
              <w:rPr>
                <w:rFonts w:ascii="Arial" w:hAnsi="Arial" w:cs="Arial"/>
                <w:sz w:val="22"/>
                <w:szCs w:val="22"/>
              </w:rPr>
              <w:t>0.59</w:t>
            </w:r>
          </w:p>
        </w:tc>
      </w:tr>
      <w:tr>
        <w:trPr>
          <w:trHeight w:val="300"/>
        </w:trPr>
        <w:tc>
          <w:tcPr>
            <w:tcW w:w="3440" w:type="dxa"/>
            <w:noWrap/>
            <w:vAlign w:val="center"/>
            <w:hideMark/>
          </w:tcPr>
          <w:p>
            <w:pPr>
              <w:rPr>
                <w:rFonts w:ascii="Arial" w:hAnsi="Arial" w:cs="Arial"/>
                <w:sz w:val="22"/>
                <w:szCs w:val="22"/>
              </w:rPr>
            </w:pPr>
            <w:r>
              <w:rPr>
                <w:rFonts w:ascii="Arial" w:hAnsi="Arial" w:cs="Arial"/>
                <w:sz w:val="22"/>
                <w:szCs w:val="22"/>
              </w:rPr>
              <w:t>HbA1c, %</w:t>
            </w:r>
          </w:p>
        </w:tc>
        <w:tc>
          <w:tcPr>
            <w:tcW w:w="1608" w:type="dxa"/>
            <w:noWrap/>
            <w:vAlign w:val="center"/>
            <w:hideMark/>
          </w:tcPr>
          <w:p>
            <w:pPr>
              <w:rPr>
                <w:rFonts w:ascii="Arial" w:hAnsi="Arial" w:cs="Arial"/>
                <w:sz w:val="22"/>
                <w:szCs w:val="22"/>
              </w:rPr>
            </w:pPr>
            <w:r>
              <w:rPr>
                <w:rFonts w:ascii="Arial" w:hAnsi="Arial" w:cs="Arial"/>
                <w:sz w:val="22"/>
                <w:szCs w:val="22"/>
              </w:rPr>
              <w:t>5.6 ± 0.7</w:t>
            </w:r>
          </w:p>
        </w:tc>
        <w:tc>
          <w:tcPr>
            <w:tcW w:w="1701" w:type="dxa"/>
            <w:noWrap/>
            <w:vAlign w:val="center"/>
            <w:hideMark/>
          </w:tcPr>
          <w:p>
            <w:pPr>
              <w:rPr>
                <w:rFonts w:ascii="Arial" w:hAnsi="Arial" w:cs="Arial"/>
                <w:sz w:val="22"/>
                <w:szCs w:val="22"/>
              </w:rPr>
            </w:pPr>
            <w:r>
              <w:rPr>
                <w:rFonts w:ascii="Arial" w:hAnsi="Arial" w:cs="Arial"/>
                <w:sz w:val="22"/>
                <w:szCs w:val="22"/>
              </w:rPr>
              <w:t>5.6 ± 0.7</w:t>
            </w:r>
          </w:p>
        </w:tc>
        <w:tc>
          <w:tcPr>
            <w:tcW w:w="1560" w:type="dxa"/>
            <w:noWrap/>
            <w:vAlign w:val="center"/>
            <w:hideMark/>
          </w:tcPr>
          <w:p>
            <w:pPr>
              <w:rPr>
                <w:rFonts w:ascii="Arial" w:hAnsi="Arial" w:cs="Arial"/>
                <w:sz w:val="22"/>
                <w:szCs w:val="22"/>
              </w:rPr>
            </w:pPr>
            <w:r>
              <w:rPr>
                <w:rFonts w:ascii="Arial" w:hAnsi="Arial" w:cs="Arial"/>
                <w:sz w:val="22"/>
                <w:szCs w:val="22"/>
              </w:rPr>
              <w:t>5.5 ± 0.8</w:t>
            </w:r>
          </w:p>
        </w:tc>
        <w:tc>
          <w:tcPr>
            <w:tcW w:w="1000" w:type="dxa"/>
            <w:noWrap/>
            <w:vAlign w:val="center"/>
            <w:hideMark/>
          </w:tcPr>
          <w:p>
            <w:pPr>
              <w:jc w:val="center"/>
              <w:rPr>
                <w:rFonts w:ascii="Arial" w:hAnsi="Arial" w:cs="Arial"/>
                <w:sz w:val="22"/>
                <w:szCs w:val="22"/>
              </w:rPr>
            </w:pPr>
            <w:r>
              <w:rPr>
                <w:rFonts w:ascii="Arial" w:hAnsi="Arial" w:cs="Arial"/>
                <w:sz w:val="22"/>
                <w:szCs w:val="22"/>
              </w:rPr>
              <w:t>0.16</w:t>
            </w:r>
          </w:p>
        </w:tc>
      </w:tr>
      <w:tr>
        <w:trPr>
          <w:trHeight w:val="300"/>
        </w:trPr>
        <w:tc>
          <w:tcPr>
            <w:tcW w:w="3440" w:type="dxa"/>
            <w:noWrap/>
            <w:vAlign w:val="center"/>
            <w:hideMark/>
          </w:tcPr>
          <w:p>
            <w:pPr>
              <w:rPr>
                <w:rFonts w:ascii="Arial" w:hAnsi="Arial" w:cs="Arial"/>
                <w:sz w:val="22"/>
                <w:szCs w:val="22"/>
              </w:rPr>
            </w:pPr>
            <w:r>
              <w:rPr>
                <w:rFonts w:ascii="Arial" w:hAnsi="Arial" w:cs="Arial"/>
                <w:sz w:val="22"/>
                <w:szCs w:val="22"/>
              </w:rPr>
              <w:t>Hypertension</w:t>
            </w:r>
          </w:p>
        </w:tc>
        <w:tc>
          <w:tcPr>
            <w:tcW w:w="1608" w:type="dxa"/>
            <w:noWrap/>
            <w:vAlign w:val="center"/>
            <w:hideMark/>
          </w:tcPr>
          <w:p>
            <w:pPr>
              <w:rPr>
                <w:rFonts w:ascii="Arial" w:hAnsi="Arial" w:cs="Arial"/>
                <w:sz w:val="22"/>
                <w:szCs w:val="22"/>
              </w:rPr>
            </w:pPr>
            <w:r>
              <w:rPr>
                <w:rFonts w:ascii="Arial" w:hAnsi="Arial" w:cs="Arial"/>
                <w:sz w:val="22"/>
                <w:szCs w:val="22"/>
              </w:rPr>
              <w:t>136 (34.0%)</w:t>
            </w:r>
          </w:p>
        </w:tc>
        <w:tc>
          <w:tcPr>
            <w:tcW w:w="1701" w:type="dxa"/>
            <w:noWrap/>
            <w:vAlign w:val="center"/>
            <w:hideMark/>
          </w:tcPr>
          <w:p>
            <w:pPr>
              <w:rPr>
                <w:rFonts w:ascii="Arial" w:hAnsi="Arial" w:cs="Arial"/>
                <w:sz w:val="22"/>
                <w:szCs w:val="22"/>
              </w:rPr>
            </w:pPr>
            <w:r>
              <w:rPr>
                <w:rFonts w:ascii="Arial" w:hAnsi="Arial" w:cs="Arial"/>
                <w:sz w:val="22"/>
                <w:szCs w:val="22"/>
              </w:rPr>
              <w:t>58 (36.9%)</w:t>
            </w:r>
          </w:p>
        </w:tc>
        <w:tc>
          <w:tcPr>
            <w:tcW w:w="1560" w:type="dxa"/>
            <w:noWrap/>
            <w:vAlign w:val="center"/>
            <w:hideMark/>
          </w:tcPr>
          <w:p>
            <w:pPr>
              <w:rPr>
                <w:rFonts w:ascii="Arial" w:hAnsi="Arial" w:cs="Arial"/>
                <w:sz w:val="22"/>
                <w:szCs w:val="22"/>
              </w:rPr>
            </w:pPr>
            <w:r>
              <w:rPr>
                <w:rFonts w:ascii="Arial" w:hAnsi="Arial" w:cs="Arial"/>
                <w:sz w:val="22"/>
                <w:szCs w:val="22"/>
              </w:rPr>
              <w:t>78 (32.1%)</w:t>
            </w:r>
          </w:p>
        </w:tc>
        <w:tc>
          <w:tcPr>
            <w:tcW w:w="1000" w:type="dxa"/>
            <w:noWrap/>
            <w:vAlign w:val="center"/>
            <w:hideMark/>
          </w:tcPr>
          <w:p>
            <w:pPr>
              <w:jc w:val="center"/>
              <w:rPr>
                <w:rFonts w:ascii="Arial" w:hAnsi="Arial" w:cs="Arial"/>
                <w:sz w:val="22"/>
                <w:szCs w:val="22"/>
              </w:rPr>
            </w:pPr>
            <w:r>
              <w:rPr>
                <w:rFonts w:ascii="Arial" w:hAnsi="Arial" w:cs="Arial"/>
                <w:sz w:val="22"/>
                <w:szCs w:val="22"/>
              </w:rPr>
              <w:t>0.37</w:t>
            </w:r>
          </w:p>
        </w:tc>
      </w:tr>
      <w:tr>
        <w:trPr>
          <w:trHeight w:val="300"/>
        </w:trPr>
        <w:tc>
          <w:tcPr>
            <w:tcW w:w="3440" w:type="dxa"/>
            <w:noWrap/>
            <w:vAlign w:val="center"/>
            <w:hideMark/>
          </w:tcPr>
          <w:p>
            <w:pPr>
              <w:rPr>
                <w:rFonts w:ascii="Arial" w:hAnsi="Arial" w:cs="Arial"/>
                <w:sz w:val="22"/>
                <w:szCs w:val="22"/>
              </w:rPr>
            </w:pPr>
            <w:r>
              <w:rPr>
                <w:rFonts w:ascii="Arial" w:hAnsi="Arial" w:cs="Arial"/>
                <w:sz w:val="22"/>
                <w:szCs w:val="22"/>
              </w:rPr>
              <w:t>Systolic BP (mmHg)</w:t>
            </w:r>
          </w:p>
        </w:tc>
        <w:tc>
          <w:tcPr>
            <w:tcW w:w="1608" w:type="dxa"/>
            <w:noWrap/>
            <w:vAlign w:val="center"/>
            <w:hideMark/>
          </w:tcPr>
          <w:p>
            <w:pPr>
              <w:rPr>
                <w:rFonts w:ascii="Arial" w:hAnsi="Arial" w:cs="Arial"/>
                <w:sz w:val="22"/>
                <w:szCs w:val="22"/>
              </w:rPr>
            </w:pPr>
            <w:r>
              <w:rPr>
                <w:rFonts w:ascii="Arial" w:hAnsi="Arial" w:cs="Arial"/>
                <w:sz w:val="22"/>
                <w:szCs w:val="22"/>
              </w:rPr>
              <w:t>120.6 ± 16.7</w:t>
            </w:r>
          </w:p>
        </w:tc>
        <w:tc>
          <w:tcPr>
            <w:tcW w:w="1701" w:type="dxa"/>
            <w:noWrap/>
            <w:vAlign w:val="center"/>
            <w:hideMark/>
          </w:tcPr>
          <w:p>
            <w:pPr>
              <w:rPr>
                <w:rFonts w:ascii="Arial" w:hAnsi="Arial" w:cs="Arial"/>
                <w:sz w:val="22"/>
                <w:szCs w:val="22"/>
              </w:rPr>
            </w:pPr>
            <w:r>
              <w:rPr>
                <w:rFonts w:ascii="Arial" w:hAnsi="Arial" w:cs="Arial"/>
                <w:sz w:val="22"/>
                <w:szCs w:val="22"/>
              </w:rPr>
              <w:t>121.2 ± 16.6</w:t>
            </w:r>
          </w:p>
        </w:tc>
        <w:tc>
          <w:tcPr>
            <w:tcW w:w="1560" w:type="dxa"/>
            <w:noWrap/>
            <w:vAlign w:val="center"/>
            <w:hideMark/>
          </w:tcPr>
          <w:p>
            <w:pPr>
              <w:rPr>
                <w:rFonts w:ascii="Arial" w:hAnsi="Arial" w:cs="Arial"/>
                <w:sz w:val="22"/>
                <w:szCs w:val="22"/>
              </w:rPr>
            </w:pPr>
            <w:r>
              <w:rPr>
                <w:rFonts w:ascii="Arial" w:hAnsi="Arial" w:cs="Arial"/>
                <w:sz w:val="22"/>
                <w:szCs w:val="22"/>
              </w:rPr>
              <w:t>120.2 ± 16.9</w:t>
            </w:r>
          </w:p>
        </w:tc>
        <w:tc>
          <w:tcPr>
            <w:tcW w:w="1000" w:type="dxa"/>
            <w:noWrap/>
            <w:vAlign w:val="center"/>
            <w:hideMark/>
          </w:tcPr>
          <w:p>
            <w:pPr>
              <w:jc w:val="center"/>
              <w:rPr>
                <w:rFonts w:ascii="Arial" w:hAnsi="Arial" w:cs="Arial"/>
                <w:sz w:val="22"/>
                <w:szCs w:val="22"/>
              </w:rPr>
            </w:pPr>
            <w:r>
              <w:rPr>
                <w:rFonts w:ascii="Arial" w:hAnsi="Arial" w:cs="Arial"/>
                <w:sz w:val="22"/>
                <w:szCs w:val="22"/>
              </w:rPr>
              <w:t>0.55</w:t>
            </w:r>
          </w:p>
        </w:tc>
      </w:tr>
      <w:tr>
        <w:trPr>
          <w:trHeight w:val="300"/>
        </w:trPr>
        <w:tc>
          <w:tcPr>
            <w:tcW w:w="3440" w:type="dxa"/>
            <w:noWrap/>
            <w:vAlign w:val="center"/>
            <w:hideMark/>
          </w:tcPr>
          <w:p>
            <w:pPr>
              <w:rPr>
                <w:rFonts w:ascii="Arial" w:hAnsi="Arial" w:cs="Arial"/>
                <w:sz w:val="22"/>
                <w:szCs w:val="22"/>
              </w:rPr>
            </w:pPr>
            <w:r>
              <w:rPr>
                <w:rFonts w:ascii="Arial" w:hAnsi="Arial" w:cs="Arial"/>
                <w:sz w:val="22"/>
                <w:szCs w:val="22"/>
              </w:rPr>
              <w:t>Diastolic BP (mmHg)</w:t>
            </w:r>
          </w:p>
        </w:tc>
        <w:tc>
          <w:tcPr>
            <w:tcW w:w="1608" w:type="dxa"/>
            <w:noWrap/>
            <w:vAlign w:val="center"/>
            <w:hideMark/>
          </w:tcPr>
          <w:p>
            <w:pPr>
              <w:rPr>
                <w:rFonts w:ascii="Arial" w:hAnsi="Arial" w:cs="Arial"/>
                <w:sz w:val="22"/>
                <w:szCs w:val="22"/>
              </w:rPr>
            </w:pPr>
            <w:r>
              <w:rPr>
                <w:rFonts w:ascii="Arial" w:hAnsi="Arial" w:cs="Arial"/>
                <w:sz w:val="22"/>
                <w:szCs w:val="22"/>
              </w:rPr>
              <w:t>75.3 ± 10.0</w:t>
            </w:r>
          </w:p>
        </w:tc>
        <w:tc>
          <w:tcPr>
            <w:tcW w:w="1701" w:type="dxa"/>
            <w:noWrap/>
            <w:vAlign w:val="center"/>
            <w:hideMark/>
          </w:tcPr>
          <w:p>
            <w:pPr>
              <w:rPr>
                <w:rFonts w:ascii="Arial" w:hAnsi="Arial" w:cs="Arial"/>
                <w:sz w:val="22"/>
                <w:szCs w:val="22"/>
              </w:rPr>
            </w:pPr>
            <w:r>
              <w:rPr>
                <w:rFonts w:ascii="Arial" w:hAnsi="Arial" w:cs="Arial"/>
                <w:sz w:val="22"/>
                <w:szCs w:val="22"/>
              </w:rPr>
              <w:t>75.6 ± 9.1</w:t>
            </w:r>
          </w:p>
        </w:tc>
        <w:tc>
          <w:tcPr>
            <w:tcW w:w="1560" w:type="dxa"/>
            <w:noWrap/>
            <w:vAlign w:val="center"/>
            <w:hideMark/>
          </w:tcPr>
          <w:p>
            <w:pPr>
              <w:rPr>
                <w:rFonts w:ascii="Arial" w:hAnsi="Arial" w:cs="Arial"/>
                <w:sz w:val="22"/>
                <w:szCs w:val="22"/>
              </w:rPr>
            </w:pPr>
            <w:r>
              <w:rPr>
                <w:rFonts w:ascii="Arial" w:hAnsi="Arial" w:cs="Arial"/>
                <w:sz w:val="22"/>
                <w:szCs w:val="22"/>
              </w:rPr>
              <w:t>75.0 ± 10.6</w:t>
            </w:r>
          </w:p>
        </w:tc>
        <w:tc>
          <w:tcPr>
            <w:tcW w:w="1000" w:type="dxa"/>
            <w:noWrap/>
            <w:vAlign w:val="center"/>
            <w:hideMark/>
          </w:tcPr>
          <w:p>
            <w:pPr>
              <w:jc w:val="center"/>
              <w:rPr>
                <w:rFonts w:ascii="Arial" w:hAnsi="Arial" w:cs="Arial"/>
                <w:sz w:val="22"/>
                <w:szCs w:val="22"/>
              </w:rPr>
            </w:pPr>
            <w:r>
              <w:rPr>
                <w:rFonts w:ascii="Arial" w:hAnsi="Arial" w:cs="Arial"/>
                <w:sz w:val="22"/>
                <w:szCs w:val="22"/>
              </w:rPr>
              <w:t>0.56</w:t>
            </w:r>
          </w:p>
        </w:tc>
      </w:tr>
      <w:tr>
        <w:trPr>
          <w:trHeight w:val="300"/>
        </w:trPr>
        <w:tc>
          <w:tcPr>
            <w:tcW w:w="3440" w:type="dxa"/>
            <w:noWrap/>
            <w:vAlign w:val="center"/>
            <w:hideMark/>
          </w:tcPr>
          <w:p>
            <w:pPr>
              <w:rPr>
                <w:rFonts w:ascii="Arial" w:hAnsi="Arial" w:cs="Arial"/>
                <w:sz w:val="22"/>
                <w:szCs w:val="22"/>
              </w:rPr>
            </w:pPr>
            <w:r>
              <w:rPr>
                <w:rFonts w:ascii="Arial" w:hAnsi="Arial" w:cs="Arial"/>
                <w:sz w:val="22"/>
                <w:szCs w:val="22"/>
              </w:rPr>
              <w:t>Antihypertensive medication</w:t>
            </w:r>
          </w:p>
        </w:tc>
        <w:tc>
          <w:tcPr>
            <w:tcW w:w="1608" w:type="dxa"/>
            <w:noWrap/>
            <w:vAlign w:val="center"/>
            <w:hideMark/>
          </w:tcPr>
          <w:p>
            <w:pPr>
              <w:rPr>
                <w:rFonts w:ascii="Arial" w:hAnsi="Arial" w:cs="Arial"/>
                <w:sz w:val="22"/>
                <w:szCs w:val="22"/>
              </w:rPr>
            </w:pPr>
            <w:r>
              <w:rPr>
                <w:rFonts w:ascii="Arial" w:hAnsi="Arial" w:cs="Arial"/>
                <w:sz w:val="22"/>
                <w:szCs w:val="22"/>
              </w:rPr>
              <w:t>102 (25.5%)</w:t>
            </w:r>
          </w:p>
        </w:tc>
        <w:tc>
          <w:tcPr>
            <w:tcW w:w="1701" w:type="dxa"/>
            <w:noWrap/>
            <w:vAlign w:val="center"/>
            <w:hideMark/>
          </w:tcPr>
          <w:p>
            <w:pPr>
              <w:rPr>
                <w:rFonts w:ascii="Arial" w:hAnsi="Arial" w:cs="Arial"/>
                <w:sz w:val="22"/>
                <w:szCs w:val="22"/>
              </w:rPr>
            </w:pPr>
            <w:r>
              <w:rPr>
                <w:rFonts w:ascii="Arial" w:hAnsi="Arial" w:cs="Arial"/>
                <w:sz w:val="22"/>
                <w:szCs w:val="22"/>
              </w:rPr>
              <w:t>45 (28.7%)</w:t>
            </w:r>
          </w:p>
        </w:tc>
        <w:tc>
          <w:tcPr>
            <w:tcW w:w="1560" w:type="dxa"/>
            <w:noWrap/>
            <w:vAlign w:val="center"/>
            <w:hideMark/>
          </w:tcPr>
          <w:p>
            <w:pPr>
              <w:rPr>
                <w:rFonts w:ascii="Arial" w:hAnsi="Arial" w:cs="Arial"/>
                <w:sz w:val="22"/>
                <w:szCs w:val="22"/>
              </w:rPr>
            </w:pPr>
            <w:r>
              <w:rPr>
                <w:rFonts w:ascii="Arial" w:hAnsi="Arial" w:cs="Arial"/>
                <w:sz w:val="22"/>
                <w:szCs w:val="22"/>
              </w:rPr>
              <w:t>57 (23.5%)</w:t>
            </w:r>
          </w:p>
        </w:tc>
        <w:tc>
          <w:tcPr>
            <w:tcW w:w="1000" w:type="dxa"/>
            <w:noWrap/>
            <w:vAlign w:val="center"/>
            <w:hideMark/>
          </w:tcPr>
          <w:p>
            <w:pPr>
              <w:jc w:val="center"/>
              <w:rPr>
                <w:rFonts w:ascii="Arial" w:hAnsi="Arial" w:cs="Arial"/>
                <w:sz w:val="22"/>
                <w:szCs w:val="22"/>
              </w:rPr>
            </w:pPr>
            <w:r>
              <w:rPr>
                <w:rFonts w:ascii="Arial" w:hAnsi="Arial" w:cs="Arial"/>
                <w:sz w:val="22"/>
                <w:szCs w:val="22"/>
              </w:rPr>
              <w:t>0.29</w:t>
            </w:r>
          </w:p>
        </w:tc>
      </w:tr>
      <w:tr>
        <w:trPr>
          <w:trHeight w:val="300"/>
        </w:trPr>
        <w:tc>
          <w:tcPr>
            <w:tcW w:w="3440" w:type="dxa"/>
            <w:noWrap/>
            <w:vAlign w:val="center"/>
            <w:hideMark/>
          </w:tcPr>
          <w:p>
            <w:pPr>
              <w:rPr>
                <w:rFonts w:ascii="Arial" w:hAnsi="Arial" w:cs="Arial"/>
                <w:sz w:val="22"/>
                <w:szCs w:val="22"/>
              </w:rPr>
            </w:pPr>
            <w:r>
              <w:rPr>
                <w:rFonts w:ascii="Arial" w:hAnsi="Arial" w:cs="Arial"/>
                <w:sz w:val="22"/>
                <w:szCs w:val="22"/>
              </w:rPr>
              <w:t>Total cholesterol (mg/dL)</w:t>
            </w:r>
          </w:p>
        </w:tc>
        <w:tc>
          <w:tcPr>
            <w:tcW w:w="1608" w:type="dxa"/>
            <w:noWrap/>
            <w:vAlign w:val="center"/>
            <w:hideMark/>
          </w:tcPr>
          <w:p>
            <w:pPr>
              <w:rPr>
                <w:rFonts w:ascii="Arial" w:hAnsi="Arial" w:cs="Arial"/>
                <w:sz w:val="22"/>
                <w:szCs w:val="22"/>
              </w:rPr>
            </w:pPr>
            <w:r>
              <w:rPr>
                <w:rFonts w:ascii="Arial" w:hAnsi="Arial" w:cs="Arial"/>
                <w:sz w:val="22"/>
                <w:szCs w:val="22"/>
              </w:rPr>
              <w:t>217.8 ± 36.3</w:t>
            </w:r>
          </w:p>
        </w:tc>
        <w:tc>
          <w:tcPr>
            <w:tcW w:w="1701" w:type="dxa"/>
            <w:noWrap/>
            <w:vAlign w:val="center"/>
            <w:hideMark/>
          </w:tcPr>
          <w:p>
            <w:pPr>
              <w:rPr>
                <w:rFonts w:ascii="Arial" w:hAnsi="Arial" w:cs="Arial"/>
                <w:sz w:val="22"/>
                <w:szCs w:val="22"/>
              </w:rPr>
            </w:pPr>
            <w:r>
              <w:rPr>
                <w:rFonts w:ascii="Arial" w:hAnsi="Arial" w:cs="Arial"/>
                <w:sz w:val="22"/>
                <w:szCs w:val="22"/>
              </w:rPr>
              <w:t>220.3 ± 35.4</w:t>
            </w:r>
          </w:p>
        </w:tc>
        <w:tc>
          <w:tcPr>
            <w:tcW w:w="1560" w:type="dxa"/>
            <w:noWrap/>
            <w:vAlign w:val="center"/>
            <w:hideMark/>
          </w:tcPr>
          <w:p>
            <w:pPr>
              <w:rPr>
                <w:rFonts w:ascii="Arial" w:hAnsi="Arial" w:cs="Arial"/>
                <w:sz w:val="22"/>
                <w:szCs w:val="22"/>
              </w:rPr>
            </w:pPr>
            <w:r>
              <w:rPr>
                <w:rFonts w:ascii="Arial" w:hAnsi="Arial" w:cs="Arial"/>
                <w:sz w:val="22"/>
                <w:szCs w:val="22"/>
              </w:rPr>
              <w:t>216.2 ± 36.8</w:t>
            </w:r>
          </w:p>
        </w:tc>
        <w:tc>
          <w:tcPr>
            <w:tcW w:w="1000" w:type="dxa"/>
            <w:noWrap/>
            <w:vAlign w:val="center"/>
            <w:hideMark/>
          </w:tcPr>
          <w:p>
            <w:pPr>
              <w:jc w:val="center"/>
              <w:rPr>
                <w:rFonts w:ascii="Arial" w:hAnsi="Arial" w:cs="Arial"/>
                <w:sz w:val="22"/>
                <w:szCs w:val="22"/>
              </w:rPr>
            </w:pPr>
            <w:r>
              <w:rPr>
                <w:rFonts w:ascii="Arial" w:hAnsi="Arial" w:cs="Arial"/>
                <w:sz w:val="22"/>
                <w:szCs w:val="22"/>
              </w:rPr>
              <w:t>0.26</w:t>
            </w:r>
          </w:p>
        </w:tc>
      </w:tr>
      <w:tr>
        <w:trPr>
          <w:trHeight w:val="300"/>
        </w:trPr>
        <w:tc>
          <w:tcPr>
            <w:tcW w:w="3440" w:type="dxa"/>
            <w:noWrap/>
            <w:vAlign w:val="center"/>
            <w:hideMark/>
          </w:tcPr>
          <w:p>
            <w:pPr>
              <w:rPr>
                <w:rFonts w:ascii="Arial" w:hAnsi="Arial" w:cs="Arial"/>
                <w:sz w:val="22"/>
                <w:szCs w:val="22"/>
              </w:rPr>
            </w:pPr>
            <w:r>
              <w:rPr>
                <w:rFonts w:ascii="Arial" w:hAnsi="Arial" w:cs="Arial"/>
                <w:sz w:val="22"/>
                <w:szCs w:val="22"/>
              </w:rPr>
              <w:t>HDL (mg/dL)</w:t>
            </w:r>
          </w:p>
        </w:tc>
        <w:tc>
          <w:tcPr>
            <w:tcW w:w="1608" w:type="dxa"/>
            <w:noWrap/>
            <w:vAlign w:val="center"/>
            <w:hideMark/>
          </w:tcPr>
          <w:p>
            <w:pPr>
              <w:rPr>
                <w:rFonts w:ascii="Arial" w:hAnsi="Arial" w:cs="Arial"/>
                <w:sz w:val="22"/>
                <w:szCs w:val="22"/>
              </w:rPr>
            </w:pPr>
            <w:r>
              <w:rPr>
                <w:rFonts w:ascii="Arial" w:hAnsi="Arial" w:cs="Arial"/>
                <w:sz w:val="22"/>
                <w:szCs w:val="22"/>
              </w:rPr>
              <w:t>61.9 ± 17.7</w:t>
            </w:r>
          </w:p>
        </w:tc>
        <w:tc>
          <w:tcPr>
            <w:tcW w:w="1701" w:type="dxa"/>
            <w:noWrap/>
            <w:vAlign w:val="center"/>
            <w:hideMark/>
          </w:tcPr>
          <w:p>
            <w:pPr>
              <w:rPr>
                <w:rFonts w:ascii="Arial" w:hAnsi="Arial" w:cs="Arial"/>
                <w:sz w:val="22"/>
                <w:szCs w:val="22"/>
              </w:rPr>
            </w:pPr>
            <w:r>
              <w:rPr>
                <w:rFonts w:ascii="Arial" w:hAnsi="Arial" w:cs="Arial"/>
                <w:sz w:val="22"/>
                <w:szCs w:val="22"/>
              </w:rPr>
              <w:t>62.7 ± 17.1</w:t>
            </w:r>
          </w:p>
        </w:tc>
        <w:tc>
          <w:tcPr>
            <w:tcW w:w="1560" w:type="dxa"/>
            <w:noWrap/>
            <w:vAlign w:val="center"/>
            <w:hideMark/>
          </w:tcPr>
          <w:p>
            <w:pPr>
              <w:rPr>
                <w:rFonts w:ascii="Arial" w:hAnsi="Arial" w:cs="Arial"/>
                <w:sz w:val="22"/>
                <w:szCs w:val="22"/>
              </w:rPr>
            </w:pPr>
            <w:r>
              <w:rPr>
                <w:rFonts w:ascii="Arial" w:hAnsi="Arial" w:cs="Arial"/>
                <w:sz w:val="22"/>
                <w:szCs w:val="22"/>
              </w:rPr>
              <w:t>61.4 ± 18.0</w:t>
            </w:r>
          </w:p>
        </w:tc>
        <w:tc>
          <w:tcPr>
            <w:tcW w:w="1000" w:type="dxa"/>
            <w:noWrap/>
            <w:vAlign w:val="center"/>
            <w:hideMark/>
          </w:tcPr>
          <w:p>
            <w:pPr>
              <w:jc w:val="center"/>
              <w:rPr>
                <w:rFonts w:ascii="Arial" w:hAnsi="Arial" w:cs="Arial"/>
                <w:sz w:val="22"/>
                <w:szCs w:val="22"/>
              </w:rPr>
            </w:pPr>
            <w:r>
              <w:rPr>
                <w:rFonts w:ascii="Arial" w:hAnsi="Arial" w:cs="Arial"/>
                <w:sz w:val="22"/>
                <w:szCs w:val="22"/>
              </w:rPr>
              <w:t>0.47</w:t>
            </w:r>
          </w:p>
        </w:tc>
      </w:tr>
      <w:tr>
        <w:trPr>
          <w:trHeight w:val="300"/>
        </w:trPr>
        <w:tc>
          <w:tcPr>
            <w:tcW w:w="3440" w:type="dxa"/>
            <w:noWrap/>
            <w:vAlign w:val="center"/>
            <w:hideMark/>
          </w:tcPr>
          <w:p>
            <w:pPr>
              <w:rPr>
                <w:rFonts w:ascii="Arial" w:hAnsi="Arial" w:cs="Arial"/>
                <w:sz w:val="22"/>
                <w:szCs w:val="22"/>
              </w:rPr>
            </w:pPr>
            <w:r>
              <w:rPr>
                <w:rFonts w:ascii="Arial" w:hAnsi="Arial" w:cs="Arial"/>
                <w:sz w:val="22"/>
                <w:szCs w:val="22"/>
              </w:rPr>
              <w:t>LDL (mg/dL)</w:t>
            </w:r>
          </w:p>
        </w:tc>
        <w:tc>
          <w:tcPr>
            <w:tcW w:w="1608" w:type="dxa"/>
            <w:noWrap/>
            <w:vAlign w:val="center"/>
            <w:hideMark/>
          </w:tcPr>
          <w:p>
            <w:pPr>
              <w:rPr>
                <w:rFonts w:ascii="Arial" w:hAnsi="Arial" w:cs="Arial"/>
                <w:sz w:val="22"/>
                <w:szCs w:val="22"/>
              </w:rPr>
            </w:pPr>
            <w:r>
              <w:rPr>
                <w:rFonts w:ascii="Arial" w:hAnsi="Arial" w:cs="Arial"/>
                <w:sz w:val="22"/>
                <w:szCs w:val="22"/>
              </w:rPr>
              <w:t>139.5 ± 32.9</w:t>
            </w:r>
          </w:p>
        </w:tc>
        <w:tc>
          <w:tcPr>
            <w:tcW w:w="1701" w:type="dxa"/>
            <w:noWrap/>
            <w:vAlign w:val="center"/>
            <w:hideMark/>
          </w:tcPr>
          <w:p>
            <w:pPr>
              <w:rPr>
                <w:rFonts w:ascii="Arial" w:hAnsi="Arial" w:cs="Arial"/>
                <w:sz w:val="22"/>
                <w:szCs w:val="22"/>
              </w:rPr>
            </w:pPr>
            <w:r>
              <w:rPr>
                <w:rFonts w:ascii="Arial" w:hAnsi="Arial" w:cs="Arial"/>
                <w:sz w:val="22"/>
                <w:szCs w:val="22"/>
              </w:rPr>
              <w:t>139.1 ± 33.6</w:t>
            </w:r>
          </w:p>
        </w:tc>
        <w:tc>
          <w:tcPr>
            <w:tcW w:w="1560" w:type="dxa"/>
            <w:noWrap/>
            <w:vAlign w:val="center"/>
            <w:hideMark/>
          </w:tcPr>
          <w:p>
            <w:pPr>
              <w:rPr>
                <w:rFonts w:ascii="Arial" w:hAnsi="Arial" w:cs="Arial"/>
                <w:sz w:val="22"/>
                <w:szCs w:val="22"/>
              </w:rPr>
            </w:pPr>
            <w:r>
              <w:rPr>
                <w:rFonts w:ascii="Arial" w:hAnsi="Arial" w:cs="Arial"/>
                <w:sz w:val="22"/>
                <w:szCs w:val="22"/>
              </w:rPr>
              <w:t>139.8 ± 32.5</w:t>
            </w:r>
          </w:p>
        </w:tc>
        <w:tc>
          <w:tcPr>
            <w:tcW w:w="1000" w:type="dxa"/>
            <w:noWrap/>
            <w:vAlign w:val="center"/>
            <w:hideMark/>
          </w:tcPr>
          <w:p>
            <w:pPr>
              <w:jc w:val="center"/>
              <w:rPr>
                <w:rFonts w:ascii="Arial" w:hAnsi="Arial" w:cs="Arial"/>
                <w:sz w:val="22"/>
                <w:szCs w:val="22"/>
              </w:rPr>
            </w:pPr>
            <w:r>
              <w:rPr>
                <w:rFonts w:ascii="Arial" w:hAnsi="Arial" w:cs="Arial"/>
                <w:sz w:val="22"/>
                <w:szCs w:val="22"/>
              </w:rPr>
              <w:t>0.82</w:t>
            </w:r>
          </w:p>
        </w:tc>
      </w:tr>
      <w:tr>
        <w:trPr>
          <w:trHeight w:val="300"/>
        </w:trPr>
        <w:tc>
          <w:tcPr>
            <w:tcW w:w="3440" w:type="dxa"/>
            <w:noWrap/>
            <w:vAlign w:val="center"/>
            <w:hideMark/>
          </w:tcPr>
          <w:p>
            <w:pPr>
              <w:rPr>
                <w:rFonts w:ascii="Arial" w:hAnsi="Arial" w:cs="Arial"/>
                <w:sz w:val="22"/>
                <w:szCs w:val="22"/>
              </w:rPr>
            </w:pPr>
            <w:r>
              <w:rPr>
                <w:rFonts w:ascii="Arial" w:hAnsi="Arial" w:cs="Arial"/>
                <w:sz w:val="22"/>
                <w:szCs w:val="22"/>
              </w:rPr>
              <w:t>Triglyceride levels (mg/dL)</w:t>
            </w:r>
          </w:p>
        </w:tc>
        <w:tc>
          <w:tcPr>
            <w:tcW w:w="1608" w:type="dxa"/>
            <w:noWrap/>
            <w:vAlign w:val="center"/>
            <w:hideMark/>
          </w:tcPr>
          <w:p>
            <w:pPr>
              <w:rPr>
                <w:rFonts w:ascii="Arial" w:hAnsi="Arial" w:cs="Arial"/>
                <w:sz w:val="22"/>
                <w:szCs w:val="22"/>
              </w:rPr>
            </w:pPr>
            <w:r>
              <w:rPr>
                <w:rFonts w:ascii="Arial" w:hAnsi="Arial" w:cs="Arial"/>
                <w:sz w:val="22"/>
                <w:szCs w:val="22"/>
              </w:rPr>
              <w:t>131.5 ± 84.8</w:t>
            </w:r>
          </w:p>
        </w:tc>
        <w:tc>
          <w:tcPr>
            <w:tcW w:w="1701" w:type="dxa"/>
            <w:noWrap/>
            <w:vAlign w:val="center"/>
            <w:hideMark/>
          </w:tcPr>
          <w:p>
            <w:pPr>
              <w:rPr>
                <w:rFonts w:ascii="Arial" w:hAnsi="Arial" w:cs="Arial"/>
                <w:sz w:val="22"/>
                <w:szCs w:val="22"/>
              </w:rPr>
            </w:pPr>
            <w:r>
              <w:rPr>
                <w:rFonts w:ascii="Arial" w:hAnsi="Arial" w:cs="Arial"/>
                <w:sz w:val="22"/>
                <w:szCs w:val="22"/>
              </w:rPr>
              <w:t>134.2 ± 88.9</w:t>
            </w:r>
          </w:p>
        </w:tc>
        <w:tc>
          <w:tcPr>
            <w:tcW w:w="1560" w:type="dxa"/>
            <w:noWrap/>
            <w:vAlign w:val="center"/>
            <w:hideMark/>
          </w:tcPr>
          <w:p>
            <w:pPr>
              <w:rPr>
                <w:rFonts w:ascii="Arial" w:hAnsi="Arial" w:cs="Arial"/>
                <w:sz w:val="22"/>
                <w:szCs w:val="22"/>
              </w:rPr>
            </w:pPr>
            <w:r>
              <w:rPr>
                <w:rFonts w:ascii="Arial" w:hAnsi="Arial" w:cs="Arial"/>
                <w:sz w:val="22"/>
                <w:szCs w:val="22"/>
              </w:rPr>
              <w:t>129.8 ± 82.2</w:t>
            </w:r>
          </w:p>
        </w:tc>
        <w:tc>
          <w:tcPr>
            <w:tcW w:w="1000" w:type="dxa"/>
            <w:noWrap/>
            <w:vAlign w:val="center"/>
            <w:hideMark/>
          </w:tcPr>
          <w:p>
            <w:pPr>
              <w:jc w:val="center"/>
              <w:rPr>
                <w:rFonts w:ascii="Arial" w:hAnsi="Arial" w:cs="Arial"/>
                <w:sz w:val="22"/>
                <w:szCs w:val="22"/>
              </w:rPr>
            </w:pPr>
            <w:r>
              <w:rPr>
                <w:rFonts w:ascii="Arial" w:hAnsi="Arial" w:cs="Arial"/>
                <w:sz w:val="22"/>
                <w:szCs w:val="22"/>
              </w:rPr>
              <w:t>0.61</w:t>
            </w:r>
          </w:p>
        </w:tc>
      </w:tr>
      <w:tr>
        <w:trPr>
          <w:trHeight w:val="300"/>
        </w:trPr>
        <w:tc>
          <w:tcPr>
            <w:tcW w:w="3440" w:type="dxa"/>
            <w:noWrap/>
            <w:vAlign w:val="center"/>
            <w:hideMark/>
          </w:tcPr>
          <w:p>
            <w:pPr>
              <w:rPr>
                <w:rFonts w:ascii="Arial" w:hAnsi="Arial" w:cs="Arial"/>
                <w:sz w:val="22"/>
                <w:szCs w:val="22"/>
              </w:rPr>
            </w:pPr>
            <w:r>
              <w:rPr>
                <w:rFonts w:ascii="Arial" w:hAnsi="Arial" w:cs="Arial"/>
                <w:sz w:val="22"/>
                <w:szCs w:val="22"/>
              </w:rPr>
              <w:t>Lipid lowering medication</w:t>
            </w:r>
          </w:p>
        </w:tc>
        <w:tc>
          <w:tcPr>
            <w:tcW w:w="1608" w:type="dxa"/>
            <w:noWrap/>
            <w:vAlign w:val="center"/>
            <w:hideMark/>
          </w:tcPr>
          <w:p>
            <w:pPr>
              <w:rPr>
                <w:rFonts w:ascii="Arial" w:hAnsi="Arial" w:cs="Arial"/>
                <w:sz w:val="22"/>
                <w:szCs w:val="22"/>
              </w:rPr>
            </w:pPr>
            <w:r>
              <w:rPr>
                <w:rFonts w:ascii="Arial" w:hAnsi="Arial" w:cs="Arial"/>
                <w:sz w:val="22"/>
                <w:szCs w:val="22"/>
              </w:rPr>
              <w:t>43 (10.8%)</w:t>
            </w:r>
          </w:p>
        </w:tc>
        <w:tc>
          <w:tcPr>
            <w:tcW w:w="1701" w:type="dxa"/>
            <w:noWrap/>
            <w:vAlign w:val="center"/>
            <w:hideMark/>
          </w:tcPr>
          <w:p>
            <w:pPr>
              <w:rPr>
                <w:rFonts w:ascii="Arial" w:hAnsi="Arial" w:cs="Arial"/>
                <w:sz w:val="22"/>
                <w:szCs w:val="22"/>
              </w:rPr>
            </w:pPr>
            <w:r>
              <w:rPr>
                <w:rFonts w:ascii="Arial" w:hAnsi="Arial" w:cs="Arial"/>
                <w:sz w:val="22"/>
                <w:szCs w:val="22"/>
              </w:rPr>
              <w:t>19 (12.1%)</w:t>
            </w:r>
          </w:p>
        </w:tc>
        <w:tc>
          <w:tcPr>
            <w:tcW w:w="1560" w:type="dxa"/>
            <w:noWrap/>
            <w:vAlign w:val="center"/>
            <w:hideMark/>
          </w:tcPr>
          <w:p>
            <w:pPr>
              <w:rPr>
                <w:rFonts w:ascii="Arial" w:hAnsi="Arial" w:cs="Arial"/>
                <w:sz w:val="22"/>
                <w:szCs w:val="22"/>
              </w:rPr>
            </w:pPr>
            <w:r>
              <w:rPr>
                <w:rFonts w:ascii="Arial" w:hAnsi="Arial" w:cs="Arial"/>
                <w:sz w:val="22"/>
                <w:szCs w:val="22"/>
              </w:rPr>
              <w:t>24 (9.9%)</w:t>
            </w:r>
          </w:p>
        </w:tc>
        <w:tc>
          <w:tcPr>
            <w:tcW w:w="1000" w:type="dxa"/>
            <w:noWrap/>
            <w:vAlign w:val="center"/>
            <w:hideMark/>
          </w:tcPr>
          <w:p>
            <w:pPr>
              <w:jc w:val="center"/>
              <w:rPr>
                <w:rFonts w:ascii="Arial" w:hAnsi="Arial" w:cs="Arial"/>
                <w:sz w:val="22"/>
                <w:szCs w:val="22"/>
              </w:rPr>
            </w:pPr>
            <w:r>
              <w:rPr>
                <w:rFonts w:ascii="Arial" w:hAnsi="Arial" w:cs="Arial"/>
                <w:sz w:val="22"/>
                <w:szCs w:val="22"/>
              </w:rPr>
              <w:t>0.59</w:t>
            </w:r>
          </w:p>
        </w:tc>
      </w:tr>
      <w:tr>
        <w:trPr>
          <w:trHeight w:val="300"/>
        </w:trPr>
        <w:tc>
          <w:tcPr>
            <w:tcW w:w="3440" w:type="dxa"/>
            <w:noWrap/>
            <w:vAlign w:val="center"/>
            <w:hideMark/>
          </w:tcPr>
          <w:p>
            <w:pPr>
              <w:rPr>
                <w:rFonts w:ascii="Arial" w:hAnsi="Arial" w:cs="Arial"/>
                <w:sz w:val="22"/>
                <w:szCs w:val="22"/>
              </w:rPr>
            </w:pPr>
            <w:r>
              <w:rPr>
                <w:rFonts w:ascii="Arial" w:hAnsi="Arial" w:cs="Arial"/>
                <w:sz w:val="22"/>
                <w:szCs w:val="22"/>
              </w:rPr>
              <w:t>Smoking status</w:t>
            </w:r>
          </w:p>
        </w:tc>
        <w:tc>
          <w:tcPr>
            <w:tcW w:w="1608" w:type="dxa"/>
            <w:noWrap/>
            <w:vAlign w:val="center"/>
            <w:hideMark/>
          </w:tcPr>
          <w:p>
            <w:pPr>
              <w:rPr>
                <w:rFonts w:ascii="Arial" w:hAnsi="Arial" w:cs="Arial"/>
                <w:sz w:val="22"/>
                <w:szCs w:val="22"/>
              </w:rPr>
            </w:pPr>
          </w:p>
        </w:tc>
        <w:tc>
          <w:tcPr>
            <w:tcW w:w="1701" w:type="dxa"/>
            <w:noWrap/>
            <w:vAlign w:val="center"/>
            <w:hideMark/>
          </w:tcPr>
          <w:p>
            <w:pPr>
              <w:rPr>
                <w:rFonts w:ascii="Arial" w:hAnsi="Arial" w:cs="Arial"/>
                <w:sz w:val="22"/>
                <w:szCs w:val="22"/>
              </w:rPr>
            </w:pPr>
          </w:p>
        </w:tc>
        <w:tc>
          <w:tcPr>
            <w:tcW w:w="1560" w:type="dxa"/>
            <w:noWrap/>
            <w:vAlign w:val="center"/>
            <w:hideMark/>
          </w:tcPr>
          <w:p>
            <w:pPr>
              <w:rPr>
                <w:rFonts w:ascii="Arial" w:hAnsi="Arial" w:cs="Arial"/>
                <w:sz w:val="22"/>
                <w:szCs w:val="22"/>
              </w:rPr>
            </w:pPr>
          </w:p>
        </w:tc>
        <w:tc>
          <w:tcPr>
            <w:tcW w:w="1000" w:type="dxa"/>
            <w:noWrap/>
            <w:vAlign w:val="center"/>
            <w:hideMark/>
          </w:tcPr>
          <w:p>
            <w:pPr>
              <w:jc w:val="center"/>
              <w:rPr>
                <w:rFonts w:ascii="Arial" w:hAnsi="Arial" w:cs="Arial"/>
                <w:sz w:val="22"/>
                <w:szCs w:val="22"/>
                <w:lang w:eastAsia="en-US"/>
              </w:rPr>
            </w:pPr>
            <w:r>
              <w:rPr>
                <w:rFonts w:ascii="Arial" w:hAnsi="Arial" w:cs="Arial"/>
                <w:sz w:val="22"/>
                <w:szCs w:val="22"/>
              </w:rPr>
              <w:t>0.68</w:t>
            </w:r>
          </w:p>
        </w:tc>
      </w:tr>
      <w:tr>
        <w:trPr>
          <w:trHeight w:val="300"/>
        </w:trPr>
        <w:tc>
          <w:tcPr>
            <w:tcW w:w="3440" w:type="dxa"/>
            <w:noWrap/>
            <w:vAlign w:val="center"/>
            <w:hideMark/>
          </w:tcPr>
          <w:p>
            <w:pPr>
              <w:rPr>
                <w:rFonts w:ascii="Arial" w:hAnsi="Arial" w:cs="Arial"/>
                <w:sz w:val="22"/>
                <w:szCs w:val="22"/>
              </w:rPr>
            </w:pPr>
            <w:r>
              <w:rPr>
                <w:rFonts w:ascii="Arial" w:hAnsi="Arial" w:cs="Arial"/>
                <w:sz w:val="22"/>
                <w:szCs w:val="22"/>
              </w:rPr>
              <w:t xml:space="preserve">    Never-smoker</w:t>
            </w:r>
          </w:p>
        </w:tc>
        <w:tc>
          <w:tcPr>
            <w:tcW w:w="1608" w:type="dxa"/>
            <w:noWrap/>
            <w:vAlign w:val="center"/>
            <w:hideMark/>
          </w:tcPr>
          <w:p>
            <w:pPr>
              <w:rPr>
                <w:rFonts w:ascii="Arial" w:hAnsi="Arial" w:cs="Arial"/>
                <w:sz w:val="22"/>
                <w:szCs w:val="22"/>
              </w:rPr>
            </w:pPr>
            <w:r>
              <w:rPr>
                <w:rFonts w:ascii="Arial" w:hAnsi="Arial" w:cs="Arial"/>
                <w:sz w:val="22"/>
                <w:szCs w:val="22"/>
              </w:rPr>
              <w:t>146 (36.5%)</w:t>
            </w:r>
          </w:p>
        </w:tc>
        <w:tc>
          <w:tcPr>
            <w:tcW w:w="1701" w:type="dxa"/>
            <w:noWrap/>
            <w:vAlign w:val="center"/>
            <w:hideMark/>
          </w:tcPr>
          <w:p>
            <w:pPr>
              <w:rPr>
                <w:rFonts w:ascii="Arial" w:hAnsi="Arial" w:cs="Arial"/>
                <w:sz w:val="22"/>
                <w:szCs w:val="22"/>
              </w:rPr>
            </w:pPr>
            <w:r>
              <w:rPr>
                <w:rFonts w:ascii="Arial" w:hAnsi="Arial" w:cs="Arial"/>
                <w:sz w:val="22"/>
                <w:szCs w:val="22"/>
              </w:rPr>
              <w:t>59 (37.6%)</w:t>
            </w:r>
          </w:p>
        </w:tc>
        <w:tc>
          <w:tcPr>
            <w:tcW w:w="1560" w:type="dxa"/>
            <w:noWrap/>
            <w:vAlign w:val="center"/>
            <w:hideMark/>
          </w:tcPr>
          <w:p>
            <w:pPr>
              <w:rPr>
                <w:rFonts w:ascii="Arial" w:hAnsi="Arial" w:cs="Arial"/>
                <w:sz w:val="22"/>
                <w:szCs w:val="22"/>
              </w:rPr>
            </w:pPr>
            <w:r>
              <w:rPr>
                <w:rFonts w:ascii="Arial" w:hAnsi="Arial" w:cs="Arial"/>
                <w:sz w:val="22"/>
                <w:szCs w:val="22"/>
              </w:rPr>
              <w:t>87 (35.8%)</w:t>
            </w:r>
          </w:p>
        </w:tc>
        <w:tc>
          <w:tcPr>
            <w:tcW w:w="1000" w:type="dxa"/>
            <w:noWrap/>
            <w:vAlign w:val="center"/>
            <w:hideMark/>
          </w:tcPr>
          <w:p>
            <w:pPr>
              <w:rPr>
                <w:rFonts w:ascii="Arial" w:hAnsi="Arial" w:cs="Arial"/>
                <w:sz w:val="22"/>
                <w:szCs w:val="22"/>
              </w:rPr>
            </w:pPr>
          </w:p>
        </w:tc>
      </w:tr>
      <w:tr>
        <w:trPr>
          <w:trHeight w:val="300"/>
        </w:trPr>
        <w:tc>
          <w:tcPr>
            <w:tcW w:w="3440" w:type="dxa"/>
            <w:noWrap/>
            <w:vAlign w:val="center"/>
            <w:hideMark/>
          </w:tcPr>
          <w:p>
            <w:pPr>
              <w:rPr>
                <w:rFonts w:ascii="Arial" w:hAnsi="Arial" w:cs="Arial"/>
                <w:sz w:val="22"/>
                <w:szCs w:val="22"/>
                <w:lang w:eastAsia="en-US"/>
              </w:rPr>
            </w:pPr>
            <w:r>
              <w:rPr>
                <w:rFonts w:ascii="Arial" w:hAnsi="Arial" w:cs="Arial"/>
                <w:sz w:val="22"/>
                <w:szCs w:val="22"/>
              </w:rPr>
              <w:t xml:space="preserve">    Ex-smoker</w:t>
            </w:r>
          </w:p>
        </w:tc>
        <w:tc>
          <w:tcPr>
            <w:tcW w:w="1608" w:type="dxa"/>
            <w:noWrap/>
            <w:vAlign w:val="center"/>
            <w:hideMark/>
          </w:tcPr>
          <w:p>
            <w:pPr>
              <w:rPr>
                <w:rFonts w:ascii="Arial" w:hAnsi="Arial" w:cs="Arial"/>
                <w:sz w:val="22"/>
                <w:szCs w:val="22"/>
              </w:rPr>
            </w:pPr>
            <w:r>
              <w:rPr>
                <w:rFonts w:ascii="Arial" w:hAnsi="Arial" w:cs="Arial"/>
                <w:sz w:val="22"/>
                <w:szCs w:val="22"/>
              </w:rPr>
              <w:t>174 (43.5%)</w:t>
            </w:r>
          </w:p>
        </w:tc>
        <w:tc>
          <w:tcPr>
            <w:tcW w:w="1701" w:type="dxa"/>
            <w:noWrap/>
            <w:vAlign w:val="center"/>
            <w:hideMark/>
          </w:tcPr>
          <w:p>
            <w:pPr>
              <w:rPr>
                <w:rFonts w:ascii="Arial" w:hAnsi="Arial" w:cs="Arial"/>
                <w:sz w:val="22"/>
                <w:szCs w:val="22"/>
              </w:rPr>
            </w:pPr>
            <w:r>
              <w:rPr>
                <w:rFonts w:ascii="Arial" w:hAnsi="Arial" w:cs="Arial"/>
                <w:sz w:val="22"/>
                <w:szCs w:val="22"/>
              </w:rPr>
              <w:t>70 (44.6%)</w:t>
            </w:r>
          </w:p>
        </w:tc>
        <w:tc>
          <w:tcPr>
            <w:tcW w:w="1560" w:type="dxa"/>
            <w:noWrap/>
            <w:vAlign w:val="center"/>
            <w:hideMark/>
          </w:tcPr>
          <w:p>
            <w:pPr>
              <w:rPr>
                <w:rFonts w:ascii="Arial" w:hAnsi="Arial" w:cs="Arial"/>
                <w:sz w:val="22"/>
                <w:szCs w:val="22"/>
              </w:rPr>
            </w:pPr>
            <w:r>
              <w:rPr>
                <w:rFonts w:ascii="Arial" w:hAnsi="Arial" w:cs="Arial"/>
                <w:sz w:val="22"/>
                <w:szCs w:val="22"/>
              </w:rPr>
              <w:t>104 (42.8%)</w:t>
            </w:r>
          </w:p>
        </w:tc>
        <w:tc>
          <w:tcPr>
            <w:tcW w:w="1000" w:type="dxa"/>
            <w:noWrap/>
            <w:vAlign w:val="center"/>
            <w:hideMark/>
          </w:tcPr>
          <w:p>
            <w:pPr>
              <w:rPr>
                <w:rFonts w:ascii="Arial" w:hAnsi="Arial" w:cs="Arial"/>
                <w:sz w:val="22"/>
                <w:szCs w:val="22"/>
              </w:rPr>
            </w:pPr>
          </w:p>
        </w:tc>
      </w:tr>
      <w:tr>
        <w:trPr>
          <w:trHeight w:val="300"/>
        </w:trPr>
        <w:tc>
          <w:tcPr>
            <w:tcW w:w="3440" w:type="dxa"/>
            <w:noWrap/>
            <w:vAlign w:val="center"/>
            <w:hideMark/>
          </w:tcPr>
          <w:p>
            <w:pPr>
              <w:rPr>
                <w:rFonts w:ascii="Arial" w:hAnsi="Arial" w:cs="Arial"/>
                <w:sz w:val="22"/>
                <w:szCs w:val="22"/>
                <w:lang w:eastAsia="en-US"/>
              </w:rPr>
            </w:pPr>
            <w:r>
              <w:rPr>
                <w:rFonts w:ascii="Arial" w:hAnsi="Arial" w:cs="Arial"/>
                <w:sz w:val="22"/>
                <w:szCs w:val="22"/>
              </w:rPr>
              <w:t xml:space="preserve">    Smoker</w:t>
            </w:r>
          </w:p>
        </w:tc>
        <w:tc>
          <w:tcPr>
            <w:tcW w:w="1608" w:type="dxa"/>
            <w:noWrap/>
            <w:vAlign w:val="center"/>
            <w:hideMark/>
          </w:tcPr>
          <w:p>
            <w:pPr>
              <w:rPr>
                <w:rFonts w:ascii="Arial" w:hAnsi="Arial" w:cs="Arial"/>
                <w:sz w:val="22"/>
                <w:szCs w:val="22"/>
              </w:rPr>
            </w:pPr>
            <w:r>
              <w:rPr>
                <w:rFonts w:ascii="Arial" w:hAnsi="Arial" w:cs="Arial"/>
                <w:sz w:val="22"/>
                <w:szCs w:val="22"/>
              </w:rPr>
              <w:t>80 (20.0%)</w:t>
            </w:r>
          </w:p>
        </w:tc>
        <w:tc>
          <w:tcPr>
            <w:tcW w:w="1701" w:type="dxa"/>
            <w:noWrap/>
            <w:vAlign w:val="center"/>
            <w:hideMark/>
          </w:tcPr>
          <w:p>
            <w:pPr>
              <w:rPr>
                <w:rFonts w:ascii="Arial" w:hAnsi="Arial" w:cs="Arial"/>
                <w:sz w:val="22"/>
                <w:szCs w:val="22"/>
              </w:rPr>
            </w:pPr>
            <w:r>
              <w:rPr>
                <w:rFonts w:ascii="Arial" w:hAnsi="Arial" w:cs="Arial"/>
                <w:sz w:val="22"/>
                <w:szCs w:val="22"/>
              </w:rPr>
              <w:t>28 (17.8%)</w:t>
            </w:r>
          </w:p>
        </w:tc>
        <w:tc>
          <w:tcPr>
            <w:tcW w:w="1560" w:type="dxa"/>
            <w:noWrap/>
            <w:vAlign w:val="center"/>
            <w:hideMark/>
          </w:tcPr>
          <w:p>
            <w:pPr>
              <w:rPr>
                <w:rFonts w:ascii="Arial" w:hAnsi="Arial" w:cs="Arial"/>
                <w:sz w:val="22"/>
                <w:szCs w:val="22"/>
              </w:rPr>
            </w:pPr>
            <w:r>
              <w:rPr>
                <w:rFonts w:ascii="Arial" w:hAnsi="Arial" w:cs="Arial"/>
                <w:sz w:val="22"/>
                <w:szCs w:val="22"/>
              </w:rPr>
              <w:t>52 (21.4%)</w:t>
            </w:r>
          </w:p>
        </w:tc>
        <w:tc>
          <w:tcPr>
            <w:tcW w:w="1000" w:type="dxa"/>
            <w:noWrap/>
            <w:vAlign w:val="center"/>
            <w:hideMark/>
          </w:tcPr>
          <w:p>
            <w:pPr>
              <w:rPr>
                <w:rFonts w:ascii="Arial" w:hAnsi="Arial" w:cs="Arial"/>
                <w:sz w:val="22"/>
                <w:szCs w:val="22"/>
              </w:rPr>
            </w:pPr>
          </w:p>
        </w:tc>
      </w:tr>
      <w:tr>
        <w:trPr>
          <w:trHeight w:val="300"/>
        </w:trPr>
        <w:tc>
          <w:tcPr>
            <w:tcW w:w="3440" w:type="dxa"/>
            <w:noWrap/>
            <w:vAlign w:val="center"/>
            <w:hideMark/>
          </w:tcPr>
          <w:p>
            <w:pPr>
              <w:rPr>
                <w:rFonts w:ascii="Arial" w:hAnsi="Arial" w:cs="Arial"/>
                <w:sz w:val="22"/>
                <w:szCs w:val="22"/>
                <w:lang w:eastAsia="en-US"/>
              </w:rPr>
            </w:pPr>
            <w:r>
              <w:rPr>
                <w:rFonts w:ascii="Arial" w:hAnsi="Arial" w:cs="Arial"/>
                <w:sz w:val="22"/>
                <w:szCs w:val="22"/>
              </w:rPr>
              <w:t>Creatinine (mg/dL)</w:t>
            </w:r>
          </w:p>
        </w:tc>
        <w:tc>
          <w:tcPr>
            <w:tcW w:w="1608" w:type="dxa"/>
            <w:noWrap/>
            <w:vAlign w:val="center"/>
            <w:hideMark/>
          </w:tcPr>
          <w:p>
            <w:pPr>
              <w:rPr>
                <w:rFonts w:ascii="Arial" w:hAnsi="Arial" w:cs="Arial"/>
                <w:sz w:val="22"/>
                <w:szCs w:val="22"/>
              </w:rPr>
            </w:pPr>
            <w:r>
              <w:rPr>
                <w:rFonts w:ascii="Arial" w:hAnsi="Arial" w:cs="Arial"/>
                <w:sz w:val="22"/>
                <w:szCs w:val="22"/>
              </w:rPr>
              <w:t>0.9 ± 0.2</w:t>
            </w:r>
          </w:p>
        </w:tc>
        <w:tc>
          <w:tcPr>
            <w:tcW w:w="1701" w:type="dxa"/>
            <w:noWrap/>
            <w:vAlign w:val="center"/>
            <w:hideMark/>
          </w:tcPr>
          <w:p>
            <w:pPr>
              <w:rPr>
                <w:rFonts w:ascii="Arial" w:hAnsi="Arial" w:cs="Arial"/>
                <w:sz w:val="22"/>
                <w:szCs w:val="22"/>
              </w:rPr>
            </w:pPr>
            <w:r>
              <w:rPr>
                <w:rFonts w:ascii="Arial" w:hAnsi="Arial" w:cs="Arial"/>
                <w:sz w:val="22"/>
                <w:szCs w:val="22"/>
              </w:rPr>
              <w:t>0.9 ± 0.2</w:t>
            </w:r>
          </w:p>
        </w:tc>
        <w:tc>
          <w:tcPr>
            <w:tcW w:w="1560" w:type="dxa"/>
            <w:noWrap/>
            <w:vAlign w:val="center"/>
            <w:hideMark/>
          </w:tcPr>
          <w:p>
            <w:pPr>
              <w:rPr>
                <w:rFonts w:ascii="Arial" w:hAnsi="Arial" w:cs="Arial"/>
                <w:sz w:val="22"/>
                <w:szCs w:val="22"/>
              </w:rPr>
            </w:pPr>
            <w:r>
              <w:rPr>
                <w:rFonts w:ascii="Arial" w:hAnsi="Arial" w:cs="Arial"/>
                <w:sz w:val="22"/>
                <w:szCs w:val="22"/>
              </w:rPr>
              <w:t>0.9 ± 0.1</w:t>
            </w:r>
          </w:p>
        </w:tc>
        <w:tc>
          <w:tcPr>
            <w:tcW w:w="1000" w:type="dxa"/>
            <w:noWrap/>
            <w:vAlign w:val="center"/>
            <w:hideMark/>
          </w:tcPr>
          <w:p>
            <w:pPr>
              <w:jc w:val="center"/>
              <w:rPr>
                <w:rFonts w:ascii="Arial" w:hAnsi="Arial" w:cs="Arial"/>
                <w:b/>
                <w:sz w:val="22"/>
                <w:szCs w:val="22"/>
              </w:rPr>
            </w:pPr>
            <w:r>
              <w:rPr>
                <w:rFonts w:ascii="Arial" w:hAnsi="Arial" w:cs="Arial"/>
                <w:b/>
                <w:sz w:val="22"/>
                <w:szCs w:val="22"/>
              </w:rPr>
              <w:t>0.04</w:t>
            </w:r>
          </w:p>
        </w:tc>
      </w:tr>
    </w:tbl>
    <w:p>
      <w:pPr>
        <w:rPr>
          <w:rFonts w:ascii="Arial" w:hAnsi="Arial" w:cs="Arial"/>
          <w:b/>
          <w:sz w:val="22"/>
          <w:szCs w:val="22"/>
          <w:lang w:val="en-US" w:eastAsia="en-US"/>
        </w:rPr>
      </w:pPr>
      <w:r>
        <w:rPr>
          <w:rFonts w:ascii="Arial" w:hAnsi="Arial" w:cs="Arial"/>
          <w:b/>
          <w:sz w:val="22"/>
          <w:szCs w:val="22"/>
          <w:lang w:val="en-US"/>
        </w:rPr>
        <w:t xml:space="preserve">Appendix E2: </w:t>
      </w:r>
      <w:r>
        <w:rPr>
          <w:rFonts w:ascii="Arial" w:hAnsi="Arial" w:cs="Arial"/>
          <w:sz w:val="22"/>
          <w:szCs w:val="22"/>
          <w:lang w:val="en-US"/>
        </w:rPr>
        <w:t>Comparing subjects, of which the pre-/post-survey was included in the analysis as to those not-included</w:t>
      </w:r>
    </w:p>
    <w:p>
      <w:pPr>
        <w:rPr>
          <w:rFonts w:ascii="Arial" w:hAnsi="Arial" w:cs="Arial"/>
          <w:b/>
          <w:sz w:val="22"/>
          <w:szCs w:val="22"/>
          <w:lang w:val="en-US"/>
        </w:rPr>
      </w:pPr>
    </w:p>
    <w:p>
      <w:pPr>
        <w:spacing w:after="200" w:line="276" w:lineRule="auto"/>
        <w:rPr>
          <w:rFonts w:ascii="Arial" w:hAnsi="Arial" w:cs="Arial"/>
          <w:b/>
          <w:sz w:val="22"/>
          <w:szCs w:val="22"/>
          <w:lang w:val="en-US"/>
        </w:rPr>
        <w:sectPr>
          <w:pgSz w:w="11906" w:h="16838"/>
          <w:pgMar w:top="1687" w:right="1417" w:bottom="1134" w:left="1417" w:header="708" w:footer="708" w:gutter="0"/>
          <w:cols w:space="708"/>
          <w:docGrid w:linePitch="360"/>
        </w:sectPr>
      </w:pPr>
    </w:p>
    <w:p>
      <w:pPr>
        <w:rPr>
          <w:rFonts w:ascii="Arial" w:hAnsi="Arial" w:cs="Arial"/>
          <w:b/>
          <w:sz w:val="22"/>
          <w:szCs w:val="22"/>
          <w:lang w:val="en-US"/>
        </w:rPr>
      </w:pPr>
      <w:r>
        <w:rPr>
          <w:rFonts w:ascii="Arial" w:hAnsi="Arial" w:cs="Arial"/>
          <w:b/>
          <w:sz w:val="22"/>
          <w:szCs w:val="22"/>
          <w:lang w:val="en-US"/>
        </w:rPr>
        <w:lastRenderedPageBreak/>
        <w:t>REFERENCES</w:t>
      </w:r>
    </w:p>
    <w:p>
      <w:pPr>
        <w:pStyle w:val="EndNoteBibliography"/>
        <w:spacing w:after="0"/>
        <w:rPr>
          <w:rFonts w:ascii="Arial" w:hAnsi="Arial" w:cs="Arial"/>
          <w:lang w:val="de-DE"/>
        </w:rPr>
      </w:pPr>
      <w:r>
        <w:rPr>
          <w:rFonts w:ascii="Arial" w:hAnsi="Arial" w:cs="Arial"/>
          <w:b/>
        </w:rPr>
        <w:fldChar w:fldCharType="begin"/>
      </w:r>
      <w:r>
        <w:rPr>
          <w:rFonts w:ascii="Arial" w:hAnsi="Arial" w:cs="Arial"/>
          <w:b/>
        </w:rPr>
        <w:instrText xml:space="preserve"> ADDIN EN.REFLIST </w:instrText>
      </w:r>
      <w:r>
        <w:rPr>
          <w:rFonts w:ascii="Arial" w:hAnsi="Arial" w:cs="Arial"/>
          <w:b/>
        </w:rPr>
        <w:fldChar w:fldCharType="separate"/>
      </w:r>
      <w:r>
        <w:rPr>
          <w:rFonts w:ascii="Arial" w:hAnsi="Arial" w:cs="Arial"/>
        </w:rPr>
        <w:t>1.</w:t>
      </w:r>
      <w:r>
        <w:rPr>
          <w:rFonts w:ascii="Arial" w:hAnsi="Arial" w:cs="Arial"/>
        </w:rPr>
        <w:tab/>
        <w:t xml:space="preserve">Vernooij MW, Ikram MA, Tanghe HL, Vincent AJ, Hofman A, Krestin GP, et al. Incidental findings on brain MRI in the general population. The New England journal of medicine. </w:t>
      </w:r>
      <w:r>
        <w:rPr>
          <w:rFonts w:ascii="Arial" w:hAnsi="Arial" w:cs="Arial"/>
          <w:lang w:val="de-DE"/>
        </w:rPr>
        <w:t>2007;357(18):1821-8.</w:t>
      </w:r>
    </w:p>
    <w:p>
      <w:pPr>
        <w:pStyle w:val="EndNoteBibliography"/>
        <w:spacing w:after="0"/>
        <w:rPr>
          <w:rFonts w:ascii="Arial" w:hAnsi="Arial" w:cs="Arial"/>
          <w:lang w:val="de-DE"/>
        </w:rPr>
      </w:pPr>
    </w:p>
    <w:p>
      <w:pPr>
        <w:pStyle w:val="EndNoteBibliography"/>
        <w:spacing w:after="0"/>
        <w:rPr>
          <w:rFonts w:ascii="Arial" w:hAnsi="Arial" w:cs="Arial"/>
        </w:rPr>
      </w:pPr>
      <w:r>
        <w:rPr>
          <w:rFonts w:ascii="Arial" w:hAnsi="Arial" w:cs="Arial"/>
          <w:lang w:val="de-DE"/>
        </w:rPr>
        <w:t>2.</w:t>
      </w:r>
      <w:r>
        <w:rPr>
          <w:rFonts w:ascii="Arial" w:hAnsi="Arial" w:cs="Arial"/>
          <w:lang w:val="de-DE"/>
        </w:rPr>
        <w:tab/>
        <w:t xml:space="preserve">Schmidt CO, Hegenscheid K, Erdmann P, Kohlmann T, Langanke M, Volzke H, et al. </w:t>
      </w:r>
      <w:r>
        <w:rPr>
          <w:rFonts w:ascii="Arial" w:hAnsi="Arial" w:cs="Arial"/>
        </w:rPr>
        <w:t>Psychosocial consequences and severity of disclosed incidental findings from whole-body MRI in a general population study. European radiology. 2013;23(5):1343-51.</w:t>
      </w:r>
    </w:p>
    <w:p>
      <w:pPr>
        <w:pStyle w:val="EndNoteBibliography"/>
        <w:spacing w:after="0"/>
        <w:rPr>
          <w:rFonts w:ascii="Arial" w:hAnsi="Arial" w:cs="Arial"/>
        </w:rPr>
      </w:pPr>
    </w:p>
    <w:p>
      <w:pPr>
        <w:pStyle w:val="EndNoteBibliography"/>
        <w:spacing w:after="0"/>
        <w:rPr>
          <w:rFonts w:ascii="Arial" w:hAnsi="Arial" w:cs="Arial"/>
        </w:rPr>
      </w:pPr>
      <w:r>
        <w:rPr>
          <w:rFonts w:ascii="Arial" w:hAnsi="Arial" w:cs="Arial"/>
        </w:rPr>
        <w:t>3.</w:t>
      </w:r>
      <w:r>
        <w:rPr>
          <w:rFonts w:ascii="Arial" w:hAnsi="Arial" w:cs="Arial"/>
        </w:rPr>
        <w:tab/>
        <w:t>Bamberg F, Hetterich H, Rospleszcz S, Lorbeer R, Auweter SD, Schlett CL, et al. Subclinical Disease Burden as Assessed by Whole-Body MRI in Subjects With Prediabetes, Subjects With Diabetes, and Normal Control Subjects From the General Population: The KORA-MRI Study. Diabetes. 2017;66(1):158-69.</w:t>
      </w:r>
    </w:p>
    <w:p>
      <w:pPr>
        <w:pStyle w:val="EndNoteBibliography"/>
        <w:spacing w:after="0"/>
        <w:rPr>
          <w:rFonts w:ascii="Arial" w:hAnsi="Arial" w:cs="Arial"/>
        </w:rPr>
      </w:pPr>
    </w:p>
    <w:p>
      <w:pPr>
        <w:pStyle w:val="EndNoteBibliography"/>
        <w:rPr>
          <w:rFonts w:ascii="Arial" w:hAnsi="Arial" w:cs="Arial"/>
        </w:rPr>
      </w:pPr>
      <w:r>
        <w:rPr>
          <w:rFonts w:ascii="Arial" w:hAnsi="Arial" w:cs="Arial"/>
        </w:rPr>
        <w:t>4.</w:t>
      </w:r>
      <w:r>
        <w:rPr>
          <w:rFonts w:ascii="Arial" w:hAnsi="Arial" w:cs="Arial"/>
        </w:rPr>
        <w:tab/>
        <w:t>Lowe B, Unutzer J, Callahan CM, Perkins AJ, Kroenke K. Monitoring depression treatment outcomes with the patient health questionnaire-9. Med Care. 2004;42(12):1194-201.</w:t>
      </w:r>
    </w:p>
    <w:p>
      <w:pPr>
        <w:pStyle w:val="EndNoteBibliography"/>
        <w:rPr>
          <w:rFonts w:ascii="Arial" w:hAnsi="Arial" w:cs="Arial"/>
        </w:rPr>
      </w:pPr>
      <w:r>
        <w:rPr>
          <w:rFonts w:ascii="Arial" w:hAnsi="Arial" w:cs="Arial"/>
        </w:rPr>
        <w:t>5.</w:t>
      </w:r>
      <w:r>
        <w:rPr>
          <w:rFonts w:ascii="Arial" w:hAnsi="Arial" w:cs="Arial"/>
        </w:rPr>
        <w:tab/>
        <w:t xml:space="preserve">Morin, S. H. X., J. F. L. Cobbold, A. K. P. Lim, J. Eliahoo, E. L. Thomas, S. R. Mehta, G. Durighel, J. Fitzpatrick, J. D. Bell, und S. D. Taylor-Robinson. „Incidental Findings in Healthy Control Research Subjects Using Whole-Body MRI“. </w:t>
      </w:r>
      <w:r>
        <w:rPr>
          <w:rFonts w:ascii="Arial" w:hAnsi="Arial" w:cs="Arial"/>
          <w:i/>
          <w:iCs/>
        </w:rPr>
        <w:t>European Journal of Radiology</w:t>
      </w:r>
      <w:r>
        <w:rPr>
          <w:rFonts w:ascii="Arial" w:hAnsi="Arial" w:cs="Arial"/>
        </w:rPr>
        <w:t xml:space="preserve"> 72, Nr. 3 (Dezember 2009): 529–33. </w:t>
      </w:r>
    </w:p>
    <w:p>
      <w:pPr>
        <w:pStyle w:val="EndNoteBibliography"/>
        <w:rPr>
          <w:rFonts w:ascii="Arial" w:hAnsi="Arial" w:cs="Arial"/>
          <w:lang w:val="de-DE"/>
        </w:rPr>
      </w:pPr>
      <w:r>
        <w:rPr>
          <w:rFonts w:ascii="Arial" w:hAnsi="Arial" w:cs="Arial"/>
        </w:rPr>
        <w:t xml:space="preserve">6. </w:t>
      </w:r>
      <w:r>
        <w:rPr>
          <w:rFonts w:ascii="Arial" w:hAnsi="Arial" w:cs="Arial"/>
        </w:rPr>
        <w:tab/>
        <w:t xml:space="preserve">Gibson, Lorna M., John Nolan, Thomas J. Littlejohns, Edouard Mathieu, Steve Garratt, Nicola Doherty, Steffen Petersen, u. a. „Factors Associated with Potentially Serious Incidental Findings and with Serious Final Diagnoses on Multi-Modal Imaging in the UK Biobank Imaging Study: A Prospective Cohort Study“. </w:t>
      </w:r>
      <w:r>
        <w:rPr>
          <w:rFonts w:ascii="Arial" w:hAnsi="Arial" w:cs="Arial"/>
          <w:i/>
          <w:iCs/>
          <w:lang w:val="de-DE"/>
        </w:rPr>
        <w:t>PloS One</w:t>
      </w:r>
      <w:r>
        <w:rPr>
          <w:rFonts w:ascii="Arial" w:hAnsi="Arial" w:cs="Arial"/>
          <w:lang w:val="de-DE"/>
        </w:rPr>
        <w:t xml:space="preserve"> 14, Nr. 6 (2019): e0218267. </w:t>
      </w:r>
    </w:p>
    <w:p>
      <w:pPr>
        <w:pStyle w:val="EndNoteBibliography"/>
        <w:rPr>
          <w:rFonts w:ascii="Arial" w:eastAsia="Times New Roman" w:hAnsi="Arial" w:cs="Arial"/>
          <w:lang w:eastAsia="de-DE"/>
        </w:rPr>
      </w:pPr>
      <w:r>
        <w:rPr>
          <w:rFonts w:ascii="Arial" w:hAnsi="Arial" w:cs="Arial"/>
          <w:lang w:val="de-DE"/>
        </w:rPr>
        <w:t xml:space="preserve">7. </w:t>
      </w:r>
      <w:r>
        <w:rPr>
          <w:rFonts w:ascii="Arial" w:hAnsi="Arial" w:cs="Arial"/>
          <w:lang w:val="de-DE"/>
        </w:rPr>
        <w:tab/>
      </w:r>
      <w:r>
        <w:rPr>
          <w:rFonts w:ascii="Arial" w:eastAsia="Times New Roman" w:hAnsi="Arial" w:cs="Arial"/>
          <w:lang w:val="de-DE" w:eastAsia="de-DE"/>
        </w:rPr>
        <w:t xml:space="preserve">Hegenscheid, Katrin, Rebecca Seipel, Carsten O. Schmidt, Henry Völzke, Jens-Peter Kühn, Reiner Biffar, Heyo K. Kroemer, Norbert Hosten, und Ralf Puls. </w:t>
      </w:r>
      <w:r>
        <w:rPr>
          <w:rFonts w:ascii="Arial" w:eastAsia="Times New Roman" w:hAnsi="Arial" w:cs="Arial"/>
          <w:lang w:eastAsia="de-DE"/>
        </w:rPr>
        <w:t xml:space="preserve">„Potentially Relevant Incidental Findings on Research Whole-Body MRI in the General Adult Population: Frequencies and Management“. </w:t>
      </w:r>
      <w:r>
        <w:rPr>
          <w:rFonts w:ascii="Arial" w:eastAsia="Times New Roman" w:hAnsi="Arial" w:cs="Arial"/>
          <w:i/>
          <w:iCs/>
          <w:lang w:eastAsia="de-DE"/>
        </w:rPr>
        <w:t>European Radiology</w:t>
      </w:r>
      <w:r>
        <w:rPr>
          <w:rFonts w:ascii="Arial" w:eastAsia="Times New Roman" w:hAnsi="Arial" w:cs="Arial"/>
          <w:lang w:eastAsia="de-DE"/>
        </w:rPr>
        <w:t xml:space="preserve"> 23, Nr. 3 (März 2013): 816–26. </w:t>
      </w:r>
    </w:p>
    <w:p>
      <w:pPr>
        <w:pStyle w:val="EndNoteBibliography"/>
        <w:rPr>
          <w:rFonts w:ascii="Arial" w:eastAsia="Times New Roman" w:hAnsi="Arial" w:cs="Arial"/>
          <w:lang w:val="de-DE" w:eastAsia="de-DE"/>
        </w:rPr>
      </w:pPr>
      <w:r>
        <w:rPr>
          <w:rFonts w:ascii="Arial" w:hAnsi="Arial" w:cs="Arial"/>
        </w:rPr>
        <w:t xml:space="preserve">8. </w:t>
      </w:r>
      <w:r>
        <w:rPr>
          <w:rFonts w:ascii="Arial" w:hAnsi="Arial" w:cs="Arial"/>
        </w:rPr>
        <w:tab/>
      </w:r>
      <w:r>
        <w:rPr>
          <w:rFonts w:ascii="Arial" w:eastAsia="Times New Roman" w:hAnsi="Arial" w:cs="Arial"/>
          <w:lang w:eastAsia="de-DE"/>
        </w:rPr>
        <w:t xml:space="preserve">Hegedüs, Peter, Oyunbileg von Stackelberg, Christoph Neumann, Sonja Selder, Nicole Werner, Pia Erdmann, Anja Granitza, u. a. „How to Report Incidental Findings from Population Whole-Body MRI: View of Participants of the German National Cohort“. </w:t>
      </w:r>
      <w:r>
        <w:rPr>
          <w:rFonts w:ascii="Arial" w:eastAsia="Times New Roman" w:hAnsi="Arial" w:cs="Arial"/>
          <w:i/>
          <w:iCs/>
          <w:lang w:val="de-DE" w:eastAsia="de-DE"/>
        </w:rPr>
        <w:t>European Radiology</w:t>
      </w:r>
      <w:r>
        <w:rPr>
          <w:rFonts w:ascii="Arial" w:eastAsia="Times New Roman" w:hAnsi="Arial" w:cs="Arial"/>
          <w:lang w:val="de-DE" w:eastAsia="de-DE"/>
        </w:rPr>
        <w:t xml:space="preserve"> 29, Nr. 11 (November 2019): 5873–78. </w:t>
      </w:r>
    </w:p>
    <w:p>
      <w:pPr>
        <w:pStyle w:val="EndNoteBibliography"/>
        <w:rPr>
          <w:rFonts w:ascii="Arial" w:hAnsi="Arial" w:cs="Arial"/>
        </w:rPr>
      </w:pPr>
      <w:r>
        <w:rPr>
          <w:rFonts w:ascii="Arial" w:eastAsia="Times New Roman" w:hAnsi="Arial" w:cs="Arial"/>
          <w:lang w:val="de-DE" w:eastAsia="de-DE"/>
        </w:rPr>
        <w:t xml:space="preserve">9. </w:t>
      </w:r>
      <w:r>
        <w:rPr>
          <w:rFonts w:ascii="Arial" w:eastAsia="Times New Roman" w:hAnsi="Arial" w:cs="Arial"/>
          <w:lang w:val="de-DE" w:eastAsia="de-DE"/>
        </w:rPr>
        <w:tab/>
      </w:r>
      <w:r>
        <w:rPr>
          <w:rFonts w:ascii="Arial" w:hAnsi="Arial" w:cs="Arial"/>
          <w:lang w:val="de-DE"/>
        </w:rPr>
        <w:t xml:space="preserve">Bunnik, Eline M., Lisa van Bodegom, Wim Pinxten, Inez D. de Beaufort, und Meike W. Vernooij. </w:t>
      </w:r>
      <w:r>
        <w:rPr>
          <w:rFonts w:ascii="Arial" w:hAnsi="Arial" w:cs="Arial"/>
        </w:rPr>
        <w:t xml:space="preserve">„Ethical Framework for the Detection, Management and Communication of Incidental Findings in Imaging Studies, Building on an Interview Study of Researchers’ Practices and Perspectives“. </w:t>
      </w:r>
      <w:r>
        <w:rPr>
          <w:rFonts w:ascii="Arial" w:hAnsi="Arial" w:cs="Arial"/>
          <w:i/>
          <w:iCs/>
        </w:rPr>
        <w:t>BMC Medical Ethics</w:t>
      </w:r>
      <w:r>
        <w:rPr>
          <w:rFonts w:ascii="Arial" w:hAnsi="Arial" w:cs="Arial"/>
        </w:rPr>
        <w:t xml:space="preserve"> 18, Nr. 1 (6. Februar 2017): 10. </w:t>
      </w:r>
    </w:p>
    <w:p>
      <w:pPr>
        <w:pStyle w:val="EndNoteBibliography"/>
        <w:rPr>
          <w:rFonts w:ascii="Arial" w:hAnsi="Arial" w:cs="Arial"/>
        </w:rPr>
      </w:pPr>
      <w:r>
        <w:rPr>
          <w:rFonts w:ascii="Arial" w:hAnsi="Arial" w:cs="Arial"/>
        </w:rPr>
        <w:t xml:space="preserve">10. </w:t>
      </w:r>
      <w:r>
        <w:rPr>
          <w:rFonts w:ascii="Arial" w:hAnsi="Arial" w:cs="Arial"/>
        </w:rPr>
        <w:tab/>
        <w:t xml:space="preserve">Kirschen, Matthew P., Agnieszka Jaworska, und Judy Illes. „Subjects’ Expectations in Neuroimaging Research“. </w:t>
      </w:r>
      <w:r>
        <w:rPr>
          <w:rFonts w:ascii="Arial" w:hAnsi="Arial" w:cs="Arial"/>
          <w:i/>
          <w:iCs/>
        </w:rPr>
        <w:t>Journal of Magnetic Resonance Imaging: JMRI</w:t>
      </w:r>
      <w:r>
        <w:rPr>
          <w:rFonts w:ascii="Arial" w:hAnsi="Arial" w:cs="Arial"/>
        </w:rPr>
        <w:t xml:space="preserve"> 23, Nr. 2 (Februar 2006): 205–9. </w:t>
      </w:r>
    </w:p>
    <w:p>
      <w:pPr>
        <w:pStyle w:val="EndNoteBibliography"/>
        <w:rPr>
          <w:rFonts w:ascii="Arial" w:hAnsi="Arial" w:cs="Arial"/>
        </w:rPr>
      </w:pPr>
      <w:r>
        <w:rPr>
          <w:rFonts w:ascii="Arial" w:hAnsi="Arial" w:cs="Arial"/>
        </w:rPr>
        <w:t xml:space="preserve">11. </w:t>
      </w:r>
      <w:r>
        <w:rPr>
          <w:rFonts w:ascii="Arial" w:hAnsi="Arial" w:cs="Arial"/>
        </w:rPr>
        <w:tab/>
        <w:t xml:space="preserve">Booth, T. C., A. D. Waldman, J. M. Wardlaw, S. A. Taylor, und A. Jackson. „Management of Incidental Findings during Imaging Research in ‚Healthy‘ Volunteers: Current UK Practice“. </w:t>
      </w:r>
      <w:r>
        <w:rPr>
          <w:rFonts w:ascii="Arial" w:hAnsi="Arial" w:cs="Arial"/>
          <w:i/>
          <w:iCs/>
        </w:rPr>
        <w:t>The British Journal of Radiology</w:t>
      </w:r>
      <w:r>
        <w:rPr>
          <w:rFonts w:ascii="Arial" w:hAnsi="Arial" w:cs="Arial"/>
        </w:rPr>
        <w:t xml:space="preserve"> 85, Nr. 1009 (Januar 2012): 11–21. </w:t>
      </w:r>
    </w:p>
    <w:p>
      <w:pPr>
        <w:rPr>
          <w:rFonts w:ascii="Arial" w:hAnsi="Arial" w:cs="Arial"/>
          <w:sz w:val="22"/>
          <w:szCs w:val="22"/>
          <w:lang w:val="en-US"/>
        </w:rPr>
      </w:pPr>
      <w:r>
        <w:rPr>
          <w:rFonts w:ascii="Arial" w:hAnsi="Arial" w:cs="Arial"/>
          <w:sz w:val="22"/>
          <w:szCs w:val="22"/>
          <w:lang w:val="en-US"/>
        </w:rPr>
        <w:t xml:space="preserve">12. </w:t>
      </w:r>
      <w:r>
        <w:rPr>
          <w:rFonts w:ascii="Arial" w:hAnsi="Arial" w:cs="Arial"/>
          <w:sz w:val="22"/>
          <w:szCs w:val="22"/>
          <w:lang w:val="en-US"/>
        </w:rPr>
        <w:tab/>
        <w:t xml:space="preserve">Gibson, Lorna M., Thomas J. Littlejohns, Ligia Adamska, Steve Garratt, Nicola Doherty, UK Biobank Imaging Working Group, Joanna M. Wardlaw, u. a. „Impact of Detecting Potentially Serious Incidental Findings during Multi-Modal Imaging“. </w:t>
      </w:r>
      <w:r>
        <w:rPr>
          <w:rFonts w:ascii="Arial" w:hAnsi="Arial" w:cs="Arial"/>
          <w:i/>
          <w:iCs/>
          <w:sz w:val="22"/>
          <w:szCs w:val="22"/>
          <w:lang w:val="en-US"/>
        </w:rPr>
        <w:t>Wellcome Open Research</w:t>
      </w:r>
      <w:r>
        <w:rPr>
          <w:rFonts w:ascii="Arial" w:hAnsi="Arial" w:cs="Arial"/>
          <w:sz w:val="22"/>
          <w:szCs w:val="22"/>
          <w:lang w:val="en-US"/>
        </w:rPr>
        <w:t xml:space="preserve"> 2 (2017): 114. </w:t>
      </w:r>
    </w:p>
    <w:p>
      <w:pPr>
        <w:rPr>
          <w:rFonts w:ascii="Arial" w:hAnsi="Arial" w:cs="Arial"/>
          <w:sz w:val="22"/>
          <w:szCs w:val="22"/>
          <w:lang w:val="en-US"/>
        </w:rPr>
      </w:pPr>
    </w:p>
    <w:p>
      <w:pPr>
        <w:rPr>
          <w:rFonts w:ascii="Arial" w:hAnsi="Arial" w:cs="Arial"/>
          <w:sz w:val="22"/>
          <w:szCs w:val="22"/>
          <w:lang w:val="en-US"/>
        </w:rPr>
      </w:pPr>
      <w:r>
        <w:rPr>
          <w:rFonts w:ascii="Arial" w:hAnsi="Arial" w:cs="Arial"/>
          <w:sz w:val="22"/>
          <w:szCs w:val="22"/>
          <w:lang w:val="en-US"/>
        </w:rPr>
        <w:t xml:space="preserve">13. </w:t>
      </w:r>
      <w:r>
        <w:rPr>
          <w:rFonts w:ascii="Arial" w:hAnsi="Arial" w:cs="Arial"/>
          <w:sz w:val="22"/>
          <w:szCs w:val="22"/>
          <w:lang w:val="en-US"/>
        </w:rPr>
        <w:tab/>
        <w:t xml:space="preserve">Håberg, Asta Kristine, Tommy Arild Hammer, Kjell Arne Kvistad, Jana Rydland, Tomm B. Müller, Live Eikenes, Mari Gårseth, und Lars Jacob Stovner. „Incidental Intracranial </w:t>
      </w:r>
      <w:r>
        <w:rPr>
          <w:rFonts w:ascii="Arial" w:hAnsi="Arial" w:cs="Arial"/>
          <w:sz w:val="22"/>
          <w:szCs w:val="22"/>
          <w:lang w:val="en-US"/>
        </w:rPr>
        <w:lastRenderedPageBreak/>
        <w:t xml:space="preserve">Findings and Their Clinical Impact; The HUNT MRI Study in a General Population of 1006 Participants between 50-66 Years“. </w:t>
      </w:r>
      <w:r>
        <w:rPr>
          <w:rFonts w:ascii="Arial" w:hAnsi="Arial" w:cs="Arial"/>
          <w:i/>
          <w:iCs/>
          <w:sz w:val="22"/>
          <w:szCs w:val="22"/>
          <w:lang w:val="en-US"/>
        </w:rPr>
        <w:t>PloS One</w:t>
      </w:r>
      <w:r>
        <w:rPr>
          <w:rFonts w:ascii="Arial" w:hAnsi="Arial" w:cs="Arial"/>
          <w:sz w:val="22"/>
          <w:szCs w:val="22"/>
          <w:lang w:val="en-US"/>
        </w:rPr>
        <w:t xml:space="preserve"> 11, Nr. 3 (2016): e0151080. </w:t>
      </w:r>
    </w:p>
    <w:p>
      <w:pPr>
        <w:rPr>
          <w:rFonts w:ascii="Arial" w:hAnsi="Arial" w:cs="Arial"/>
          <w:sz w:val="22"/>
          <w:szCs w:val="22"/>
          <w:lang w:val="en-US"/>
        </w:rPr>
      </w:pPr>
    </w:p>
    <w:p>
      <w:pPr>
        <w:rPr>
          <w:rFonts w:ascii="Arial" w:hAnsi="Arial" w:cs="Arial"/>
          <w:sz w:val="22"/>
          <w:szCs w:val="22"/>
          <w:lang w:val="en-US"/>
        </w:rPr>
      </w:pPr>
      <w:r>
        <w:rPr>
          <w:rFonts w:ascii="Arial" w:hAnsi="Arial" w:cs="Arial"/>
          <w:sz w:val="22"/>
          <w:szCs w:val="22"/>
          <w:lang w:val="en-US"/>
        </w:rPr>
        <w:t xml:space="preserve">14. </w:t>
      </w:r>
      <w:r>
        <w:rPr>
          <w:rFonts w:ascii="Arial" w:hAnsi="Arial" w:cs="Arial"/>
          <w:sz w:val="22"/>
          <w:szCs w:val="22"/>
          <w:lang w:val="en-US"/>
        </w:rPr>
        <w:tab/>
        <w:t xml:space="preserve">Takashima, Kyoko, Yoshiyuki Takimoto, Eisuke Nakazawa, Yoshinori Hayashi, Atsushi Tsuchiya, Misao Fujita, und Akira Akabayashi. „Discovery and Informing Research Participants of Incidental Findings Detected in Brain Magnetic Resonance Imaging Studies: Review and Multi-Institutional Study“. </w:t>
      </w:r>
      <w:r>
        <w:rPr>
          <w:rFonts w:ascii="Arial" w:hAnsi="Arial" w:cs="Arial"/>
          <w:i/>
          <w:iCs/>
          <w:sz w:val="22"/>
          <w:szCs w:val="22"/>
          <w:lang w:val="en-US"/>
        </w:rPr>
        <w:t>Brain and Behavior</w:t>
      </w:r>
      <w:r>
        <w:rPr>
          <w:rFonts w:ascii="Arial" w:hAnsi="Arial" w:cs="Arial"/>
          <w:sz w:val="22"/>
          <w:szCs w:val="22"/>
          <w:lang w:val="en-US"/>
        </w:rPr>
        <w:t xml:space="preserve"> 7, Nr. 5 (2017): e00676. </w:t>
      </w:r>
    </w:p>
    <w:p>
      <w:pPr>
        <w:rPr>
          <w:rFonts w:ascii="Arial" w:hAnsi="Arial" w:cs="Arial"/>
          <w:sz w:val="22"/>
          <w:szCs w:val="22"/>
          <w:lang w:val="en-US"/>
        </w:rPr>
      </w:pPr>
    </w:p>
    <w:p>
      <w:pPr>
        <w:rPr>
          <w:rFonts w:ascii="Arial" w:hAnsi="Arial" w:cs="Arial"/>
          <w:sz w:val="22"/>
          <w:szCs w:val="22"/>
          <w:lang w:val="en-US"/>
        </w:rPr>
      </w:pPr>
      <w:r>
        <w:rPr>
          <w:rFonts w:ascii="Arial" w:hAnsi="Arial" w:cs="Arial"/>
          <w:sz w:val="22"/>
          <w:szCs w:val="22"/>
          <w:lang w:val="en-US"/>
        </w:rPr>
        <w:t xml:space="preserve">15. </w:t>
      </w:r>
      <w:r>
        <w:rPr>
          <w:rFonts w:ascii="Arial" w:hAnsi="Arial" w:cs="Arial"/>
          <w:sz w:val="22"/>
          <w:szCs w:val="22"/>
          <w:lang w:val="en-US"/>
        </w:rPr>
        <w:tab/>
        <w:t xml:space="preserve">Bos, Daniel, Marielle M. F. Poels, Hieab H. H. Adams, Saloua Akoudad, Lotte G. M. Cremers, Hazel I. Zonneveld, Yoo Y. Hoogendam, u. a. „Prevalence, Clinical Management, and Natural Course of Incidental Findings on Brain MR Images: The Population-Based Rotterdam Scan Study“. </w:t>
      </w:r>
      <w:r>
        <w:rPr>
          <w:rFonts w:ascii="Arial" w:hAnsi="Arial" w:cs="Arial"/>
          <w:i/>
          <w:iCs/>
          <w:sz w:val="22"/>
          <w:szCs w:val="22"/>
          <w:lang w:val="en-US"/>
        </w:rPr>
        <w:t>Radiology</w:t>
      </w:r>
      <w:r>
        <w:rPr>
          <w:rFonts w:ascii="Arial" w:hAnsi="Arial" w:cs="Arial"/>
          <w:sz w:val="22"/>
          <w:szCs w:val="22"/>
          <w:lang w:val="en-US"/>
        </w:rPr>
        <w:t xml:space="preserve"> 281, Nr. 2 (November 2016): 507–15. </w:t>
      </w:r>
    </w:p>
    <w:p>
      <w:pPr>
        <w:rPr>
          <w:rFonts w:ascii="Arial" w:hAnsi="Arial" w:cs="Arial"/>
          <w:sz w:val="22"/>
          <w:szCs w:val="22"/>
          <w:lang w:val="en-US"/>
        </w:rPr>
      </w:pPr>
    </w:p>
    <w:p>
      <w:pPr>
        <w:rPr>
          <w:rFonts w:ascii="Arial" w:hAnsi="Arial" w:cs="Arial"/>
          <w:sz w:val="22"/>
          <w:szCs w:val="22"/>
          <w:lang w:val="en-US"/>
        </w:rPr>
      </w:pPr>
      <w:r>
        <w:rPr>
          <w:rFonts w:ascii="Arial" w:hAnsi="Arial" w:cs="Arial"/>
          <w:sz w:val="22"/>
          <w:szCs w:val="22"/>
          <w:lang w:val="en-US"/>
        </w:rPr>
        <w:t>16.</w:t>
      </w:r>
      <w:r>
        <w:rPr>
          <w:rFonts w:ascii="Arial" w:hAnsi="Arial" w:cs="Arial"/>
          <w:sz w:val="22"/>
          <w:szCs w:val="22"/>
          <w:lang w:val="en-US"/>
        </w:rPr>
        <w:tab/>
        <w:t xml:space="preserve">Illes, J., A. C. Rosen, L. Huang, R. A. Goldstein, T. A. Raffin, G. Swan, und S. W. Atlas. „Ethical Consideration of Incidental Findings on Adult Brain MRI in Research“. </w:t>
      </w:r>
      <w:r>
        <w:rPr>
          <w:rFonts w:ascii="Arial" w:hAnsi="Arial" w:cs="Arial"/>
          <w:i/>
          <w:iCs/>
          <w:sz w:val="22"/>
          <w:szCs w:val="22"/>
          <w:lang w:val="en-US"/>
        </w:rPr>
        <w:t>Neurology</w:t>
      </w:r>
      <w:r>
        <w:rPr>
          <w:rFonts w:ascii="Arial" w:hAnsi="Arial" w:cs="Arial"/>
          <w:sz w:val="22"/>
          <w:szCs w:val="22"/>
          <w:lang w:val="en-US"/>
        </w:rPr>
        <w:t xml:space="preserve"> 62, Nr. 6 (23. März 2004): 888–90. </w:t>
      </w:r>
    </w:p>
    <w:p>
      <w:pPr>
        <w:rPr>
          <w:rFonts w:ascii="Arial" w:hAnsi="Arial" w:cs="Arial"/>
          <w:sz w:val="22"/>
          <w:szCs w:val="22"/>
          <w:lang w:val="en-US"/>
        </w:rPr>
      </w:pPr>
    </w:p>
    <w:p>
      <w:pPr>
        <w:rPr>
          <w:rFonts w:ascii="Arial" w:hAnsi="Arial" w:cs="Arial"/>
          <w:sz w:val="22"/>
          <w:szCs w:val="22"/>
          <w:lang w:val="en-US"/>
        </w:rPr>
      </w:pPr>
      <w:r>
        <w:rPr>
          <w:rFonts w:ascii="Arial" w:hAnsi="Arial" w:cs="Arial"/>
          <w:sz w:val="22"/>
          <w:szCs w:val="22"/>
          <w:lang w:val="en-US"/>
        </w:rPr>
        <w:t xml:space="preserve">17. </w:t>
      </w:r>
      <w:r>
        <w:rPr>
          <w:rFonts w:ascii="Arial" w:hAnsi="Arial" w:cs="Arial"/>
          <w:sz w:val="22"/>
          <w:szCs w:val="22"/>
          <w:lang w:val="en-US"/>
        </w:rPr>
        <w:tab/>
        <w:t xml:space="preserve">Cole, Caitlin, Linda E. Petree, John P. Phillips, Jody M. Shoemaker, Mark Holdsworth, und Deborah L. Helitzer. „‚Ethical Responsibility‘ or ‚a Whole Can of Worms‘: Differences in Opinion on Incidental Finding Review and Disclosure in Neuroimaging Research from Focus Group Discussions with Participants, Parents, IRB Members, Investigators, Physicians and Community Members“. </w:t>
      </w:r>
      <w:r>
        <w:rPr>
          <w:rFonts w:ascii="Arial" w:hAnsi="Arial" w:cs="Arial"/>
          <w:i/>
          <w:iCs/>
          <w:sz w:val="22"/>
          <w:szCs w:val="22"/>
          <w:lang w:val="en-US"/>
        </w:rPr>
        <w:t>Journal of Medical Ethics</w:t>
      </w:r>
      <w:r>
        <w:rPr>
          <w:rFonts w:ascii="Arial" w:hAnsi="Arial" w:cs="Arial"/>
          <w:sz w:val="22"/>
          <w:szCs w:val="22"/>
          <w:lang w:val="en-US"/>
        </w:rPr>
        <w:t xml:space="preserve"> 41, Nr. 10 (Oktober 2015): 841–47. </w:t>
      </w:r>
    </w:p>
    <w:p>
      <w:pPr>
        <w:rPr>
          <w:rFonts w:ascii="Arial" w:hAnsi="Arial" w:cs="Arial"/>
          <w:sz w:val="22"/>
          <w:szCs w:val="22"/>
          <w:lang w:val="en-US"/>
        </w:rPr>
      </w:pPr>
    </w:p>
    <w:p>
      <w:pPr>
        <w:rPr>
          <w:rFonts w:ascii="Arial" w:hAnsi="Arial" w:cs="Arial"/>
          <w:sz w:val="22"/>
          <w:szCs w:val="22"/>
          <w:lang w:val="en-US"/>
        </w:rPr>
      </w:pPr>
      <w:r>
        <w:rPr>
          <w:rFonts w:ascii="Arial" w:hAnsi="Arial" w:cs="Arial"/>
          <w:sz w:val="22"/>
          <w:szCs w:val="22"/>
          <w:lang w:val="en-US"/>
        </w:rPr>
        <w:t xml:space="preserve">18. </w:t>
      </w:r>
      <w:r>
        <w:rPr>
          <w:rFonts w:ascii="Arial" w:hAnsi="Arial" w:cs="Arial"/>
          <w:sz w:val="22"/>
          <w:szCs w:val="22"/>
          <w:lang w:val="en-US"/>
        </w:rPr>
        <w:tab/>
        <w:t xml:space="preserve">Booth, T. C., A. Jackson, J. M. Wardlaw, S. A. Taylor, und A. D. Waldman. „Incidental Findings Found in ‚Healthy‘ Volunteers during Imaging Performed for Research: Current Legal and Ethical Implications“. </w:t>
      </w:r>
      <w:r>
        <w:rPr>
          <w:rFonts w:ascii="Arial" w:hAnsi="Arial" w:cs="Arial"/>
          <w:i/>
          <w:iCs/>
          <w:sz w:val="22"/>
          <w:szCs w:val="22"/>
          <w:lang w:val="en-US"/>
        </w:rPr>
        <w:t>The British Journal of Radiology</w:t>
      </w:r>
      <w:r>
        <w:rPr>
          <w:rFonts w:ascii="Arial" w:hAnsi="Arial" w:cs="Arial"/>
          <w:sz w:val="22"/>
          <w:szCs w:val="22"/>
          <w:lang w:val="en-US"/>
        </w:rPr>
        <w:t xml:space="preserve"> 83, Nr. 990 (Juni 2010): 456–65. </w:t>
      </w:r>
    </w:p>
    <w:p>
      <w:pPr>
        <w:rPr>
          <w:rFonts w:ascii="Arial" w:hAnsi="Arial" w:cs="Arial"/>
          <w:sz w:val="22"/>
          <w:szCs w:val="22"/>
          <w:lang w:val="en-US"/>
        </w:rPr>
      </w:pPr>
    </w:p>
    <w:p>
      <w:pPr>
        <w:rPr>
          <w:rFonts w:ascii="Arial" w:hAnsi="Arial" w:cs="Arial"/>
          <w:sz w:val="22"/>
          <w:szCs w:val="22"/>
          <w:lang w:val="en-US"/>
        </w:rPr>
      </w:pPr>
      <w:r>
        <w:rPr>
          <w:rFonts w:ascii="Arial" w:hAnsi="Arial" w:cs="Arial"/>
          <w:sz w:val="22"/>
          <w:szCs w:val="22"/>
          <w:lang w:val="en-US"/>
        </w:rPr>
        <w:t xml:space="preserve">19. </w:t>
      </w:r>
      <w:r>
        <w:rPr>
          <w:rFonts w:ascii="Arial" w:hAnsi="Arial" w:cs="Arial"/>
          <w:sz w:val="22"/>
          <w:szCs w:val="22"/>
          <w:lang w:val="en-US"/>
        </w:rPr>
        <w:tab/>
        <w:t xml:space="preserve">Orme, Nicholas M., Joel G. Fletcher, Hassan A. Siddiki, W. Scott Harmsen, Megan M. O’Byrne, John D. Port, William J. Tremaine, u. a. „Incidental Findings in Imaging Research: Evaluating Incidence, Benefit, and Burden“. </w:t>
      </w:r>
      <w:r>
        <w:rPr>
          <w:rFonts w:ascii="Arial" w:hAnsi="Arial" w:cs="Arial"/>
          <w:i/>
          <w:iCs/>
          <w:sz w:val="22"/>
          <w:szCs w:val="22"/>
          <w:lang w:val="en-US"/>
        </w:rPr>
        <w:t>Archives of Internal Medicine</w:t>
      </w:r>
      <w:r>
        <w:rPr>
          <w:rFonts w:ascii="Arial" w:hAnsi="Arial" w:cs="Arial"/>
          <w:sz w:val="22"/>
          <w:szCs w:val="22"/>
          <w:lang w:val="en-US"/>
        </w:rPr>
        <w:t xml:space="preserve"> 170, Nr. 17 (27. September 2010): 1525–32. </w:t>
      </w:r>
    </w:p>
    <w:p>
      <w:pPr>
        <w:rPr>
          <w:rFonts w:ascii="Arial" w:hAnsi="Arial" w:cs="Arial"/>
          <w:sz w:val="22"/>
          <w:szCs w:val="22"/>
          <w:lang w:val="en-US"/>
        </w:rPr>
      </w:pPr>
    </w:p>
    <w:p>
      <w:pPr>
        <w:rPr>
          <w:rFonts w:ascii="Arial" w:hAnsi="Arial" w:cs="Arial"/>
          <w:sz w:val="22"/>
          <w:szCs w:val="22"/>
          <w:lang w:val="en-US"/>
        </w:rPr>
      </w:pPr>
      <w:bookmarkStart w:id="7" w:name="_Hlk36040913"/>
      <w:r>
        <w:rPr>
          <w:rFonts w:ascii="Arial" w:hAnsi="Arial" w:cs="Arial"/>
          <w:sz w:val="22"/>
          <w:szCs w:val="22"/>
          <w:lang w:val="en-US"/>
        </w:rPr>
        <w:t xml:space="preserve">20. </w:t>
      </w:r>
      <w:r>
        <w:rPr>
          <w:rFonts w:ascii="Arial" w:hAnsi="Arial" w:cs="Arial"/>
          <w:sz w:val="22"/>
          <w:szCs w:val="22"/>
          <w:lang w:val="en-US"/>
        </w:rPr>
        <w:tab/>
        <w:t xml:space="preserve">Epstein, Ronald M., David N. Korones, und Timothy E. Quill. „Withholding Information from Patients — When Less Is More“. </w:t>
      </w:r>
      <w:r>
        <w:rPr>
          <w:rFonts w:ascii="Arial" w:hAnsi="Arial" w:cs="Arial"/>
          <w:i/>
          <w:iCs/>
          <w:sz w:val="22"/>
          <w:szCs w:val="22"/>
          <w:lang w:val="en-US"/>
        </w:rPr>
        <w:t>New England Journal of Medicine</w:t>
      </w:r>
      <w:r>
        <w:rPr>
          <w:rFonts w:ascii="Arial" w:hAnsi="Arial" w:cs="Arial"/>
          <w:sz w:val="22"/>
          <w:szCs w:val="22"/>
          <w:lang w:val="en-US"/>
        </w:rPr>
        <w:t xml:space="preserve"> 362, Nr. 5 (4. Februar 2010): 380–81.</w:t>
      </w:r>
    </w:p>
    <w:bookmarkEnd w:id="7"/>
    <w:p>
      <w:pPr>
        <w:rPr>
          <w:rFonts w:ascii="Arial" w:hAnsi="Arial" w:cs="Arial"/>
          <w:sz w:val="22"/>
          <w:szCs w:val="22"/>
          <w:lang w:val="en-US"/>
        </w:rPr>
      </w:pPr>
    </w:p>
    <w:p>
      <w:pPr>
        <w:rPr>
          <w:rFonts w:ascii="Arial" w:hAnsi="Arial" w:cs="Arial"/>
          <w:sz w:val="22"/>
          <w:szCs w:val="22"/>
          <w:lang w:val="en-US"/>
        </w:rPr>
      </w:pPr>
      <w:r>
        <w:rPr>
          <w:rFonts w:ascii="Arial" w:hAnsi="Arial" w:cs="Arial"/>
          <w:sz w:val="22"/>
          <w:szCs w:val="22"/>
          <w:lang w:val="en-US"/>
        </w:rPr>
        <w:t xml:space="preserve">21. </w:t>
      </w:r>
      <w:r>
        <w:rPr>
          <w:rFonts w:ascii="Arial" w:hAnsi="Arial" w:cs="Arial"/>
          <w:sz w:val="22"/>
          <w:szCs w:val="22"/>
          <w:lang w:val="en-US"/>
        </w:rPr>
        <w:tab/>
        <w:t xml:space="preserve">Gibson, Lorna M., Laura Paul, Francesca M. Chappell, Malcolm Macleod, William N. Whiteley, Rustam Al-Shahi Salman, Joanna M. Wardlaw, und Cathie L. M. Sudlow. „Potentially Serious Incidental Findings on Brain and Body Magnetic Resonance Imaging of Apparently Asymptomatic Adults: Systematic Review and Meta-Analysis“. </w:t>
      </w:r>
      <w:r>
        <w:rPr>
          <w:rFonts w:ascii="Arial" w:hAnsi="Arial" w:cs="Arial"/>
          <w:i/>
          <w:iCs/>
          <w:sz w:val="22"/>
          <w:szCs w:val="22"/>
          <w:lang w:val="en-US"/>
        </w:rPr>
        <w:t>BMJ (Clinical Research Ed.)</w:t>
      </w:r>
      <w:r>
        <w:rPr>
          <w:rFonts w:ascii="Arial" w:hAnsi="Arial" w:cs="Arial"/>
          <w:sz w:val="22"/>
          <w:szCs w:val="22"/>
          <w:lang w:val="en-US"/>
        </w:rPr>
        <w:t xml:space="preserve"> 363 (22 2018): k4577. </w:t>
      </w:r>
    </w:p>
    <w:p>
      <w:pPr>
        <w:rPr>
          <w:rFonts w:ascii="Arial" w:hAnsi="Arial" w:cs="Arial"/>
          <w:sz w:val="22"/>
          <w:szCs w:val="22"/>
          <w:lang w:val="en-US"/>
        </w:rPr>
      </w:pPr>
    </w:p>
    <w:p>
      <w:pPr>
        <w:rPr>
          <w:rFonts w:ascii="Arial" w:hAnsi="Arial" w:cs="Arial"/>
          <w:sz w:val="22"/>
          <w:szCs w:val="22"/>
        </w:rPr>
      </w:pPr>
      <w:r>
        <w:rPr>
          <w:rFonts w:ascii="Arial" w:hAnsi="Arial" w:cs="Arial"/>
          <w:sz w:val="22"/>
          <w:szCs w:val="22"/>
          <w:lang w:val="en-US"/>
        </w:rPr>
        <w:t xml:space="preserve">22. </w:t>
      </w:r>
      <w:r>
        <w:rPr>
          <w:rFonts w:ascii="Arial" w:hAnsi="Arial" w:cs="Arial"/>
          <w:sz w:val="22"/>
          <w:szCs w:val="22"/>
          <w:lang w:val="en-US"/>
        </w:rPr>
        <w:tab/>
        <w:t xml:space="preserve">Tarnoki, David Laszlo, Adam Domonkos Tarnoki, Antje Richter, Kinga Karlinger, Viktor Berczi, und Dirk Pickuth. „Clinical Value of Whole-Body Magnetic Resonance Imaging in Health Screening of General Adult Population“. </w:t>
      </w:r>
      <w:r>
        <w:rPr>
          <w:rFonts w:ascii="Arial" w:hAnsi="Arial" w:cs="Arial"/>
          <w:i/>
          <w:iCs/>
          <w:sz w:val="22"/>
          <w:szCs w:val="22"/>
        </w:rPr>
        <w:t>Radiology and Oncology</w:t>
      </w:r>
      <w:r>
        <w:rPr>
          <w:rFonts w:ascii="Arial" w:hAnsi="Arial" w:cs="Arial"/>
          <w:sz w:val="22"/>
          <w:szCs w:val="22"/>
        </w:rPr>
        <w:t xml:space="preserve"> 49, Nr. 1 (März 2015): 10–16. </w:t>
      </w:r>
    </w:p>
    <w:p>
      <w:pPr>
        <w:rPr>
          <w:rFonts w:ascii="Arial" w:hAnsi="Arial" w:cs="Arial"/>
          <w:sz w:val="22"/>
          <w:szCs w:val="22"/>
        </w:rPr>
      </w:pPr>
    </w:p>
    <w:p>
      <w:pPr>
        <w:rPr>
          <w:rFonts w:ascii="Arial" w:hAnsi="Arial" w:cs="Arial"/>
          <w:sz w:val="22"/>
          <w:szCs w:val="22"/>
        </w:rPr>
      </w:pPr>
    </w:p>
    <w:p>
      <w:pPr>
        <w:rPr>
          <w:rFonts w:ascii="Arial" w:hAnsi="Arial" w:cs="Arial"/>
          <w:sz w:val="22"/>
          <w:szCs w:val="22"/>
        </w:rPr>
      </w:pPr>
    </w:p>
    <w:p>
      <w:pPr>
        <w:rPr>
          <w:rFonts w:ascii="Arial" w:hAnsi="Arial" w:cs="Arial"/>
          <w:sz w:val="22"/>
          <w:szCs w:val="22"/>
        </w:rPr>
      </w:pPr>
    </w:p>
    <w:p>
      <w:pPr>
        <w:rPr>
          <w:rFonts w:ascii="Arial" w:hAnsi="Arial" w:cs="Arial"/>
          <w:sz w:val="22"/>
          <w:szCs w:val="22"/>
        </w:rPr>
      </w:pPr>
    </w:p>
    <w:p>
      <w:pPr>
        <w:rPr>
          <w:rFonts w:ascii="Arial" w:hAnsi="Arial" w:cs="Arial"/>
          <w:sz w:val="22"/>
          <w:szCs w:val="22"/>
        </w:rPr>
      </w:pPr>
    </w:p>
    <w:p>
      <w:pPr>
        <w:pStyle w:val="EndNoteBibliography"/>
        <w:rPr>
          <w:rFonts w:ascii="Arial" w:hAnsi="Arial" w:cs="Arial"/>
        </w:rPr>
      </w:pPr>
    </w:p>
    <w:p>
      <w:pPr>
        <w:pStyle w:val="EndNoteBibliography"/>
        <w:rPr>
          <w:rFonts w:ascii="Arial" w:hAnsi="Arial" w:cs="Arial"/>
        </w:rPr>
      </w:pPr>
    </w:p>
    <w:p>
      <w:pPr>
        <w:pStyle w:val="EndNoteBibliography"/>
        <w:rPr>
          <w:rFonts w:ascii="Arial" w:hAnsi="Arial" w:cs="Arial"/>
        </w:rPr>
      </w:pPr>
    </w:p>
    <w:p>
      <w:pPr>
        <w:rPr>
          <w:rFonts w:ascii="Arial" w:hAnsi="Arial" w:cs="Arial"/>
          <w:b/>
          <w:sz w:val="22"/>
          <w:szCs w:val="22"/>
          <w:lang w:val="en-US"/>
        </w:rPr>
      </w:pPr>
      <w:r>
        <w:rPr>
          <w:rFonts w:ascii="Arial" w:hAnsi="Arial" w:cs="Arial"/>
          <w:b/>
          <w:sz w:val="22"/>
          <w:szCs w:val="22"/>
          <w:lang w:val="en-US"/>
        </w:rPr>
        <w:fldChar w:fldCharType="end"/>
      </w:r>
      <w:bookmarkEnd w:id="6"/>
    </w:p>
    <w:p>
      <w:pPr>
        <w:pStyle w:val="paragraph"/>
        <w:spacing w:before="0" w:beforeAutospacing="0" w:after="60" w:afterAutospacing="0" w:line="480" w:lineRule="auto"/>
        <w:ind w:firstLine="720"/>
        <w:jc w:val="both"/>
        <w:textAlignment w:val="baseline"/>
        <w:rPr>
          <w:rFonts w:ascii="Arial" w:hAnsi="Arial" w:cs="Arial"/>
          <w:b/>
          <w:sz w:val="22"/>
          <w:szCs w:val="22"/>
          <w:lang w:val="en-US"/>
        </w:rPr>
      </w:pPr>
    </w:p>
    <w:p>
      <w:pPr>
        <w:rPr>
          <w:rFonts w:ascii="Arial" w:hAnsi="Arial" w:cs="Arial"/>
          <w:sz w:val="22"/>
          <w:szCs w:val="22"/>
        </w:rPr>
      </w:pPr>
    </w:p>
    <w:p>
      <w:pPr>
        <w:rPr>
          <w:rFonts w:ascii="Arial" w:hAnsi="Arial" w:cs="Arial"/>
          <w:sz w:val="22"/>
          <w:szCs w:val="22"/>
        </w:rPr>
      </w:pPr>
    </w:p>
    <w:p>
      <w:pPr>
        <w:rPr>
          <w:rFonts w:ascii="Arial" w:hAnsi="Arial" w:cs="Arial"/>
          <w:sz w:val="22"/>
          <w:szCs w:val="22"/>
        </w:rPr>
      </w:pPr>
    </w:p>
    <w:p>
      <w:pPr>
        <w:rPr>
          <w:rFonts w:ascii="Arial" w:hAnsi="Arial" w:cs="Arial"/>
          <w:sz w:val="22"/>
          <w:szCs w:val="22"/>
        </w:rPr>
      </w:pPr>
    </w:p>
    <w:p>
      <w:pPr>
        <w:rPr>
          <w:rFonts w:ascii="Arial" w:hAnsi="Arial" w:cs="Arial"/>
          <w:sz w:val="22"/>
          <w:szCs w:val="22"/>
        </w:rPr>
      </w:pPr>
    </w:p>
    <w:p>
      <w:pPr>
        <w:rPr>
          <w:rFonts w:ascii="Arial" w:hAnsi="Arial" w:cs="Arial"/>
          <w:sz w:val="22"/>
          <w:szCs w:val="22"/>
        </w:rPr>
      </w:pPr>
    </w:p>
    <w:p>
      <w:pPr>
        <w:rPr>
          <w:rFonts w:ascii="Arial" w:hAnsi="Arial" w:cs="Arial"/>
          <w:sz w:val="22"/>
          <w:szCs w:val="22"/>
        </w:rPr>
      </w:pPr>
    </w:p>
    <w:sect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9360612"/>
      <w:docPartObj>
        <w:docPartGallery w:val="Page Numbers (Bottom of Page)"/>
        <w:docPartUnique/>
      </w:docPartObj>
    </w:sdtPr>
    <w:sdtContent>
      <w:p>
        <w:pPr>
          <w:pStyle w:val="Fuzeile"/>
          <w:jc w:val="right"/>
        </w:pPr>
        <w:r>
          <w:rPr>
            <w:rFonts w:ascii="Arial" w:hAnsi="Arial" w:cs="Arial"/>
          </w:rPr>
          <w:fldChar w:fldCharType="begin"/>
        </w:r>
        <w:r>
          <w:rPr>
            <w:rFonts w:ascii="Arial" w:hAnsi="Arial" w:cs="Arial"/>
          </w:rPr>
          <w:instrText>PAGE   \* MERGEFORMAT</w:instrText>
        </w:r>
        <w:r>
          <w:rPr>
            <w:rFonts w:ascii="Arial" w:hAnsi="Arial" w:cs="Arial"/>
          </w:rPr>
          <w:fldChar w:fldCharType="separate"/>
        </w:r>
        <w:r>
          <w:rPr>
            <w:rFonts w:ascii="Arial" w:hAnsi="Arial" w:cs="Arial"/>
            <w:noProof/>
          </w:rPr>
          <w:t>1</w:t>
        </w:r>
        <w:r>
          <w:rPr>
            <w:rFonts w:ascii="Arial" w:hAnsi="Arial" w:cs="Arial"/>
          </w:rP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04BE9"/>
    <w:multiLevelType w:val="hybridMultilevel"/>
    <w:tmpl w:val="BD5AE0C2"/>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6053844"/>
    <w:multiLevelType w:val="hybridMultilevel"/>
    <w:tmpl w:val="CBA2BF52"/>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C914D81"/>
    <w:multiLevelType w:val="hybridMultilevel"/>
    <w:tmpl w:val="D59E8F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75042CE"/>
    <w:multiLevelType w:val="hybridMultilevel"/>
    <w:tmpl w:val="EB7236AA"/>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1051AA3B-4F07-4F59-A751-E2A93D8E5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style>
  <w:style w:type="paragraph" w:styleId="Kopfzeile">
    <w:name w:val="header"/>
    <w:basedOn w:val="Standard"/>
    <w:link w:val="KopfzeileZchn"/>
    <w:uiPriority w:val="99"/>
    <w:unhideWhenUsed/>
    <w:pPr>
      <w:tabs>
        <w:tab w:val="center" w:pos="4536"/>
        <w:tab w:val="right" w:pos="9072"/>
      </w:tabs>
    </w:pPr>
    <w:rPr>
      <w:rFonts w:asciiTheme="minorHAnsi" w:eastAsiaTheme="minorHAnsi" w:hAnsiTheme="minorHAnsi" w:cstheme="minorBidi"/>
      <w:sz w:val="22"/>
      <w:szCs w:val="22"/>
      <w:lang w:eastAsia="en-US"/>
    </w:rPr>
  </w:style>
  <w:style w:type="character" w:customStyle="1" w:styleId="KopfzeileZchn">
    <w:name w:val="Kopfzeile Zchn"/>
    <w:basedOn w:val="Absatz-Standardschriftart"/>
    <w:link w:val="Kopfzeile"/>
    <w:uiPriority w:val="99"/>
  </w:style>
  <w:style w:type="paragraph" w:customStyle="1" w:styleId="paragraph">
    <w:name w:val="paragraph"/>
    <w:basedOn w:val="Standard"/>
    <w:pPr>
      <w:spacing w:before="100" w:beforeAutospacing="1" w:after="100" w:afterAutospacing="1"/>
    </w:pPr>
  </w:style>
  <w:style w:type="character" w:customStyle="1" w:styleId="normaltextrun">
    <w:name w:val="normaltextrun"/>
    <w:basedOn w:val="Absatz-Standardschriftart"/>
  </w:style>
  <w:style w:type="character" w:customStyle="1" w:styleId="eop">
    <w:name w:val="eop"/>
    <w:basedOn w:val="Absatz-Standardschriftart"/>
  </w:style>
  <w:style w:type="character" w:customStyle="1" w:styleId="spellingerror">
    <w:name w:val="spellingerror"/>
    <w:basedOn w:val="Absatz-Standardschriftart"/>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365F91" w:themeColor="accent1" w:themeShade="BF"/>
      <w:sz w:val="28"/>
      <w:szCs w:val="28"/>
      <w:lang w:eastAsia="de-DE"/>
    </w:rPr>
  </w:style>
  <w:style w:type="paragraph" w:styleId="Sprechblasentext">
    <w:name w:val="Balloon Text"/>
    <w:basedOn w:val="Standard"/>
    <w:link w:val="SprechblasentextZchn"/>
    <w:uiPriority w:val="99"/>
    <w:semiHidden/>
    <w:unhideWhenUsed/>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Funotentext">
    <w:name w:val="footnote text"/>
    <w:basedOn w:val="Standard"/>
    <w:link w:val="FunotentextZchn"/>
    <w:uiPriority w:val="99"/>
    <w:semiHidden/>
    <w:unhideWhenUsed/>
    <w:rPr>
      <w:rFonts w:asciiTheme="minorHAnsi" w:eastAsiaTheme="minorHAnsi" w:hAnsiTheme="minorHAnsi" w:cstheme="minorBidi"/>
      <w:sz w:val="20"/>
      <w:szCs w:val="20"/>
      <w:lang w:eastAsia="en-US"/>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character" w:styleId="Hyperlink">
    <w:name w:val="Hyperlink"/>
    <w:basedOn w:val="Absatz-Standardschriftart"/>
    <w:uiPriority w:val="99"/>
    <w:unhideWhenUsed/>
    <w:rPr>
      <w:color w:val="0000FF"/>
      <w:u w:val="single"/>
    </w:rPr>
  </w:style>
  <w:style w:type="paragraph" w:styleId="Listenabsatz">
    <w:name w:val="List Paragraph"/>
    <w:basedOn w:val="Standard"/>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EndNoteBibliography">
    <w:name w:val="EndNote Bibliography"/>
    <w:basedOn w:val="Standard"/>
    <w:link w:val="EndNoteBibliographyZchn"/>
    <w:pPr>
      <w:spacing w:after="160"/>
    </w:pPr>
    <w:rPr>
      <w:rFonts w:ascii="Calibri" w:eastAsiaTheme="minorHAnsi" w:hAnsi="Calibri" w:cstheme="minorBidi"/>
      <w:noProof/>
      <w:sz w:val="22"/>
      <w:szCs w:val="22"/>
      <w:lang w:val="en-US" w:eastAsia="en-US"/>
    </w:rPr>
  </w:style>
  <w:style w:type="character" w:customStyle="1" w:styleId="EndNoteBibliographyZchn">
    <w:name w:val="EndNote Bibliography Zchn"/>
    <w:basedOn w:val="Absatz-Standardschriftart"/>
    <w:link w:val="EndNoteBibliography"/>
    <w:rPr>
      <w:rFonts w:ascii="Calibri" w:hAnsi="Calibri"/>
      <w:noProof/>
      <w:lang w:val="en-US"/>
    </w:rPr>
  </w:style>
  <w:style w:type="paragraph" w:styleId="Fuzeile">
    <w:name w:val="footer"/>
    <w:basedOn w:val="Standard"/>
    <w:link w:val="FuzeileZchn"/>
    <w:uiPriority w:val="99"/>
    <w:unhideWhenUsed/>
    <w:pPr>
      <w:tabs>
        <w:tab w:val="center" w:pos="4536"/>
        <w:tab w:val="right" w:pos="9072"/>
      </w:tabs>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imes New Roman" w:eastAsia="Times New Roman" w:hAnsi="Times New Roman" w:cs="Times New Roman"/>
      <w:b/>
      <w:bCs/>
      <w:sz w:val="20"/>
      <w:szCs w:val="20"/>
      <w:lang w:eastAsia="de-DE"/>
    </w:rPr>
  </w:style>
  <w:style w:type="character" w:customStyle="1" w:styleId="UnresolvedMention">
    <w:name w:val="Unresolved Mention"/>
    <w:basedOn w:val="Absatz-Standardschriftart"/>
    <w:uiPriority w:val="99"/>
    <w:semiHidden/>
    <w:unhideWhenUsed/>
    <w:rPr>
      <w:color w:val="605E5C"/>
      <w:shd w:val="clear" w:color="auto" w:fill="E1DFDD"/>
    </w:rPr>
  </w:style>
  <w:style w:type="paragraph" w:styleId="berarbeitung">
    <w:name w:val="Revision"/>
    <w:hidden/>
    <w:uiPriority w:val="99"/>
    <w:semiHidden/>
    <w:pPr>
      <w:spacing w:after="0"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87177">
      <w:bodyDiv w:val="1"/>
      <w:marLeft w:val="0"/>
      <w:marRight w:val="0"/>
      <w:marTop w:val="0"/>
      <w:marBottom w:val="0"/>
      <w:divBdr>
        <w:top w:val="none" w:sz="0" w:space="0" w:color="auto"/>
        <w:left w:val="none" w:sz="0" w:space="0" w:color="auto"/>
        <w:bottom w:val="none" w:sz="0" w:space="0" w:color="auto"/>
        <w:right w:val="none" w:sz="0" w:space="0" w:color="auto"/>
      </w:divBdr>
      <w:divsChild>
        <w:div w:id="699277724">
          <w:marLeft w:val="480"/>
          <w:marRight w:val="0"/>
          <w:marTop w:val="0"/>
          <w:marBottom w:val="0"/>
          <w:divBdr>
            <w:top w:val="none" w:sz="0" w:space="0" w:color="auto"/>
            <w:left w:val="none" w:sz="0" w:space="0" w:color="auto"/>
            <w:bottom w:val="none" w:sz="0" w:space="0" w:color="auto"/>
            <w:right w:val="none" w:sz="0" w:space="0" w:color="auto"/>
          </w:divBdr>
          <w:divsChild>
            <w:div w:id="60561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45602">
      <w:bodyDiv w:val="1"/>
      <w:marLeft w:val="0"/>
      <w:marRight w:val="0"/>
      <w:marTop w:val="0"/>
      <w:marBottom w:val="0"/>
      <w:divBdr>
        <w:top w:val="none" w:sz="0" w:space="0" w:color="auto"/>
        <w:left w:val="none" w:sz="0" w:space="0" w:color="auto"/>
        <w:bottom w:val="none" w:sz="0" w:space="0" w:color="auto"/>
        <w:right w:val="none" w:sz="0" w:space="0" w:color="auto"/>
      </w:divBdr>
    </w:div>
    <w:div w:id="190538895">
      <w:bodyDiv w:val="1"/>
      <w:marLeft w:val="0"/>
      <w:marRight w:val="0"/>
      <w:marTop w:val="0"/>
      <w:marBottom w:val="0"/>
      <w:divBdr>
        <w:top w:val="none" w:sz="0" w:space="0" w:color="auto"/>
        <w:left w:val="none" w:sz="0" w:space="0" w:color="auto"/>
        <w:bottom w:val="none" w:sz="0" w:space="0" w:color="auto"/>
        <w:right w:val="none" w:sz="0" w:space="0" w:color="auto"/>
      </w:divBdr>
      <w:divsChild>
        <w:div w:id="1578393053">
          <w:marLeft w:val="480"/>
          <w:marRight w:val="0"/>
          <w:marTop w:val="0"/>
          <w:marBottom w:val="0"/>
          <w:divBdr>
            <w:top w:val="none" w:sz="0" w:space="0" w:color="auto"/>
            <w:left w:val="none" w:sz="0" w:space="0" w:color="auto"/>
            <w:bottom w:val="none" w:sz="0" w:space="0" w:color="auto"/>
            <w:right w:val="none" w:sz="0" w:space="0" w:color="auto"/>
          </w:divBdr>
          <w:divsChild>
            <w:div w:id="19689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83200">
      <w:bodyDiv w:val="1"/>
      <w:marLeft w:val="0"/>
      <w:marRight w:val="0"/>
      <w:marTop w:val="0"/>
      <w:marBottom w:val="0"/>
      <w:divBdr>
        <w:top w:val="none" w:sz="0" w:space="0" w:color="auto"/>
        <w:left w:val="none" w:sz="0" w:space="0" w:color="auto"/>
        <w:bottom w:val="none" w:sz="0" w:space="0" w:color="auto"/>
        <w:right w:val="none" w:sz="0" w:space="0" w:color="auto"/>
      </w:divBdr>
    </w:div>
    <w:div w:id="485973630">
      <w:bodyDiv w:val="1"/>
      <w:marLeft w:val="0"/>
      <w:marRight w:val="0"/>
      <w:marTop w:val="0"/>
      <w:marBottom w:val="0"/>
      <w:divBdr>
        <w:top w:val="none" w:sz="0" w:space="0" w:color="auto"/>
        <w:left w:val="none" w:sz="0" w:space="0" w:color="auto"/>
        <w:bottom w:val="none" w:sz="0" w:space="0" w:color="auto"/>
        <w:right w:val="none" w:sz="0" w:space="0" w:color="auto"/>
      </w:divBdr>
      <w:divsChild>
        <w:div w:id="1334841459">
          <w:marLeft w:val="480"/>
          <w:marRight w:val="0"/>
          <w:marTop w:val="0"/>
          <w:marBottom w:val="0"/>
          <w:divBdr>
            <w:top w:val="none" w:sz="0" w:space="0" w:color="auto"/>
            <w:left w:val="none" w:sz="0" w:space="0" w:color="auto"/>
            <w:bottom w:val="none" w:sz="0" w:space="0" w:color="auto"/>
            <w:right w:val="none" w:sz="0" w:space="0" w:color="auto"/>
          </w:divBdr>
          <w:divsChild>
            <w:div w:id="40503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632250">
      <w:bodyDiv w:val="1"/>
      <w:marLeft w:val="0"/>
      <w:marRight w:val="0"/>
      <w:marTop w:val="0"/>
      <w:marBottom w:val="0"/>
      <w:divBdr>
        <w:top w:val="none" w:sz="0" w:space="0" w:color="auto"/>
        <w:left w:val="none" w:sz="0" w:space="0" w:color="auto"/>
        <w:bottom w:val="none" w:sz="0" w:space="0" w:color="auto"/>
        <w:right w:val="none" w:sz="0" w:space="0" w:color="auto"/>
      </w:divBdr>
      <w:divsChild>
        <w:div w:id="291594161">
          <w:marLeft w:val="480"/>
          <w:marRight w:val="0"/>
          <w:marTop w:val="0"/>
          <w:marBottom w:val="0"/>
          <w:divBdr>
            <w:top w:val="none" w:sz="0" w:space="0" w:color="auto"/>
            <w:left w:val="none" w:sz="0" w:space="0" w:color="auto"/>
            <w:bottom w:val="none" w:sz="0" w:space="0" w:color="auto"/>
            <w:right w:val="none" w:sz="0" w:space="0" w:color="auto"/>
          </w:divBdr>
          <w:divsChild>
            <w:div w:id="15331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69047">
      <w:bodyDiv w:val="1"/>
      <w:marLeft w:val="0"/>
      <w:marRight w:val="0"/>
      <w:marTop w:val="0"/>
      <w:marBottom w:val="0"/>
      <w:divBdr>
        <w:top w:val="none" w:sz="0" w:space="0" w:color="auto"/>
        <w:left w:val="none" w:sz="0" w:space="0" w:color="auto"/>
        <w:bottom w:val="none" w:sz="0" w:space="0" w:color="auto"/>
        <w:right w:val="none" w:sz="0" w:space="0" w:color="auto"/>
      </w:divBdr>
    </w:div>
    <w:div w:id="915212079">
      <w:bodyDiv w:val="1"/>
      <w:marLeft w:val="0"/>
      <w:marRight w:val="0"/>
      <w:marTop w:val="0"/>
      <w:marBottom w:val="0"/>
      <w:divBdr>
        <w:top w:val="none" w:sz="0" w:space="0" w:color="auto"/>
        <w:left w:val="none" w:sz="0" w:space="0" w:color="auto"/>
        <w:bottom w:val="none" w:sz="0" w:space="0" w:color="auto"/>
        <w:right w:val="none" w:sz="0" w:space="0" w:color="auto"/>
      </w:divBdr>
    </w:div>
    <w:div w:id="924655430">
      <w:bodyDiv w:val="1"/>
      <w:marLeft w:val="0"/>
      <w:marRight w:val="0"/>
      <w:marTop w:val="0"/>
      <w:marBottom w:val="0"/>
      <w:divBdr>
        <w:top w:val="none" w:sz="0" w:space="0" w:color="auto"/>
        <w:left w:val="none" w:sz="0" w:space="0" w:color="auto"/>
        <w:bottom w:val="none" w:sz="0" w:space="0" w:color="auto"/>
        <w:right w:val="none" w:sz="0" w:space="0" w:color="auto"/>
      </w:divBdr>
      <w:divsChild>
        <w:div w:id="49160256">
          <w:marLeft w:val="480"/>
          <w:marRight w:val="0"/>
          <w:marTop w:val="0"/>
          <w:marBottom w:val="0"/>
          <w:divBdr>
            <w:top w:val="none" w:sz="0" w:space="0" w:color="auto"/>
            <w:left w:val="none" w:sz="0" w:space="0" w:color="auto"/>
            <w:bottom w:val="none" w:sz="0" w:space="0" w:color="auto"/>
            <w:right w:val="none" w:sz="0" w:space="0" w:color="auto"/>
          </w:divBdr>
          <w:divsChild>
            <w:div w:id="181170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06904">
      <w:bodyDiv w:val="1"/>
      <w:marLeft w:val="0"/>
      <w:marRight w:val="0"/>
      <w:marTop w:val="0"/>
      <w:marBottom w:val="0"/>
      <w:divBdr>
        <w:top w:val="none" w:sz="0" w:space="0" w:color="auto"/>
        <w:left w:val="none" w:sz="0" w:space="0" w:color="auto"/>
        <w:bottom w:val="none" w:sz="0" w:space="0" w:color="auto"/>
        <w:right w:val="none" w:sz="0" w:space="0" w:color="auto"/>
      </w:divBdr>
    </w:div>
    <w:div w:id="1198394386">
      <w:bodyDiv w:val="1"/>
      <w:marLeft w:val="0"/>
      <w:marRight w:val="0"/>
      <w:marTop w:val="0"/>
      <w:marBottom w:val="0"/>
      <w:divBdr>
        <w:top w:val="none" w:sz="0" w:space="0" w:color="auto"/>
        <w:left w:val="none" w:sz="0" w:space="0" w:color="auto"/>
        <w:bottom w:val="none" w:sz="0" w:space="0" w:color="auto"/>
        <w:right w:val="none" w:sz="0" w:space="0" w:color="auto"/>
      </w:divBdr>
      <w:divsChild>
        <w:div w:id="787704668">
          <w:marLeft w:val="480"/>
          <w:marRight w:val="0"/>
          <w:marTop w:val="0"/>
          <w:marBottom w:val="0"/>
          <w:divBdr>
            <w:top w:val="none" w:sz="0" w:space="0" w:color="auto"/>
            <w:left w:val="none" w:sz="0" w:space="0" w:color="auto"/>
            <w:bottom w:val="none" w:sz="0" w:space="0" w:color="auto"/>
            <w:right w:val="none" w:sz="0" w:space="0" w:color="auto"/>
          </w:divBdr>
          <w:divsChild>
            <w:div w:id="158560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03559">
      <w:bodyDiv w:val="1"/>
      <w:marLeft w:val="0"/>
      <w:marRight w:val="0"/>
      <w:marTop w:val="0"/>
      <w:marBottom w:val="0"/>
      <w:divBdr>
        <w:top w:val="none" w:sz="0" w:space="0" w:color="auto"/>
        <w:left w:val="none" w:sz="0" w:space="0" w:color="auto"/>
        <w:bottom w:val="none" w:sz="0" w:space="0" w:color="auto"/>
        <w:right w:val="none" w:sz="0" w:space="0" w:color="auto"/>
      </w:divBdr>
      <w:divsChild>
        <w:div w:id="1969117475">
          <w:marLeft w:val="480"/>
          <w:marRight w:val="0"/>
          <w:marTop w:val="0"/>
          <w:marBottom w:val="0"/>
          <w:divBdr>
            <w:top w:val="none" w:sz="0" w:space="0" w:color="auto"/>
            <w:left w:val="none" w:sz="0" w:space="0" w:color="auto"/>
            <w:bottom w:val="none" w:sz="0" w:space="0" w:color="auto"/>
            <w:right w:val="none" w:sz="0" w:space="0" w:color="auto"/>
          </w:divBdr>
          <w:divsChild>
            <w:div w:id="25463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747778">
      <w:bodyDiv w:val="1"/>
      <w:marLeft w:val="0"/>
      <w:marRight w:val="0"/>
      <w:marTop w:val="0"/>
      <w:marBottom w:val="0"/>
      <w:divBdr>
        <w:top w:val="none" w:sz="0" w:space="0" w:color="auto"/>
        <w:left w:val="none" w:sz="0" w:space="0" w:color="auto"/>
        <w:bottom w:val="none" w:sz="0" w:space="0" w:color="auto"/>
        <w:right w:val="none" w:sz="0" w:space="0" w:color="auto"/>
      </w:divBdr>
      <w:divsChild>
        <w:div w:id="919174942">
          <w:marLeft w:val="480"/>
          <w:marRight w:val="0"/>
          <w:marTop w:val="0"/>
          <w:marBottom w:val="0"/>
          <w:divBdr>
            <w:top w:val="none" w:sz="0" w:space="0" w:color="auto"/>
            <w:left w:val="none" w:sz="0" w:space="0" w:color="auto"/>
            <w:bottom w:val="none" w:sz="0" w:space="0" w:color="auto"/>
            <w:right w:val="none" w:sz="0" w:space="0" w:color="auto"/>
          </w:divBdr>
          <w:divsChild>
            <w:div w:id="196353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176258">
      <w:bodyDiv w:val="1"/>
      <w:marLeft w:val="0"/>
      <w:marRight w:val="0"/>
      <w:marTop w:val="0"/>
      <w:marBottom w:val="0"/>
      <w:divBdr>
        <w:top w:val="none" w:sz="0" w:space="0" w:color="auto"/>
        <w:left w:val="none" w:sz="0" w:space="0" w:color="auto"/>
        <w:bottom w:val="none" w:sz="0" w:space="0" w:color="auto"/>
        <w:right w:val="none" w:sz="0" w:space="0" w:color="auto"/>
      </w:divBdr>
      <w:divsChild>
        <w:div w:id="329218933">
          <w:marLeft w:val="480"/>
          <w:marRight w:val="0"/>
          <w:marTop w:val="0"/>
          <w:marBottom w:val="0"/>
          <w:divBdr>
            <w:top w:val="none" w:sz="0" w:space="0" w:color="auto"/>
            <w:left w:val="none" w:sz="0" w:space="0" w:color="auto"/>
            <w:bottom w:val="none" w:sz="0" w:space="0" w:color="auto"/>
            <w:right w:val="none" w:sz="0" w:space="0" w:color="auto"/>
          </w:divBdr>
          <w:divsChild>
            <w:div w:id="47241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09016">
      <w:bodyDiv w:val="1"/>
      <w:marLeft w:val="0"/>
      <w:marRight w:val="0"/>
      <w:marTop w:val="0"/>
      <w:marBottom w:val="0"/>
      <w:divBdr>
        <w:top w:val="none" w:sz="0" w:space="0" w:color="auto"/>
        <w:left w:val="none" w:sz="0" w:space="0" w:color="auto"/>
        <w:bottom w:val="none" w:sz="0" w:space="0" w:color="auto"/>
        <w:right w:val="none" w:sz="0" w:space="0" w:color="auto"/>
      </w:divBdr>
      <w:divsChild>
        <w:div w:id="37898324">
          <w:marLeft w:val="480"/>
          <w:marRight w:val="0"/>
          <w:marTop w:val="0"/>
          <w:marBottom w:val="0"/>
          <w:divBdr>
            <w:top w:val="none" w:sz="0" w:space="0" w:color="auto"/>
            <w:left w:val="none" w:sz="0" w:space="0" w:color="auto"/>
            <w:bottom w:val="none" w:sz="0" w:space="0" w:color="auto"/>
            <w:right w:val="none" w:sz="0" w:space="0" w:color="auto"/>
          </w:divBdr>
          <w:divsChild>
            <w:div w:id="14344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87080">
      <w:bodyDiv w:val="1"/>
      <w:marLeft w:val="0"/>
      <w:marRight w:val="0"/>
      <w:marTop w:val="0"/>
      <w:marBottom w:val="0"/>
      <w:divBdr>
        <w:top w:val="none" w:sz="0" w:space="0" w:color="auto"/>
        <w:left w:val="none" w:sz="0" w:space="0" w:color="auto"/>
        <w:bottom w:val="none" w:sz="0" w:space="0" w:color="auto"/>
        <w:right w:val="none" w:sz="0" w:space="0" w:color="auto"/>
      </w:divBdr>
      <w:divsChild>
        <w:div w:id="777217480">
          <w:marLeft w:val="480"/>
          <w:marRight w:val="0"/>
          <w:marTop w:val="0"/>
          <w:marBottom w:val="0"/>
          <w:divBdr>
            <w:top w:val="none" w:sz="0" w:space="0" w:color="auto"/>
            <w:left w:val="none" w:sz="0" w:space="0" w:color="auto"/>
            <w:bottom w:val="none" w:sz="0" w:space="0" w:color="auto"/>
            <w:right w:val="none" w:sz="0" w:space="0" w:color="auto"/>
          </w:divBdr>
          <w:divsChild>
            <w:div w:id="167741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99497">
      <w:bodyDiv w:val="1"/>
      <w:marLeft w:val="0"/>
      <w:marRight w:val="0"/>
      <w:marTop w:val="0"/>
      <w:marBottom w:val="0"/>
      <w:divBdr>
        <w:top w:val="none" w:sz="0" w:space="0" w:color="auto"/>
        <w:left w:val="none" w:sz="0" w:space="0" w:color="auto"/>
        <w:bottom w:val="none" w:sz="0" w:space="0" w:color="auto"/>
        <w:right w:val="none" w:sz="0" w:space="0" w:color="auto"/>
      </w:divBdr>
      <w:divsChild>
        <w:div w:id="432090371">
          <w:marLeft w:val="480"/>
          <w:marRight w:val="0"/>
          <w:marTop w:val="0"/>
          <w:marBottom w:val="0"/>
          <w:divBdr>
            <w:top w:val="none" w:sz="0" w:space="0" w:color="auto"/>
            <w:left w:val="none" w:sz="0" w:space="0" w:color="auto"/>
            <w:bottom w:val="none" w:sz="0" w:space="0" w:color="auto"/>
            <w:right w:val="none" w:sz="0" w:space="0" w:color="auto"/>
          </w:divBdr>
          <w:divsChild>
            <w:div w:id="131328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268152">
      <w:bodyDiv w:val="1"/>
      <w:marLeft w:val="0"/>
      <w:marRight w:val="0"/>
      <w:marTop w:val="0"/>
      <w:marBottom w:val="0"/>
      <w:divBdr>
        <w:top w:val="none" w:sz="0" w:space="0" w:color="auto"/>
        <w:left w:val="none" w:sz="0" w:space="0" w:color="auto"/>
        <w:bottom w:val="none" w:sz="0" w:space="0" w:color="auto"/>
        <w:right w:val="none" w:sz="0" w:space="0" w:color="auto"/>
      </w:divBdr>
      <w:divsChild>
        <w:div w:id="716127723">
          <w:marLeft w:val="480"/>
          <w:marRight w:val="0"/>
          <w:marTop w:val="0"/>
          <w:marBottom w:val="0"/>
          <w:divBdr>
            <w:top w:val="none" w:sz="0" w:space="0" w:color="auto"/>
            <w:left w:val="none" w:sz="0" w:space="0" w:color="auto"/>
            <w:bottom w:val="none" w:sz="0" w:space="0" w:color="auto"/>
            <w:right w:val="none" w:sz="0" w:space="0" w:color="auto"/>
          </w:divBdr>
          <w:divsChild>
            <w:div w:id="16462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829043">
      <w:bodyDiv w:val="1"/>
      <w:marLeft w:val="0"/>
      <w:marRight w:val="0"/>
      <w:marTop w:val="0"/>
      <w:marBottom w:val="0"/>
      <w:divBdr>
        <w:top w:val="none" w:sz="0" w:space="0" w:color="auto"/>
        <w:left w:val="none" w:sz="0" w:space="0" w:color="auto"/>
        <w:bottom w:val="none" w:sz="0" w:space="0" w:color="auto"/>
        <w:right w:val="none" w:sz="0" w:space="0" w:color="auto"/>
      </w:divBdr>
      <w:divsChild>
        <w:div w:id="618337928">
          <w:marLeft w:val="480"/>
          <w:marRight w:val="0"/>
          <w:marTop w:val="0"/>
          <w:marBottom w:val="0"/>
          <w:divBdr>
            <w:top w:val="none" w:sz="0" w:space="0" w:color="auto"/>
            <w:left w:val="none" w:sz="0" w:space="0" w:color="auto"/>
            <w:bottom w:val="none" w:sz="0" w:space="0" w:color="auto"/>
            <w:right w:val="none" w:sz="0" w:space="0" w:color="auto"/>
          </w:divBdr>
          <w:divsChild>
            <w:div w:id="120293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465007">
      <w:bodyDiv w:val="1"/>
      <w:marLeft w:val="0"/>
      <w:marRight w:val="0"/>
      <w:marTop w:val="0"/>
      <w:marBottom w:val="0"/>
      <w:divBdr>
        <w:top w:val="none" w:sz="0" w:space="0" w:color="auto"/>
        <w:left w:val="none" w:sz="0" w:space="0" w:color="auto"/>
        <w:bottom w:val="none" w:sz="0" w:space="0" w:color="auto"/>
        <w:right w:val="none" w:sz="0" w:space="0" w:color="auto"/>
      </w:divBdr>
      <w:divsChild>
        <w:div w:id="213591475">
          <w:marLeft w:val="480"/>
          <w:marRight w:val="0"/>
          <w:marTop w:val="0"/>
          <w:marBottom w:val="0"/>
          <w:divBdr>
            <w:top w:val="none" w:sz="0" w:space="0" w:color="auto"/>
            <w:left w:val="none" w:sz="0" w:space="0" w:color="auto"/>
            <w:bottom w:val="none" w:sz="0" w:space="0" w:color="auto"/>
            <w:right w:val="none" w:sz="0" w:space="0" w:color="auto"/>
          </w:divBdr>
          <w:divsChild>
            <w:div w:id="56120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770292">
      <w:bodyDiv w:val="1"/>
      <w:marLeft w:val="0"/>
      <w:marRight w:val="0"/>
      <w:marTop w:val="0"/>
      <w:marBottom w:val="0"/>
      <w:divBdr>
        <w:top w:val="none" w:sz="0" w:space="0" w:color="auto"/>
        <w:left w:val="none" w:sz="0" w:space="0" w:color="auto"/>
        <w:bottom w:val="none" w:sz="0" w:space="0" w:color="auto"/>
        <w:right w:val="none" w:sz="0" w:space="0" w:color="auto"/>
      </w:divBdr>
      <w:divsChild>
        <w:div w:id="1858693751">
          <w:marLeft w:val="480"/>
          <w:marRight w:val="0"/>
          <w:marTop w:val="0"/>
          <w:marBottom w:val="0"/>
          <w:divBdr>
            <w:top w:val="none" w:sz="0" w:space="0" w:color="auto"/>
            <w:left w:val="none" w:sz="0" w:space="0" w:color="auto"/>
            <w:bottom w:val="none" w:sz="0" w:space="0" w:color="auto"/>
            <w:right w:val="none" w:sz="0" w:space="0" w:color="auto"/>
          </w:divBdr>
          <w:divsChild>
            <w:div w:id="4391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48223">
      <w:bodyDiv w:val="1"/>
      <w:marLeft w:val="0"/>
      <w:marRight w:val="0"/>
      <w:marTop w:val="0"/>
      <w:marBottom w:val="0"/>
      <w:divBdr>
        <w:top w:val="none" w:sz="0" w:space="0" w:color="auto"/>
        <w:left w:val="none" w:sz="0" w:space="0" w:color="auto"/>
        <w:bottom w:val="none" w:sz="0" w:space="0" w:color="auto"/>
        <w:right w:val="none" w:sz="0" w:space="0" w:color="auto"/>
      </w:divBdr>
    </w:div>
    <w:div w:id="1931770238">
      <w:bodyDiv w:val="1"/>
      <w:marLeft w:val="0"/>
      <w:marRight w:val="0"/>
      <w:marTop w:val="0"/>
      <w:marBottom w:val="0"/>
      <w:divBdr>
        <w:top w:val="none" w:sz="0" w:space="0" w:color="auto"/>
        <w:left w:val="none" w:sz="0" w:space="0" w:color="auto"/>
        <w:bottom w:val="none" w:sz="0" w:space="0" w:color="auto"/>
        <w:right w:val="none" w:sz="0" w:space="0" w:color="auto"/>
      </w:divBdr>
      <w:divsChild>
        <w:div w:id="1385911175">
          <w:marLeft w:val="480"/>
          <w:marRight w:val="0"/>
          <w:marTop w:val="0"/>
          <w:marBottom w:val="0"/>
          <w:divBdr>
            <w:top w:val="none" w:sz="0" w:space="0" w:color="auto"/>
            <w:left w:val="none" w:sz="0" w:space="0" w:color="auto"/>
            <w:bottom w:val="none" w:sz="0" w:space="0" w:color="auto"/>
            <w:right w:val="none" w:sz="0" w:space="0" w:color="auto"/>
          </w:divBdr>
          <w:divsChild>
            <w:div w:id="214669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055490">
      <w:bodyDiv w:val="1"/>
      <w:marLeft w:val="0"/>
      <w:marRight w:val="0"/>
      <w:marTop w:val="0"/>
      <w:marBottom w:val="0"/>
      <w:divBdr>
        <w:top w:val="none" w:sz="0" w:space="0" w:color="auto"/>
        <w:left w:val="none" w:sz="0" w:space="0" w:color="auto"/>
        <w:bottom w:val="none" w:sz="0" w:space="0" w:color="auto"/>
        <w:right w:val="none" w:sz="0" w:space="0" w:color="auto"/>
      </w:divBdr>
      <w:divsChild>
        <w:div w:id="139734035">
          <w:marLeft w:val="480"/>
          <w:marRight w:val="0"/>
          <w:marTop w:val="0"/>
          <w:marBottom w:val="0"/>
          <w:divBdr>
            <w:top w:val="none" w:sz="0" w:space="0" w:color="auto"/>
            <w:left w:val="none" w:sz="0" w:space="0" w:color="auto"/>
            <w:bottom w:val="none" w:sz="0" w:space="0" w:color="auto"/>
            <w:right w:val="none" w:sz="0" w:space="0" w:color="auto"/>
          </w:divBdr>
          <w:divsChild>
            <w:div w:id="111308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768724">
      <w:bodyDiv w:val="1"/>
      <w:marLeft w:val="0"/>
      <w:marRight w:val="0"/>
      <w:marTop w:val="0"/>
      <w:marBottom w:val="0"/>
      <w:divBdr>
        <w:top w:val="none" w:sz="0" w:space="0" w:color="auto"/>
        <w:left w:val="none" w:sz="0" w:space="0" w:color="auto"/>
        <w:bottom w:val="none" w:sz="0" w:space="0" w:color="auto"/>
        <w:right w:val="none" w:sz="0" w:space="0" w:color="auto"/>
      </w:divBdr>
      <w:divsChild>
        <w:div w:id="652635797">
          <w:marLeft w:val="480"/>
          <w:marRight w:val="0"/>
          <w:marTop w:val="0"/>
          <w:marBottom w:val="0"/>
          <w:divBdr>
            <w:top w:val="none" w:sz="0" w:space="0" w:color="auto"/>
            <w:left w:val="none" w:sz="0" w:space="0" w:color="auto"/>
            <w:bottom w:val="none" w:sz="0" w:space="0" w:color="auto"/>
            <w:right w:val="none" w:sz="0" w:space="0" w:color="auto"/>
          </w:divBdr>
          <w:divsChild>
            <w:div w:id="64292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opher.schlett@post.harvard.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5E50D-EEDC-4677-9E73-2EF5CCA09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6161</Words>
  <Characters>35122</Characters>
  <Application>Microsoft Office Word</Application>
  <DocSecurity>0</DocSecurity>
  <Lines>292</Lines>
  <Paragraphs>82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Uniklinikum Freiburg</Company>
  <LinksUpToDate>false</LinksUpToDate>
  <CharactersWithSpaces>41201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Dorina Korbmacher</dc:creator>
  <cp:lastModifiedBy>anna.paulini</cp:lastModifiedBy>
  <cp:revision>2</cp:revision>
  <cp:lastPrinted>2020-04-15T10:37:00Z</cp:lastPrinted>
  <dcterms:created xsi:type="dcterms:W3CDTF">2020-04-15T10:38:00Z</dcterms:created>
  <dcterms:modified xsi:type="dcterms:W3CDTF">2020-04-15T10:38:00Z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zotero-version="5.0.71"&gt;&lt;session id="XsQhg9mu"/&gt;&lt;style id="http://www.zotero.org/styles/chicago-note-bibliography" locale="de-DE" hasBibliography="1" bibliographyStyleHasBeenSet="0"/&gt;&lt;prefs&gt;&lt;pref name="fieldType" value="Field"/&gt;&lt;pre</vt:lpwstr>
  </property>
  <property fmtid="{D5CDD505-2E9C-101B-9397-08002B2CF9AE}" pid="3" name="ZOTERO_PREF_2">
    <vt:lpwstr>f name="automaticJournalAbbreviations" value="true"/&gt;&lt;pref name="noteType" value="1"/&gt;&lt;/prefs&gt;&lt;/data&gt;</vt:lpwstr>
  </property>
</Properties>
</file>