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tblpY="1"/>
        <w:tblOverlap w:val="never"/>
        <w:tblW w:w="9298" w:type="dxa"/>
        <w:tblLook w:val="04A0" w:firstRow="1" w:lastRow="0" w:firstColumn="1" w:lastColumn="0" w:noHBand="0" w:noVBand="1"/>
      </w:tblPr>
      <w:tblGrid>
        <w:gridCol w:w="1260"/>
        <w:gridCol w:w="1123"/>
        <w:gridCol w:w="1636"/>
        <w:gridCol w:w="1360"/>
        <w:gridCol w:w="1259"/>
        <w:gridCol w:w="1450"/>
        <w:gridCol w:w="1210"/>
      </w:tblGrid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123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Wheezer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Healthy children &lt; 6 y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Asthmatic children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Healthy children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Adults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rPr>
                <w:sz w:val="24"/>
                <w:szCs w:val="24"/>
              </w:rPr>
            </w:pPr>
            <w:r w:rsidRPr="00DE7FEC">
              <w:rPr>
                <w:sz w:val="24"/>
                <w:szCs w:val="24"/>
              </w:rPr>
              <w:t>Healthy  adults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Eotaxin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57.2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45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48.3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55.0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  <w:lang w:val="en-AU"/>
              </w:rPr>
            </w:pPr>
            <w:proofErr w:type="spellStart"/>
            <w:r w:rsidRPr="00DE7FEC">
              <w:rPr>
                <w:color w:val="000000"/>
                <w:sz w:val="24"/>
                <w:szCs w:val="24"/>
                <w:lang w:val="en-AU"/>
              </w:rPr>
              <w:t>bFGF</w:t>
            </w:r>
            <w:proofErr w:type="spellEnd"/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39.9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3.8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G-CSF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66.8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84.6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57.4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50.4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GM-CSF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10.7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IFN-y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160.2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156.7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124.5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99.8</w:t>
            </w:r>
          </w:p>
        </w:tc>
        <w:tc>
          <w:tcPr>
            <w:tcW w:w="145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50.1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46.6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IL-10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636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3.5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IL-12(p70)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32.9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2.6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IL-13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1.7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IL-15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6.2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IL-17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636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172.9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89.1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41.4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</w:t>
            </w:r>
            <w:r w:rsidRPr="00DE7F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β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3.2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IL-1ra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104.2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101.6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56.2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IL-2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2.1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IL-4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5.8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IL-5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9.8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4.5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IL-6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8.5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IL-7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7.1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IL-8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34.7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35.1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IL-9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210" w:type="dxa"/>
            <w:shd w:val="clear" w:color="auto" w:fill="DBDBDB" w:themeFill="accent3" w:themeFillTint="66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12.4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IP-10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349.6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282.4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258.4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217.7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262.4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240.2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MCP-1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9.7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3.9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MIP-1a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145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4.5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MIP-1b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116.3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100.6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81.9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86.3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89.4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lastRenderedPageBreak/>
              <w:t>PDGF-BB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3281.0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3031.8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3055.3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2556.7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2924.5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3042.8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RANTES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11223.9</w:t>
            </w:r>
          </w:p>
        </w:tc>
        <w:tc>
          <w:tcPr>
            <w:tcW w:w="1636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17086.2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4812.8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19862.3</w:t>
            </w:r>
          </w:p>
        </w:tc>
        <w:tc>
          <w:tcPr>
            <w:tcW w:w="145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8984.5</w:t>
            </w:r>
          </w:p>
        </w:tc>
        <w:tc>
          <w:tcPr>
            <w:tcW w:w="121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14586.2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TNF-a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66.6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45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46.9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45.7</w:t>
            </w:r>
          </w:p>
        </w:tc>
      </w:tr>
      <w:tr w:rsidR="005B4F62" w:rsidRPr="00DE7FEC" w:rsidTr="00A2735A">
        <w:tc>
          <w:tcPr>
            <w:tcW w:w="1260" w:type="dxa"/>
          </w:tcPr>
          <w:p w:rsidR="005B4F62" w:rsidRPr="00DE7FEC" w:rsidRDefault="005B4F62" w:rsidP="00A2735A">
            <w:pPr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VEGF</w:t>
            </w:r>
          </w:p>
        </w:tc>
        <w:tc>
          <w:tcPr>
            <w:tcW w:w="1123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636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44.9</w:t>
            </w:r>
          </w:p>
        </w:tc>
        <w:tc>
          <w:tcPr>
            <w:tcW w:w="1360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rFonts w:ascii="Arial" w:hAnsi="Arial" w:cs="Arial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259" w:type="dxa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45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9.9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:rsidR="005B4F62" w:rsidRPr="00DE7FEC" w:rsidRDefault="005B4F62" w:rsidP="00A2735A">
            <w:pPr>
              <w:jc w:val="right"/>
              <w:rPr>
                <w:color w:val="000000"/>
                <w:sz w:val="24"/>
                <w:szCs w:val="24"/>
              </w:rPr>
            </w:pPr>
            <w:r w:rsidRPr="00DE7FEC">
              <w:rPr>
                <w:color w:val="000000"/>
                <w:sz w:val="24"/>
                <w:szCs w:val="24"/>
              </w:rPr>
              <w:t>2.8</w:t>
            </w:r>
          </w:p>
        </w:tc>
      </w:tr>
    </w:tbl>
    <w:p w:rsidR="005B4F62" w:rsidRPr="00DE7FEC" w:rsidRDefault="005B4F62" w:rsidP="005B4F62">
      <w:pPr>
        <w:rPr>
          <w:rFonts w:ascii="Calibri" w:hAnsi="Calibri"/>
          <w:color w:val="000000"/>
          <w:lang w:val="en-AU"/>
        </w:rPr>
      </w:pPr>
    </w:p>
    <w:p w:rsidR="005B4F62" w:rsidRPr="00DE7FEC" w:rsidRDefault="005B4F62" w:rsidP="005B4F62">
      <w:pPr>
        <w:rPr>
          <w:rFonts w:ascii="Calibri" w:hAnsi="Calibri"/>
          <w:lang w:val="en-AU"/>
        </w:rPr>
      </w:pPr>
    </w:p>
    <w:p w:rsidR="005B4F62" w:rsidRPr="00DE7FEC" w:rsidRDefault="005B4F62" w:rsidP="005B4F62">
      <w:pPr>
        <w:spacing w:line="240" w:lineRule="auto"/>
        <w:rPr>
          <w:rFonts w:ascii="Calibri" w:hAnsi="Calibri"/>
          <w:color w:val="000000"/>
          <w:sz w:val="24"/>
          <w:lang w:val="en-US"/>
        </w:rPr>
      </w:pPr>
      <w:r w:rsidRPr="00DE7FEC">
        <w:rPr>
          <w:rFonts w:ascii="Calibri" w:hAnsi="Calibri"/>
          <w:color w:val="000000"/>
          <w:sz w:val="24"/>
          <w:lang w:val="en-AU"/>
        </w:rPr>
        <w:t>Supplement Table S1: Mean cytokine concentration [</w:t>
      </w:r>
      <w:proofErr w:type="spellStart"/>
      <w:r w:rsidRPr="00DE7FEC">
        <w:rPr>
          <w:rFonts w:ascii="Calibri" w:hAnsi="Calibri"/>
          <w:color w:val="000000"/>
          <w:sz w:val="24"/>
          <w:lang w:val="en-AU"/>
        </w:rPr>
        <w:t>pg</w:t>
      </w:r>
      <w:proofErr w:type="spellEnd"/>
      <w:r w:rsidRPr="00DE7FEC">
        <w:rPr>
          <w:rFonts w:ascii="Calibri" w:hAnsi="Calibri"/>
          <w:color w:val="000000"/>
          <w:sz w:val="24"/>
          <w:lang w:val="en-AU"/>
        </w:rPr>
        <w:t>/ml] in children and adults with wheeze or asthma and in healthy controls, respectively. Statistical significant differences between the groups (</w:t>
      </w:r>
      <w:r w:rsidRPr="00DE7FEC">
        <w:rPr>
          <w:rFonts w:ascii="Calibri" w:hAnsi="Calibri"/>
          <w:color w:val="000000"/>
          <w:sz w:val="24"/>
          <w:lang w:val="en-US"/>
        </w:rPr>
        <w:t xml:space="preserve">Mann–Whitney U test </w:t>
      </w:r>
      <w:r w:rsidRPr="00DE7FEC">
        <w:rPr>
          <w:rFonts w:ascii="Calibri" w:hAnsi="Calibri"/>
          <w:color w:val="000000"/>
          <w:sz w:val="24"/>
          <w:lang w:val="en-AU"/>
        </w:rPr>
        <w:t xml:space="preserve">p&lt; 0.05) are marked in green (corrected for multiple testing) and red (not corrected for multiple testing), respectively. </w:t>
      </w:r>
      <w:proofErr w:type="spellStart"/>
      <w:r w:rsidRPr="00DE7FEC">
        <w:rPr>
          <w:rFonts w:ascii="Calibri" w:hAnsi="Calibri"/>
          <w:color w:val="000000"/>
          <w:sz w:val="24"/>
          <w:lang w:val="en-AU"/>
        </w:rPr>
        <w:t>bFGF</w:t>
      </w:r>
      <w:proofErr w:type="spellEnd"/>
      <w:r w:rsidRPr="00DE7FEC">
        <w:rPr>
          <w:rFonts w:ascii="Calibri" w:hAnsi="Calibri"/>
          <w:color w:val="000000"/>
          <w:sz w:val="24"/>
          <w:lang w:val="en-AU"/>
        </w:rPr>
        <w:t xml:space="preserve">: Basic Fibroblast Growth Factor; G-CSF: Granulocyte-colony stimulating factor; Granulocyte-macrophage colony-stimulating factor; IFN: </w:t>
      </w:r>
      <w:proofErr w:type="gramStart"/>
      <w:r w:rsidRPr="00DE7FEC">
        <w:rPr>
          <w:rFonts w:ascii="Calibri" w:hAnsi="Calibri"/>
          <w:color w:val="000000"/>
          <w:sz w:val="24"/>
          <w:lang w:val="en-AU"/>
        </w:rPr>
        <w:t>Interferon;  IL</w:t>
      </w:r>
      <w:proofErr w:type="gramEnd"/>
      <w:r w:rsidRPr="00DE7FEC">
        <w:rPr>
          <w:rFonts w:ascii="Calibri" w:hAnsi="Calibri"/>
          <w:color w:val="000000"/>
          <w:sz w:val="24"/>
          <w:lang w:val="en-AU"/>
        </w:rPr>
        <w:t xml:space="preserve">: interleukin; IP-10: Interferon gamma-induced protein 10; MCP-1: Monocyte Chemoattractant Protein 1; MIP: Macrophage inflammatory protein; PDGF: Platelet-derived growth factor; RANTES: Regulated upon activation, normal T-cell expressed, and secreted; TNF: </w:t>
      </w:r>
      <w:proofErr w:type="spellStart"/>
      <w:r w:rsidRPr="00DE7FEC">
        <w:rPr>
          <w:rFonts w:ascii="Calibri" w:hAnsi="Calibri"/>
          <w:color w:val="000000"/>
          <w:sz w:val="24"/>
          <w:lang w:val="en-AU"/>
        </w:rPr>
        <w:t>Tumor</w:t>
      </w:r>
      <w:proofErr w:type="spellEnd"/>
      <w:r w:rsidRPr="00DE7FEC">
        <w:rPr>
          <w:rFonts w:ascii="Calibri" w:hAnsi="Calibri"/>
          <w:color w:val="000000"/>
          <w:sz w:val="24"/>
          <w:lang w:val="en-AU"/>
        </w:rPr>
        <w:t xml:space="preserve"> necrosis factor; VEGF: Vascular endothelial growth factor.</w:t>
      </w:r>
    </w:p>
    <w:p w:rsidR="005B4F62" w:rsidRPr="00DE7FEC" w:rsidRDefault="005B4F62" w:rsidP="005B4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de-DE"/>
        </w:rPr>
      </w:pPr>
    </w:p>
    <w:p w:rsidR="005B4F62" w:rsidRPr="00DE7FEC" w:rsidRDefault="005B4F62" w:rsidP="005B4F62">
      <w:pPr>
        <w:rPr>
          <w:rFonts w:ascii="Times New Roman" w:eastAsia="Times New Roman" w:hAnsi="Times New Roman" w:cs="Times New Roman"/>
          <w:sz w:val="28"/>
          <w:szCs w:val="24"/>
          <w:lang w:val="en-US" w:eastAsia="de-DE"/>
        </w:rPr>
      </w:pPr>
      <w:r w:rsidRPr="00DE7FEC">
        <w:rPr>
          <w:rFonts w:ascii="Times New Roman" w:eastAsia="Times New Roman" w:hAnsi="Times New Roman" w:cs="Times New Roman"/>
          <w:sz w:val="28"/>
          <w:szCs w:val="24"/>
          <w:lang w:val="en-US" w:eastAsia="de-DE"/>
        </w:rPr>
        <w:br w:type="page"/>
      </w:r>
    </w:p>
    <w:p w:rsidR="005B4F62" w:rsidRPr="00DE7FEC" w:rsidRDefault="005B4F62" w:rsidP="005B4F62">
      <w:pPr>
        <w:rPr>
          <w:lang w:val="en-US"/>
        </w:rPr>
      </w:pPr>
    </w:p>
    <w:tbl>
      <w:tblPr>
        <w:tblW w:w="90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3"/>
        <w:gridCol w:w="1812"/>
        <w:gridCol w:w="1813"/>
      </w:tblGrid>
      <w:tr w:rsidR="005B4F62" w:rsidRPr="00DE7FEC" w:rsidTr="00A2735A">
        <w:trPr>
          <w:trHeight w:val="794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>A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>B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>C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>D</w:t>
            </w:r>
          </w:p>
        </w:tc>
      </w:tr>
      <w:tr w:rsidR="005B4F62" w:rsidRPr="00DE7FEC" w:rsidTr="00A2735A">
        <w:trPr>
          <w:trHeight w:val="794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GLM 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case-control  + age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GLM 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age + </w:t>
            </w:r>
            <w:proofErr w:type="spellStart"/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cosinor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GLM 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case-control + age + </w:t>
            </w:r>
            <w:proofErr w:type="spellStart"/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cosinor</w:t>
            </w:r>
            <w:proofErr w:type="spellEnd"/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GLM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case-control + age + month</w:t>
            </w:r>
          </w:p>
        </w:tc>
      </w:tr>
      <w:tr w:rsidR="005B4F62" w:rsidRPr="00DE7FEC" w:rsidTr="00A2735A">
        <w:trPr>
          <w:trHeight w:val="520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Interleukins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</w:t>
            </w:r>
            <w:r w:rsidRPr="00DE7F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β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cstheme="minorHAnsi"/>
                <w:color w:val="000000"/>
                <w:lang w:val="en-GB"/>
              </w:rPr>
              <w:t>0.843</w:t>
            </w:r>
            <w:r w:rsidRPr="00DE7FEC">
              <w:rPr>
                <w:rFonts w:ascii="Calibri" w:hAnsi="Calibri" w:cs="Calibri"/>
                <w:color w:val="000000"/>
              </w:rPr>
              <w:t xml:space="preserve"> (0.973)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tabs>
                <w:tab w:val="left" w:pos="320"/>
                <w:tab w:val="center" w:pos="8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0.024 (0.052)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0.631</w:t>
            </w:r>
            <w:r w:rsidRPr="00DE7FEC">
              <w:rPr>
                <w:rFonts w:ascii="Calibri" w:hAnsi="Calibri" w:cs="Calibri"/>
                <w:color w:val="000000"/>
              </w:rPr>
              <w:t>(0.779)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1ra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0.251</w:t>
            </w:r>
            <w:r w:rsidRPr="00DE7FEC">
              <w:rPr>
                <w:rFonts w:ascii="Calibri" w:hAnsi="Calibri" w:cs="Calibri"/>
                <w:color w:val="000000"/>
              </w:rPr>
              <w:t xml:space="preserve"> (0.470)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0.001</w:t>
            </w:r>
            <w:r w:rsidRPr="00DE7FEC">
              <w:rPr>
                <w:rFonts w:ascii="Calibri" w:hAnsi="Calibri" w:cs="Calibri"/>
                <w:color w:val="000000"/>
              </w:rPr>
              <w:t xml:space="preserve"> (0.007)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0.187</w:t>
            </w:r>
            <w:r w:rsidRPr="00DE7FEC">
              <w:rPr>
                <w:rFonts w:ascii="Calibri" w:hAnsi="Calibri" w:cs="Calibri"/>
                <w:color w:val="000000"/>
              </w:rPr>
              <w:t xml:space="preserve"> (0.261)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Helvetica" w:hAnsi="Helvetica" w:cs="Helvetica"/>
                <w:color w:val="000000"/>
                <w:sz w:val="20"/>
                <w:szCs w:val="20"/>
                <w:lang w:val="en-GB"/>
              </w:rPr>
              <w:t>0.136</w:t>
            </w:r>
            <w:r w:rsidRPr="00DE7FEC">
              <w:rPr>
                <w:rFonts w:ascii="Calibri" w:hAnsi="Calibri" w:cs="Calibri"/>
                <w:color w:val="000000"/>
              </w:rPr>
              <w:t xml:space="preserve"> (0.290)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4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0.225 (0.470)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0.008 (0.019)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0.146 (0.256)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0.155 (0.29)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7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0.311 (0.518)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0.036 (0.057)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0.457 (0.623)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0.975 (0.987)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&lt; 0.001 (&lt; 0.001)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0.968 (0.968)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0.923 (0.923)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13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0.065 (0.242)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0.119 (0.153)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0.109 (0.272)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17A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0.006 (0.046)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&lt; 0.001 (&lt; 0.001)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0.002 (0.015)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0.002 (0.028)</w:t>
            </w:r>
          </w:p>
        </w:tc>
      </w:tr>
      <w:tr w:rsidR="005B4F62" w:rsidRPr="00DE7FEC" w:rsidTr="00A2735A">
        <w:trPr>
          <w:trHeight w:val="520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Tumor Necrosis Factor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TNF-α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0.081 (0.243)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0.002 (0.008)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0.042 (0.146)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0.034 (0.159)</w:t>
            </w:r>
          </w:p>
        </w:tc>
      </w:tr>
      <w:tr w:rsidR="005B4F62" w:rsidRPr="00DE7FEC" w:rsidTr="00A2735A">
        <w:trPr>
          <w:trHeight w:val="520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Growth Factors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G-CSF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0.356 (0.533)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0.513 (0.550)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0.228 (0.379)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PDGF-bb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0.006 (0.046)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0.961 (0.961)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0.006 (0.047)</w:t>
            </w:r>
          </w:p>
        </w:tc>
      </w:tr>
      <w:tr w:rsidR="005B4F62" w:rsidRPr="00DE7FEC" w:rsidTr="00A2735A">
        <w:trPr>
          <w:trHeight w:val="520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Chemokines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MIP 1α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0.137 (0.343)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0.004 (0.011)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0.136 (0.256)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0.096 (0.272)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MIP 1</w:t>
            </w:r>
            <w:r w:rsidRPr="00DE7F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β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0.631 (0.789)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0.03 (0.056)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0.675 (0.779)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8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0.391 (0.534)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0.038 (0.057)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0.304 (0.456)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proofErr w:type="spellStart"/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Eotaxin</w:t>
            </w:r>
            <w:proofErr w:type="spellEnd"/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0.987 (0.987)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0.304 (0.35)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0.851 (0.912)</w:t>
            </w:r>
          </w:p>
        </w:tc>
      </w:tr>
      <w:tr w:rsidR="005B4F62" w:rsidRPr="00DE7FEC" w:rsidTr="00A2735A">
        <w:trPr>
          <w:trHeight w:val="520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IP 10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0.026 (0.130)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0.123 (0.153)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0.042 (0.159)</w:t>
            </w:r>
          </w:p>
        </w:tc>
      </w:tr>
    </w:tbl>
    <w:p w:rsidR="005B4F62" w:rsidRPr="00DE7FEC" w:rsidRDefault="005B4F62" w:rsidP="005B4F62"/>
    <w:p w:rsidR="005B4F62" w:rsidRPr="00DE7FEC" w:rsidRDefault="005B4F62" w:rsidP="005B4F62">
      <w:pPr>
        <w:rPr>
          <w:rFonts w:cstheme="minorHAnsi"/>
          <w:color w:val="000000"/>
          <w:sz w:val="24"/>
          <w:szCs w:val="24"/>
          <w:lang w:val="en-AU"/>
        </w:rPr>
      </w:pPr>
      <w:r w:rsidRPr="00DE7FEC">
        <w:rPr>
          <w:rFonts w:cstheme="minorHAnsi"/>
          <w:color w:val="000000"/>
          <w:sz w:val="24"/>
          <w:szCs w:val="24"/>
          <w:lang w:val="en-AU"/>
        </w:rPr>
        <w:br w:type="page"/>
      </w:r>
    </w:p>
    <w:p w:rsidR="005B4F62" w:rsidRPr="00DE7FEC" w:rsidRDefault="005B4F62" w:rsidP="005B4F62">
      <w:pPr>
        <w:rPr>
          <w:sz w:val="24"/>
          <w:szCs w:val="24"/>
          <w:lang w:val="en-US"/>
        </w:rPr>
      </w:pPr>
      <w:r w:rsidRPr="00DE7FEC">
        <w:rPr>
          <w:rFonts w:cstheme="minorHAnsi"/>
          <w:color w:val="000000"/>
          <w:sz w:val="24"/>
          <w:szCs w:val="24"/>
          <w:lang w:val="en-AU"/>
        </w:rPr>
        <w:lastRenderedPageBreak/>
        <w:t>Supplement Table S2</w:t>
      </w:r>
      <w:r w:rsidRPr="00DE7FEC">
        <w:rPr>
          <w:noProof/>
          <w:sz w:val="24"/>
          <w:szCs w:val="24"/>
          <w:lang w:val="en-US"/>
        </w:rPr>
        <w:t xml:space="preserve">: Overview of the tested cytokine associations with  &gt; 80% values within the quantification limits. </w:t>
      </w:r>
      <w:r w:rsidRPr="00DE7FEC">
        <w:rPr>
          <w:sz w:val="24"/>
          <w:szCs w:val="24"/>
          <w:lang w:val="en-US"/>
        </w:rPr>
        <w:t>All nominal p-values and p-values that are adjusted for multiple testing (in brackets) are listed. Four different GLMs were conducted, all accounting for age</w:t>
      </w:r>
      <w:r w:rsidRPr="00DE7FEC">
        <w:rPr>
          <w:rFonts w:cstheme="minorHAnsi"/>
          <w:sz w:val="24"/>
          <w:szCs w:val="24"/>
          <w:lang w:val="en-US"/>
        </w:rPr>
        <w:t xml:space="preserve">: A) testing group difference without adjusting for seasonality; B) testing for </w:t>
      </w:r>
      <w:r w:rsidRPr="00DE7FEC">
        <w:rPr>
          <w:rFonts w:eastAsiaTheme="minorEastAsia" w:cstheme="minorHAnsi"/>
          <w:sz w:val="24"/>
          <w:szCs w:val="24"/>
          <w:lang w:val="en-US"/>
        </w:rPr>
        <w:t>sinusoidal</w:t>
      </w:r>
      <w:r w:rsidRPr="00DE7FEC">
        <w:rPr>
          <w:rFonts w:cstheme="minorHAnsi"/>
          <w:sz w:val="24"/>
          <w:szCs w:val="24"/>
          <w:lang w:val="en-US"/>
        </w:rPr>
        <w:t xml:space="preserve"> seasonality; C) testing group difference accounting for sinusoidal seasonality; D) testing group difference accounting for any monthly variation. </w:t>
      </w:r>
      <w:r w:rsidRPr="00DE7FEC">
        <w:rPr>
          <w:sz w:val="24"/>
          <w:szCs w:val="24"/>
          <w:lang w:val="en-US"/>
        </w:rPr>
        <w:t xml:space="preserve">The p-values were adjusted </w:t>
      </w:r>
      <w:proofErr w:type="spellStart"/>
      <w:r w:rsidRPr="00DE7FEC">
        <w:rPr>
          <w:sz w:val="24"/>
          <w:szCs w:val="24"/>
          <w:lang w:val="en-US"/>
        </w:rPr>
        <w:t>columnwise</w:t>
      </w:r>
      <w:proofErr w:type="spellEnd"/>
      <w:r w:rsidRPr="00DE7FEC">
        <w:rPr>
          <w:sz w:val="24"/>
          <w:szCs w:val="24"/>
          <w:lang w:val="en-US"/>
        </w:rPr>
        <w:t xml:space="preserve"> with the </w:t>
      </w:r>
      <w:proofErr w:type="spellStart"/>
      <w:r w:rsidRPr="00DE7FEC">
        <w:rPr>
          <w:rFonts w:eastAsiaTheme="minorEastAsia"/>
          <w:sz w:val="24"/>
          <w:szCs w:val="24"/>
          <w:lang w:val="en-US"/>
        </w:rPr>
        <w:t>Bonferroni</w:t>
      </w:r>
      <w:proofErr w:type="spellEnd"/>
      <w:r w:rsidRPr="00DE7FEC">
        <w:rPr>
          <w:rFonts w:eastAsiaTheme="minorEastAsia"/>
          <w:sz w:val="24"/>
          <w:szCs w:val="24"/>
          <w:lang w:val="en-US"/>
        </w:rPr>
        <w:t>-Holm method</w:t>
      </w:r>
      <w:r w:rsidRPr="00DE7FEC">
        <w:rPr>
          <w:sz w:val="24"/>
          <w:szCs w:val="24"/>
          <w:lang w:val="en-US"/>
        </w:rPr>
        <w:t xml:space="preserve">. The GLM (age + </w:t>
      </w:r>
      <w:proofErr w:type="spellStart"/>
      <w:r w:rsidRPr="00DE7FEC">
        <w:rPr>
          <w:sz w:val="24"/>
          <w:szCs w:val="24"/>
          <w:lang w:val="en-US"/>
        </w:rPr>
        <w:t>cosinor</w:t>
      </w:r>
      <w:proofErr w:type="spellEnd"/>
      <w:r w:rsidRPr="00DE7FEC">
        <w:rPr>
          <w:sz w:val="24"/>
          <w:szCs w:val="24"/>
          <w:lang w:val="en-US"/>
        </w:rPr>
        <w:t xml:space="preserve">) column lists the smallest p-value of the </w:t>
      </w:r>
      <w:proofErr w:type="spellStart"/>
      <w:r w:rsidRPr="00DE7FEC">
        <w:rPr>
          <w:sz w:val="24"/>
          <w:szCs w:val="24"/>
          <w:lang w:val="en-US"/>
        </w:rPr>
        <w:t>cosinor</w:t>
      </w:r>
      <w:proofErr w:type="spellEnd"/>
      <w:r w:rsidRPr="00DE7FEC">
        <w:rPr>
          <w:sz w:val="24"/>
          <w:szCs w:val="24"/>
          <w:lang w:val="en-US"/>
        </w:rPr>
        <w:t xml:space="preserve"> coefficients indicating sinusoidal seasonal variation. All adjusted p-values being smaller than </w:t>
      </w:r>
      <w:r w:rsidRPr="00DE7FEC">
        <w:rPr>
          <w:rFonts w:cstheme="minorHAnsi"/>
          <w:sz w:val="24"/>
          <w:szCs w:val="24"/>
          <w:lang w:val="en-US"/>
        </w:rPr>
        <w:t xml:space="preserve">the significance level </w:t>
      </w:r>
      <m:oMath>
        <m:r>
          <w:rPr>
            <w:rFonts w:ascii="Cambria Math" w:hAnsi="Cambria Math" w:cstheme="minorHAnsi"/>
            <w:sz w:val="24"/>
            <w:szCs w:val="24"/>
            <w:lang w:val="en-US"/>
          </w:rPr>
          <m:t>α=0.05</m:t>
        </m:r>
      </m:oMath>
      <w:r w:rsidRPr="00DE7FEC">
        <w:rPr>
          <w:rFonts w:eastAsiaTheme="minorEastAsia" w:cstheme="minorHAnsi"/>
          <w:sz w:val="24"/>
          <w:szCs w:val="24"/>
          <w:lang w:val="en-US"/>
        </w:rPr>
        <w:t xml:space="preserve"> for tests for group differences and </w:t>
      </w:r>
      <m:oMath>
        <m:r>
          <w:rPr>
            <w:rFonts w:ascii="Cambria Math" w:hAnsi="Cambria Math" w:cstheme="minorHAnsi"/>
            <w:sz w:val="24"/>
            <w:szCs w:val="24"/>
            <w:lang w:val="en-US"/>
          </w:rPr>
          <m:t>α=0.025</m:t>
        </m:r>
      </m:oMath>
      <w:r w:rsidRPr="00DE7FEC">
        <w:rPr>
          <w:rFonts w:eastAsiaTheme="minorEastAsia" w:cstheme="minorHAnsi"/>
          <w:sz w:val="24"/>
          <w:szCs w:val="24"/>
          <w:lang w:val="en-US"/>
        </w:rPr>
        <w:t xml:space="preserve"> for sinusoidal seasonality are marked green. Cytokines showing no sinusoidal seasonality are marked red.</w:t>
      </w:r>
    </w:p>
    <w:p w:rsidR="005B4F62" w:rsidRPr="00DE7FEC" w:rsidRDefault="005B4F62" w:rsidP="005B4F62">
      <w:pPr>
        <w:pStyle w:val="Caption"/>
        <w:keepNext/>
        <w:jc w:val="both"/>
        <w:rPr>
          <w:rFonts w:cs="Times New Roman"/>
          <w:sz w:val="24"/>
          <w:szCs w:val="24"/>
          <w:lang w:val="en-US"/>
        </w:rPr>
      </w:pPr>
    </w:p>
    <w:p w:rsidR="005B4F62" w:rsidRPr="00DE7FEC" w:rsidRDefault="005B4F62" w:rsidP="005B4F62">
      <w:pPr>
        <w:rPr>
          <w:lang w:val="en-US"/>
        </w:rPr>
      </w:pPr>
      <w:r w:rsidRPr="00DE7FEC">
        <w:rPr>
          <w:lang w:val="en-US"/>
        </w:rPr>
        <w:br w:type="page"/>
      </w:r>
    </w:p>
    <w:tbl>
      <w:tblPr>
        <w:tblW w:w="906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3"/>
        <w:gridCol w:w="1812"/>
        <w:gridCol w:w="1813"/>
      </w:tblGrid>
      <w:tr w:rsidR="005B4F62" w:rsidRPr="00DE7FEC" w:rsidTr="00A2735A">
        <w:trPr>
          <w:trHeight w:hRule="exact" w:val="964"/>
          <w:jc w:val="center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>A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 xml:space="preserve">B 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 xml:space="preserve">C 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  <w:lang w:val="en-GB"/>
              </w:rPr>
              <w:t xml:space="preserve">D </w:t>
            </w:r>
          </w:p>
        </w:tc>
      </w:tr>
      <w:tr w:rsidR="005B4F62" w:rsidRPr="00DE7FEC" w:rsidTr="00A2735A">
        <w:trPr>
          <w:trHeight w:hRule="exact" w:val="964"/>
          <w:jc w:val="center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GLM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case-control  + age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GLM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age + </w:t>
            </w:r>
            <w:proofErr w:type="spellStart"/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cosinor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GLM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case-control + age + </w:t>
            </w:r>
            <w:proofErr w:type="spellStart"/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cosinor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GLM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case-control + age + month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Interleukins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</w:t>
            </w:r>
            <w:r w:rsidRPr="00DE7F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β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-0.021</w:t>
            </w:r>
          </w:p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[-0.237; 0.193]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tabs>
                <w:tab w:val="left" w:pos="320"/>
                <w:tab w:val="center" w:pos="8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0.142</w:t>
            </w:r>
          </w:p>
          <w:p w:rsidR="005B4F62" w:rsidRPr="00DE7FEC" w:rsidRDefault="005B4F62" w:rsidP="00A2735A">
            <w:pPr>
              <w:tabs>
                <w:tab w:val="left" w:pos="320"/>
                <w:tab w:val="center" w:pos="8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[0.019; 0.264]</w:t>
            </w:r>
          </w:p>
          <w:p w:rsidR="005B4F62" w:rsidRPr="00DE7FEC" w:rsidRDefault="005B4F62" w:rsidP="00A2735A">
            <w:pPr>
              <w:tabs>
                <w:tab w:val="left" w:pos="320"/>
                <w:tab w:val="center" w:pos="8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-0.044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[-0.258; 0.171]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-0.052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[-0.265; 0.161]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1ra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-0.121</w:t>
            </w:r>
          </w:p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[-0.329; 0.086]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0.190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[0.075; 0.305]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-0.139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[-0.344; 0.067]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-0.1526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[-0.353; 0.048]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4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-0.377</w:t>
            </w:r>
          </w:p>
          <w:p w:rsidR="005B4F62" w:rsidRPr="00DE7FEC" w:rsidRDefault="005B4F62" w:rsidP="00A2735A">
            <w:pPr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[-0.987; 0.232]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0.473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[0.127; 0.819]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-0.451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[-1.058; 0.156]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-0.4421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[-1.050; 0.166]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7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0.171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[-0.160; 0.503]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0.120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[0.014; 0.385]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0.1238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[-0.202; 0.448]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0.003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[-0.181; 0.188]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0.241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[0.139; 0.343]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-0.004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[-0.185; 0.178]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-0.0088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[-0.188, 0.170]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13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0.273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[-0.016; 0.562]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0.130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[-0.33; 0.293]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0.2339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[-0.052; 0.519]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17A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-1.076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[-1.836; -0.317]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1.356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[0.944; 1.769]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-1.146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[-1.875; -0.418]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-1.1522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[-1.874; -0.430]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Tumor Necrosis Factor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TNF-α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-0.484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[-1.028; 0.059]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0.488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[0.180; 0.796]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-0.562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[-1.101; -0.022]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-0.5795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[-1.113; -0.046]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Growth Factors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G-CSF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-0.274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[-0.856; 0.307]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0.110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[-0.219; 0.438]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-0.349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[-0.915: 0.217]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PDGF-bb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13.464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[3.879; 23.094]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0.136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[-5.315; 5.587]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13.5292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[3.88; 23.178]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9062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Chemokines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MIP 1α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-0.150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[-0.348; 0.048]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0.166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[0.055; 0.277]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-0.150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[-0.348; 0.047]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-0.1679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[-0.365; 0.029]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MIP 1</w:t>
            </w:r>
            <w:r w:rsidRPr="00DE7F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β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0.060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[-0.185; 0.305]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0.155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[0.015; 0.294]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0.0526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[-0.193; 0.298]</w:t>
            </w:r>
          </w:p>
        </w:tc>
      </w:tr>
      <w:tr w:rsidR="005B4F62" w:rsidRPr="00DE7FEC" w:rsidTr="00A2735A">
        <w:trPr>
          <w:trHeight w:hRule="exact"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proofErr w:type="spellStart"/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Eotaxin</w:t>
            </w:r>
            <w:proofErr w:type="spellEnd"/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-0.008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[-1.017; 1.000]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0.303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[-0.274; 0.879]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-0.097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</w:rPr>
              <w:t>[-1.109; 0.915]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IL 8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-0.517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[-1.699; 0.664]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0.715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[0.042; 1.389]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-0.625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[-1.815; 0.565]</w:t>
            </w:r>
          </w:p>
        </w:tc>
      </w:tr>
      <w:tr w:rsidR="005B4F62" w:rsidRPr="00DE7FEC" w:rsidTr="00A2735A">
        <w:trPr>
          <w:trHeight w:val="624"/>
          <w:jc w:val="center"/>
        </w:trPr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DE7FEC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lastRenderedPageBreak/>
              <w:t>IP 10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0.150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[0.018; 0.283]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0.059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[-0.016; 0.134]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0.1392</w:t>
            </w:r>
          </w:p>
          <w:p w:rsidR="005B4F62" w:rsidRPr="00DE7FEC" w:rsidRDefault="005B4F62" w:rsidP="00A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E7FEC">
              <w:rPr>
                <w:rFonts w:ascii="Calibri" w:hAnsi="Calibri" w:cs="Calibri"/>
                <w:color w:val="000000"/>
              </w:rPr>
              <w:t>[0.005; 0.273]</w:t>
            </w:r>
          </w:p>
        </w:tc>
      </w:tr>
    </w:tbl>
    <w:p w:rsidR="005B4F62" w:rsidRPr="00DE7FEC" w:rsidRDefault="005B4F62" w:rsidP="005B4F62">
      <w:pPr>
        <w:spacing w:line="240" w:lineRule="auto"/>
        <w:rPr>
          <w:sz w:val="24"/>
          <w:szCs w:val="24"/>
          <w:lang w:val="en-US"/>
        </w:rPr>
      </w:pPr>
      <w:r w:rsidRPr="00DE7FEC">
        <w:rPr>
          <w:rFonts w:cstheme="minorHAnsi"/>
          <w:color w:val="000000"/>
          <w:sz w:val="24"/>
          <w:szCs w:val="24"/>
          <w:lang w:val="en-AU"/>
        </w:rPr>
        <w:t>Supplement Table S3</w:t>
      </w:r>
      <w:r w:rsidRPr="00DE7FEC">
        <w:rPr>
          <w:rFonts w:cstheme="minorHAnsi"/>
          <w:noProof/>
          <w:sz w:val="24"/>
          <w:szCs w:val="24"/>
          <w:lang w:val="en-US"/>
        </w:rPr>
        <w:t xml:space="preserve">: Overview of the tested cytokine effect estimates with  &gt; 80% values within the quantification limits. </w:t>
      </w:r>
      <w:r w:rsidRPr="00DE7FEC">
        <w:rPr>
          <w:rFonts w:cstheme="minorHAnsi"/>
          <w:sz w:val="24"/>
          <w:szCs w:val="24"/>
          <w:lang w:val="en-US"/>
        </w:rPr>
        <w:t xml:space="preserve">All estimates for the case-control coefficients and their 95%-confidence intervals are shown. Four different GLMs were conducted, all accounting for age: A) testing group difference without adjusting for seasonality; B) testing for </w:t>
      </w:r>
      <w:r w:rsidRPr="00DE7FEC">
        <w:rPr>
          <w:rFonts w:eastAsiaTheme="minorEastAsia" w:cstheme="minorHAnsi"/>
          <w:sz w:val="24"/>
          <w:szCs w:val="24"/>
          <w:lang w:val="en-US"/>
        </w:rPr>
        <w:t>sinusoidal</w:t>
      </w:r>
      <w:r w:rsidRPr="00DE7FEC">
        <w:rPr>
          <w:rFonts w:cstheme="minorHAnsi"/>
          <w:sz w:val="24"/>
          <w:szCs w:val="24"/>
          <w:lang w:val="en-US"/>
        </w:rPr>
        <w:t xml:space="preserve"> seasonality; C) testing group difference accounting for sinusoidal seasonality; D) testing group difference accounting for any monthly variation. The GLM (age + </w:t>
      </w:r>
      <w:proofErr w:type="spellStart"/>
      <w:r w:rsidRPr="00DE7FEC">
        <w:rPr>
          <w:rFonts w:cstheme="minorHAnsi"/>
          <w:sz w:val="24"/>
          <w:szCs w:val="24"/>
          <w:lang w:val="en-US"/>
        </w:rPr>
        <w:t>cosinor</w:t>
      </w:r>
      <w:proofErr w:type="spellEnd"/>
      <w:r w:rsidRPr="00DE7FEC">
        <w:rPr>
          <w:rFonts w:cstheme="minorHAnsi"/>
          <w:sz w:val="24"/>
          <w:szCs w:val="24"/>
          <w:lang w:val="en-US"/>
        </w:rPr>
        <w:t xml:space="preserve">) column lists the </w:t>
      </w:r>
      <w:proofErr w:type="spellStart"/>
      <w:r w:rsidRPr="00DE7FEC">
        <w:rPr>
          <w:rFonts w:cstheme="minorHAnsi"/>
          <w:sz w:val="24"/>
          <w:szCs w:val="24"/>
          <w:lang w:val="en-US"/>
        </w:rPr>
        <w:t>cosinor</w:t>
      </w:r>
      <w:proofErr w:type="spellEnd"/>
      <w:r w:rsidRPr="00DE7FEC">
        <w:rPr>
          <w:rFonts w:cstheme="minorHAnsi"/>
          <w:sz w:val="24"/>
          <w:szCs w:val="24"/>
          <w:lang w:val="en-US"/>
        </w:rPr>
        <w:t xml:space="preserve"> coefficient and 95%-confidence interval with the smallest p-value. </w:t>
      </w:r>
      <w:r w:rsidRPr="00DE7FEC">
        <w:rPr>
          <w:sz w:val="24"/>
          <w:szCs w:val="24"/>
          <w:lang w:val="en-US"/>
        </w:rPr>
        <w:t xml:space="preserve">All </w:t>
      </w:r>
      <w:r w:rsidRPr="00DE7FEC">
        <w:rPr>
          <w:rFonts w:cstheme="minorHAnsi"/>
          <w:noProof/>
          <w:sz w:val="24"/>
          <w:szCs w:val="24"/>
          <w:lang w:val="en-US"/>
        </w:rPr>
        <w:t xml:space="preserve">effect estimates </w:t>
      </w:r>
      <w:r w:rsidRPr="00DE7FEC">
        <w:rPr>
          <w:sz w:val="24"/>
          <w:szCs w:val="24"/>
          <w:lang w:val="en-US"/>
        </w:rPr>
        <w:t>with a confidence interval that does not include the 0</w:t>
      </w:r>
      <w:r w:rsidRPr="00DE7FEC">
        <w:rPr>
          <w:rFonts w:eastAsiaTheme="minorEastAsia" w:cstheme="minorHAnsi"/>
          <w:sz w:val="24"/>
          <w:szCs w:val="24"/>
          <w:lang w:val="en-US"/>
        </w:rPr>
        <w:t xml:space="preserve"> are marked green. Cytokines showing no sinusoidal seasonality are marked red.</w:t>
      </w:r>
    </w:p>
    <w:p w:rsidR="005B4F62" w:rsidRPr="00DE7FEC" w:rsidRDefault="005B4F62" w:rsidP="005B4F62">
      <w:pPr>
        <w:rPr>
          <w:rFonts w:cstheme="minorHAnsi"/>
          <w:sz w:val="24"/>
          <w:szCs w:val="24"/>
          <w:lang w:val="en-US"/>
        </w:rPr>
      </w:pPr>
    </w:p>
    <w:p w:rsidR="008860A1" w:rsidRDefault="005B4F62" w:rsidP="005B4F62">
      <w:r w:rsidRPr="00DE7FEC">
        <w:rPr>
          <w:rFonts w:cstheme="minorHAnsi"/>
          <w:sz w:val="24"/>
          <w:szCs w:val="24"/>
          <w:lang w:val="en-US"/>
        </w:rPr>
        <w:br w:type="page"/>
      </w:r>
    </w:p>
    <w:sectPr w:rsidR="00886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26"/>
    <w:rsid w:val="005B4F62"/>
    <w:rsid w:val="008860A1"/>
    <w:rsid w:val="00C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E1CF7-F3D9-443B-98EA-43BD5C84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62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F62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B4F62"/>
    <w:pPr>
      <w:spacing w:line="240" w:lineRule="auto"/>
    </w:pPr>
    <w:rPr>
      <w:rFonts w:ascii="Arial" w:eastAsia="Times New Roman" w:hAnsi="Arial" w:cs="Mangal"/>
      <w:i/>
      <w:iCs/>
      <w:color w:val="44546A" w:themeColor="text2"/>
      <w:kern w:val="24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 G.</dc:creator>
  <cp:keywords/>
  <dc:description/>
  <cp:lastModifiedBy>Saranya G.</cp:lastModifiedBy>
  <cp:revision>2</cp:revision>
  <dcterms:created xsi:type="dcterms:W3CDTF">2020-11-16T02:18:00Z</dcterms:created>
  <dcterms:modified xsi:type="dcterms:W3CDTF">2020-11-16T02:18:00Z</dcterms:modified>
</cp:coreProperties>
</file>